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CE752" w14:textId="3CB4415A" w:rsidR="006E5D6E" w:rsidRDefault="00350FFA" w:rsidP="00350FFA">
      <w:pPr>
        <w:ind w:left="-1474"/>
      </w:pPr>
      <w:r w:rsidRPr="00350FFA">
        <w:rPr>
          <w:noProof/>
          <w:lang w:eastAsia="en-AU"/>
        </w:rPr>
        <w:drawing>
          <wp:inline distT="0" distB="0" distL="0" distR="0" wp14:anchorId="3B2C9D85" wp14:editId="39A3B834">
            <wp:extent cx="7624632" cy="2176709"/>
            <wp:effectExtent l="0" t="0" r="0" b="0"/>
            <wp:docPr id="7" name="Picture 7"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stretch>
                      <a:fillRect/>
                    </a:stretch>
                  </pic:blipFill>
                  <pic:spPr bwMode="auto">
                    <a:xfrm>
                      <a:off x="0" y="0"/>
                      <a:ext cx="7624632" cy="2176709"/>
                    </a:xfrm>
                    <a:prstGeom prst="rect">
                      <a:avLst/>
                    </a:prstGeom>
                    <a:noFill/>
                    <a:ln>
                      <a:noFill/>
                    </a:ln>
                  </pic:spPr>
                </pic:pic>
              </a:graphicData>
            </a:graphic>
          </wp:inline>
        </w:drawing>
      </w:r>
    </w:p>
    <w:p w14:paraId="5DA31EF6" w14:textId="77777777" w:rsidR="008507C1" w:rsidRDefault="008507C1" w:rsidP="006E5D6E">
      <w:pPr>
        <w:ind w:left="-1418"/>
        <w:sectPr w:rsidR="008507C1" w:rsidSect="000A453D">
          <w:pgSz w:w="11906" w:h="16838"/>
          <w:pgMar w:top="0" w:right="1440" w:bottom="1440" w:left="1418" w:header="708" w:footer="708" w:gutter="0"/>
          <w:cols w:space="708"/>
          <w:docGrid w:linePitch="360"/>
        </w:sectPr>
      </w:pPr>
    </w:p>
    <w:p w14:paraId="55E7ABF7" w14:textId="77777777" w:rsidR="008A1D27" w:rsidRDefault="008A1D27" w:rsidP="008A1D27">
      <w:pPr>
        <w:pStyle w:val="Subtitle"/>
      </w:pPr>
    </w:p>
    <w:sdt>
      <w:sdtPr>
        <w:rPr>
          <w:rFonts w:eastAsia="Times New Roman"/>
          <w:sz w:val="72"/>
        </w:rPr>
        <w:alias w:val="Title"/>
        <w:tag w:val=""/>
        <w:id w:val="-19171197"/>
        <w:placeholder>
          <w:docPart w:val="83D797A877474EE6A25B23B7E2FF0876"/>
        </w:placeholder>
        <w:dataBinding w:prefixMappings="xmlns:ns0='http://purl.org/dc/elements/1.1/' xmlns:ns1='http://schemas.openxmlformats.org/package/2006/metadata/core-properties' " w:xpath="/ns1:coreProperties[1]/ns0:title[1]" w:storeItemID="{6C3C8BC8-F283-45AE-878A-BAB7291924A1}"/>
        <w:text/>
      </w:sdtPr>
      <w:sdtContent>
        <w:p w14:paraId="33BD1273" w14:textId="77777777" w:rsidR="008A1D27" w:rsidRPr="008A1D27" w:rsidRDefault="008A1D27" w:rsidP="009F5B48">
          <w:pPr>
            <w:pStyle w:val="Title"/>
            <w:rPr>
              <w:rFonts w:eastAsia="Calibri"/>
            </w:rPr>
          </w:pPr>
          <w:r w:rsidRPr="009F5B48">
            <w:rPr>
              <w:rFonts w:eastAsia="Times New Roman"/>
              <w:sz w:val="72"/>
            </w:rPr>
            <w:t>15 going on 25</w:t>
          </w:r>
        </w:p>
      </w:sdtContent>
    </w:sdt>
    <w:p w14:paraId="777998F2" w14:textId="77777777" w:rsidR="008A1D27" w:rsidRDefault="008A1D27" w:rsidP="008A1D27">
      <w:pPr>
        <w:pStyle w:val="Subtitle"/>
      </w:pPr>
    </w:p>
    <w:p w14:paraId="0EED6D95" w14:textId="77777777" w:rsidR="008A1D27" w:rsidRDefault="008A1D27" w:rsidP="008A1D27">
      <w:pPr>
        <w:pStyle w:val="Subtitle"/>
      </w:pPr>
      <w:r>
        <w:t xml:space="preserve">Insights </w:t>
      </w:r>
      <w:r w:rsidRPr="004F44E1">
        <w:t>from</w:t>
      </w:r>
      <w:r>
        <w:t xml:space="preserve"> the Longitudinal Surveys of Australian Youth (LSAY)</w:t>
      </w:r>
    </w:p>
    <w:p w14:paraId="4591B5BC" w14:textId="77777777" w:rsidR="008A1D27" w:rsidRDefault="008A1D27" w:rsidP="008A1D27">
      <w:r w:rsidRPr="00E376D2">
        <w:rPr>
          <w:rStyle w:val="Emphasis"/>
          <w:color w:val="FFFFFF" w:themeColor="background1"/>
        </w:rPr>
        <w:t>Opportunity through learning</w:t>
      </w:r>
      <w:r>
        <w:br w:type="page"/>
      </w:r>
    </w:p>
    <w:p w14:paraId="01F5C784" w14:textId="77777777" w:rsidR="008A1D27" w:rsidRDefault="008A1D27" w:rsidP="008A1D27">
      <w:pPr>
        <w:pStyle w:val="BodyText"/>
        <w:sectPr w:rsidR="008A1D27" w:rsidSect="008A1D27">
          <w:footerReference w:type="default" r:id="rId12"/>
          <w:type w:val="continuous"/>
          <w:pgSz w:w="11906" w:h="16838"/>
          <w:pgMar w:top="1418" w:right="1558" w:bottom="567" w:left="1440" w:header="0" w:footer="283" w:gutter="0"/>
          <w:cols w:space="708"/>
          <w:docGrid w:linePitch="360"/>
        </w:sectPr>
      </w:pPr>
    </w:p>
    <w:p w14:paraId="4CF3BABD" w14:textId="77777777" w:rsidR="008A1D27" w:rsidRPr="00DA08D8" w:rsidRDefault="008A1D27" w:rsidP="008A1D27">
      <w:pPr>
        <w:rPr>
          <w:rFonts w:cstheme="minorHAnsi"/>
        </w:rPr>
      </w:pPr>
    </w:p>
    <w:p w14:paraId="3D4FCFCF" w14:textId="77777777" w:rsidR="008A1D27" w:rsidRPr="00DA08D8" w:rsidRDefault="008A1D27" w:rsidP="008A1D27">
      <w:pPr>
        <w:rPr>
          <w:rFonts w:cstheme="minorHAnsi"/>
        </w:rPr>
      </w:pPr>
      <w:r w:rsidRPr="00DA08D8">
        <w:rPr>
          <w:rFonts w:cstheme="minorHAnsi"/>
        </w:rPr>
        <w:t>© Commonwealth of Australia 20</w:t>
      </w:r>
      <w:r w:rsidR="00BC0E4C">
        <w:rPr>
          <w:rFonts w:cstheme="minorHAnsi"/>
        </w:rPr>
        <w:t>20</w:t>
      </w:r>
    </w:p>
    <w:p w14:paraId="39E41F4D" w14:textId="77777777" w:rsidR="008A1D27" w:rsidRPr="00DA08D8" w:rsidRDefault="008A1D27" w:rsidP="008A1D27">
      <w:pPr>
        <w:rPr>
          <w:rFonts w:cstheme="minorHAnsi"/>
        </w:rPr>
      </w:pPr>
      <w:r w:rsidRPr="00DA08D8">
        <w:rPr>
          <w:rFonts w:cstheme="minorHAnsi"/>
        </w:rPr>
        <w:t xml:space="preserve">With the exception of the Commonwealth Coat of Arms, the department’s logo, any material protected by a trade mark and where otherwise noted all material presented in this document is provided under a Creative Commons Attribution – </w:t>
      </w:r>
      <w:proofErr w:type="spellStart"/>
      <w:r w:rsidRPr="00DA08D8">
        <w:rPr>
          <w:rFonts w:cstheme="minorHAnsi"/>
        </w:rPr>
        <w:t>NonCommercial-ShareAlike</w:t>
      </w:r>
      <w:proofErr w:type="spellEnd"/>
      <w:r w:rsidRPr="00DA08D8">
        <w:rPr>
          <w:rFonts w:cstheme="minorHAnsi"/>
        </w:rPr>
        <w:t xml:space="preserve"> 3.0 Australia licence. The details of the relevant licence conditions are available on the Creative Commons website (see link) as is the full legal code for the CC BY-NC-SA 3.0 AU licence (</w:t>
      </w:r>
      <w:hyperlink r:id="rId13" w:history="1">
        <w:r w:rsidRPr="00DA08D8">
          <w:rPr>
            <w:rFonts w:cstheme="minorHAnsi"/>
          </w:rPr>
          <w:t>creativecommons.org/licenses/by-</w:t>
        </w:r>
        <w:proofErr w:type="spellStart"/>
        <w:r w:rsidRPr="00DA08D8">
          <w:rPr>
            <w:rFonts w:cstheme="minorHAnsi"/>
          </w:rPr>
          <w:t>nc</w:t>
        </w:r>
        <w:proofErr w:type="spellEnd"/>
        <w:r w:rsidRPr="00DA08D8">
          <w:rPr>
            <w:rFonts w:cstheme="minorHAnsi"/>
          </w:rPr>
          <w:t>-</w:t>
        </w:r>
        <w:proofErr w:type="spellStart"/>
        <w:r w:rsidRPr="00DA08D8">
          <w:rPr>
            <w:rFonts w:cstheme="minorHAnsi"/>
          </w:rPr>
          <w:t>sa</w:t>
        </w:r>
        <w:proofErr w:type="spellEnd"/>
        <w:r w:rsidRPr="00DA08D8">
          <w:rPr>
            <w:rFonts w:cstheme="minorHAnsi"/>
          </w:rPr>
          <w:t>/3.0/au/</w:t>
        </w:r>
        <w:proofErr w:type="spellStart"/>
        <w:r w:rsidRPr="00DA08D8">
          <w:rPr>
            <w:rFonts w:cstheme="minorHAnsi"/>
          </w:rPr>
          <w:t>legalcode</w:t>
        </w:r>
        <w:proofErr w:type="spellEnd"/>
      </w:hyperlink>
      <w:r w:rsidRPr="00DA08D8">
        <w:rPr>
          <w:rFonts w:cstheme="minorHAnsi"/>
        </w:rPr>
        <w:t>).</w:t>
      </w:r>
    </w:p>
    <w:p w14:paraId="7F91A469" w14:textId="77777777" w:rsidR="008A1D27" w:rsidRPr="00DA08D8" w:rsidRDefault="008A1D27" w:rsidP="008A1D27">
      <w:pPr>
        <w:rPr>
          <w:rFonts w:cstheme="minorHAnsi"/>
        </w:rPr>
      </w:pPr>
      <w:r w:rsidRPr="00DA08D8">
        <w:rPr>
          <w:rFonts w:cstheme="minorHAnsi"/>
        </w:rPr>
        <w:t xml:space="preserve">The terms of use for the Commonwealth Coat of Arms are available from: </w:t>
      </w:r>
      <w:hyperlink r:id="rId14" w:history="1">
        <w:r w:rsidRPr="00DA08D8">
          <w:rPr>
            <w:rFonts w:cstheme="minorHAnsi"/>
          </w:rPr>
          <w:t>www.pmc.gov.au/government/commonwealth-coat-arms</w:t>
        </w:r>
      </w:hyperlink>
      <w:r w:rsidRPr="00DA08D8">
        <w:rPr>
          <w:rFonts w:cstheme="minorHAnsi"/>
        </w:rPr>
        <w:t>.</w:t>
      </w:r>
    </w:p>
    <w:p w14:paraId="115D4F60" w14:textId="77777777" w:rsidR="008A1D27" w:rsidRDefault="008A1D27" w:rsidP="008A1D27">
      <w:pPr>
        <w:rPr>
          <w:rFonts w:cstheme="minorHAnsi"/>
        </w:rPr>
      </w:pPr>
      <w:r>
        <w:rPr>
          <w:rFonts w:cstheme="minorHAnsi"/>
        </w:rPr>
        <w:t>Suggested citation:</w:t>
      </w:r>
    </w:p>
    <w:p w14:paraId="43BAD9D6" w14:textId="77777777" w:rsidR="008A1D27" w:rsidRPr="00DA08D8" w:rsidRDefault="008A1D27" w:rsidP="008A1D27">
      <w:pPr>
        <w:rPr>
          <w:rFonts w:cstheme="minorHAnsi"/>
        </w:rPr>
      </w:pPr>
      <w:r>
        <w:rPr>
          <w:rFonts w:cstheme="minorHAnsi"/>
        </w:rPr>
        <w:t xml:space="preserve">The Department of Education, Skills and Employment </w:t>
      </w:r>
      <w:r w:rsidRPr="00DA08D8">
        <w:rPr>
          <w:rFonts w:cstheme="minorHAnsi"/>
          <w:i/>
        </w:rPr>
        <w:t>15 going on 25</w:t>
      </w:r>
      <w:r>
        <w:rPr>
          <w:rFonts w:cstheme="minorHAnsi"/>
          <w:i/>
        </w:rPr>
        <w:t xml:space="preserve">: Insights from the Longitudinal Surveys of Australian Youth (LSAY), </w:t>
      </w:r>
      <w:r>
        <w:rPr>
          <w:rFonts w:cstheme="minorHAnsi"/>
        </w:rPr>
        <w:t>Canberra: Australia Government Department of Education</w:t>
      </w:r>
    </w:p>
    <w:p w14:paraId="7243B6EA" w14:textId="77777777" w:rsidR="008A1D27" w:rsidRDefault="008A1D27" w:rsidP="008A1D27">
      <w:pPr>
        <w:rPr>
          <w:rFonts w:cstheme="minorHAnsi"/>
        </w:rPr>
      </w:pPr>
      <w:r>
        <w:rPr>
          <w:rFonts w:cstheme="minorHAnsi"/>
        </w:rPr>
        <w:t>The findings and views expressed in this report are those of the authors and do not reflect the views of the Department of Education.</w:t>
      </w:r>
    </w:p>
    <w:p w14:paraId="2ACD167C" w14:textId="77777777" w:rsidR="008A1D27" w:rsidRPr="00DA08D8" w:rsidRDefault="008A1D27" w:rsidP="008A1D27">
      <w:pPr>
        <w:rPr>
          <w:rFonts w:cstheme="minorHAnsi"/>
        </w:rPr>
      </w:pPr>
      <w:r w:rsidRPr="00DA08D8">
        <w:rPr>
          <w:rFonts w:cstheme="minorHAnsi"/>
          <w:b/>
        </w:rPr>
        <w:t>Disclaimer:</w:t>
      </w:r>
      <w:r>
        <w:rPr>
          <w:rFonts w:cstheme="minorHAnsi"/>
        </w:rPr>
        <w:t xml:space="preserve"> The Department of Education, Skills and Employment acknowledges diversity and respectfully uses both the terms ‘Indigenous’ and Aboriginal and Torres Strait Islander peoples’ interchangeably throughout this document.</w:t>
      </w:r>
    </w:p>
    <w:p w14:paraId="18E4670B" w14:textId="77777777" w:rsidR="008A1D27" w:rsidRDefault="008A1D27" w:rsidP="008A1D27">
      <w:pPr>
        <w:rPr>
          <w:rFonts w:cstheme="minorHAnsi"/>
        </w:rPr>
      </w:pPr>
      <w:r>
        <w:rPr>
          <w:rFonts w:cstheme="minorHAnsi"/>
        </w:rPr>
        <w:br w:type="page"/>
      </w:r>
    </w:p>
    <w:p w14:paraId="0D51DC3A" w14:textId="77777777" w:rsidR="008A1D27" w:rsidRPr="00632112" w:rsidRDefault="008A1D27" w:rsidP="008A1D27">
      <w:pPr>
        <w:rPr>
          <w:rFonts w:cstheme="minorHAnsi"/>
        </w:rPr>
      </w:pPr>
    </w:p>
    <w:bookmarkStart w:id="0" w:name="_Toc31878845" w:displacedByCustomXml="next"/>
    <w:sdt>
      <w:sdtPr>
        <w:rPr>
          <w:rFonts w:asciiTheme="minorHAnsi" w:eastAsiaTheme="minorEastAsia" w:hAnsiTheme="minorHAnsi" w:cstheme="minorBidi"/>
          <w:b w:val="0"/>
          <w:bCs/>
          <w:color w:val="auto"/>
          <w:sz w:val="22"/>
          <w:szCs w:val="22"/>
        </w:rPr>
        <w:id w:val="-297612392"/>
        <w:docPartObj>
          <w:docPartGallery w:val="Table of Contents"/>
          <w:docPartUnique/>
        </w:docPartObj>
      </w:sdtPr>
      <w:sdtEndPr>
        <w:rPr>
          <w:rFonts w:eastAsiaTheme="minorHAnsi"/>
          <w:bCs w:val="0"/>
          <w:noProof/>
        </w:rPr>
      </w:sdtEndPr>
      <w:sdtContent>
        <w:p w14:paraId="187A5EA3" w14:textId="77777777" w:rsidR="008A1D27" w:rsidRDefault="008A1D27" w:rsidP="008A1D27">
          <w:pPr>
            <w:pStyle w:val="Heading1"/>
            <w:keepNext w:val="0"/>
            <w:keepLines w:val="0"/>
            <w:numPr>
              <w:ilvl w:val="0"/>
              <w:numId w:val="18"/>
            </w:numPr>
            <w:spacing w:before="0" w:after="240" w:line="259" w:lineRule="auto"/>
            <w:contextualSpacing/>
          </w:pPr>
          <w:r>
            <w:t>Contents</w:t>
          </w:r>
          <w:bookmarkEnd w:id="0"/>
        </w:p>
        <w:p w14:paraId="298D4438" w14:textId="77777777" w:rsidR="00336C2C" w:rsidRDefault="008A1D27">
          <w:pPr>
            <w:pStyle w:val="TOC1"/>
            <w:tabs>
              <w:tab w:val="right" w:leader="dot" w:pos="9628"/>
            </w:tabs>
            <w:rPr>
              <w:rFonts w:eastAsiaTheme="minorEastAsia"/>
              <w:b w:val="0"/>
              <w:noProof/>
              <w:lang w:eastAsia="en-AU"/>
            </w:rPr>
          </w:pPr>
          <w:r>
            <w:rPr>
              <w:b w:val="0"/>
              <w:bCs/>
              <w:noProof/>
            </w:rPr>
            <w:fldChar w:fldCharType="begin"/>
          </w:r>
          <w:r>
            <w:rPr>
              <w:b w:val="0"/>
              <w:bCs/>
              <w:noProof/>
            </w:rPr>
            <w:instrText xml:space="preserve"> TOC \o "1-3" \h \z \u </w:instrText>
          </w:r>
          <w:r>
            <w:rPr>
              <w:b w:val="0"/>
              <w:bCs/>
              <w:noProof/>
            </w:rPr>
            <w:fldChar w:fldCharType="separate"/>
          </w:r>
          <w:hyperlink w:anchor="_Toc31878845" w:history="1">
            <w:r w:rsidR="00336C2C" w:rsidRPr="00030297">
              <w:rPr>
                <w:rStyle w:val="Hyperlink"/>
                <w:noProof/>
              </w:rPr>
              <w:t>Contents</w:t>
            </w:r>
            <w:r w:rsidR="00336C2C">
              <w:rPr>
                <w:noProof/>
                <w:webHidden/>
              </w:rPr>
              <w:tab/>
            </w:r>
            <w:r w:rsidR="00336C2C">
              <w:rPr>
                <w:noProof/>
                <w:webHidden/>
              </w:rPr>
              <w:fldChar w:fldCharType="begin"/>
            </w:r>
            <w:r w:rsidR="00336C2C">
              <w:rPr>
                <w:noProof/>
                <w:webHidden/>
              </w:rPr>
              <w:instrText xml:space="preserve"> PAGEREF _Toc31878845 \h </w:instrText>
            </w:r>
            <w:r w:rsidR="00336C2C">
              <w:rPr>
                <w:noProof/>
                <w:webHidden/>
              </w:rPr>
            </w:r>
            <w:r w:rsidR="00336C2C">
              <w:rPr>
                <w:noProof/>
                <w:webHidden/>
              </w:rPr>
              <w:fldChar w:fldCharType="separate"/>
            </w:r>
            <w:r w:rsidR="00433E17">
              <w:rPr>
                <w:noProof/>
                <w:webHidden/>
              </w:rPr>
              <w:t>3</w:t>
            </w:r>
            <w:r w:rsidR="00336C2C">
              <w:rPr>
                <w:noProof/>
                <w:webHidden/>
              </w:rPr>
              <w:fldChar w:fldCharType="end"/>
            </w:r>
          </w:hyperlink>
        </w:p>
        <w:p w14:paraId="2B7EEA3E" w14:textId="77777777" w:rsidR="00336C2C" w:rsidRDefault="006C3BEA">
          <w:pPr>
            <w:pStyle w:val="TOC1"/>
            <w:tabs>
              <w:tab w:val="right" w:leader="dot" w:pos="9628"/>
            </w:tabs>
            <w:rPr>
              <w:rFonts w:eastAsiaTheme="minorEastAsia"/>
              <w:b w:val="0"/>
              <w:noProof/>
              <w:lang w:eastAsia="en-AU"/>
            </w:rPr>
          </w:pPr>
          <w:hyperlink w:anchor="_Toc31878846" w:history="1">
            <w:r w:rsidR="00336C2C" w:rsidRPr="00030297">
              <w:rPr>
                <w:rStyle w:val="Hyperlink"/>
                <w:noProof/>
              </w:rPr>
              <w:t>Executive Summary</w:t>
            </w:r>
            <w:r w:rsidR="00336C2C">
              <w:rPr>
                <w:noProof/>
                <w:webHidden/>
              </w:rPr>
              <w:tab/>
            </w:r>
            <w:r w:rsidR="00336C2C">
              <w:rPr>
                <w:noProof/>
                <w:webHidden/>
              </w:rPr>
              <w:fldChar w:fldCharType="begin"/>
            </w:r>
            <w:r w:rsidR="00336C2C">
              <w:rPr>
                <w:noProof/>
                <w:webHidden/>
              </w:rPr>
              <w:instrText xml:space="preserve"> PAGEREF _Toc31878846 \h </w:instrText>
            </w:r>
            <w:r w:rsidR="00336C2C">
              <w:rPr>
                <w:noProof/>
                <w:webHidden/>
              </w:rPr>
            </w:r>
            <w:r w:rsidR="00336C2C">
              <w:rPr>
                <w:noProof/>
                <w:webHidden/>
              </w:rPr>
              <w:fldChar w:fldCharType="separate"/>
            </w:r>
            <w:r w:rsidR="00433E17">
              <w:rPr>
                <w:noProof/>
                <w:webHidden/>
              </w:rPr>
              <w:t>6</w:t>
            </w:r>
            <w:r w:rsidR="00336C2C">
              <w:rPr>
                <w:noProof/>
                <w:webHidden/>
              </w:rPr>
              <w:fldChar w:fldCharType="end"/>
            </w:r>
          </w:hyperlink>
        </w:p>
        <w:p w14:paraId="3EED1474" w14:textId="77777777" w:rsidR="00336C2C" w:rsidRDefault="006C3BEA">
          <w:pPr>
            <w:pStyle w:val="TOC1"/>
            <w:tabs>
              <w:tab w:val="left" w:pos="440"/>
              <w:tab w:val="right" w:leader="dot" w:pos="9628"/>
            </w:tabs>
            <w:rPr>
              <w:rFonts w:eastAsiaTheme="minorEastAsia"/>
              <w:b w:val="0"/>
              <w:noProof/>
              <w:lang w:eastAsia="en-AU"/>
            </w:rPr>
          </w:pPr>
          <w:hyperlink w:anchor="_Toc31878847" w:history="1">
            <w:r w:rsidR="00336C2C" w:rsidRPr="00030297">
              <w:rPr>
                <w:rStyle w:val="Hyperlink"/>
                <w:noProof/>
              </w:rPr>
              <w:t>1.</w:t>
            </w:r>
            <w:r w:rsidR="00336C2C">
              <w:rPr>
                <w:rFonts w:eastAsiaTheme="minorEastAsia"/>
                <w:b w:val="0"/>
                <w:noProof/>
                <w:lang w:eastAsia="en-AU"/>
              </w:rPr>
              <w:tab/>
            </w:r>
            <w:r w:rsidR="00336C2C" w:rsidRPr="00030297">
              <w:rPr>
                <w:rStyle w:val="Hyperlink"/>
                <w:noProof/>
              </w:rPr>
              <w:t>Introduction</w:t>
            </w:r>
            <w:r w:rsidR="00336C2C">
              <w:rPr>
                <w:noProof/>
                <w:webHidden/>
              </w:rPr>
              <w:tab/>
            </w:r>
            <w:r w:rsidR="00336C2C">
              <w:rPr>
                <w:noProof/>
                <w:webHidden/>
              </w:rPr>
              <w:fldChar w:fldCharType="begin"/>
            </w:r>
            <w:r w:rsidR="00336C2C">
              <w:rPr>
                <w:noProof/>
                <w:webHidden/>
              </w:rPr>
              <w:instrText xml:space="preserve"> PAGEREF _Toc31878847 \h </w:instrText>
            </w:r>
            <w:r w:rsidR="00336C2C">
              <w:rPr>
                <w:noProof/>
                <w:webHidden/>
              </w:rPr>
            </w:r>
            <w:r w:rsidR="00336C2C">
              <w:rPr>
                <w:noProof/>
                <w:webHidden/>
              </w:rPr>
              <w:fldChar w:fldCharType="separate"/>
            </w:r>
            <w:r w:rsidR="00433E17">
              <w:rPr>
                <w:noProof/>
                <w:webHidden/>
              </w:rPr>
              <w:t>7</w:t>
            </w:r>
            <w:r w:rsidR="00336C2C">
              <w:rPr>
                <w:noProof/>
                <w:webHidden/>
              </w:rPr>
              <w:fldChar w:fldCharType="end"/>
            </w:r>
          </w:hyperlink>
        </w:p>
        <w:p w14:paraId="28368E5E" w14:textId="77777777" w:rsidR="00336C2C" w:rsidRDefault="006C3BEA">
          <w:pPr>
            <w:pStyle w:val="TOC2"/>
            <w:tabs>
              <w:tab w:val="left" w:pos="880"/>
              <w:tab w:val="right" w:leader="dot" w:pos="9628"/>
            </w:tabs>
            <w:rPr>
              <w:rFonts w:eastAsiaTheme="minorEastAsia"/>
              <w:noProof/>
              <w:lang w:eastAsia="en-AU"/>
            </w:rPr>
          </w:pPr>
          <w:hyperlink w:anchor="_Toc31878848" w:history="1">
            <w:r w:rsidR="00336C2C" w:rsidRPr="00030297">
              <w:rPr>
                <w:rStyle w:val="Hyperlink"/>
                <w:noProof/>
              </w:rPr>
              <w:t>1.1</w:t>
            </w:r>
            <w:r w:rsidR="00336C2C">
              <w:rPr>
                <w:rFonts w:eastAsiaTheme="minorEastAsia"/>
                <w:noProof/>
                <w:lang w:eastAsia="en-AU"/>
              </w:rPr>
              <w:tab/>
            </w:r>
            <w:r w:rsidR="00336C2C" w:rsidRPr="00030297">
              <w:rPr>
                <w:rStyle w:val="Hyperlink"/>
                <w:noProof/>
              </w:rPr>
              <w:t>What is LSAY?</w:t>
            </w:r>
            <w:r w:rsidR="00336C2C">
              <w:rPr>
                <w:noProof/>
                <w:webHidden/>
              </w:rPr>
              <w:tab/>
            </w:r>
            <w:r w:rsidR="00336C2C">
              <w:rPr>
                <w:noProof/>
                <w:webHidden/>
              </w:rPr>
              <w:fldChar w:fldCharType="begin"/>
            </w:r>
            <w:r w:rsidR="00336C2C">
              <w:rPr>
                <w:noProof/>
                <w:webHidden/>
              </w:rPr>
              <w:instrText xml:space="preserve"> PAGEREF _Toc31878848 \h </w:instrText>
            </w:r>
            <w:r w:rsidR="00336C2C">
              <w:rPr>
                <w:noProof/>
                <w:webHidden/>
              </w:rPr>
            </w:r>
            <w:r w:rsidR="00336C2C">
              <w:rPr>
                <w:noProof/>
                <w:webHidden/>
              </w:rPr>
              <w:fldChar w:fldCharType="separate"/>
            </w:r>
            <w:r w:rsidR="00433E17">
              <w:rPr>
                <w:noProof/>
                <w:webHidden/>
              </w:rPr>
              <w:t>7</w:t>
            </w:r>
            <w:r w:rsidR="00336C2C">
              <w:rPr>
                <w:noProof/>
                <w:webHidden/>
              </w:rPr>
              <w:fldChar w:fldCharType="end"/>
            </w:r>
          </w:hyperlink>
        </w:p>
        <w:p w14:paraId="50007906" w14:textId="77777777" w:rsidR="00336C2C" w:rsidRDefault="006C3BEA">
          <w:pPr>
            <w:pStyle w:val="TOC2"/>
            <w:tabs>
              <w:tab w:val="left" w:pos="880"/>
              <w:tab w:val="right" w:leader="dot" w:pos="9628"/>
            </w:tabs>
            <w:rPr>
              <w:rFonts w:eastAsiaTheme="minorEastAsia"/>
              <w:noProof/>
              <w:lang w:eastAsia="en-AU"/>
            </w:rPr>
          </w:pPr>
          <w:hyperlink w:anchor="_Toc31878849" w:history="1">
            <w:r w:rsidR="00336C2C" w:rsidRPr="00030297">
              <w:rPr>
                <w:rStyle w:val="Hyperlink"/>
                <w:noProof/>
              </w:rPr>
              <w:t>1.2</w:t>
            </w:r>
            <w:r w:rsidR="00336C2C">
              <w:rPr>
                <w:rFonts w:eastAsiaTheme="minorEastAsia"/>
                <w:noProof/>
                <w:lang w:eastAsia="en-AU"/>
              </w:rPr>
              <w:tab/>
            </w:r>
            <w:r w:rsidR="00336C2C" w:rsidRPr="00030297">
              <w:rPr>
                <w:rStyle w:val="Hyperlink"/>
                <w:noProof/>
              </w:rPr>
              <w:t>Context for Australian Education Policy</w:t>
            </w:r>
            <w:r w:rsidR="00336C2C">
              <w:rPr>
                <w:noProof/>
                <w:webHidden/>
              </w:rPr>
              <w:tab/>
            </w:r>
            <w:r w:rsidR="00336C2C">
              <w:rPr>
                <w:noProof/>
                <w:webHidden/>
              </w:rPr>
              <w:fldChar w:fldCharType="begin"/>
            </w:r>
            <w:r w:rsidR="00336C2C">
              <w:rPr>
                <w:noProof/>
                <w:webHidden/>
              </w:rPr>
              <w:instrText xml:space="preserve"> PAGEREF _Toc31878849 \h </w:instrText>
            </w:r>
            <w:r w:rsidR="00336C2C">
              <w:rPr>
                <w:noProof/>
                <w:webHidden/>
              </w:rPr>
            </w:r>
            <w:r w:rsidR="00336C2C">
              <w:rPr>
                <w:noProof/>
                <w:webHidden/>
              </w:rPr>
              <w:fldChar w:fldCharType="separate"/>
            </w:r>
            <w:r w:rsidR="00433E17">
              <w:rPr>
                <w:noProof/>
                <w:webHidden/>
              </w:rPr>
              <w:t>9</w:t>
            </w:r>
            <w:r w:rsidR="00336C2C">
              <w:rPr>
                <w:noProof/>
                <w:webHidden/>
              </w:rPr>
              <w:fldChar w:fldCharType="end"/>
            </w:r>
          </w:hyperlink>
        </w:p>
        <w:p w14:paraId="3D2FC2F5" w14:textId="77777777" w:rsidR="00336C2C" w:rsidRDefault="006C3BEA">
          <w:pPr>
            <w:pStyle w:val="TOC1"/>
            <w:tabs>
              <w:tab w:val="left" w:pos="440"/>
              <w:tab w:val="right" w:leader="dot" w:pos="9628"/>
            </w:tabs>
            <w:rPr>
              <w:rFonts w:eastAsiaTheme="minorEastAsia"/>
              <w:b w:val="0"/>
              <w:noProof/>
              <w:lang w:eastAsia="en-AU"/>
            </w:rPr>
          </w:pPr>
          <w:hyperlink w:anchor="_Toc31878850" w:history="1">
            <w:r w:rsidR="00336C2C" w:rsidRPr="00030297">
              <w:rPr>
                <w:rStyle w:val="Hyperlink"/>
                <w:noProof/>
              </w:rPr>
              <w:t>2.</w:t>
            </w:r>
            <w:r w:rsidR="00336C2C">
              <w:rPr>
                <w:rFonts w:eastAsiaTheme="minorEastAsia"/>
                <w:b w:val="0"/>
                <w:noProof/>
                <w:lang w:eastAsia="en-AU"/>
              </w:rPr>
              <w:tab/>
            </w:r>
            <w:r w:rsidR="00336C2C" w:rsidRPr="00030297">
              <w:rPr>
                <w:rStyle w:val="Hyperlink"/>
                <w:noProof/>
              </w:rPr>
              <w:t>The School Years</w:t>
            </w:r>
            <w:r w:rsidR="00336C2C">
              <w:rPr>
                <w:noProof/>
                <w:webHidden/>
              </w:rPr>
              <w:tab/>
            </w:r>
            <w:r w:rsidR="00336C2C">
              <w:rPr>
                <w:noProof/>
                <w:webHidden/>
              </w:rPr>
              <w:fldChar w:fldCharType="begin"/>
            </w:r>
            <w:r w:rsidR="00336C2C">
              <w:rPr>
                <w:noProof/>
                <w:webHidden/>
              </w:rPr>
              <w:instrText xml:space="preserve"> PAGEREF _Toc31878850 \h </w:instrText>
            </w:r>
            <w:r w:rsidR="00336C2C">
              <w:rPr>
                <w:noProof/>
                <w:webHidden/>
              </w:rPr>
            </w:r>
            <w:r w:rsidR="00336C2C">
              <w:rPr>
                <w:noProof/>
                <w:webHidden/>
              </w:rPr>
              <w:fldChar w:fldCharType="separate"/>
            </w:r>
            <w:r w:rsidR="00433E17">
              <w:rPr>
                <w:noProof/>
                <w:webHidden/>
              </w:rPr>
              <w:t>11</w:t>
            </w:r>
            <w:r w:rsidR="00336C2C">
              <w:rPr>
                <w:noProof/>
                <w:webHidden/>
              </w:rPr>
              <w:fldChar w:fldCharType="end"/>
            </w:r>
          </w:hyperlink>
        </w:p>
        <w:p w14:paraId="6C56FA6E" w14:textId="77777777" w:rsidR="00336C2C" w:rsidRDefault="006C3BEA">
          <w:pPr>
            <w:pStyle w:val="TOC2"/>
            <w:tabs>
              <w:tab w:val="left" w:pos="880"/>
              <w:tab w:val="right" w:leader="dot" w:pos="9628"/>
            </w:tabs>
            <w:rPr>
              <w:rFonts w:eastAsiaTheme="minorEastAsia"/>
              <w:noProof/>
              <w:lang w:eastAsia="en-AU"/>
            </w:rPr>
          </w:pPr>
          <w:hyperlink w:anchor="_Toc31878852" w:history="1">
            <w:r w:rsidR="00336C2C" w:rsidRPr="00030297">
              <w:rPr>
                <w:rStyle w:val="Hyperlink"/>
                <w:noProof/>
              </w:rPr>
              <w:t>2.1</w:t>
            </w:r>
            <w:r w:rsidR="00336C2C">
              <w:rPr>
                <w:rFonts w:eastAsiaTheme="minorEastAsia"/>
                <w:noProof/>
                <w:lang w:eastAsia="en-AU"/>
              </w:rPr>
              <w:tab/>
            </w:r>
            <w:r w:rsidR="00336C2C" w:rsidRPr="00030297">
              <w:rPr>
                <w:rStyle w:val="Hyperlink"/>
                <w:noProof/>
              </w:rPr>
              <w:t>Plans and Aspirations</w:t>
            </w:r>
            <w:r w:rsidR="00336C2C">
              <w:rPr>
                <w:noProof/>
                <w:webHidden/>
              </w:rPr>
              <w:tab/>
            </w:r>
            <w:r w:rsidR="00336C2C">
              <w:rPr>
                <w:noProof/>
                <w:webHidden/>
              </w:rPr>
              <w:fldChar w:fldCharType="begin"/>
            </w:r>
            <w:r w:rsidR="00336C2C">
              <w:rPr>
                <w:noProof/>
                <w:webHidden/>
              </w:rPr>
              <w:instrText xml:space="preserve"> PAGEREF _Toc31878852 \h </w:instrText>
            </w:r>
            <w:r w:rsidR="00336C2C">
              <w:rPr>
                <w:noProof/>
                <w:webHidden/>
              </w:rPr>
            </w:r>
            <w:r w:rsidR="00336C2C">
              <w:rPr>
                <w:noProof/>
                <w:webHidden/>
              </w:rPr>
              <w:fldChar w:fldCharType="separate"/>
            </w:r>
            <w:r w:rsidR="00433E17">
              <w:rPr>
                <w:noProof/>
                <w:webHidden/>
              </w:rPr>
              <w:t>11</w:t>
            </w:r>
            <w:r w:rsidR="00336C2C">
              <w:rPr>
                <w:noProof/>
                <w:webHidden/>
              </w:rPr>
              <w:fldChar w:fldCharType="end"/>
            </w:r>
          </w:hyperlink>
        </w:p>
        <w:p w14:paraId="5FD24E76" w14:textId="77777777" w:rsidR="00336C2C" w:rsidRDefault="006C3BEA">
          <w:pPr>
            <w:pStyle w:val="TOC2"/>
            <w:tabs>
              <w:tab w:val="left" w:pos="1100"/>
              <w:tab w:val="right" w:leader="dot" w:pos="9628"/>
            </w:tabs>
            <w:rPr>
              <w:rFonts w:eastAsiaTheme="minorEastAsia"/>
              <w:noProof/>
              <w:lang w:eastAsia="en-AU"/>
            </w:rPr>
          </w:pPr>
          <w:hyperlink w:anchor="_Toc31878853" w:history="1">
            <w:r w:rsidR="00336C2C" w:rsidRPr="00030297">
              <w:rPr>
                <w:rStyle w:val="Hyperlink"/>
                <w:noProof/>
              </w:rPr>
              <w:t>2.1.1</w:t>
            </w:r>
            <w:r w:rsidR="00336C2C">
              <w:rPr>
                <w:rFonts w:eastAsiaTheme="minorEastAsia"/>
                <w:noProof/>
                <w:lang w:eastAsia="en-AU"/>
              </w:rPr>
              <w:tab/>
            </w:r>
            <w:r w:rsidR="00336C2C" w:rsidRPr="00030297">
              <w:rPr>
                <w:rStyle w:val="Hyperlink"/>
                <w:noProof/>
              </w:rPr>
              <w:t>Year 12 Completion Plans</w:t>
            </w:r>
            <w:r w:rsidR="00336C2C">
              <w:rPr>
                <w:noProof/>
                <w:webHidden/>
              </w:rPr>
              <w:tab/>
            </w:r>
            <w:r w:rsidR="00336C2C">
              <w:rPr>
                <w:noProof/>
                <w:webHidden/>
              </w:rPr>
              <w:fldChar w:fldCharType="begin"/>
            </w:r>
            <w:r w:rsidR="00336C2C">
              <w:rPr>
                <w:noProof/>
                <w:webHidden/>
              </w:rPr>
              <w:instrText xml:space="preserve"> PAGEREF _Toc31878853 \h </w:instrText>
            </w:r>
            <w:r w:rsidR="00336C2C">
              <w:rPr>
                <w:noProof/>
                <w:webHidden/>
              </w:rPr>
            </w:r>
            <w:r w:rsidR="00336C2C">
              <w:rPr>
                <w:noProof/>
                <w:webHidden/>
              </w:rPr>
              <w:fldChar w:fldCharType="separate"/>
            </w:r>
            <w:r w:rsidR="00433E17">
              <w:rPr>
                <w:noProof/>
                <w:webHidden/>
              </w:rPr>
              <w:t>11</w:t>
            </w:r>
            <w:r w:rsidR="00336C2C">
              <w:rPr>
                <w:noProof/>
                <w:webHidden/>
              </w:rPr>
              <w:fldChar w:fldCharType="end"/>
            </w:r>
          </w:hyperlink>
        </w:p>
        <w:p w14:paraId="2218F27D" w14:textId="77777777" w:rsidR="00336C2C" w:rsidRDefault="006C3BEA">
          <w:pPr>
            <w:pStyle w:val="TOC2"/>
            <w:tabs>
              <w:tab w:val="left" w:pos="1100"/>
              <w:tab w:val="right" w:leader="dot" w:pos="9628"/>
            </w:tabs>
            <w:rPr>
              <w:rFonts w:eastAsiaTheme="minorEastAsia"/>
              <w:noProof/>
              <w:lang w:eastAsia="en-AU"/>
            </w:rPr>
          </w:pPr>
          <w:hyperlink w:anchor="_Toc31878854" w:history="1">
            <w:r w:rsidR="00336C2C" w:rsidRPr="00030297">
              <w:rPr>
                <w:rStyle w:val="Hyperlink"/>
                <w:noProof/>
              </w:rPr>
              <w:t>2.1.2</w:t>
            </w:r>
            <w:r w:rsidR="00336C2C">
              <w:rPr>
                <w:rFonts w:eastAsiaTheme="minorEastAsia"/>
                <w:noProof/>
                <w:lang w:eastAsia="en-AU"/>
              </w:rPr>
              <w:tab/>
            </w:r>
            <w:r w:rsidR="00336C2C" w:rsidRPr="00030297">
              <w:rPr>
                <w:rStyle w:val="Hyperlink"/>
                <w:noProof/>
              </w:rPr>
              <w:t>Post-school plans</w:t>
            </w:r>
            <w:r w:rsidR="00336C2C">
              <w:rPr>
                <w:noProof/>
                <w:webHidden/>
              </w:rPr>
              <w:tab/>
            </w:r>
            <w:r w:rsidR="00336C2C">
              <w:rPr>
                <w:noProof/>
                <w:webHidden/>
              </w:rPr>
              <w:fldChar w:fldCharType="begin"/>
            </w:r>
            <w:r w:rsidR="00336C2C">
              <w:rPr>
                <w:noProof/>
                <w:webHidden/>
              </w:rPr>
              <w:instrText xml:space="preserve"> PAGEREF _Toc31878854 \h </w:instrText>
            </w:r>
            <w:r w:rsidR="00336C2C">
              <w:rPr>
                <w:noProof/>
                <w:webHidden/>
              </w:rPr>
            </w:r>
            <w:r w:rsidR="00336C2C">
              <w:rPr>
                <w:noProof/>
                <w:webHidden/>
              </w:rPr>
              <w:fldChar w:fldCharType="separate"/>
            </w:r>
            <w:r w:rsidR="00433E17">
              <w:rPr>
                <w:noProof/>
                <w:webHidden/>
              </w:rPr>
              <w:t>12</w:t>
            </w:r>
            <w:r w:rsidR="00336C2C">
              <w:rPr>
                <w:noProof/>
                <w:webHidden/>
              </w:rPr>
              <w:fldChar w:fldCharType="end"/>
            </w:r>
          </w:hyperlink>
        </w:p>
        <w:p w14:paraId="321B7549" w14:textId="77777777" w:rsidR="00336C2C" w:rsidRDefault="006C3BEA">
          <w:pPr>
            <w:pStyle w:val="TOC2"/>
            <w:tabs>
              <w:tab w:val="left" w:pos="1100"/>
              <w:tab w:val="right" w:leader="dot" w:pos="9628"/>
            </w:tabs>
            <w:rPr>
              <w:rFonts w:eastAsiaTheme="minorEastAsia"/>
              <w:noProof/>
              <w:lang w:eastAsia="en-AU"/>
            </w:rPr>
          </w:pPr>
          <w:hyperlink w:anchor="_Toc31878855" w:history="1">
            <w:r w:rsidR="00336C2C" w:rsidRPr="00030297">
              <w:rPr>
                <w:rStyle w:val="Hyperlink"/>
                <w:noProof/>
              </w:rPr>
              <w:t>2.1.3</w:t>
            </w:r>
            <w:r w:rsidR="00336C2C">
              <w:rPr>
                <w:rFonts w:eastAsiaTheme="minorEastAsia"/>
                <w:noProof/>
                <w:lang w:eastAsia="en-AU"/>
              </w:rPr>
              <w:tab/>
            </w:r>
            <w:r w:rsidR="00336C2C" w:rsidRPr="00030297">
              <w:rPr>
                <w:rStyle w:val="Hyperlink"/>
                <w:noProof/>
              </w:rPr>
              <w:t>Parental and Peer Expectations</w:t>
            </w:r>
            <w:r w:rsidR="00336C2C">
              <w:rPr>
                <w:noProof/>
                <w:webHidden/>
              </w:rPr>
              <w:tab/>
            </w:r>
            <w:r w:rsidR="00336C2C">
              <w:rPr>
                <w:noProof/>
                <w:webHidden/>
              </w:rPr>
              <w:fldChar w:fldCharType="begin"/>
            </w:r>
            <w:r w:rsidR="00336C2C">
              <w:rPr>
                <w:noProof/>
                <w:webHidden/>
              </w:rPr>
              <w:instrText xml:space="preserve"> PAGEREF _Toc31878855 \h </w:instrText>
            </w:r>
            <w:r w:rsidR="00336C2C">
              <w:rPr>
                <w:noProof/>
                <w:webHidden/>
              </w:rPr>
            </w:r>
            <w:r w:rsidR="00336C2C">
              <w:rPr>
                <w:noProof/>
                <w:webHidden/>
              </w:rPr>
              <w:fldChar w:fldCharType="separate"/>
            </w:r>
            <w:r w:rsidR="00433E17">
              <w:rPr>
                <w:noProof/>
                <w:webHidden/>
              </w:rPr>
              <w:t>14</w:t>
            </w:r>
            <w:r w:rsidR="00336C2C">
              <w:rPr>
                <w:noProof/>
                <w:webHidden/>
              </w:rPr>
              <w:fldChar w:fldCharType="end"/>
            </w:r>
          </w:hyperlink>
        </w:p>
        <w:p w14:paraId="626F3D1F" w14:textId="77777777" w:rsidR="00336C2C" w:rsidRDefault="006C3BEA">
          <w:pPr>
            <w:pStyle w:val="TOC2"/>
            <w:tabs>
              <w:tab w:val="left" w:pos="880"/>
              <w:tab w:val="right" w:leader="dot" w:pos="9628"/>
            </w:tabs>
            <w:rPr>
              <w:rFonts w:eastAsiaTheme="minorEastAsia"/>
              <w:noProof/>
              <w:lang w:eastAsia="en-AU"/>
            </w:rPr>
          </w:pPr>
          <w:hyperlink w:anchor="_Toc31878856" w:history="1">
            <w:r w:rsidR="00336C2C" w:rsidRPr="00030297">
              <w:rPr>
                <w:rStyle w:val="Hyperlink"/>
                <w:noProof/>
              </w:rPr>
              <w:t>2.2</w:t>
            </w:r>
            <w:r w:rsidR="00336C2C">
              <w:rPr>
                <w:rFonts w:eastAsiaTheme="minorEastAsia"/>
                <w:noProof/>
                <w:lang w:eastAsia="en-AU"/>
              </w:rPr>
              <w:tab/>
            </w:r>
            <w:r w:rsidR="00336C2C" w:rsidRPr="00030297">
              <w:rPr>
                <w:rStyle w:val="Hyperlink"/>
                <w:noProof/>
              </w:rPr>
              <w:t>Student engagement and attitudes towards school</w:t>
            </w:r>
            <w:r w:rsidR="00336C2C">
              <w:rPr>
                <w:noProof/>
                <w:webHidden/>
              </w:rPr>
              <w:tab/>
            </w:r>
            <w:r w:rsidR="00336C2C">
              <w:rPr>
                <w:noProof/>
                <w:webHidden/>
              </w:rPr>
              <w:fldChar w:fldCharType="begin"/>
            </w:r>
            <w:r w:rsidR="00336C2C">
              <w:rPr>
                <w:noProof/>
                <w:webHidden/>
              </w:rPr>
              <w:instrText xml:space="preserve"> PAGEREF _Toc31878856 \h </w:instrText>
            </w:r>
            <w:r w:rsidR="00336C2C">
              <w:rPr>
                <w:noProof/>
                <w:webHidden/>
              </w:rPr>
            </w:r>
            <w:r w:rsidR="00336C2C">
              <w:rPr>
                <w:noProof/>
                <w:webHidden/>
              </w:rPr>
              <w:fldChar w:fldCharType="separate"/>
            </w:r>
            <w:r w:rsidR="00433E17">
              <w:rPr>
                <w:noProof/>
                <w:webHidden/>
              </w:rPr>
              <w:t>15</w:t>
            </w:r>
            <w:r w:rsidR="00336C2C">
              <w:rPr>
                <w:noProof/>
                <w:webHidden/>
              </w:rPr>
              <w:fldChar w:fldCharType="end"/>
            </w:r>
          </w:hyperlink>
        </w:p>
        <w:p w14:paraId="6088B2AA" w14:textId="77777777" w:rsidR="00336C2C" w:rsidRDefault="006C3BEA">
          <w:pPr>
            <w:pStyle w:val="TOC2"/>
            <w:tabs>
              <w:tab w:val="left" w:pos="880"/>
              <w:tab w:val="right" w:leader="dot" w:pos="9628"/>
            </w:tabs>
            <w:rPr>
              <w:rFonts w:eastAsiaTheme="minorEastAsia"/>
              <w:noProof/>
              <w:lang w:eastAsia="en-AU"/>
            </w:rPr>
          </w:pPr>
          <w:hyperlink w:anchor="_Toc31878857" w:history="1">
            <w:r w:rsidR="00336C2C" w:rsidRPr="00030297">
              <w:rPr>
                <w:rStyle w:val="Hyperlink"/>
                <w:noProof/>
              </w:rPr>
              <w:t>2.3</w:t>
            </w:r>
            <w:r w:rsidR="00336C2C">
              <w:rPr>
                <w:rFonts w:eastAsiaTheme="minorEastAsia"/>
                <w:noProof/>
                <w:lang w:eastAsia="en-AU"/>
              </w:rPr>
              <w:tab/>
            </w:r>
            <w:r w:rsidR="00336C2C" w:rsidRPr="00030297">
              <w:rPr>
                <w:rStyle w:val="Hyperlink"/>
                <w:noProof/>
              </w:rPr>
              <w:t>School Retention and Year 12 Completion</w:t>
            </w:r>
            <w:r w:rsidR="00336C2C">
              <w:rPr>
                <w:noProof/>
                <w:webHidden/>
              </w:rPr>
              <w:tab/>
            </w:r>
            <w:r w:rsidR="00336C2C">
              <w:rPr>
                <w:noProof/>
                <w:webHidden/>
              </w:rPr>
              <w:fldChar w:fldCharType="begin"/>
            </w:r>
            <w:r w:rsidR="00336C2C">
              <w:rPr>
                <w:noProof/>
                <w:webHidden/>
              </w:rPr>
              <w:instrText xml:space="preserve"> PAGEREF _Toc31878857 \h </w:instrText>
            </w:r>
            <w:r w:rsidR="00336C2C">
              <w:rPr>
                <w:noProof/>
                <w:webHidden/>
              </w:rPr>
            </w:r>
            <w:r w:rsidR="00336C2C">
              <w:rPr>
                <w:noProof/>
                <w:webHidden/>
              </w:rPr>
              <w:fldChar w:fldCharType="separate"/>
            </w:r>
            <w:r w:rsidR="00433E17">
              <w:rPr>
                <w:noProof/>
                <w:webHidden/>
              </w:rPr>
              <w:t>17</w:t>
            </w:r>
            <w:r w:rsidR="00336C2C">
              <w:rPr>
                <w:noProof/>
                <w:webHidden/>
              </w:rPr>
              <w:fldChar w:fldCharType="end"/>
            </w:r>
          </w:hyperlink>
        </w:p>
        <w:p w14:paraId="773B0CE1" w14:textId="77777777" w:rsidR="00336C2C" w:rsidRDefault="006C3BEA">
          <w:pPr>
            <w:pStyle w:val="TOC2"/>
            <w:tabs>
              <w:tab w:val="left" w:pos="880"/>
              <w:tab w:val="right" w:leader="dot" w:pos="9628"/>
            </w:tabs>
            <w:rPr>
              <w:rFonts w:eastAsiaTheme="minorEastAsia"/>
              <w:noProof/>
              <w:lang w:eastAsia="en-AU"/>
            </w:rPr>
          </w:pPr>
          <w:hyperlink w:anchor="_Toc31878858" w:history="1">
            <w:r w:rsidR="00336C2C" w:rsidRPr="00030297">
              <w:rPr>
                <w:rStyle w:val="Hyperlink"/>
                <w:noProof/>
              </w:rPr>
              <w:t>2.4</w:t>
            </w:r>
            <w:r w:rsidR="00336C2C">
              <w:rPr>
                <w:rFonts w:eastAsiaTheme="minorEastAsia"/>
                <w:noProof/>
                <w:lang w:eastAsia="en-AU"/>
              </w:rPr>
              <w:tab/>
            </w:r>
            <w:r w:rsidR="00336C2C" w:rsidRPr="00030297">
              <w:rPr>
                <w:rStyle w:val="Hyperlink"/>
                <w:noProof/>
              </w:rPr>
              <w:t>Subject Selection</w:t>
            </w:r>
            <w:r w:rsidR="00336C2C">
              <w:rPr>
                <w:noProof/>
                <w:webHidden/>
              </w:rPr>
              <w:tab/>
            </w:r>
            <w:r w:rsidR="00336C2C">
              <w:rPr>
                <w:noProof/>
                <w:webHidden/>
              </w:rPr>
              <w:fldChar w:fldCharType="begin"/>
            </w:r>
            <w:r w:rsidR="00336C2C">
              <w:rPr>
                <w:noProof/>
                <w:webHidden/>
              </w:rPr>
              <w:instrText xml:space="preserve"> PAGEREF _Toc31878858 \h </w:instrText>
            </w:r>
            <w:r w:rsidR="00336C2C">
              <w:rPr>
                <w:noProof/>
                <w:webHidden/>
              </w:rPr>
            </w:r>
            <w:r w:rsidR="00336C2C">
              <w:rPr>
                <w:noProof/>
                <w:webHidden/>
              </w:rPr>
              <w:fldChar w:fldCharType="separate"/>
            </w:r>
            <w:r w:rsidR="00433E17">
              <w:rPr>
                <w:noProof/>
                <w:webHidden/>
              </w:rPr>
              <w:t>19</w:t>
            </w:r>
            <w:r w:rsidR="00336C2C">
              <w:rPr>
                <w:noProof/>
                <w:webHidden/>
              </w:rPr>
              <w:fldChar w:fldCharType="end"/>
            </w:r>
          </w:hyperlink>
        </w:p>
        <w:p w14:paraId="2F6A0DDF" w14:textId="77777777" w:rsidR="00336C2C" w:rsidRDefault="006C3BEA">
          <w:pPr>
            <w:pStyle w:val="TOC2"/>
            <w:tabs>
              <w:tab w:val="left" w:pos="880"/>
              <w:tab w:val="right" w:leader="dot" w:pos="9628"/>
            </w:tabs>
            <w:rPr>
              <w:rFonts w:eastAsiaTheme="minorEastAsia"/>
              <w:noProof/>
              <w:lang w:eastAsia="en-AU"/>
            </w:rPr>
          </w:pPr>
          <w:hyperlink w:anchor="_Toc31878859" w:history="1">
            <w:r w:rsidR="00336C2C" w:rsidRPr="00030297">
              <w:rPr>
                <w:rStyle w:val="Hyperlink"/>
                <w:noProof/>
              </w:rPr>
              <w:t>2.5</w:t>
            </w:r>
            <w:r w:rsidR="00336C2C">
              <w:rPr>
                <w:rFonts w:eastAsiaTheme="minorEastAsia"/>
                <w:noProof/>
                <w:lang w:eastAsia="en-AU"/>
              </w:rPr>
              <w:tab/>
            </w:r>
            <w:r w:rsidR="00336C2C" w:rsidRPr="00030297">
              <w:rPr>
                <w:rStyle w:val="Hyperlink"/>
                <w:noProof/>
              </w:rPr>
              <w:t>VET participation</w:t>
            </w:r>
            <w:r w:rsidR="00336C2C">
              <w:rPr>
                <w:noProof/>
                <w:webHidden/>
              </w:rPr>
              <w:tab/>
            </w:r>
            <w:r w:rsidR="00336C2C">
              <w:rPr>
                <w:noProof/>
                <w:webHidden/>
              </w:rPr>
              <w:fldChar w:fldCharType="begin"/>
            </w:r>
            <w:r w:rsidR="00336C2C">
              <w:rPr>
                <w:noProof/>
                <w:webHidden/>
              </w:rPr>
              <w:instrText xml:space="preserve"> PAGEREF _Toc31878859 \h </w:instrText>
            </w:r>
            <w:r w:rsidR="00336C2C">
              <w:rPr>
                <w:noProof/>
                <w:webHidden/>
              </w:rPr>
            </w:r>
            <w:r w:rsidR="00336C2C">
              <w:rPr>
                <w:noProof/>
                <w:webHidden/>
              </w:rPr>
              <w:fldChar w:fldCharType="separate"/>
            </w:r>
            <w:r w:rsidR="00433E17">
              <w:rPr>
                <w:noProof/>
                <w:webHidden/>
              </w:rPr>
              <w:t>21</w:t>
            </w:r>
            <w:r w:rsidR="00336C2C">
              <w:rPr>
                <w:noProof/>
                <w:webHidden/>
              </w:rPr>
              <w:fldChar w:fldCharType="end"/>
            </w:r>
          </w:hyperlink>
        </w:p>
        <w:p w14:paraId="12A300DA" w14:textId="77777777" w:rsidR="00336C2C" w:rsidRDefault="006C3BEA">
          <w:pPr>
            <w:pStyle w:val="TOC1"/>
            <w:tabs>
              <w:tab w:val="left" w:pos="440"/>
              <w:tab w:val="right" w:leader="dot" w:pos="9628"/>
            </w:tabs>
            <w:rPr>
              <w:rFonts w:eastAsiaTheme="minorEastAsia"/>
              <w:b w:val="0"/>
              <w:noProof/>
              <w:lang w:eastAsia="en-AU"/>
            </w:rPr>
          </w:pPr>
          <w:hyperlink w:anchor="_Toc31878860" w:history="1">
            <w:r w:rsidR="00336C2C" w:rsidRPr="00030297">
              <w:rPr>
                <w:rStyle w:val="Hyperlink"/>
                <w:noProof/>
              </w:rPr>
              <w:t>3.</w:t>
            </w:r>
            <w:r w:rsidR="00336C2C">
              <w:rPr>
                <w:rFonts w:eastAsiaTheme="minorEastAsia"/>
                <w:b w:val="0"/>
                <w:noProof/>
                <w:lang w:eastAsia="en-AU"/>
              </w:rPr>
              <w:tab/>
            </w:r>
            <w:r w:rsidR="00336C2C" w:rsidRPr="00030297">
              <w:rPr>
                <w:rStyle w:val="Hyperlink"/>
                <w:noProof/>
              </w:rPr>
              <w:t>Post-school Study</w:t>
            </w:r>
            <w:r w:rsidR="00336C2C">
              <w:rPr>
                <w:noProof/>
                <w:webHidden/>
              </w:rPr>
              <w:tab/>
            </w:r>
            <w:r w:rsidR="00336C2C">
              <w:rPr>
                <w:noProof/>
                <w:webHidden/>
              </w:rPr>
              <w:fldChar w:fldCharType="begin"/>
            </w:r>
            <w:r w:rsidR="00336C2C">
              <w:rPr>
                <w:noProof/>
                <w:webHidden/>
              </w:rPr>
              <w:instrText xml:space="preserve"> PAGEREF _Toc31878860 \h </w:instrText>
            </w:r>
            <w:r w:rsidR="00336C2C">
              <w:rPr>
                <w:noProof/>
                <w:webHidden/>
              </w:rPr>
            </w:r>
            <w:r w:rsidR="00336C2C">
              <w:rPr>
                <w:noProof/>
                <w:webHidden/>
              </w:rPr>
              <w:fldChar w:fldCharType="separate"/>
            </w:r>
            <w:r w:rsidR="00433E17">
              <w:rPr>
                <w:noProof/>
                <w:webHidden/>
              </w:rPr>
              <w:t>23</w:t>
            </w:r>
            <w:r w:rsidR="00336C2C">
              <w:rPr>
                <w:noProof/>
                <w:webHidden/>
              </w:rPr>
              <w:fldChar w:fldCharType="end"/>
            </w:r>
          </w:hyperlink>
        </w:p>
        <w:p w14:paraId="126460B2" w14:textId="77777777" w:rsidR="00336C2C" w:rsidRDefault="006C3BEA">
          <w:pPr>
            <w:pStyle w:val="TOC2"/>
            <w:tabs>
              <w:tab w:val="left" w:pos="880"/>
              <w:tab w:val="right" w:leader="dot" w:pos="9628"/>
            </w:tabs>
            <w:rPr>
              <w:rFonts w:eastAsiaTheme="minorEastAsia"/>
              <w:noProof/>
              <w:lang w:eastAsia="en-AU"/>
            </w:rPr>
          </w:pPr>
          <w:hyperlink w:anchor="_Toc31878862" w:history="1">
            <w:r w:rsidR="00336C2C" w:rsidRPr="00030297">
              <w:rPr>
                <w:rStyle w:val="Hyperlink"/>
                <w:noProof/>
              </w:rPr>
              <w:t>3.1</w:t>
            </w:r>
            <w:r w:rsidR="00336C2C">
              <w:rPr>
                <w:rFonts w:eastAsiaTheme="minorEastAsia"/>
                <w:noProof/>
                <w:lang w:eastAsia="en-AU"/>
              </w:rPr>
              <w:tab/>
            </w:r>
            <w:r w:rsidR="00336C2C" w:rsidRPr="00030297">
              <w:rPr>
                <w:rStyle w:val="Hyperlink"/>
                <w:noProof/>
              </w:rPr>
              <w:t>Participation in post school study</w:t>
            </w:r>
            <w:r w:rsidR="00336C2C">
              <w:rPr>
                <w:noProof/>
                <w:webHidden/>
              </w:rPr>
              <w:tab/>
            </w:r>
            <w:r w:rsidR="00336C2C">
              <w:rPr>
                <w:noProof/>
                <w:webHidden/>
              </w:rPr>
              <w:fldChar w:fldCharType="begin"/>
            </w:r>
            <w:r w:rsidR="00336C2C">
              <w:rPr>
                <w:noProof/>
                <w:webHidden/>
              </w:rPr>
              <w:instrText xml:space="preserve"> PAGEREF _Toc31878862 \h </w:instrText>
            </w:r>
            <w:r w:rsidR="00336C2C">
              <w:rPr>
                <w:noProof/>
                <w:webHidden/>
              </w:rPr>
            </w:r>
            <w:r w:rsidR="00336C2C">
              <w:rPr>
                <w:noProof/>
                <w:webHidden/>
              </w:rPr>
              <w:fldChar w:fldCharType="separate"/>
            </w:r>
            <w:r w:rsidR="00433E17">
              <w:rPr>
                <w:noProof/>
                <w:webHidden/>
              </w:rPr>
              <w:t>23</w:t>
            </w:r>
            <w:r w:rsidR="00336C2C">
              <w:rPr>
                <w:noProof/>
                <w:webHidden/>
              </w:rPr>
              <w:fldChar w:fldCharType="end"/>
            </w:r>
          </w:hyperlink>
        </w:p>
        <w:p w14:paraId="2FDE5AAA" w14:textId="77777777" w:rsidR="00336C2C" w:rsidRDefault="006C3BEA">
          <w:pPr>
            <w:pStyle w:val="TOC2"/>
            <w:tabs>
              <w:tab w:val="left" w:pos="880"/>
              <w:tab w:val="right" w:leader="dot" w:pos="9628"/>
            </w:tabs>
            <w:rPr>
              <w:rFonts w:eastAsiaTheme="minorEastAsia"/>
              <w:noProof/>
              <w:lang w:eastAsia="en-AU"/>
            </w:rPr>
          </w:pPr>
          <w:hyperlink w:anchor="_Toc31878863" w:history="1">
            <w:r w:rsidR="00336C2C" w:rsidRPr="00030297">
              <w:rPr>
                <w:rStyle w:val="Hyperlink"/>
                <w:noProof/>
              </w:rPr>
              <w:t>3.2</w:t>
            </w:r>
            <w:r w:rsidR="00336C2C">
              <w:rPr>
                <w:rFonts w:eastAsiaTheme="minorEastAsia"/>
                <w:noProof/>
                <w:lang w:eastAsia="en-AU"/>
              </w:rPr>
              <w:tab/>
            </w:r>
            <w:r w:rsidR="00336C2C" w:rsidRPr="00030297">
              <w:rPr>
                <w:rStyle w:val="Hyperlink"/>
                <w:noProof/>
              </w:rPr>
              <w:t>Field of Study</w:t>
            </w:r>
            <w:r w:rsidR="00336C2C">
              <w:rPr>
                <w:noProof/>
                <w:webHidden/>
              </w:rPr>
              <w:tab/>
            </w:r>
            <w:r w:rsidR="00336C2C">
              <w:rPr>
                <w:noProof/>
                <w:webHidden/>
              </w:rPr>
              <w:fldChar w:fldCharType="begin"/>
            </w:r>
            <w:r w:rsidR="00336C2C">
              <w:rPr>
                <w:noProof/>
                <w:webHidden/>
              </w:rPr>
              <w:instrText xml:space="preserve"> PAGEREF _Toc31878863 \h </w:instrText>
            </w:r>
            <w:r w:rsidR="00336C2C">
              <w:rPr>
                <w:noProof/>
                <w:webHidden/>
              </w:rPr>
            </w:r>
            <w:r w:rsidR="00336C2C">
              <w:rPr>
                <w:noProof/>
                <w:webHidden/>
              </w:rPr>
              <w:fldChar w:fldCharType="separate"/>
            </w:r>
            <w:r w:rsidR="00433E17">
              <w:rPr>
                <w:noProof/>
                <w:webHidden/>
              </w:rPr>
              <w:t>27</w:t>
            </w:r>
            <w:r w:rsidR="00336C2C">
              <w:rPr>
                <w:noProof/>
                <w:webHidden/>
              </w:rPr>
              <w:fldChar w:fldCharType="end"/>
            </w:r>
          </w:hyperlink>
        </w:p>
        <w:p w14:paraId="004908F9" w14:textId="77777777" w:rsidR="00336C2C" w:rsidRDefault="006C3BEA">
          <w:pPr>
            <w:pStyle w:val="TOC2"/>
            <w:tabs>
              <w:tab w:val="left" w:pos="880"/>
              <w:tab w:val="right" w:leader="dot" w:pos="9628"/>
            </w:tabs>
            <w:rPr>
              <w:rFonts w:eastAsiaTheme="minorEastAsia"/>
              <w:noProof/>
              <w:lang w:eastAsia="en-AU"/>
            </w:rPr>
          </w:pPr>
          <w:hyperlink w:anchor="_Toc31878864" w:history="1">
            <w:r w:rsidR="00336C2C" w:rsidRPr="00030297">
              <w:rPr>
                <w:rStyle w:val="Hyperlink"/>
                <w:noProof/>
              </w:rPr>
              <w:t>3.3</w:t>
            </w:r>
            <w:r w:rsidR="00336C2C">
              <w:rPr>
                <w:rFonts w:eastAsiaTheme="minorEastAsia"/>
                <w:noProof/>
                <w:lang w:eastAsia="en-AU"/>
              </w:rPr>
              <w:tab/>
            </w:r>
            <w:r w:rsidR="00336C2C" w:rsidRPr="00030297">
              <w:rPr>
                <w:rStyle w:val="Hyperlink"/>
                <w:noProof/>
              </w:rPr>
              <w:t>Achievement of aspirations</w:t>
            </w:r>
            <w:r w:rsidR="00336C2C">
              <w:rPr>
                <w:noProof/>
                <w:webHidden/>
              </w:rPr>
              <w:tab/>
            </w:r>
            <w:r w:rsidR="00336C2C">
              <w:rPr>
                <w:noProof/>
                <w:webHidden/>
              </w:rPr>
              <w:fldChar w:fldCharType="begin"/>
            </w:r>
            <w:r w:rsidR="00336C2C">
              <w:rPr>
                <w:noProof/>
                <w:webHidden/>
              </w:rPr>
              <w:instrText xml:space="preserve"> PAGEREF _Toc31878864 \h </w:instrText>
            </w:r>
            <w:r w:rsidR="00336C2C">
              <w:rPr>
                <w:noProof/>
                <w:webHidden/>
              </w:rPr>
            </w:r>
            <w:r w:rsidR="00336C2C">
              <w:rPr>
                <w:noProof/>
                <w:webHidden/>
              </w:rPr>
              <w:fldChar w:fldCharType="separate"/>
            </w:r>
            <w:r w:rsidR="00433E17">
              <w:rPr>
                <w:noProof/>
                <w:webHidden/>
              </w:rPr>
              <w:t>28</w:t>
            </w:r>
            <w:r w:rsidR="00336C2C">
              <w:rPr>
                <w:noProof/>
                <w:webHidden/>
              </w:rPr>
              <w:fldChar w:fldCharType="end"/>
            </w:r>
          </w:hyperlink>
        </w:p>
        <w:p w14:paraId="0CE9EA70" w14:textId="77777777" w:rsidR="00336C2C" w:rsidRDefault="006C3BEA">
          <w:pPr>
            <w:pStyle w:val="TOC2"/>
            <w:tabs>
              <w:tab w:val="left" w:pos="880"/>
              <w:tab w:val="right" w:leader="dot" w:pos="9628"/>
            </w:tabs>
            <w:rPr>
              <w:rFonts w:eastAsiaTheme="minorEastAsia"/>
              <w:noProof/>
              <w:lang w:eastAsia="en-AU"/>
            </w:rPr>
          </w:pPr>
          <w:hyperlink w:anchor="_Toc31878865" w:history="1">
            <w:r w:rsidR="00336C2C" w:rsidRPr="00030297">
              <w:rPr>
                <w:rStyle w:val="Hyperlink"/>
                <w:noProof/>
              </w:rPr>
              <w:t>3.4</w:t>
            </w:r>
            <w:r w:rsidR="00336C2C">
              <w:rPr>
                <w:rFonts w:eastAsiaTheme="minorEastAsia"/>
                <w:noProof/>
                <w:lang w:eastAsia="en-AU"/>
              </w:rPr>
              <w:tab/>
            </w:r>
            <w:r w:rsidR="00336C2C" w:rsidRPr="00030297">
              <w:rPr>
                <w:rStyle w:val="Hyperlink"/>
                <w:noProof/>
              </w:rPr>
              <w:t>Post-school pathways</w:t>
            </w:r>
            <w:r w:rsidR="00336C2C">
              <w:rPr>
                <w:noProof/>
                <w:webHidden/>
              </w:rPr>
              <w:tab/>
            </w:r>
            <w:r w:rsidR="00336C2C">
              <w:rPr>
                <w:noProof/>
                <w:webHidden/>
              </w:rPr>
              <w:fldChar w:fldCharType="begin"/>
            </w:r>
            <w:r w:rsidR="00336C2C">
              <w:rPr>
                <w:noProof/>
                <w:webHidden/>
              </w:rPr>
              <w:instrText xml:space="preserve"> PAGEREF _Toc31878865 \h </w:instrText>
            </w:r>
            <w:r w:rsidR="00336C2C">
              <w:rPr>
                <w:noProof/>
                <w:webHidden/>
              </w:rPr>
            </w:r>
            <w:r w:rsidR="00336C2C">
              <w:rPr>
                <w:noProof/>
                <w:webHidden/>
              </w:rPr>
              <w:fldChar w:fldCharType="separate"/>
            </w:r>
            <w:r w:rsidR="00433E17">
              <w:rPr>
                <w:noProof/>
                <w:webHidden/>
              </w:rPr>
              <w:t>29</w:t>
            </w:r>
            <w:r w:rsidR="00336C2C">
              <w:rPr>
                <w:noProof/>
                <w:webHidden/>
              </w:rPr>
              <w:fldChar w:fldCharType="end"/>
            </w:r>
          </w:hyperlink>
        </w:p>
        <w:p w14:paraId="04D38417" w14:textId="77777777" w:rsidR="00336C2C" w:rsidRDefault="006C3BEA">
          <w:pPr>
            <w:pStyle w:val="TOC2"/>
            <w:tabs>
              <w:tab w:val="left" w:pos="880"/>
              <w:tab w:val="right" w:leader="dot" w:pos="9628"/>
            </w:tabs>
            <w:rPr>
              <w:rFonts w:eastAsiaTheme="minorEastAsia"/>
              <w:noProof/>
              <w:lang w:eastAsia="en-AU"/>
            </w:rPr>
          </w:pPr>
          <w:hyperlink w:anchor="_Toc31878866" w:history="1">
            <w:r w:rsidR="00336C2C" w:rsidRPr="00030297">
              <w:rPr>
                <w:rStyle w:val="Hyperlink"/>
                <w:noProof/>
              </w:rPr>
              <w:t>3.5</w:t>
            </w:r>
            <w:r w:rsidR="00336C2C">
              <w:rPr>
                <w:rFonts w:eastAsiaTheme="minorEastAsia"/>
                <w:noProof/>
                <w:lang w:eastAsia="en-AU"/>
              </w:rPr>
              <w:tab/>
            </w:r>
            <w:r w:rsidR="00336C2C" w:rsidRPr="00030297">
              <w:rPr>
                <w:rStyle w:val="Hyperlink"/>
                <w:noProof/>
              </w:rPr>
              <w:t>Student income</w:t>
            </w:r>
            <w:r w:rsidR="00336C2C">
              <w:rPr>
                <w:noProof/>
                <w:webHidden/>
              </w:rPr>
              <w:tab/>
            </w:r>
            <w:r w:rsidR="00336C2C">
              <w:rPr>
                <w:noProof/>
                <w:webHidden/>
              </w:rPr>
              <w:fldChar w:fldCharType="begin"/>
            </w:r>
            <w:r w:rsidR="00336C2C">
              <w:rPr>
                <w:noProof/>
                <w:webHidden/>
              </w:rPr>
              <w:instrText xml:space="preserve"> PAGEREF _Toc31878866 \h </w:instrText>
            </w:r>
            <w:r w:rsidR="00336C2C">
              <w:rPr>
                <w:noProof/>
                <w:webHidden/>
              </w:rPr>
            </w:r>
            <w:r w:rsidR="00336C2C">
              <w:rPr>
                <w:noProof/>
                <w:webHidden/>
              </w:rPr>
              <w:fldChar w:fldCharType="separate"/>
            </w:r>
            <w:r w:rsidR="00433E17">
              <w:rPr>
                <w:noProof/>
                <w:webHidden/>
              </w:rPr>
              <w:t>30</w:t>
            </w:r>
            <w:r w:rsidR="00336C2C">
              <w:rPr>
                <w:noProof/>
                <w:webHidden/>
              </w:rPr>
              <w:fldChar w:fldCharType="end"/>
            </w:r>
          </w:hyperlink>
        </w:p>
        <w:p w14:paraId="417F0717" w14:textId="77777777" w:rsidR="00336C2C" w:rsidRDefault="006C3BEA">
          <w:pPr>
            <w:pStyle w:val="TOC1"/>
            <w:tabs>
              <w:tab w:val="left" w:pos="440"/>
              <w:tab w:val="right" w:leader="dot" w:pos="9628"/>
            </w:tabs>
            <w:rPr>
              <w:rFonts w:eastAsiaTheme="minorEastAsia"/>
              <w:b w:val="0"/>
              <w:noProof/>
              <w:lang w:eastAsia="en-AU"/>
            </w:rPr>
          </w:pPr>
          <w:hyperlink w:anchor="_Toc31878867" w:history="1">
            <w:r w:rsidR="00336C2C" w:rsidRPr="00030297">
              <w:rPr>
                <w:rStyle w:val="Hyperlink"/>
                <w:noProof/>
              </w:rPr>
              <w:t>4.</w:t>
            </w:r>
            <w:r w:rsidR="00336C2C">
              <w:rPr>
                <w:rFonts w:eastAsiaTheme="minorEastAsia"/>
                <w:b w:val="0"/>
                <w:noProof/>
                <w:lang w:eastAsia="en-AU"/>
              </w:rPr>
              <w:tab/>
            </w:r>
            <w:r w:rsidR="00336C2C" w:rsidRPr="00030297">
              <w:rPr>
                <w:rStyle w:val="Hyperlink"/>
                <w:noProof/>
              </w:rPr>
              <w:t>Labour market outcomes</w:t>
            </w:r>
            <w:r w:rsidR="00336C2C">
              <w:rPr>
                <w:noProof/>
                <w:webHidden/>
              </w:rPr>
              <w:tab/>
            </w:r>
            <w:r w:rsidR="00336C2C">
              <w:rPr>
                <w:noProof/>
                <w:webHidden/>
              </w:rPr>
              <w:fldChar w:fldCharType="begin"/>
            </w:r>
            <w:r w:rsidR="00336C2C">
              <w:rPr>
                <w:noProof/>
                <w:webHidden/>
              </w:rPr>
              <w:instrText xml:space="preserve"> PAGEREF _Toc31878867 \h </w:instrText>
            </w:r>
            <w:r w:rsidR="00336C2C">
              <w:rPr>
                <w:noProof/>
                <w:webHidden/>
              </w:rPr>
            </w:r>
            <w:r w:rsidR="00336C2C">
              <w:rPr>
                <w:noProof/>
                <w:webHidden/>
              </w:rPr>
              <w:fldChar w:fldCharType="separate"/>
            </w:r>
            <w:r w:rsidR="00433E17">
              <w:rPr>
                <w:noProof/>
                <w:webHidden/>
              </w:rPr>
              <w:t>32</w:t>
            </w:r>
            <w:r w:rsidR="00336C2C">
              <w:rPr>
                <w:noProof/>
                <w:webHidden/>
              </w:rPr>
              <w:fldChar w:fldCharType="end"/>
            </w:r>
          </w:hyperlink>
        </w:p>
        <w:p w14:paraId="413FD666" w14:textId="77777777" w:rsidR="00336C2C" w:rsidRDefault="006C3BEA">
          <w:pPr>
            <w:pStyle w:val="TOC2"/>
            <w:tabs>
              <w:tab w:val="left" w:pos="880"/>
              <w:tab w:val="right" w:leader="dot" w:pos="9628"/>
            </w:tabs>
            <w:rPr>
              <w:rFonts w:eastAsiaTheme="minorEastAsia"/>
              <w:noProof/>
              <w:lang w:eastAsia="en-AU"/>
            </w:rPr>
          </w:pPr>
          <w:hyperlink w:anchor="_Toc31878869" w:history="1">
            <w:r w:rsidR="00336C2C" w:rsidRPr="00030297">
              <w:rPr>
                <w:rStyle w:val="Hyperlink"/>
                <w:noProof/>
              </w:rPr>
              <w:t>4.1</w:t>
            </w:r>
            <w:r w:rsidR="00336C2C">
              <w:rPr>
                <w:rFonts w:eastAsiaTheme="minorEastAsia"/>
                <w:noProof/>
                <w:lang w:eastAsia="en-AU"/>
              </w:rPr>
              <w:tab/>
            </w:r>
            <w:r w:rsidR="00336C2C" w:rsidRPr="00030297">
              <w:rPr>
                <w:rStyle w:val="Hyperlink"/>
                <w:noProof/>
              </w:rPr>
              <w:t>Employment by qualification level</w:t>
            </w:r>
            <w:r w:rsidR="00336C2C">
              <w:rPr>
                <w:noProof/>
                <w:webHidden/>
              </w:rPr>
              <w:tab/>
            </w:r>
            <w:r w:rsidR="00336C2C">
              <w:rPr>
                <w:noProof/>
                <w:webHidden/>
              </w:rPr>
              <w:fldChar w:fldCharType="begin"/>
            </w:r>
            <w:r w:rsidR="00336C2C">
              <w:rPr>
                <w:noProof/>
                <w:webHidden/>
              </w:rPr>
              <w:instrText xml:space="preserve"> PAGEREF _Toc31878869 \h </w:instrText>
            </w:r>
            <w:r w:rsidR="00336C2C">
              <w:rPr>
                <w:noProof/>
                <w:webHidden/>
              </w:rPr>
            </w:r>
            <w:r w:rsidR="00336C2C">
              <w:rPr>
                <w:noProof/>
                <w:webHidden/>
              </w:rPr>
              <w:fldChar w:fldCharType="separate"/>
            </w:r>
            <w:r w:rsidR="00433E17">
              <w:rPr>
                <w:noProof/>
                <w:webHidden/>
              </w:rPr>
              <w:t>32</w:t>
            </w:r>
            <w:r w:rsidR="00336C2C">
              <w:rPr>
                <w:noProof/>
                <w:webHidden/>
              </w:rPr>
              <w:fldChar w:fldCharType="end"/>
            </w:r>
          </w:hyperlink>
        </w:p>
        <w:p w14:paraId="4910E038" w14:textId="77777777" w:rsidR="00336C2C" w:rsidRDefault="006C3BEA">
          <w:pPr>
            <w:pStyle w:val="TOC2"/>
            <w:tabs>
              <w:tab w:val="left" w:pos="880"/>
              <w:tab w:val="right" w:leader="dot" w:pos="9628"/>
            </w:tabs>
            <w:rPr>
              <w:rFonts w:eastAsiaTheme="minorEastAsia"/>
              <w:noProof/>
              <w:lang w:eastAsia="en-AU"/>
            </w:rPr>
          </w:pPr>
          <w:hyperlink w:anchor="_Toc31878870" w:history="1">
            <w:r w:rsidR="00336C2C" w:rsidRPr="00030297">
              <w:rPr>
                <w:rStyle w:val="Hyperlink"/>
                <w:noProof/>
              </w:rPr>
              <w:t>4.2</w:t>
            </w:r>
            <w:r w:rsidR="00336C2C">
              <w:rPr>
                <w:rFonts w:eastAsiaTheme="minorEastAsia"/>
                <w:noProof/>
                <w:lang w:eastAsia="en-AU"/>
              </w:rPr>
              <w:tab/>
            </w:r>
            <w:r w:rsidR="00336C2C" w:rsidRPr="00030297">
              <w:rPr>
                <w:rStyle w:val="Hyperlink"/>
                <w:noProof/>
              </w:rPr>
              <w:t>Employment at Skill Level</w:t>
            </w:r>
            <w:r w:rsidR="00336C2C">
              <w:rPr>
                <w:noProof/>
                <w:webHidden/>
              </w:rPr>
              <w:tab/>
            </w:r>
            <w:r w:rsidR="00336C2C">
              <w:rPr>
                <w:noProof/>
                <w:webHidden/>
              </w:rPr>
              <w:fldChar w:fldCharType="begin"/>
            </w:r>
            <w:r w:rsidR="00336C2C">
              <w:rPr>
                <w:noProof/>
                <w:webHidden/>
              </w:rPr>
              <w:instrText xml:space="preserve"> PAGEREF _Toc31878870 \h </w:instrText>
            </w:r>
            <w:r w:rsidR="00336C2C">
              <w:rPr>
                <w:noProof/>
                <w:webHidden/>
              </w:rPr>
            </w:r>
            <w:r w:rsidR="00336C2C">
              <w:rPr>
                <w:noProof/>
                <w:webHidden/>
              </w:rPr>
              <w:fldChar w:fldCharType="separate"/>
            </w:r>
            <w:r w:rsidR="00433E17">
              <w:rPr>
                <w:noProof/>
                <w:webHidden/>
              </w:rPr>
              <w:t>36</w:t>
            </w:r>
            <w:r w:rsidR="00336C2C">
              <w:rPr>
                <w:noProof/>
                <w:webHidden/>
              </w:rPr>
              <w:fldChar w:fldCharType="end"/>
            </w:r>
          </w:hyperlink>
        </w:p>
        <w:p w14:paraId="2776A407" w14:textId="77777777" w:rsidR="00336C2C" w:rsidRDefault="006C3BEA">
          <w:pPr>
            <w:pStyle w:val="TOC2"/>
            <w:tabs>
              <w:tab w:val="left" w:pos="880"/>
              <w:tab w:val="right" w:leader="dot" w:pos="9628"/>
            </w:tabs>
            <w:rPr>
              <w:rFonts w:eastAsiaTheme="minorEastAsia"/>
              <w:noProof/>
              <w:lang w:eastAsia="en-AU"/>
            </w:rPr>
          </w:pPr>
          <w:hyperlink w:anchor="_Toc31878871" w:history="1">
            <w:r w:rsidR="00336C2C" w:rsidRPr="00030297">
              <w:rPr>
                <w:rStyle w:val="Hyperlink"/>
                <w:noProof/>
              </w:rPr>
              <w:t>4.3</w:t>
            </w:r>
            <w:r w:rsidR="00336C2C">
              <w:rPr>
                <w:rFonts w:eastAsiaTheme="minorEastAsia"/>
                <w:noProof/>
                <w:lang w:eastAsia="en-AU"/>
              </w:rPr>
              <w:tab/>
            </w:r>
            <w:r w:rsidR="00336C2C" w:rsidRPr="00030297">
              <w:rPr>
                <w:rStyle w:val="Hyperlink"/>
                <w:noProof/>
              </w:rPr>
              <w:t>Field of Study</w:t>
            </w:r>
            <w:r w:rsidR="00336C2C">
              <w:rPr>
                <w:noProof/>
                <w:webHidden/>
              </w:rPr>
              <w:tab/>
            </w:r>
            <w:r w:rsidR="00336C2C">
              <w:rPr>
                <w:noProof/>
                <w:webHidden/>
              </w:rPr>
              <w:fldChar w:fldCharType="begin"/>
            </w:r>
            <w:r w:rsidR="00336C2C">
              <w:rPr>
                <w:noProof/>
                <w:webHidden/>
              </w:rPr>
              <w:instrText xml:space="preserve"> PAGEREF _Toc31878871 \h </w:instrText>
            </w:r>
            <w:r w:rsidR="00336C2C">
              <w:rPr>
                <w:noProof/>
                <w:webHidden/>
              </w:rPr>
            </w:r>
            <w:r w:rsidR="00336C2C">
              <w:rPr>
                <w:noProof/>
                <w:webHidden/>
              </w:rPr>
              <w:fldChar w:fldCharType="separate"/>
            </w:r>
            <w:r w:rsidR="00433E17">
              <w:rPr>
                <w:noProof/>
                <w:webHidden/>
              </w:rPr>
              <w:t>36</w:t>
            </w:r>
            <w:r w:rsidR="00336C2C">
              <w:rPr>
                <w:noProof/>
                <w:webHidden/>
              </w:rPr>
              <w:fldChar w:fldCharType="end"/>
            </w:r>
          </w:hyperlink>
        </w:p>
        <w:p w14:paraId="0D7F78A9" w14:textId="77777777" w:rsidR="00336C2C" w:rsidRDefault="006C3BEA">
          <w:pPr>
            <w:pStyle w:val="TOC1"/>
            <w:tabs>
              <w:tab w:val="left" w:pos="440"/>
              <w:tab w:val="right" w:leader="dot" w:pos="9628"/>
            </w:tabs>
            <w:rPr>
              <w:rFonts w:eastAsiaTheme="minorEastAsia"/>
              <w:b w:val="0"/>
              <w:noProof/>
              <w:lang w:eastAsia="en-AU"/>
            </w:rPr>
          </w:pPr>
          <w:hyperlink w:anchor="_Toc31878872" w:history="1">
            <w:r w:rsidR="00336C2C" w:rsidRPr="00030297">
              <w:rPr>
                <w:rStyle w:val="Hyperlink"/>
                <w:noProof/>
              </w:rPr>
              <w:t>5.</w:t>
            </w:r>
            <w:r w:rsidR="00336C2C">
              <w:rPr>
                <w:rFonts w:eastAsiaTheme="minorEastAsia"/>
                <w:b w:val="0"/>
                <w:noProof/>
                <w:lang w:eastAsia="en-AU"/>
              </w:rPr>
              <w:tab/>
            </w:r>
            <w:r w:rsidR="00336C2C" w:rsidRPr="00030297">
              <w:rPr>
                <w:rStyle w:val="Hyperlink"/>
                <w:noProof/>
              </w:rPr>
              <w:t>Social Outcomes</w:t>
            </w:r>
            <w:r w:rsidR="00336C2C">
              <w:rPr>
                <w:noProof/>
                <w:webHidden/>
              </w:rPr>
              <w:tab/>
            </w:r>
            <w:r w:rsidR="00336C2C">
              <w:rPr>
                <w:noProof/>
                <w:webHidden/>
              </w:rPr>
              <w:fldChar w:fldCharType="begin"/>
            </w:r>
            <w:r w:rsidR="00336C2C">
              <w:rPr>
                <w:noProof/>
                <w:webHidden/>
              </w:rPr>
              <w:instrText xml:space="preserve"> PAGEREF _Toc31878872 \h </w:instrText>
            </w:r>
            <w:r w:rsidR="00336C2C">
              <w:rPr>
                <w:noProof/>
                <w:webHidden/>
              </w:rPr>
            </w:r>
            <w:r w:rsidR="00336C2C">
              <w:rPr>
                <w:noProof/>
                <w:webHidden/>
              </w:rPr>
              <w:fldChar w:fldCharType="separate"/>
            </w:r>
            <w:r w:rsidR="00433E17">
              <w:rPr>
                <w:noProof/>
                <w:webHidden/>
              </w:rPr>
              <w:t>38</w:t>
            </w:r>
            <w:r w:rsidR="00336C2C">
              <w:rPr>
                <w:noProof/>
                <w:webHidden/>
              </w:rPr>
              <w:fldChar w:fldCharType="end"/>
            </w:r>
          </w:hyperlink>
        </w:p>
        <w:p w14:paraId="6E44B63F" w14:textId="77777777" w:rsidR="00336C2C" w:rsidRDefault="006C3BEA">
          <w:pPr>
            <w:pStyle w:val="TOC2"/>
            <w:tabs>
              <w:tab w:val="left" w:pos="880"/>
              <w:tab w:val="right" w:leader="dot" w:pos="9628"/>
            </w:tabs>
            <w:rPr>
              <w:rFonts w:eastAsiaTheme="minorEastAsia"/>
              <w:noProof/>
              <w:lang w:eastAsia="en-AU"/>
            </w:rPr>
          </w:pPr>
          <w:hyperlink w:anchor="_Toc31878874" w:history="1">
            <w:r w:rsidR="00336C2C" w:rsidRPr="00030297">
              <w:rPr>
                <w:rStyle w:val="Hyperlink"/>
                <w:noProof/>
              </w:rPr>
              <w:t>5.1</w:t>
            </w:r>
            <w:r w:rsidR="00336C2C">
              <w:rPr>
                <w:rFonts w:eastAsiaTheme="minorEastAsia"/>
                <w:noProof/>
                <w:lang w:eastAsia="en-AU"/>
              </w:rPr>
              <w:tab/>
            </w:r>
            <w:r w:rsidR="00336C2C" w:rsidRPr="00030297">
              <w:rPr>
                <w:rStyle w:val="Hyperlink"/>
                <w:noProof/>
              </w:rPr>
              <w:t>Financial and Social independence</w:t>
            </w:r>
            <w:r w:rsidR="00336C2C">
              <w:rPr>
                <w:noProof/>
                <w:webHidden/>
              </w:rPr>
              <w:tab/>
            </w:r>
            <w:r w:rsidR="00336C2C">
              <w:rPr>
                <w:noProof/>
                <w:webHidden/>
              </w:rPr>
              <w:fldChar w:fldCharType="begin"/>
            </w:r>
            <w:r w:rsidR="00336C2C">
              <w:rPr>
                <w:noProof/>
                <w:webHidden/>
              </w:rPr>
              <w:instrText xml:space="preserve"> PAGEREF _Toc31878874 \h </w:instrText>
            </w:r>
            <w:r w:rsidR="00336C2C">
              <w:rPr>
                <w:noProof/>
                <w:webHidden/>
              </w:rPr>
            </w:r>
            <w:r w:rsidR="00336C2C">
              <w:rPr>
                <w:noProof/>
                <w:webHidden/>
              </w:rPr>
              <w:fldChar w:fldCharType="separate"/>
            </w:r>
            <w:r w:rsidR="00433E17">
              <w:rPr>
                <w:noProof/>
                <w:webHidden/>
              </w:rPr>
              <w:t>38</w:t>
            </w:r>
            <w:r w:rsidR="00336C2C">
              <w:rPr>
                <w:noProof/>
                <w:webHidden/>
              </w:rPr>
              <w:fldChar w:fldCharType="end"/>
            </w:r>
          </w:hyperlink>
        </w:p>
        <w:p w14:paraId="5D107A55" w14:textId="77777777" w:rsidR="00336C2C" w:rsidRDefault="006C3BEA">
          <w:pPr>
            <w:pStyle w:val="TOC2"/>
            <w:tabs>
              <w:tab w:val="left" w:pos="880"/>
              <w:tab w:val="right" w:leader="dot" w:pos="9628"/>
            </w:tabs>
            <w:rPr>
              <w:rFonts w:eastAsiaTheme="minorEastAsia"/>
              <w:noProof/>
              <w:lang w:eastAsia="en-AU"/>
            </w:rPr>
          </w:pPr>
          <w:hyperlink w:anchor="_Toc31878875" w:history="1">
            <w:r w:rsidR="00336C2C" w:rsidRPr="00030297">
              <w:rPr>
                <w:rStyle w:val="Hyperlink"/>
                <w:noProof/>
              </w:rPr>
              <w:t>5.2</w:t>
            </w:r>
            <w:r w:rsidR="00336C2C">
              <w:rPr>
                <w:rFonts w:eastAsiaTheme="minorEastAsia"/>
                <w:noProof/>
                <w:lang w:eastAsia="en-AU"/>
              </w:rPr>
              <w:tab/>
            </w:r>
            <w:r w:rsidR="00336C2C" w:rsidRPr="00030297">
              <w:rPr>
                <w:rStyle w:val="Hyperlink"/>
                <w:noProof/>
              </w:rPr>
              <w:t>Stress and Wellbeing</w:t>
            </w:r>
            <w:r w:rsidR="00336C2C">
              <w:rPr>
                <w:noProof/>
                <w:webHidden/>
              </w:rPr>
              <w:tab/>
            </w:r>
            <w:r w:rsidR="00336C2C">
              <w:rPr>
                <w:noProof/>
                <w:webHidden/>
              </w:rPr>
              <w:fldChar w:fldCharType="begin"/>
            </w:r>
            <w:r w:rsidR="00336C2C">
              <w:rPr>
                <w:noProof/>
                <w:webHidden/>
              </w:rPr>
              <w:instrText xml:space="preserve"> PAGEREF _Toc31878875 \h </w:instrText>
            </w:r>
            <w:r w:rsidR="00336C2C">
              <w:rPr>
                <w:noProof/>
                <w:webHidden/>
              </w:rPr>
            </w:r>
            <w:r w:rsidR="00336C2C">
              <w:rPr>
                <w:noProof/>
                <w:webHidden/>
              </w:rPr>
              <w:fldChar w:fldCharType="separate"/>
            </w:r>
            <w:r w:rsidR="00433E17">
              <w:rPr>
                <w:noProof/>
                <w:webHidden/>
              </w:rPr>
              <w:t>40</w:t>
            </w:r>
            <w:r w:rsidR="00336C2C">
              <w:rPr>
                <w:noProof/>
                <w:webHidden/>
              </w:rPr>
              <w:fldChar w:fldCharType="end"/>
            </w:r>
          </w:hyperlink>
        </w:p>
        <w:p w14:paraId="5C31FB00" w14:textId="77777777" w:rsidR="00336C2C" w:rsidRDefault="006C3BEA">
          <w:pPr>
            <w:pStyle w:val="TOC2"/>
            <w:tabs>
              <w:tab w:val="left" w:pos="880"/>
              <w:tab w:val="right" w:leader="dot" w:pos="9628"/>
            </w:tabs>
            <w:rPr>
              <w:rFonts w:eastAsiaTheme="minorEastAsia"/>
              <w:noProof/>
              <w:lang w:eastAsia="en-AU"/>
            </w:rPr>
          </w:pPr>
          <w:hyperlink w:anchor="_Toc31878876" w:history="1">
            <w:r w:rsidR="00336C2C" w:rsidRPr="00030297">
              <w:rPr>
                <w:rStyle w:val="Hyperlink"/>
                <w:noProof/>
              </w:rPr>
              <w:t>5.3</w:t>
            </w:r>
            <w:r w:rsidR="00336C2C">
              <w:rPr>
                <w:rFonts w:eastAsiaTheme="minorEastAsia"/>
                <w:noProof/>
                <w:lang w:eastAsia="en-AU"/>
              </w:rPr>
              <w:tab/>
            </w:r>
            <w:r w:rsidR="00336C2C" w:rsidRPr="00030297">
              <w:rPr>
                <w:rStyle w:val="Hyperlink"/>
                <w:noProof/>
              </w:rPr>
              <w:t>Life and career satisfaction</w:t>
            </w:r>
            <w:r w:rsidR="00336C2C">
              <w:rPr>
                <w:noProof/>
                <w:webHidden/>
              </w:rPr>
              <w:tab/>
            </w:r>
            <w:r w:rsidR="00336C2C">
              <w:rPr>
                <w:noProof/>
                <w:webHidden/>
              </w:rPr>
              <w:fldChar w:fldCharType="begin"/>
            </w:r>
            <w:r w:rsidR="00336C2C">
              <w:rPr>
                <w:noProof/>
                <w:webHidden/>
              </w:rPr>
              <w:instrText xml:space="preserve"> PAGEREF _Toc31878876 \h </w:instrText>
            </w:r>
            <w:r w:rsidR="00336C2C">
              <w:rPr>
                <w:noProof/>
                <w:webHidden/>
              </w:rPr>
            </w:r>
            <w:r w:rsidR="00336C2C">
              <w:rPr>
                <w:noProof/>
                <w:webHidden/>
              </w:rPr>
              <w:fldChar w:fldCharType="separate"/>
            </w:r>
            <w:r w:rsidR="00433E17">
              <w:rPr>
                <w:noProof/>
                <w:webHidden/>
              </w:rPr>
              <w:t>41</w:t>
            </w:r>
            <w:r w:rsidR="00336C2C">
              <w:rPr>
                <w:noProof/>
                <w:webHidden/>
              </w:rPr>
              <w:fldChar w:fldCharType="end"/>
            </w:r>
          </w:hyperlink>
        </w:p>
        <w:p w14:paraId="04770CF7" w14:textId="77777777" w:rsidR="00336C2C" w:rsidRDefault="006C3BEA">
          <w:pPr>
            <w:pStyle w:val="TOC2"/>
            <w:tabs>
              <w:tab w:val="left" w:pos="880"/>
              <w:tab w:val="right" w:leader="dot" w:pos="9628"/>
            </w:tabs>
            <w:rPr>
              <w:rFonts w:eastAsiaTheme="minorEastAsia"/>
              <w:noProof/>
              <w:lang w:eastAsia="en-AU"/>
            </w:rPr>
          </w:pPr>
          <w:hyperlink w:anchor="_Toc31878877" w:history="1">
            <w:r w:rsidR="00336C2C" w:rsidRPr="00030297">
              <w:rPr>
                <w:rStyle w:val="Hyperlink"/>
                <w:noProof/>
              </w:rPr>
              <w:t>5.4</w:t>
            </w:r>
            <w:r w:rsidR="00336C2C">
              <w:rPr>
                <w:rFonts w:eastAsiaTheme="minorEastAsia"/>
                <w:noProof/>
                <w:lang w:eastAsia="en-AU"/>
              </w:rPr>
              <w:tab/>
            </w:r>
            <w:r w:rsidR="00336C2C" w:rsidRPr="00030297">
              <w:rPr>
                <w:rStyle w:val="Hyperlink"/>
                <w:noProof/>
              </w:rPr>
              <w:t>Satisfaction with macro-issues</w:t>
            </w:r>
            <w:r w:rsidR="00336C2C">
              <w:rPr>
                <w:noProof/>
                <w:webHidden/>
              </w:rPr>
              <w:tab/>
            </w:r>
            <w:r w:rsidR="00336C2C">
              <w:rPr>
                <w:noProof/>
                <w:webHidden/>
              </w:rPr>
              <w:fldChar w:fldCharType="begin"/>
            </w:r>
            <w:r w:rsidR="00336C2C">
              <w:rPr>
                <w:noProof/>
                <w:webHidden/>
              </w:rPr>
              <w:instrText xml:space="preserve"> PAGEREF _Toc31878877 \h </w:instrText>
            </w:r>
            <w:r w:rsidR="00336C2C">
              <w:rPr>
                <w:noProof/>
                <w:webHidden/>
              </w:rPr>
            </w:r>
            <w:r w:rsidR="00336C2C">
              <w:rPr>
                <w:noProof/>
                <w:webHidden/>
              </w:rPr>
              <w:fldChar w:fldCharType="separate"/>
            </w:r>
            <w:r w:rsidR="00433E17">
              <w:rPr>
                <w:noProof/>
                <w:webHidden/>
              </w:rPr>
              <w:t>43</w:t>
            </w:r>
            <w:r w:rsidR="00336C2C">
              <w:rPr>
                <w:noProof/>
                <w:webHidden/>
              </w:rPr>
              <w:fldChar w:fldCharType="end"/>
            </w:r>
          </w:hyperlink>
        </w:p>
        <w:p w14:paraId="66390AAA" w14:textId="77777777" w:rsidR="00336C2C" w:rsidRDefault="006C3BEA">
          <w:pPr>
            <w:pStyle w:val="TOC1"/>
            <w:tabs>
              <w:tab w:val="right" w:leader="dot" w:pos="9628"/>
            </w:tabs>
            <w:rPr>
              <w:rFonts w:eastAsiaTheme="minorEastAsia"/>
              <w:b w:val="0"/>
              <w:noProof/>
              <w:lang w:eastAsia="en-AU"/>
            </w:rPr>
          </w:pPr>
          <w:hyperlink w:anchor="_Toc31878878" w:history="1">
            <w:r w:rsidR="00336C2C" w:rsidRPr="00030297">
              <w:rPr>
                <w:rStyle w:val="Hyperlink"/>
                <w:noProof/>
              </w:rPr>
              <w:t>Conclusion</w:t>
            </w:r>
            <w:r w:rsidR="00336C2C">
              <w:rPr>
                <w:noProof/>
                <w:webHidden/>
              </w:rPr>
              <w:tab/>
            </w:r>
            <w:r w:rsidR="00336C2C">
              <w:rPr>
                <w:noProof/>
                <w:webHidden/>
              </w:rPr>
              <w:fldChar w:fldCharType="begin"/>
            </w:r>
            <w:r w:rsidR="00336C2C">
              <w:rPr>
                <w:noProof/>
                <w:webHidden/>
              </w:rPr>
              <w:instrText xml:space="preserve"> PAGEREF _Toc31878878 \h </w:instrText>
            </w:r>
            <w:r w:rsidR="00336C2C">
              <w:rPr>
                <w:noProof/>
                <w:webHidden/>
              </w:rPr>
            </w:r>
            <w:r w:rsidR="00336C2C">
              <w:rPr>
                <w:noProof/>
                <w:webHidden/>
              </w:rPr>
              <w:fldChar w:fldCharType="separate"/>
            </w:r>
            <w:r w:rsidR="00433E17">
              <w:rPr>
                <w:noProof/>
                <w:webHidden/>
              </w:rPr>
              <w:t>45</w:t>
            </w:r>
            <w:r w:rsidR="00336C2C">
              <w:rPr>
                <w:noProof/>
                <w:webHidden/>
              </w:rPr>
              <w:fldChar w:fldCharType="end"/>
            </w:r>
          </w:hyperlink>
        </w:p>
        <w:p w14:paraId="355AF8AB" w14:textId="77777777" w:rsidR="008A1D27" w:rsidRPr="003A0790" w:rsidRDefault="008A1D27" w:rsidP="008A1D27">
          <w:r>
            <w:rPr>
              <w:b/>
              <w:bCs/>
              <w:noProof/>
            </w:rPr>
            <w:fldChar w:fldCharType="end"/>
          </w:r>
        </w:p>
      </w:sdtContent>
    </w:sdt>
    <w:p w14:paraId="7E029AF3" w14:textId="77777777" w:rsidR="008A1D27" w:rsidRDefault="008A1D27" w:rsidP="008A1D27">
      <w:pPr>
        <w:rPr>
          <w:b/>
          <w:color w:val="5B0035" w:themeColor="accent4" w:themeShade="80"/>
          <w:sz w:val="36"/>
          <w:szCs w:val="36"/>
        </w:rPr>
      </w:pPr>
      <w:r>
        <w:br w:type="page"/>
      </w:r>
      <w:r w:rsidRPr="00CB5C5D">
        <w:rPr>
          <w:b/>
          <w:color w:val="5B0035" w:themeColor="accent4" w:themeShade="80"/>
          <w:sz w:val="36"/>
          <w:szCs w:val="36"/>
        </w:rPr>
        <w:lastRenderedPageBreak/>
        <w:t>List of Figures</w:t>
      </w:r>
    </w:p>
    <w:p w14:paraId="44FF4C85" w14:textId="77777777" w:rsidR="00336C2C" w:rsidRDefault="008A1D27">
      <w:pPr>
        <w:pStyle w:val="TableofFigures"/>
        <w:tabs>
          <w:tab w:val="right" w:leader="dot" w:pos="9628"/>
        </w:tabs>
        <w:rPr>
          <w:rFonts w:eastAsiaTheme="minorEastAsia"/>
          <w:noProof/>
          <w:lang w:eastAsia="en-AU"/>
        </w:rPr>
      </w:pPr>
      <w:r>
        <w:fldChar w:fldCharType="begin"/>
      </w:r>
      <w:r>
        <w:instrText xml:space="preserve"> TOC \h \z \c "Figure" </w:instrText>
      </w:r>
      <w:r>
        <w:fldChar w:fldCharType="separate"/>
      </w:r>
      <w:hyperlink w:anchor="_Toc31878776" w:history="1">
        <w:r w:rsidR="00336C2C" w:rsidRPr="00AB2175">
          <w:rPr>
            <w:rStyle w:val="Hyperlink"/>
            <w:noProof/>
          </w:rPr>
          <w:t>Figure 1.1: Timeline of LSAY data collection</w:t>
        </w:r>
        <w:r w:rsidR="00336C2C">
          <w:rPr>
            <w:noProof/>
            <w:webHidden/>
          </w:rPr>
          <w:tab/>
        </w:r>
        <w:r w:rsidR="00336C2C">
          <w:rPr>
            <w:noProof/>
            <w:webHidden/>
          </w:rPr>
          <w:fldChar w:fldCharType="begin"/>
        </w:r>
        <w:r w:rsidR="00336C2C">
          <w:rPr>
            <w:noProof/>
            <w:webHidden/>
          </w:rPr>
          <w:instrText xml:space="preserve"> PAGEREF _Toc31878776 \h </w:instrText>
        </w:r>
        <w:r w:rsidR="00336C2C">
          <w:rPr>
            <w:noProof/>
            <w:webHidden/>
          </w:rPr>
        </w:r>
        <w:r w:rsidR="00336C2C">
          <w:rPr>
            <w:noProof/>
            <w:webHidden/>
          </w:rPr>
          <w:fldChar w:fldCharType="separate"/>
        </w:r>
        <w:r w:rsidR="00433E17">
          <w:rPr>
            <w:noProof/>
            <w:webHidden/>
          </w:rPr>
          <w:t>9</w:t>
        </w:r>
        <w:r w:rsidR="00336C2C">
          <w:rPr>
            <w:noProof/>
            <w:webHidden/>
          </w:rPr>
          <w:fldChar w:fldCharType="end"/>
        </w:r>
      </w:hyperlink>
    </w:p>
    <w:p w14:paraId="1127680E" w14:textId="77777777" w:rsidR="00336C2C" w:rsidRDefault="006C3BEA">
      <w:pPr>
        <w:pStyle w:val="TableofFigures"/>
        <w:tabs>
          <w:tab w:val="right" w:leader="dot" w:pos="9628"/>
        </w:tabs>
        <w:rPr>
          <w:rFonts w:eastAsiaTheme="minorEastAsia"/>
          <w:noProof/>
          <w:lang w:eastAsia="en-AU"/>
        </w:rPr>
      </w:pPr>
      <w:hyperlink w:anchor="_Toc31878777" w:history="1">
        <w:r w:rsidR="00336C2C" w:rsidRPr="00AB2175">
          <w:rPr>
            <w:rStyle w:val="Hyperlink"/>
            <w:noProof/>
          </w:rPr>
          <w:t>Figure 1.2: Timeline of Australian socioeconomic events, 1995 onwards</w:t>
        </w:r>
        <w:r w:rsidR="00336C2C">
          <w:rPr>
            <w:noProof/>
            <w:webHidden/>
          </w:rPr>
          <w:tab/>
        </w:r>
        <w:r w:rsidR="00336C2C">
          <w:rPr>
            <w:noProof/>
            <w:webHidden/>
          </w:rPr>
          <w:fldChar w:fldCharType="begin"/>
        </w:r>
        <w:r w:rsidR="00336C2C">
          <w:rPr>
            <w:noProof/>
            <w:webHidden/>
          </w:rPr>
          <w:instrText xml:space="preserve"> PAGEREF _Toc31878777 \h </w:instrText>
        </w:r>
        <w:r w:rsidR="00336C2C">
          <w:rPr>
            <w:noProof/>
            <w:webHidden/>
          </w:rPr>
        </w:r>
        <w:r w:rsidR="00336C2C">
          <w:rPr>
            <w:noProof/>
            <w:webHidden/>
          </w:rPr>
          <w:fldChar w:fldCharType="separate"/>
        </w:r>
        <w:r w:rsidR="00433E17">
          <w:rPr>
            <w:noProof/>
            <w:webHidden/>
          </w:rPr>
          <w:t>10</w:t>
        </w:r>
        <w:r w:rsidR="00336C2C">
          <w:rPr>
            <w:noProof/>
            <w:webHidden/>
          </w:rPr>
          <w:fldChar w:fldCharType="end"/>
        </w:r>
      </w:hyperlink>
    </w:p>
    <w:p w14:paraId="2FCF9D7B" w14:textId="77777777" w:rsidR="00336C2C" w:rsidRDefault="006C3BEA">
      <w:pPr>
        <w:pStyle w:val="TableofFigures"/>
        <w:tabs>
          <w:tab w:val="right" w:leader="dot" w:pos="9628"/>
        </w:tabs>
        <w:rPr>
          <w:rFonts w:eastAsiaTheme="minorEastAsia"/>
          <w:noProof/>
          <w:lang w:eastAsia="en-AU"/>
        </w:rPr>
      </w:pPr>
      <w:hyperlink w:anchor="_Toc31878778" w:history="1">
        <w:r w:rsidR="00336C2C" w:rsidRPr="00AB2175">
          <w:rPr>
            <w:rStyle w:val="Hyperlink"/>
            <w:noProof/>
          </w:rPr>
          <w:t>Figure 2.1: Year 12 completion by plans to complete year 12</w:t>
        </w:r>
        <w:r w:rsidR="00336C2C">
          <w:rPr>
            <w:noProof/>
            <w:webHidden/>
          </w:rPr>
          <w:tab/>
        </w:r>
        <w:r w:rsidR="00336C2C">
          <w:rPr>
            <w:noProof/>
            <w:webHidden/>
          </w:rPr>
          <w:fldChar w:fldCharType="begin"/>
        </w:r>
        <w:r w:rsidR="00336C2C">
          <w:rPr>
            <w:noProof/>
            <w:webHidden/>
          </w:rPr>
          <w:instrText xml:space="preserve"> PAGEREF _Toc31878778 \h </w:instrText>
        </w:r>
        <w:r w:rsidR="00336C2C">
          <w:rPr>
            <w:noProof/>
            <w:webHidden/>
          </w:rPr>
        </w:r>
        <w:r w:rsidR="00336C2C">
          <w:rPr>
            <w:noProof/>
            <w:webHidden/>
          </w:rPr>
          <w:fldChar w:fldCharType="separate"/>
        </w:r>
        <w:r w:rsidR="00433E17">
          <w:rPr>
            <w:noProof/>
            <w:webHidden/>
          </w:rPr>
          <w:t>12</w:t>
        </w:r>
        <w:r w:rsidR="00336C2C">
          <w:rPr>
            <w:noProof/>
            <w:webHidden/>
          </w:rPr>
          <w:fldChar w:fldCharType="end"/>
        </w:r>
      </w:hyperlink>
    </w:p>
    <w:p w14:paraId="4AD93A98" w14:textId="77777777" w:rsidR="00336C2C" w:rsidRDefault="006C3BEA">
      <w:pPr>
        <w:pStyle w:val="TableofFigures"/>
        <w:tabs>
          <w:tab w:val="right" w:leader="dot" w:pos="9628"/>
        </w:tabs>
        <w:rPr>
          <w:rFonts w:eastAsiaTheme="minorEastAsia"/>
          <w:noProof/>
          <w:lang w:eastAsia="en-AU"/>
        </w:rPr>
      </w:pPr>
      <w:hyperlink w:anchor="_Toc31878779" w:history="1">
        <w:r w:rsidR="00336C2C" w:rsidRPr="00AB2175">
          <w:rPr>
            <w:rStyle w:val="Hyperlink"/>
            <w:noProof/>
          </w:rPr>
          <w:t>Figure 2.2: Post-school aspirations at age 16</w:t>
        </w:r>
        <w:r w:rsidR="00336C2C">
          <w:rPr>
            <w:noProof/>
            <w:webHidden/>
          </w:rPr>
          <w:tab/>
        </w:r>
        <w:r w:rsidR="00336C2C">
          <w:rPr>
            <w:noProof/>
            <w:webHidden/>
          </w:rPr>
          <w:fldChar w:fldCharType="begin"/>
        </w:r>
        <w:r w:rsidR="00336C2C">
          <w:rPr>
            <w:noProof/>
            <w:webHidden/>
          </w:rPr>
          <w:instrText xml:space="preserve"> PAGEREF _Toc31878779 \h </w:instrText>
        </w:r>
        <w:r w:rsidR="00336C2C">
          <w:rPr>
            <w:noProof/>
            <w:webHidden/>
          </w:rPr>
        </w:r>
        <w:r w:rsidR="00336C2C">
          <w:rPr>
            <w:noProof/>
            <w:webHidden/>
          </w:rPr>
          <w:fldChar w:fldCharType="separate"/>
        </w:r>
        <w:r w:rsidR="00433E17">
          <w:rPr>
            <w:noProof/>
            <w:webHidden/>
          </w:rPr>
          <w:t>13</w:t>
        </w:r>
        <w:r w:rsidR="00336C2C">
          <w:rPr>
            <w:noProof/>
            <w:webHidden/>
          </w:rPr>
          <w:fldChar w:fldCharType="end"/>
        </w:r>
      </w:hyperlink>
    </w:p>
    <w:p w14:paraId="0AA9BAEE" w14:textId="77777777" w:rsidR="00336C2C" w:rsidRDefault="006C3BEA">
      <w:pPr>
        <w:pStyle w:val="TableofFigures"/>
        <w:tabs>
          <w:tab w:val="right" w:leader="dot" w:pos="9628"/>
        </w:tabs>
        <w:rPr>
          <w:rFonts w:eastAsiaTheme="minorEastAsia"/>
          <w:noProof/>
          <w:lang w:eastAsia="en-AU"/>
        </w:rPr>
      </w:pPr>
      <w:hyperlink w:anchor="_Toc31878780" w:history="1">
        <w:r w:rsidR="00336C2C" w:rsidRPr="00AB2175">
          <w:rPr>
            <w:rStyle w:val="Hyperlink"/>
            <w:noProof/>
          </w:rPr>
          <w:t>Figure 2.3: Year 12 completion rate by plans for post school study</w:t>
        </w:r>
        <w:r w:rsidR="00336C2C">
          <w:rPr>
            <w:noProof/>
            <w:webHidden/>
          </w:rPr>
          <w:tab/>
        </w:r>
        <w:r w:rsidR="00336C2C">
          <w:rPr>
            <w:noProof/>
            <w:webHidden/>
          </w:rPr>
          <w:fldChar w:fldCharType="begin"/>
        </w:r>
        <w:r w:rsidR="00336C2C">
          <w:rPr>
            <w:noProof/>
            <w:webHidden/>
          </w:rPr>
          <w:instrText xml:space="preserve"> PAGEREF _Toc31878780 \h </w:instrText>
        </w:r>
        <w:r w:rsidR="00336C2C">
          <w:rPr>
            <w:noProof/>
            <w:webHidden/>
          </w:rPr>
        </w:r>
        <w:r w:rsidR="00336C2C">
          <w:rPr>
            <w:noProof/>
            <w:webHidden/>
          </w:rPr>
          <w:fldChar w:fldCharType="separate"/>
        </w:r>
        <w:r w:rsidR="00433E17">
          <w:rPr>
            <w:noProof/>
            <w:webHidden/>
          </w:rPr>
          <w:t>14</w:t>
        </w:r>
        <w:r w:rsidR="00336C2C">
          <w:rPr>
            <w:noProof/>
            <w:webHidden/>
          </w:rPr>
          <w:fldChar w:fldCharType="end"/>
        </w:r>
      </w:hyperlink>
    </w:p>
    <w:p w14:paraId="2C74EA8B" w14:textId="77777777" w:rsidR="00336C2C" w:rsidRDefault="006C3BEA">
      <w:pPr>
        <w:pStyle w:val="TableofFigures"/>
        <w:tabs>
          <w:tab w:val="right" w:leader="dot" w:pos="9628"/>
        </w:tabs>
        <w:rPr>
          <w:rFonts w:eastAsiaTheme="minorEastAsia"/>
          <w:noProof/>
          <w:lang w:eastAsia="en-AU"/>
        </w:rPr>
      </w:pPr>
      <w:hyperlink w:anchor="_Toc31878781" w:history="1">
        <w:r w:rsidR="00336C2C" w:rsidRPr="00AB2175">
          <w:rPr>
            <w:rStyle w:val="Hyperlink"/>
            <w:noProof/>
          </w:rPr>
          <w:t>Figure 2.4: Post school plans of 15 year olds, their parents and peers</w:t>
        </w:r>
        <w:r w:rsidR="00336C2C">
          <w:rPr>
            <w:noProof/>
            <w:webHidden/>
          </w:rPr>
          <w:tab/>
        </w:r>
        <w:r w:rsidR="00336C2C">
          <w:rPr>
            <w:noProof/>
            <w:webHidden/>
          </w:rPr>
          <w:fldChar w:fldCharType="begin"/>
        </w:r>
        <w:r w:rsidR="00336C2C">
          <w:rPr>
            <w:noProof/>
            <w:webHidden/>
          </w:rPr>
          <w:instrText xml:space="preserve"> PAGEREF _Toc31878781 \h </w:instrText>
        </w:r>
        <w:r w:rsidR="00336C2C">
          <w:rPr>
            <w:noProof/>
            <w:webHidden/>
          </w:rPr>
        </w:r>
        <w:r w:rsidR="00336C2C">
          <w:rPr>
            <w:noProof/>
            <w:webHidden/>
          </w:rPr>
          <w:fldChar w:fldCharType="separate"/>
        </w:r>
        <w:r w:rsidR="00433E17">
          <w:rPr>
            <w:noProof/>
            <w:webHidden/>
          </w:rPr>
          <w:t>15</w:t>
        </w:r>
        <w:r w:rsidR="00336C2C">
          <w:rPr>
            <w:noProof/>
            <w:webHidden/>
          </w:rPr>
          <w:fldChar w:fldCharType="end"/>
        </w:r>
      </w:hyperlink>
    </w:p>
    <w:p w14:paraId="1C56A52C" w14:textId="77777777" w:rsidR="00336C2C" w:rsidRDefault="006C3BEA">
      <w:pPr>
        <w:pStyle w:val="TableofFigures"/>
        <w:tabs>
          <w:tab w:val="right" w:leader="dot" w:pos="9628"/>
        </w:tabs>
        <w:rPr>
          <w:rFonts w:eastAsiaTheme="minorEastAsia"/>
          <w:noProof/>
          <w:lang w:eastAsia="en-AU"/>
        </w:rPr>
      </w:pPr>
      <w:hyperlink w:anchor="_Toc31878782" w:history="1">
        <w:r w:rsidR="00336C2C" w:rsidRPr="00AB2175">
          <w:rPr>
            <w:rStyle w:val="Hyperlink"/>
            <w:noProof/>
          </w:rPr>
          <w:t>Figure 2.5: Measures of school engagement, by secondary school completion status</w:t>
        </w:r>
        <w:r w:rsidR="00336C2C">
          <w:rPr>
            <w:noProof/>
            <w:webHidden/>
          </w:rPr>
          <w:tab/>
        </w:r>
        <w:r w:rsidR="00336C2C">
          <w:rPr>
            <w:noProof/>
            <w:webHidden/>
          </w:rPr>
          <w:fldChar w:fldCharType="begin"/>
        </w:r>
        <w:r w:rsidR="00336C2C">
          <w:rPr>
            <w:noProof/>
            <w:webHidden/>
          </w:rPr>
          <w:instrText xml:space="preserve"> PAGEREF _Toc31878782 \h </w:instrText>
        </w:r>
        <w:r w:rsidR="00336C2C">
          <w:rPr>
            <w:noProof/>
            <w:webHidden/>
          </w:rPr>
        </w:r>
        <w:r w:rsidR="00336C2C">
          <w:rPr>
            <w:noProof/>
            <w:webHidden/>
          </w:rPr>
          <w:fldChar w:fldCharType="separate"/>
        </w:r>
        <w:r w:rsidR="00433E17">
          <w:rPr>
            <w:noProof/>
            <w:webHidden/>
          </w:rPr>
          <w:t>16</w:t>
        </w:r>
        <w:r w:rsidR="00336C2C">
          <w:rPr>
            <w:noProof/>
            <w:webHidden/>
          </w:rPr>
          <w:fldChar w:fldCharType="end"/>
        </w:r>
      </w:hyperlink>
    </w:p>
    <w:p w14:paraId="430B582F" w14:textId="77777777" w:rsidR="00336C2C" w:rsidRDefault="006C3BEA">
      <w:pPr>
        <w:pStyle w:val="TableofFigures"/>
        <w:tabs>
          <w:tab w:val="right" w:leader="dot" w:pos="9628"/>
        </w:tabs>
        <w:rPr>
          <w:rFonts w:eastAsiaTheme="minorEastAsia"/>
          <w:noProof/>
          <w:lang w:eastAsia="en-AU"/>
        </w:rPr>
      </w:pPr>
      <w:hyperlink w:anchor="_Toc31878783" w:history="1">
        <w:r w:rsidR="00336C2C" w:rsidRPr="00AB2175">
          <w:rPr>
            <w:rStyle w:val="Hyperlink"/>
            <w:noProof/>
          </w:rPr>
          <w:t>Figure 2.6: Individual items regarding attitude to school, early school leavers compared to Year 12 completers Y06 cohort</w:t>
        </w:r>
        <w:r w:rsidR="00336C2C">
          <w:rPr>
            <w:noProof/>
            <w:webHidden/>
          </w:rPr>
          <w:tab/>
        </w:r>
        <w:r w:rsidR="00336C2C">
          <w:rPr>
            <w:noProof/>
            <w:webHidden/>
          </w:rPr>
          <w:fldChar w:fldCharType="begin"/>
        </w:r>
        <w:r w:rsidR="00336C2C">
          <w:rPr>
            <w:noProof/>
            <w:webHidden/>
          </w:rPr>
          <w:instrText xml:space="preserve"> PAGEREF _Toc31878783 \h </w:instrText>
        </w:r>
        <w:r w:rsidR="00336C2C">
          <w:rPr>
            <w:noProof/>
            <w:webHidden/>
          </w:rPr>
        </w:r>
        <w:r w:rsidR="00336C2C">
          <w:rPr>
            <w:noProof/>
            <w:webHidden/>
          </w:rPr>
          <w:fldChar w:fldCharType="separate"/>
        </w:r>
        <w:r w:rsidR="00433E17">
          <w:rPr>
            <w:noProof/>
            <w:webHidden/>
          </w:rPr>
          <w:t>16</w:t>
        </w:r>
        <w:r w:rsidR="00336C2C">
          <w:rPr>
            <w:noProof/>
            <w:webHidden/>
          </w:rPr>
          <w:fldChar w:fldCharType="end"/>
        </w:r>
      </w:hyperlink>
    </w:p>
    <w:p w14:paraId="2542DCB1" w14:textId="77777777" w:rsidR="00336C2C" w:rsidRDefault="006C3BEA">
      <w:pPr>
        <w:pStyle w:val="TableofFigures"/>
        <w:tabs>
          <w:tab w:val="right" w:leader="dot" w:pos="9628"/>
        </w:tabs>
        <w:rPr>
          <w:rFonts w:eastAsiaTheme="minorEastAsia"/>
          <w:noProof/>
          <w:lang w:eastAsia="en-AU"/>
        </w:rPr>
      </w:pPr>
      <w:hyperlink w:anchor="_Toc31878784" w:history="1">
        <w:r w:rsidR="00336C2C" w:rsidRPr="00AB2175">
          <w:rPr>
            <w:rStyle w:val="Hyperlink"/>
            <w:noProof/>
          </w:rPr>
          <w:t>Figure 2.7: Year 12 completion and school retention</w:t>
        </w:r>
        <w:r w:rsidR="00336C2C">
          <w:rPr>
            <w:noProof/>
            <w:webHidden/>
          </w:rPr>
          <w:tab/>
        </w:r>
        <w:r w:rsidR="00336C2C">
          <w:rPr>
            <w:noProof/>
            <w:webHidden/>
          </w:rPr>
          <w:fldChar w:fldCharType="begin"/>
        </w:r>
        <w:r w:rsidR="00336C2C">
          <w:rPr>
            <w:noProof/>
            <w:webHidden/>
          </w:rPr>
          <w:instrText xml:space="preserve"> PAGEREF _Toc31878784 \h </w:instrText>
        </w:r>
        <w:r w:rsidR="00336C2C">
          <w:rPr>
            <w:noProof/>
            <w:webHidden/>
          </w:rPr>
        </w:r>
        <w:r w:rsidR="00336C2C">
          <w:rPr>
            <w:noProof/>
            <w:webHidden/>
          </w:rPr>
          <w:fldChar w:fldCharType="separate"/>
        </w:r>
        <w:r w:rsidR="00433E17">
          <w:rPr>
            <w:noProof/>
            <w:webHidden/>
          </w:rPr>
          <w:t>17</w:t>
        </w:r>
        <w:r w:rsidR="00336C2C">
          <w:rPr>
            <w:noProof/>
            <w:webHidden/>
          </w:rPr>
          <w:fldChar w:fldCharType="end"/>
        </w:r>
      </w:hyperlink>
    </w:p>
    <w:p w14:paraId="11192F12" w14:textId="77777777" w:rsidR="00336C2C" w:rsidRDefault="006C3BEA">
      <w:pPr>
        <w:pStyle w:val="TableofFigures"/>
        <w:tabs>
          <w:tab w:val="right" w:leader="dot" w:pos="9628"/>
        </w:tabs>
        <w:rPr>
          <w:rFonts w:eastAsiaTheme="minorEastAsia"/>
          <w:noProof/>
          <w:lang w:eastAsia="en-AU"/>
        </w:rPr>
      </w:pPr>
      <w:hyperlink w:anchor="_Toc31878785" w:history="1">
        <w:r w:rsidR="00336C2C" w:rsidRPr="00AB2175">
          <w:rPr>
            <w:rStyle w:val="Hyperlink"/>
            <w:noProof/>
          </w:rPr>
          <w:t>Figure 2.8: School completion status at age 19</w:t>
        </w:r>
        <w:r w:rsidR="00336C2C">
          <w:rPr>
            <w:noProof/>
            <w:webHidden/>
          </w:rPr>
          <w:tab/>
        </w:r>
        <w:r w:rsidR="00336C2C">
          <w:rPr>
            <w:noProof/>
            <w:webHidden/>
          </w:rPr>
          <w:fldChar w:fldCharType="begin"/>
        </w:r>
        <w:r w:rsidR="00336C2C">
          <w:rPr>
            <w:noProof/>
            <w:webHidden/>
          </w:rPr>
          <w:instrText xml:space="preserve"> PAGEREF _Toc31878785 \h </w:instrText>
        </w:r>
        <w:r w:rsidR="00336C2C">
          <w:rPr>
            <w:noProof/>
            <w:webHidden/>
          </w:rPr>
        </w:r>
        <w:r w:rsidR="00336C2C">
          <w:rPr>
            <w:noProof/>
            <w:webHidden/>
          </w:rPr>
          <w:fldChar w:fldCharType="separate"/>
        </w:r>
        <w:r w:rsidR="00433E17">
          <w:rPr>
            <w:noProof/>
            <w:webHidden/>
          </w:rPr>
          <w:t>18</w:t>
        </w:r>
        <w:r w:rsidR="00336C2C">
          <w:rPr>
            <w:noProof/>
            <w:webHidden/>
          </w:rPr>
          <w:fldChar w:fldCharType="end"/>
        </w:r>
      </w:hyperlink>
    </w:p>
    <w:p w14:paraId="0E2F84EF" w14:textId="77777777" w:rsidR="00336C2C" w:rsidRDefault="006C3BEA">
      <w:pPr>
        <w:pStyle w:val="TableofFigures"/>
        <w:tabs>
          <w:tab w:val="right" w:leader="dot" w:pos="9628"/>
        </w:tabs>
        <w:rPr>
          <w:rFonts w:eastAsiaTheme="minorEastAsia"/>
          <w:noProof/>
          <w:lang w:eastAsia="en-AU"/>
        </w:rPr>
      </w:pPr>
      <w:hyperlink w:anchor="_Toc31878786" w:history="1">
        <w:r w:rsidR="00336C2C" w:rsidRPr="00AB2175">
          <w:rPr>
            <w:rStyle w:val="Hyperlink"/>
            <w:noProof/>
          </w:rPr>
          <w:t>Figure 2.9: Students studying any maths, by post-school study plans</w:t>
        </w:r>
        <w:r w:rsidR="00336C2C">
          <w:rPr>
            <w:noProof/>
            <w:webHidden/>
          </w:rPr>
          <w:tab/>
        </w:r>
        <w:r w:rsidR="00336C2C">
          <w:rPr>
            <w:noProof/>
            <w:webHidden/>
          </w:rPr>
          <w:fldChar w:fldCharType="begin"/>
        </w:r>
        <w:r w:rsidR="00336C2C">
          <w:rPr>
            <w:noProof/>
            <w:webHidden/>
          </w:rPr>
          <w:instrText xml:space="preserve"> PAGEREF _Toc31878786 \h </w:instrText>
        </w:r>
        <w:r w:rsidR="00336C2C">
          <w:rPr>
            <w:noProof/>
            <w:webHidden/>
          </w:rPr>
        </w:r>
        <w:r w:rsidR="00336C2C">
          <w:rPr>
            <w:noProof/>
            <w:webHidden/>
          </w:rPr>
          <w:fldChar w:fldCharType="separate"/>
        </w:r>
        <w:r w:rsidR="00433E17">
          <w:rPr>
            <w:noProof/>
            <w:webHidden/>
          </w:rPr>
          <w:t>19</w:t>
        </w:r>
        <w:r w:rsidR="00336C2C">
          <w:rPr>
            <w:noProof/>
            <w:webHidden/>
          </w:rPr>
          <w:fldChar w:fldCharType="end"/>
        </w:r>
      </w:hyperlink>
    </w:p>
    <w:p w14:paraId="500B6B90" w14:textId="77777777" w:rsidR="00336C2C" w:rsidRDefault="006C3BEA">
      <w:pPr>
        <w:pStyle w:val="TableofFigures"/>
        <w:tabs>
          <w:tab w:val="right" w:leader="dot" w:pos="9628"/>
        </w:tabs>
        <w:rPr>
          <w:rFonts w:eastAsiaTheme="minorEastAsia"/>
          <w:noProof/>
          <w:lang w:eastAsia="en-AU"/>
        </w:rPr>
      </w:pPr>
      <w:hyperlink w:anchor="_Toc31878787" w:history="1">
        <w:r w:rsidR="00336C2C" w:rsidRPr="00AB2175">
          <w:rPr>
            <w:rStyle w:val="Hyperlink"/>
            <w:noProof/>
          </w:rPr>
          <w:t>Figure 2.10: Students studying any science, by post-school study plans</w:t>
        </w:r>
        <w:r w:rsidR="00336C2C">
          <w:rPr>
            <w:noProof/>
            <w:webHidden/>
          </w:rPr>
          <w:tab/>
        </w:r>
        <w:r w:rsidR="00336C2C">
          <w:rPr>
            <w:noProof/>
            <w:webHidden/>
          </w:rPr>
          <w:fldChar w:fldCharType="begin"/>
        </w:r>
        <w:r w:rsidR="00336C2C">
          <w:rPr>
            <w:noProof/>
            <w:webHidden/>
          </w:rPr>
          <w:instrText xml:space="preserve"> PAGEREF _Toc31878787 \h </w:instrText>
        </w:r>
        <w:r w:rsidR="00336C2C">
          <w:rPr>
            <w:noProof/>
            <w:webHidden/>
          </w:rPr>
        </w:r>
        <w:r w:rsidR="00336C2C">
          <w:rPr>
            <w:noProof/>
            <w:webHidden/>
          </w:rPr>
          <w:fldChar w:fldCharType="separate"/>
        </w:r>
        <w:r w:rsidR="00433E17">
          <w:rPr>
            <w:noProof/>
            <w:webHidden/>
          </w:rPr>
          <w:t>20</w:t>
        </w:r>
        <w:r w:rsidR="00336C2C">
          <w:rPr>
            <w:noProof/>
            <w:webHidden/>
          </w:rPr>
          <w:fldChar w:fldCharType="end"/>
        </w:r>
      </w:hyperlink>
    </w:p>
    <w:p w14:paraId="612A49A1" w14:textId="77777777" w:rsidR="00336C2C" w:rsidRDefault="006C3BEA">
      <w:pPr>
        <w:pStyle w:val="TableofFigures"/>
        <w:tabs>
          <w:tab w:val="right" w:leader="dot" w:pos="9628"/>
        </w:tabs>
        <w:rPr>
          <w:rFonts w:eastAsiaTheme="minorEastAsia"/>
          <w:noProof/>
          <w:lang w:eastAsia="en-AU"/>
        </w:rPr>
      </w:pPr>
      <w:hyperlink w:anchor="_Toc31878788" w:history="1">
        <w:r w:rsidR="00336C2C" w:rsidRPr="00AB2175">
          <w:rPr>
            <w:rStyle w:val="Hyperlink"/>
            <w:noProof/>
          </w:rPr>
          <w:t>Figure 2.11: Participation at age 16 in VET delivered in schools</w:t>
        </w:r>
        <w:r w:rsidR="00336C2C">
          <w:rPr>
            <w:noProof/>
            <w:webHidden/>
          </w:rPr>
          <w:tab/>
        </w:r>
        <w:r w:rsidR="00336C2C">
          <w:rPr>
            <w:noProof/>
            <w:webHidden/>
          </w:rPr>
          <w:fldChar w:fldCharType="begin"/>
        </w:r>
        <w:r w:rsidR="00336C2C">
          <w:rPr>
            <w:noProof/>
            <w:webHidden/>
          </w:rPr>
          <w:instrText xml:space="preserve"> PAGEREF _Toc31878788 \h </w:instrText>
        </w:r>
        <w:r w:rsidR="00336C2C">
          <w:rPr>
            <w:noProof/>
            <w:webHidden/>
          </w:rPr>
        </w:r>
        <w:r w:rsidR="00336C2C">
          <w:rPr>
            <w:noProof/>
            <w:webHidden/>
          </w:rPr>
          <w:fldChar w:fldCharType="separate"/>
        </w:r>
        <w:r w:rsidR="00433E17">
          <w:rPr>
            <w:noProof/>
            <w:webHidden/>
          </w:rPr>
          <w:t>22</w:t>
        </w:r>
        <w:r w:rsidR="00336C2C">
          <w:rPr>
            <w:noProof/>
            <w:webHidden/>
          </w:rPr>
          <w:fldChar w:fldCharType="end"/>
        </w:r>
      </w:hyperlink>
    </w:p>
    <w:p w14:paraId="2E5788EB" w14:textId="77777777" w:rsidR="00336C2C" w:rsidRDefault="006C3BEA">
      <w:pPr>
        <w:pStyle w:val="TableofFigures"/>
        <w:tabs>
          <w:tab w:val="right" w:leader="dot" w:pos="9628"/>
        </w:tabs>
        <w:rPr>
          <w:rFonts w:eastAsiaTheme="minorEastAsia"/>
          <w:noProof/>
          <w:lang w:eastAsia="en-AU"/>
        </w:rPr>
      </w:pPr>
      <w:hyperlink w:anchor="_Toc31878789" w:history="1">
        <w:r w:rsidR="00336C2C" w:rsidRPr="00AB2175">
          <w:rPr>
            <w:rStyle w:val="Hyperlink"/>
            <w:noProof/>
          </w:rPr>
          <w:t>Figure 2.12: VET in Schools (VETIS) and post-school VET participation for students who originally planned non-VET pathways</w:t>
        </w:r>
        <w:r w:rsidR="00336C2C">
          <w:rPr>
            <w:noProof/>
            <w:webHidden/>
          </w:rPr>
          <w:tab/>
        </w:r>
        <w:r w:rsidR="00336C2C">
          <w:rPr>
            <w:noProof/>
            <w:webHidden/>
          </w:rPr>
          <w:fldChar w:fldCharType="begin"/>
        </w:r>
        <w:r w:rsidR="00336C2C">
          <w:rPr>
            <w:noProof/>
            <w:webHidden/>
          </w:rPr>
          <w:instrText xml:space="preserve"> PAGEREF _Toc31878789 \h </w:instrText>
        </w:r>
        <w:r w:rsidR="00336C2C">
          <w:rPr>
            <w:noProof/>
            <w:webHidden/>
          </w:rPr>
        </w:r>
        <w:r w:rsidR="00336C2C">
          <w:rPr>
            <w:noProof/>
            <w:webHidden/>
          </w:rPr>
          <w:fldChar w:fldCharType="separate"/>
        </w:r>
        <w:r w:rsidR="00433E17">
          <w:rPr>
            <w:noProof/>
            <w:webHidden/>
          </w:rPr>
          <w:t>22</w:t>
        </w:r>
        <w:r w:rsidR="00336C2C">
          <w:rPr>
            <w:noProof/>
            <w:webHidden/>
          </w:rPr>
          <w:fldChar w:fldCharType="end"/>
        </w:r>
      </w:hyperlink>
    </w:p>
    <w:p w14:paraId="6F2C7AA2" w14:textId="77777777" w:rsidR="00336C2C" w:rsidRDefault="006C3BEA">
      <w:pPr>
        <w:pStyle w:val="TableofFigures"/>
        <w:tabs>
          <w:tab w:val="right" w:leader="dot" w:pos="9628"/>
        </w:tabs>
        <w:rPr>
          <w:rFonts w:eastAsiaTheme="minorEastAsia"/>
          <w:noProof/>
          <w:lang w:eastAsia="en-AU"/>
        </w:rPr>
      </w:pPr>
      <w:hyperlink w:anchor="_Toc31878790" w:history="1">
        <w:r w:rsidR="00336C2C" w:rsidRPr="00AB2175">
          <w:rPr>
            <w:rStyle w:val="Hyperlink"/>
            <w:noProof/>
          </w:rPr>
          <w:t>Figure 3.1: Participation in any post school study by age 22</w:t>
        </w:r>
        <w:r w:rsidR="00336C2C">
          <w:rPr>
            <w:noProof/>
            <w:webHidden/>
          </w:rPr>
          <w:tab/>
        </w:r>
        <w:r w:rsidR="00336C2C">
          <w:rPr>
            <w:noProof/>
            <w:webHidden/>
          </w:rPr>
          <w:fldChar w:fldCharType="begin"/>
        </w:r>
        <w:r w:rsidR="00336C2C">
          <w:rPr>
            <w:noProof/>
            <w:webHidden/>
          </w:rPr>
          <w:instrText xml:space="preserve"> PAGEREF _Toc31878790 \h </w:instrText>
        </w:r>
        <w:r w:rsidR="00336C2C">
          <w:rPr>
            <w:noProof/>
            <w:webHidden/>
          </w:rPr>
        </w:r>
        <w:r w:rsidR="00336C2C">
          <w:rPr>
            <w:noProof/>
            <w:webHidden/>
          </w:rPr>
          <w:fldChar w:fldCharType="separate"/>
        </w:r>
        <w:r w:rsidR="00433E17">
          <w:rPr>
            <w:noProof/>
            <w:webHidden/>
          </w:rPr>
          <w:t>24</w:t>
        </w:r>
        <w:r w:rsidR="00336C2C">
          <w:rPr>
            <w:noProof/>
            <w:webHidden/>
          </w:rPr>
          <w:fldChar w:fldCharType="end"/>
        </w:r>
      </w:hyperlink>
    </w:p>
    <w:p w14:paraId="18697BD6" w14:textId="77777777" w:rsidR="00336C2C" w:rsidRDefault="006C3BEA">
      <w:pPr>
        <w:pStyle w:val="TableofFigures"/>
        <w:tabs>
          <w:tab w:val="right" w:leader="dot" w:pos="9628"/>
        </w:tabs>
        <w:rPr>
          <w:rFonts w:eastAsiaTheme="minorEastAsia"/>
          <w:noProof/>
          <w:lang w:eastAsia="en-AU"/>
        </w:rPr>
      </w:pPr>
      <w:hyperlink w:anchor="_Toc31878791" w:history="1">
        <w:r w:rsidR="00336C2C" w:rsidRPr="00AB2175">
          <w:rPr>
            <w:rStyle w:val="Hyperlink"/>
            <w:noProof/>
          </w:rPr>
          <w:t>Figure 3.2: Participation in post-school study sectors by age 22</w:t>
        </w:r>
        <w:r w:rsidR="00336C2C">
          <w:rPr>
            <w:noProof/>
            <w:webHidden/>
          </w:rPr>
          <w:tab/>
        </w:r>
        <w:r w:rsidR="00336C2C">
          <w:rPr>
            <w:noProof/>
            <w:webHidden/>
          </w:rPr>
          <w:fldChar w:fldCharType="begin"/>
        </w:r>
        <w:r w:rsidR="00336C2C">
          <w:rPr>
            <w:noProof/>
            <w:webHidden/>
          </w:rPr>
          <w:instrText xml:space="preserve"> PAGEREF _Toc31878791 \h </w:instrText>
        </w:r>
        <w:r w:rsidR="00336C2C">
          <w:rPr>
            <w:noProof/>
            <w:webHidden/>
          </w:rPr>
        </w:r>
        <w:r w:rsidR="00336C2C">
          <w:rPr>
            <w:noProof/>
            <w:webHidden/>
          </w:rPr>
          <w:fldChar w:fldCharType="separate"/>
        </w:r>
        <w:r w:rsidR="00433E17">
          <w:rPr>
            <w:noProof/>
            <w:webHidden/>
          </w:rPr>
          <w:t>24</w:t>
        </w:r>
        <w:r w:rsidR="00336C2C">
          <w:rPr>
            <w:noProof/>
            <w:webHidden/>
          </w:rPr>
          <w:fldChar w:fldCharType="end"/>
        </w:r>
      </w:hyperlink>
    </w:p>
    <w:p w14:paraId="21C07246" w14:textId="77777777" w:rsidR="00336C2C" w:rsidRDefault="006C3BEA">
      <w:pPr>
        <w:pStyle w:val="TableofFigures"/>
        <w:tabs>
          <w:tab w:val="right" w:leader="dot" w:pos="9628"/>
        </w:tabs>
        <w:rPr>
          <w:rFonts w:eastAsiaTheme="minorEastAsia"/>
          <w:noProof/>
          <w:lang w:eastAsia="en-AU"/>
        </w:rPr>
      </w:pPr>
      <w:hyperlink w:anchor="_Toc31878792" w:history="1">
        <w:r w:rsidR="00336C2C" w:rsidRPr="00AB2175">
          <w:rPr>
            <w:rStyle w:val="Hyperlink"/>
            <w:noProof/>
          </w:rPr>
          <w:t>Figure 3.3: Participation in higher education by age 22 by disadvantaged groups</w:t>
        </w:r>
        <w:r w:rsidR="00336C2C">
          <w:rPr>
            <w:noProof/>
            <w:webHidden/>
          </w:rPr>
          <w:tab/>
        </w:r>
        <w:r w:rsidR="00336C2C">
          <w:rPr>
            <w:noProof/>
            <w:webHidden/>
          </w:rPr>
          <w:fldChar w:fldCharType="begin"/>
        </w:r>
        <w:r w:rsidR="00336C2C">
          <w:rPr>
            <w:noProof/>
            <w:webHidden/>
          </w:rPr>
          <w:instrText xml:space="preserve"> PAGEREF _Toc31878792 \h </w:instrText>
        </w:r>
        <w:r w:rsidR="00336C2C">
          <w:rPr>
            <w:noProof/>
            <w:webHidden/>
          </w:rPr>
        </w:r>
        <w:r w:rsidR="00336C2C">
          <w:rPr>
            <w:noProof/>
            <w:webHidden/>
          </w:rPr>
          <w:fldChar w:fldCharType="separate"/>
        </w:r>
        <w:r w:rsidR="00433E17">
          <w:rPr>
            <w:noProof/>
            <w:webHidden/>
          </w:rPr>
          <w:t>25</w:t>
        </w:r>
        <w:r w:rsidR="00336C2C">
          <w:rPr>
            <w:noProof/>
            <w:webHidden/>
          </w:rPr>
          <w:fldChar w:fldCharType="end"/>
        </w:r>
      </w:hyperlink>
    </w:p>
    <w:p w14:paraId="6EEC9D60" w14:textId="77777777" w:rsidR="00336C2C" w:rsidRDefault="006C3BEA">
      <w:pPr>
        <w:pStyle w:val="TableofFigures"/>
        <w:tabs>
          <w:tab w:val="right" w:leader="dot" w:pos="9628"/>
        </w:tabs>
        <w:rPr>
          <w:rFonts w:eastAsiaTheme="minorEastAsia"/>
          <w:noProof/>
          <w:lang w:eastAsia="en-AU"/>
        </w:rPr>
      </w:pPr>
      <w:hyperlink w:anchor="_Toc31878793" w:history="1">
        <w:r w:rsidR="00336C2C" w:rsidRPr="00AB2175">
          <w:rPr>
            <w:rStyle w:val="Hyperlink"/>
            <w:noProof/>
          </w:rPr>
          <w:t>Figure 3.4: Participation in apprenticeships and traineeships by age 22</w:t>
        </w:r>
        <w:r w:rsidR="00336C2C">
          <w:rPr>
            <w:noProof/>
            <w:webHidden/>
          </w:rPr>
          <w:tab/>
        </w:r>
        <w:r w:rsidR="00336C2C">
          <w:rPr>
            <w:noProof/>
            <w:webHidden/>
          </w:rPr>
          <w:fldChar w:fldCharType="begin"/>
        </w:r>
        <w:r w:rsidR="00336C2C">
          <w:rPr>
            <w:noProof/>
            <w:webHidden/>
          </w:rPr>
          <w:instrText xml:space="preserve"> PAGEREF _Toc31878793 \h </w:instrText>
        </w:r>
        <w:r w:rsidR="00336C2C">
          <w:rPr>
            <w:noProof/>
            <w:webHidden/>
          </w:rPr>
        </w:r>
        <w:r w:rsidR="00336C2C">
          <w:rPr>
            <w:noProof/>
            <w:webHidden/>
          </w:rPr>
          <w:fldChar w:fldCharType="separate"/>
        </w:r>
        <w:r w:rsidR="00433E17">
          <w:rPr>
            <w:noProof/>
            <w:webHidden/>
          </w:rPr>
          <w:t>26</w:t>
        </w:r>
        <w:r w:rsidR="00336C2C">
          <w:rPr>
            <w:noProof/>
            <w:webHidden/>
          </w:rPr>
          <w:fldChar w:fldCharType="end"/>
        </w:r>
      </w:hyperlink>
    </w:p>
    <w:p w14:paraId="065E63B0" w14:textId="77777777" w:rsidR="00336C2C" w:rsidRDefault="006C3BEA">
      <w:pPr>
        <w:pStyle w:val="TableofFigures"/>
        <w:tabs>
          <w:tab w:val="right" w:leader="dot" w:pos="9628"/>
        </w:tabs>
        <w:rPr>
          <w:rFonts w:eastAsiaTheme="minorEastAsia"/>
          <w:noProof/>
          <w:lang w:eastAsia="en-AU"/>
        </w:rPr>
      </w:pPr>
      <w:hyperlink w:anchor="_Toc31878794" w:history="1">
        <w:r w:rsidR="00336C2C" w:rsidRPr="00AB2175">
          <w:rPr>
            <w:rStyle w:val="Hyperlink"/>
            <w:noProof/>
          </w:rPr>
          <w:t>Figure 3.5: Participation in higher education by field of study*</w:t>
        </w:r>
        <w:r w:rsidR="00336C2C">
          <w:rPr>
            <w:noProof/>
            <w:webHidden/>
          </w:rPr>
          <w:tab/>
        </w:r>
        <w:r w:rsidR="00336C2C">
          <w:rPr>
            <w:noProof/>
            <w:webHidden/>
          </w:rPr>
          <w:fldChar w:fldCharType="begin"/>
        </w:r>
        <w:r w:rsidR="00336C2C">
          <w:rPr>
            <w:noProof/>
            <w:webHidden/>
          </w:rPr>
          <w:instrText xml:space="preserve"> PAGEREF _Toc31878794 \h </w:instrText>
        </w:r>
        <w:r w:rsidR="00336C2C">
          <w:rPr>
            <w:noProof/>
            <w:webHidden/>
          </w:rPr>
        </w:r>
        <w:r w:rsidR="00336C2C">
          <w:rPr>
            <w:noProof/>
            <w:webHidden/>
          </w:rPr>
          <w:fldChar w:fldCharType="separate"/>
        </w:r>
        <w:r w:rsidR="00433E17">
          <w:rPr>
            <w:noProof/>
            <w:webHidden/>
          </w:rPr>
          <w:t>27</w:t>
        </w:r>
        <w:r w:rsidR="00336C2C">
          <w:rPr>
            <w:noProof/>
            <w:webHidden/>
          </w:rPr>
          <w:fldChar w:fldCharType="end"/>
        </w:r>
      </w:hyperlink>
    </w:p>
    <w:p w14:paraId="6E231B7F" w14:textId="77777777" w:rsidR="00336C2C" w:rsidRDefault="006C3BEA">
      <w:pPr>
        <w:pStyle w:val="TableofFigures"/>
        <w:tabs>
          <w:tab w:val="right" w:leader="dot" w:pos="9628"/>
        </w:tabs>
        <w:rPr>
          <w:rFonts w:eastAsiaTheme="minorEastAsia"/>
          <w:noProof/>
          <w:lang w:eastAsia="en-AU"/>
        </w:rPr>
      </w:pPr>
      <w:hyperlink w:anchor="_Toc31878795" w:history="1">
        <w:r w:rsidR="00336C2C" w:rsidRPr="00AB2175">
          <w:rPr>
            <w:rStyle w:val="Hyperlink"/>
            <w:noProof/>
          </w:rPr>
          <w:t>Figure 3.6: Participation in apprenticeship or traineeship, by field of study*</w:t>
        </w:r>
        <w:r w:rsidR="00336C2C">
          <w:rPr>
            <w:noProof/>
            <w:webHidden/>
          </w:rPr>
          <w:tab/>
        </w:r>
        <w:r w:rsidR="00336C2C">
          <w:rPr>
            <w:noProof/>
            <w:webHidden/>
          </w:rPr>
          <w:fldChar w:fldCharType="begin"/>
        </w:r>
        <w:r w:rsidR="00336C2C">
          <w:rPr>
            <w:noProof/>
            <w:webHidden/>
          </w:rPr>
          <w:instrText xml:space="preserve"> PAGEREF _Toc31878795 \h </w:instrText>
        </w:r>
        <w:r w:rsidR="00336C2C">
          <w:rPr>
            <w:noProof/>
            <w:webHidden/>
          </w:rPr>
        </w:r>
        <w:r w:rsidR="00336C2C">
          <w:rPr>
            <w:noProof/>
            <w:webHidden/>
          </w:rPr>
          <w:fldChar w:fldCharType="separate"/>
        </w:r>
        <w:r w:rsidR="00433E17">
          <w:rPr>
            <w:noProof/>
            <w:webHidden/>
          </w:rPr>
          <w:t>28</w:t>
        </w:r>
        <w:r w:rsidR="00336C2C">
          <w:rPr>
            <w:noProof/>
            <w:webHidden/>
          </w:rPr>
          <w:fldChar w:fldCharType="end"/>
        </w:r>
      </w:hyperlink>
    </w:p>
    <w:p w14:paraId="53E2B8B1" w14:textId="77777777" w:rsidR="00336C2C" w:rsidRDefault="006C3BEA">
      <w:pPr>
        <w:pStyle w:val="TableofFigures"/>
        <w:tabs>
          <w:tab w:val="right" w:leader="dot" w:pos="9628"/>
        </w:tabs>
        <w:rPr>
          <w:rFonts w:eastAsiaTheme="minorEastAsia"/>
          <w:noProof/>
          <w:lang w:eastAsia="en-AU"/>
        </w:rPr>
      </w:pPr>
      <w:hyperlink w:anchor="_Toc31878796" w:history="1">
        <w:r w:rsidR="00336C2C" w:rsidRPr="00AB2175">
          <w:rPr>
            <w:rStyle w:val="Hyperlink"/>
            <w:noProof/>
          </w:rPr>
          <w:t>Figure 3.7: Achievement of initial study goals by age 25</w:t>
        </w:r>
        <w:r w:rsidR="00336C2C">
          <w:rPr>
            <w:noProof/>
            <w:webHidden/>
          </w:rPr>
          <w:tab/>
        </w:r>
        <w:r w:rsidR="00336C2C">
          <w:rPr>
            <w:noProof/>
            <w:webHidden/>
          </w:rPr>
          <w:fldChar w:fldCharType="begin"/>
        </w:r>
        <w:r w:rsidR="00336C2C">
          <w:rPr>
            <w:noProof/>
            <w:webHidden/>
          </w:rPr>
          <w:instrText xml:space="preserve"> PAGEREF _Toc31878796 \h </w:instrText>
        </w:r>
        <w:r w:rsidR="00336C2C">
          <w:rPr>
            <w:noProof/>
            <w:webHidden/>
          </w:rPr>
        </w:r>
        <w:r w:rsidR="00336C2C">
          <w:rPr>
            <w:noProof/>
            <w:webHidden/>
          </w:rPr>
          <w:fldChar w:fldCharType="separate"/>
        </w:r>
        <w:r w:rsidR="00433E17">
          <w:rPr>
            <w:noProof/>
            <w:webHidden/>
          </w:rPr>
          <w:t>29</w:t>
        </w:r>
        <w:r w:rsidR="00336C2C">
          <w:rPr>
            <w:noProof/>
            <w:webHidden/>
          </w:rPr>
          <w:fldChar w:fldCharType="end"/>
        </w:r>
      </w:hyperlink>
    </w:p>
    <w:p w14:paraId="3BD44B52" w14:textId="77777777" w:rsidR="00336C2C" w:rsidRDefault="006C3BEA">
      <w:pPr>
        <w:pStyle w:val="TableofFigures"/>
        <w:tabs>
          <w:tab w:val="right" w:leader="dot" w:pos="9628"/>
        </w:tabs>
        <w:rPr>
          <w:rFonts w:eastAsiaTheme="minorEastAsia"/>
          <w:noProof/>
          <w:lang w:eastAsia="en-AU"/>
        </w:rPr>
      </w:pPr>
      <w:hyperlink w:anchor="_Toc31878797" w:history="1">
        <w:r w:rsidR="00336C2C" w:rsidRPr="00AB2175">
          <w:rPr>
            <w:rStyle w:val="Hyperlink"/>
            <w:noProof/>
          </w:rPr>
          <w:t>Figure 3.8: Study pathways for the Y06 cohort</w:t>
        </w:r>
        <w:r w:rsidR="00336C2C">
          <w:rPr>
            <w:noProof/>
            <w:webHidden/>
          </w:rPr>
          <w:tab/>
        </w:r>
        <w:r w:rsidR="00336C2C">
          <w:rPr>
            <w:noProof/>
            <w:webHidden/>
          </w:rPr>
          <w:fldChar w:fldCharType="begin"/>
        </w:r>
        <w:r w:rsidR="00336C2C">
          <w:rPr>
            <w:noProof/>
            <w:webHidden/>
          </w:rPr>
          <w:instrText xml:space="preserve"> PAGEREF _Toc31878797 \h </w:instrText>
        </w:r>
        <w:r w:rsidR="00336C2C">
          <w:rPr>
            <w:noProof/>
            <w:webHidden/>
          </w:rPr>
        </w:r>
        <w:r w:rsidR="00336C2C">
          <w:rPr>
            <w:noProof/>
            <w:webHidden/>
          </w:rPr>
          <w:fldChar w:fldCharType="separate"/>
        </w:r>
        <w:r w:rsidR="00433E17">
          <w:rPr>
            <w:noProof/>
            <w:webHidden/>
          </w:rPr>
          <w:t>30</w:t>
        </w:r>
        <w:r w:rsidR="00336C2C">
          <w:rPr>
            <w:noProof/>
            <w:webHidden/>
          </w:rPr>
          <w:fldChar w:fldCharType="end"/>
        </w:r>
      </w:hyperlink>
    </w:p>
    <w:p w14:paraId="5A5A6DA4" w14:textId="77777777" w:rsidR="00336C2C" w:rsidRDefault="006C3BEA">
      <w:pPr>
        <w:pStyle w:val="TableofFigures"/>
        <w:tabs>
          <w:tab w:val="right" w:leader="dot" w:pos="9628"/>
        </w:tabs>
        <w:rPr>
          <w:rFonts w:eastAsiaTheme="minorEastAsia"/>
          <w:noProof/>
          <w:lang w:eastAsia="en-AU"/>
        </w:rPr>
      </w:pPr>
      <w:hyperlink w:anchor="_Toc31878798" w:history="1">
        <w:r w:rsidR="00336C2C" w:rsidRPr="00AB2175">
          <w:rPr>
            <w:rStyle w:val="Hyperlink"/>
            <w:noProof/>
          </w:rPr>
          <w:t>Figure 3.9: Income sources for higher education (left) and non-apprentice VET (right) students aged 19</w:t>
        </w:r>
        <w:r w:rsidR="00336C2C">
          <w:rPr>
            <w:noProof/>
            <w:webHidden/>
          </w:rPr>
          <w:tab/>
        </w:r>
        <w:r w:rsidR="00336C2C">
          <w:rPr>
            <w:noProof/>
            <w:webHidden/>
          </w:rPr>
          <w:fldChar w:fldCharType="begin"/>
        </w:r>
        <w:r w:rsidR="00336C2C">
          <w:rPr>
            <w:noProof/>
            <w:webHidden/>
          </w:rPr>
          <w:instrText xml:space="preserve"> PAGEREF _Toc31878798 \h </w:instrText>
        </w:r>
        <w:r w:rsidR="00336C2C">
          <w:rPr>
            <w:noProof/>
            <w:webHidden/>
          </w:rPr>
        </w:r>
        <w:r w:rsidR="00336C2C">
          <w:rPr>
            <w:noProof/>
            <w:webHidden/>
          </w:rPr>
          <w:fldChar w:fldCharType="separate"/>
        </w:r>
        <w:r w:rsidR="00433E17">
          <w:rPr>
            <w:noProof/>
            <w:webHidden/>
          </w:rPr>
          <w:t>31</w:t>
        </w:r>
        <w:r w:rsidR="00336C2C">
          <w:rPr>
            <w:noProof/>
            <w:webHidden/>
          </w:rPr>
          <w:fldChar w:fldCharType="end"/>
        </w:r>
      </w:hyperlink>
    </w:p>
    <w:p w14:paraId="5A2D1926" w14:textId="77777777" w:rsidR="00336C2C" w:rsidRDefault="006C3BEA">
      <w:pPr>
        <w:pStyle w:val="TableofFigures"/>
        <w:tabs>
          <w:tab w:val="right" w:leader="dot" w:pos="9628"/>
        </w:tabs>
        <w:rPr>
          <w:rFonts w:eastAsiaTheme="minorEastAsia"/>
          <w:noProof/>
          <w:lang w:eastAsia="en-AU"/>
        </w:rPr>
      </w:pPr>
      <w:hyperlink w:anchor="_Toc31878799" w:history="1">
        <w:r w:rsidR="00336C2C" w:rsidRPr="00AB2175">
          <w:rPr>
            <w:rStyle w:val="Hyperlink"/>
            <w:noProof/>
          </w:rPr>
          <w:t>Figure 4.1: Labour force status by qualification level at age 25</w:t>
        </w:r>
        <w:r w:rsidR="00336C2C">
          <w:rPr>
            <w:noProof/>
            <w:webHidden/>
          </w:rPr>
          <w:tab/>
        </w:r>
        <w:r w:rsidR="00336C2C">
          <w:rPr>
            <w:noProof/>
            <w:webHidden/>
          </w:rPr>
          <w:fldChar w:fldCharType="begin"/>
        </w:r>
        <w:r w:rsidR="00336C2C">
          <w:rPr>
            <w:noProof/>
            <w:webHidden/>
          </w:rPr>
          <w:instrText xml:space="preserve"> PAGEREF _Toc31878799 \h </w:instrText>
        </w:r>
        <w:r w:rsidR="00336C2C">
          <w:rPr>
            <w:noProof/>
            <w:webHidden/>
          </w:rPr>
        </w:r>
        <w:r w:rsidR="00336C2C">
          <w:rPr>
            <w:noProof/>
            <w:webHidden/>
          </w:rPr>
          <w:fldChar w:fldCharType="separate"/>
        </w:r>
        <w:r w:rsidR="00433E17">
          <w:rPr>
            <w:noProof/>
            <w:webHidden/>
          </w:rPr>
          <w:t>33</w:t>
        </w:r>
        <w:r w:rsidR="00336C2C">
          <w:rPr>
            <w:noProof/>
            <w:webHidden/>
          </w:rPr>
          <w:fldChar w:fldCharType="end"/>
        </w:r>
      </w:hyperlink>
    </w:p>
    <w:p w14:paraId="0F2AA837" w14:textId="77777777" w:rsidR="00336C2C" w:rsidRDefault="006C3BEA">
      <w:pPr>
        <w:pStyle w:val="TableofFigures"/>
        <w:tabs>
          <w:tab w:val="right" w:leader="dot" w:pos="9628"/>
        </w:tabs>
        <w:rPr>
          <w:rFonts w:eastAsiaTheme="minorEastAsia"/>
          <w:noProof/>
          <w:lang w:eastAsia="en-AU"/>
        </w:rPr>
      </w:pPr>
      <w:hyperlink w:anchor="_Toc31878800" w:history="1">
        <w:r w:rsidR="00336C2C" w:rsidRPr="00AB2175">
          <w:rPr>
            <w:rStyle w:val="Hyperlink"/>
            <w:noProof/>
          </w:rPr>
          <w:t>Figure 4.2: Periods of unemployment between 21 and 25, by qualification level at age 25</w:t>
        </w:r>
        <w:r w:rsidR="00336C2C">
          <w:rPr>
            <w:noProof/>
            <w:webHidden/>
          </w:rPr>
          <w:tab/>
        </w:r>
        <w:r w:rsidR="00336C2C">
          <w:rPr>
            <w:noProof/>
            <w:webHidden/>
          </w:rPr>
          <w:fldChar w:fldCharType="begin"/>
        </w:r>
        <w:r w:rsidR="00336C2C">
          <w:rPr>
            <w:noProof/>
            <w:webHidden/>
          </w:rPr>
          <w:instrText xml:space="preserve"> PAGEREF _Toc31878800 \h </w:instrText>
        </w:r>
        <w:r w:rsidR="00336C2C">
          <w:rPr>
            <w:noProof/>
            <w:webHidden/>
          </w:rPr>
        </w:r>
        <w:r w:rsidR="00336C2C">
          <w:rPr>
            <w:noProof/>
            <w:webHidden/>
          </w:rPr>
          <w:fldChar w:fldCharType="separate"/>
        </w:r>
        <w:r w:rsidR="00433E17">
          <w:rPr>
            <w:noProof/>
            <w:webHidden/>
          </w:rPr>
          <w:t>35</w:t>
        </w:r>
        <w:r w:rsidR="00336C2C">
          <w:rPr>
            <w:noProof/>
            <w:webHidden/>
          </w:rPr>
          <w:fldChar w:fldCharType="end"/>
        </w:r>
      </w:hyperlink>
    </w:p>
    <w:p w14:paraId="7283FE8C" w14:textId="77777777" w:rsidR="00336C2C" w:rsidRDefault="006C3BEA">
      <w:pPr>
        <w:pStyle w:val="TableofFigures"/>
        <w:tabs>
          <w:tab w:val="right" w:leader="dot" w:pos="9628"/>
        </w:tabs>
        <w:rPr>
          <w:rFonts w:eastAsiaTheme="minorEastAsia"/>
          <w:noProof/>
          <w:lang w:eastAsia="en-AU"/>
        </w:rPr>
      </w:pPr>
      <w:hyperlink w:anchor="_Toc31878801" w:history="1">
        <w:r w:rsidR="00336C2C" w:rsidRPr="00AB2175">
          <w:rPr>
            <w:rStyle w:val="Hyperlink"/>
            <w:noProof/>
          </w:rPr>
          <w:t>Figure 4.3: Skill level of occupation compared to qualification at age 25</w:t>
        </w:r>
        <w:r w:rsidR="00336C2C">
          <w:rPr>
            <w:noProof/>
            <w:webHidden/>
          </w:rPr>
          <w:tab/>
        </w:r>
        <w:r w:rsidR="00336C2C">
          <w:rPr>
            <w:noProof/>
            <w:webHidden/>
          </w:rPr>
          <w:fldChar w:fldCharType="begin"/>
        </w:r>
        <w:r w:rsidR="00336C2C">
          <w:rPr>
            <w:noProof/>
            <w:webHidden/>
          </w:rPr>
          <w:instrText xml:space="preserve"> PAGEREF _Toc31878801 \h </w:instrText>
        </w:r>
        <w:r w:rsidR="00336C2C">
          <w:rPr>
            <w:noProof/>
            <w:webHidden/>
          </w:rPr>
        </w:r>
        <w:r w:rsidR="00336C2C">
          <w:rPr>
            <w:noProof/>
            <w:webHidden/>
          </w:rPr>
          <w:fldChar w:fldCharType="separate"/>
        </w:r>
        <w:r w:rsidR="00433E17">
          <w:rPr>
            <w:noProof/>
            <w:webHidden/>
          </w:rPr>
          <w:t>36</w:t>
        </w:r>
        <w:r w:rsidR="00336C2C">
          <w:rPr>
            <w:noProof/>
            <w:webHidden/>
          </w:rPr>
          <w:fldChar w:fldCharType="end"/>
        </w:r>
      </w:hyperlink>
    </w:p>
    <w:p w14:paraId="4CC94662" w14:textId="77777777" w:rsidR="00336C2C" w:rsidRDefault="006C3BEA">
      <w:pPr>
        <w:pStyle w:val="TableofFigures"/>
        <w:tabs>
          <w:tab w:val="right" w:leader="dot" w:pos="9628"/>
        </w:tabs>
        <w:rPr>
          <w:rFonts w:eastAsiaTheme="minorEastAsia"/>
          <w:noProof/>
          <w:lang w:eastAsia="en-AU"/>
        </w:rPr>
      </w:pPr>
      <w:hyperlink w:anchor="_Toc31878802" w:history="1">
        <w:r w:rsidR="00336C2C" w:rsidRPr="00AB2175">
          <w:rPr>
            <w:rStyle w:val="Hyperlink"/>
            <w:noProof/>
          </w:rPr>
          <w:t>Figure 4.4: Labour force status at age 25 by field of post-school study, Y03 and Y06 cohorts</w:t>
        </w:r>
        <w:r w:rsidR="00336C2C">
          <w:rPr>
            <w:noProof/>
            <w:webHidden/>
          </w:rPr>
          <w:tab/>
        </w:r>
        <w:r w:rsidR="00336C2C">
          <w:rPr>
            <w:noProof/>
            <w:webHidden/>
          </w:rPr>
          <w:fldChar w:fldCharType="begin"/>
        </w:r>
        <w:r w:rsidR="00336C2C">
          <w:rPr>
            <w:noProof/>
            <w:webHidden/>
          </w:rPr>
          <w:instrText xml:space="preserve"> PAGEREF _Toc31878802 \h </w:instrText>
        </w:r>
        <w:r w:rsidR="00336C2C">
          <w:rPr>
            <w:noProof/>
            <w:webHidden/>
          </w:rPr>
        </w:r>
        <w:r w:rsidR="00336C2C">
          <w:rPr>
            <w:noProof/>
            <w:webHidden/>
          </w:rPr>
          <w:fldChar w:fldCharType="separate"/>
        </w:r>
        <w:r w:rsidR="00433E17">
          <w:rPr>
            <w:noProof/>
            <w:webHidden/>
          </w:rPr>
          <w:t>37</w:t>
        </w:r>
        <w:r w:rsidR="00336C2C">
          <w:rPr>
            <w:noProof/>
            <w:webHidden/>
          </w:rPr>
          <w:fldChar w:fldCharType="end"/>
        </w:r>
      </w:hyperlink>
    </w:p>
    <w:p w14:paraId="609DEB73" w14:textId="77777777" w:rsidR="00336C2C" w:rsidRDefault="006C3BEA">
      <w:pPr>
        <w:pStyle w:val="TableofFigures"/>
        <w:tabs>
          <w:tab w:val="right" w:leader="dot" w:pos="9628"/>
        </w:tabs>
        <w:rPr>
          <w:rFonts w:eastAsiaTheme="minorEastAsia"/>
          <w:noProof/>
          <w:lang w:eastAsia="en-AU"/>
        </w:rPr>
      </w:pPr>
      <w:hyperlink w:anchor="_Toc31878803" w:history="1">
        <w:r w:rsidR="00336C2C" w:rsidRPr="00AB2175">
          <w:rPr>
            <w:rStyle w:val="Hyperlink"/>
            <w:noProof/>
          </w:rPr>
          <w:t>Figure 5.1: Transitions from full-time study to full-time work</w:t>
        </w:r>
        <w:r w:rsidR="00336C2C">
          <w:rPr>
            <w:noProof/>
            <w:webHidden/>
          </w:rPr>
          <w:tab/>
        </w:r>
        <w:r w:rsidR="00336C2C">
          <w:rPr>
            <w:noProof/>
            <w:webHidden/>
          </w:rPr>
          <w:fldChar w:fldCharType="begin"/>
        </w:r>
        <w:r w:rsidR="00336C2C">
          <w:rPr>
            <w:noProof/>
            <w:webHidden/>
          </w:rPr>
          <w:instrText xml:space="preserve"> PAGEREF _Toc31878803 \h </w:instrText>
        </w:r>
        <w:r w:rsidR="00336C2C">
          <w:rPr>
            <w:noProof/>
            <w:webHidden/>
          </w:rPr>
        </w:r>
        <w:r w:rsidR="00336C2C">
          <w:rPr>
            <w:noProof/>
            <w:webHidden/>
          </w:rPr>
          <w:fldChar w:fldCharType="separate"/>
        </w:r>
        <w:r w:rsidR="00433E17">
          <w:rPr>
            <w:noProof/>
            <w:webHidden/>
          </w:rPr>
          <w:t>38</w:t>
        </w:r>
        <w:r w:rsidR="00336C2C">
          <w:rPr>
            <w:noProof/>
            <w:webHidden/>
          </w:rPr>
          <w:fldChar w:fldCharType="end"/>
        </w:r>
      </w:hyperlink>
    </w:p>
    <w:p w14:paraId="255E906B" w14:textId="77777777" w:rsidR="00336C2C" w:rsidRDefault="006C3BEA">
      <w:pPr>
        <w:pStyle w:val="TableofFigures"/>
        <w:tabs>
          <w:tab w:val="right" w:leader="dot" w:pos="9628"/>
        </w:tabs>
        <w:rPr>
          <w:rFonts w:eastAsiaTheme="minorEastAsia"/>
          <w:noProof/>
          <w:lang w:eastAsia="en-AU"/>
        </w:rPr>
      </w:pPr>
      <w:hyperlink w:anchor="_Toc31878804" w:history="1">
        <w:r w:rsidR="00336C2C" w:rsidRPr="00AB2175">
          <w:rPr>
            <w:rStyle w:val="Hyperlink"/>
            <w:noProof/>
          </w:rPr>
          <w:t>Figure 5.2: Percentage of young people living in and out of the parental home</w:t>
        </w:r>
        <w:r w:rsidR="00336C2C">
          <w:rPr>
            <w:noProof/>
            <w:webHidden/>
          </w:rPr>
          <w:tab/>
        </w:r>
        <w:r w:rsidR="00336C2C">
          <w:rPr>
            <w:noProof/>
            <w:webHidden/>
          </w:rPr>
          <w:fldChar w:fldCharType="begin"/>
        </w:r>
        <w:r w:rsidR="00336C2C">
          <w:rPr>
            <w:noProof/>
            <w:webHidden/>
          </w:rPr>
          <w:instrText xml:space="preserve"> PAGEREF _Toc31878804 \h </w:instrText>
        </w:r>
        <w:r w:rsidR="00336C2C">
          <w:rPr>
            <w:noProof/>
            <w:webHidden/>
          </w:rPr>
        </w:r>
        <w:r w:rsidR="00336C2C">
          <w:rPr>
            <w:noProof/>
            <w:webHidden/>
          </w:rPr>
          <w:fldChar w:fldCharType="separate"/>
        </w:r>
        <w:r w:rsidR="00433E17">
          <w:rPr>
            <w:noProof/>
            <w:webHidden/>
          </w:rPr>
          <w:t>39</w:t>
        </w:r>
        <w:r w:rsidR="00336C2C">
          <w:rPr>
            <w:noProof/>
            <w:webHidden/>
          </w:rPr>
          <w:fldChar w:fldCharType="end"/>
        </w:r>
      </w:hyperlink>
    </w:p>
    <w:p w14:paraId="37D71317" w14:textId="77777777" w:rsidR="00336C2C" w:rsidRDefault="006C3BEA">
      <w:pPr>
        <w:pStyle w:val="TableofFigures"/>
        <w:tabs>
          <w:tab w:val="right" w:leader="dot" w:pos="9628"/>
        </w:tabs>
        <w:rPr>
          <w:rFonts w:eastAsiaTheme="minorEastAsia"/>
          <w:noProof/>
          <w:lang w:eastAsia="en-AU"/>
        </w:rPr>
      </w:pPr>
      <w:hyperlink w:anchor="_Toc31878805" w:history="1">
        <w:r w:rsidR="00336C2C" w:rsidRPr="00AB2175">
          <w:rPr>
            <w:rStyle w:val="Hyperlink"/>
            <w:noProof/>
          </w:rPr>
          <w:t>Figure 5.3: Living arrangements at age 25 (left); Family status at age 25 (right)</w:t>
        </w:r>
        <w:r w:rsidR="00336C2C">
          <w:rPr>
            <w:noProof/>
            <w:webHidden/>
          </w:rPr>
          <w:tab/>
        </w:r>
        <w:r w:rsidR="00336C2C">
          <w:rPr>
            <w:noProof/>
            <w:webHidden/>
          </w:rPr>
          <w:fldChar w:fldCharType="begin"/>
        </w:r>
        <w:r w:rsidR="00336C2C">
          <w:rPr>
            <w:noProof/>
            <w:webHidden/>
          </w:rPr>
          <w:instrText xml:space="preserve"> PAGEREF _Toc31878805 \h </w:instrText>
        </w:r>
        <w:r w:rsidR="00336C2C">
          <w:rPr>
            <w:noProof/>
            <w:webHidden/>
          </w:rPr>
        </w:r>
        <w:r w:rsidR="00336C2C">
          <w:rPr>
            <w:noProof/>
            <w:webHidden/>
          </w:rPr>
          <w:fldChar w:fldCharType="separate"/>
        </w:r>
        <w:r w:rsidR="00433E17">
          <w:rPr>
            <w:noProof/>
            <w:webHidden/>
          </w:rPr>
          <w:t>40</w:t>
        </w:r>
        <w:r w:rsidR="00336C2C">
          <w:rPr>
            <w:noProof/>
            <w:webHidden/>
          </w:rPr>
          <w:fldChar w:fldCharType="end"/>
        </w:r>
      </w:hyperlink>
    </w:p>
    <w:p w14:paraId="5104385D" w14:textId="77777777" w:rsidR="00336C2C" w:rsidRDefault="006C3BEA">
      <w:pPr>
        <w:pStyle w:val="TableofFigures"/>
        <w:tabs>
          <w:tab w:val="right" w:leader="dot" w:pos="9628"/>
        </w:tabs>
        <w:rPr>
          <w:rFonts w:eastAsiaTheme="minorEastAsia"/>
          <w:noProof/>
          <w:lang w:eastAsia="en-AU"/>
        </w:rPr>
      </w:pPr>
      <w:hyperlink w:anchor="_Toc31878806" w:history="1">
        <w:r w:rsidR="00336C2C" w:rsidRPr="00AB2175">
          <w:rPr>
            <w:rStyle w:val="Hyperlink"/>
            <w:noProof/>
          </w:rPr>
          <w:t>Figure 5.4: Proportion of 25 year olds experiencing high financial stress, by qualification level</w:t>
        </w:r>
        <w:r w:rsidR="00336C2C">
          <w:rPr>
            <w:noProof/>
            <w:webHidden/>
          </w:rPr>
          <w:tab/>
        </w:r>
        <w:r w:rsidR="00336C2C">
          <w:rPr>
            <w:noProof/>
            <w:webHidden/>
          </w:rPr>
          <w:fldChar w:fldCharType="begin"/>
        </w:r>
        <w:r w:rsidR="00336C2C">
          <w:rPr>
            <w:noProof/>
            <w:webHidden/>
          </w:rPr>
          <w:instrText xml:space="preserve"> PAGEREF _Toc31878806 \h </w:instrText>
        </w:r>
        <w:r w:rsidR="00336C2C">
          <w:rPr>
            <w:noProof/>
            <w:webHidden/>
          </w:rPr>
        </w:r>
        <w:r w:rsidR="00336C2C">
          <w:rPr>
            <w:noProof/>
            <w:webHidden/>
          </w:rPr>
          <w:fldChar w:fldCharType="separate"/>
        </w:r>
        <w:r w:rsidR="00433E17">
          <w:rPr>
            <w:noProof/>
            <w:webHidden/>
          </w:rPr>
          <w:t>41</w:t>
        </w:r>
        <w:r w:rsidR="00336C2C">
          <w:rPr>
            <w:noProof/>
            <w:webHidden/>
          </w:rPr>
          <w:fldChar w:fldCharType="end"/>
        </w:r>
      </w:hyperlink>
    </w:p>
    <w:p w14:paraId="29F32DEA" w14:textId="77777777" w:rsidR="00336C2C" w:rsidRDefault="006C3BEA">
      <w:pPr>
        <w:pStyle w:val="TableofFigures"/>
        <w:tabs>
          <w:tab w:val="right" w:leader="dot" w:pos="9628"/>
        </w:tabs>
        <w:rPr>
          <w:rFonts w:eastAsiaTheme="minorEastAsia"/>
          <w:noProof/>
          <w:lang w:eastAsia="en-AU"/>
        </w:rPr>
      </w:pPr>
      <w:hyperlink w:anchor="_Toc31878807" w:history="1">
        <w:r w:rsidR="00336C2C" w:rsidRPr="00AB2175">
          <w:rPr>
            <w:rStyle w:val="Hyperlink"/>
            <w:noProof/>
          </w:rPr>
          <w:t>Figure 5.5: Proportion of 25 year olds “at risk of serious mental illness” by qualification level</w:t>
        </w:r>
        <w:r w:rsidR="00336C2C">
          <w:rPr>
            <w:noProof/>
            <w:webHidden/>
          </w:rPr>
          <w:tab/>
        </w:r>
        <w:r w:rsidR="00336C2C">
          <w:rPr>
            <w:noProof/>
            <w:webHidden/>
          </w:rPr>
          <w:fldChar w:fldCharType="begin"/>
        </w:r>
        <w:r w:rsidR="00336C2C">
          <w:rPr>
            <w:noProof/>
            <w:webHidden/>
          </w:rPr>
          <w:instrText xml:space="preserve"> PAGEREF _Toc31878807 \h </w:instrText>
        </w:r>
        <w:r w:rsidR="00336C2C">
          <w:rPr>
            <w:noProof/>
            <w:webHidden/>
          </w:rPr>
        </w:r>
        <w:r w:rsidR="00336C2C">
          <w:rPr>
            <w:noProof/>
            <w:webHidden/>
          </w:rPr>
          <w:fldChar w:fldCharType="separate"/>
        </w:r>
        <w:r w:rsidR="00433E17">
          <w:rPr>
            <w:noProof/>
            <w:webHidden/>
          </w:rPr>
          <w:t>41</w:t>
        </w:r>
        <w:r w:rsidR="00336C2C">
          <w:rPr>
            <w:noProof/>
            <w:webHidden/>
          </w:rPr>
          <w:fldChar w:fldCharType="end"/>
        </w:r>
      </w:hyperlink>
    </w:p>
    <w:p w14:paraId="71353396" w14:textId="77777777" w:rsidR="00336C2C" w:rsidRDefault="006C3BEA">
      <w:pPr>
        <w:pStyle w:val="TableofFigures"/>
        <w:tabs>
          <w:tab w:val="right" w:leader="dot" w:pos="9628"/>
        </w:tabs>
        <w:rPr>
          <w:rFonts w:eastAsiaTheme="minorEastAsia"/>
          <w:noProof/>
          <w:lang w:eastAsia="en-AU"/>
        </w:rPr>
      </w:pPr>
      <w:hyperlink w:anchor="_Toc31878808" w:history="1">
        <w:r w:rsidR="00336C2C" w:rsidRPr="00AB2175">
          <w:rPr>
            <w:rStyle w:val="Hyperlink"/>
            <w:noProof/>
          </w:rPr>
          <w:t>Figure 5.6: Averaged life satisfaction measures over time</w:t>
        </w:r>
        <w:r w:rsidR="00336C2C">
          <w:rPr>
            <w:noProof/>
            <w:webHidden/>
          </w:rPr>
          <w:tab/>
        </w:r>
        <w:r w:rsidR="00336C2C">
          <w:rPr>
            <w:noProof/>
            <w:webHidden/>
          </w:rPr>
          <w:fldChar w:fldCharType="begin"/>
        </w:r>
        <w:r w:rsidR="00336C2C">
          <w:rPr>
            <w:noProof/>
            <w:webHidden/>
          </w:rPr>
          <w:instrText xml:space="preserve"> PAGEREF _Toc31878808 \h </w:instrText>
        </w:r>
        <w:r w:rsidR="00336C2C">
          <w:rPr>
            <w:noProof/>
            <w:webHidden/>
          </w:rPr>
        </w:r>
        <w:r w:rsidR="00336C2C">
          <w:rPr>
            <w:noProof/>
            <w:webHidden/>
          </w:rPr>
          <w:fldChar w:fldCharType="separate"/>
        </w:r>
        <w:r w:rsidR="00433E17">
          <w:rPr>
            <w:noProof/>
            <w:webHidden/>
          </w:rPr>
          <w:t>42</w:t>
        </w:r>
        <w:r w:rsidR="00336C2C">
          <w:rPr>
            <w:noProof/>
            <w:webHidden/>
          </w:rPr>
          <w:fldChar w:fldCharType="end"/>
        </w:r>
      </w:hyperlink>
    </w:p>
    <w:p w14:paraId="2108E992" w14:textId="77777777" w:rsidR="00336C2C" w:rsidRDefault="006C3BEA">
      <w:pPr>
        <w:pStyle w:val="TableofFigures"/>
        <w:tabs>
          <w:tab w:val="right" w:leader="dot" w:pos="9628"/>
        </w:tabs>
        <w:rPr>
          <w:rFonts w:eastAsiaTheme="minorEastAsia"/>
          <w:noProof/>
          <w:lang w:eastAsia="en-AU"/>
        </w:rPr>
      </w:pPr>
      <w:hyperlink w:anchor="_Toc31878809" w:history="1">
        <w:r w:rsidR="00336C2C" w:rsidRPr="00AB2175">
          <w:rPr>
            <w:rStyle w:val="Hyperlink"/>
            <w:noProof/>
          </w:rPr>
          <w:t>Figure 5.7: Averaged satisfaction with macro issues over time, by cohort</w:t>
        </w:r>
        <w:r w:rsidR="00336C2C">
          <w:rPr>
            <w:noProof/>
            <w:webHidden/>
          </w:rPr>
          <w:tab/>
        </w:r>
        <w:r w:rsidR="00336C2C">
          <w:rPr>
            <w:noProof/>
            <w:webHidden/>
          </w:rPr>
          <w:fldChar w:fldCharType="begin"/>
        </w:r>
        <w:r w:rsidR="00336C2C">
          <w:rPr>
            <w:noProof/>
            <w:webHidden/>
          </w:rPr>
          <w:instrText xml:space="preserve"> PAGEREF _Toc31878809 \h </w:instrText>
        </w:r>
        <w:r w:rsidR="00336C2C">
          <w:rPr>
            <w:noProof/>
            <w:webHidden/>
          </w:rPr>
        </w:r>
        <w:r w:rsidR="00336C2C">
          <w:rPr>
            <w:noProof/>
            <w:webHidden/>
          </w:rPr>
          <w:fldChar w:fldCharType="separate"/>
        </w:r>
        <w:r w:rsidR="00433E17">
          <w:rPr>
            <w:noProof/>
            <w:webHidden/>
          </w:rPr>
          <w:t>43</w:t>
        </w:r>
        <w:r w:rsidR="00336C2C">
          <w:rPr>
            <w:noProof/>
            <w:webHidden/>
          </w:rPr>
          <w:fldChar w:fldCharType="end"/>
        </w:r>
      </w:hyperlink>
    </w:p>
    <w:p w14:paraId="6DF5450D" w14:textId="77777777" w:rsidR="00336C2C" w:rsidRDefault="006C3BEA">
      <w:pPr>
        <w:pStyle w:val="TableofFigures"/>
        <w:tabs>
          <w:tab w:val="right" w:leader="dot" w:pos="9628"/>
        </w:tabs>
        <w:rPr>
          <w:rFonts w:eastAsiaTheme="minorEastAsia"/>
          <w:noProof/>
          <w:lang w:eastAsia="en-AU"/>
        </w:rPr>
      </w:pPr>
      <w:hyperlink w:anchor="_Toc31878810" w:history="1">
        <w:r w:rsidR="00336C2C" w:rsidRPr="00AB2175">
          <w:rPr>
            <w:rStyle w:val="Hyperlink"/>
            <w:noProof/>
          </w:rPr>
          <w:t>Figure 5.8: Averaged satisfaction with macro issues over time, by issue</w:t>
        </w:r>
        <w:r w:rsidR="00336C2C">
          <w:rPr>
            <w:noProof/>
            <w:webHidden/>
          </w:rPr>
          <w:tab/>
        </w:r>
        <w:r w:rsidR="00336C2C">
          <w:rPr>
            <w:noProof/>
            <w:webHidden/>
          </w:rPr>
          <w:fldChar w:fldCharType="begin"/>
        </w:r>
        <w:r w:rsidR="00336C2C">
          <w:rPr>
            <w:noProof/>
            <w:webHidden/>
          </w:rPr>
          <w:instrText xml:space="preserve"> PAGEREF _Toc31878810 \h </w:instrText>
        </w:r>
        <w:r w:rsidR="00336C2C">
          <w:rPr>
            <w:noProof/>
            <w:webHidden/>
          </w:rPr>
        </w:r>
        <w:r w:rsidR="00336C2C">
          <w:rPr>
            <w:noProof/>
            <w:webHidden/>
          </w:rPr>
          <w:fldChar w:fldCharType="separate"/>
        </w:r>
        <w:r w:rsidR="00433E17">
          <w:rPr>
            <w:noProof/>
            <w:webHidden/>
          </w:rPr>
          <w:t>44</w:t>
        </w:r>
        <w:r w:rsidR="00336C2C">
          <w:rPr>
            <w:noProof/>
            <w:webHidden/>
          </w:rPr>
          <w:fldChar w:fldCharType="end"/>
        </w:r>
      </w:hyperlink>
    </w:p>
    <w:p w14:paraId="7566FAB5" w14:textId="77777777" w:rsidR="008A1D27" w:rsidRPr="00CB5C5D" w:rsidRDefault="008A1D27" w:rsidP="008A1D27">
      <w:r>
        <w:fldChar w:fldCharType="end"/>
      </w:r>
      <w:r w:rsidRPr="00CB5C5D">
        <w:br w:type="page"/>
      </w:r>
    </w:p>
    <w:p w14:paraId="0AACDCAE" w14:textId="77777777" w:rsidR="008A1D27" w:rsidRPr="00CB5C5D" w:rsidRDefault="008A1D27" w:rsidP="008A1D27">
      <w:pPr>
        <w:pStyle w:val="Heading1"/>
      </w:pPr>
      <w:bookmarkStart w:id="1" w:name="_Toc31878846"/>
      <w:r w:rsidRPr="00CB5C5D">
        <w:lastRenderedPageBreak/>
        <w:t xml:space="preserve">Executive </w:t>
      </w:r>
      <w:r w:rsidRPr="004F44E1">
        <w:t>Summary</w:t>
      </w:r>
      <w:bookmarkEnd w:id="1"/>
    </w:p>
    <w:p w14:paraId="249ABA7B" w14:textId="77777777" w:rsidR="008A1D27" w:rsidRPr="005226B3" w:rsidRDefault="008A1D27" w:rsidP="008A1D27">
      <w:r w:rsidRPr="005226B3">
        <w:t xml:space="preserve">This report </w:t>
      </w:r>
      <w:r>
        <w:t>analyses</w:t>
      </w:r>
      <w:r w:rsidRPr="005226B3">
        <w:t xml:space="preserve"> </w:t>
      </w:r>
      <w:r>
        <w:t>six cohorts</w:t>
      </w:r>
      <w:r w:rsidRPr="005226B3">
        <w:t xml:space="preserve"> of the Longitudinal Surveys of Australian Youth (LSAY), focusing </w:t>
      </w:r>
      <w:r w:rsidR="001A1A98">
        <w:t xml:space="preserve">particularly </w:t>
      </w:r>
      <w:r w:rsidR="001A1A98" w:rsidRPr="005226B3">
        <w:t>on</w:t>
      </w:r>
      <w:r w:rsidRPr="005226B3">
        <w:t xml:space="preserve"> changes in participation in secondary and post-school education, participation in the labour force and measures </w:t>
      </w:r>
      <w:r>
        <w:t>of</w:t>
      </w:r>
      <w:r w:rsidRPr="005226B3">
        <w:t xml:space="preserve"> satisfaction and wellbeing over time. It briefly explores the socioeconomic environment for these changes and aims to provide a holistic overview of education activity and transitions into the </w:t>
      </w:r>
      <w:r w:rsidR="000B07F2">
        <w:t>workforce for youth between 1995</w:t>
      </w:r>
      <w:r w:rsidRPr="005226B3">
        <w:t xml:space="preserve"> and 2016</w:t>
      </w:r>
      <w:r w:rsidR="001A1A98">
        <w:rPr>
          <w:rStyle w:val="FootnoteReference"/>
        </w:rPr>
        <w:footnoteReference w:id="1"/>
      </w:r>
      <w:r w:rsidRPr="005226B3">
        <w:t>.</w:t>
      </w:r>
    </w:p>
    <w:p w14:paraId="5EF0CE28" w14:textId="77777777" w:rsidR="008A1D27" w:rsidRPr="005226B3" w:rsidRDefault="008A1D27" w:rsidP="008A1D27">
      <w:r w:rsidRPr="005226B3">
        <w:t>The method of analysis for this report is descriptive and focuses on trends and changes in measures of aspirations, participation, engagement, satisfaction and wellbeing as reported by respondent</w:t>
      </w:r>
      <w:r w:rsidR="000B07F2">
        <w:t>s in the LSAY program since 1995</w:t>
      </w:r>
      <w:r w:rsidRPr="005226B3">
        <w:t xml:space="preserve">. The results suggest that more young people are completing Year 12 and an increasing proportion of those who have plans to leave school early are changing their minds. Those who do leave school early are predominantly going into vocational education, though there is still a proportion who do no further education. Participation in post-school education has increased, driven predominantly by an increase in higher education participation. Fewer young people are transitioning to full-time work by age 25, </w:t>
      </w:r>
      <w:r>
        <w:t>with unemployment</w:t>
      </w:r>
      <w:r w:rsidRPr="005226B3">
        <w:t xml:space="preserve"> seen mainly among those with no or low-level vocational qualifications. There has been a decline in home ownership and an increase in 25-year-olds still living in the family home. </w:t>
      </w:r>
      <w:r w:rsidR="001A1A98">
        <w:t xml:space="preserve">Levels </w:t>
      </w:r>
      <w:r w:rsidRPr="005226B3">
        <w:t>of financial and psychological stress have increased, particularly among those wit</w:t>
      </w:r>
      <w:r w:rsidR="00E70E40">
        <w:t>h a higher qualification or an A</w:t>
      </w:r>
      <w:r w:rsidRPr="005226B3">
        <w:t>pprenticeship</w:t>
      </w:r>
      <w:r w:rsidR="00E70E40">
        <w:rPr>
          <w:rStyle w:val="FootnoteReference"/>
        </w:rPr>
        <w:footnoteReference w:id="2"/>
      </w:r>
      <w:r w:rsidRPr="005226B3">
        <w:t xml:space="preserve">. </w:t>
      </w:r>
    </w:p>
    <w:p w14:paraId="5721CDB0" w14:textId="77777777" w:rsidR="008A1D27" w:rsidRPr="005226B3" w:rsidRDefault="008A1D27" w:rsidP="008A1D27">
      <w:r w:rsidRPr="005226B3">
        <w:t>Although the Australian youth population is more educated than ever, the returns on investment in their education are not necessarily being realised in the workforce and in the social environment, based on their employment status and satisfaction up to age 25. However, compared with those who have no post-school qualifications—and particularly those with no Year 12 certifi</w:t>
      </w:r>
      <w:r w:rsidR="00E70E40">
        <w:t>cate—higher qualifications and A</w:t>
      </w:r>
      <w:r w:rsidRPr="005226B3">
        <w:t>pprenticeships still provide a significant advantage in the labour market. The protective effect of higher skilled qualifications in the labour market does not appear to extend to wellbeing, and it appears that the financial and psychological situation is worsening among those who may have once enjoyed more financial and psychological security as a result of investment in their education and subsequent transition to the workforce.</w:t>
      </w:r>
    </w:p>
    <w:p w14:paraId="46DCCE20" w14:textId="77777777" w:rsidR="008A1D27" w:rsidRPr="005226B3" w:rsidRDefault="008A1D27" w:rsidP="008A1D27">
      <w:r w:rsidRPr="005226B3">
        <w:t xml:space="preserve">There are limitations to </w:t>
      </w:r>
      <w:r>
        <w:t>the descriptive</w:t>
      </w:r>
      <w:r w:rsidRPr="005226B3">
        <w:t xml:space="preserve"> analysis </w:t>
      </w:r>
      <w:r>
        <w:t>used in this report</w:t>
      </w:r>
      <w:r w:rsidRPr="005226B3">
        <w:t xml:space="preserve">. The results presented are not inferential and cannot provide evidence for causation, particularly where the effects of policy or socioeconomic events are concerned. Where the report has commented on potential relationships, these have been presented as merely correlational. </w:t>
      </w:r>
      <w:r w:rsidRPr="00D0725A">
        <w:t>Further analysis could be done to better understand the effects of particular events on education and workforce participation, satisfaction and wellbeing.</w:t>
      </w:r>
    </w:p>
    <w:p w14:paraId="1FDC7EC3" w14:textId="77777777" w:rsidR="008A1D27" w:rsidRDefault="008A1D27" w:rsidP="008A1D27">
      <w:pPr>
        <w:rPr>
          <w:rFonts w:eastAsiaTheme="majorEastAsia" w:cstheme="majorBidi"/>
          <w:b/>
          <w:bCs/>
          <w:color w:val="522761"/>
          <w:sz w:val="36"/>
          <w:szCs w:val="28"/>
        </w:rPr>
      </w:pPr>
      <w:r>
        <w:br w:type="page"/>
      </w:r>
    </w:p>
    <w:p w14:paraId="68F7D036" w14:textId="77777777" w:rsidR="008A1D27" w:rsidRDefault="008A1D27" w:rsidP="008A1D27">
      <w:pPr>
        <w:pStyle w:val="Heading1"/>
        <w:keepNext w:val="0"/>
        <w:keepLines w:val="0"/>
        <w:numPr>
          <w:ilvl w:val="0"/>
          <w:numId w:val="21"/>
        </w:numPr>
        <w:spacing w:before="0" w:after="240" w:line="259" w:lineRule="auto"/>
        <w:contextualSpacing/>
      </w:pPr>
      <w:r>
        <w:lastRenderedPageBreak/>
        <w:t xml:space="preserve"> </w:t>
      </w:r>
      <w:bookmarkStart w:id="2" w:name="_Toc31878847"/>
      <w:r>
        <w:t>Introduction</w:t>
      </w:r>
      <w:bookmarkEnd w:id="2"/>
      <w:r>
        <w:t xml:space="preserve"> </w:t>
      </w:r>
    </w:p>
    <w:p w14:paraId="05FB8B80" w14:textId="77777777" w:rsidR="008A1D27" w:rsidRPr="005226B3" w:rsidRDefault="008A1D27" w:rsidP="008A1D27">
      <w:r w:rsidRPr="005226B3">
        <w:t>The transition from adolescence to young adulthood is a time of rapid change. During this period, young people will finish up their mandato</w:t>
      </w:r>
      <w:r>
        <w:t xml:space="preserve">ry schooling, </w:t>
      </w:r>
      <w:r w:rsidRPr="005226B3">
        <w:t xml:space="preserve">a stage in which they </w:t>
      </w:r>
      <w:r>
        <w:t xml:space="preserve">have remained for over a decade </w:t>
      </w:r>
      <w:r w:rsidRPr="005226B3">
        <w:t>and move into unfamiliar territory as they undertake further education, training, employment or other activities. Transitions made between age 15 and age 25 are significant as they have long-term impacts on an individual’s life outcomes.</w:t>
      </w:r>
    </w:p>
    <w:p w14:paraId="1E2365D9" w14:textId="77777777" w:rsidR="008A1D27" w:rsidRPr="00884BBC" w:rsidRDefault="008A1D27" w:rsidP="008A1D27">
      <w:r w:rsidRPr="005226B3">
        <w:t>Through various policy initiatives, successive governments in Australia have worked to broaden the range of school-to-work pathways by increasing the range of options and encouraging flexibility so that young people can move more easily through different institutions and sectors. This has had the effect of making these pathways more individualised and complex. What is often considered to be a linear pathway from school to work is actually multidimensional, with young people moving in and out of educational options and differen</w:t>
      </w:r>
      <w:r w:rsidR="00866383">
        <w:t>t areas or types of employment.</w:t>
      </w:r>
      <w:r w:rsidRPr="005226B3">
        <w:t xml:space="preserve"> </w:t>
      </w:r>
    </w:p>
    <w:p w14:paraId="4F070016" w14:textId="77777777" w:rsidR="008A1D27" w:rsidRPr="005226B3" w:rsidRDefault="008A1D27" w:rsidP="008A1D27">
      <w:r w:rsidRPr="005226B3">
        <w:t xml:space="preserve">The transition from school to the workforce is not necessarily straightforward, but it can be distilled down to a series of decisions that young people make regarding what they want and how they will achieve their goals as they get older. While possibly the most influential factors in these transitions are the educational choices made by individuals, other factors such as labour market conditions, family life and the social environment also influence how young people transition from schooling to the labour market. LSAY provides insight into these transitions by following the same groups of people from age 15 to 25 as they progress through senior secondary school and into post-school study and work destinations. </w:t>
      </w:r>
    </w:p>
    <w:p w14:paraId="5A9B260E" w14:textId="77777777" w:rsidR="008A1D27" w:rsidRDefault="008A1D27" w:rsidP="008A1D27">
      <w:pPr>
        <w:rPr>
          <w:rFonts w:cstheme="minorHAnsi"/>
        </w:rPr>
      </w:pPr>
      <w:r w:rsidRPr="005226B3">
        <w:t xml:space="preserve">This report presents the results of a project undertaken by the </w:t>
      </w:r>
      <w:r>
        <w:t>Department of Education</w:t>
      </w:r>
      <w:r w:rsidR="002F4E0C">
        <w:t>, Skills and Employment</w:t>
      </w:r>
      <w:r>
        <w:t xml:space="preserve"> </w:t>
      </w:r>
      <w:r w:rsidRPr="005226B3">
        <w:t xml:space="preserve">to produce a descriptive analysis of approximately 20 years of LSAY data. It investigates how the experiences of young people between the ages of 15 and 25 change over time as they move from school to post-school education and </w:t>
      </w:r>
      <w:r>
        <w:t xml:space="preserve">into the </w:t>
      </w:r>
      <w:r w:rsidRPr="005226B3">
        <w:t>labour market. It also attempts to understand these changes within the wider changing economic and policy landscape. Analysis of these educational choices and the eventual pathways they form provide important evidence for policy makers about the implications of various policy settings, as well as contribute to the evidence base for shaping future policy initiatives.</w:t>
      </w:r>
    </w:p>
    <w:p w14:paraId="0D0FCDAB" w14:textId="77777777" w:rsidR="008A1D27" w:rsidRPr="00ED6AC8" w:rsidRDefault="00BB39B4" w:rsidP="008A1D27">
      <w:pPr>
        <w:pStyle w:val="Heading2"/>
        <w:keepNext w:val="0"/>
        <w:keepLines w:val="0"/>
        <w:numPr>
          <w:ilvl w:val="1"/>
          <w:numId w:val="20"/>
        </w:numPr>
        <w:spacing w:before="0" w:line="259" w:lineRule="auto"/>
        <w:ind w:left="425" w:hanging="425"/>
      </w:pPr>
      <w:bookmarkStart w:id="3" w:name="_Toc31878848"/>
      <w:r>
        <w:t>What is LSAY?</w:t>
      </w:r>
      <w:bookmarkEnd w:id="3"/>
    </w:p>
    <w:p w14:paraId="3251BFC9" w14:textId="77777777" w:rsidR="008A1D27" w:rsidRPr="005226B3" w:rsidRDefault="008A1D27" w:rsidP="008A1D27">
      <w:r w:rsidRPr="005226B3">
        <w:t>LSAY is a nationally representative survey program that follows young Australians over 1</w:t>
      </w:r>
      <w:r>
        <w:t>1</w:t>
      </w:r>
      <w:r w:rsidRPr="005226B3">
        <w:t xml:space="preserve"> years, from 15 to 25 years of age, as they move through school to further study, work and beyond. It helps us understand what young people are doing at different stages of their lives, what pathways they take, and some of the reasons for</w:t>
      </w:r>
      <w:r>
        <w:t xml:space="preserve"> the choices they make. </w:t>
      </w:r>
    </w:p>
    <w:p w14:paraId="0537515F" w14:textId="77777777" w:rsidR="008A1D27" w:rsidRPr="005226B3" w:rsidRDefault="008A1D27" w:rsidP="008A1D27">
      <w:r w:rsidRPr="005226B3">
        <w:t>While the main focus of LSAY is on educational activities and labour market outcomes, other important and influential factors such as social outcomes, satisfaction and wellbeing are collected to provide a more complete picture. Details known only to the participants, such as their aspirations for later in life and their satisfaction with their activities, provide an extra dimension to their educational journey and help to answer more in-depth questions. Instead of merely knowing what young people are doing, we can ask questions such as ‘what did they want to do</w:t>
      </w:r>
      <w:r>
        <w:t>?</w:t>
      </w:r>
      <w:r w:rsidRPr="005226B3">
        <w:t>’, ‘did they achieve what they wanted to or were there barriers</w:t>
      </w:r>
      <w:r>
        <w:t>?</w:t>
      </w:r>
      <w:r w:rsidRPr="005226B3">
        <w:t>’, and ‘were they satisfied with the choices they made</w:t>
      </w:r>
      <w:r>
        <w:t>?</w:t>
      </w:r>
      <w:proofErr w:type="gramStart"/>
      <w:r w:rsidRPr="005226B3">
        <w:t>’.</w:t>
      </w:r>
      <w:proofErr w:type="gramEnd"/>
      <w:r w:rsidRPr="005226B3">
        <w:t xml:space="preserve"> The breadth and depth of the LSAY datasets make them invaluable sources of information for researchers and policy makers.</w:t>
      </w:r>
    </w:p>
    <w:p w14:paraId="36396AB3" w14:textId="77777777" w:rsidR="008A1D27" w:rsidRPr="005226B3" w:rsidRDefault="008A1D27" w:rsidP="008A1D27">
      <w:r w:rsidRPr="005226B3" w:rsidDel="0083059D">
        <w:t xml:space="preserve">The longitudinal nature of LSAY </w:t>
      </w:r>
      <w:r w:rsidRPr="005226B3">
        <w:t>also</w:t>
      </w:r>
      <w:r w:rsidRPr="005226B3" w:rsidDel="0083059D">
        <w:t xml:space="preserve"> helps</w:t>
      </w:r>
      <w:r w:rsidRPr="005226B3">
        <w:t xml:space="preserve"> us</w:t>
      </w:r>
      <w:r w:rsidRPr="005226B3" w:rsidDel="0083059D">
        <w:t xml:space="preserve"> to</w:t>
      </w:r>
      <w:r w:rsidRPr="005226B3">
        <w:t xml:space="preserve"> better</w:t>
      </w:r>
      <w:r w:rsidRPr="005226B3" w:rsidDel="0083059D">
        <w:t xml:space="preserve"> understand the</w:t>
      </w:r>
      <w:r w:rsidRPr="005226B3">
        <w:t>se</w:t>
      </w:r>
      <w:r w:rsidRPr="005226B3" w:rsidDel="0083059D">
        <w:t xml:space="preserve"> experiences</w:t>
      </w:r>
      <w:r w:rsidRPr="005226B3">
        <w:t xml:space="preserve"> over time</w:t>
      </w:r>
      <w:r w:rsidRPr="005226B3" w:rsidDel="0083059D">
        <w:t xml:space="preserve">. The lives of young people are fluid, and their education and labour market activities and status can change </w:t>
      </w:r>
      <w:r w:rsidRPr="005226B3">
        <w:t>considerably</w:t>
      </w:r>
      <w:r w:rsidRPr="005226B3" w:rsidDel="0083059D">
        <w:t xml:space="preserve"> </w:t>
      </w:r>
      <w:r w:rsidRPr="005226B3">
        <w:lastRenderedPageBreak/>
        <w:t xml:space="preserve">from one year to the next. Another benefit of LSAY is its longevity. As the first LSAY group commenced in 1995, available data currently spans over 20 years in total, for six groups of young people. This makes it possible to see how students’ educational choices and transitions have changed over time, particularly in the context of changing economic, </w:t>
      </w:r>
      <w:r>
        <w:t>social and policy environments.</w:t>
      </w:r>
    </w:p>
    <w:p w14:paraId="53BF2FEA" w14:textId="77777777" w:rsidR="008A1D27" w:rsidRPr="005226B3" w:rsidRDefault="008A1D27" w:rsidP="008A1D27">
      <w:r w:rsidRPr="005226B3">
        <w:t>Groups of survey participa</w:t>
      </w:r>
      <w:r w:rsidR="00866383">
        <w:t>nts are collectively known as ‘</w:t>
      </w:r>
      <w:r w:rsidRPr="005226B3">
        <w:t xml:space="preserve">cohort’. There are currently four complete and two </w:t>
      </w:r>
      <w:r>
        <w:t>active</w:t>
      </w:r>
      <w:r w:rsidRPr="005226B3">
        <w:t xml:space="preserve"> LSAY cohorts. Each cohort contains a group of people of similar age at a particular point in time who </w:t>
      </w:r>
      <w:r w:rsidR="00C517D1" w:rsidRPr="008D0625">
        <w:t xml:space="preserve">are chosen to be representative of the broader Australian </w:t>
      </w:r>
      <w:r w:rsidR="003E6A39" w:rsidRPr="008D0625">
        <w:t xml:space="preserve">student </w:t>
      </w:r>
      <w:r w:rsidR="002D7974" w:rsidRPr="008D0625">
        <w:t>age</w:t>
      </w:r>
      <w:r w:rsidR="00C9257F">
        <w:t xml:space="preserve"> </w:t>
      </w:r>
      <w:r w:rsidR="008D0625">
        <w:t>population</w:t>
      </w:r>
      <w:r w:rsidR="003E6A39">
        <w:t xml:space="preserve">. </w:t>
      </w:r>
      <w:r w:rsidRPr="005226B3">
        <w:t xml:space="preserve">The first LSAY cohort began in 1995 (the Y95 cohort), followed by additional cohorts in 1998 (Y98), 2003 (Y03), 2006 (Y06) and 2009 (Y09). The most recent cohort began in 2015 (Y15). The timing of all six LSAY cohorts is summarised in </w:t>
      </w:r>
      <w:r w:rsidR="00D83947">
        <w:fldChar w:fldCharType="begin"/>
      </w:r>
      <w:r w:rsidR="00D83947">
        <w:instrText xml:space="preserve"> REF _Ref31815178 \h </w:instrText>
      </w:r>
      <w:r w:rsidR="00D83947">
        <w:fldChar w:fldCharType="separate"/>
      </w:r>
      <w:r w:rsidR="00433E17">
        <w:t xml:space="preserve">Figure </w:t>
      </w:r>
      <w:r w:rsidR="00433E17">
        <w:rPr>
          <w:noProof/>
        </w:rPr>
        <w:t>1</w:t>
      </w:r>
      <w:r w:rsidR="00433E17">
        <w:t>.</w:t>
      </w:r>
      <w:r w:rsidR="00433E17">
        <w:rPr>
          <w:noProof/>
        </w:rPr>
        <w:t>1:</w:t>
      </w:r>
      <w:r w:rsidR="00433E17">
        <w:t xml:space="preserve"> Timeline of LSAY data </w:t>
      </w:r>
      <w:proofErr w:type="spellStart"/>
      <w:r w:rsidR="00433E17">
        <w:t>collection</w:t>
      </w:r>
      <w:r w:rsidR="00D83947">
        <w:fldChar w:fldCharType="end"/>
      </w:r>
      <w:r w:rsidR="00D83947">
        <w:fldChar w:fldCharType="begin"/>
      </w:r>
      <w:r w:rsidR="00D83947">
        <w:instrText xml:space="preserve"> REF _Ref31815186 \h </w:instrText>
      </w:r>
      <w:r w:rsidR="00D83947">
        <w:fldChar w:fldCharType="separate"/>
      </w:r>
      <w:r w:rsidR="00433E17">
        <w:t>Figure</w:t>
      </w:r>
      <w:proofErr w:type="spellEnd"/>
      <w:r w:rsidR="00433E17">
        <w:t xml:space="preserve"> </w:t>
      </w:r>
      <w:r w:rsidR="00433E17">
        <w:rPr>
          <w:noProof/>
        </w:rPr>
        <w:t>1</w:t>
      </w:r>
      <w:r w:rsidR="00433E17">
        <w:t>.</w:t>
      </w:r>
      <w:r w:rsidR="00433E17">
        <w:rPr>
          <w:noProof/>
        </w:rPr>
        <w:t>1</w:t>
      </w:r>
      <w:r w:rsidR="00D83947">
        <w:fldChar w:fldCharType="end"/>
      </w:r>
      <w:r w:rsidRPr="005226B3">
        <w:t>.</w:t>
      </w:r>
    </w:p>
    <w:p w14:paraId="689E0A82" w14:textId="77777777" w:rsidR="008A1D27" w:rsidRPr="00884BBC" w:rsidRDefault="008A1D27" w:rsidP="008A1D27">
      <w:pPr>
        <w:rPr>
          <w:rFonts w:cstheme="minorHAnsi"/>
        </w:rPr>
      </w:pPr>
      <w:r w:rsidRPr="005226B3">
        <w:t xml:space="preserve">Each cohort starts with a nationally representative sample of around 10,000 young people in Australian schools. Since the Y03 cohort, participants have been recruited from Australian school students aged 15 who took part in the Programme for International Student Assessment (PISA), an international test undertaken by </w:t>
      </w:r>
      <w:r>
        <w:t>the Organisation for Economic Co-operation and Development (</w:t>
      </w:r>
      <w:r w:rsidRPr="005226B3">
        <w:t>OECD</w:t>
      </w:r>
      <w:r>
        <w:t xml:space="preserve">) </w:t>
      </w:r>
      <w:r w:rsidRPr="005226B3">
        <w:t xml:space="preserve">countries to measure the educational progress of students worldwide. The two earlier cohorts (Y95 and Y98) were recruited from the population of Year 9 school students. </w:t>
      </w:r>
      <w:r>
        <w:br w:type="page"/>
      </w:r>
    </w:p>
    <w:p w14:paraId="120609A7" w14:textId="77777777" w:rsidR="008A1D27" w:rsidRDefault="008A1D27" w:rsidP="00107288">
      <w:pPr>
        <w:pStyle w:val="Caption"/>
      </w:pPr>
      <w:bookmarkStart w:id="4" w:name="_Ref31815186"/>
      <w:bookmarkStart w:id="5" w:name="_Ref31815178"/>
      <w:bookmarkStart w:id="6" w:name="_Toc31878776"/>
      <w:r>
        <w:lastRenderedPageBreak/>
        <w:t xml:space="preserve">Figure </w:t>
      </w:r>
      <w:fldSimple w:instr=" STYLEREF 1 \s ">
        <w:r w:rsidR="00433E17">
          <w:rPr>
            <w:noProof/>
          </w:rPr>
          <w:t>1</w:t>
        </w:r>
      </w:fldSimple>
      <w:r>
        <w:t>.</w:t>
      </w:r>
      <w:fldSimple w:instr=" SEQ Figure \* ARABIC \s 1 ">
        <w:r w:rsidR="00433E17">
          <w:rPr>
            <w:noProof/>
          </w:rPr>
          <w:t>1</w:t>
        </w:r>
      </w:fldSimple>
      <w:bookmarkEnd w:id="4"/>
      <w:r>
        <w:rPr>
          <w:noProof/>
        </w:rPr>
        <w:t>:</w:t>
      </w:r>
      <w:r>
        <w:t xml:space="preserve"> Timeline of LSAY data collection</w:t>
      </w:r>
      <w:bookmarkEnd w:id="5"/>
      <w:bookmarkEnd w:id="6"/>
    </w:p>
    <w:p w14:paraId="0CACF8C7" w14:textId="77777777" w:rsidR="00107288" w:rsidRPr="00107288" w:rsidRDefault="00107288" w:rsidP="00107288">
      <w:r>
        <w:rPr>
          <w:noProof/>
          <w:lang w:eastAsia="en-AU"/>
        </w:rPr>
        <w:drawing>
          <wp:inline distT="0" distB="0" distL="0" distR="0" wp14:anchorId="58DE8844" wp14:editId="6C1E8FB0">
            <wp:extent cx="5851525" cy="4667250"/>
            <wp:effectExtent l="0" t="0" r="0" b="0"/>
            <wp:docPr id="31" name="Picture 31" descr="Figure 1.1 shows the year and the corresponding wave for each cohort of LSAY from its inception in 1995. The table depicts the overlapping cohorts and continous nature of L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63"/>
                    <a:stretch/>
                  </pic:blipFill>
                  <pic:spPr bwMode="auto">
                    <a:xfrm>
                      <a:off x="0" y="0"/>
                      <a:ext cx="5852160" cy="4667756"/>
                    </a:xfrm>
                    <a:prstGeom prst="rect">
                      <a:avLst/>
                    </a:prstGeom>
                    <a:ln>
                      <a:noFill/>
                    </a:ln>
                    <a:extLst>
                      <a:ext uri="{53640926-AAD7-44D8-BBD7-CCE9431645EC}">
                        <a14:shadowObscured xmlns:a14="http://schemas.microsoft.com/office/drawing/2010/main"/>
                      </a:ext>
                    </a:extLst>
                  </pic:spPr>
                </pic:pic>
              </a:graphicData>
            </a:graphic>
          </wp:inline>
        </w:drawing>
      </w:r>
    </w:p>
    <w:p w14:paraId="62D0AB1B" w14:textId="77777777" w:rsidR="00B72D0F" w:rsidRPr="00B72D0F" w:rsidRDefault="00B72D0F" w:rsidP="00B72D0F"/>
    <w:p w14:paraId="7A410937" w14:textId="77777777" w:rsidR="008A1D27" w:rsidRPr="0089297B" w:rsidRDefault="008A1D27" w:rsidP="008A1D27">
      <w:pPr>
        <w:pStyle w:val="Heading2"/>
        <w:keepNext w:val="0"/>
        <w:keepLines w:val="0"/>
        <w:numPr>
          <w:ilvl w:val="1"/>
          <w:numId w:val="20"/>
        </w:numPr>
        <w:spacing w:before="0" w:line="259" w:lineRule="auto"/>
        <w:ind w:left="425" w:hanging="425"/>
      </w:pPr>
      <w:bookmarkStart w:id="7" w:name="_Toc31878849"/>
      <w:r>
        <w:t>Context for Australian Education Policy</w:t>
      </w:r>
      <w:bookmarkEnd w:id="7"/>
    </w:p>
    <w:p w14:paraId="2C0B7E17" w14:textId="77777777" w:rsidR="008A1D27" w:rsidRPr="005226B3" w:rsidRDefault="008A1D27" w:rsidP="008A1D27">
      <w:r w:rsidRPr="005226B3">
        <w:t>The educational choices young people make provide an important buffer for external shocks that might affect the labour market and therefore their chances of obtaining future stable employment. Making choices that increase e</w:t>
      </w:r>
      <w:r>
        <w:t xml:space="preserve">ducational attainment and skills </w:t>
      </w:r>
      <w:r w:rsidRPr="005226B3">
        <w:t xml:space="preserve">facilitates adaptation in times of rapid change or uncertainty. </w:t>
      </w:r>
    </w:p>
    <w:p w14:paraId="4FF0FC9D" w14:textId="77777777" w:rsidR="008A1D27" w:rsidRDefault="00EC144B" w:rsidP="008A1D27">
      <w:pPr>
        <w:rPr>
          <w:rFonts w:eastAsiaTheme="majorEastAsia" w:cstheme="majorBidi"/>
          <w:b/>
          <w:bCs/>
          <w:iCs/>
        </w:rPr>
      </w:pPr>
      <w:r>
        <w:t>However, y</w:t>
      </w:r>
      <w:r w:rsidR="008A1D27" w:rsidRPr="005226B3">
        <w:t xml:space="preserve">oung people do not make their choices in a vacuum. Education policy plays an important role in guiding </w:t>
      </w:r>
      <w:r w:rsidR="008A1D27">
        <w:t>them</w:t>
      </w:r>
      <w:r w:rsidR="008A1D27" w:rsidRPr="005226B3">
        <w:t xml:space="preserve"> towards decisions that will be beneficial to themselves and to the wider community and economy. At its simplest level, education policy aims to ensure that people are engaged and have the knowledge and skills needed to become fully participating members of the community. To achieve this, policy has mostly aimed to increase participation and completion of education by increasing the school leaving age, making study more flexible, removing barriers to access, and making study financially viable.</w:t>
      </w:r>
      <w:r w:rsidR="008A1D27">
        <w:rPr>
          <w:rFonts w:cstheme="minorHAnsi"/>
        </w:rPr>
        <w:t xml:space="preserve"> </w:t>
      </w:r>
      <w:r w:rsidR="008A1D27">
        <w:br w:type="page"/>
      </w:r>
    </w:p>
    <w:p w14:paraId="6B17FF14" w14:textId="77777777" w:rsidR="00380778" w:rsidRDefault="008A1D27" w:rsidP="00E10039">
      <w:pPr>
        <w:pStyle w:val="Figuretitle"/>
        <w:spacing w:after="0"/>
        <w:rPr>
          <w:rFonts w:cstheme="minorHAnsi"/>
        </w:rPr>
      </w:pPr>
      <w:bookmarkStart w:id="8" w:name="_Ref31815288"/>
      <w:bookmarkStart w:id="9" w:name="_Toc31878777"/>
      <w:r>
        <w:lastRenderedPageBreak/>
        <w:t xml:space="preserve">Figure </w:t>
      </w:r>
      <w:fldSimple w:instr=" STYLEREF 1 \s ">
        <w:r w:rsidR="00433E17">
          <w:rPr>
            <w:noProof/>
          </w:rPr>
          <w:t>1</w:t>
        </w:r>
      </w:fldSimple>
      <w:r>
        <w:t>.</w:t>
      </w:r>
      <w:fldSimple w:instr=" SEQ Figure \* ARABIC \s 1 ">
        <w:r w:rsidR="00433E17">
          <w:rPr>
            <w:noProof/>
          </w:rPr>
          <w:t>2</w:t>
        </w:r>
      </w:fldSimple>
      <w:bookmarkEnd w:id="8"/>
      <w:r>
        <w:t>: Timeline of Australian socioeconomic events, 1995 onwards</w:t>
      </w:r>
      <w:bookmarkEnd w:id="9"/>
    </w:p>
    <w:p w14:paraId="12A19FA0" w14:textId="77777777" w:rsidR="00E10039" w:rsidRDefault="00E10039" w:rsidP="00E10039">
      <w:pPr>
        <w:spacing w:after="0"/>
        <w:rPr>
          <w:rFonts w:cstheme="minorHAnsi"/>
        </w:rPr>
      </w:pPr>
      <w:r>
        <w:rPr>
          <w:noProof/>
          <w:lang w:eastAsia="en-AU"/>
        </w:rPr>
        <w:drawing>
          <wp:inline distT="0" distB="0" distL="0" distR="0" wp14:anchorId="6B7B3DDC" wp14:editId="7201028D">
            <wp:extent cx="6120130" cy="3427095"/>
            <wp:effectExtent l="0" t="0" r="0" b="1905"/>
            <wp:docPr id="1" name="Picture 1" descr="Figure 1.2 shows a series of overlapping text boxes with right aligned arrows. The text details the major social and economic events experienced by each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27095"/>
                    </a:xfrm>
                    <a:prstGeom prst="rect">
                      <a:avLst/>
                    </a:prstGeom>
                  </pic:spPr>
                </pic:pic>
              </a:graphicData>
            </a:graphic>
          </wp:inline>
        </w:drawing>
      </w:r>
    </w:p>
    <w:p w14:paraId="5D756C41" w14:textId="77777777" w:rsidR="008A1D27" w:rsidRPr="00B75A98" w:rsidRDefault="008A1D27" w:rsidP="008A1D27">
      <w:pPr>
        <w:rPr>
          <w:rStyle w:val="Heading1Char"/>
        </w:rPr>
      </w:pPr>
      <w:r w:rsidRPr="005226B3">
        <w:t xml:space="preserve">The agenda for education policy is also defined by the broader labour market and economic conditions of the time. </w:t>
      </w:r>
      <w:r>
        <w:t xml:space="preserve">As outlined in </w:t>
      </w:r>
      <w:r w:rsidR="00D83947">
        <w:fldChar w:fldCharType="begin"/>
      </w:r>
      <w:r w:rsidR="00D83947">
        <w:instrText xml:space="preserve"> REF _Ref31815288 \h </w:instrText>
      </w:r>
      <w:r w:rsidR="00D83947">
        <w:fldChar w:fldCharType="separate"/>
      </w:r>
      <w:r w:rsidR="00433E17">
        <w:t xml:space="preserve">Figure </w:t>
      </w:r>
      <w:r w:rsidR="00433E17">
        <w:rPr>
          <w:noProof/>
        </w:rPr>
        <w:t>1</w:t>
      </w:r>
      <w:r w:rsidR="00433E17">
        <w:t>.</w:t>
      </w:r>
      <w:r w:rsidR="00433E17">
        <w:rPr>
          <w:noProof/>
        </w:rPr>
        <w:t>2</w:t>
      </w:r>
      <w:r w:rsidR="00D83947">
        <w:fldChar w:fldCharType="end"/>
      </w:r>
      <w:r w:rsidRPr="005226B3">
        <w:t xml:space="preserve">, since the early 1990s there have been two major economic downturns, as well as a period of economic prosperity associated with the mining boom. The context for policy development has varied widely as a result of these economic changes. Education policies that have been developed </w:t>
      </w:r>
      <w:r w:rsidR="00EC144B">
        <w:t>during this period</w:t>
      </w:r>
      <w:r w:rsidRPr="005226B3">
        <w:t xml:space="preserve"> have aimed to not only build a more trained and qualified workforce in the competitive international market, but to also keep young people engaged in school, training or work during economically difficult times.</w:t>
      </w:r>
      <w:r w:rsidRPr="00632112">
        <w:rPr>
          <w:rFonts w:cstheme="minorHAnsi"/>
        </w:rPr>
        <w:t xml:space="preserve"> </w:t>
      </w:r>
      <w:r w:rsidRPr="00632112">
        <w:br w:type="page"/>
      </w:r>
    </w:p>
    <w:p w14:paraId="7CC6DD1D" w14:textId="77777777" w:rsidR="008A1D27" w:rsidRPr="00672CE6" w:rsidRDefault="008A1D27" w:rsidP="008A1D27">
      <w:pPr>
        <w:pStyle w:val="Heading1"/>
        <w:keepNext w:val="0"/>
        <w:keepLines w:val="0"/>
        <w:numPr>
          <w:ilvl w:val="0"/>
          <w:numId w:val="21"/>
        </w:numPr>
        <w:spacing w:before="0" w:after="240" w:line="259" w:lineRule="auto"/>
        <w:contextualSpacing/>
      </w:pPr>
      <w:r w:rsidRPr="00BE6397">
        <w:lastRenderedPageBreak/>
        <w:t xml:space="preserve"> </w:t>
      </w:r>
      <w:bookmarkStart w:id="10" w:name="_Toc31878850"/>
      <w:r w:rsidRPr="00BE6397">
        <w:t>The School Years</w:t>
      </w:r>
      <w:bookmarkEnd w:id="10"/>
      <w:r w:rsidRPr="00AC0125">
        <w:t xml:space="preserve"> </w:t>
      </w:r>
    </w:p>
    <w:p w14:paraId="741DAA20" w14:textId="77777777" w:rsidR="008A1D27" w:rsidRDefault="008A1D27" w:rsidP="008A1D27">
      <w:r w:rsidRPr="00FD4C7B">
        <w:t xml:space="preserve">School plays a central role in the lives of young people. </w:t>
      </w:r>
      <w:r>
        <w:t xml:space="preserve">There is strong evidence that quality schooling beneficially impacts the individual, the community and the economy. </w:t>
      </w:r>
      <w:r w:rsidRPr="00632112">
        <w:t xml:space="preserve">A </w:t>
      </w:r>
      <w:r>
        <w:t>high quality</w:t>
      </w:r>
      <w:r w:rsidRPr="00632112">
        <w:t xml:space="preserve"> schooling system lay</w:t>
      </w:r>
      <w:r>
        <w:t>s</w:t>
      </w:r>
      <w:r w:rsidRPr="00632112">
        <w:t xml:space="preserve"> the foundation for a skilled, innovative and productive workforce</w:t>
      </w:r>
      <w:r>
        <w:t xml:space="preserve">. It also plays a critical role in the social development of individuals during their formative years, </w:t>
      </w:r>
      <w:r w:rsidRPr="00632112">
        <w:t>contribut</w:t>
      </w:r>
      <w:r>
        <w:t>ing</w:t>
      </w:r>
      <w:r w:rsidRPr="00632112">
        <w:t xml:space="preserve"> towards the development of resi</w:t>
      </w:r>
      <w:r>
        <w:t>lient and cohesive communities.</w:t>
      </w:r>
    </w:p>
    <w:p w14:paraId="311492EC" w14:textId="77777777" w:rsidR="008A1D27" w:rsidRDefault="008A1D27" w:rsidP="008A1D27">
      <w:pPr>
        <w:spacing w:after="0"/>
      </w:pPr>
      <w:r w:rsidRPr="00632112">
        <w:t xml:space="preserve">Governments have consistently </w:t>
      </w:r>
      <w:r w:rsidR="00732CAC">
        <w:t>emphasised</w:t>
      </w:r>
      <w:r>
        <w:t xml:space="preserve"> increasing</w:t>
      </w:r>
      <w:r w:rsidRPr="00632112">
        <w:t xml:space="preserve"> school retention rates, and more recently have </w:t>
      </w:r>
      <w:r w:rsidR="00732CAC">
        <w:t>re</w:t>
      </w:r>
      <w:r w:rsidRPr="00632112">
        <w:t xml:space="preserve">acted with concern </w:t>
      </w:r>
      <w:r w:rsidR="00732CAC">
        <w:t>to</w:t>
      </w:r>
      <w:r w:rsidRPr="00632112">
        <w:t xml:space="preserve"> declining PISA results. </w:t>
      </w:r>
      <w:r w:rsidR="00732CAC">
        <w:t>Recently</w:t>
      </w:r>
      <w:r w:rsidRPr="00632112">
        <w:t xml:space="preserve">, focus has </w:t>
      </w:r>
      <w:r w:rsidR="00732CAC">
        <w:t xml:space="preserve">also </w:t>
      </w:r>
      <w:r w:rsidRPr="00632112">
        <w:t>been placed upon student wellbeing and teacher</w:t>
      </w:r>
      <w:r>
        <w:t xml:space="preserve"> quality in Australian schools. </w:t>
      </w:r>
      <w:r w:rsidRPr="00632112">
        <w:t>From 2003 particul</w:t>
      </w:r>
      <w:r>
        <w:t xml:space="preserve">arly, the richness of LSAY data, </w:t>
      </w:r>
      <w:r w:rsidRPr="00632112">
        <w:t xml:space="preserve">now </w:t>
      </w:r>
      <w:r>
        <w:t>built on the PISA instrument, enables</w:t>
      </w:r>
      <w:r w:rsidRPr="00632112">
        <w:t xml:space="preserve"> deeper analysis of respondents’ behaviour and perspectives </w:t>
      </w:r>
      <w:r>
        <w:t>while</w:t>
      </w:r>
      <w:r w:rsidRPr="00632112">
        <w:t xml:space="preserve"> at school. </w:t>
      </w:r>
      <w:r>
        <w:t>Items from PISA such as c</w:t>
      </w:r>
      <w:r w:rsidRPr="00632112">
        <w:t xml:space="preserve">areer and post school study aspirations, as well as peer and parental expectations, </w:t>
      </w:r>
      <w:r>
        <w:t>provide information on</w:t>
      </w:r>
      <w:r w:rsidRPr="00632112">
        <w:t xml:space="preserve"> highly influential </w:t>
      </w:r>
      <w:r>
        <w:t xml:space="preserve">factors in </w:t>
      </w:r>
      <w:r w:rsidRPr="00632112">
        <w:t xml:space="preserve">educational choices such as school completion </w:t>
      </w:r>
      <w:r>
        <w:t>and subjects studied at school.</w:t>
      </w:r>
    </w:p>
    <w:p w14:paraId="7D5546F7" w14:textId="77777777" w:rsidR="008A1D27" w:rsidRPr="00BC0B78" w:rsidRDefault="008A1D27" w:rsidP="008A1D27">
      <w:pPr>
        <w:pStyle w:val="ListParagraph"/>
        <w:numPr>
          <w:ilvl w:val="0"/>
          <w:numId w:val="20"/>
        </w:numPr>
        <w:spacing w:after="0" w:line="259" w:lineRule="auto"/>
        <w:contextualSpacing w:val="0"/>
        <w:outlineLvl w:val="1"/>
        <w:rPr>
          <w:rFonts w:eastAsiaTheme="majorEastAsia" w:cstheme="majorBidi"/>
          <w:bCs/>
          <w:vanish/>
          <w:sz w:val="16"/>
          <w:szCs w:val="16"/>
        </w:rPr>
      </w:pPr>
      <w:bookmarkStart w:id="11" w:name="_Toc22741735"/>
      <w:bookmarkStart w:id="12" w:name="_Toc22809366"/>
      <w:bookmarkStart w:id="13" w:name="_Toc22810223"/>
      <w:bookmarkStart w:id="14" w:name="_Toc22810447"/>
      <w:bookmarkStart w:id="15" w:name="_Toc22810738"/>
      <w:bookmarkStart w:id="16" w:name="_Toc22810829"/>
      <w:bookmarkStart w:id="17" w:name="_Toc22811003"/>
      <w:bookmarkStart w:id="18" w:name="_Toc22811111"/>
      <w:bookmarkStart w:id="19" w:name="_Toc22827254"/>
      <w:bookmarkStart w:id="20" w:name="_Toc22827307"/>
      <w:bookmarkStart w:id="21" w:name="_Toc22827706"/>
      <w:bookmarkStart w:id="22" w:name="_Toc22827761"/>
      <w:bookmarkStart w:id="23" w:name="_Toc22827798"/>
      <w:bookmarkStart w:id="24" w:name="_Toc22827978"/>
      <w:bookmarkStart w:id="25" w:name="_Toc22885530"/>
      <w:bookmarkStart w:id="26" w:name="_Toc22901406"/>
      <w:bookmarkStart w:id="27" w:name="_Toc23232730"/>
      <w:bookmarkStart w:id="28" w:name="_Toc23237601"/>
      <w:bookmarkStart w:id="29" w:name="_Toc31612109"/>
      <w:bookmarkStart w:id="30" w:name="_Toc31878817"/>
      <w:bookmarkStart w:id="31" w:name="_Toc3187885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B906CC3" w14:textId="77777777" w:rsidR="008A1D27" w:rsidRDefault="008A1D27" w:rsidP="008A1D27">
      <w:pPr>
        <w:pStyle w:val="Heading2"/>
        <w:keepNext w:val="0"/>
        <w:keepLines w:val="0"/>
        <w:numPr>
          <w:ilvl w:val="1"/>
          <w:numId w:val="20"/>
        </w:numPr>
        <w:spacing w:before="0" w:line="259" w:lineRule="auto"/>
        <w:ind w:left="425" w:hanging="425"/>
      </w:pPr>
      <w:bookmarkStart w:id="32" w:name="_Toc31878852"/>
      <w:r w:rsidRPr="00A64FAE">
        <w:t>Plans and Aspirations</w:t>
      </w:r>
      <w:bookmarkEnd w:id="32"/>
    </w:p>
    <w:p w14:paraId="7EA95891" w14:textId="77777777" w:rsidR="008A1D27" w:rsidRDefault="00732CAC" w:rsidP="008A1D27">
      <w:r>
        <w:t>Young people</w:t>
      </w:r>
      <w:r w:rsidRPr="00632112">
        <w:t xml:space="preserve"> plan in response to </w:t>
      </w:r>
      <w:r>
        <w:t>many factors including their immediate goals, their parents’ and peers’ expectations, and</w:t>
      </w:r>
      <w:r w:rsidRPr="00974412">
        <w:t xml:space="preserve"> </w:t>
      </w:r>
      <w:r w:rsidRPr="00632112">
        <w:t>the</w:t>
      </w:r>
      <w:r>
        <w:t xml:space="preserve"> current</w:t>
      </w:r>
      <w:r w:rsidRPr="00632112">
        <w:t xml:space="preserve"> economic climate.</w:t>
      </w:r>
      <w:r w:rsidRPr="00732CAC">
        <w:t xml:space="preserve"> </w:t>
      </w:r>
      <w:r w:rsidRPr="00632112">
        <w:t xml:space="preserve">The choices that </w:t>
      </w:r>
      <w:r>
        <w:t>they</w:t>
      </w:r>
      <w:r w:rsidRPr="00632112">
        <w:t xml:space="preserve"> make during their school years are geared to</w:t>
      </w:r>
      <w:r>
        <w:t xml:space="preserve"> making progress towards</w:t>
      </w:r>
      <w:r w:rsidRPr="00632112">
        <w:t xml:space="preserve"> later goals for further study or work.</w:t>
      </w:r>
      <w:r>
        <w:t xml:space="preserve"> </w:t>
      </w:r>
      <w:r w:rsidR="00AA3A8E">
        <w:t>Plans and aspirations</w:t>
      </w:r>
      <w:r w:rsidR="00AA3A8E">
        <w:rPr>
          <w:vertAlign w:val="superscript"/>
        </w:rPr>
        <w:t xml:space="preserve"> </w:t>
      </w:r>
      <w:r w:rsidR="008A1D27" w:rsidRPr="00FD4C7B">
        <w:t>for the future are important driver</w:t>
      </w:r>
      <w:r w:rsidR="008A1D27">
        <w:t>s</w:t>
      </w:r>
      <w:r w:rsidR="008A1D27" w:rsidRPr="00FD4C7B">
        <w:t xml:space="preserve"> of educational</w:t>
      </w:r>
      <w:r>
        <w:t xml:space="preserve"> outcomes, with goal setting and planning contributing positively to achievement of longer-term goals. </w:t>
      </w:r>
      <w:r w:rsidR="008A1D27">
        <w:t>Understanding how these influences interact with each other and direct young people’s future plans is key to developing policy that will optimise the transition between school, post school study and the workforce for young Australians.</w:t>
      </w:r>
    </w:p>
    <w:p w14:paraId="41B7A9D0" w14:textId="77777777" w:rsidR="008A1D27" w:rsidRPr="003C27CE" w:rsidRDefault="008A1D27" w:rsidP="008A1D27">
      <w:pPr>
        <w:pStyle w:val="Heading2"/>
        <w:keepNext w:val="0"/>
        <w:keepLines w:val="0"/>
        <w:numPr>
          <w:ilvl w:val="2"/>
          <w:numId w:val="20"/>
        </w:numPr>
        <w:spacing w:before="0" w:line="259" w:lineRule="auto"/>
        <w:rPr>
          <w:sz w:val="24"/>
        </w:rPr>
      </w:pPr>
      <w:r>
        <w:rPr>
          <w:sz w:val="24"/>
        </w:rPr>
        <w:t xml:space="preserve"> </w:t>
      </w:r>
      <w:bookmarkStart w:id="33" w:name="_Toc31878853"/>
      <w:r w:rsidRPr="003C27CE">
        <w:rPr>
          <w:sz w:val="24"/>
        </w:rPr>
        <w:t>Year 12 Completion Plans</w:t>
      </w:r>
      <w:bookmarkEnd w:id="33"/>
    </w:p>
    <w:p w14:paraId="3DFA6335" w14:textId="77777777" w:rsidR="009A5DC7" w:rsidRDefault="008A1D27" w:rsidP="009A5DC7">
      <w:r>
        <w:t>The decision of whether</w:t>
      </w:r>
      <w:r w:rsidRPr="00632112">
        <w:t xml:space="preserve"> to leave </w:t>
      </w:r>
      <w:r>
        <w:t xml:space="preserve">school early </w:t>
      </w:r>
      <w:r w:rsidRPr="00632112">
        <w:t xml:space="preserve">or complete </w:t>
      </w:r>
      <w:r>
        <w:t>Year 12</w:t>
      </w:r>
      <w:r w:rsidRPr="00632112">
        <w:t xml:space="preserve"> </w:t>
      </w:r>
      <w:r>
        <w:t>is</w:t>
      </w:r>
      <w:r w:rsidRPr="00632112">
        <w:t xml:space="preserve"> often made early</w:t>
      </w:r>
      <w:r>
        <w:t xml:space="preserve">, and plans </w:t>
      </w:r>
      <w:r w:rsidR="00A177E6">
        <w:t>to complete</w:t>
      </w:r>
      <w:r>
        <w:t xml:space="preserve"> Year 12</w:t>
      </w:r>
      <w:r w:rsidRPr="00632112">
        <w:t xml:space="preserve"> are generally realised.</w:t>
      </w:r>
      <w:r>
        <w:rPr>
          <w:b/>
          <w:bCs/>
        </w:rPr>
        <w:t xml:space="preserve"> </w:t>
      </w:r>
      <w:r w:rsidR="000B07F2">
        <w:t>The vast majority of 16</w:t>
      </w:r>
      <w:r w:rsidRPr="00632112">
        <w:t xml:space="preserve"> year olds plan to complete </w:t>
      </w:r>
      <w:r>
        <w:t xml:space="preserve">Year 12 </w:t>
      </w:r>
      <w:r w:rsidRPr="000B07F2">
        <w:t>(</w:t>
      </w:r>
      <w:r w:rsidR="003E6A39" w:rsidRPr="000B07F2">
        <w:t>92</w:t>
      </w:r>
      <w:r w:rsidR="000B07F2">
        <w:t xml:space="preserve">% </w:t>
      </w:r>
      <w:r w:rsidR="00C965CE">
        <w:t>for Y03</w:t>
      </w:r>
      <w:r w:rsidRPr="000B07F2">
        <w:t xml:space="preserve">, </w:t>
      </w:r>
      <w:r w:rsidR="003E6A39" w:rsidRPr="000B07F2">
        <w:t>85</w:t>
      </w:r>
      <w:r w:rsidR="000B07F2">
        <w:t xml:space="preserve">% </w:t>
      </w:r>
      <w:r w:rsidR="00C965CE">
        <w:t xml:space="preserve">for Y06 and </w:t>
      </w:r>
      <w:r w:rsidR="003E6A39" w:rsidRPr="000B07F2">
        <w:t>89</w:t>
      </w:r>
      <w:r w:rsidR="000B07F2">
        <w:t xml:space="preserve">% </w:t>
      </w:r>
      <w:r w:rsidR="00C965CE">
        <w:t>for Y09</w:t>
      </w:r>
      <w:r w:rsidRPr="000B07F2">
        <w:t>)</w:t>
      </w:r>
      <w:r w:rsidR="006C78A8" w:rsidRPr="000B07F2">
        <w:t>.</w:t>
      </w:r>
      <w:r w:rsidR="00EE1883">
        <w:t xml:space="preserve"> </w:t>
      </w:r>
      <w:r w:rsidR="009A5DC7">
        <w:t>T</w:t>
      </w:r>
      <w:r w:rsidR="009A5DC7" w:rsidRPr="00630998">
        <w:t>he</w:t>
      </w:r>
      <w:r w:rsidR="009A5DC7">
        <w:t xml:space="preserve"> rate of follow-through on their</w:t>
      </w:r>
      <w:r w:rsidR="009A5DC7" w:rsidRPr="00630998">
        <w:t xml:space="preserve"> plans is high</w:t>
      </w:r>
      <w:r w:rsidR="009A5DC7">
        <w:t xml:space="preserve"> (</w:t>
      </w:r>
      <w:r w:rsidR="009A5DC7">
        <w:fldChar w:fldCharType="begin"/>
      </w:r>
      <w:r w:rsidR="009A5DC7">
        <w:instrText xml:space="preserve"> REF _Ref31815776 \h </w:instrText>
      </w:r>
      <w:r w:rsidR="009A5DC7">
        <w:fldChar w:fldCharType="separate"/>
      </w:r>
      <w:r w:rsidR="00433E17">
        <w:t xml:space="preserve">Figure </w:t>
      </w:r>
      <w:r w:rsidR="00433E17">
        <w:rPr>
          <w:noProof/>
        </w:rPr>
        <w:t>2</w:t>
      </w:r>
      <w:r w:rsidR="00433E17">
        <w:t>.</w:t>
      </w:r>
      <w:r w:rsidR="00433E17">
        <w:rPr>
          <w:noProof/>
        </w:rPr>
        <w:t>1</w:t>
      </w:r>
      <w:r w:rsidR="009A5DC7">
        <w:fldChar w:fldCharType="end"/>
      </w:r>
      <w:r w:rsidR="009A5DC7">
        <w:t>), a</w:t>
      </w:r>
      <w:r w:rsidR="009A5DC7" w:rsidRPr="00632112">
        <w:t>round nine out of every ten 15</w:t>
      </w:r>
      <w:r w:rsidR="009A5DC7">
        <w:t xml:space="preserve"> </w:t>
      </w:r>
      <w:r w:rsidR="009A5DC7" w:rsidRPr="00632112">
        <w:t>year</w:t>
      </w:r>
      <w:r w:rsidR="009A5DC7">
        <w:t xml:space="preserve"> </w:t>
      </w:r>
      <w:r w:rsidR="009A5DC7" w:rsidRPr="00632112">
        <w:t xml:space="preserve">olds who </w:t>
      </w:r>
      <w:r w:rsidR="009A5DC7">
        <w:t>plan</w:t>
      </w:r>
      <w:r w:rsidR="009A5DC7" w:rsidRPr="00632112">
        <w:t xml:space="preserve"> to complete Year 12</w:t>
      </w:r>
      <w:r w:rsidR="000B07F2">
        <w:t xml:space="preserve"> go on to complete Year 12</w:t>
      </w:r>
      <w:r w:rsidR="00C965CE">
        <w:t xml:space="preserve"> by age 19</w:t>
      </w:r>
      <w:r w:rsidR="009A5DC7">
        <w:t>. T</w:t>
      </w:r>
      <w:r w:rsidR="009A5DC7" w:rsidRPr="00632112">
        <w:t xml:space="preserve">his trend has not changed much over the last </w:t>
      </w:r>
      <w:r w:rsidR="000B07F2" w:rsidRPr="00C965CE">
        <w:t>decade</w:t>
      </w:r>
      <w:r w:rsidR="009A5DC7" w:rsidRPr="00C965CE">
        <w:t xml:space="preserve">. </w:t>
      </w:r>
      <w:r w:rsidR="006C78A8" w:rsidRPr="00C965CE">
        <w:t>Those planning to leave school before Year 12 constituted a small and decreasing proportion of young people (</w:t>
      </w:r>
      <w:r w:rsidR="00AA3A8E" w:rsidRPr="00C965CE">
        <w:t>6</w:t>
      </w:r>
      <w:r w:rsidR="006C78A8" w:rsidRPr="00C965CE">
        <w:t xml:space="preserve">% </w:t>
      </w:r>
      <w:r w:rsidR="00C965CE" w:rsidRPr="00C965CE">
        <w:t>for Y03</w:t>
      </w:r>
      <w:r w:rsidR="00AA3A8E" w:rsidRPr="00C965CE">
        <w:t xml:space="preserve">, 5% </w:t>
      </w:r>
      <w:r w:rsidR="00C965CE" w:rsidRPr="00C965CE">
        <w:t>for Y06</w:t>
      </w:r>
      <w:r w:rsidR="006C78A8" w:rsidRPr="00C965CE">
        <w:t xml:space="preserve"> </w:t>
      </w:r>
      <w:r w:rsidR="00AA3A8E" w:rsidRPr="00C965CE">
        <w:t>and 4</w:t>
      </w:r>
      <w:r w:rsidR="006C78A8" w:rsidRPr="00C965CE">
        <w:t xml:space="preserve">% </w:t>
      </w:r>
      <w:r w:rsidR="00C965CE" w:rsidRPr="00C965CE">
        <w:t>for Y09</w:t>
      </w:r>
      <w:r w:rsidR="006C78A8" w:rsidRPr="00C965CE">
        <w:t>)</w:t>
      </w:r>
      <w:r w:rsidR="009A5DC7" w:rsidRPr="00C965CE">
        <w:t xml:space="preserve">, while most </w:t>
      </w:r>
      <w:r w:rsidR="009A48EA" w:rsidRPr="00C965CE">
        <w:t xml:space="preserve">of those planning to leave </w:t>
      </w:r>
      <w:r w:rsidR="009A5DC7" w:rsidRPr="00C965CE">
        <w:t>do become early school leavers, the proportion who change their mind and stay to complete Year 12 has been increasing. While this</w:t>
      </w:r>
      <w:r w:rsidR="009A5DC7">
        <w:t xml:space="preserve"> trend is a positive one, the reality is that most of those who leave </w:t>
      </w:r>
      <w:r w:rsidR="009A5DC7" w:rsidRPr="00632112">
        <w:t xml:space="preserve">school early did not originally plan to, </w:t>
      </w:r>
      <w:r w:rsidR="009A5DC7">
        <w:t>meaning that they are likely to have encountered some sort of influence or barrier that either changed their plans or prevented them from achieving their goal.</w:t>
      </w:r>
    </w:p>
    <w:p w14:paraId="49BCCF81" w14:textId="77777777" w:rsidR="00443681" w:rsidRDefault="009A48EA" w:rsidP="008A1D27">
      <w:r w:rsidRPr="00C965CE">
        <w:t>The remainder of</w:t>
      </w:r>
      <w:r w:rsidR="0062548C" w:rsidRPr="00C965CE">
        <w:t xml:space="preserve"> </w:t>
      </w:r>
      <w:r w:rsidR="006C78A8" w:rsidRPr="00C965CE">
        <w:t xml:space="preserve">young people </w:t>
      </w:r>
      <w:r w:rsidRPr="00C965CE">
        <w:t xml:space="preserve">reported being unsure about whether </w:t>
      </w:r>
      <w:r w:rsidR="006845D2" w:rsidRPr="00C965CE">
        <w:t>they planned to</w:t>
      </w:r>
      <w:r w:rsidRPr="00C965CE">
        <w:t xml:space="preserve"> complete</w:t>
      </w:r>
      <w:r w:rsidR="006C78A8" w:rsidRPr="00C965CE">
        <w:t xml:space="preserve"> Year 12</w:t>
      </w:r>
      <w:r w:rsidR="0062548C" w:rsidRPr="00C965CE">
        <w:t xml:space="preserve">. This </w:t>
      </w:r>
      <w:r w:rsidR="009110C1" w:rsidRPr="00C965CE">
        <w:t xml:space="preserve">group </w:t>
      </w:r>
      <w:r w:rsidR="006C78A8" w:rsidRPr="00C965CE">
        <w:t xml:space="preserve">fluctuated </w:t>
      </w:r>
      <w:r w:rsidR="009110C1" w:rsidRPr="00C965CE">
        <w:t xml:space="preserve">in size </w:t>
      </w:r>
      <w:r w:rsidR="006845D2" w:rsidRPr="00C965CE">
        <w:t>over</w:t>
      </w:r>
      <w:r w:rsidR="006C78A8" w:rsidRPr="00C965CE">
        <w:t xml:space="preserve"> time </w:t>
      </w:r>
      <w:r w:rsidR="00AA3A8E" w:rsidRPr="00C965CE">
        <w:t xml:space="preserve">(3% </w:t>
      </w:r>
      <w:r w:rsidR="00C965CE" w:rsidRPr="00C965CE">
        <w:t>for Y03</w:t>
      </w:r>
      <w:r w:rsidR="00AA3A8E" w:rsidRPr="00C965CE">
        <w:t xml:space="preserve">, 9% </w:t>
      </w:r>
      <w:r w:rsidR="00C965CE" w:rsidRPr="00C965CE">
        <w:t>for Y06</w:t>
      </w:r>
      <w:r w:rsidR="00AA3A8E" w:rsidRPr="00C965CE">
        <w:t xml:space="preserve"> and 7</w:t>
      </w:r>
      <w:r w:rsidR="00C965CE" w:rsidRPr="00C965CE">
        <w:t>% for Y09</w:t>
      </w:r>
      <w:r w:rsidR="006C78A8" w:rsidRPr="00C965CE">
        <w:t>)</w:t>
      </w:r>
      <w:r w:rsidR="009110C1" w:rsidRPr="00C965CE">
        <w:t>.</w:t>
      </w:r>
      <w:r w:rsidR="006845D2" w:rsidRPr="00C965CE">
        <w:t xml:space="preserve"> </w:t>
      </w:r>
      <w:r w:rsidR="009110C1" w:rsidRPr="00C965CE">
        <w:t xml:space="preserve">Positively, </w:t>
      </w:r>
      <w:r w:rsidR="006845D2" w:rsidRPr="00C965CE">
        <w:t xml:space="preserve">despite being unsure, </w:t>
      </w:r>
      <w:r w:rsidR="004A56A0" w:rsidRPr="00C965CE">
        <w:t>a</w:t>
      </w:r>
      <w:r w:rsidR="00BA6327" w:rsidRPr="00C965CE">
        <w:t xml:space="preserve"> </w:t>
      </w:r>
      <w:r w:rsidR="00387CD9" w:rsidRPr="00C965CE">
        <w:t>growing</w:t>
      </w:r>
      <w:r w:rsidR="009110C1" w:rsidRPr="00C965CE">
        <w:t xml:space="preserve"> proportion of these young people</w:t>
      </w:r>
      <w:r w:rsidR="00387CD9" w:rsidRPr="00C965CE">
        <w:t xml:space="preserve"> </w:t>
      </w:r>
      <w:r w:rsidR="006845D2" w:rsidRPr="00C965CE">
        <w:t>complete</w:t>
      </w:r>
      <w:r w:rsidR="00C965CE" w:rsidRPr="00C965CE">
        <w:t>d</w:t>
      </w:r>
      <w:r w:rsidR="006845D2" w:rsidRPr="00C965CE">
        <w:t xml:space="preserve"> Year 12 </w:t>
      </w:r>
      <w:r w:rsidR="00BA6327" w:rsidRPr="00C965CE">
        <w:t xml:space="preserve">(36 </w:t>
      </w:r>
      <w:r w:rsidR="004A5579" w:rsidRPr="00C965CE">
        <w:t xml:space="preserve">per cent </w:t>
      </w:r>
      <w:r w:rsidR="00C965CE" w:rsidRPr="00C965CE">
        <w:t>for Y03</w:t>
      </w:r>
      <w:r w:rsidR="00BA6327" w:rsidRPr="00C965CE">
        <w:t xml:space="preserve"> </w:t>
      </w:r>
      <w:r w:rsidR="00C965CE">
        <w:t>and</w:t>
      </w:r>
      <w:r w:rsidR="00BA6327" w:rsidRPr="00C965CE">
        <w:t xml:space="preserve"> 56 </w:t>
      </w:r>
      <w:r w:rsidR="004A5579" w:rsidRPr="00C965CE">
        <w:t xml:space="preserve">per cent </w:t>
      </w:r>
      <w:r w:rsidR="00C965CE" w:rsidRPr="00C965CE">
        <w:t>for Y09</w:t>
      </w:r>
      <w:r w:rsidR="004A56A0" w:rsidRPr="00C965CE">
        <w:t>).</w:t>
      </w:r>
      <w:r w:rsidR="009120B3" w:rsidRPr="00C965CE">
        <w:t xml:space="preserve"> This could reflect </w:t>
      </w:r>
      <w:r w:rsidR="009110C1" w:rsidRPr="00C965CE">
        <w:t xml:space="preserve">changes in the perceived attractiveness of post-school study </w:t>
      </w:r>
      <w:r w:rsidR="006845D2" w:rsidRPr="00C965CE">
        <w:t>compared to</w:t>
      </w:r>
      <w:r w:rsidR="009110C1" w:rsidRPr="00C965CE">
        <w:t xml:space="preserve"> the labour market.</w:t>
      </w:r>
    </w:p>
    <w:p w14:paraId="6B716D3D" w14:textId="77777777" w:rsidR="003D13D5" w:rsidRDefault="008A1D27" w:rsidP="00E10039">
      <w:pPr>
        <w:pStyle w:val="Figuretitle"/>
        <w:spacing w:after="0"/>
        <w:rPr>
          <w:rFonts w:cstheme="minorHAnsi"/>
        </w:rPr>
      </w:pPr>
      <w:bookmarkStart w:id="34" w:name="_Ref31815776"/>
      <w:bookmarkStart w:id="35" w:name="_Toc31878778"/>
      <w:r>
        <w:lastRenderedPageBreak/>
        <w:t xml:space="preserve">Figure </w:t>
      </w:r>
      <w:fldSimple w:instr=" STYLEREF 1 \s ">
        <w:r w:rsidR="00433E17">
          <w:rPr>
            <w:noProof/>
          </w:rPr>
          <w:t>2</w:t>
        </w:r>
      </w:fldSimple>
      <w:r>
        <w:t>.</w:t>
      </w:r>
      <w:fldSimple w:instr=" SEQ Figure \* ARABIC \s 1 ">
        <w:r w:rsidR="00433E17">
          <w:rPr>
            <w:noProof/>
          </w:rPr>
          <w:t>1</w:t>
        </w:r>
      </w:fldSimple>
      <w:bookmarkEnd w:id="34"/>
      <w:r>
        <w:t>: Year 12 completion by plans to complete year 12</w:t>
      </w:r>
      <w:bookmarkEnd w:id="35"/>
    </w:p>
    <w:p w14:paraId="7978B425" w14:textId="77777777" w:rsidR="003D13D5" w:rsidRPr="00952FA4" w:rsidRDefault="003D13D5" w:rsidP="008A1D27">
      <w:pPr>
        <w:spacing w:after="0"/>
        <w:rPr>
          <w:rFonts w:cstheme="minorHAnsi"/>
        </w:rPr>
      </w:pPr>
      <w:r>
        <w:rPr>
          <w:noProof/>
          <w:lang w:eastAsia="en-AU"/>
        </w:rPr>
        <w:drawing>
          <wp:inline distT="0" distB="0" distL="0" distR="0" wp14:anchorId="2BCBCF23" wp14:editId="44D64B8E">
            <wp:extent cx="6120130" cy="4177030"/>
            <wp:effectExtent l="0" t="0" r="0" b="0"/>
            <wp:docPr id="32" name="Picture 32" descr="Figure 2.1 shows that over time the proportion of those who plan to complete Year 12 has increased and conversely those who planned to complete but left early has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177030"/>
                    </a:xfrm>
                    <a:prstGeom prst="rect">
                      <a:avLst/>
                    </a:prstGeom>
                  </pic:spPr>
                </pic:pic>
              </a:graphicData>
            </a:graphic>
          </wp:inline>
        </w:drawing>
      </w:r>
    </w:p>
    <w:p w14:paraId="26A3DA5E" w14:textId="77777777" w:rsidR="008A1D27" w:rsidRDefault="008A1D27" w:rsidP="008A1D27">
      <w:pPr>
        <w:rPr>
          <w:rFonts w:cstheme="minorHAnsi"/>
          <w:sz w:val="20"/>
          <w:szCs w:val="20"/>
        </w:rPr>
      </w:pPr>
      <w:r w:rsidRPr="00B75A98">
        <w:rPr>
          <w:rFonts w:cstheme="minorHAnsi"/>
          <w:b/>
          <w:sz w:val="20"/>
          <w:szCs w:val="20"/>
        </w:rPr>
        <w:t>Note:</w:t>
      </w:r>
      <w:r w:rsidRPr="00B75A98">
        <w:rPr>
          <w:rFonts w:cstheme="minorHAnsi"/>
          <w:sz w:val="20"/>
          <w:szCs w:val="20"/>
        </w:rPr>
        <w:t xml:space="preserve"> Bracketed year is the year of measurement for the cohort</w:t>
      </w:r>
      <w:r w:rsidR="006845D2">
        <w:rPr>
          <w:rFonts w:cstheme="minorHAnsi"/>
          <w:sz w:val="20"/>
          <w:szCs w:val="20"/>
        </w:rPr>
        <w:t>. This graph excludes young people who were unsure about whether they wanted to complete Year 12.</w:t>
      </w:r>
    </w:p>
    <w:p w14:paraId="76FD036A" w14:textId="77777777" w:rsidR="008A1D27" w:rsidRDefault="008A1D27" w:rsidP="008A1D27">
      <w:r w:rsidRPr="00FD4C7B">
        <w:t>On average, young people who complete Year 12 tend to transition more successfully from education to work than those who do not. It is not surpri</w:t>
      </w:r>
      <w:r>
        <w:t>sing therefore, that</w:t>
      </w:r>
      <w:r w:rsidRPr="00FD4C7B">
        <w:t xml:space="preserve"> numerous governments</w:t>
      </w:r>
      <w:r>
        <w:t xml:space="preserve"> have</w:t>
      </w:r>
      <w:r w:rsidRPr="00FD4C7B">
        <w:t xml:space="preserve"> introduce</w:t>
      </w:r>
      <w:r>
        <w:t>d</w:t>
      </w:r>
      <w:r w:rsidRPr="00FD4C7B">
        <w:t xml:space="preserve"> policies that promote Year 12 completion</w:t>
      </w:r>
      <w:r>
        <w:rPr>
          <w:rStyle w:val="FootnoteReference"/>
        </w:rPr>
        <w:footnoteReference w:id="3"/>
      </w:r>
      <w:r w:rsidRPr="00FD4C7B">
        <w:t xml:space="preserve">. </w:t>
      </w:r>
    </w:p>
    <w:p w14:paraId="6378ED58" w14:textId="77777777" w:rsidR="008A1D27" w:rsidRPr="003C27CE" w:rsidRDefault="008A1D27" w:rsidP="008A1D27">
      <w:pPr>
        <w:pStyle w:val="Heading2"/>
        <w:keepNext w:val="0"/>
        <w:keepLines w:val="0"/>
        <w:numPr>
          <w:ilvl w:val="2"/>
          <w:numId w:val="20"/>
        </w:numPr>
        <w:spacing w:before="0" w:line="259" w:lineRule="auto"/>
        <w:rPr>
          <w:sz w:val="24"/>
        </w:rPr>
      </w:pPr>
      <w:r>
        <w:rPr>
          <w:sz w:val="24"/>
        </w:rPr>
        <w:t xml:space="preserve"> </w:t>
      </w:r>
      <w:bookmarkStart w:id="36" w:name="_Toc31878854"/>
      <w:r w:rsidRPr="003C27CE">
        <w:rPr>
          <w:sz w:val="24"/>
        </w:rPr>
        <w:t>Post-school plans</w:t>
      </w:r>
      <w:bookmarkEnd w:id="36"/>
    </w:p>
    <w:p w14:paraId="31364247" w14:textId="77777777" w:rsidR="008A1D27" w:rsidRDefault="008A1D27" w:rsidP="008A1D27">
      <w:r>
        <w:t xml:space="preserve">Young people’s plans for post-school have changed very little over time. </w:t>
      </w:r>
      <w:r w:rsidR="006740D6">
        <w:fldChar w:fldCharType="begin"/>
      </w:r>
      <w:r w:rsidR="006740D6">
        <w:instrText xml:space="preserve"> REF _Ref31815879 \h </w:instrText>
      </w:r>
      <w:r w:rsidR="006740D6">
        <w:fldChar w:fldCharType="separate"/>
      </w:r>
      <w:r w:rsidR="00433E17">
        <w:t xml:space="preserve">Figure </w:t>
      </w:r>
      <w:r w:rsidR="00433E17">
        <w:rPr>
          <w:noProof/>
        </w:rPr>
        <w:t>2</w:t>
      </w:r>
      <w:r w:rsidR="00433E17">
        <w:t>.</w:t>
      </w:r>
      <w:r w:rsidR="00433E17">
        <w:rPr>
          <w:noProof/>
        </w:rPr>
        <w:t>2</w:t>
      </w:r>
      <w:r w:rsidR="006740D6">
        <w:fldChar w:fldCharType="end"/>
      </w:r>
      <w:r w:rsidR="006740D6">
        <w:t xml:space="preserve"> </w:t>
      </w:r>
      <w:r>
        <w:t>shows the distribution of plans for each cohort, who were asked about their post-school plans at age 16. The majority planned to go to university</w:t>
      </w:r>
      <w:r w:rsidRPr="00632112">
        <w:t>.</w:t>
      </w:r>
      <w:r>
        <w:t xml:space="preserve"> Vocational post-school study is the second most commonly planned activity and encompasses both on-the-job courses (apprenticeships and traineeships) and classroom only courses at TAFEs and other vocational institutions. Between</w:t>
      </w:r>
      <w:r w:rsidRPr="00632112">
        <w:t xml:space="preserve"> 2004 and 2007</w:t>
      </w:r>
      <w:r>
        <w:t xml:space="preserve"> there was a relatively large increase</w:t>
      </w:r>
      <w:r w:rsidRPr="00632112">
        <w:t xml:space="preserve"> </w:t>
      </w:r>
      <w:r>
        <w:t>from five per cent to 12 per cent for</w:t>
      </w:r>
      <w:r w:rsidR="00E70E40">
        <w:t xml:space="preserve"> A</w:t>
      </w:r>
      <w:r w:rsidRPr="00632112">
        <w:t>pprenticeship</w:t>
      </w:r>
      <w:r>
        <w:t xml:space="preserve"> aspirations,</w:t>
      </w:r>
      <w:r w:rsidRPr="00632112">
        <w:t xml:space="preserve"> </w:t>
      </w:r>
      <w:r>
        <w:t xml:space="preserve">likely </w:t>
      </w:r>
      <w:r w:rsidRPr="00632112">
        <w:t xml:space="preserve">in response to the booming </w:t>
      </w:r>
      <w:r>
        <w:t>mining</w:t>
      </w:r>
      <w:r w:rsidRPr="00632112">
        <w:t xml:space="preserve"> and construction sectors of the Australian economy at that time. Overall, aspirations to vocational post-school study have declined in more recent times</w:t>
      </w:r>
      <w:r>
        <w:t xml:space="preserve"> alongside increases in plans for university and going straight into work</w:t>
      </w:r>
      <w:r w:rsidRPr="00632112">
        <w:t>.</w:t>
      </w:r>
      <w:r w:rsidR="00AA3A8E">
        <w:rPr>
          <w:rStyle w:val="FootnoteReference"/>
        </w:rPr>
        <w:footnoteReference w:id="4"/>
      </w:r>
    </w:p>
    <w:p w14:paraId="09997A8F" w14:textId="77777777" w:rsidR="00BC0E4C" w:rsidRPr="00632112" w:rsidRDefault="00BC0E4C" w:rsidP="008A1D27"/>
    <w:p w14:paraId="5FFF6E7A" w14:textId="77777777" w:rsidR="000C0E60" w:rsidRPr="000C0E60" w:rsidRDefault="008A1D27" w:rsidP="00DA0CBE">
      <w:pPr>
        <w:pStyle w:val="Figuretitle"/>
        <w:rPr>
          <w:rFonts w:cstheme="minorBidi"/>
        </w:rPr>
      </w:pPr>
      <w:bookmarkStart w:id="37" w:name="_Ref31815879"/>
      <w:bookmarkStart w:id="38" w:name="_Toc31878779"/>
      <w:r>
        <w:t xml:space="preserve">Figure </w:t>
      </w:r>
      <w:fldSimple w:instr=" STYLEREF 1 \s ">
        <w:r w:rsidR="00433E17">
          <w:rPr>
            <w:noProof/>
          </w:rPr>
          <w:t>2</w:t>
        </w:r>
      </w:fldSimple>
      <w:r>
        <w:t>.</w:t>
      </w:r>
      <w:fldSimple w:instr=" SEQ Figure \* ARABIC \s 1 ">
        <w:r w:rsidR="00433E17">
          <w:rPr>
            <w:noProof/>
          </w:rPr>
          <w:t>2</w:t>
        </w:r>
      </w:fldSimple>
      <w:bookmarkEnd w:id="37"/>
      <w:r>
        <w:t>: Post-school aspirations at age 16</w:t>
      </w:r>
      <w:bookmarkEnd w:id="38"/>
    </w:p>
    <w:p w14:paraId="653E36CE" w14:textId="77777777" w:rsidR="000C0E60" w:rsidRDefault="000C0E60" w:rsidP="008A1D27">
      <w:pPr>
        <w:rPr>
          <w:rFonts w:cstheme="minorHAnsi"/>
          <w:b/>
          <w:sz w:val="20"/>
          <w:szCs w:val="20"/>
        </w:rPr>
      </w:pPr>
      <w:r>
        <w:rPr>
          <w:noProof/>
          <w:lang w:eastAsia="en-AU"/>
        </w:rPr>
        <w:drawing>
          <wp:inline distT="0" distB="0" distL="0" distR="0" wp14:anchorId="6C1D5841" wp14:editId="2AD46E00">
            <wp:extent cx="4638675" cy="4972050"/>
            <wp:effectExtent l="0" t="0" r="9525" b="0"/>
            <wp:docPr id="43" name="Picture 43" descr="Figure 2.2 shows the post school aspirations of young people at age 16 for each of the six LSAY cohorts. Over time those that aspire to university has increased, whilst those aspiring to TAFE or Apprenticeships increased before decreasing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8675" cy="4972050"/>
                    </a:xfrm>
                    <a:prstGeom prst="rect">
                      <a:avLst/>
                    </a:prstGeom>
                  </pic:spPr>
                </pic:pic>
              </a:graphicData>
            </a:graphic>
          </wp:inline>
        </w:drawing>
      </w:r>
    </w:p>
    <w:p w14:paraId="1EC959AD" w14:textId="77777777" w:rsidR="002F4E0C" w:rsidRDefault="008A1D27" w:rsidP="008A1D27">
      <w:pPr>
        <w:rPr>
          <w:rFonts w:cstheme="minorHAnsi"/>
          <w:sz w:val="20"/>
          <w:szCs w:val="20"/>
        </w:rPr>
      </w:pPr>
      <w:r w:rsidRPr="00B75A98">
        <w:rPr>
          <w:rFonts w:cstheme="minorHAnsi"/>
          <w:b/>
          <w:sz w:val="20"/>
          <w:szCs w:val="20"/>
        </w:rPr>
        <w:t>Note:</w:t>
      </w:r>
      <w:r>
        <w:rPr>
          <w:rFonts w:cstheme="minorHAnsi"/>
          <w:sz w:val="20"/>
          <w:szCs w:val="20"/>
        </w:rPr>
        <w:t xml:space="preserve"> Bracketed year is the year of measurement for the cohort</w:t>
      </w:r>
    </w:p>
    <w:p w14:paraId="2D81F759" w14:textId="77777777" w:rsidR="008A1D27" w:rsidRDefault="008A1D27" w:rsidP="008A1D27">
      <w:pPr>
        <w:pStyle w:val="Default"/>
        <w:spacing w:after="160"/>
        <w:rPr>
          <w:sz w:val="22"/>
        </w:rPr>
      </w:pPr>
      <w:r w:rsidRPr="000D5B87">
        <w:rPr>
          <w:sz w:val="22"/>
        </w:rPr>
        <w:t xml:space="preserve">Completing year 12 education has traditionally been more suited to those with academic aspirations, and the data shows that aspiring to go to university has always been associated with very high Year 12 completion rates (see </w:t>
      </w:r>
      <w:r>
        <w:rPr>
          <w:sz w:val="22"/>
        </w:rPr>
        <w:fldChar w:fldCharType="begin"/>
      </w:r>
      <w:r w:rsidRPr="00F550E2">
        <w:rPr>
          <w:sz w:val="22"/>
        </w:rPr>
        <w:instrText xml:space="preserve"> REF _Ref20900270 \h </w:instrText>
      </w:r>
      <w:r w:rsidRPr="00B75A98">
        <w:rPr>
          <w:sz w:val="22"/>
        </w:rPr>
        <w:instrText xml:space="preserve"> \* MERGEFORMAT </w:instrText>
      </w:r>
      <w:r>
        <w:rPr>
          <w:sz w:val="22"/>
        </w:rPr>
      </w:r>
      <w:r>
        <w:rPr>
          <w:sz w:val="22"/>
        </w:rPr>
        <w:fldChar w:fldCharType="separate"/>
      </w:r>
      <w:r w:rsidR="00433E17" w:rsidRPr="00433E17">
        <w:rPr>
          <w:sz w:val="22"/>
        </w:rPr>
        <w:t>Figure</w:t>
      </w:r>
      <w:r w:rsidR="00433E17">
        <w:t xml:space="preserve"> </w:t>
      </w:r>
      <w:r w:rsidR="00433E17">
        <w:rPr>
          <w:noProof/>
        </w:rPr>
        <w:t>2.3</w:t>
      </w:r>
      <w:r>
        <w:rPr>
          <w:sz w:val="22"/>
        </w:rPr>
        <w:fldChar w:fldCharType="end"/>
      </w:r>
      <w:r w:rsidRPr="000D5B87">
        <w:rPr>
          <w:sz w:val="22"/>
        </w:rPr>
        <w:t>), and while completion rates have indeed improved over time, they have not increased uniformly when considering young people’s post-school plans. Students with non-university plans may not benefit from staying to finish Year 12 to the same extent as those with plans to go to university; however, despite not necessarily requiring a Year 12 certificate to fulfil their plans, these students are increasingly recognising the importance of completing a Year 12 education. The only aspiration group for whom completion rates are still relatively low are t</w:t>
      </w:r>
      <w:r w:rsidR="00E70E40">
        <w:rPr>
          <w:sz w:val="22"/>
        </w:rPr>
        <w:t>hose who are planning to do an A</w:t>
      </w:r>
      <w:r w:rsidRPr="000D5B87">
        <w:rPr>
          <w:sz w:val="22"/>
        </w:rPr>
        <w:t>pprenticeship. For these students, there may be more value in getting started on their plans than obtaining a year 12 certificate.</w:t>
      </w:r>
      <w:r w:rsidRPr="000D5B87" w:rsidDel="008B5968">
        <w:rPr>
          <w:sz w:val="22"/>
        </w:rPr>
        <w:t xml:space="preserve"> </w:t>
      </w:r>
    </w:p>
    <w:p w14:paraId="6DFADF54" w14:textId="77777777" w:rsidR="00E46526" w:rsidRDefault="00E46526" w:rsidP="008A1D27">
      <w:pPr>
        <w:pStyle w:val="Default"/>
        <w:spacing w:after="160"/>
        <w:rPr>
          <w:sz w:val="22"/>
        </w:rPr>
      </w:pPr>
    </w:p>
    <w:p w14:paraId="4C569D17" w14:textId="77777777" w:rsidR="00E46526" w:rsidRDefault="00E46526" w:rsidP="008A1D27">
      <w:pPr>
        <w:pStyle w:val="Default"/>
        <w:spacing w:after="160"/>
        <w:rPr>
          <w:sz w:val="22"/>
        </w:rPr>
      </w:pPr>
    </w:p>
    <w:p w14:paraId="31D553B2" w14:textId="77777777" w:rsidR="00E46526" w:rsidRDefault="00E46526" w:rsidP="008A1D27">
      <w:pPr>
        <w:pStyle w:val="Default"/>
        <w:spacing w:after="160"/>
        <w:rPr>
          <w:sz w:val="22"/>
        </w:rPr>
      </w:pPr>
    </w:p>
    <w:p w14:paraId="5FF8B36C" w14:textId="77777777" w:rsidR="00E46526" w:rsidRDefault="00E46526" w:rsidP="008A1D27">
      <w:pPr>
        <w:pStyle w:val="Default"/>
        <w:spacing w:after="160"/>
        <w:rPr>
          <w:sz w:val="22"/>
        </w:rPr>
      </w:pPr>
    </w:p>
    <w:p w14:paraId="63081551" w14:textId="77777777" w:rsidR="00E46526" w:rsidRDefault="00E46526" w:rsidP="008A1D27">
      <w:pPr>
        <w:pStyle w:val="Default"/>
        <w:spacing w:after="160"/>
        <w:rPr>
          <w:sz w:val="22"/>
        </w:rPr>
      </w:pPr>
    </w:p>
    <w:p w14:paraId="4826B185" w14:textId="77777777" w:rsidR="00E46526" w:rsidRDefault="00E46526" w:rsidP="008A1D27">
      <w:pPr>
        <w:pStyle w:val="Default"/>
        <w:spacing w:after="160"/>
        <w:rPr>
          <w:sz w:val="22"/>
        </w:rPr>
      </w:pPr>
    </w:p>
    <w:p w14:paraId="0F752724" w14:textId="77777777" w:rsidR="00E46526" w:rsidRDefault="00E46526" w:rsidP="008A1D27">
      <w:pPr>
        <w:pStyle w:val="Default"/>
        <w:spacing w:after="160"/>
        <w:rPr>
          <w:sz w:val="22"/>
        </w:rPr>
      </w:pPr>
    </w:p>
    <w:p w14:paraId="1C6B522B" w14:textId="79199DFC" w:rsidR="00C9136C" w:rsidRDefault="008A1D27" w:rsidP="00EB45B2">
      <w:pPr>
        <w:pStyle w:val="Figuretitle"/>
      </w:pPr>
      <w:bookmarkStart w:id="39" w:name="_Ref20900270"/>
      <w:bookmarkStart w:id="40" w:name="_Toc31878780"/>
      <w:r>
        <w:t xml:space="preserve">Figure </w:t>
      </w:r>
      <w:fldSimple w:instr=" STYLEREF 1 \s ">
        <w:r w:rsidR="00433E17">
          <w:rPr>
            <w:noProof/>
          </w:rPr>
          <w:t>2</w:t>
        </w:r>
      </w:fldSimple>
      <w:r>
        <w:t>.</w:t>
      </w:r>
      <w:fldSimple w:instr=" SEQ Figure \* ARABIC \s 1 ">
        <w:r w:rsidR="00433E17">
          <w:rPr>
            <w:noProof/>
          </w:rPr>
          <w:t>3</w:t>
        </w:r>
      </w:fldSimple>
      <w:bookmarkEnd w:id="39"/>
      <w:r w:rsidRPr="000D5B87">
        <w:t>: Year 12 completion rate by plans for post school study</w:t>
      </w:r>
      <w:bookmarkEnd w:id="40"/>
    </w:p>
    <w:p w14:paraId="0381160D" w14:textId="3DFA1B7D" w:rsidR="008A1D27" w:rsidRDefault="00D34209" w:rsidP="00D34209">
      <w:pPr>
        <w:pStyle w:val="Figuretitle"/>
        <w:rPr>
          <w:rFonts w:cstheme="minorHAnsi"/>
          <w:sz w:val="20"/>
          <w:szCs w:val="20"/>
        </w:rPr>
      </w:pPr>
      <w:r>
        <w:rPr>
          <w:noProof/>
          <w:lang w:eastAsia="en-AU"/>
        </w:rPr>
        <w:drawing>
          <wp:inline distT="0" distB="0" distL="0" distR="0" wp14:anchorId="5527483C" wp14:editId="01D4B928">
            <wp:extent cx="6230620" cy="3724910"/>
            <wp:effectExtent l="0" t="0" r="0" b="8890"/>
            <wp:docPr id="53" name="Picture 53" descr="Figure 2.3 depicts a line graph with Year 12 completion rates by young peoples post school study plans for each of the LSAY cohorts.  The graph shows an overall increase in Year 12 completion rates between the Y95 and Y09 cohorts. Year 12 completion rates increased from cohort to cohort, regardless of post-school plans, including for those with no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0620" cy="3724910"/>
                    </a:xfrm>
                    <a:prstGeom prst="rect">
                      <a:avLst/>
                    </a:prstGeom>
                    <a:noFill/>
                  </pic:spPr>
                </pic:pic>
              </a:graphicData>
            </a:graphic>
          </wp:inline>
        </w:drawing>
      </w:r>
      <w:r w:rsidR="008A1D27" w:rsidRPr="006625E8">
        <w:rPr>
          <w:rFonts w:cstheme="minorHAnsi"/>
          <w:color w:val="auto"/>
          <w:sz w:val="20"/>
          <w:szCs w:val="20"/>
        </w:rPr>
        <w:t>Note</w:t>
      </w:r>
      <w:r w:rsidR="008A1D27" w:rsidRPr="00D34209">
        <w:rPr>
          <w:rFonts w:cstheme="minorHAnsi"/>
          <w:b w:val="0"/>
          <w:color w:val="auto"/>
          <w:sz w:val="20"/>
          <w:szCs w:val="20"/>
        </w:rPr>
        <w:t>:</w:t>
      </w:r>
      <w:r w:rsidR="008A1D27" w:rsidRPr="00D34209">
        <w:rPr>
          <w:rFonts w:cstheme="minorHAnsi"/>
          <w:color w:val="auto"/>
          <w:sz w:val="20"/>
          <w:szCs w:val="20"/>
        </w:rPr>
        <w:t xml:space="preserve"> </w:t>
      </w:r>
      <w:r w:rsidR="008A1D27" w:rsidRPr="006625E8">
        <w:rPr>
          <w:rFonts w:cstheme="minorHAnsi"/>
          <w:b w:val="0"/>
          <w:color w:val="auto"/>
          <w:sz w:val="20"/>
          <w:szCs w:val="20"/>
        </w:rPr>
        <w:t>Bracketed year is the year of measurement for the cohort</w:t>
      </w:r>
    </w:p>
    <w:p w14:paraId="0A3794EB" w14:textId="77777777" w:rsidR="008A1D27" w:rsidRDefault="008A1D27" w:rsidP="008A1D27">
      <w:pPr>
        <w:spacing w:after="0"/>
        <w:rPr>
          <w:rFonts w:cstheme="minorHAnsi"/>
          <w:sz w:val="20"/>
          <w:szCs w:val="20"/>
        </w:rPr>
      </w:pPr>
    </w:p>
    <w:p w14:paraId="1158A496" w14:textId="77777777" w:rsidR="008A1D27" w:rsidRPr="00DA08D8" w:rsidRDefault="008A1D27" w:rsidP="008A1D27">
      <w:pPr>
        <w:pStyle w:val="Heading2"/>
        <w:keepNext w:val="0"/>
        <w:keepLines w:val="0"/>
        <w:numPr>
          <w:ilvl w:val="2"/>
          <w:numId w:val="20"/>
        </w:numPr>
        <w:spacing w:before="0" w:line="259" w:lineRule="auto"/>
        <w:rPr>
          <w:sz w:val="24"/>
        </w:rPr>
      </w:pPr>
      <w:bookmarkStart w:id="41" w:name="_Toc530124022"/>
      <w:r>
        <w:rPr>
          <w:sz w:val="24"/>
        </w:rPr>
        <w:t xml:space="preserve"> </w:t>
      </w:r>
      <w:bookmarkStart w:id="42" w:name="_Toc31878855"/>
      <w:r w:rsidRPr="00DA08D8">
        <w:rPr>
          <w:sz w:val="24"/>
        </w:rPr>
        <w:t>Parental and Peer Expectations</w:t>
      </w:r>
      <w:bookmarkEnd w:id="41"/>
      <w:bookmarkEnd w:id="42"/>
    </w:p>
    <w:p w14:paraId="10AEBE3A" w14:textId="77777777" w:rsidR="008A1D27" w:rsidRDefault="008A1D27" w:rsidP="008A1D27">
      <w:r>
        <w:t>Parents and friends</w:t>
      </w:r>
      <w:r w:rsidRPr="00632112">
        <w:t xml:space="preserve"> are both significant sources of information and influence when it comes to making plans for </w:t>
      </w:r>
      <w:r>
        <w:t xml:space="preserve">life </w:t>
      </w:r>
      <w:r w:rsidRPr="00632112">
        <w:t xml:space="preserve">after school. </w:t>
      </w:r>
      <w:r>
        <w:t>P</w:t>
      </w:r>
      <w:r w:rsidRPr="00632112">
        <w:t xml:space="preserve">arental background and educational attainment play a role in </w:t>
      </w:r>
      <w:r w:rsidR="006D5A68">
        <w:t>parents’</w:t>
      </w:r>
      <w:r w:rsidRPr="00632112">
        <w:t xml:space="preserve"> aspirations for their children’s future, </w:t>
      </w:r>
      <w:r>
        <w:t>with</w:t>
      </w:r>
      <w:r w:rsidRPr="00632112">
        <w:t xml:space="preserve"> expectations</w:t>
      </w:r>
      <w:r>
        <w:t xml:space="preserve"> </w:t>
      </w:r>
      <w:r w:rsidRPr="00632112">
        <w:t>instilled in</w:t>
      </w:r>
      <w:r>
        <w:t xml:space="preserve"> their</w:t>
      </w:r>
      <w:r w:rsidRPr="00632112">
        <w:t xml:space="preserve"> children from an early age. </w:t>
      </w:r>
      <w:r>
        <w:t>For the Y09 cohort, young people’s plans aligned with their parents 76 per cent of the time, while alignment with friends’ plans was lower at around 65 per cent (</w:t>
      </w:r>
      <w:r w:rsidR="00555DD0">
        <w:fldChar w:fldCharType="begin"/>
      </w:r>
      <w:r w:rsidR="00555DD0">
        <w:instrText xml:space="preserve"> REF _Ref31878134 \h </w:instrText>
      </w:r>
      <w:r w:rsidR="00555DD0">
        <w:fldChar w:fldCharType="separate"/>
      </w:r>
      <w:r w:rsidR="00433E17">
        <w:t xml:space="preserve">Figure </w:t>
      </w:r>
      <w:r w:rsidR="00433E17">
        <w:rPr>
          <w:noProof/>
        </w:rPr>
        <w:t>2</w:t>
      </w:r>
      <w:r w:rsidR="00433E17">
        <w:t>.</w:t>
      </w:r>
      <w:r w:rsidR="00433E17">
        <w:rPr>
          <w:noProof/>
        </w:rPr>
        <w:t>4</w:t>
      </w:r>
      <w:r w:rsidR="00555DD0">
        <w:fldChar w:fldCharType="end"/>
      </w:r>
      <w:r>
        <w:t>).</w:t>
      </w:r>
      <w:r w:rsidR="00AA3A8E">
        <w:rPr>
          <w:rStyle w:val="FootnoteReference"/>
        </w:rPr>
        <w:footnoteReference w:id="5"/>
      </w:r>
      <w:r>
        <w:t xml:space="preserve"> Agreement between all three parties—the individual, their parents and their friends—was also quite common, occurring just over half of the time.  </w:t>
      </w:r>
      <w:r w:rsidRPr="00632112">
        <w:t>Educational goals have a definite intergenerational component and parents play a large role in forming the aspirations of their children.</w:t>
      </w:r>
      <w:r>
        <w:t xml:space="preserve">  Although not shown here, educational plan alignment is similar for earlier cohorts, suggesting a stable and enduring relationship over time.</w:t>
      </w:r>
    </w:p>
    <w:p w14:paraId="1AC45F3C" w14:textId="77777777" w:rsidR="008A1D27" w:rsidRDefault="008A1D27" w:rsidP="008A1D27">
      <w:pPr>
        <w:spacing w:after="0"/>
      </w:pPr>
    </w:p>
    <w:p w14:paraId="7A86420E" w14:textId="77777777" w:rsidR="008A1D27" w:rsidRDefault="008A1D27" w:rsidP="008A1D27">
      <w:pPr>
        <w:rPr>
          <w:rFonts w:eastAsiaTheme="majorEastAsia" w:cstheme="majorBidi"/>
          <w:b/>
          <w:bCs/>
          <w:iCs/>
        </w:rPr>
      </w:pPr>
      <w:r>
        <w:br w:type="page"/>
      </w:r>
    </w:p>
    <w:p w14:paraId="0BA11B4F" w14:textId="77777777" w:rsidR="0066267D" w:rsidRPr="0092485A" w:rsidRDefault="008A1D27" w:rsidP="0092485A">
      <w:pPr>
        <w:pStyle w:val="Figuretitle"/>
        <w:rPr>
          <w:rFonts w:cs="Calibri"/>
        </w:rPr>
      </w:pPr>
      <w:bookmarkStart w:id="43" w:name="_Ref31878134"/>
      <w:bookmarkStart w:id="44" w:name="_Toc530057453"/>
      <w:bookmarkStart w:id="45" w:name="_Toc31878781"/>
      <w:r>
        <w:lastRenderedPageBreak/>
        <w:t xml:space="preserve">Figure </w:t>
      </w:r>
      <w:r>
        <w:rPr>
          <w:noProof/>
        </w:rPr>
        <w:fldChar w:fldCharType="begin"/>
      </w:r>
      <w:r>
        <w:rPr>
          <w:noProof/>
        </w:rPr>
        <w:instrText xml:space="preserve"> STYLEREF 1 \s </w:instrText>
      </w:r>
      <w:r>
        <w:rPr>
          <w:noProof/>
        </w:rPr>
        <w:fldChar w:fldCharType="separate"/>
      </w:r>
      <w:r w:rsidR="00433E17">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433E17">
        <w:rPr>
          <w:noProof/>
        </w:rPr>
        <w:t>4</w:t>
      </w:r>
      <w:r>
        <w:rPr>
          <w:noProof/>
        </w:rPr>
        <w:fldChar w:fldCharType="end"/>
      </w:r>
      <w:bookmarkEnd w:id="43"/>
      <w:r>
        <w:t>: Post school plans</w:t>
      </w:r>
      <w:r>
        <w:rPr>
          <w:rStyle w:val="FootnoteReference"/>
        </w:rPr>
        <w:footnoteReference w:id="6"/>
      </w:r>
      <w:r>
        <w:t xml:space="preserve"> of 15 year olds, their parents and peers</w:t>
      </w:r>
      <w:bookmarkEnd w:id="44"/>
      <w:bookmarkEnd w:id="45"/>
    </w:p>
    <w:p w14:paraId="3EA161DE" w14:textId="77777777" w:rsidR="0092485A" w:rsidRPr="00E47B9B" w:rsidRDefault="0092485A" w:rsidP="008A1D27">
      <w:pPr>
        <w:spacing w:after="0"/>
      </w:pPr>
      <w:r>
        <w:rPr>
          <w:noProof/>
          <w:lang w:eastAsia="en-AU"/>
        </w:rPr>
        <w:drawing>
          <wp:inline distT="0" distB="0" distL="0" distR="0" wp14:anchorId="4E06995B" wp14:editId="30B771FB">
            <wp:extent cx="4069080" cy="2755265"/>
            <wp:effectExtent l="0" t="0" r="7620" b="6985"/>
            <wp:docPr id="3" name="Picture 3" descr="Figure 2.4 shows the percentage alignment between young people's post school plans and that of their parents, friends and both their parents and friends. The graph depicts the highest alignment in post school plans with parents, followed closely by friends, with slightly lower alignment between young people, parent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1972" cy="2757223"/>
                    </a:xfrm>
                    <a:prstGeom prst="rect">
                      <a:avLst/>
                    </a:prstGeom>
                  </pic:spPr>
                </pic:pic>
              </a:graphicData>
            </a:graphic>
          </wp:inline>
        </w:drawing>
      </w:r>
    </w:p>
    <w:p w14:paraId="50345604" w14:textId="77777777" w:rsidR="008A1D27" w:rsidRDefault="008A1D27" w:rsidP="008A1D27">
      <w:pPr>
        <w:spacing w:after="0"/>
        <w:rPr>
          <w:rFonts w:cstheme="minorHAnsi"/>
          <w:sz w:val="20"/>
          <w:szCs w:val="20"/>
        </w:rPr>
      </w:pPr>
      <w:r w:rsidRPr="004E4F82">
        <w:rPr>
          <w:rFonts w:cstheme="minorHAnsi"/>
          <w:b/>
          <w:sz w:val="20"/>
          <w:szCs w:val="20"/>
        </w:rPr>
        <w:t>Note</w:t>
      </w:r>
      <w:r>
        <w:rPr>
          <w:rFonts w:cstheme="minorHAnsi"/>
          <w:sz w:val="20"/>
          <w:szCs w:val="20"/>
        </w:rPr>
        <w:t>: Bracketed year is the year of measurement for the cohort</w:t>
      </w:r>
    </w:p>
    <w:p w14:paraId="02D4C587" w14:textId="77777777" w:rsidR="008A1D27" w:rsidRPr="00632112" w:rsidRDefault="008A1D27" w:rsidP="008A1D27">
      <w:pPr>
        <w:spacing w:after="0"/>
      </w:pPr>
    </w:p>
    <w:p w14:paraId="37AA7900" w14:textId="77777777" w:rsidR="008A1D27" w:rsidRPr="00DA08D8" w:rsidRDefault="008A1D27" w:rsidP="008A1D27">
      <w:r w:rsidRPr="00DA08D8">
        <w:t>Other work</w:t>
      </w:r>
      <w:r>
        <w:rPr>
          <w:rStyle w:val="FootnoteReference"/>
        </w:rPr>
        <w:footnoteReference w:id="7"/>
      </w:r>
      <w:r w:rsidRPr="00DA08D8">
        <w:rPr>
          <w:vertAlign w:val="superscript"/>
        </w:rPr>
        <w:t xml:space="preserve"> </w:t>
      </w:r>
      <w:r w:rsidRPr="00DA08D8">
        <w:t xml:space="preserve">using LSAY has shown that students whose parents expected them to attend university were more likely to complete Year 12 and </w:t>
      </w:r>
      <w:r>
        <w:t>much</w:t>
      </w:r>
      <w:r w:rsidRPr="00DA08D8">
        <w:t xml:space="preserve"> more likely to go to university compared with those whose parents expected them to choose a non-university pathway. These findings suggest that policies and interventions aimed at raising educational outcomes should not stop at the school gate, but could also target the attitudes and aspirations of parents and the wider community. </w:t>
      </w:r>
    </w:p>
    <w:p w14:paraId="21F0CE3E" w14:textId="77777777" w:rsidR="008A1D27" w:rsidRPr="007B4E05" w:rsidRDefault="008A1D27" w:rsidP="008A1D27">
      <w:pPr>
        <w:pStyle w:val="Heading2"/>
        <w:keepNext w:val="0"/>
        <w:keepLines w:val="0"/>
        <w:numPr>
          <w:ilvl w:val="1"/>
          <w:numId w:val="20"/>
        </w:numPr>
        <w:spacing w:before="0" w:line="259" w:lineRule="auto"/>
        <w:ind w:left="425" w:hanging="425"/>
      </w:pPr>
      <w:r>
        <w:t xml:space="preserve"> </w:t>
      </w:r>
      <w:bookmarkStart w:id="46" w:name="_Toc31878856"/>
      <w:r>
        <w:t>Student engagement and attitudes towards school</w:t>
      </w:r>
      <w:bookmarkEnd w:id="46"/>
    </w:p>
    <w:p w14:paraId="2E24F7D1" w14:textId="77777777" w:rsidR="008A1D27" w:rsidRPr="00FD4C7B" w:rsidRDefault="008A1D27" w:rsidP="008A1D27">
      <w:r w:rsidRPr="00FD4C7B">
        <w:t xml:space="preserve">Student engagement with school is of policy interest since there is </w:t>
      </w:r>
      <w:r>
        <w:t>strong</w:t>
      </w:r>
      <w:r w:rsidRPr="00FD4C7B">
        <w:t xml:space="preserve"> evidence that a student’s engagement with school is linked to their educational attainment</w:t>
      </w:r>
      <w:r>
        <w:t xml:space="preserve"> and outcomes</w:t>
      </w:r>
      <w:r w:rsidRPr="00FD4C7B">
        <w:t xml:space="preserve">. </w:t>
      </w:r>
      <w:r>
        <w:t xml:space="preserve">A student who enjoys being at school, sees the value in education and has a good relationship with their teachers has a far better chance </w:t>
      </w:r>
      <w:r w:rsidR="0056707A">
        <w:t>of</w:t>
      </w:r>
      <w:r>
        <w:t xml:space="preserve"> reaching their potential than a student who feels negatively towards school and teachers and views learning as a waste of time.</w:t>
      </w:r>
    </w:p>
    <w:p w14:paraId="5B43D7DA" w14:textId="77777777" w:rsidR="008A1D27" w:rsidRDefault="008A1D27" w:rsidP="008A1D27">
      <w:r>
        <w:t>A s</w:t>
      </w:r>
      <w:r w:rsidRPr="00632112">
        <w:t xml:space="preserve">tudent’s attitude towards school, </w:t>
      </w:r>
      <w:r>
        <w:t xml:space="preserve">their </w:t>
      </w:r>
      <w:r w:rsidRPr="00632112">
        <w:t xml:space="preserve">relationships with teachers, the value they ascribe to school and </w:t>
      </w:r>
      <w:r>
        <w:t>their</w:t>
      </w:r>
      <w:r w:rsidRPr="00632112">
        <w:t xml:space="preserve"> sense of achievement at school </w:t>
      </w:r>
      <w:r>
        <w:t xml:space="preserve">all </w:t>
      </w:r>
      <w:r w:rsidRPr="00632112">
        <w:t>have a strong relationship with their school completion</w:t>
      </w:r>
      <w:r>
        <w:t xml:space="preserve"> (</w:t>
      </w:r>
      <w:r>
        <w:fldChar w:fldCharType="begin"/>
      </w:r>
      <w:r>
        <w:instrText xml:space="preserve"> REF _Ref20829884 \h </w:instrText>
      </w:r>
      <w:r>
        <w:fldChar w:fldCharType="separate"/>
      </w:r>
      <w:r w:rsidR="00433E17">
        <w:t xml:space="preserve">Figure </w:t>
      </w:r>
      <w:r w:rsidR="00433E17">
        <w:rPr>
          <w:noProof/>
        </w:rPr>
        <w:t>2</w:t>
      </w:r>
      <w:r w:rsidR="00433E17">
        <w:t>.</w:t>
      </w:r>
      <w:r w:rsidR="00433E17">
        <w:rPr>
          <w:noProof/>
        </w:rPr>
        <w:t>5</w:t>
      </w:r>
      <w:r>
        <w:fldChar w:fldCharType="end"/>
      </w:r>
      <w:r>
        <w:t>)</w:t>
      </w:r>
      <w:r w:rsidRPr="00632112">
        <w:t>. In particular, early school leavers tend to have a negative attitude to school despite having generally positive views about the value of school. Early school leavers have also reported lower engagement with teachers and</w:t>
      </w:r>
      <w:r>
        <w:t xml:space="preserve"> a</w:t>
      </w:r>
      <w:r w:rsidRPr="00632112">
        <w:t xml:space="preserve"> lower </w:t>
      </w:r>
      <w:r>
        <w:t xml:space="preserve">sense of achievement at school. </w:t>
      </w:r>
    </w:p>
    <w:p w14:paraId="54BCB89C" w14:textId="77777777" w:rsidR="00433E17" w:rsidRDefault="008A1D27" w:rsidP="00DA0CBE">
      <w:pPr>
        <w:pStyle w:val="Figuretitle"/>
      </w:pPr>
      <w:r>
        <w:fldChar w:fldCharType="begin"/>
      </w:r>
      <w:r>
        <w:instrText xml:space="preserve"> REF _Ref21612519 \h </w:instrText>
      </w:r>
      <w:r>
        <w:fldChar w:fldCharType="separate"/>
      </w:r>
    </w:p>
    <w:p w14:paraId="67032085" w14:textId="77777777" w:rsidR="008A1D27" w:rsidRDefault="00433E17" w:rsidP="008A1D27">
      <w:r>
        <w:t xml:space="preserve">Figure </w:t>
      </w:r>
      <w:r>
        <w:rPr>
          <w:noProof/>
        </w:rPr>
        <w:t>2</w:t>
      </w:r>
      <w:r>
        <w:t>.</w:t>
      </w:r>
      <w:r>
        <w:rPr>
          <w:noProof/>
        </w:rPr>
        <w:t>6</w:t>
      </w:r>
      <w:r w:rsidR="008A1D27">
        <w:fldChar w:fldCharType="end"/>
      </w:r>
      <w:r w:rsidR="008A1D27">
        <w:t xml:space="preserve"> </w:t>
      </w:r>
      <w:r w:rsidR="008A1D27" w:rsidRPr="00E10857">
        <w:t>provides an example of respondent differences in three of the questions that underlie the attitude to school engagement scale.</w:t>
      </w:r>
    </w:p>
    <w:p w14:paraId="7E038513" w14:textId="77777777" w:rsidR="00DC57EC" w:rsidRPr="00E10857" w:rsidRDefault="00DC57EC" w:rsidP="008A1D27"/>
    <w:p w14:paraId="68152648" w14:textId="77777777" w:rsidR="008A1D27" w:rsidRPr="00ED18EB" w:rsidRDefault="008A1D27" w:rsidP="00DA0CBE">
      <w:pPr>
        <w:pStyle w:val="Figuretitle"/>
      </w:pPr>
      <w:bookmarkStart w:id="47" w:name="_Ref20829884"/>
      <w:bookmarkStart w:id="48" w:name="_Toc31878782"/>
      <w:r>
        <w:lastRenderedPageBreak/>
        <w:t xml:space="preserve">Figure </w:t>
      </w:r>
      <w:fldSimple w:instr=" STYLEREF 1 \s ">
        <w:r w:rsidR="00433E17">
          <w:rPr>
            <w:noProof/>
          </w:rPr>
          <w:t>2</w:t>
        </w:r>
      </w:fldSimple>
      <w:r>
        <w:t>.</w:t>
      </w:r>
      <w:fldSimple w:instr=" SEQ Figure \* ARABIC \s 1 ">
        <w:r w:rsidR="00433E17">
          <w:rPr>
            <w:noProof/>
          </w:rPr>
          <w:t>5</w:t>
        </w:r>
      </w:fldSimple>
      <w:bookmarkEnd w:id="47"/>
      <w:r>
        <w:t>: Measures of school engagement, by secondary school completion status</w:t>
      </w:r>
      <w:bookmarkEnd w:id="48"/>
      <w:r w:rsidR="00ED18EB">
        <w:t xml:space="preserve">  </w:t>
      </w:r>
    </w:p>
    <w:p w14:paraId="0E6A8614" w14:textId="77777777" w:rsidR="00ED18EB" w:rsidRDefault="00ED18EB" w:rsidP="008A1D27">
      <w:pPr>
        <w:spacing w:after="0"/>
        <w:rPr>
          <w:rFonts w:cstheme="minorHAnsi"/>
          <w:sz w:val="20"/>
          <w:szCs w:val="20"/>
        </w:rPr>
      </w:pPr>
    </w:p>
    <w:p w14:paraId="27A672A7" w14:textId="77777777" w:rsidR="00DC57EC" w:rsidRDefault="00DC57EC" w:rsidP="008A1D27">
      <w:pPr>
        <w:spacing w:after="0"/>
        <w:rPr>
          <w:rFonts w:cstheme="minorHAnsi"/>
          <w:sz w:val="20"/>
          <w:szCs w:val="20"/>
        </w:rPr>
      </w:pPr>
      <w:r>
        <w:rPr>
          <w:noProof/>
          <w:lang w:eastAsia="en-AU"/>
        </w:rPr>
        <w:drawing>
          <wp:inline distT="0" distB="0" distL="0" distR="0" wp14:anchorId="2C76096D" wp14:editId="47545BB6">
            <wp:extent cx="5683250" cy="3236705"/>
            <wp:effectExtent l="0" t="0" r="0" b="1905"/>
            <wp:docPr id="10" name="Picture 10" descr="Figure 2.5 shows the secondary school completion by four measures for school engagement. The graph illustrates a strong positive relationship between all engagement measures and Year 12 completion - attittude to school, value ascribed to school, teacher engagement, and sense of achievement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7434" cy="3239088"/>
                    </a:xfrm>
                    <a:prstGeom prst="rect">
                      <a:avLst/>
                    </a:prstGeom>
                  </pic:spPr>
                </pic:pic>
              </a:graphicData>
            </a:graphic>
          </wp:inline>
        </w:drawing>
      </w:r>
    </w:p>
    <w:p w14:paraId="37892BCA" w14:textId="77777777" w:rsidR="008A1D27" w:rsidRPr="00672CE6" w:rsidRDefault="008A1D27" w:rsidP="008A1D27">
      <w:pPr>
        <w:spacing w:after="0"/>
        <w:rPr>
          <w:rFonts w:cstheme="minorHAnsi"/>
          <w:sz w:val="20"/>
          <w:szCs w:val="20"/>
        </w:rPr>
      </w:pPr>
      <w:r w:rsidRPr="00350450">
        <w:rPr>
          <w:rFonts w:cstheme="minorHAnsi"/>
          <w:b/>
          <w:sz w:val="20"/>
          <w:szCs w:val="20"/>
        </w:rPr>
        <w:t>Note:</w:t>
      </w:r>
      <w:r>
        <w:rPr>
          <w:rFonts w:cstheme="minorHAnsi"/>
          <w:sz w:val="20"/>
          <w:szCs w:val="20"/>
        </w:rPr>
        <w:t xml:space="preserve"> Bracketed year is the year of measurement for the cohort</w:t>
      </w:r>
      <w:bookmarkStart w:id="49" w:name="_Toc529882161"/>
      <w:bookmarkStart w:id="50" w:name="_Toc529882465"/>
    </w:p>
    <w:p w14:paraId="2461A3ED" w14:textId="77777777" w:rsidR="00DA0CBE" w:rsidRDefault="00DA0CBE" w:rsidP="00DA0CBE">
      <w:pPr>
        <w:pStyle w:val="Figuretitle"/>
      </w:pPr>
      <w:bookmarkStart w:id="51" w:name="_Ref21612519"/>
      <w:bookmarkEnd w:id="49"/>
      <w:bookmarkEnd w:id="50"/>
    </w:p>
    <w:p w14:paraId="50DA6FC6" w14:textId="77777777" w:rsidR="008A1D27" w:rsidRDefault="008A1D27" w:rsidP="00C854E2">
      <w:pPr>
        <w:pStyle w:val="Figuretitle"/>
      </w:pPr>
      <w:bookmarkStart w:id="52" w:name="_Toc31878783"/>
      <w:r>
        <w:t xml:space="preserve">Figure </w:t>
      </w:r>
      <w:fldSimple w:instr=" STYLEREF 1 \s ">
        <w:r w:rsidR="00433E17">
          <w:rPr>
            <w:noProof/>
          </w:rPr>
          <w:t>2</w:t>
        </w:r>
      </w:fldSimple>
      <w:r>
        <w:t>.</w:t>
      </w:r>
      <w:fldSimple w:instr=" SEQ Figure \* ARABIC \s 1 ">
        <w:r w:rsidR="00433E17">
          <w:rPr>
            <w:noProof/>
          </w:rPr>
          <w:t>6</w:t>
        </w:r>
      </w:fldSimple>
      <w:bookmarkEnd w:id="51"/>
      <w:r>
        <w:t>:</w:t>
      </w:r>
      <w:r w:rsidRPr="00615B76">
        <w:t xml:space="preserve"> Individual items regarding attitude to school, early school leavers compared to Year 12 completers Y06 cohort</w:t>
      </w:r>
      <w:bookmarkEnd w:id="52"/>
    </w:p>
    <w:p w14:paraId="66FECD01" w14:textId="77777777" w:rsidR="00C854E2" w:rsidRDefault="00C854E2" w:rsidP="008A1D27">
      <w:pPr>
        <w:spacing w:after="0"/>
      </w:pPr>
      <w:r>
        <w:rPr>
          <w:noProof/>
          <w:lang w:eastAsia="en-AU"/>
        </w:rPr>
        <w:drawing>
          <wp:inline distT="0" distB="0" distL="0" distR="0" wp14:anchorId="0A4F290A" wp14:editId="6A6217BF">
            <wp:extent cx="4876800" cy="2513793"/>
            <wp:effectExtent l="0" t="0" r="0" b="1270"/>
            <wp:docPr id="20" name="Picture 20" descr="Figure 2.6 shows young people's responses to three items relating to attitude towards school, comparing attitudes for early school leavers and those who completed Year 12. The graph depicts higher levels of agreement across all three items, &quot;Schoolwork is interesting&quot;, &quot;I like learning&quot; and &quot;I enjoy being at school&quot; for Year 12 completers compared to early school l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4127" cy="2517570"/>
                    </a:xfrm>
                    <a:prstGeom prst="rect">
                      <a:avLst/>
                    </a:prstGeom>
                  </pic:spPr>
                </pic:pic>
              </a:graphicData>
            </a:graphic>
          </wp:inline>
        </w:drawing>
      </w:r>
    </w:p>
    <w:p w14:paraId="580B838B" w14:textId="77777777" w:rsidR="008A1D27" w:rsidRDefault="008A1D27" w:rsidP="008A1D27">
      <w:r w:rsidRPr="00632112">
        <w:t>Policy</w:t>
      </w:r>
      <w:r>
        <w:t xml:space="preserve"> changes aiming</w:t>
      </w:r>
      <w:r w:rsidRPr="00FD4C7B">
        <w:t xml:space="preserve"> to increase participation in </w:t>
      </w:r>
      <w:r>
        <w:t>post-school</w:t>
      </w:r>
      <w:r w:rsidRPr="00632112">
        <w:t xml:space="preserve"> education </w:t>
      </w:r>
      <w:r>
        <w:t>or Year 12 completion could benefit from targeting the factors that influence student’s attitudes and engagement towards school</w:t>
      </w:r>
      <w:r w:rsidRPr="00FD4C7B">
        <w:t xml:space="preserve">. </w:t>
      </w:r>
      <w:r>
        <w:t>Further i</w:t>
      </w:r>
      <w:r w:rsidRPr="00FD4C7B">
        <w:t>nvestigation into</w:t>
      </w:r>
      <w:r>
        <w:t xml:space="preserve"> what direct influence schools can have over</w:t>
      </w:r>
      <w:r w:rsidRPr="00FD4C7B">
        <w:t xml:space="preserve"> </w:t>
      </w:r>
      <w:r>
        <w:t>the development of</w:t>
      </w:r>
      <w:r w:rsidR="0056707A">
        <w:t xml:space="preserve"> student</w:t>
      </w:r>
      <w:r w:rsidRPr="00FD4C7B">
        <w:t>s</w:t>
      </w:r>
      <w:r w:rsidR="0056707A">
        <w:t>’</w:t>
      </w:r>
      <w:r w:rsidRPr="00FD4C7B">
        <w:t xml:space="preserve"> attitudes to their school environment and how </w:t>
      </w:r>
      <w:r>
        <w:t>this affects their</w:t>
      </w:r>
      <w:r w:rsidRPr="00FD4C7B">
        <w:t xml:space="preserve"> plans for further study</w:t>
      </w:r>
      <w:r>
        <w:t xml:space="preserve"> could be considered.</w:t>
      </w:r>
    </w:p>
    <w:p w14:paraId="4CC23FB7" w14:textId="77777777" w:rsidR="00E46C5E" w:rsidRDefault="00E46C5E" w:rsidP="008A1D27"/>
    <w:p w14:paraId="53132F9D" w14:textId="77777777" w:rsidR="00245C18" w:rsidRDefault="00245C18" w:rsidP="008A1D27"/>
    <w:p w14:paraId="2216759A" w14:textId="77777777" w:rsidR="00245C18" w:rsidRDefault="00245C18" w:rsidP="008A1D27"/>
    <w:p w14:paraId="52AA4712" w14:textId="77777777" w:rsidR="008A1D27" w:rsidRPr="00AC0125" w:rsidRDefault="008A1D27" w:rsidP="008A1D27">
      <w:pPr>
        <w:pStyle w:val="Heading2"/>
        <w:keepNext w:val="0"/>
        <w:keepLines w:val="0"/>
        <w:numPr>
          <w:ilvl w:val="1"/>
          <w:numId w:val="20"/>
        </w:numPr>
        <w:spacing w:before="0" w:line="259" w:lineRule="auto"/>
        <w:ind w:left="425" w:hanging="425"/>
      </w:pPr>
      <w:bookmarkStart w:id="53" w:name="_Toc31878857"/>
      <w:r w:rsidRPr="00AC0125">
        <w:lastRenderedPageBreak/>
        <w:t>School Retention and Year 12 Completion</w:t>
      </w:r>
      <w:bookmarkEnd w:id="53"/>
      <w:r w:rsidRPr="00AC0125">
        <w:t xml:space="preserve"> </w:t>
      </w:r>
    </w:p>
    <w:p w14:paraId="69756B3B" w14:textId="77777777" w:rsidR="008A1D27" w:rsidRDefault="008A1D27" w:rsidP="008A1D27">
      <w:r>
        <w:t>A secondary-level school education has become an increasingly important foundation for life after school regardless of background, aptitude or plans. Encouragingly, y</w:t>
      </w:r>
      <w:r w:rsidRPr="00630998">
        <w:t>oung people are increasingly staying on to later years of second</w:t>
      </w:r>
      <w:r>
        <w:t>ary school.</w:t>
      </w:r>
    </w:p>
    <w:p w14:paraId="589FB3A3" w14:textId="77777777" w:rsidR="008A1D27" w:rsidRDefault="008A1D27" w:rsidP="008A1D27">
      <w:r>
        <w:t>An increase in school completion and retention is apparent</w:t>
      </w:r>
      <w:r w:rsidRPr="00632112">
        <w:t xml:space="preserve"> in the years between the 2006 and 2009 LSAY cohorts</w:t>
      </w:r>
      <w:r>
        <w:t xml:space="preserve">, with the increase </w:t>
      </w:r>
      <w:r w:rsidR="0056707A">
        <w:t xml:space="preserve">of 6 per cent </w:t>
      </w:r>
      <w:r w:rsidR="009E0743">
        <w:t>an equivalent size as that</w:t>
      </w:r>
      <w:r>
        <w:t xml:space="preserve"> seen</w:t>
      </w:r>
      <w:r w:rsidRPr="00632112">
        <w:t xml:space="preserve"> in the decade prior. </w:t>
      </w:r>
      <w:r>
        <w:t>R</w:t>
      </w:r>
      <w:r w:rsidRPr="00632112">
        <w:t>etention of young people from Year 9 to Year 10 and from Ye</w:t>
      </w:r>
      <w:r>
        <w:t>ar 10 to Year 11 has increased, as has Year 12 completion (</w:t>
      </w:r>
      <w:r>
        <w:fldChar w:fldCharType="begin"/>
      </w:r>
      <w:r>
        <w:instrText xml:space="preserve"> REF _Ref21612591 \h </w:instrText>
      </w:r>
      <w:r>
        <w:fldChar w:fldCharType="separate"/>
      </w:r>
      <w:r w:rsidR="00433E17">
        <w:t xml:space="preserve">Figure </w:t>
      </w:r>
      <w:r w:rsidR="00433E17">
        <w:rPr>
          <w:noProof/>
        </w:rPr>
        <w:t>2</w:t>
      </w:r>
      <w:r w:rsidR="00433E17">
        <w:t>.</w:t>
      </w:r>
      <w:r w:rsidR="00433E17">
        <w:rPr>
          <w:noProof/>
        </w:rPr>
        <w:t>7</w:t>
      </w:r>
      <w:r>
        <w:fldChar w:fldCharType="end"/>
      </w:r>
      <w:r>
        <w:t xml:space="preserve">). </w:t>
      </w:r>
      <w:r w:rsidR="0056707A">
        <w:t>However, o</w:t>
      </w:r>
      <w:r w:rsidRPr="00630998">
        <w:t>ne in ten students still leave school before completing Year 12.</w:t>
      </w:r>
      <w:r w:rsidRPr="00632112">
        <w:t xml:space="preserve"> This indicates that while young people are staying in school longer, for some the decision to leave may simply be delayed </w:t>
      </w:r>
      <w:r>
        <w:t>by a year.</w:t>
      </w:r>
    </w:p>
    <w:p w14:paraId="01BB6210" w14:textId="77777777" w:rsidR="00DF5153" w:rsidRDefault="008A1D27" w:rsidP="00A259D8">
      <w:pPr>
        <w:pStyle w:val="Figuretitle"/>
      </w:pPr>
      <w:bookmarkStart w:id="54" w:name="_Ref21612591"/>
      <w:bookmarkStart w:id="55" w:name="_Toc31878784"/>
      <w:r>
        <w:t xml:space="preserve">Figure </w:t>
      </w:r>
      <w:fldSimple w:instr=" STYLEREF 1 \s ">
        <w:r w:rsidR="00433E17">
          <w:rPr>
            <w:noProof/>
          </w:rPr>
          <w:t>2</w:t>
        </w:r>
      </w:fldSimple>
      <w:r>
        <w:t>.</w:t>
      </w:r>
      <w:fldSimple w:instr=" SEQ Figure \* ARABIC \s 1 ">
        <w:r w:rsidR="00433E17">
          <w:rPr>
            <w:noProof/>
          </w:rPr>
          <w:t>7</w:t>
        </w:r>
      </w:fldSimple>
      <w:bookmarkEnd w:id="54"/>
      <w:r>
        <w:t>: Year 12 completion and school retention</w:t>
      </w:r>
      <w:bookmarkEnd w:id="55"/>
    </w:p>
    <w:p w14:paraId="0CADBE3B" w14:textId="77777777" w:rsidR="0011434B" w:rsidRDefault="0011434B" w:rsidP="008A1D27">
      <w:pPr>
        <w:spacing w:after="0"/>
        <w:rPr>
          <w:rFonts w:cstheme="minorHAnsi"/>
        </w:rPr>
      </w:pPr>
      <w:r>
        <w:rPr>
          <w:noProof/>
          <w:lang w:eastAsia="en-AU"/>
        </w:rPr>
        <w:drawing>
          <wp:inline distT="0" distB="0" distL="0" distR="0" wp14:anchorId="2DBB9EE0" wp14:editId="11CACE5F">
            <wp:extent cx="5200650" cy="3495675"/>
            <wp:effectExtent l="0" t="0" r="0" b="9525"/>
            <wp:docPr id="5" name="Picture 5" descr="Figure 2.7 depicts the retention rates for each year of secondary school across time. It shows the trend of increasing Year 10 and 11 retention and Year 12 completion by 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35" b="3557"/>
                    <a:stretch/>
                  </pic:blipFill>
                  <pic:spPr bwMode="auto">
                    <a:xfrm>
                      <a:off x="0" y="0"/>
                      <a:ext cx="5203782" cy="3497780"/>
                    </a:xfrm>
                    <a:prstGeom prst="rect">
                      <a:avLst/>
                    </a:prstGeom>
                    <a:ln>
                      <a:noFill/>
                    </a:ln>
                    <a:extLst>
                      <a:ext uri="{53640926-AAD7-44D8-BBD7-CCE9431645EC}">
                        <a14:shadowObscured xmlns:a14="http://schemas.microsoft.com/office/drawing/2010/main"/>
                      </a:ext>
                    </a:extLst>
                  </pic:spPr>
                </pic:pic>
              </a:graphicData>
            </a:graphic>
          </wp:inline>
        </w:drawing>
      </w:r>
    </w:p>
    <w:p w14:paraId="00679CAE" w14:textId="77777777" w:rsidR="008A1D27" w:rsidRDefault="008A1D27" w:rsidP="008A1D27">
      <w:pPr>
        <w:spacing w:after="0"/>
        <w:rPr>
          <w:rFonts w:cstheme="minorHAnsi"/>
        </w:rPr>
      </w:pPr>
      <w:r>
        <w:rPr>
          <w:rFonts w:cstheme="minorHAnsi"/>
        </w:rPr>
        <w:t>*Based on enrolment data for all students, Schools Australia,</w:t>
      </w:r>
      <w:r w:rsidR="00D05485">
        <w:rPr>
          <w:rFonts w:cstheme="minorHAnsi"/>
        </w:rPr>
        <w:t xml:space="preserve"> </w:t>
      </w:r>
      <w:r>
        <w:rPr>
          <w:rFonts w:cstheme="minorHAnsi"/>
        </w:rPr>
        <w:t>ABS</w:t>
      </w:r>
    </w:p>
    <w:p w14:paraId="21F26F02" w14:textId="77777777" w:rsidR="008A1D27" w:rsidRDefault="008A1D27" w:rsidP="008A1D27">
      <w:pPr>
        <w:spacing w:after="0"/>
        <w:jc w:val="both"/>
        <w:rPr>
          <w:rFonts w:cstheme="minorHAnsi"/>
          <w:sz w:val="20"/>
          <w:szCs w:val="20"/>
        </w:rPr>
      </w:pPr>
    </w:p>
    <w:p w14:paraId="6C9965F6" w14:textId="77777777" w:rsidR="008A1D27" w:rsidRDefault="008A1D27" w:rsidP="008A1D27">
      <w:r>
        <w:t>Importantly, Year 12</w:t>
      </w:r>
      <w:r w:rsidRPr="00630998">
        <w:t xml:space="preserve"> completion rates also increased among </w:t>
      </w:r>
      <w:r>
        <w:t>disadvantaged groups (</w:t>
      </w:r>
      <w:r>
        <w:fldChar w:fldCharType="begin"/>
      </w:r>
      <w:r>
        <w:instrText xml:space="preserve"> REF _Ref21612622 \h </w:instrText>
      </w:r>
      <w:r>
        <w:fldChar w:fldCharType="separate"/>
      </w:r>
      <w:r w:rsidR="00433E17" w:rsidRPr="00DA0CBE">
        <w:t xml:space="preserve">Figure </w:t>
      </w:r>
      <w:r w:rsidR="00433E17">
        <w:rPr>
          <w:noProof/>
        </w:rPr>
        <w:t>2</w:t>
      </w:r>
      <w:r w:rsidR="00433E17" w:rsidRPr="00DA0CBE">
        <w:t>.</w:t>
      </w:r>
      <w:r w:rsidR="00433E17">
        <w:rPr>
          <w:noProof/>
        </w:rPr>
        <w:t>8</w:t>
      </w:r>
      <w:r>
        <w:fldChar w:fldCharType="end"/>
      </w:r>
      <w:r>
        <w:t>). Completion rates among l</w:t>
      </w:r>
      <w:r w:rsidRPr="00630998">
        <w:t>ow achiev</w:t>
      </w:r>
      <w:r>
        <w:t>ing students (as measured by reading achievement)</w:t>
      </w:r>
      <w:r w:rsidRPr="00630998">
        <w:t xml:space="preserve"> and low SES students</w:t>
      </w:r>
      <w:r>
        <w:t xml:space="preserve"> have both risen steadily since 2007</w:t>
      </w:r>
      <w:r w:rsidRPr="00630998">
        <w:t xml:space="preserve">. Year 12 completion </w:t>
      </w:r>
      <w:r>
        <w:t>for young people of Aboriginal and Torres Strait Islander descent</w:t>
      </w:r>
      <w:r w:rsidRPr="00630998">
        <w:t xml:space="preserve"> has seen the largest relative increase</w:t>
      </w:r>
      <w:r>
        <w:t>, but is not shown on the graph due to sample size limitations.</w:t>
      </w:r>
    </w:p>
    <w:p w14:paraId="53E9858A" w14:textId="77777777" w:rsidR="0011434B" w:rsidRDefault="0011434B" w:rsidP="008A1D27"/>
    <w:p w14:paraId="40B4E868" w14:textId="77777777" w:rsidR="0011434B" w:rsidRPr="00630998" w:rsidRDefault="0011434B" w:rsidP="008A1D27"/>
    <w:p w14:paraId="7744BF7C" w14:textId="77777777" w:rsidR="0011434B" w:rsidRPr="00DA0CBE" w:rsidRDefault="008A1D27" w:rsidP="00DA0CBE">
      <w:pPr>
        <w:pStyle w:val="Figuretitle"/>
      </w:pPr>
      <w:bookmarkStart w:id="56" w:name="_Ref21612622"/>
      <w:bookmarkStart w:id="57" w:name="_Toc31878785"/>
      <w:r w:rsidRPr="00DA0CBE">
        <w:lastRenderedPageBreak/>
        <w:t xml:space="preserve">Figure </w:t>
      </w:r>
      <w:fldSimple w:instr=" STYLEREF 1 \s ">
        <w:r w:rsidR="00433E17">
          <w:rPr>
            <w:noProof/>
          </w:rPr>
          <w:t>2</w:t>
        </w:r>
      </w:fldSimple>
      <w:r w:rsidRPr="00DA0CBE">
        <w:t>.</w:t>
      </w:r>
      <w:fldSimple w:instr=" SEQ Figure \* ARABIC \s 1 ">
        <w:r w:rsidR="00433E17">
          <w:rPr>
            <w:noProof/>
          </w:rPr>
          <w:t>8</w:t>
        </w:r>
      </w:fldSimple>
      <w:bookmarkEnd w:id="56"/>
      <w:r w:rsidRPr="00DA0CBE">
        <w:t xml:space="preserve">: </w:t>
      </w:r>
      <w:r w:rsidR="00CD1FF5">
        <w:t>Year 12</w:t>
      </w:r>
      <w:r w:rsidRPr="00DA0CBE">
        <w:t xml:space="preserve"> completion status at age 19</w:t>
      </w:r>
      <w:bookmarkEnd w:id="57"/>
    </w:p>
    <w:p w14:paraId="2372F2DB" w14:textId="77777777" w:rsidR="00BC0E4C" w:rsidRDefault="0011434B" w:rsidP="008A1D27">
      <w:pPr>
        <w:spacing w:after="0"/>
        <w:rPr>
          <w:rFonts w:cstheme="minorHAnsi"/>
          <w:sz w:val="20"/>
          <w:szCs w:val="20"/>
        </w:rPr>
      </w:pPr>
      <w:r>
        <w:rPr>
          <w:noProof/>
          <w:lang w:eastAsia="en-AU"/>
        </w:rPr>
        <w:drawing>
          <wp:inline distT="0" distB="0" distL="0" distR="0" wp14:anchorId="2C5BC191" wp14:editId="571DB436">
            <wp:extent cx="4600575" cy="3419475"/>
            <wp:effectExtent l="0" t="0" r="9525" b="9525"/>
            <wp:docPr id="9" name="Picture 9" descr="Figure 2.8 shows overall school completion status at age 19 for each LSAY cohort, along with comparison of completion rates for low SES and low achievers. The trend for these groups is increasing in line with overall comple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0575" cy="3419475"/>
                    </a:xfrm>
                    <a:prstGeom prst="rect">
                      <a:avLst/>
                    </a:prstGeom>
                  </pic:spPr>
                </pic:pic>
              </a:graphicData>
            </a:graphic>
          </wp:inline>
        </w:drawing>
      </w:r>
    </w:p>
    <w:p w14:paraId="0BDB8A50" w14:textId="77777777" w:rsidR="008A1D27" w:rsidRPr="00884BBC" w:rsidRDefault="008A1D27" w:rsidP="008A1D27">
      <w:pPr>
        <w:spacing w:afterLines="160" w:after="384"/>
        <w:rPr>
          <w:rFonts w:cstheme="minorHAnsi"/>
          <w:sz w:val="20"/>
          <w:szCs w:val="20"/>
        </w:rPr>
      </w:pPr>
      <w:r w:rsidRPr="005C4496">
        <w:rPr>
          <w:rFonts w:cstheme="minorHAnsi"/>
          <w:b/>
          <w:sz w:val="20"/>
          <w:szCs w:val="20"/>
        </w:rPr>
        <w:t>Note:</w:t>
      </w:r>
      <w:r>
        <w:rPr>
          <w:rFonts w:cstheme="minorHAnsi"/>
          <w:sz w:val="20"/>
          <w:szCs w:val="20"/>
        </w:rPr>
        <w:t xml:space="preserve"> Bracketed year is the year of measurement for the cohort.</w:t>
      </w:r>
    </w:p>
    <w:p w14:paraId="0055CEDF" w14:textId="77777777" w:rsidR="008A1D27" w:rsidRPr="00632112" w:rsidRDefault="008A1D27" w:rsidP="008A1D27">
      <w:r>
        <w:t>The improvements in school retention</w:t>
      </w:r>
      <w:r w:rsidRPr="00632112">
        <w:t xml:space="preserve"> may partly be due to the </w:t>
      </w:r>
      <w:r>
        <w:t xml:space="preserve">2009 </w:t>
      </w:r>
      <w:r w:rsidRPr="00475E5F">
        <w:t>Compact with Young Australians</w:t>
      </w:r>
      <w:r>
        <w:rPr>
          <w:rStyle w:val="FootnoteReference"/>
        </w:rPr>
        <w:footnoteReference w:id="8"/>
      </w:r>
      <w:r w:rsidRPr="00632112">
        <w:t xml:space="preserve">, which aimed to increase </w:t>
      </w:r>
      <w:r>
        <w:t>engagement with</w:t>
      </w:r>
      <w:r w:rsidRPr="00632112">
        <w:t xml:space="preserve"> education and training through:</w:t>
      </w:r>
    </w:p>
    <w:p w14:paraId="76EDF023" w14:textId="77777777" w:rsidR="008A1D27" w:rsidRPr="00632112" w:rsidRDefault="008A1D27" w:rsidP="008A1D27">
      <w:pPr>
        <w:pStyle w:val="ListParagraph"/>
        <w:numPr>
          <w:ilvl w:val="0"/>
          <w:numId w:val="14"/>
        </w:numPr>
        <w:spacing w:after="160" w:line="259" w:lineRule="auto"/>
      </w:pPr>
      <w:r>
        <w:t>c</w:t>
      </w:r>
      <w:r w:rsidRPr="00632112">
        <w:t>hanges to</w:t>
      </w:r>
      <w:r>
        <w:t xml:space="preserve"> the</w:t>
      </w:r>
      <w:r w:rsidRPr="00632112">
        <w:t xml:space="preserve"> school leaving age, which required young people to participate in schooling until they completed Year 10 or an approved equivalent and then to undertake at least 25 hours per week of education, training or employment (or a combination of these) until </w:t>
      </w:r>
      <w:r>
        <w:br/>
      </w:r>
      <w:r w:rsidRPr="00632112">
        <w:t>age 17;</w:t>
      </w:r>
    </w:p>
    <w:p w14:paraId="21227896" w14:textId="77777777" w:rsidR="008A1D27" w:rsidRPr="00632112" w:rsidRDefault="008A1D27" w:rsidP="008A1D27">
      <w:pPr>
        <w:pStyle w:val="ListParagraph"/>
        <w:numPr>
          <w:ilvl w:val="0"/>
          <w:numId w:val="14"/>
        </w:numPr>
        <w:spacing w:after="160" w:line="259" w:lineRule="auto"/>
      </w:pPr>
      <w:r>
        <w:t>c</w:t>
      </w:r>
      <w:r w:rsidRPr="00632112">
        <w:t>hanges to Youth Allowance, which required those under 21 without a Year 12 certificate to undertake at least 25 hours of study or training per week to</w:t>
      </w:r>
      <w:r>
        <w:t xml:space="preserve"> qualify for income support; and</w:t>
      </w:r>
    </w:p>
    <w:p w14:paraId="4278DCBF" w14:textId="77777777" w:rsidR="008A1D27" w:rsidRDefault="008A1D27" w:rsidP="008A1D27">
      <w:pPr>
        <w:pStyle w:val="ListParagraph"/>
        <w:numPr>
          <w:ilvl w:val="0"/>
          <w:numId w:val="14"/>
        </w:numPr>
        <w:spacing w:after="160" w:line="259" w:lineRule="auto"/>
      </w:pPr>
      <w:proofErr w:type="gramStart"/>
      <w:r>
        <w:t>e</w:t>
      </w:r>
      <w:r w:rsidRPr="00632112">
        <w:t>ntitlement</w:t>
      </w:r>
      <w:proofErr w:type="gramEnd"/>
      <w:r w:rsidRPr="00632112">
        <w:t xml:space="preserve"> to government funded training for all young Australians</w:t>
      </w:r>
      <w:r>
        <w:t>.</w:t>
      </w:r>
      <w:r w:rsidRPr="00632112">
        <w:t xml:space="preserve"> </w:t>
      </w:r>
    </w:p>
    <w:p w14:paraId="31B96574" w14:textId="77777777" w:rsidR="008A1D27" w:rsidRDefault="008A1D27" w:rsidP="008A1D27">
      <w:r w:rsidRPr="00632112">
        <w:t>A range of policy initiatives that aim to reduce educational disadvantage</w:t>
      </w:r>
      <w:r w:rsidRPr="00E753FD">
        <w:t xml:space="preserve"> </w:t>
      </w:r>
      <w:r w:rsidRPr="00632112">
        <w:t>have</w:t>
      </w:r>
      <w:r>
        <w:t xml:space="preserve"> also</w:t>
      </w:r>
      <w:r w:rsidRPr="00632112">
        <w:t xml:space="preserve"> been introduced. The National Indigenous Reform Agreement</w:t>
      </w:r>
      <w:r>
        <w:t xml:space="preserve"> was introduced in 2007 and</w:t>
      </w:r>
      <w:r w:rsidRPr="00632112" w:rsidDel="00455471">
        <w:t xml:space="preserve"> </w:t>
      </w:r>
      <w:r w:rsidRPr="00632112">
        <w:t>included targets</w:t>
      </w:r>
      <w:r>
        <w:t xml:space="preserve"> to h</w:t>
      </w:r>
      <w:r w:rsidRPr="00632112">
        <w:t>alv</w:t>
      </w:r>
      <w:r>
        <w:t>e</w:t>
      </w:r>
      <w:r w:rsidRPr="00632112">
        <w:t xml:space="preserve"> the gap for Indigenous students in reading, writing and numeracy within a decade</w:t>
      </w:r>
      <w:r>
        <w:t xml:space="preserve">, </w:t>
      </w:r>
      <w:r w:rsidRPr="00632112">
        <w:t>and</w:t>
      </w:r>
      <w:r>
        <w:t xml:space="preserve"> to halve the gap for </w:t>
      </w:r>
      <w:r w:rsidRPr="00632112">
        <w:t>Indigenous people aged 20-24 in Year 12 attainment or equivalent attainments by 2020.</w:t>
      </w:r>
      <w:r>
        <w:t xml:space="preserve"> </w:t>
      </w:r>
      <w:r w:rsidRPr="00632112">
        <w:t xml:space="preserve">The National Partnership Agreement on Low Socio-Economic Status School Communities </w:t>
      </w:r>
      <w:r>
        <w:t xml:space="preserve">was introduced in </w:t>
      </w:r>
      <w:r w:rsidRPr="00632112">
        <w:t>2008</w:t>
      </w:r>
      <w:r>
        <w:t xml:space="preserve"> and</w:t>
      </w:r>
      <w:r w:rsidRPr="00632112">
        <w:t xml:space="preserve"> </w:t>
      </w:r>
      <w:r>
        <w:t>provided additional C</w:t>
      </w:r>
      <w:r w:rsidRPr="00FD4C7B">
        <w:t>ommonwealth funding to schoo</w:t>
      </w:r>
      <w:r>
        <w:t>ls that were determined to be in</w:t>
      </w:r>
      <w:r w:rsidRPr="00FD4C7B">
        <w:t xml:space="preserve"> need or to most likely benefit from the intervention. The performance indicators for this intervention include</w:t>
      </w:r>
      <w:r>
        <w:t>d i</w:t>
      </w:r>
      <w:r w:rsidRPr="00632112">
        <w:t>ncreased school enrolment</w:t>
      </w:r>
      <w:r>
        <w:t xml:space="preserve">, </w:t>
      </w:r>
      <w:r w:rsidRPr="00632112">
        <w:t xml:space="preserve">attendance rates </w:t>
      </w:r>
      <w:r>
        <w:t xml:space="preserve">and Year 12 completion </w:t>
      </w:r>
      <w:r w:rsidRPr="00632112">
        <w:t>among</w:t>
      </w:r>
      <w:r w:rsidRPr="00455471">
        <w:t xml:space="preserve"> </w:t>
      </w:r>
      <w:r>
        <w:t>young</w:t>
      </w:r>
      <w:r w:rsidRPr="00632112">
        <w:t xml:space="preserve"> Indigenous and </w:t>
      </w:r>
      <w:r>
        <w:t>l</w:t>
      </w:r>
      <w:r w:rsidRPr="00632112">
        <w:t xml:space="preserve">ow SES </w:t>
      </w:r>
      <w:r>
        <w:t>people.</w:t>
      </w:r>
    </w:p>
    <w:p w14:paraId="3075D35B" w14:textId="77777777" w:rsidR="008A1D27" w:rsidRDefault="008A1D27" w:rsidP="008A1D27">
      <w:r>
        <w:t>Further analysis shows that y</w:t>
      </w:r>
      <w:r w:rsidRPr="00632112">
        <w:t xml:space="preserve">oung people are more likely to leave school early if they are disengaged with school, have low </w:t>
      </w:r>
      <w:r>
        <w:t>academic</w:t>
      </w:r>
      <w:r w:rsidRPr="00632112">
        <w:t xml:space="preserve"> achievement or come from a </w:t>
      </w:r>
      <w:r>
        <w:t xml:space="preserve">low socioeconomic </w:t>
      </w:r>
      <w:r w:rsidRPr="00632112">
        <w:t xml:space="preserve">background. Young people </w:t>
      </w:r>
      <w:r w:rsidRPr="00632112">
        <w:lastRenderedPageBreak/>
        <w:t xml:space="preserve">who leave school before completing Year 12 often cite having or wanting a job or </w:t>
      </w:r>
      <w:r>
        <w:t xml:space="preserve">an </w:t>
      </w:r>
      <w:r w:rsidRPr="00632112">
        <w:t xml:space="preserve">apprenticeship/traineeship and not liking school as the main reasons influencing their decision. </w:t>
      </w:r>
    </w:p>
    <w:p w14:paraId="333A1716" w14:textId="77777777" w:rsidR="008A1D27" w:rsidRDefault="008A1D27" w:rsidP="008A1D27">
      <w:pPr>
        <w:pStyle w:val="Heading2"/>
        <w:keepNext w:val="0"/>
        <w:keepLines w:val="0"/>
        <w:numPr>
          <w:ilvl w:val="1"/>
          <w:numId w:val="20"/>
        </w:numPr>
        <w:spacing w:before="0" w:line="259" w:lineRule="auto"/>
        <w:ind w:left="425" w:hanging="425"/>
      </w:pPr>
      <w:bookmarkStart w:id="58" w:name="_Toc31878858"/>
      <w:r>
        <w:t>Subject Selection</w:t>
      </w:r>
      <w:bookmarkEnd w:id="58"/>
    </w:p>
    <w:p w14:paraId="56947657" w14:textId="77777777" w:rsidR="008A1D27" w:rsidRPr="00632112" w:rsidRDefault="008A1D27" w:rsidP="008A1D27">
      <w:r w:rsidRPr="00FD4C7B">
        <w:t>Subjects studied in the senior secondary years have</w:t>
      </w:r>
      <w:r>
        <w:t xml:space="preserve"> </w:t>
      </w:r>
      <w:r w:rsidRPr="00FD4C7B">
        <w:t>significant influence on the educational and career options available to young people after school</w:t>
      </w:r>
      <w:r>
        <w:t>, and</w:t>
      </w:r>
      <w:r w:rsidRPr="00455471">
        <w:t xml:space="preserve"> </w:t>
      </w:r>
      <w:r>
        <w:t>t</w:t>
      </w:r>
      <w:r w:rsidRPr="00630998">
        <w:t>here is current</w:t>
      </w:r>
      <w:r>
        <w:t xml:space="preserve"> </w:t>
      </w:r>
      <w:r w:rsidRPr="00630998">
        <w:t>policy interest in patterns of subject choice.</w:t>
      </w:r>
      <w:r w:rsidRPr="00632112">
        <w:t xml:space="preserve"> Subject choices of secondary students are</w:t>
      </w:r>
      <w:r>
        <w:t>,</w:t>
      </w:r>
      <w:r w:rsidRPr="00632112">
        <w:t xml:space="preserve"> in part</w:t>
      </w:r>
      <w:r>
        <w:t xml:space="preserve">, driven by students’ </w:t>
      </w:r>
      <w:r w:rsidRPr="00632112">
        <w:t>post-school study plans</w:t>
      </w:r>
      <w:r>
        <w:t>,</w:t>
      </w:r>
      <w:r w:rsidRPr="00632112">
        <w:t xml:space="preserve"> but </w:t>
      </w:r>
      <w:r>
        <w:t xml:space="preserve">they </w:t>
      </w:r>
      <w:r w:rsidRPr="00632112">
        <w:t xml:space="preserve">may also be driven by perceptions of effort to reward in terms of final grades. While retention rates to Year 12 have increased, fewer </w:t>
      </w:r>
      <w:r>
        <w:t>of those staying in school</w:t>
      </w:r>
      <w:r w:rsidRPr="00632112">
        <w:t xml:space="preserve"> are studying S</w:t>
      </w:r>
      <w:r>
        <w:t xml:space="preserve">cience </w:t>
      </w:r>
      <w:r w:rsidRPr="00632112">
        <w:t>T</w:t>
      </w:r>
      <w:r>
        <w:t xml:space="preserve">echnology </w:t>
      </w:r>
      <w:r w:rsidRPr="00632112">
        <w:t>E</w:t>
      </w:r>
      <w:r>
        <w:t xml:space="preserve">ngineering and </w:t>
      </w:r>
      <w:r w:rsidRPr="00632112">
        <w:t>M</w:t>
      </w:r>
      <w:r>
        <w:t>aths (STEM)</w:t>
      </w:r>
      <w:r w:rsidRPr="00632112">
        <w:t xml:space="preserve"> subjects. </w:t>
      </w:r>
      <w:r>
        <w:t>Due to this downward trend, t</w:t>
      </w:r>
      <w:r w:rsidRPr="00632112">
        <w:t xml:space="preserve">here is </w:t>
      </w:r>
      <w:r>
        <w:t xml:space="preserve">increasing </w:t>
      </w:r>
      <w:r w:rsidRPr="00632112">
        <w:t>concern that students are missing the foundations for technical skills they will need in their future work.</w:t>
      </w:r>
    </w:p>
    <w:p w14:paraId="188CCF29" w14:textId="77777777" w:rsidR="008A1D27" w:rsidRDefault="008A1D27" w:rsidP="008A1D27">
      <w:r>
        <w:t>LSAY data show</w:t>
      </w:r>
      <w:r w:rsidRPr="00632112">
        <w:t xml:space="preserve"> </w:t>
      </w:r>
      <w:r>
        <w:t>a</w:t>
      </w:r>
      <w:r w:rsidRPr="00632112">
        <w:t xml:space="preserve"> decline in </w:t>
      </w:r>
      <w:r>
        <w:t>the proportion</w:t>
      </w:r>
      <w:r w:rsidRPr="00632112">
        <w:t xml:space="preserve"> </w:t>
      </w:r>
      <w:r>
        <w:t>of students studying maths (</w:t>
      </w:r>
      <w:r>
        <w:fldChar w:fldCharType="begin"/>
      </w:r>
      <w:r>
        <w:instrText xml:space="preserve"> REF _Ref20923799 \h </w:instrText>
      </w:r>
      <w:r>
        <w:fldChar w:fldCharType="separate"/>
      </w:r>
      <w:r w:rsidR="00433E17" w:rsidRPr="00DA0CBE">
        <w:t xml:space="preserve">Figure </w:t>
      </w:r>
      <w:r w:rsidR="00433E17">
        <w:rPr>
          <w:noProof/>
        </w:rPr>
        <w:t>2</w:t>
      </w:r>
      <w:r w:rsidR="00433E17" w:rsidRPr="00DA0CBE">
        <w:t>.</w:t>
      </w:r>
      <w:r w:rsidR="00433E17">
        <w:rPr>
          <w:noProof/>
        </w:rPr>
        <w:t>9</w:t>
      </w:r>
      <w:r>
        <w:fldChar w:fldCharType="end"/>
      </w:r>
      <w:r>
        <w:t>)</w:t>
      </w:r>
      <w:r w:rsidRPr="00632112">
        <w:t xml:space="preserve">. Students who aspire to university after school are more likely to study </w:t>
      </w:r>
      <w:r>
        <w:t>maths</w:t>
      </w:r>
      <w:r w:rsidRPr="00632112">
        <w:t xml:space="preserve">, but even amongst that group the proportion </w:t>
      </w:r>
      <w:r>
        <w:t xml:space="preserve">studying maths is falling. </w:t>
      </w:r>
    </w:p>
    <w:p w14:paraId="6CF40C6B" w14:textId="0194D9C7" w:rsidR="00C9136C" w:rsidRDefault="008A1D27" w:rsidP="00C854E2">
      <w:pPr>
        <w:pStyle w:val="Figuretitle"/>
      </w:pPr>
      <w:bookmarkStart w:id="59" w:name="_Ref20923799"/>
      <w:bookmarkStart w:id="60" w:name="_Toc31878786"/>
      <w:r w:rsidRPr="00DA0CBE">
        <w:t xml:space="preserve">Figure </w:t>
      </w:r>
      <w:fldSimple w:instr=" STYLEREF 1 \s ">
        <w:r w:rsidR="00433E17">
          <w:rPr>
            <w:noProof/>
          </w:rPr>
          <w:t>2</w:t>
        </w:r>
      </w:fldSimple>
      <w:r w:rsidRPr="00DA0CBE">
        <w:t>.</w:t>
      </w:r>
      <w:fldSimple w:instr=" SEQ Figure \* ARABIC \s 1 ">
        <w:r w:rsidR="00433E17">
          <w:rPr>
            <w:noProof/>
          </w:rPr>
          <w:t>9</w:t>
        </w:r>
      </w:fldSimple>
      <w:bookmarkEnd w:id="59"/>
      <w:r w:rsidRPr="00DA0CBE">
        <w:t>: Students studying any maths, by post-school study plans</w:t>
      </w:r>
      <w:bookmarkEnd w:id="60"/>
    </w:p>
    <w:p w14:paraId="467357D9" w14:textId="3B731445" w:rsidR="006625E8" w:rsidRDefault="006625E8" w:rsidP="00C854E2">
      <w:pPr>
        <w:pStyle w:val="Figuretitle"/>
      </w:pPr>
      <w:r>
        <w:rPr>
          <w:noProof/>
          <w:lang w:eastAsia="en-AU"/>
        </w:rPr>
        <w:drawing>
          <wp:inline distT="0" distB="0" distL="0" distR="0" wp14:anchorId="64468722" wp14:editId="11E72FD2">
            <wp:extent cx="5127585" cy="2961966"/>
            <wp:effectExtent l="0" t="0" r="0" b="0"/>
            <wp:docPr id="61" name="Picture 61" descr="Figure 2.9 is a graph that shows the percentage of young people studying any maths subject, by their eventual study plans, for each LSAY cohort. The categories for eventual study plans are Higher education, Apprenticeship, Non-Apprenticeship (VET)  and No study af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154" cy="2973848"/>
                    </a:xfrm>
                    <a:prstGeom prst="rect">
                      <a:avLst/>
                    </a:prstGeom>
                    <a:noFill/>
                  </pic:spPr>
                </pic:pic>
              </a:graphicData>
            </a:graphic>
          </wp:inline>
        </w:drawing>
      </w:r>
    </w:p>
    <w:p w14:paraId="6C9167EE" w14:textId="77777777" w:rsidR="008A1D27" w:rsidRDefault="008A1D27" w:rsidP="008A1D27">
      <w:pPr>
        <w:spacing w:after="0"/>
        <w:rPr>
          <w:rFonts w:cstheme="minorHAnsi"/>
          <w:sz w:val="20"/>
          <w:szCs w:val="20"/>
        </w:rPr>
      </w:pPr>
      <w:r w:rsidRPr="005C4496">
        <w:rPr>
          <w:rFonts w:cstheme="minorHAnsi"/>
          <w:b/>
          <w:sz w:val="20"/>
          <w:szCs w:val="20"/>
        </w:rPr>
        <w:t>Note:</w:t>
      </w:r>
      <w:r>
        <w:rPr>
          <w:rFonts w:cstheme="minorHAnsi"/>
          <w:sz w:val="20"/>
          <w:szCs w:val="20"/>
        </w:rPr>
        <w:t xml:space="preserve"> Bracketed year is the year of measurement for the cohort</w:t>
      </w:r>
    </w:p>
    <w:p w14:paraId="214D0F4C" w14:textId="77777777" w:rsidR="008A1D27" w:rsidRDefault="008A1D27" w:rsidP="008A1D27">
      <w:pPr>
        <w:spacing w:after="0"/>
        <w:rPr>
          <w:rFonts w:cstheme="minorHAnsi"/>
          <w:sz w:val="20"/>
          <w:szCs w:val="20"/>
        </w:rPr>
      </w:pPr>
    </w:p>
    <w:p w14:paraId="24509793" w14:textId="77777777" w:rsidR="008A1D27" w:rsidRDefault="008A1D27" w:rsidP="008A1D27">
      <w:r w:rsidRPr="00632112">
        <w:t xml:space="preserve">One possible factor </w:t>
      </w:r>
      <w:r>
        <w:t xml:space="preserve">in this decline </w:t>
      </w:r>
      <w:r w:rsidRPr="00632112">
        <w:t xml:space="preserve">is that </w:t>
      </w:r>
      <w:r>
        <w:t>maths</w:t>
      </w:r>
      <w:r w:rsidRPr="00632112">
        <w:t xml:space="preserve"> is no longer a compulsory subject in Year 11 and 12 in many states</w:t>
      </w:r>
      <w:r>
        <w:t>, and the requirements around how much maths is mandatory var</w:t>
      </w:r>
      <w:r w:rsidR="00127EDC">
        <w:t>y</w:t>
      </w:r>
      <w:r>
        <w:t xml:space="preserve"> from state to state</w:t>
      </w:r>
      <w:r w:rsidRPr="00632112">
        <w:t>.</w:t>
      </w:r>
      <w:r>
        <w:t xml:space="preserve"> I</w:t>
      </w:r>
      <w:r w:rsidRPr="00632112">
        <w:t xml:space="preserve">n New South Wales, Victoria </w:t>
      </w:r>
      <w:r>
        <w:t>and</w:t>
      </w:r>
      <w:r w:rsidRPr="00632112">
        <w:t xml:space="preserve"> the ACT</w:t>
      </w:r>
      <w:r>
        <w:t>, maths</w:t>
      </w:r>
      <w:r w:rsidRPr="00630998">
        <w:t xml:space="preserve"> is no longer compulsory for Year 11 and 12 students</w:t>
      </w:r>
      <w:r w:rsidRPr="00632112">
        <w:t xml:space="preserve"> to receive a </w:t>
      </w:r>
      <w:r>
        <w:t>Year 12</w:t>
      </w:r>
      <w:r w:rsidRPr="00632112">
        <w:t xml:space="preserve"> certificate. </w:t>
      </w:r>
      <w:r>
        <w:t>I</w:t>
      </w:r>
      <w:r w:rsidRPr="00632112">
        <w:t xml:space="preserve">n Queensland and South Australia, students are only required to undertake </w:t>
      </w:r>
      <w:r>
        <w:t>one compulsory semester of maths</w:t>
      </w:r>
      <w:r w:rsidRPr="00632112">
        <w:t xml:space="preserve"> in their final two years of high school. </w:t>
      </w:r>
      <w:r>
        <w:t>In the Northern Territory, maths</w:t>
      </w:r>
      <w:r w:rsidRPr="00632112">
        <w:t xml:space="preserve"> is compulsory in Year 11</w:t>
      </w:r>
      <w:r>
        <w:t xml:space="preserve"> but not in Year 12</w:t>
      </w:r>
      <w:r w:rsidRPr="00632112">
        <w:t>.</w:t>
      </w:r>
      <w:r>
        <w:t xml:space="preserve"> I</w:t>
      </w:r>
      <w:r w:rsidRPr="00632112">
        <w:t xml:space="preserve">n Tasmania, students have to demonstrate they can pass a </w:t>
      </w:r>
      <w:r>
        <w:t xml:space="preserve">basic unit called Everyday Maths. In </w:t>
      </w:r>
      <w:r w:rsidRPr="00632112">
        <w:t>Western Australia</w:t>
      </w:r>
      <w:r>
        <w:t xml:space="preserve">, Year 12 students are </w:t>
      </w:r>
      <w:r w:rsidRPr="00632112">
        <w:t>require</w:t>
      </w:r>
      <w:r>
        <w:t>d to do</w:t>
      </w:r>
      <w:r w:rsidRPr="00632112">
        <w:t xml:space="preserve"> one STEM subject</w:t>
      </w:r>
      <w:r>
        <w:t>, which does not necessarily have to be maths</w:t>
      </w:r>
      <w:r w:rsidRPr="00632112">
        <w:t>.</w:t>
      </w:r>
    </w:p>
    <w:p w14:paraId="42D3A863" w14:textId="77777777" w:rsidR="008A1D27" w:rsidRPr="00632112" w:rsidRDefault="008A1D27" w:rsidP="008A1D27">
      <w:r>
        <w:t>As with maths</w:t>
      </w:r>
      <w:r w:rsidRPr="00632112">
        <w:t>, the proportion of students studying science subjects has fallen over time</w:t>
      </w:r>
      <w:r>
        <w:t xml:space="preserve"> (</w:t>
      </w:r>
      <w:r w:rsidR="004D515E">
        <w:fldChar w:fldCharType="begin"/>
      </w:r>
      <w:r w:rsidR="004D515E">
        <w:instrText xml:space="preserve"> REF _Ref31816257 \h </w:instrText>
      </w:r>
      <w:r w:rsidR="004D515E">
        <w:fldChar w:fldCharType="separate"/>
      </w:r>
      <w:r w:rsidR="00433E17" w:rsidRPr="00DA0CBE">
        <w:t xml:space="preserve">Figure </w:t>
      </w:r>
      <w:r w:rsidR="00433E17">
        <w:rPr>
          <w:noProof/>
        </w:rPr>
        <w:t>2</w:t>
      </w:r>
      <w:r w:rsidR="00433E17" w:rsidRPr="00DA0CBE">
        <w:t>.</w:t>
      </w:r>
      <w:r w:rsidR="00433E17">
        <w:rPr>
          <w:noProof/>
        </w:rPr>
        <w:t>10</w:t>
      </w:r>
      <w:r w:rsidR="004D515E">
        <w:fldChar w:fldCharType="end"/>
      </w:r>
      <w:r>
        <w:t>)</w:t>
      </w:r>
      <w:r w:rsidRPr="00632112">
        <w:t xml:space="preserve">. Those who </w:t>
      </w:r>
      <w:r>
        <w:t>aspire</w:t>
      </w:r>
      <w:r w:rsidRPr="00632112">
        <w:t xml:space="preserve"> to go to university are more likely to study science, but even among those students science subjects are on the decline. </w:t>
      </w:r>
      <w:r w:rsidRPr="00632112">
        <w:rPr>
          <w:rFonts w:cstheme="minorHAnsi"/>
        </w:rPr>
        <w:t>The quantitative and critical thinking skills developed in the science classroom are important foundations for many vocational as well as tertiary study pathways.</w:t>
      </w:r>
    </w:p>
    <w:p w14:paraId="4CEFAA77" w14:textId="77777777" w:rsidR="00C9136C" w:rsidRDefault="008A1D27" w:rsidP="00EB45B2">
      <w:pPr>
        <w:pStyle w:val="Figuretitle"/>
      </w:pPr>
      <w:bookmarkStart w:id="61" w:name="_Ref31816257"/>
      <w:bookmarkStart w:id="62" w:name="_Toc31878787"/>
      <w:r w:rsidRPr="00DA0CBE">
        <w:lastRenderedPageBreak/>
        <w:t xml:space="preserve">Figure </w:t>
      </w:r>
      <w:fldSimple w:instr=" STYLEREF 1 \s ">
        <w:r w:rsidR="00433E17">
          <w:rPr>
            <w:noProof/>
          </w:rPr>
          <w:t>2</w:t>
        </w:r>
      </w:fldSimple>
      <w:r w:rsidRPr="00DA0CBE">
        <w:t>.</w:t>
      </w:r>
      <w:fldSimple w:instr=" SEQ Figure \* ARABIC \s 1 ">
        <w:r w:rsidR="00433E17">
          <w:rPr>
            <w:noProof/>
          </w:rPr>
          <w:t>10</w:t>
        </w:r>
      </w:fldSimple>
      <w:bookmarkEnd w:id="61"/>
      <w:r w:rsidRPr="00DA0CBE">
        <w:t>: Students studying any science, by post-school study plans</w:t>
      </w:r>
      <w:bookmarkEnd w:id="62"/>
    </w:p>
    <w:p w14:paraId="216B8288" w14:textId="393A06CC" w:rsidR="00EB45B2" w:rsidRPr="00884BBC" w:rsidRDefault="006625E8" w:rsidP="008A1D27">
      <w:pPr>
        <w:spacing w:after="0"/>
      </w:pPr>
      <w:r>
        <w:rPr>
          <w:noProof/>
          <w:lang w:eastAsia="en-AU"/>
        </w:rPr>
        <w:drawing>
          <wp:inline distT="0" distB="0" distL="0" distR="0" wp14:anchorId="027F47F4" wp14:editId="02DF3CC4">
            <wp:extent cx="6584830" cy="4282633"/>
            <wp:effectExtent l="0" t="0" r="6985" b="3810"/>
            <wp:docPr id="64" name="Picture 64" descr="Figure 2.10 shows the percentage of young people studying a science subject during secondary school for each LSAY cohort. It is categorised by whether they went on to Higher education, an Apprenticeship, Non-Apprenticeship VET or No study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4751" cy="4315100"/>
                    </a:xfrm>
                    <a:prstGeom prst="rect">
                      <a:avLst/>
                    </a:prstGeom>
                    <a:noFill/>
                  </pic:spPr>
                </pic:pic>
              </a:graphicData>
            </a:graphic>
          </wp:inline>
        </w:drawing>
      </w:r>
    </w:p>
    <w:p w14:paraId="347B5314" w14:textId="77777777" w:rsidR="008A1D27" w:rsidRDefault="008A1D27" w:rsidP="008A1D27">
      <w:pPr>
        <w:spacing w:afterLines="160" w:after="384"/>
        <w:rPr>
          <w:rFonts w:cstheme="minorHAnsi"/>
          <w:sz w:val="20"/>
          <w:szCs w:val="20"/>
        </w:rPr>
      </w:pPr>
      <w:r w:rsidRPr="005C4496">
        <w:rPr>
          <w:rFonts w:cstheme="minorHAnsi"/>
          <w:b/>
          <w:sz w:val="20"/>
          <w:szCs w:val="20"/>
        </w:rPr>
        <w:t>Note:</w:t>
      </w:r>
      <w:r>
        <w:rPr>
          <w:rFonts w:cstheme="minorHAnsi"/>
          <w:sz w:val="20"/>
          <w:szCs w:val="20"/>
        </w:rPr>
        <w:t xml:space="preserve"> Bracketed year is the year of measurement for the cohort</w:t>
      </w:r>
    </w:p>
    <w:p w14:paraId="7A2EFE87" w14:textId="77777777" w:rsidR="008A1D27" w:rsidRPr="0071180C" w:rsidRDefault="008A1D27" w:rsidP="008A1D27">
      <w:r>
        <w:t>The decline in STEM participation has been modest amongst those that go onto higher education, falling from 74 per cent in 1997 to 69 per cent in 2009 and most</w:t>
      </w:r>
      <w:r w:rsidR="00E70E40">
        <w:t xml:space="preserve"> pronounced for those pursuing A</w:t>
      </w:r>
      <w:r>
        <w:t xml:space="preserve">pprenticeships, where participation decreased from 49 per cent to 28 per cent over the equivalent period. </w:t>
      </w:r>
    </w:p>
    <w:p w14:paraId="77E78031" w14:textId="77777777" w:rsidR="008A1D27" w:rsidRDefault="008A1D27" w:rsidP="008A1D27">
      <w:r w:rsidRPr="00630998">
        <w:t xml:space="preserve">The current concern that not enough young Australians are engaging with STEM subjects may suggest that young people do not </w:t>
      </w:r>
      <w:r>
        <w:t>currently perceive</w:t>
      </w:r>
      <w:r w:rsidRPr="00630998">
        <w:t xml:space="preserve"> </w:t>
      </w:r>
      <w:r>
        <w:t xml:space="preserve">the </w:t>
      </w:r>
      <w:r w:rsidRPr="00630998">
        <w:t xml:space="preserve">value for their efforts in studying STEM. </w:t>
      </w:r>
      <w:r>
        <w:t>However, a</w:t>
      </w:r>
      <w:r w:rsidRPr="00632112">
        <w:t xml:space="preserve"> report by </w:t>
      </w:r>
      <w:r>
        <w:t>PwC</w:t>
      </w:r>
      <w:r>
        <w:rPr>
          <w:rStyle w:val="FootnoteReference"/>
        </w:rPr>
        <w:footnoteReference w:id="9"/>
      </w:r>
      <w:r w:rsidRPr="00632112">
        <w:t> states that 75% of future jobs will involve STEM skills</w:t>
      </w:r>
      <w:r>
        <w:t>, raising concerns about the viability of future science and mathematics-based jobs among a shortage of STEM qualified workers</w:t>
      </w:r>
      <w:r w:rsidR="00282FDA">
        <w:t xml:space="preserve">. </w:t>
      </w:r>
      <w:r>
        <w:t>T</w:t>
      </w:r>
      <w:r w:rsidRPr="00632112">
        <w:t xml:space="preserve">he </w:t>
      </w:r>
      <w:r>
        <w:t>2015</w:t>
      </w:r>
      <w:r w:rsidRPr="00632112">
        <w:t xml:space="preserve"> </w:t>
      </w:r>
      <w:r>
        <w:t>N</w:t>
      </w:r>
      <w:r w:rsidRPr="00632112">
        <w:t>ational STEM</w:t>
      </w:r>
      <w:r>
        <w:t xml:space="preserve"> School Education Strategy and</w:t>
      </w:r>
      <w:r w:rsidRPr="00632112">
        <w:t xml:space="preserve"> </w:t>
      </w:r>
      <w:r>
        <w:t xml:space="preserve">the 2016 </w:t>
      </w:r>
      <w:r w:rsidRPr="00671A4B">
        <w:t>Strengthening School-Industry STEM Skills</w:t>
      </w:r>
      <w:r>
        <w:t xml:space="preserve"> </w:t>
      </w:r>
      <w:r w:rsidRPr="00671A4B">
        <w:t>Partnerships Project</w:t>
      </w:r>
      <w:r>
        <w:t xml:space="preserve"> (also known as the </w:t>
      </w:r>
      <w:proofErr w:type="spellStart"/>
      <w:r>
        <w:t>Finkel</w:t>
      </w:r>
      <w:proofErr w:type="spellEnd"/>
      <w:r>
        <w:t xml:space="preserve"> Review) have aimed to address the potential future issues that may arise by providing national leadership on the teaching of STEM in schools.</w:t>
      </w:r>
    </w:p>
    <w:p w14:paraId="072DE173" w14:textId="77777777" w:rsidR="008A1D27" w:rsidRDefault="008A1D27" w:rsidP="008A1D27">
      <w:r>
        <w:t>Further compounding these issues,</w:t>
      </w:r>
      <w:r w:rsidRPr="00632112">
        <w:t xml:space="preserve"> many university courses have n</w:t>
      </w:r>
      <w:r>
        <w:t>o entry pre-requisites for maths</w:t>
      </w:r>
      <w:r w:rsidRPr="00632112">
        <w:t xml:space="preserve"> or science</w:t>
      </w:r>
      <w:r>
        <w:t>, placing no obligation on those who want to pursue STEM degrees to have done a particular level of maths or science in school</w:t>
      </w:r>
      <w:r w:rsidRPr="00632112">
        <w:t xml:space="preserve">. A review into </w:t>
      </w:r>
      <w:r>
        <w:t xml:space="preserve">the </w:t>
      </w:r>
      <w:r w:rsidRPr="00632112">
        <w:t xml:space="preserve">mathematical sciences by the Australian Academy of Science in 2016 identified this as a major issue, and </w:t>
      </w:r>
      <w:r>
        <w:t xml:space="preserve">as a result some </w:t>
      </w:r>
      <w:r w:rsidRPr="00632112">
        <w:t>universities</w:t>
      </w:r>
      <w:r>
        <w:t xml:space="preserve"> have begun to reintroduce maths</w:t>
      </w:r>
      <w:r w:rsidRPr="00632112">
        <w:t xml:space="preserve"> prerequisites for science, engineering and com</w:t>
      </w:r>
      <w:r>
        <w:t>merce degrees starting in 2019.</w:t>
      </w:r>
    </w:p>
    <w:p w14:paraId="7FF58673" w14:textId="77777777" w:rsidR="008A1D27" w:rsidRDefault="008A1D27" w:rsidP="008A1D27">
      <w:pPr>
        <w:pStyle w:val="Heading2"/>
        <w:keepNext w:val="0"/>
        <w:keepLines w:val="0"/>
        <w:numPr>
          <w:ilvl w:val="1"/>
          <w:numId w:val="20"/>
        </w:numPr>
        <w:spacing w:before="0" w:line="259" w:lineRule="auto"/>
        <w:ind w:left="425" w:hanging="425"/>
      </w:pPr>
      <w:bookmarkStart w:id="63" w:name="_Toc31878859"/>
      <w:r>
        <w:lastRenderedPageBreak/>
        <w:t>VET participation</w:t>
      </w:r>
      <w:bookmarkEnd w:id="63"/>
    </w:p>
    <w:p w14:paraId="0933E4BD" w14:textId="77777777" w:rsidR="008A1D27" w:rsidRPr="00632112" w:rsidRDefault="008A1D27" w:rsidP="008A1D27">
      <w:r w:rsidRPr="00632112">
        <w:t xml:space="preserve">Nationally recognised VET qualifications undertaken as part of a senior secondary certificate were introduced in 1996 to meet a perceived need for broader access to structured vocational training and to encourage young Australians who did not desire an academic pathway to complete </w:t>
      </w:r>
      <w:r>
        <w:t>year 12</w:t>
      </w:r>
      <w:r w:rsidRPr="00632112">
        <w:t>. In 2006</w:t>
      </w:r>
      <w:r>
        <w:t>,</w:t>
      </w:r>
      <w:r w:rsidRPr="00632112">
        <w:t xml:space="preserve"> close to 40% of upper secondary school students participated in a VET in Schools program. There is a strong regional effect, with students in remote and regional areas more likely to participate in VET in schools than those from metropolitan areas.</w:t>
      </w:r>
    </w:p>
    <w:p w14:paraId="26DADCFC" w14:textId="77777777" w:rsidR="008A1D27" w:rsidRPr="00632112" w:rsidRDefault="008A1D27" w:rsidP="008A1D27">
      <w:r w:rsidRPr="00632112">
        <w:t xml:space="preserve">Several initiatives have been introduced over the </w:t>
      </w:r>
      <w:r>
        <w:t>last two decades</w:t>
      </w:r>
      <w:r w:rsidRPr="00632112">
        <w:t xml:space="preserve"> to increase the effectiveness of VET in schools:</w:t>
      </w:r>
    </w:p>
    <w:p w14:paraId="355C7D79" w14:textId="77777777" w:rsidR="008A1D27" w:rsidRPr="00632112" w:rsidRDefault="008A1D27" w:rsidP="008A1D27">
      <w:pPr>
        <w:pStyle w:val="ListParagraph"/>
        <w:numPr>
          <w:ilvl w:val="0"/>
          <w:numId w:val="14"/>
        </w:numPr>
        <w:spacing w:after="160" w:line="259" w:lineRule="auto"/>
      </w:pPr>
      <w:r w:rsidRPr="00632112">
        <w:t>The School-Based New Apprenticeships scheme (SNAPs) was introduced as part of the New Apprenticeships scheme in 1998 and allows students to start a part-time apprenticeship or traineeship while still attending school. Uptake of VET subjects while at school increased after the introduction of SNAPs: one in four students in the LSAY 1998 cohort took a VET school subject at age 16, compared with one in six among the 1995 cohort</w:t>
      </w:r>
      <w:r>
        <w:t xml:space="preserve"> (</w:t>
      </w:r>
      <w:r>
        <w:fldChar w:fldCharType="begin"/>
      </w:r>
      <w:r>
        <w:instrText xml:space="preserve"> REF _Ref21612822 \h </w:instrText>
      </w:r>
      <w:r>
        <w:fldChar w:fldCharType="separate"/>
      </w:r>
      <w:r w:rsidR="00433E17" w:rsidRPr="00DA0CBE">
        <w:t xml:space="preserve">Figure </w:t>
      </w:r>
      <w:r w:rsidR="00433E17">
        <w:rPr>
          <w:noProof/>
        </w:rPr>
        <w:t>2</w:t>
      </w:r>
      <w:r w:rsidR="00433E17" w:rsidRPr="00DA0CBE">
        <w:t>.</w:t>
      </w:r>
      <w:r w:rsidR="00433E17">
        <w:rPr>
          <w:noProof/>
        </w:rPr>
        <w:t>11</w:t>
      </w:r>
      <w:r>
        <w:fldChar w:fldCharType="end"/>
      </w:r>
      <w:r>
        <w:t>)</w:t>
      </w:r>
      <w:r w:rsidRPr="00632112">
        <w:t xml:space="preserve">. </w:t>
      </w:r>
    </w:p>
    <w:p w14:paraId="38466133" w14:textId="77777777" w:rsidR="008A1D27" w:rsidRPr="00632112" w:rsidRDefault="008A1D27" w:rsidP="008A1D27">
      <w:pPr>
        <w:pStyle w:val="ListParagraph"/>
        <w:numPr>
          <w:ilvl w:val="0"/>
          <w:numId w:val="14"/>
        </w:numPr>
        <w:spacing w:after="160" w:line="259" w:lineRule="auto"/>
      </w:pPr>
      <w:r w:rsidRPr="00344820">
        <w:t>Australian Technical Colleges (ATCs)</w:t>
      </w:r>
      <w:r w:rsidRPr="00632112">
        <w:t xml:space="preserve"> were introduced in 2004 as an alternative type of senior secondary school with an entirely vocatio</w:t>
      </w:r>
      <w:r>
        <w:t>nal focus. In 2009 the program</w:t>
      </w:r>
      <w:r w:rsidRPr="00632112">
        <w:t xml:space="preserve"> was dismantled and all ATCs either merged with other senior secondary schools or changed to include the entire school curriculum. </w:t>
      </w:r>
    </w:p>
    <w:p w14:paraId="7F0BBDFC" w14:textId="77777777" w:rsidR="008A1D27" w:rsidRPr="00515A84" w:rsidRDefault="008A1D27" w:rsidP="008A1D27">
      <w:pPr>
        <w:pStyle w:val="ListParagraph"/>
        <w:numPr>
          <w:ilvl w:val="0"/>
          <w:numId w:val="14"/>
        </w:numPr>
        <w:spacing w:after="160" w:line="259" w:lineRule="auto"/>
        <w:rPr>
          <w:rFonts w:cstheme="minorHAnsi"/>
        </w:rPr>
      </w:pPr>
      <w:r>
        <w:t>Trade Training C</w:t>
      </w:r>
      <w:r w:rsidRPr="00344820">
        <w:t>entres (TTCs)</w:t>
      </w:r>
      <w:r w:rsidRPr="00632112">
        <w:t xml:space="preserve"> were introduced in 2008 as specialised training centres within existing senior secondary schools</w:t>
      </w:r>
      <w:r>
        <w:t>, or as training hubs serving a cluster of schools</w:t>
      </w:r>
      <w:r w:rsidRPr="00632112">
        <w:t xml:space="preserve">. </w:t>
      </w:r>
      <w:r>
        <w:t>These may have affected participati</w:t>
      </w:r>
      <w:r w:rsidR="00E70E40">
        <w:t>on in school-based A</w:t>
      </w:r>
      <w:r>
        <w:t>pprenticeships in the Y15 cohort.</w:t>
      </w:r>
    </w:p>
    <w:p w14:paraId="0084724C" w14:textId="77777777" w:rsidR="008A1D27" w:rsidRPr="00632112" w:rsidRDefault="008A1D27" w:rsidP="008A1D27">
      <w:r w:rsidRPr="00632112">
        <w:t xml:space="preserve">Over </w:t>
      </w:r>
      <w:r>
        <w:t>time,</w:t>
      </w:r>
      <w:r w:rsidRPr="00632112">
        <w:t xml:space="preserve"> schools have been encouraged to expand their curriculum to include more VET subjects. VET in schools enables students to undertake nationally recognised training and to receive a Statement of Attainment and/or </w:t>
      </w:r>
      <w:r>
        <w:t>an Australian Qualification Framework (AQF)</w:t>
      </w:r>
      <w:r w:rsidRPr="00632112">
        <w:t xml:space="preserve"> qualification after successful completion of their course. This training </w:t>
      </w:r>
      <w:r w:rsidR="00F86D75">
        <w:t>intend</w:t>
      </w:r>
      <w:r w:rsidR="00CC7CAE">
        <w:t>s</w:t>
      </w:r>
      <w:r w:rsidR="00F86D75">
        <w:t xml:space="preserve"> to serve</w:t>
      </w:r>
      <w:r w:rsidRPr="00632112">
        <w:t xml:space="preserve"> multiple purposes:</w:t>
      </w:r>
    </w:p>
    <w:p w14:paraId="742189EC" w14:textId="77777777" w:rsidR="008A1D27" w:rsidRPr="00E753FD" w:rsidRDefault="008A1D27" w:rsidP="008A1D27">
      <w:pPr>
        <w:pStyle w:val="ListParagraph"/>
        <w:numPr>
          <w:ilvl w:val="0"/>
          <w:numId w:val="19"/>
        </w:numPr>
        <w:spacing w:after="160" w:line="259" w:lineRule="auto"/>
      </w:pPr>
      <w:r w:rsidRPr="00E753FD">
        <w:t>Preparing students in school for the full-time workforce, or providing them with a qualification for part-time work while they engage in further study.</w:t>
      </w:r>
    </w:p>
    <w:p w14:paraId="45B52B68" w14:textId="77777777" w:rsidR="008A1D27" w:rsidRPr="00E753FD" w:rsidRDefault="008A1D27" w:rsidP="008A1D27">
      <w:pPr>
        <w:pStyle w:val="ListParagraph"/>
        <w:numPr>
          <w:ilvl w:val="0"/>
          <w:numId w:val="19"/>
        </w:numPr>
        <w:spacing w:after="160" w:line="259" w:lineRule="auto"/>
      </w:pPr>
      <w:r w:rsidRPr="00E753FD">
        <w:t>Kick-starting students on a vocational qualification pathway by giving them the initial qualification levels of their chosen vocation.</w:t>
      </w:r>
    </w:p>
    <w:p w14:paraId="524EFFC9" w14:textId="77777777" w:rsidR="008A1D27" w:rsidRPr="00E753FD" w:rsidRDefault="008A1D27" w:rsidP="008A1D27">
      <w:pPr>
        <w:pStyle w:val="ListParagraph"/>
        <w:numPr>
          <w:ilvl w:val="0"/>
          <w:numId w:val="19"/>
        </w:numPr>
        <w:spacing w:after="160" w:line="259" w:lineRule="auto"/>
      </w:pPr>
      <w:r w:rsidRPr="00E753FD">
        <w:t>Encouraging students who initially did not plan any post-school study to undertake further vocational study.</w:t>
      </w:r>
    </w:p>
    <w:p w14:paraId="3BB7950A" w14:textId="77777777" w:rsidR="008A1D27" w:rsidRPr="00E753FD" w:rsidRDefault="008A1D27" w:rsidP="008A1D27">
      <w:pPr>
        <w:pStyle w:val="ListParagraph"/>
        <w:numPr>
          <w:ilvl w:val="0"/>
          <w:numId w:val="19"/>
        </w:numPr>
        <w:spacing w:after="160" w:line="259" w:lineRule="auto"/>
      </w:pPr>
      <w:r w:rsidRPr="00E753FD">
        <w:t>Keeping young people who might not otherwise continue with their schooling engaged in school, by providing training that they see as valuable and relevant to their chosen pathway.</w:t>
      </w:r>
    </w:p>
    <w:p w14:paraId="0CDD845E" w14:textId="77777777" w:rsidR="008A1D27" w:rsidRDefault="008A1D27" w:rsidP="008A1D27">
      <w:pPr>
        <w:ind w:left="420"/>
        <w:rPr>
          <w:rFonts w:cstheme="minorHAnsi"/>
        </w:rPr>
      </w:pPr>
    </w:p>
    <w:p w14:paraId="292BB48F" w14:textId="77777777" w:rsidR="00C32881" w:rsidRDefault="00C32881" w:rsidP="008A1D27">
      <w:pPr>
        <w:ind w:left="420"/>
        <w:rPr>
          <w:rFonts w:cstheme="minorHAnsi"/>
        </w:rPr>
      </w:pPr>
    </w:p>
    <w:p w14:paraId="0CBAA473" w14:textId="77777777" w:rsidR="00C32881" w:rsidRDefault="00C32881" w:rsidP="008A1D27">
      <w:pPr>
        <w:ind w:left="420"/>
        <w:rPr>
          <w:rFonts w:cstheme="minorHAnsi"/>
        </w:rPr>
      </w:pPr>
    </w:p>
    <w:p w14:paraId="6F4382BA" w14:textId="77777777" w:rsidR="00C32881" w:rsidRDefault="00C32881" w:rsidP="008A1D27">
      <w:pPr>
        <w:ind w:left="420"/>
        <w:rPr>
          <w:rFonts w:cstheme="minorHAnsi"/>
        </w:rPr>
      </w:pPr>
    </w:p>
    <w:p w14:paraId="0BFB0732" w14:textId="77777777" w:rsidR="00C32881" w:rsidRDefault="00C32881" w:rsidP="008A1D27">
      <w:pPr>
        <w:ind w:left="420"/>
        <w:rPr>
          <w:rFonts w:cstheme="minorHAnsi"/>
        </w:rPr>
      </w:pPr>
    </w:p>
    <w:p w14:paraId="384FB2C0" w14:textId="77777777" w:rsidR="00C32881" w:rsidRPr="00515A84" w:rsidRDefault="00C32881" w:rsidP="008A1D27">
      <w:pPr>
        <w:ind w:left="420"/>
        <w:rPr>
          <w:rFonts w:cstheme="minorHAnsi"/>
        </w:rPr>
      </w:pPr>
    </w:p>
    <w:p w14:paraId="64894252" w14:textId="77777777" w:rsidR="008A1D27" w:rsidRPr="00DA0CBE" w:rsidRDefault="008A1D27" w:rsidP="00DA0CBE">
      <w:pPr>
        <w:pStyle w:val="Figuretitle"/>
      </w:pPr>
      <w:bookmarkStart w:id="64" w:name="_Ref21612822"/>
      <w:bookmarkStart w:id="65" w:name="_Toc31878788"/>
      <w:r w:rsidRPr="00DA0CBE">
        <w:lastRenderedPageBreak/>
        <w:t xml:space="preserve">Figure </w:t>
      </w:r>
      <w:fldSimple w:instr=" STYLEREF 1 \s ">
        <w:r w:rsidR="00433E17">
          <w:rPr>
            <w:noProof/>
          </w:rPr>
          <w:t>2</w:t>
        </w:r>
      </w:fldSimple>
      <w:r w:rsidRPr="00DA0CBE">
        <w:t>.</w:t>
      </w:r>
      <w:fldSimple w:instr=" SEQ Figure \* ARABIC \s 1 ">
        <w:r w:rsidR="00433E17">
          <w:rPr>
            <w:noProof/>
          </w:rPr>
          <w:t>11</w:t>
        </w:r>
      </w:fldSimple>
      <w:bookmarkEnd w:id="64"/>
      <w:r w:rsidRPr="00DA0CBE">
        <w:t>: Participation at age 16 in VET delivered in schools</w:t>
      </w:r>
      <w:bookmarkEnd w:id="65"/>
    </w:p>
    <w:p w14:paraId="00C22413" w14:textId="77777777" w:rsidR="00C32881" w:rsidRDefault="00C32881" w:rsidP="008A1D27">
      <w:pPr>
        <w:spacing w:after="0"/>
        <w:rPr>
          <w:rFonts w:cstheme="minorHAnsi"/>
          <w:sz w:val="20"/>
          <w:szCs w:val="20"/>
        </w:rPr>
      </w:pPr>
      <w:r>
        <w:rPr>
          <w:noProof/>
          <w:lang w:eastAsia="en-AU"/>
        </w:rPr>
        <w:drawing>
          <wp:inline distT="0" distB="0" distL="0" distR="0" wp14:anchorId="2C4FA4D7" wp14:editId="0673A3DA">
            <wp:extent cx="4648200" cy="3649465"/>
            <wp:effectExtent l="0" t="0" r="0" b="8255"/>
            <wp:docPr id="18" name="Picture 18" descr="Figure 2.11 shows VET delivered in schools as part of an apprenticeship or traineeship as a proportion of overall VET participation. This proportion has increased over time with the introduction of government policies such as Trade Training Centres and School-Based New Apprenticeship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0661" cy="3659248"/>
                    </a:xfrm>
                    <a:prstGeom prst="rect">
                      <a:avLst/>
                    </a:prstGeom>
                  </pic:spPr>
                </pic:pic>
              </a:graphicData>
            </a:graphic>
          </wp:inline>
        </w:drawing>
      </w:r>
    </w:p>
    <w:p w14:paraId="32EEB00A" w14:textId="77777777" w:rsidR="008A1D27" w:rsidRPr="005C4496" w:rsidRDefault="008A1D27" w:rsidP="008A1D27">
      <w:pPr>
        <w:rPr>
          <w:rFonts w:cstheme="minorHAnsi"/>
          <w:b/>
          <w:sz w:val="20"/>
          <w:szCs w:val="20"/>
        </w:rPr>
      </w:pPr>
      <w:r w:rsidRPr="005C4496">
        <w:rPr>
          <w:rFonts w:cstheme="minorHAnsi"/>
          <w:b/>
          <w:sz w:val="20"/>
          <w:szCs w:val="20"/>
        </w:rPr>
        <w:t xml:space="preserve">Note: </w:t>
      </w:r>
      <w:r w:rsidRPr="00284BD4">
        <w:rPr>
          <w:rFonts w:cstheme="minorHAnsi"/>
          <w:sz w:val="20"/>
          <w:szCs w:val="20"/>
        </w:rPr>
        <w:t>Bracketed year is the year of measurement for the cohort</w:t>
      </w:r>
    </w:p>
    <w:p w14:paraId="09E43FE3" w14:textId="77777777" w:rsidR="008A1D27" w:rsidRDefault="008A1D27" w:rsidP="008A1D27">
      <w:r w:rsidRPr="00E753FD">
        <w:t xml:space="preserve">From </w:t>
      </w:r>
      <w:r w:rsidR="00CC7CAE">
        <w:fldChar w:fldCharType="begin"/>
      </w:r>
      <w:r w:rsidR="00CC7CAE">
        <w:instrText xml:space="preserve"> REF _Ref31816413 \h </w:instrText>
      </w:r>
      <w:r w:rsidR="00CC7CAE">
        <w:fldChar w:fldCharType="separate"/>
      </w:r>
      <w:r w:rsidR="00433E17" w:rsidRPr="00DA0CBE">
        <w:t xml:space="preserve">Figure </w:t>
      </w:r>
      <w:r w:rsidR="00433E17">
        <w:rPr>
          <w:noProof/>
        </w:rPr>
        <w:t>2</w:t>
      </w:r>
      <w:r w:rsidR="00433E17" w:rsidRPr="00DA0CBE">
        <w:t>.</w:t>
      </w:r>
      <w:r w:rsidR="00433E17">
        <w:rPr>
          <w:noProof/>
        </w:rPr>
        <w:t>12</w:t>
      </w:r>
      <w:r w:rsidR="00CC7CAE">
        <w:fldChar w:fldCharType="end"/>
      </w:r>
      <w:r>
        <w:t xml:space="preserve"> </w:t>
      </w:r>
      <w:r w:rsidRPr="00E753FD">
        <w:t xml:space="preserve">we can see that VET in schools </w:t>
      </w:r>
      <w:r>
        <w:t>(VETIS)</w:t>
      </w:r>
      <w:r w:rsidRPr="00E753FD">
        <w:t xml:space="preserve"> may have successfully encouraged further vocational training among students who originally did not plan further vocational study. This is especi</w:t>
      </w:r>
      <w:r>
        <w:t xml:space="preserve">ally true among the 2009 cohort, </w:t>
      </w:r>
      <w:r w:rsidRPr="00E753FD">
        <w:t>where</w:t>
      </w:r>
      <w:r>
        <w:t xml:space="preserve"> participation in VET at school resulted in young people being 19 per cent more likely to pursue VET as a post school study option. </w:t>
      </w:r>
      <w:r w:rsidRPr="00E753FD">
        <w:t>This suggests that VET in schools may be becoming more important as a pathway for post-school VET.</w:t>
      </w:r>
    </w:p>
    <w:p w14:paraId="147394B0" w14:textId="77777777" w:rsidR="008A1D27" w:rsidRPr="00DA0CBE" w:rsidRDefault="008A1D27" w:rsidP="00DA0CBE">
      <w:pPr>
        <w:pStyle w:val="Figuretitle"/>
      </w:pPr>
      <w:bookmarkStart w:id="66" w:name="_Ref31816413"/>
      <w:bookmarkStart w:id="67" w:name="_Toc31878789"/>
      <w:r w:rsidRPr="00DA0CBE">
        <w:t xml:space="preserve">Figure </w:t>
      </w:r>
      <w:fldSimple w:instr=" STYLEREF 1 \s ">
        <w:r w:rsidR="00433E17">
          <w:rPr>
            <w:noProof/>
          </w:rPr>
          <w:t>2</w:t>
        </w:r>
      </w:fldSimple>
      <w:r w:rsidRPr="00DA0CBE">
        <w:t>.</w:t>
      </w:r>
      <w:fldSimple w:instr=" SEQ Figure \* ARABIC \s 1 ">
        <w:r w:rsidR="00433E17">
          <w:rPr>
            <w:noProof/>
          </w:rPr>
          <w:t>12</w:t>
        </w:r>
      </w:fldSimple>
      <w:bookmarkEnd w:id="66"/>
      <w:r w:rsidRPr="00DA0CBE">
        <w:t>: VET in Schools (VETIS) and post-school VET participation for students who originally planned non-VET pathways</w:t>
      </w:r>
      <w:bookmarkEnd w:id="67"/>
    </w:p>
    <w:p w14:paraId="311BDC06" w14:textId="77777777" w:rsidR="00B90321" w:rsidRDefault="00B90321" w:rsidP="008A1D27">
      <w:r>
        <w:rPr>
          <w:noProof/>
          <w:lang w:eastAsia="en-AU"/>
        </w:rPr>
        <w:drawing>
          <wp:inline distT="0" distB="0" distL="0" distR="0" wp14:anchorId="1D618A36" wp14:editId="357A02DB">
            <wp:extent cx="4406900" cy="2355773"/>
            <wp:effectExtent l="0" t="0" r="0" b="6985"/>
            <wp:docPr id="34" name="Picture 34" descr="Figure 2.12 shows the participation in post school VET for the Y03, Y06 and Y09 cohorts for those that did and did not do VET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7902" cy="2361654"/>
                    </a:xfrm>
                    <a:prstGeom prst="rect">
                      <a:avLst/>
                    </a:prstGeom>
                  </pic:spPr>
                </pic:pic>
              </a:graphicData>
            </a:graphic>
          </wp:inline>
        </w:drawing>
      </w:r>
    </w:p>
    <w:p w14:paraId="14D4973B" w14:textId="77777777" w:rsidR="008A1D27" w:rsidRDefault="008A1D27" w:rsidP="008A1D27">
      <w:pPr>
        <w:rPr>
          <w:rFonts w:eastAsiaTheme="majorEastAsia" w:cstheme="majorBidi"/>
          <w:b/>
          <w:bCs/>
          <w:color w:val="522761"/>
          <w:sz w:val="36"/>
          <w:szCs w:val="28"/>
        </w:rPr>
      </w:pPr>
      <w:r>
        <w:br w:type="page"/>
      </w:r>
    </w:p>
    <w:p w14:paraId="3ABA6160" w14:textId="77777777" w:rsidR="008A1D27" w:rsidRPr="00CC7100" w:rsidRDefault="008A1D27" w:rsidP="008A1D27">
      <w:pPr>
        <w:pStyle w:val="Heading1"/>
        <w:keepNext w:val="0"/>
        <w:keepLines w:val="0"/>
        <w:numPr>
          <w:ilvl w:val="0"/>
          <w:numId w:val="21"/>
        </w:numPr>
        <w:spacing w:before="0" w:after="240" w:line="259" w:lineRule="auto"/>
        <w:contextualSpacing/>
      </w:pPr>
      <w:bookmarkStart w:id="68" w:name="_Toc31878860"/>
      <w:r w:rsidRPr="00CC7100">
        <w:lastRenderedPageBreak/>
        <w:t>Post-</w:t>
      </w:r>
      <w:r w:rsidRPr="00A64FAE">
        <w:t>school</w:t>
      </w:r>
      <w:r w:rsidRPr="00CC7100">
        <w:t xml:space="preserve"> Study</w:t>
      </w:r>
      <w:bookmarkEnd w:id="68"/>
    </w:p>
    <w:p w14:paraId="1B368525" w14:textId="77777777" w:rsidR="008A1D27" w:rsidRPr="00E753FD" w:rsidRDefault="008A1D27" w:rsidP="008A1D27">
      <w:r>
        <w:t>The decision about w</w:t>
      </w:r>
      <w:r w:rsidRPr="00E753FD">
        <w:t xml:space="preserve">hether or not to undertake further study after school is an important choice that young people make. There is a wide variety of post-school study options available, and these can be grouped into three </w:t>
      </w:r>
      <w:r>
        <w:t xml:space="preserve">broad </w:t>
      </w:r>
      <w:r w:rsidRPr="00E753FD">
        <w:t>areas: higher education, including bachelor degrees and subsequent post-grad</w:t>
      </w:r>
      <w:r>
        <w:t>uate</w:t>
      </w:r>
      <w:r w:rsidRPr="00E753FD">
        <w:t xml:space="preserve"> study; on-the-job vocational qualifications, including apprenticeships and traineeships; and vocational qualifications without an on-the-job component. The types of study that young people choose are based on their interests and needs, the cost of courses, as well as what will be valuable in the context of the broader economy and labour market.</w:t>
      </w:r>
    </w:p>
    <w:p w14:paraId="159E8F65" w14:textId="77777777" w:rsidR="008A1D27" w:rsidRPr="00E753FD" w:rsidRDefault="008A1D27" w:rsidP="008A1D27">
      <w:pPr>
        <w:spacing w:after="0"/>
      </w:pPr>
      <w:r w:rsidRPr="00E753FD">
        <w:t>Participation in education and training after leaving school is an important pathway for young people. Generally, post-school study improves long-term employment prospects and wellbeing. However, choosing to do further study also comes with potential extra burdens such as increased debt and delayed job stability. Despite requiring some extra planning and potentially prolonged dependence, an increasing proportion of young people are choosing to go into further study after they finish school.</w:t>
      </w:r>
    </w:p>
    <w:p w14:paraId="7EEFDCF2" w14:textId="77777777" w:rsidR="008A1D27" w:rsidRPr="00BC0B78" w:rsidRDefault="008A1D27" w:rsidP="008A1D27">
      <w:pPr>
        <w:pStyle w:val="ListParagraph"/>
        <w:numPr>
          <w:ilvl w:val="0"/>
          <w:numId w:val="20"/>
        </w:numPr>
        <w:spacing w:after="0" w:line="259" w:lineRule="auto"/>
        <w:contextualSpacing w:val="0"/>
        <w:outlineLvl w:val="1"/>
        <w:rPr>
          <w:rFonts w:eastAsiaTheme="majorEastAsia" w:cstheme="majorBidi"/>
          <w:bCs/>
          <w:vanish/>
          <w:sz w:val="16"/>
          <w:szCs w:val="16"/>
        </w:rPr>
      </w:pPr>
      <w:bookmarkStart w:id="69" w:name="_Toc22809376"/>
      <w:bookmarkStart w:id="70" w:name="_Toc22810233"/>
      <w:bookmarkStart w:id="71" w:name="_Toc22810457"/>
      <w:bookmarkStart w:id="72" w:name="_Toc22810748"/>
      <w:bookmarkStart w:id="73" w:name="_Toc22810839"/>
      <w:bookmarkStart w:id="74" w:name="_Toc22811013"/>
      <w:bookmarkStart w:id="75" w:name="_Toc22811121"/>
      <w:bookmarkStart w:id="76" w:name="_Toc22827264"/>
      <w:bookmarkStart w:id="77" w:name="_Toc22827317"/>
      <w:bookmarkStart w:id="78" w:name="_Toc22827716"/>
      <w:bookmarkStart w:id="79" w:name="_Toc22827771"/>
      <w:bookmarkStart w:id="80" w:name="_Toc22827808"/>
      <w:bookmarkStart w:id="81" w:name="_Toc22827988"/>
      <w:bookmarkStart w:id="82" w:name="_Toc22885540"/>
      <w:bookmarkStart w:id="83" w:name="_Toc22901416"/>
      <w:bookmarkStart w:id="84" w:name="_Toc23232740"/>
      <w:bookmarkStart w:id="85" w:name="_Toc23237611"/>
      <w:bookmarkStart w:id="86" w:name="_Toc31612119"/>
      <w:bookmarkStart w:id="87" w:name="_Toc31878827"/>
      <w:bookmarkStart w:id="88" w:name="_Toc3187886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2FC2626" w14:textId="77777777" w:rsidR="008A1D27" w:rsidRDefault="008A1D27" w:rsidP="008A1D27">
      <w:pPr>
        <w:pStyle w:val="Heading2"/>
        <w:keepNext w:val="0"/>
        <w:keepLines w:val="0"/>
        <w:numPr>
          <w:ilvl w:val="1"/>
          <w:numId w:val="20"/>
        </w:numPr>
        <w:spacing w:before="0" w:line="259" w:lineRule="auto"/>
        <w:ind w:left="425" w:hanging="425"/>
      </w:pPr>
      <w:r>
        <w:t xml:space="preserve"> </w:t>
      </w:r>
      <w:bookmarkStart w:id="89" w:name="_Toc31878862"/>
      <w:r>
        <w:t>Participation in post school study</w:t>
      </w:r>
      <w:bookmarkEnd w:id="89"/>
    </w:p>
    <w:p w14:paraId="2E5071EC" w14:textId="77777777" w:rsidR="008A1D27" w:rsidRPr="00E753FD" w:rsidRDefault="008A1D27" w:rsidP="008A1D27">
      <w:r w:rsidRPr="00E753FD">
        <w:t xml:space="preserve">With significant social and economic changes in Australia in the last two decades, </w:t>
      </w:r>
      <w:r w:rsidR="007742C0">
        <w:t xml:space="preserve">characterised by </w:t>
      </w:r>
      <w:r w:rsidR="00520987">
        <w:t>a</w:t>
      </w:r>
      <w:r w:rsidR="007742C0">
        <w:t xml:space="preserve"> period of extended growth which included </w:t>
      </w:r>
      <w:r w:rsidRPr="00E753FD">
        <w:t>two economic downturns, successive Australian governments have recognised the importance of building a highly trained and qualified workforce to meet the needs of the Australian economy.</w:t>
      </w:r>
    </w:p>
    <w:p w14:paraId="5F2F36B6" w14:textId="77777777" w:rsidR="008A1D27" w:rsidRDefault="008A1D27" w:rsidP="008A1D27">
      <w:r w:rsidRPr="00E753FD">
        <w:t>This is reflected in a high proportion of young people undertaking post-school education. Overall, almost 93% of young people from the Y09 cohort reported participating in some form of post-school study by age 22, compared to 87% of the Y95 cohort (</w:t>
      </w:r>
      <w:r w:rsidR="00CC7CAE">
        <w:fldChar w:fldCharType="begin"/>
      </w:r>
      <w:r w:rsidR="00CC7CAE">
        <w:instrText xml:space="preserve"> REF _Ref31816458 \h </w:instrText>
      </w:r>
      <w:r w:rsidR="00CC7CAE">
        <w:fldChar w:fldCharType="separate"/>
      </w:r>
      <w:r w:rsidR="00433E17" w:rsidRPr="00DA0CBE">
        <w:t xml:space="preserve">Figure </w:t>
      </w:r>
      <w:r w:rsidR="00433E17">
        <w:rPr>
          <w:noProof/>
        </w:rPr>
        <w:t>3</w:t>
      </w:r>
      <w:r w:rsidR="00433E17" w:rsidRPr="00DA0CBE">
        <w:t>.</w:t>
      </w:r>
      <w:r w:rsidR="00433E17">
        <w:rPr>
          <w:noProof/>
        </w:rPr>
        <w:t>1</w:t>
      </w:r>
      <w:r w:rsidR="00CC7CAE">
        <w:fldChar w:fldCharType="end"/>
      </w:r>
      <w:r w:rsidRPr="00E753FD">
        <w:t>). Participation in post school study is not only increasing among those who complete Year 12, but also those who leave school early. Post-school qualifications are becoming increasingly important for early school leavers, as finding employment for this group has become more difficult under the tight labour market conditions since the global financial crisis (GFC). In addition, Commonwealth policies such as “Earn or Learn” have augmented the pressure on young people to participate in post-school study as a condition of rec</w:t>
      </w:r>
      <w:bookmarkStart w:id="90" w:name="_Ref20832710"/>
      <w:bookmarkStart w:id="91" w:name="_Toc529882170"/>
      <w:bookmarkStart w:id="92" w:name="_Toc529882474"/>
      <w:r>
        <w:t>eipt of income support payments.</w:t>
      </w:r>
    </w:p>
    <w:p w14:paraId="3152C500" w14:textId="77777777" w:rsidR="008A1D27" w:rsidRDefault="008A1D27" w:rsidP="008A1D27">
      <w:r w:rsidRPr="00E753FD">
        <w:t xml:space="preserve">The overall increase in post-school education reflects </w:t>
      </w:r>
      <w:r>
        <w:t>a number of</w:t>
      </w:r>
      <w:r w:rsidRPr="00E753FD">
        <w:t xml:space="preserve"> policies of successive governments that have aimed to</w:t>
      </w:r>
      <w:r w:rsidR="00CC7CAE">
        <w:t xml:space="preserve"> increase participation in post-</w:t>
      </w:r>
      <w:r w:rsidRPr="00E753FD">
        <w:t xml:space="preserve">school study. These policies have not only promoted participation, but have also expanded access by providing greater flexibility and a wider variety of options for financial assistance. For example, Commonwealth Supported Places (CSPs) was created in 2005 to subsidise tuition costs for higher education students. This complements FEE-HELP, which was created to assist full fee-paying students to attend university. In 2009, FEE-HELP was expanded to include VET FEE-HELP, extending the loan system to those in vocational courses. In 2012, the government moved to a demand driven university funding system, lifting previously imposed caps on the allocation of university places. </w:t>
      </w:r>
    </w:p>
    <w:p w14:paraId="4F5C6585" w14:textId="77777777" w:rsidR="00E32186" w:rsidRDefault="00E32186" w:rsidP="008A1D27"/>
    <w:p w14:paraId="26AF74F6" w14:textId="77777777" w:rsidR="00E32186" w:rsidRDefault="00E32186" w:rsidP="008A1D27"/>
    <w:p w14:paraId="3426CC72" w14:textId="77777777" w:rsidR="00E32186" w:rsidRPr="00E753FD" w:rsidRDefault="00E32186" w:rsidP="008A1D27"/>
    <w:p w14:paraId="4F7E0B67" w14:textId="77777777" w:rsidR="00E32186" w:rsidRPr="00DA0CBE" w:rsidRDefault="008A1D27" w:rsidP="00DA0CBE">
      <w:pPr>
        <w:pStyle w:val="Figuretitle"/>
      </w:pPr>
      <w:bookmarkStart w:id="93" w:name="_Ref31816458"/>
      <w:bookmarkStart w:id="94" w:name="_Toc31878790"/>
      <w:r w:rsidRPr="00DA0CBE">
        <w:lastRenderedPageBreak/>
        <w:t xml:space="preserve">Figure </w:t>
      </w:r>
      <w:fldSimple w:instr=" STYLEREF 1 \s ">
        <w:r w:rsidR="00433E17">
          <w:rPr>
            <w:noProof/>
          </w:rPr>
          <w:t>3</w:t>
        </w:r>
      </w:fldSimple>
      <w:r w:rsidRPr="00DA0CBE">
        <w:t>.</w:t>
      </w:r>
      <w:fldSimple w:instr=" SEQ Figure \* ARABIC \s 1 ">
        <w:r w:rsidR="00433E17">
          <w:rPr>
            <w:noProof/>
          </w:rPr>
          <w:t>1</w:t>
        </w:r>
      </w:fldSimple>
      <w:bookmarkEnd w:id="90"/>
      <w:bookmarkEnd w:id="93"/>
      <w:r w:rsidRPr="00DA0CBE">
        <w:t>: Participation in any post school study by age 22</w:t>
      </w:r>
      <w:bookmarkEnd w:id="91"/>
      <w:bookmarkEnd w:id="92"/>
      <w:bookmarkEnd w:id="94"/>
    </w:p>
    <w:p w14:paraId="31884E07" w14:textId="77777777" w:rsidR="00664868" w:rsidRDefault="00664868" w:rsidP="008A1D27">
      <w:pPr>
        <w:rPr>
          <w:rFonts w:cstheme="minorHAnsi"/>
          <w:b/>
          <w:sz w:val="20"/>
          <w:szCs w:val="20"/>
        </w:rPr>
      </w:pPr>
      <w:r>
        <w:rPr>
          <w:noProof/>
          <w:lang w:eastAsia="en-AU"/>
        </w:rPr>
        <w:drawing>
          <wp:inline distT="0" distB="0" distL="0" distR="0" wp14:anchorId="1231C3A7" wp14:editId="6DC55B87">
            <wp:extent cx="4914900" cy="3563303"/>
            <wp:effectExtent l="0" t="0" r="0" b="0"/>
            <wp:docPr id="37" name="Picture 37" descr="Figure 3.1 shows that the proportion of young people enrolling in post school study by the age of 22 has increased over time, with this trend driven by the increased enrolments of early school l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9661" cy="3574005"/>
                    </a:xfrm>
                    <a:prstGeom prst="rect">
                      <a:avLst/>
                    </a:prstGeom>
                  </pic:spPr>
                </pic:pic>
              </a:graphicData>
            </a:graphic>
          </wp:inline>
        </w:drawing>
      </w:r>
    </w:p>
    <w:p w14:paraId="552633B0" w14:textId="77777777" w:rsidR="00664868" w:rsidRPr="00664868" w:rsidRDefault="008A1D27" w:rsidP="008A1D27">
      <w:pPr>
        <w:rPr>
          <w:rFonts w:cstheme="minorHAnsi"/>
          <w:sz w:val="20"/>
          <w:szCs w:val="20"/>
        </w:rPr>
      </w:pPr>
      <w:r w:rsidRPr="00DA08D8">
        <w:rPr>
          <w:rFonts w:cstheme="minorHAnsi"/>
          <w:b/>
          <w:sz w:val="20"/>
          <w:szCs w:val="20"/>
        </w:rPr>
        <w:t xml:space="preserve">Note: </w:t>
      </w:r>
      <w:r w:rsidRPr="007B2A83">
        <w:rPr>
          <w:rFonts w:cstheme="minorHAnsi"/>
          <w:sz w:val="20"/>
          <w:szCs w:val="20"/>
        </w:rPr>
        <w:t>Bracketed year is the year of measurement for the cohort</w:t>
      </w:r>
    </w:p>
    <w:p w14:paraId="3599DC47" w14:textId="77777777" w:rsidR="008A1D27" w:rsidRPr="00E753FD" w:rsidRDefault="008A1D27" w:rsidP="008A1D27">
      <w:r w:rsidRPr="00E753FD">
        <w:t>The increase in post-school education has not occurred equally across sectors. While the higher education sector has expanded, the vocational sector has tended to experience little, if any, change in enrolments (</w:t>
      </w:r>
      <w:r w:rsidR="00CC7CAE">
        <w:fldChar w:fldCharType="begin"/>
      </w:r>
      <w:r w:rsidR="00CC7CAE">
        <w:instrText xml:space="preserve"> REF _Ref31816507 \h </w:instrText>
      </w:r>
      <w:r w:rsidR="00CC7CAE">
        <w:fldChar w:fldCharType="separate"/>
      </w:r>
      <w:r w:rsidR="00433E17" w:rsidRPr="00DA0CBE">
        <w:t xml:space="preserve">Figure </w:t>
      </w:r>
      <w:r w:rsidR="00433E17">
        <w:rPr>
          <w:noProof/>
        </w:rPr>
        <w:t>3</w:t>
      </w:r>
      <w:r w:rsidR="00433E17" w:rsidRPr="00DA0CBE">
        <w:t>.</w:t>
      </w:r>
      <w:r w:rsidR="00433E17">
        <w:rPr>
          <w:noProof/>
        </w:rPr>
        <w:t>2</w:t>
      </w:r>
      <w:r w:rsidR="00CC7CAE">
        <w:fldChar w:fldCharType="end"/>
      </w:r>
      <w:r w:rsidRPr="00E753FD">
        <w:t>).</w:t>
      </w:r>
    </w:p>
    <w:p w14:paraId="6AA45480" w14:textId="77777777" w:rsidR="00D05268" w:rsidRDefault="008A1D27" w:rsidP="00664868">
      <w:pPr>
        <w:pStyle w:val="Figuretitle"/>
      </w:pPr>
      <w:bookmarkStart w:id="95" w:name="_Ref31816507"/>
      <w:bookmarkStart w:id="96" w:name="_Toc529882171"/>
      <w:bookmarkStart w:id="97" w:name="_Toc529882475"/>
      <w:bookmarkStart w:id="98" w:name="_Toc31878791"/>
      <w:r w:rsidRPr="00DA0CBE">
        <w:t xml:space="preserve">Figure </w:t>
      </w:r>
      <w:fldSimple w:instr=" STYLEREF 1 \s ">
        <w:r w:rsidR="00433E17">
          <w:rPr>
            <w:noProof/>
          </w:rPr>
          <w:t>3</w:t>
        </w:r>
      </w:fldSimple>
      <w:r w:rsidRPr="00DA0CBE">
        <w:t>.</w:t>
      </w:r>
      <w:fldSimple w:instr=" SEQ Figure \* ARABIC \s 1 ">
        <w:r w:rsidR="00433E17">
          <w:rPr>
            <w:noProof/>
          </w:rPr>
          <w:t>2</w:t>
        </w:r>
      </w:fldSimple>
      <w:bookmarkEnd w:id="95"/>
      <w:r w:rsidRPr="00DA0CBE">
        <w:t>: Participation in post-school study sectors by age 22</w:t>
      </w:r>
      <w:bookmarkEnd w:id="96"/>
      <w:bookmarkEnd w:id="97"/>
      <w:bookmarkEnd w:id="98"/>
    </w:p>
    <w:p w14:paraId="3D4AA1FE" w14:textId="77777777" w:rsidR="002D7974" w:rsidRPr="00664868" w:rsidRDefault="002D7974" w:rsidP="00664868">
      <w:pPr>
        <w:pStyle w:val="Figuretitle"/>
      </w:pPr>
      <w:r>
        <w:rPr>
          <w:noProof/>
          <w:lang w:eastAsia="en-AU"/>
        </w:rPr>
        <w:drawing>
          <wp:inline distT="0" distB="0" distL="0" distR="0" wp14:anchorId="1596FCAB" wp14:editId="5C67D88D">
            <wp:extent cx="5090160" cy="2479675"/>
            <wp:effectExtent l="0" t="0" r="0" b="0"/>
            <wp:docPr id="17" name="Picture 17" descr="Figure 3.2 shows the relative increase in higher education enrolments over time, while Apprenticeships and non- Apprenticeship VET have stayed comparatively steady between 2003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8371" cy="2483675"/>
                    </a:xfrm>
                    <a:prstGeom prst="rect">
                      <a:avLst/>
                    </a:prstGeom>
                  </pic:spPr>
                </pic:pic>
              </a:graphicData>
            </a:graphic>
          </wp:inline>
        </w:drawing>
      </w:r>
    </w:p>
    <w:p w14:paraId="733571E6" w14:textId="77777777" w:rsidR="008A1D27" w:rsidRDefault="008A1D27" w:rsidP="008A1D27">
      <w:pPr>
        <w:spacing w:after="0"/>
        <w:rPr>
          <w:rFonts w:cstheme="minorHAnsi"/>
          <w:sz w:val="20"/>
          <w:szCs w:val="20"/>
        </w:rPr>
      </w:pPr>
      <w:r w:rsidRPr="00DA08D8">
        <w:rPr>
          <w:rFonts w:cstheme="minorHAnsi"/>
          <w:b/>
          <w:sz w:val="20"/>
          <w:szCs w:val="20"/>
        </w:rPr>
        <w:t xml:space="preserve">Note: </w:t>
      </w:r>
      <w:r w:rsidRPr="007B2A83">
        <w:rPr>
          <w:rFonts w:cstheme="minorHAnsi"/>
          <w:sz w:val="20"/>
          <w:szCs w:val="20"/>
        </w:rPr>
        <w:t>Bracketed year is the year of measurement for the coho</w:t>
      </w:r>
      <w:r>
        <w:rPr>
          <w:rFonts w:cstheme="minorHAnsi"/>
          <w:sz w:val="20"/>
          <w:szCs w:val="20"/>
        </w:rPr>
        <w:t>rt</w:t>
      </w:r>
    </w:p>
    <w:p w14:paraId="645F8295" w14:textId="77777777" w:rsidR="008A1D27" w:rsidRPr="00DA08D8" w:rsidRDefault="008A1D27" w:rsidP="008A1D27">
      <w:pPr>
        <w:rPr>
          <w:rFonts w:cstheme="minorHAnsi"/>
          <w:sz w:val="20"/>
          <w:szCs w:val="20"/>
        </w:rPr>
      </w:pPr>
      <w:r>
        <w:rPr>
          <w:sz w:val="20"/>
        </w:rPr>
        <w:t>*</w:t>
      </w:r>
      <w:r w:rsidRPr="007E4B03">
        <w:rPr>
          <w:sz w:val="20"/>
        </w:rPr>
        <w:t>Data is</w:t>
      </w:r>
      <w:r>
        <w:rPr>
          <w:sz w:val="20"/>
        </w:rPr>
        <w:t xml:space="preserve"> from LSAY survey responses and may not be comparable to</w:t>
      </w:r>
      <w:r w:rsidRPr="007E4B03">
        <w:rPr>
          <w:sz w:val="20"/>
        </w:rPr>
        <w:t xml:space="preserve"> official higher education and VET statistics</w:t>
      </w:r>
    </w:p>
    <w:p w14:paraId="3F217C0D" w14:textId="77777777" w:rsidR="008A1D27" w:rsidRPr="00E753FD" w:rsidRDefault="008A1D27" w:rsidP="008A1D27">
      <w:r w:rsidRPr="00E753FD">
        <w:t>Going to university is considered an important post-school pathway for young people as it provides entry</w:t>
      </w:r>
      <w:r w:rsidR="00B858B7">
        <w:t xml:space="preserve"> to professional and other higher </w:t>
      </w:r>
      <w:r w:rsidR="006A4932">
        <w:t>skilled</w:t>
      </w:r>
      <w:r w:rsidRPr="00E753FD">
        <w:t xml:space="preserve"> occupations. University has consistently been the preferred post-school destination, with around 60 per cent of the Y09 cohort undertaking higher education in 2016. It is therefore not surprising that the introduction of access-expanding higher education policies has led to a </w:t>
      </w:r>
      <w:r w:rsidRPr="00E753FD">
        <w:lastRenderedPageBreak/>
        <w:t>rapid increase in participation in higher education. At the same time, participation in apprenticeships, traineeships and other vocational courses has gradually declined. While some of the decline seen in voc</w:t>
      </w:r>
      <w:r w:rsidR="00E70E40">
        <w:t>ational study—particularly for A</w:t>
      </w:r>
      <w:r w:rsidRPr="00E753FD">
        <w:t>pprenticeships—is likely due to the winding down of the mining boom and manufacturing industry, it is likely that some young people who might otherwise have studied vocationally are instead going into the expanded higher education system.</w:t>
      </w:r>
    </w:p>
    <w:p w14:paraId="02A0C41C" w14:textId="77777777" w:rsidR="008A1D27" w:rsidRPr="00E753FD" w:rsidRDefault="008A1D27" w:rsidP="008A1D27">
      <w:r w:rsidRPr="00E753FD">
        <w:t>Higher education policy has also aimed to make attending university a more viable option for disadvantaged groups such as Indigenous, low SES and non-metropolitan young people. The Higher Education Participation and Partnerships Program (HEPPP), implemented in 2010, provides funding to assist some universities to undertake activities and implement strategies that improve access to undergraduate courses for people from low SES backgrounds and improve the retention and completion rates of those students.</w:t>
      </w:r>
    </w:p>
    <w:p w14:paraId="6C90214A" w14:textId="77777777" w:rsidR="00E32186" w:rsidRPr="00DA0CBE" w:rsidRDefault="008A1D27" w:rsidP="00DA0CBE">
      <w:pPr>
        <w:pStyle w:val="Figuretitle"/>
      </w:pPr>
      <w:bookmarkStart w:id="99" w:name="_Ref31816604"/>
      <w:bookmarkStart w:id="100" w:name="_Toc529882172"/>
      <w:bookmarkStart w:id="101" w:name="_Toc529882476"/>
      <w:bookmarkStart w:id="102" w:name="_Toc31878792"/>
      <w:r w:rsidRPr="00DA0CBE">
        <w:t xml:space="preserve">Figure </w:t>
      </w:r>
      <w:fldSimple w:instr=" STYLEREF 1 \s ">
        <w:r w:rsidR="00433E17">
          <w:rPr>
            <w:noProof/>
          </w:rPr>
          <w:t>3</w:t>
        </w:r>
      </w:fldSimple>
      <w:r w:rsidRPr="00DA0CBE">
        <w:t>.</w:t>
      </w:r>
      <w:fldSimple w:instr=" SEQ Figure \* ARABIC \s 1 ">
        <w:r w:rsidR="00433E17">
          <w:rPr>
            <w:noProof/>
          </w:rPr>
          <w:t>3</w:t>
        </w:r>
      </w:fldSimple>
      <w:bookmarkEnd w:id="99"/>
      <w:r w:rsidRPr="00DA0CBE">
        <w:t>: Participation in higher education by age 22 by disadvantaged groups</w:t>
      </w:r>
      <w:bookmarkEnd w:id="100"/>
      <w:bookmarkEnd w:id="101"/>
      <w:bookmarkEnd w:id="102"/>
    </w:p>
    <w:p w14:paraId="7059F9C9" w14:textId="77777777" w:rsidR="00C845E9" w:rsidRDefault="00C845E9" w:rsidP="00C845E9">
      <w:pPr>
        <w:spacing w:after="0"/>
        <w:rPr>
          <w:rFonts w:cstheme="minorHAnsi"/>
          <w:sz w:val="20"/>
          <w:szCs w:val="20"/>
        </w:rPr>
      </w:pPr>
      <w:r>
        <w:rPr>
          <w:noProof/>
          <w:lang w:eastAsia="en-AU"/>
        </w:rPr>
        <w:drawing>
          <wp:inline distT="0" distB="0" distL="0" distR="0" wp14:anchorId="16EB8E6A" wp14:editId="65C32F47">
            <wp:extent cx="5165271" cy="3563499"/>
            <wp:effectExtent l="0" t="0" r="0" b="0"/>
            <wp:docPr id="13" name="Picture 13" descr="Figure 3.3 shows the proportion of higher education enrolments for low SES, low achievement and non-metropolitan groups at age 22. It depicts the rapid increase in enrolments for low SES students between 2010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6103" cy="3564073"/>
                    </a:xfrm>
                    <a:prstGeom prst="rect">
                      <a:avLst/>
                    </a:prstGeom>
                  </pic:spPr>
                </pic:pic>
              </a:graphicData>
            </a:graphic>
          </wp:inline>
        </w:drawing>
      </w:r>
    </w:p>
    <w:p w14:paraId="46D08623" w14:textId="77777777" w:rsidR="008A1D27" w:rsidRDefault="008A1D27" w:rsidP="00C845E9">
      <w:pPr>
        <w:spacing w:after="0"/>
        <w:rPr>
          <w:rFonts w:cstheme="minorHAnsi"/>
          <w:sz w:val="20"/>
          <w:szCs w:val="20"/>
        </w:rPr>
      </w:pPr>
      <w:r w:rsidRPr="00DA08D8">
        <w:rPr>
          <w:rFonts w:cstheme="minorHAnsi"/>
          <w:b/>
          <w:sz w:val="20"/>
          <w:szCs w:val="20"/>
        </w:rPr>
        <w:t xml:space="preserve">Note: </w:t>
      </w:r>
      <w:r w:rsidRPr="00207D27">
        <w:rPr>
          <w:rFonts w:cstheme="minorHAnsi"/>
          <w:sz w:val="20"/>
          <w:szCs w:val="20"/>
        </w:rPr>
        <w:t>Bracketed year is the year of measurement for the cohort</w:t>
      </w:r>
    </w:p>
    <w:p w14:paraId="48B6B8C4" w14:textId="77777777" w:rsidR="008A1D27" w:rsidRDefault="008A1D27" w:rsidP="00C845E9">
      <w:pPr>
        <w:spacing w:after="0"/>
        <w:rPr>
          <w:rFonts w:cstheme="minorHAnsi"/>
          <w:sz w:val="20"/>
          <w:szCs w:val="20"/>
        </w:rPr>
      </w:pPr>
      <w:r>
        <w:rPr>
          <w:rFonts w:cstheme="minorHAnsi"/>
          <w:sz w:val="20"/>
          <w:szCs w:val="20"/>
        </w:rPr>
        <w:t>*L</w:t>
      </w:r>
      <w:r w:rsidRPr="00B37A0A">
        <w:rPr>
          <w:rFonts w:cstheme="minorHAnsi"/>
          <w:sz w:val="20"/>
          <w:szCs w:val="20"/>
        </w:rPr>
        <w:t>ow achievement refers to those in the lowest quarter for PISA reading achievement</w:t>
      </w:r>
    </w:p>
    <w:p w14:paraId="24DB1F0E" w14:textId="77777777" w:rsidR="00C845E9" w:rsidRPr="00B37A0A" w:rsidRDefault="00C845E9" w:rsidP="00C845E9">
      <w:pPr>
        <w:spacing w:after="0"/>
        <w:rPr>
          <w:rFonts w:cstheme="minorHAnsi"/>
          <w:sz w:val="20"/>
          <w:szCs w:val="20"/>
        </w:rPr>
      </w:pPr>
    </w:p>
    <w:p w14:paraId="05432C7D" w14:textId="77777777" w:rsidR="008A1D27" w:rsidRPr="00E753FD" w:rsidRDefault="008A1D27" w:rsidP="008A1D27">
      <w:r w:rsidRPr="00E753FD">
        <w:t>While the increase in participation seen for low achieving and non-metropolitan young people has been modest (</w:t>
      </w:r>
      <w:r w:rsidR="00CC7CAE">
        <w:fldChar w:fldCharType="begin"/>
      </w:r>
      <w:r w:rsidR="00CC7CAE">
        <w:instrText xml:space="preserve"> REF _Ref31816604 \h </w:instrText>
      </w:r>
      <w:r w:rsidR="00CC7CAE">
        <w:fldChar w:fldCharType="separate"/>
      </w:r>
      <w:r w:rsidR="00433E17" w:rsidRPr="00DA0CBE">
        <w:t xml:space="preserve">Figure </w:t>
      </w:r>
      <w:r w:rsidR="00433E17">
        <w:rPr>
          <w:noProof/>
        </w:rPr>
        <w:t>3</w:t>
      </w:r>
      <w:r w:rsidR="00433E17" w:rsidRPr="00DA0CBE">
        <w:t>.</w:t>
      </w:r>
      <w:r w:rsidR="00433E17">
        <w:rPr>
          <w:noProof/>
        </w:rPr>
        <w:t>3</w:t>
      </w:r>
      <w:r w:rsidR="00CC7CAE">
        <w:fldChar w:fldCharType="end"/>
      </w:r>
      <w:r w:rsidRPr="00E753FD">
        <w:t>), there has been a relatively steep increase in participation among young people from low SES backgrounds, particularly following the introduction of the HEPPP and the move to a demand driven system. The relatively small increase seen in the non-metropolitan and low achieving</w:t>
      </w:r>
      <w:r>
        <w:t>*</w:t>
      </w:r>
      <w:r w:rsidRPr="00E753FD">
        <w:t xml:space="preserve"> groups likely reflects the ongoing presence of the barriers faced by these young people in going to university, including issues of access, different aspirations and societal expectations, and lower university entrance scores.</w:t>
      </w:r>
    </w:p>
    <w:p w14:paraId="7D0E6710" w14:textId="77777777" w:rsidR="008A1D27" w:rsidRPr="00E753FD" w:rsidRDefault="008A1D27" w:rsidP="008A1D27">
      <w:r w:rsidRPr="00E753FD">
        <w:t xml:space="preserve">Though not shown in the graph due to sample size limitations, participation of Indigenous young people in higher education has seen an increase in recent years; however, they are still underrepresented in the Australian university population. In 2017, Australian universities rolled out a national strategy to increase Indigenous representation in higher education by 50 per cent above the growth rate of non-Indigenous </w:t>
      </w:r>
      <w:r w:rsidRPr="00E753FD">
        <w:lastRenderedPageBreak/>
        <w:t>students and set targets of equal completion rates for Indigenous and non-Indigenous students.</w:t>
      </w:r>
      <w:r w:rsidR="001D176F">
        <w:t xml:space="preserve"> At </w:t>
      </w:r>
      <w:r w:rsidR="00D05485">
        <w:t>the time this report was published</w:t>
      </w:r>
      <w:r w:rsidR="001D176F">
        <w:t xml:space="preserve"> it is too early to see outcomes from this policy.</w:t>
      </w:r>
    </w:p>
    <w:p w14:paraId="2C94BEBC" w14:textId="77777777" w:rsidR="008A1D27" w:rsidRPr="00E753FD" w:rsidRDefault="008A1D27" w:rsidP="008A1D27">
      <w:r w:rsidRPr="00E753FD">
        <w:t xml:space="preserve">Despite the </w:t>
      </w:r>
      <w:r>
        <w:t>lack of growth</w:t>
      </w:r>
      <w:r w:rsidRPr="00E753FD">
        <w:t xml:space="preserve"> in total VET enrolments, the importance of the VET sector has increased in recent years as a way for vulnerable young people to remain engaged in a difficult labour market (</w:t>
      </w:r>
      <w:r w:rsidR="00555DD0">
        <w:fldChar w:fldCharType="begin"/>
      </w:r>
      <w:r w:rsidR="00555DD0">
        <w:instrText xml:space="preserve"> REF _Ref31878423 \h </w:instrText>
      </w:r>
      <w:r w:rsidR="00555DD0">
        <w:fldChar w:fldCharType="separate"/>
      </w:r>
      <w:r w:rsidR="00433E17" w:rsidRPr="00DA0CBE">
        <w:t xml:space="preserve">Figure </w:t>
      </w:r>
      <w:r w:rsidR="00433E17">
        <w:rPr>
          <w:noProof/>
        </w:rPr>
        <w:t>3</w:t>
      </w:r>
      <w:r w:rsidR="00433E17" w:rsidRPr="00DA0CBE">
        <w:t>.</w:t>
      </w:r>
      <w:r w:rsidR="00433E17">
        <w:rPr>
          <w:noProof/>
        </w:rPr>
        <w:t>4</w:t>
      </w:r>
      <w:r w:rsidR="00555DD0">
        <w:fldChar w:fldCharType="end"/>
      </w:r>
      <w:r w:rsidRPr="00E753FD">
        <w:t xml:space="preserve">). The job market for young people was particularly difficult following the GFC, and this was especially true for those who were fresh out of school, unskilled and had low educational attainment. </w:t>
      </w:r>
    </w:p>
    <w:p w14:paraId="6165F7C1" w14:textId="77777777" w:rsidR="008A1D27" w:rsidRPr="00E753FD" w:rsidRDefault="008A1D27" w:rsidP="008A1D27">
      <w:r w:rsidRPr="00E753FD">
        <w:t xml:space="preserve">Early school leavers choose to do apprenticeships and traineeships at a higher rate than those who complete year 12, as they provide a </w:t>
      </w:r>
      <w:r>
        <w:t xml:space="preserve">direct </w:t>
      </w:r>
      <w:r w:rsidRPr="00E753FD">
        <w:t>pathway into work and allow young people to earn money while they learn valuable skills. Often these benefits, along with disengagement from schooling, contribute to the choice to leave school in the first place.</w:t>
      </w:r>
      <w:r w:rsidRPr="00A75851">
        <w:t xml:space="preserve"> </w:t>
      </w:r>
      <w:r>
        <w:t>Fortunately, e</w:t>
      </w:r>
      <w:r w:rsidR="00E70E40">
        <w:t>ntering an A</w:t>
      </w:r>
      <w:r w:rsidRPr="00632112">
        <w:t xml:space="preserve">pprenticeship early as an alternative to completing school appears to </w:t>
      </w:r>
      <w:r>
        <w:t>offset</w:t>
      </w:r>
      <w:r w:rsidRPr="00632112">
        <w:t xml:space="preserve"> the </w:t>
      </w:r>
      <w:r>
        <w:t xml:space="preserve">potential employment </w:t>
      </w:r>
      <w:r w:rsidRPr="00632112">
        <w:t>disadvantage</w:t>
      </w:r>
      <w:r>
        <w:t>s</w:t>
      </w:r>
      <w:r w:rsidRPr="00632112">
        <w:t xml:space="preserve"> of not completing </w:t>
      </w:r>
      <w:r>
        <w:t>y</w:t>
      </w:r>
      <w:r w:rsidRPr="00632112">
        <w:t>ear 12.</w:t>
      </w:r>
    </w:p>
    <w:p w14:paraId="1FDE8F91" w14:textId="77777777" w:rsidR="008A1D27" w:rsidRPr="00E753FD" w:rsidRDefault="008A1D27" w:rsidP="008A1D27">
      <w:r w:rsidRPr="00E753FD">
        <w:t>Similarly, low achieving students have also felt the pinch of the job market when they finish school. With fewer jobs and an increasing proportion of stude</w:t>
      </w:r>
      <w:r w:rsidR="00E70E40">
        <w:t>nts choosing higher education, A</w:t>
      </w:r>
      <w:r w:rsidRPr="00E753FD">
        <w:t>pprenticeships have provided a good way for low achieving students to participate in further education and be competitive in the job market</w:t>
      </w:r>
      <w:r w:rsidR="00544DA1">
        <w:rPr>
          <w:rStyle w:val="FootnoteReference"/>
        </w:rPr>
        <w:footnoteReference w:id="10"/>
      </w:r>
      <w:r w:rsidRPr="00E753FD">
        <w:t>.</w:t>
      </w:r>
      <w:r w:rsidR="00C75D84">
        <w:t xml:space="preserve">  </w:t>
      </w:r>
      <w:r w:rsidR="00C75D84" w:rsidRPr="002D7974">
        <w:t>The falling participation in apprenticeships and traineeships amongst lower SES can be explained by the increasing proportion choosing to pursue higher education (</w:t>
      </w:r>
      <w:r w:rsidR="00555DD0" w:rsidRPr="002D7974">
        <w:fldChar w:fldCharType="begin"/>
      </w:r>
      <w:r w:rsidR="00555DD0" w:rsidRPr="002D7974">
        <w:instrText xml:space="preserve"> REF _Ref31816604 \h  \* MERGEFORMAT </w:instrText>
      </w:r>
      <w:r w:rsidR="00555DD0" w:rsidRPr="002D7974">
        <w:fldChar w:fldCharType="separate"/>
      </w:r>
      <w:r w:rsidR="00433E17" w:rsidRPr="00DA0CBE">
        <w:t xml:space="preserve">Figure </w:t>
      </w:r>
      <w:r w:rsidR="00433E17">
        <w:t>3</w:t>
      </w:r>
      <w:r w:rsidR="00433E17" w:rsidRPr="00DA0CBE">
        <w:t>.</w:t>
      </w:r>
      <w:r w:rsidR="00433E17">
        <w:t>3</w:t>
      </w:r>
      <w:r w:rsidR="00555DD0" w:rsidRPr="002D7974">
        <w:fldChar w:fldCharType="end"/>
      </w:r>
      <w:r w:rsidR="00C75D84" w:rsidRPr="002D7974">
        <w:t>)</w:t>
      </w:r>
    </w:p>
    <w:p w14:paraId="38366918" w14:textId="77777777" w:rsidR="00131AE5" w:rsidRPr="00DA0CBE" w:rsidRDefault="008A1D27" w:rsidP="00DA0CBE">
      <w:pPr>
        <w:pStyle w:val="Figuretitle"/>
      </w:pPr>
      <w:bookmarkStart w:id="103" w:name="_Ref31878423"/>
      <w:bookmarkStart w:id="104" w:name="_Toc529882173"/>
      <w:bookmarkStart w:id="105" w:name="_Toc529882477"/>
      <w:bookmarkStart w:id="106" w:name="_Toc31878793"/>
      <w:r w:rsidRPr="00DA0CBE">
        <w:t xml:space="preserve">Figure </w:t>
      </w:r>
      <w:fldSimple w:instr=" STYLEREF 1 \s ">
        <w:r w:rsidR="00433E17">
          <w:rPr>
            <w:noProof/>
          </w:rPr>
          <w:t>3</w:t>
        </w:r>
      </w:fldSimple>
      <w:r w:rsidRPr="00DA0CBE">
        <w:t>.</w:t>
      </w:r>
      <w:fldSimple w:instr=" SEQ Figure \* ARABIC \s 1 ">
        <w:r w:rsidR="00433E17">
          <w:rPr>
            <w:noProof/>
          </w:rPr>
          <w:t>4</w:t>
        </w:r>
      </w:fldSimple>
      <w:bookmarkEnd w:id="103"/>
      <w:r w:rsidRPr="00DA0CBE">
        <w:t>: Participation in apprenticeships and traineeships by age 22</w:t>
      </w:r>
      <w:bookmarkEnd w:id="104"/>
      <w:bookmarkEnd w:id="105"/>
      <w:bookmarkEnd w:id="106"/>
    </w:p>
    <w:p w14:paraId="1A6A9922" w14:textId="77777777" w:rsidR="00196C66" w:rsidRDefault="00196C66" w:rsidP="008A1D27">
      <w:pPr>
        <w:spacing w:after="0"/>
        <w:rPr>
          <w:rFonts w:cstheme="minorHAnsi"/>
          <w:b/>
          <w:sz w:val="20"/>
          <w:szCs w:val="20"/>
        </w:rPr>
      </w:pPr>
      <w:r>
        <w:rPr>
          <w:noProof/>
          <w:lang w:eastAsia="en-AU"/>
        </w:rPr>
        <w:drawing>
          <wp:inline distT="0" distB="0" distL="0" distR="0" wp14:anchorId="0BF9AE88" wp14:editId="04A954ED">
            <wp:extent cx="4800600" cy="2987566"/>
            <wp:effectExtent l="0" t="0" r="0" b="3810"/>
            <wp:docPr id="42" name="Picture 42" descr="Figure 3.4 shows participation in Apprenticeships by age 22 for each cohort. The graph shows that early school leavers are considerably more likely to enrol in Apprenticeships and this proportion has grown over time. Similarly, enrolments among low achieving students have increased over time, in contrast with overall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1755" cy="2994508"/>
                    </a:xfrm>
                    <a:prstGeom prst="rect">
                      <a:avLst/>
                    </a:prstGeom>
                  </pic:spPr>
                </pic:pic>
              </a:graphicData>
            </a:graphic>
          </wp:inline>
        </w:drawing>
      </w:r>
    </w:p>
    <w:p w14:paraId="068177E9" w14:textId="77777777" w:rsidR="008A1D27" w:rsidRDefault="008A1D27" w:rsidP="008A1D27">
      <w:pPr>
        <w:spacing w:after="0"/>
        <w:rPr>
          <w:rFonts w:cstheme="minorHAnsi"/>
          <w:sz w:val="20"/>
          <w:szCs w:val="20"/>
        </w:rPr>
      </w:pPr>
      <w:r w:rsidRPr="00DA08D8">
        <w:rPr>
          <w:rFonts w:cstheme="minorHAnsi"/>
          <w:b/>
          <w:sz w:val="20"/>
          <w:szCs w:val="20"/>
        </w:rPr>
        <w:t xml:space="preserve">Note: </w:t>
      </w:r>
      <w:r w:rsidRPr="00207D27">
        <w:rPr>
          <w:rFonts w:cstheme="minorHAnsi"/>
          <w:sz w:val="20"/>
          <w:szCs w:val="20"/>
        </w:rPr>
        <w:t>Bracketed year is the year of measurement for the cohort</w:t>
      </w:r>
      <w:r w:rsidR="00D05485">
        <w:rPr>
          <w:rFonts w:cstheme="minorHAnsi"/>
          <w:sz w:val="20"/>
          <w:szCs w:val="20"/>
        </w:rPr>
        <w:t>. SES was measured differently for the Y95 and Y98 cohorts and is unable to be directly compared.</w:t>
      </w:r>
    </w:p>
    <w:p w14:paraId="2FE1CEDB" w14:textId="77777777" w:rsidR="00544DA1" w:rsidRDefault="008A1D27" w:rsidP="008A1D27">
      <w:pPr>
        <w:rPr>
          <w:rFonts w:cstheme="minorHAnsi"/>
          <w:sz w:val="20"/>
          <w:szCs w:val="20"/>
        </w:rPr>
      </w:pPr>
      <w:r>
        <w:rPr>
          <w:rFonts w:cstheme="minorHAnsi"/>
          <w:sz w:val="20"/>
          <w:szCs w:val="20"/>
        </w:rPr>
        <w:t>*L</w:t>
      </w:r>
      <w:r w:rsidRPr="00B37A0A">
        <w:rPr>
          <w:rFonts w:cstheme="minorHAnsi"/>
          <w:sz w:val="20"/>
          <w:szCs w:val="20"/>
        </w:rPr>
        <w:t>ow achievement refers to those in the lowest quarter for PISA reading achievement</w:t>
      </w:r>
    </w:p>
    <w:p w14:paraId="04C97DA8" w14:textId="77777777" w:rsidR="002D7974" w:rsidRDefault="002D7974" w:rsidP="008A1D27">
      <w:pPr>
        <w:rPr>
          <w:rFonts w:cstheme="minorHAnsi"/>
          <w:sz w:val="20"/>
          <w:szCs w:val="20"/>
        </w:rPr>
      </w:pPr>
    </w:p>
    <w:p w14:paraId="40E63E31" w14:textId="77777777" w:rsidR="002D7974" w:rsidRPr="00B37A0A" w:rsidRDefault="002D7974" w:rsidP="008A1D27">
      <w:pPr>
        <w:rPr>
          <w:rFonts w:cstheme="minorHAnsi"/>
          <w:sz w:val="20"/>
          <w:szCs w:val="20"/>
        </w:rPr>
      </w:pPr>
    </w:p>
    <w:p w14:paraId="5BECC56D" w14:textId="77777777" w:rsidR="008A1D27" w:rsidRDefault="008A1D27" w:rsidP="008A1D27">
      <w:pPr>
        <w:pStyle w:val="Heading2"/>
        <w:keepNext w:val="0"/>
        <w:keepLines w:val="0"/>
        <w:numPr>
          <w:ilvl w:val="1"/>
          <w:numId w:val="20"/>
        </w:numPr>
        <w:spacing w:before="0" w:line="259" w:lineRule="auto"/>
        <w:ind w:left="425" w:hanging="425"/>
      </w:pPr>
      <w:bookmarkStart w:id="107" w:name="_Toc22811016"/>
      <w:bookmarkStart w:id="108" w:name="_Toc22811124"/>
      <w:bookmarkStart w:id="109" w:name="_Toc22827267"/>
      <w:bookmarkStart w:id="110" w:name="_Toc22827320"/>
      <w:bookmarkStart w:id="111" w:name="_Toc22827719"/>
      <w:bookmarkStart w:id="112" w:name="_Toc22827774"/>
      <w:bookmarkStart w:id="113" w:name="_Toc22827811"/>
      <w:bookmarkStart w:id="114" w:name="_Toc22827991"/>
      <w:bookmarkStart w:id="115" w:name="_Toc22885543"/>
      <w:bookmarkStart w:id="116" w:name="_Toc31878863"/>
      <w:bookmarkEnd w:id="107"/>
      <w:bookmarkEnd w:id="108"/>
      <w:bookmarkEnd w:id="109"/>
      <w:bookmarkEnd w:id="110"/>
      <w:bookmarkEnd w:id="111"/>
      <w:bookmarkEnd w:id="112"/>
      <w:bookmarkEnd w:id="113"/>
      <w:bookmarkEnd w:id="114"/>
      <w:bookmarkEnd w:id="115"/>
      <w:r>
        <w:lastRenderedPageBreak/>
        <w:t>Field of Study</w:t>
      </w:r>
      <w:bookmarkEnd w:id="116"/>
      <w:r>
        <w:t xml:space="preserve"> </w:t>
      </w:r>
    </w:p>
    <w:p w14:paraId="255EC875" w14:textId="77777777" w:rsidR="008A1D27" w:rsidRDefault="008A1D27" w:rsidP="008A1D27">
      <w:r w:rsidRPr="00E753FD">
        <w:t xml:space="preserve">Field of study for university students is an important determining factor for both short-term and long-term career prospects. </w:t>
      </w:r>
      <w:r w:rsidR="00D05485">
        <w:t>Information on future demand</w:t>
      </w:r>
      <w:r w:rsidRPr="00E753FD">
        <w:t xml:space="preserve">, combined with </w:t>
      </w:r>
      <w:r w:rsidR="00D05485">
        <w:t xml:space="preserve">students’ </w:t>
      </w:r>
      <w:r w:rsidRPr="00E753FD">
        <w:t xml:space="preserve">preferences, aptitudes and potential competitive advantage, form the basis for their choice of field of study. </w:t>
      </w:r>
      <w:r w:rsidR="00700203">
        <w:t>Nevertheless</w:t>
      </w:r>
      <w:r w:rsidRPr="00E753FD">
        <w:t>, despite ongoing needs for skilled workers in areas such as engineering and architecture, it appears that young people’s preferences for particular fields have been relatively persistent over time.</w:t>
      </w:r>
    </w:p>
    <w:p w14:paraId="403CEC86" w14:textId="77777777" w:rsidR="008A1D27" w:rsidRPr="00E753FD" w:rsidRDefault="008A1D27" w:rsidP="008A1D27">
      <w:r w:rsidRPr="00E753FD">
        <w:t>Shifts in demand for particular fields between LSAY cohorts have been, for the most part, minimal and gradual (</w:t>
      </w:r>
      <w:r w:rsidR="00336C2C">
        <w:fldChar w:fldCharType="begin"/>
      </w:r>
      <w:r w:rsidR="00336C2C">
        <w:instrText xml:space="preserve"> REF _Ref31878494 \h </w:instrText>
      </w:r>
      <w:r w:rsidR="00336C2C">
        <w:fldChar w:fldCharType="separate"/>
      </w:r>
      <w:r w:rsidR="00433E17" w:rsidRPr="00DA0CBE">
        <w:t xml:space="preserve">Figure </w:t>
      </w:r>
      <w:r w:rsidR="00433E17">
        <w:rPr>
          <w:noProof/>
        </w:rPr>
        <w:t>3</w:t>
      </w:r>
      <w:r w:rsidR="00433E17" w:rsidRPr="00DA0CBE">
        <w:t>.</w:t>
      </w:r>
      <w:r w:rsidR="00433E17">
        <w:rPr>
          <w:noProof/>
        </w:rPr>
        <w:t>5</w:t>
      </w:r>
      <w:r w:rsidR="00336C2C">
        <w:fldChar w:fldCharType="end"/>
      </w:r>
      <w:r w:rsidRPr="00E753FD">
        <w:t xml:space="preserve">). </w:t>
      </w:r>
      <w:r w:rsidR="00E02C19">
        <w:t>Society and Culture</w:t>
      </w:r>
      <w:r w:rsidR="0009062A">
        <w:t xml:space="preserve">, which includes the subfields of </w:t>
      </w:r>
      <w:r w:rsidR="0009062A" w:rsidRPr="00E753FD">
        <w:t xml:space="preserve">Law, Political </w:t>
      </w:r>
      <w:r w:rsidR="0009062A">
        <w:t>Science, Psychology and History, h</w:t>
      </w:r>
      <w:r w:rsidRPr="00E753FD">
        <w:t xml:space="preserve">as remained the most common field and appears to have grown in popularity more recently. Interestingly, Behavioural Science courses have driven the sudden increase </w:t>
      </w:r>
      <w:r w:rsidR="0009062A">
        <w:t>in participation in Society and Culture</w:t>
      </w:r>
      <w:r w:rsidRPr="00E753FD">
        <w:t xml:space="preserve"> </w:t>
      </w:r>
      <w:r w:rsidR="0009062A">
        <w:t xml:space="preserve">between </w:t>
      </w:r>
      <w:r w:rsidRPr="00E753FD">
        <w:t>the Y06 to the Y09 LSAY cohorts. Prior to this, Law courses were the main driver of the high proportion of people studying within Society and Culture.</w:t>
      </w:r>
    </w:p>
    <w:p w14:paraId="7C4A971C" w14:textId="77777777" w:rsidR="00131AE5" w:rsidRPr="00DA0CBE" w:rsidRDefault="008A1D27" w:rsidP="00DA0CBE">
      <w:pPr>
        <w:pStyle w:val="Figuretitle"/>
      </w:pPr>
      <w:bookmarkStart w:id="117" w:name="_Ref31878494"/>
      <w:bookmarkStart w:id="118" w:name="_Toc529882174"/>
      <w:bookmarkStart w:id="119" w:name="_Toc529882478"/>
      <w:bookmarkStart w:id="120" w:name="_Toc31878794"/>
      <w:r w:rsidRPr="00DA0CBE">
        <w:t xml:space="preserve">Figure </w:t>
      </w:r>
      <w:fldSimple w:instr=" STYLEREF 1 \s ">
        <w:r w:rsidR="00433E17">
          <w:rPr>
            <w:noProof/>
          </w:rPr>
          <w:t>3</w:t>
        </w:r>
      </w:fldSimple>
      <w:r w:rsidRPr="00DA0CBE">
        <w:t>.</w:t>
      </w:r>
      <w:fldSimple w:instr=" SEQ Figure \* ARABIC \s 1 ">
        <w:r w:rsidR="00433E17">
          <w:rPr>
            <w:noProof/>
          </w:rPr>
          <w:t>5</w:t>
        </w:r>
      </w:fldSimple>
      <w:bookmarkEnd w:id="117"/>
      <w:r w:rsidRPr="00DA0CBE">
        <w:t>: Participation in higher education by field of study</w:t>
      </w:r>
      <w:bookmarkEnd w:id="118"/>
      <w:bookmarkEnd w:id="119"/>
      <w:r w:rsidR="00131AE5" w:rsidRPr="00DA0CBE">
        <w:t>*</w:t>
      </w:r>
      <w:bookmarkEnd w:id="120"/>
      <w:r w:rsidR="00131AE5" w:rsidRPr="00DA0CBE">
        <w:t xml:space="preserve"> </w:t>
      </w:r>
    </w:p>
    <w:p w14:paraId="5494037C" w14:textId="77777777" w:rsidR="007E446D" w:rsidRDefault="007E446D" w:rsidP="008A1D27">
      <w:pPr>
        <w:spacing w:after="0"/>
      </w:pPr>
      <w:r>
        <w:rPr>
          <w:noProof/>
          <w:lang w:eastAsia="en-AU"/>
        </w:rPr>
        <w:drawing>
          <wp:inline distT="0" distB="0" distL="0" distR="0" wp14:anchorId="6F2BC071" wp14:editId="7C829FAA">
            <wp:extent cx="5686425" cy="3562350"/>
            <wp:effectExtent l="0" t="0" r="9525" b="0"/>
            <wp:docPr id="15" name="Picture 15" descr="Figure 3.5 shows rates of participation in higher education qualifications by field of study for the Y03 to Y09 LSAY cohorts in order of 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6425" cy="3562350"/>
                    </a:xfrm>
                    <a:prstGeom prst="rect">
                      <a:avLst/>
                    </a:prstGeom>
                  </pic:spPr>
                </pic:pic>
              </a:graphicData>
            </a:graphic>
          </wp:inline>
        </w:drawing>
      </w:r>
    </w:p>
    <w:p w14:paraId="4D567EB1" w14:textId="77777777" w:rsidR="008A1D27" w:rsidRPr="00DA08D8" w:rsidRDefault="008A1D27" w:rsidP="008A1D27">
      <w:pPr>
        <w:rPr>
          <w:rFonts w:cstheme="minorHAnsi"/>
          <w:sz w:val="20"/>
          <w:szCs w:val="20"/>
        </w:rPr>
      </w:pPr>
      <w:r>
        <w:rPr>
          <w:sz w:val="20"/>
        </w:rPr>
        <w:t>*</w:t>
      </w:r>
      <w:r w:rsidRPr="007E4B03">
        <w:rPr>
          <w:sz w:val="20"/>
        </w:rPr>
        <w:t>Data is</w:t>
      </w:r>
      <w:r>
        <w:rPr>
          <w:sz w:val="20"/>
        </w:rPr>
        <w:t xml:space="preserve"> from LSAY survey responses and may not be comparable to</w:t>
      </w:r>
      <w:r w:rsidRPr="007E4B03">
        <w:rPr>
          <w:sz w:val="20"/>
        </w:rPr>
        <w:t xml:space="preserve"> official higher education statistics</w:t>
      </w:r>
    </w:p>
    <w:p w14:paraId="0A47338E" w14:textId="77777777" w:rsidR="008A1D27" w:rsidRPr="00E753FD" w:rsidRDefault="008A1D27" w:rsidP="008A1D27">
      <w:r w:rsidRPr="00E753FD">
        <w:t xml:space="preserve">Field of study is perhaps even more important for employability among those studying for a vocational qualification. A well-chosen field of study in an area of skill need can boost employment prospects significantly; however, it becomes more difficult to differentiate oneself in the labour market with a certificate or diploma level qualification that is not in demand. Around one third of apprenticeships and traineeships undertaken by LSAY participants have been in the field of </w:t>
      </w:r>
      <w:r>
        <w:t>E</w:t>
      </w:r>
      <w:r w:rsidRPr="00E753FD">
        <w:t xml:space="preserve">ngineering and </w:t>
      </w:r>
      <w:r>
        <w:t>R</w:t>
      </w:r>
      <w:r w:rsidRPr="00E753FD">
        <w:t xml:space="preserve">elated </w:t>
      </w:r>
      <w:r>
        <w:t>T</w:t>
      </w:r>
      <w:r w:rsidRPr="00E753FD">
        <w:t xml:space="preserve">echnologies, with the most popular courses being </w:t>
      </w:r>
      <w:r>
        <w:t>E</w:t>
      </w:r>
      <w:r w:rsidRPr="00E753FD">
        <w:t xml:space="preserve">lectrical, </w:t>
      </w:r>
      <w:r>
        <w:t>M</w:t>
      </w:r>
      <w:r w:rsidRPr="00E753FD">
        <w:t xml:space="preserve">echanical and </w:t>
      </w:r>
      <w:r>
        <w:t>A</w:t>
      </w:r>
      <w:r w:rsidRPr="00E753FD">
        <w:t xml:space="preserve">utomotive </w:t>
      </w:r>
      <w:r>
        <w:t>E</w:t>
      </w:r>
      <w:r w:rsidRPr="00E753FD">
        <w:t>ngineering (</w:t>
      </w:r>
      <w:r w:rsidR="00336C2C">
        <w:fldChar w:fldCharType="begin"/>
      </w:r>
      <w:r w:rsidR="00336C2C">
        <w:instrText xml:space="preserve"> REF _Ref31878514 \h </w:instrText>
      </w:r>
      <w:r w:rsidR="00336C2C">
        <w:fldChar w:fldCharType="separate"/>
      </w:r>
      <w:r w:rsidR="00433E17" w:rsidRPr="00DA0CBE">
        <w:t xml:space="preserve">Figure </w:t>
      </w:r>
      <w:r w:rsidR="00433E17">
        <w:rPr>
          <w:noProof/>
        </w:rPr>
        <w:t>3</w:t>
      </w:r>
      <w:r w:rsidR="00433E17" w:rsidRPr="00DA0CBE">
        <w:t>.</w:t>
      </w:r>
      <w:r w:rsidR="00433E17">
        <w:rPr>
          <w:noProof/>
        </w:rPr>
        <w:t>6</w:t>
      </w:r>
      <w:r w:rsidR="00336C2C">
        <w:fldChar w:fldCharType="end"/>
      </w:r>
      <w:r w:rsidRPr="00E753FD">
        <w:t xml:space="preserve">). This is positive, as these skills are consistently required, although those with </w:t>
      </w:r>
      <w:r>
        <w:t>M</w:t>
      </w:r>
      <w:r w:rsidRPr="00E753FD">
        <w:t xml:space="preserve">echanical </w:t>
      </w:r>
      <w:r>
        <w:t>E</w:t>
      </w:r>
      <w:r w:rsidRPr="00E753FD">
        <w:t xml:space="preserve">ngineering qualifications may </w:t>
      </w:r>
      <w:r>
        <w:t>have been adversely affected by</w:t>
      </w:r>
      <w:r w:rsidRPr="00E753FD">
        <w:t xml:space="preserve"> the recent decline of the manufacturing industry in Australia.</w:t>
      </w:r>
    </w:p>
    <w:p w14:paraId="68918D99" w14:textId="77777777" w:rsidR="008A1D27" w:rsidRPr="00E753FD" w:rsidRDefault="008A1D27" w:rsidP="008A1D27">
      <w:r w:rsidRPr="00E753FD">
        <w:t xml:space="preserve">The proportion of young people undertaking traineeships in the field of </w:t>
      </w:r>
      <w:r>
        <w:t>M</w:t>
      </w:r>
      <w:r w:rsidRPr="00E753FD">
        <w:t xml:space="preserve">anagement and </w:t>
      </w:r>
      <w:r>
        <w:t>C</w:t>
      </w:r>
      <w:r w:rsidRPr="00E753FD">
        <w:t>ommerce showed a relatively large decrease for the Y09 coho</w:t>
      </w:r>
      <w:r>
        <w:t>rt (Figure 3.6</w:t>
      </w:r>
      <w:r w:rsidRPr="00E753FD">
        <w:t xml:space="preserve">). The reasons for this shift are unclear; </w:t>
      </w:r>
      <w:r w:rsidRPr="00E753FD">
        <w:lastRenderedPageBreak/>
        <w:t>however, it does coincide with a sharp decline from 2012 in the number of commencements in government sector traineeships</w:t>
      </w:r>
      <w:r w:rsidRPr="00E753FD">
        <w:rPr>
          <w:vertAlign w:val="superscript"/>
        </w:rPr>
        <w:footnoteReference w:id="11"/>
      </w:r>
      <w:r w:rsidRPr="00E753FD">
        <w:t>.</w:t>
      </w:r>
      <w:r>
        <w:t xml:space="preserve"> </w:t>
      </w:r>
    </w:p>
    <w:p w14:paraId="32F21D92" w14:textId="77777777" w:rsidR="00131AE5" w:rsidRPr="00DA0CBE" w:rsidRDefault="008A1D27" w:rsidP="00DA0CBE">
      <w:pPr>
        <w:pStyle w:val="Figuretitle"/>
      </w:pPr>
      <w:bookmarkStart w:id="121" w:name="_Ref31878514"/>
      <w:bookmarkStart w:id="122" w:name="_Toc529882175"/>
      <w:bookmarkStart w:id="123" w:name="_Toc529882479"/>
      <w:bookmarkStart w:id="124" w:name="_Toc31878795"/>
      <w:r w:rsidRPr="00DA0CBE">
        <w:t xml:space="preserve">Figure </w:t>
      </w:r>
      <w:fldSimple w:instr=" STYLEREF 1 \s ">
        <w:r w:rsidR="00433E17">
          <w:rPr>
            <w:noProof/>
          </w:rPr>
          <w:t>3</w:t>
        </w:r>
      </w:fldSimple>
      <w:r w:rsidRPr="00DA0CBE">
        <w:t>.</w:t>
      </w:r>
      <w:fldSimple w:instr=" SEQ Figure \* ARABIC \s 1 ">
        <w:r w:rsidR="00433E17">
          <w:rPr>
            <w:noProof/>
          </w:rPr>
          <w:t>6</w:t>
        </w:r>
      </w:fldSimple>
      <w:bookmarkEnd w:id="121"/>
      <w:r w:rsidRPr="00DA0CBE">
        <w:t>: Participation in apprenticeship or traineeship, by field of study</w:t>
      </w:r>
      <w:bookmarkEnd w:id="122"/>
      <w:bookmarkEnd w:id="123"/>
      <w:r w:rsidR="00131AE5" w:rsidRPr="00DA0CBE">
        <w:t>*</w:t>
      </w:r>
      <w:bookmarkEnd w:id="124"/>
    </w:p>
    <w:p w14:paraId="0D652E9A" w14:textId="77777777" w:rsidR="007E446D" w:rsidRDefault="007E446D" w:rsidP="008A1D27">
      <w:pPr>
        <w:rPr>
          <w:sz w:val="20"/>
        </w:rPr>
      </w:pPr>
      <w:r>
        <w:rPr>
          <w:noProof/>
          <w:lang w:eastAsia="en-AU"/>
        </w:rPr>
        <w:drawing>
          <wp:inline distT="0" distB="0" distL="0" distR="0" wp14:anchorId="3A343D43" wp14:editId="4537FCDB">
            <wp:extent cx="5819775" cy="3819525"/>
            <wp:effectExtent l="0" t="0" r="9525" b="9525"/>
            <wp:docPr id="27" name="Picture 27" descr="Findings for Figure 3.6 are discussed above. The figure compares the participation rate of the Y03 to Y09 cohorts, split by field of study. Participation rate is highest for Engineering and Related Technologies for all three co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9775" cy="3819525"/>
                    </a:xfrm>
                    <a:prstGeom prst="rect">
                      <a:avLst/>
                    </a:prstGeom>
                  </pic:spPr>
                </pic:pic>
              </a:graphicData>
            </a:graphic>
          </wp:inline>
        </w:drawing>
      </w:r>
    </w:p>
    <w:p w14:paraId="7DB98523" w14:textId="77777777" w:rsidR="00E02C19" w:rsidRDefault="008A1D27" w:rsidP="008A1D27">
      <w:pPr>
        <w:rPr>
          <w:sz w:val="20"/>
        </w:rPr>
      </w:pPr>
      <w:r>
        <w:rPr>
          <w:sz w:val="20"/>
        </w:rPr>
        <w:t>*</w:t>
      </w:r>
      <w:r w:rsidRPr="007E4B03">
        <w:rPr>
          <w:sz w:val="20"/>
        </w:rPr>
        <w:t>Data is</w:t>
      </w:r>
      <w:r>
        <w:rPr>
          <w:sz w:val="20"/>
        </w:rPr>
        <w:t xml:space="preserve"> from LSAY survey responses and may not be comparable to</w:t>
      </w:r>
      <w:r w:rsidRPr="007E4B03">
        <w:rPr>
          <w:sz w:val="20"/>
        </w:rPr>
        <w:t xml:space="preserve"> official VET statistics</w:t>
      </w:r>
    </w:p>
    <w:p w14:paraId="51357C96" w14:textId="77777777" w:rsidR="008A1D27" w:rsidRDefault="008A1D27" w:rsidP="008A1D27">
      <w:pPr>
        <w:pStyle w:val="Heading2"/>
        <w:keepNext w:val="0"/>
        <w:keepLines w:val="0"/>
        <w:numPr>
          <w:ilvl w:val="1"/>
          <w:numId w:val="20"/>
        </w:numPr>
        <w:spacing w:before="0" w:line="259" w:lineRule="auto"/>
        <w:ind w:left="425" w:hanging="425"/>
      </w:pPr>
      <w:bookmarkStart w:id="125" w:name="_Toc31878864"/>
      <w:r>
        <w:t>Achievement of aspirations</w:t>
      </w:r>
      <w:bookmarkEnd w:id="125"/>
      <w:r>
        <w:t xml:space="preserve"> </w:t>
      </w:r>
    </w:p>
    <w:p w14:paraId="0BF95D7D" w14:textId="77777777" w:rsidR="00F15A35" w:rsidRPr="00FD4C7B" w:rsidRDefault="008A1D27" w:rsidP="008A1D27">
      <w:pPr>
        <w:rPr>
          <w:rFonts w:cstheme="minorHAnsi"/>
        </w:rPr>
      </w:pPr>
      <w:r>
        <w:rPr>
          <w:rFonts w:cstheme="minorHAnsi"/>
        </w:rPr>
        <w:t>By age 25 around half of young people have achieved their original study goals, and this proportion has crept upwards over time by about 10 percentage points between the Y95 and Y06 cohorts (</w:t>
      </w:r>
      <w:r w:rsidR="00336C2C">
        <w:rPr>
          <w:rFonts w:cstheme="minorHAnsi"/>
        </w:rPr>
        <w:fldChar w:fldCharType="begin"/>
      </w:r>
      <w:r w:rsidR="00336C2C">
        <w:rPr>
          <w:rFonts w:cstheme="minorHAnsi"/>
        </w:rPr>
        <w:instrText xml:space="preserve"> REF _Ref31878536 \h </w:instrText>
      </w:r>
      <w:r w:rsidR="00336C2C">
        <w:rPr>
          <w:rFonts w:cstheme="minorHAnsi"/>
        </w:rPr>
      </w:r>
      <w:r w:rsidR="00336C2C">
        <w:rPr>
          <w:rFonts w:cstheme="minorHAnsi"/>
        </w:rPr>
        <w:fldChar w:fldCharType="separate"/>
      </w:r>
      <w:r w:rsidR="00433E17" w:rsidRPr="00DA0CBE">
        <w:t xml:space="preserve">Figure </w:t>
      </w:r>
      <w:r w:rsidR="00433E17">
        <w:rPr>
          <w:noProof/>
        </w:rPr>
        <w:t>3</w:t>
      </w:r>
      <w:r w:rsidR="00433E17" w:rsidRPr="00DA0CBE">
        <w:t>.</w:t>
      </w:r>
      <w:r w:rsidR="00433E17">
        <w:rPr>
          <w:noProof/>
        </w:rPr>
        <w:t>7</w:t>
      </w:r>
      <w:r w:rsidR="00336C2C">
        <w:rPr>
          <w:rFonts w:cstheme="minorHAnsi"/>
        </w:rPr>
        <w:fldChar w:fldCharType="end"/>
      </w:r>
      <w:r>
        <w:rPr>
          <w:rFonts w:cstheme="minorHAnsi"/>
        </w:rPr>
        <w:t>). As shown earlier in this report, many young people aspire to go to university after they finish school, and the gradual increase seen in the proportion of young people actually going to university has no doubt contributed to the increase in the proportion achieving their study goals. Other young people pursuing post-school study exited the system with a different qualification to the one they planned, and others who planned to pursue some form of post-school study had not completed any qualifications by age 25.</w:t>
      </w:r>
      <w:r w:rsidR="0009062A">
        <w:rPr>
          <w:rFonts w:cstheme="minorHAnsi"/>
        </w:rPr>
        <w:t xml:space="preserve"> The proportion of 25 year olds who had attained a post-school qualification in 2016 increased from 14 per cent in 2013 to 23 per cent (Figure 3.7). This is likely due to an increase in </w:t>
      </w:r>
      <w:r w:rsidR="002F4E0C">
        <w:rPr>
          <w:rFonts w:cstheme="minorHAnsi"/>
        </w:rPr>
        <w:t xml:space="preserve">the proportion of young people planning to undertake post-school study </w:t>
      </w:r>
      <w:r w:rsidR="00454901">
        <w:rPr>
          <w:rFonts w:cstheme="minorHAnsi"/>
        </w:rPr>
        <w:t>(Figure 2.2) and an increase in the amount of time take to complete post-school study</w:t>
      </w:r>
      <w:r w:rsidR="00070E44">
        <w:rPr>
          <w:rFonts w:cstheme="minorHAnsi"/>
        </w:rPr>
        <w:t xml:space="preserve"> (Section 5.1).</w:t>
      </w:r>
    </w:p>
    <w:p w14:paraId="78843376" w14:textId="77777777" w:rsidR="00F15A35" w:rsidRPr="00921464" w:rsidRDefault="008A1D27" w:rsidP="00921464">
      <w:pPr>
        <w:pStyle w:val="Figuretitle"/>
      </w:pPr>
      <w:bookmarkStart w:id="126" w:name="_Ref31878536"/>
      <w:bookmarkStart w:id="127" w:name="_Toc529882176"/>
      <w:bookmarkStart w:id="128" w:name="_Toc529882480"/>
      <w:bookmarkStart w:id="129" w:name="_Toc31878796"/>
      <w:r w:rsidRPr="00DA0CBE">
        <w:lastRenderedPageBreak/>
        <w:t xml:space="preserve">Figure </w:t>
      </w:r>
      <w:fldSimple w:instr=" STYLEREF 1 \s ">
        <w:r w:rsidR="00433E17">
          <w:rPr>
            <w:noProof/>
          </w:rPr>
          <w:t>3</w:t>
        </w:r>
      </w:fldSimple>
      <w:r w:rsidRPr="00DA0CBE">
        <w:t>.</w:t>
      </w:r>
      <w:fldSimple w:instr=" SEQ Figure \* ARABIC \s 1 ">
        <w:r w:rsidR="00433E17">
          <w:rPr>
            <w:noProof/>
          </w:rPr>
          <w:t>7</w:t>
        </w:r>
      </w:fldSimple>
      <w:bookmarkEnd w:id="126"/>
      <w:r w:rsidRPr="00DA0CBE">
        <w:t>: Achievement of initial study goals by age 25</w:t>
      </w:r>
      <w:bookmarkEnd w:id="127"/>
      <w:bookmarkEnd w:id="128"/>
      <w:bookmarkEnd w:id="129"/>
    </w:p>
    <w:p w14:paraId="02B738C5" w14:textId="77777777" w:rsidR="00921464" w:rsidRDefault="00921464" w:rsidP="008A1D27">
      <w:pPr>
        <w:rPr>
          <w:rFonts w:cstheme="minorHAnsi"/>
          <w:b/>
          <w:sz w:val="20"/>
          <w:szCs w:val="20"/>
        </w:rPr>
      </w:pPr>
      <w:r>
        <w:rPr>
          <w:noProof/>
          <w:lang w:eastAsia="en-AU"/>
        </w:rPr>
        <w:drawing>
          <wp:inline distT="0" distB="0" distL="0" distR="0" wp14:anchorId="1C808F75" wp14:editId="0B0C471C">
            <wp:extent cx="3829050" cy="4010025"/>
            <wp:effectExtent l="0" t="0" r="0" b="9525"/>
            <wp:docPr id="49" name="Picture 49" descr="Figure 3.7 shows the percentage of young people that achieved their initial study goals, attained an alternative qualification or planned to study but attained no post school qualification by age 25 for four LSAY cohorts. The graph shows an increase in the proportion of young people following through on their initial study plans between 2006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9050" cy="4010025"/>
                    </a:xfrm>
                    <a:prstGeom prst="rect">
                      <a:avLst/>
                    </a:prstGeom>
                  </pic:spPr>
                </pic:pic>
              </a:graphicData>
            </a:graphic>
          </wp:inline>
        </w:drawing>
      </w:r>
    </w:p>
    <w:p w14:paraId="4A099DA1" w14:textId="77777777" w:rsidR="008A1D27" w:rsidRDefault="008A1D27" w:rsidP="008A1D27">
      <w:pPr>
        <w:rPr>
          <w:rFonts w:cstheme="minorHAnsi"/>
          <w:sz w:val="20"/>
          <w:szCs w:val="20"/>
        </w:rPr>
      </w:pPr>
      <w:r w:rsidRPr="00DA08D8">
        <w:rPr>
          <w:rFonts w:cstheme="minorHAnsi"/>
          <w:b/>
          <w:sz w:val="20"/>
          <w:szCs w:val="20"/>
        </w:rPr>
        <w:t>Note:</w:t>
      </w:r>
      <w:r>
        <w:rPr>
          <w:rFonts w:cstheme="minorHAnsi"/>
          <w:sz w:val="20"/>
          <w:szCs w:val="20"/>
        </w:rPr>
        <w:t xml:space="preserve"> Bracketed year is the year of measurement for the cohort</w:t>
      </w:r>
    </w:p>
    <w:p w14:paraId="6DF10EF1" w14:textId="77777777" w:rsidR="008A1D27" w:rsidRDefault="008A1D27" w:rsidP="008A1D27">
      <w:r w:rsidRPr="004A62E0">
        <w:t>Where young people are not achieving their educational goals, two questions need to be asked: is not meeting study aspirations a cause for concern; and, if so, what can be done about it from a policy perspective. If these people have willingly changed their minds to pursue alternative goals, then there is little cause for concern. If, however, they experience academic, financial or social barriers to achievement, then there is a potential role for government in ensuring that these young people have every opportunity to pursue their goals.</w:t>
      </w:r>
    </w:p>
    <w:p w14:paraId="53D72225" w14:textId="77777777" w:rsidR="008A1D27" w:rsidRDefault="008A1D27" w:rsidP="008A1D27">
      <w:pPr>
        <w:pStyle w:val="Heading2"/>
        <w:keepNext w:val="0"/>
        <w:keepLines w:val="0"/>
        <w:numPr>
          <w:ilvl w:val="1"/>
          <w:numId w:val="20"/>
        </w:numPr>
        <w:spacing w:before="0" w:line="259" w:lineRule="auto"/>
        <w:ind w:left="425" w:hanging="425"/>
      </w:pPr>
      <w:bookmarkStart w:id="130" w:name="_Toc31878865"/>
      <w:r>
        <w:t>Post-school pathways</w:t>
      </w:r>
      <w:bookmarkEnd w:id="130"/>
    </w:p>
    <w:p w14:paraId="7F45C32C" w14:textId="77777777" w:rsidR="008A1D27" w:rsidRPr="004A62E0" w:rsidRDefault="008A1D27" w:rsidP="00433E17">
      <w:r w:rsidRPr="004A62E0">
        <w:t>By looking a little deeper at young people’s early aspirations, their first educational destination and their final attainment</w:t>
      </w:r>
      <w:r w:rsidR="00E54D92">
        <w:t xml:space="preserve"> (Figure 3.8)</w:t>
      </w:r>
      <w:r w:rsidRPr="004A62E0">
        <w:t xml:space="preserve">, it is possible to get a better idea of the pathways through which they achieve—or deviate from—their initial study plans. </w:t>
      </w:r>
    </w:p>
    <w:p w14:paraId="325D781B" w14:textId="77777777" w:rsidR="008A1D27" w:rsidRPr="004A62E0" w:rsidRDefault="008A1D27" w:rsidP="008A1D27">
      <w:r w:rsidRPr="004A62E0">
        <w:t xml:space="preserve">In many cases, pathways are very straightforward. Most young people want to do further study after school and do so, and many achieve their initial goals by taking a direct path from school into their chosen study destination. This is particularly true for those who attained university qualifications, where the vast majority originally planned to go into higher education and initially went to a university. </w:t>
      </w:r>
    </w:p>
    <w:p w14:paraId="46D566DF" w14:textId="77777777" w:rsidR="00E10039" w:rsidRDefault="00E10039" w:rsidP="00DA0CBE">
      <w:pPr>
        <w:pStyle w:val="Figuretitle"/>
      </w:pPr>
      <w:bookmarkStart w:id="131" w:name="_Ref31878559"/>
      <w:bookmarkStart w:id="132" w:name="_Toc529882177"/>
      <w:bookmarkStart w:id="133" w:name="_Toc529882481"/>
      <w:bookmarkStart w:id="134" w:name="_Toc31878797"/>
    </w:p>
    <w:p w14:paraId="03D8424C" w14:textId="77777777" w:rsidR="008A1D27" w:rsidRPr="00E10039" w:rsidRDefault="008A1D27" w:rsidP="00E10039">
      <w:pPr>
        <w:pStyle w:val="Figuretitle"/>
      </w:pPr>
      <w:r w:rsidRPr="00DA0CBE">
        <w:t xml:space="preserve">Figure </w:t>
      </w:r>
      <w:fldSimple w:instr=" STYLEREF 1 \s ">
        <w:r w:rsidR="00433E17">
          <w:rPr>
            <w:noProof/>
          </w:rPr>
          <w:t>3</w:t>
        </w:r>
      </w:fldSimple>
      <w:r w:rsidRPr="00DA0CBE">
        <w:t>.</w:t>
      </w:r>
      <w:fldSimple w:instr=" SEQ Figure \* ARABIC \s 1 ">
        <w:r w:rsidR="00433E17">
          <w:rPr>
            <w:noProof/>
          </w:rPr>
          <w:t>8</w:t>
        </w:r>
      </w:fldSimple>
      <w:bookmarkEnd w:id="131"/>
      <w:r w:rsidRPr="00DA0CBE">
        <w:t>: Study pathways for the Y06 cohort</w:t>
      </w:r>
      <w:bookmarkEnd w:id="132"/>
      <w:bookmarkEnd w:id="133"/>
      <w:bookmarkEnd w:id="134"/>
    </w:p>
    <w:p w14:paraId="1A740373" w14:textId="77777777" w:rsidR="00E10039" w:rsidRDefault="00E10039" w:rsidP="008A1D27">
      <w:pPr>
        <w:rPr>
          <w:rFonts w:cstheme="minorHAnsi"/>
          <w:kern w:val="24"/>
        </w:rPr>
      </w:pPr>
      <w:r>
        <w:rPr>
          <w:noProof/>
          <w:lang w:eastAsia="en-AU"/>
        </w:rPr>
        <w:drawing>
          <wp:inline distT="0" distB="0" distL="0" distR="0" wp14:anchorId="7110C6B6" wp14:editId="20A50B1C">
            <wp:extent cx="6434492" cy="4152900"/>
            <wp:effectExtent l="0" t="0" r="4445" b="0"/>
            <wp:docPr id="4" name="Picture 4" descr="Figure 3.8 shows the study pathways for the Y06 cohort, it depicts their plans at age 16, followed by their first study activity after school, and finally their highest qualification at age 25.&#10;&#10;It illustrates the range of pathways young people take after secondary school through to their post school education and eventual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48044" cy="4161647"/>
                    </a:xfrm>
                    <a:prstGeom prst="rect">
                      <a:avLst/>
                    </a:prstGeom>
                  </pic:spPr>
                </pic:pic>
              </a:graphicData>
            </a:graphic>
          </wp:inline>
        </w:drawing>
      </w:r>
    </w:p>
    <w:p w14:paraId="6FB52233" w14:textId="77777777" w:rsidR="008A1D27" w:rsidRPr="004A62E0" w:rsidRDefault="008A1D27" w:rsidP="008A1D27">
      <w:r w:rsidRPr="004A62E0">
        <w:t xml:space="preserve">The pathways are less homogenous for other levels of attainment. Among those who attained a certificate or diploma, almost half initially aspired to go to university, but went into a different type of study instead. In fact, the aspiration of post-school university study is so widespread that most levels of attainment are comprised of young people who initially wanted to go to university. The exception to this is the small early school-leaver group, who mostly aspired to doing an apprenticeship or traineeship. </w:t>
      </w:r>
      <w:r>
        <w:t>Once</w:t>
      </w:r>
      <w:r w:rsidRPr="004A62E0">
        <w:t xml:space="preserve"> the Y09 LSAY cohort has completed</w:t>
      </w:r>
      <w:r>
        <w:t xml:space="preserve"> in 2019</w:t>
      </w:r>
      <w:r w:rsidRPr="004A62E0">
        <w:t xml:space="preserve">, it will be possible to see if the uncapping of university places has resulted in a higher concentration of university aspirants going into university and completing higher qualifications. </w:t>
      </w:r>
    </w:p>
    <w:p w14:paraId="12EDED0D" w14:textId="77777777" w:rsidR="008A1D27" w:rsidRDefault="008A1D27" w:rsidP="008A1D27">
      <w:pPr>
        <w:pStyle w:val="Heading2"/>
        <w:keepNext w:val="0"/>
        <w:keepLines w:val="0"/>
        <w:numPr>
          <w:ilvl w:val="1"/>
          <w:numId w:val="20"/>
        </w:numPr>
        <w:spacing w:before="0" w:line="259" w:lineRule="auto"/>
        <w:ind w:left="425" w:hanging="425"/>
      </w:pPr>
      <w:r>
        <w:t xml:space="preserve"> </w:t>
      </w:r>
      <w:bookmarkStart w:id="135" w:name="_Toc31878866"/>
      <w:r>
        <w:t>Student income</w:t>
      </w:r>
      <w:bookmarkEnd w:id="135"/>
      <w:r>
        <w:t xml:space="preserve"> </w:t>
      </w:r>
    </w:p>
    <w:p w14:paraId="4CABBC33" w14:textId="77777777" w:rsidR="008A1D27" w:rsidRDefault="008A1D27" w:rsidP="008A1D27">
      <w:r w:rsidRPr="004A62E0">
        <w:t xml:space="preserve">There are many ways for young people to support themselves while they are undertaking post-school study. At age 19, when the majority of young people who will study are undertaking their qualification, most—between 70 and 80 per cent—will be keeping their living expenses down by staying in the family home. However, having additional income while studying is an important way for young people to support themselves and maintain their independence while they work towards their qualifications. </w:t>
      </w:r>
      <w:bookmarkStart w:id="136" w:name="_Toc529882178"/>
      <w:bookmarkStart w:id="137" w:name="_Toc529882482"/>
    </w:p>
    <w:p w14:paraId="735FDE5F" w14:textId="77777777" w:rsidR="008A1D27" w:rsidRPr="004A62E0" w:rsidRDefault="008A1D27" w:rsidP="008A1D27">
      <w:r w:rsidRPr="004A62E0">
        <w:t xml:space="preserve">The two main sources of income for those who are studying are income earned through paid employment and income received through government allowances available to students who meet certain conditions, such as </w:t>
      </w:r>
      <w:proofErr w:type="spellStart"/>
      <w:r w:rsidRPr="004A62E0">
        <w:t>Abstudy</w:t>
      </w:r>
      <w:proofErr w:type="spellEnd"/>
      <w:r w:rsidRPr="004A62E0">
        <w:t xml:space="preserve"> or Youth Allowance (student). Since the first LSAY cohort, a consistent one in two university students have juggled work and study with no extra support via government payments</w:t>
      </w:r>
      <w:r>
        <w:t xml:space="preserve"> (</w:t>
      </w:r>
      <w:r w:rsidR="00336C2C">
        <w:fldChar w:fldCharType="begin"/>
      </w:r>
      <w:r w:rsidR="00336C2C">
        <w:instrText xml:space="preserve"> REF _Ref20921510 \h </w:instrText>
      </w:r>
      <w:r w:rsidR="00336C2C">
        <w:fldChar w:fldCharType="separate"/>
      </w:r>
      <w:r w:rsidR="00433E17" w:rsidRPr="00DA0CBE">
        <w:t xml:space="preserve">Figure </w:t>
      </w:r>
      <w:r w:rsidR="00433E17">
        <w:rPr>
          <w:noProof/>
        </w:rPr>
        <w:t>3</w:t>
      </w:r>
      <w:r w:rsidR="00433E17" w:rsidRPr="00DA0CBE">
        <w:t>.</w:t>
      </w:r>
      <w:r w:rsidR="00433E17">
        <w:rPr>
          <w:noProof/>
        </w:rPr>
        <w:t>9</w:t>
      </w:r>
      <w:r w:rsidR="00336C2C">
        <w:fldChar w:fldCharType="end"/>
      </w:r>
      <w:r>
        <w:t xml:space="preserve">left), </w:t>
      </w:r>
      <w:r w:rsidRPr="004A62E0">
        <w:t xml:space="preserve">though parents and guardians may well have contributed to financial support. Those reliant on government support alone are a comparatively small group for all cohorts, with between 10 and 17 per cent of students relying solely on a government allowance. Working part-time is by far the most common </w:t>
      </w:r>
      <w:r w:rsidRPr="004A62E0">
        <w:lastRenderedPageBreak/>
        <w:t xml:space="preserve">means of earning an income, with those working full-time while studying making up a small minority of students. </w:t>
      </w:r>
    </w:p>
    <w:p w14:paraId="3FE2C74A" w14:textId="77777777" w:rsidR="008A1D27" w:rsidRPr="00DA0CBE" w:rsidRDefault="008A1D27" w:rsidP="00DA0CBE">
      <w:pPr>
        <w:pStyle w:val="Figuretitle"/>
      </w:pPr>
      <w:bookmarkStart w:id="138" w:name="_Ref20921510"/>
      <w:bookmarkStart w:id="139" w:name="_Toc31878798"/>
      <w:r w:rsidRPr="00DA0CBE">
        <w:t xml:space="preserve">Figure </w:t>
      </w:r>
      <w:fldSimple w:instr=" STYLEREF 1 \s ">
        <w:r w:rsidR="00433E17">
          <w:rPr>
            <w:noProof/>
          </w:rPr>
          <w:t>3</w:t>
        </w:r>
      </w:fldSimple>
      <w:r w:rsidRPr="00DA0CBE">
        <w:t>.</w:t>
      </w:r>
      <w:fldSimple w:instr=" SEQ Figure \* ARABIC \s 1 ">
        <w:r w:rsidR="00433E17">
          <w:rPr>
            <w:noProof/>
          </w:rPr>
          <w:t>9</w:t>
        </w:r>
      </w:fldSimple>
      <w:bookmarkEnd w:id="138"/>
      <w:r w:rsidR="00E70E40">
        <w:t>: Income sources for higher education (left) and non-A</w:t>
      </w:r>
      <w:r w:rsidRPr="00DA0CBE">
        <w:t>pprentice</w:t>
      </w:r>
      <w:r w:rsidR="00E70E40">
        <w:t>ship</w:t>
      </w:r>
      <w:r w:rsidRPr="00DA0CBE">
        <w:t xml:space="preserve"> VET (right) students aged 19</w:t>
      </w:r>
      <w:bookmarkEnd w:id="136"/>
      <w:bookmarkEnd w:id="137"/>
      <w:bookmarkEnd w:id="139"/>
      <w:r w:rsidRPr="00DA0CBE">
        <w:t xml:space="preserve"> </w:t>
      </w:r>
    </w:p>
    <w:p w14:paraId="7A04478F" w14:textId="77777777" w:rsidR="00C32881" w:rsidRDefault="00C32881" w:rsidP="008A1D27">
      <w:pPr>
        <w:spacing w:after="0"/>
        <w:rPr>
          <w:rFonts w:cstheme="minorHAnsi"/>
          <w:sz w:val="20"/>
          <w:szCs w:val="20"/>
        </w:rPr>
      </w:pPr>
      <w:r>
        <w:rPr>
          <w:noProof/>
          <w:lang w:eastAsia="en-AU"/>
        </w:rPr>
        <w:drawing>
          <wp:inline distT="0" distB="0" distL="0" distR="0" wp14:anchorId="54349E1F" wp14:editId="01A2F25E">
            <wp:extent cx="5692140" cy="4766680"/>
            <wp:effectExtent l="0" t="0" r="3810" b="0"/>
            <wp:docPr id="23" name="Picture 23" descr="Figure 3.9 shows the reported income sources for higher education and non-Apprenticeship VET students at age 19 for each LSAY cohort. The stacked bar graph shows about half of young people in higher education working part time, with about one in ten accessing study allowance only, and a slightly larger percentage working part-time and accessing study allowance. It also shows about half of non-Apprentice VET students are working, but a greater proportion are in full-time work than higher educatio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6204" cy="4770083"/>
                    </a:xfrm>
                    <a:prstGeom prst="rect">
                      <a:avLst/>
                    </a:prstGeom>
                  </pic:spPr>
                </pic:pic>
              </a:graphicData>
            </a:graphic>
          </wp:inline>
        </w:drawing>
      </w:r>
    </w:p>
    <w:p w14:paraId="113A2573" w14:textId="77777777" w:rsidR="008A1D27" w:rsidRDefault="008A1D27" w:rsidP="008A1D27">
      <w:pPr>
        <w:rPr>
          <w:rFonts w:cstheme="minorHAnsi"/>
          <w:sz w:val="20"/>
          <w:szCs w:val="20"/>
        </w:rPr>
      </w:pPr>
      <w:r w:rsidRPr="00DA08D8">
        <w:rPr>
          <w:rFonts w:cstheme="minorHAnsi"/>
          <w:b/>
          <w:sz w:val="20"/>
          <w:szCs w:val="20"/>
        </w:rPr>
        <w:t>Note:</w:t>
      </w:r>
      <w:r>
        <w:rPr>
          <w:rFonts w:cstheme="minorHAnsi"/>
          <w:sz w:val="20"/>
          <w:szCs w:val="20"/>
        </w:rPr>
        <w:t xml:space="preserve"> Bracketed year is the year of measurement for the cohort</w:t>
      </w:r>
    </w:p>
    <w:p w14:paraId="7EBB60D9" w14:textId="77777777" w:rsidR="008A1D27" w:rsidRDefault="008A1D27" w:rsidP="008A1D27">
      <w:r w:rsidRPr="004A62E0">
        <w:t xml:space="preserve">The patterns of study, work and government allowance access </w:t>
      </w:r>
      <w:r w:rsidR="00625F13">
        <w:t>for</w:t>
      </w:r>
      <w:r w:rsidRPr="004A62E0">
        <w:t xml:space="preserve"> those studying fo</w:t>
      </w:r>
      <w:r w:rsidR="00E70E40">
        <w:t>r non-A</w:t>
      </w:r>
      <w:r w:rsidRPr="004A62E0">
        <w:t>pprenticeship vocational qualifications</w:t>
      </w:r>
      <w:r>
        <w:t xml:space="preserve"> (</w:t>
      </w:r>
      <w:r>
        <w:fldChar w:fldCharType="begin"/>
      </w:r>
      <w:r>
        <w:instrText xml:space="preserve"> REF _Ref20921510 \h </w:instrText>
      </w:r>
      <w:r>
        <w:fldChar w:fldCharType="separate"/>
      </w:r>
      <w:r w:rsidR="00433E17" w:rsidRPr="00DA0CBE">
        <w:t xml:space="preserve">Figure </w:t>
      </w:r>
      <w:r w:rsidR="00433E17">
        <w:rPr>
          <w:noProof/>
        </w:rPr>
        <w:t>3</w:t>
      </w:r>
      <w:r w:rsidR="00433E17" w:rsidRPr="00DA0CBE">
        <w:t>.</w:t>
      </w:r>
      <w:r w:rsidR="00433E17">
        <w:rPr>
          <w:noProof/>
        </w:rPr>
        <w:t>9</w:t>
      </w:r>
      <w:r>
        <w:fldChar w:fldCharType="end"/>
      </w:r>
      <w:r>
        <w:t xml:space="preserve"> right)</w:t>
      </w:r>
      <w:r w:rsidRPr="004A62E0">
        <w:t xml:space="preserve"> are broadly similar to university students</w:t>
      </w:r>
      <w:r>
        <w:t xml:space="preserve"> (</w:t>
      </w:r>
      <w:r>
        <w:fldChar w:fldCharType="begin"/>
      </w:r>
      <w:r>
        <w:instrText xml:space="preserve"> REF _Ref20921510 \h </w:instrText>
      </w:r>
      <w:r>
        <w:fldChar w:fldCharType="separate"/>
      </w:r>
      <w:r w:rsidR="00433E17" w:rsidRPr="00DA0CBE">
        <w:t xml:space="preserve">Figure </w:t>
      </w:r>
      <w:r w:rsidR="00433E17">
        <w:rPr>
          <w:noProof/>
        </w:rPr>
        <w:t>3</w:t>
      </w:r>
      <w:r w:rsidR="00433E17" w:rsidRPr="00DA0CBE">
        <w:t>.</w:t>
      </w:r>
      <w:r w:rsidR="00433E17">
        <w:rPr>
          <w:noProof/>
        </w:rPr>
        <w:t>9</w:t>
      </w:r>
      <w:r>
        <w:fldChar w:fldCharType="end"/>
      </w:r>
      <w:r>
        <w:t xml:space="preserve"> left)</w:t>
      </w:r>
      <w:r w:rsidRPr="004A62E0">
        <w:t xml:space="preserve">, with the exception being that a higher proportion </w:t>
      </w:r>
      <w:r w:rsidR="00970C39">
        <w:t xml:space="preserve">of </w:t>
      </w:r>
      <w:r w:rsidR="00625F13">
        <w:t xml:space="preserve">those studying VET </w:t>
      </w:r>
      <w:r w:rsidRPr="004A62E0">
        <w:t>are working on a full-time basis. This may reflect the tendency for vocational study to be supplementary to work as a way to upskill, reskill or engage with further education.</w:t>
      </w:r>
      <w:r>
        <w:br w:type="page"/>
      </w:r>
    </w:p>
    <w:p w14:paraId="757F6E3F" w14:textId="77777777" w:rsidR="008A1D27" w:rsidRDefault="008A1D27" w:rsidP="008A1D27">
      <w:pPr>
        <w:pStyle w:val="Heading1"/>
        <w:keepNext w:val="0"/>
        <w:keepLines w:val="0"/>
        <w:numPr>
          <w:ilvl w:val="0"/>
          <w:numId w:val="21"/>
        </w:numPr>
        <w:spacing w:before="0" w:after="240" w:line="259" w:lineRule="auto"/>
        <w:contextualSpacing/>
      </w:pPr>
      <w:bookmarkStart w:id="140" w:name="_Toc31878867"/>
      <w:r>
        <w:lastRenderedPageBreak/>
        <w:t>Labour market outcomes</w:t>
      </w:r>
      <w:bookmarkEnd w:id="140"/>
    </w:p>
    <w:p w14:paraId="34B56C2F" w14:textId="77777777" w:rsidR="008A1D27" w:rsidRPr="00A950D5" w:rsidRDefault="008A1D27" w:rsidP="008A1D27">
      <w:pPr>
        <w:spacing w:after="0"/>
      </w:pPr>
      <w:r w:rsidRPr="004A62E0">
        <w:t xml:space="preserve">The choices that young people make along their journey from school to the workforce are now more important than ever in ensuring a successful transition to stable work, a satisfying and suitable job and a good sense of independence and wellbeing. There have been significant social and economic changes in Australia that have impacted on young Australians over the past two decades. </w:t>
      </w:r>
      <w:r w:rsidR="00A21BA0" w:rsidRPr="004A62E0">
        <w:t>A 2018 youth stocktaking report</w:t>
      </w:r>
      <w:r w:rsidR="00A21BA0" w:rsidRPr="001D7BF7">
        <w:rPr>
          <w:vertAlign w:val="superscript"/>
        </w:rPr>
        <w:footnoteReference w:id="12"/>
      </w:r>
      <w:r w:rsidR="00A21BA0" w:rsidRPr="004A62E0">
        <w:t xml:space="preserve"> by the OECD states that today’s young people are worse off than the generation that came before them. </w:t>
      </w:r>
      <w:r w:rsidRPr="004A62E0">
        <w:t xml:space="preserve">The labour market has not recovered for young people as it has for other age groups since the GFC, and availability of jobs is lower as many older employees are remaining in the workforce </w:t>
      </w:r>
      <w:r>
        <w:t xml:space="preserve">for </w:t>
      </w:r>
      <w:r w:rsidRPr="004A62E0">
        <w:t xml:space="preserve">longer. Both skilled and unskilled entry level positions have become harder to find and many employers </w:t>
      </w:r>
      <w:r>
        <w:t>may be less inclined</w:t>
      </w:r>
      <w:r w:rsidRPr="004A62E0">
        <w:t xml:space="preserve"> to take on inexperienced and professionally unpolished young people. The effect of this is that many young people who stayed engaged through study in times of uncertainty are finding themselves without a job to go to or the professional experience necessary to be competitive. Add to this the impact of increased </w:t>
      </w:r>
      <w:proofErr w:type="spellStart"/>
      <w:r w:rsidRPr="004A62E0">
        <w:t>casualisation</w:t>
      </w:r>
      <w:proofErr w:type="spellEnd"/>
      <w:r w:rsidRPr="004A62E0">
        <w:t xml:space="preserve"> in industries that typically employ young people and an increased demand for particular skills or professionally qualified workers, and it results in a comparatively more complex transition from education to the labour market for young peopl</w:t>
      </w:r>
      <w:r>
        <w:t xml:space="preserve">e than for their predecessors. </w:t>
      </w:r>
    </w:p>
    <w:p w14:paraId="2F04264F" w14:textId="77777777" w:rsidR="008A1D27" w:rsidRPr="00BC0B78" w:rsidRDefault="008A1D27" w:rsidP="008A1D27">
      <w:pPr>
        <w:pStyle w:val="ListParagraph"/>
        <w:numPr>
          <w:ilvl w:val="0"/>
          <w:numId w:val="20"/>
        </w:numPr>
        <w:spacing w:after="0" w:line="259" w:lineRule="auto"/>
        <w:contextualSpacing w:val="0"/>
        <w:outlineLvl w:val="1"/>
        <w:rPr>
          <w:rFonts w:eastAsiaTheme="majorEastAsia" w:cstheme="majorBidi"/>
          <w:bCs/>
          <w:vanish/>
          <w:sz w:val="16"/>
          <w:szCs w:val="16"/>
        </w:rPr>
      </w:pPr>
      <w:bookmarkStart w:id="141" w:name="_Toc22741751"/>
      <w:bookmarkStart w:id="142" w:name="_Toc22809385"/>
      <w:bookmarkStart w:id="143" w:name="_Toc22810242"/>
      <w:bookmarkStart w:id="144" w:name="_Toc22810466"/>
      <w:bookmarkStart w:id="145" w:name="_Toc22810757"/>
      <w:bookmarkStart w:id="146" w:name="_Toc22810848"/>
      <w:bookmarkStart w:id="147" w:name="_Toc22811022"/>
      <w:bookmarkStart w:id="148" w:name="_Toc22811130"/>
      <w:bookmarkStart w:id="149" w:name="_Toc22827273"/>
      <w:bookmarkStart w:id="150" w:name="_Toc22827326"/>
      <w:bookmarkStart w:id="151" w:name="_Toc22827725"/>
      <w:bookmarkStart w:id="152" w:name="_Toc22827780"/>
      <w:bookmarkStart w:id="153" w:name="_Toc22827817"/>
      <w:bookmarkStart w:id="154" w:name="_Toc22827997"/>
      <w:bookmarkStart w:id="155" w:name="_Toc22885549"/>
      <w:bookmarkStart w:id="156" w:name="_Toc22827274"/>
      <w:bookmarkStart w:id="157" w:name="_Toc22827327"/>
      <w:bookmarkStart w:id="158" w:name="_Toc22827726"/>
      <w:bookmarkStart w:id="159" w:name="_Toc22827781"/>
      <w:bookmarkStart w:id="160" w:name="_Toc22827818"/>
      <w:bookmarkStart w:id="161" w:name="_Toc22827998"/>
      <w:bookmarkStart w:id="162" w:name="_Toc22885550"/>
      <w:bookmarkStart w:id="163" w:name="_Toc22901423"/>
      <w:bookmarkStart w:id="164" w:name="_Toc23232747"/>
      <w:bookmarkStart w:id="165" w:name="_Toc23237618"/>
      <w:bookmarkStart w:id="166" w:name="_Toc31612126"/>
      <w:bookmarkStart w:id="167" w:name="_Toc31878834"/>
      <w:bookmarkStart w:id="168" w:name="_Toc3187886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D3E795E" w14:textId="77777777" w:rsidR="008A1D27" w:rsidRPr="00235D04" w:rsidRDefault="008A1D27" w:rsidP="008A1D27">
      <w:pPr>
        <w:pStyle w:val="Heading2"/>
        <w:keepNext w:val="0"/>
        <w:keepLines w:val="0"/>
        <w:numPr>
          <w:ilvl w:val="1"/>
          <w:numId w:val="20"/>
        </w:numPr>
        <w:spacing w:before="0" w:line="259" w:lineRule="auto"/>
        <w:ind w:left="425" w:hanging="425"/>
      </w:pPr>
      <w:bookmarkStart w:id="169" w:name="_Toc31878869"/>
      <w:r>
        <w:t>Employment by qualification level</w:t>
      </w:r>
      <w:bookmarkEnd w:id="169"/>
    </w:p>
    <w:p w14:paraId="70C2EEBA" w14:textId="77777777" w:rsidR="008A1D27" w:rsidRPr="004A62E0" w:rsidRDefault="008A1D27" w:rsidP="008A1D27">
      <w:r w:rsidRPr="004A62E0">
        <w:t>The choices that young people make around education have an impact on their later labour force outcomes. The youth labour market in Australia has generally seen higher rates of unemployment and underemployment when compared with higher age ranges, and young people are particularly susceptible to the effects of changes in the job market or economic events. Since the 1990s, patterns of employment for young people have progressively leaned more towards part-time</w:t>
      </w:r>
      <w:r w:rsidRPr="001D7BF7">
        <w:rPr>
          <w:vertAlign w:val="superscript"/>
        </w:rPr>
        <w:footnoteReference w:id="13"/>
      </w:r>
      <w:r w:rsidRPr="004A62E0">
        <w:t xml:space="preserve"> and casual work</w:t>
      </w:r>
      <w:r w:rsidRPr="001D7BF7">
        <w:rPr>
          <w:vertAlign w:val="superscript"/>
        </w:rPr>
        <w:footnoteReference w:id="14"/>
      </w:r>
      <w:r w:rsidRPr="004A62E0">
        <w:t>, resulting in an increasingly smaller proportion of young people able to obtain full-time ongoing work following their transition from education to the labour market.</w:t>
      </w:r>
    </w:p>
    <w:p w14:paraId="014D3EC6" w14:textId="77777777" w:rsidR="008A1D27" w:rsidRDefault="00336C2C" w:rsidP="008A1D27">
      <w:r>
        <w:fldChar w:fldCharType="begin"/>
      </w:r>
      <w:r>
        <w:instrText xml:space="preserve"> REF _Ref31878614 \h </w:instrText>
      </w:r>
      <w:r>
        <w:fldChar w:fldCharType="separate"/>
      </w:r>
      <w:r w:rsidR="00433E17" w:rsidRPr="00DA0CBE">
        <w:t xml:space="preserve">Figure </w:t>
      </w:r>
      <w:r w:rsidR="00433E17">
        <w:rPr>
          <w:noProof/>
        </w:rPr>
        <w:t>4</w:t>
      </w:r>
      <w:r w:rsidR="00433E17" w:rsidRPr="00DA0CBE">
        <w:t>.</w:t>
      </w:r>
      <w:r w:rsidR="00433E17">
        <w:rPr>
          <w:noProof/>
        </w:rPr>
        <w:t>1</w:t>
      </w:r>
      <w:r>
        <w:fldChar w:fldCharType="end"/>
      </w:r>
      <w:r w:rsidR="008A1D27" w:rsidRPr="004A62E0">
        <w:t xml:space="preserve"> shows patterns over the life of LSAY in labour force and employment status for different levels of educational attainment. Those who have lower levels of educational attainment tend to be more exposed to economic challenges. Early school leavers generally have poorer transitions to the labour market </w:t>
      </w:r>
      <w:r w:rsidR="00625F13">
        <w:t>than</w:t>
      </w:r>
      <w:r w:rsidR="008A1D27" w:rsidRPr="004A62E0">
        <w:t xml:space="preserve"> those who complete Year 12, and those with only Year 12 or equivalent attainment struggle more than those who have a higher education qualification or have completed an apprenticeship or traineeship. In 2006, less than half of early school leavers who undertook no further study were working in full-time ongoing jobs by age 25, and this proportion has declined further over subsequent LSAY cohorts. This group also has a higher proportion who are unemployed or not </w:t>
      </w:r>
      <w:r w:rsidR="008A1D27">
        <w:t>in the labour force at age 25.</w:t>
      </w:r>
    </w:p>
    <w:p w14:paraId="0B6DE64F" w14:textId="77777777" w:rsidR="008A1D27" w:rsidRDefault="008A1D27" w:rsidP="008A1D27">
      <w:pPr>
        <w:pStyle w:val="Caption"/>
        <w:keepNext/>
        <w:sectPr w:rsidR="008A1D27" w:rsidSect="00BC0E4C">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708" w:footer="708" w:gutter="0"/>
          <w:cols w:space="708"/>
          <w:docGrid w:linePitch="360"/>
        </w:sectPr>
      </w:pPr>
    </w:p>
    <w:p w14:paraId="122916E8" w14:textId="77777777" w:rsidR="005941A3" w:rsidRPr="00DA0CBE" w:rsidRDefault="008A1D27" w:rsidP="00DA0CBE">
      <w:pPr>
        <w:pStyle w:val="Figuretitle"/>
      </w:pPr>
      <w:bookmarkStart w:id="170" w:name="_Ref31878614"/>
      <w:bookmarkStart w:id="171" w:name="_Toc529882179"/>
      <w:bookmarkStart w:id="172" w:name="_Toc529882483"/>
      <w:bookmarkStart w:id="173" w:name="_Toc31878799"/>
      <w:r w:rsidRPr="00DA0CBE">
        <w:lastRenderedPageBreak/>
        <w:t xml:space="preserve">Figure </w:t>
      </w:r>
      <w:fldSimple w:instr=" STYLEREF 1 \s ">
        <w:r w:rsidR="00433E17">
          <w:rPr>
            <w:noProof/>
          </w:rPr>
          <w:t>4</w:t>
        </w:r>
      </w:fldSimple>
      <w:r w:rsidRPr="00DA0CBE">
        <w:t>.</w:t>
      </w:r>
      <w:fldSimple w:instr=" SEQ Figure \* ARABIC \s 1 ">
        <w:r w:rsidR="00433E17">
          <w:rPr>
            <w:noProof/>
          </w:rPr>
          <w:t>1</w:t>
        </w:r>
      </w:fldSimple>
      <w:bookmarkEnd w:id="170"/>
      <w:r w:rsidRPr="00DA0CBE">
        <w:t>: Labour force status by qualification level at age 25</w:t>
      </w:r>
      <w:bookmarkEnd w:id="171"/>
      <w:bookmarkEnd w:id="172"/>
      <w:bookmarkEnd w:id="173"/>
    </w:p>
    <w:p w14:paraId="4D6075B8" w14:textId="77777777" w:rsidR="005941A3" w:rsidRDefault="005941A3" w:rsidP="008A1D27">
      <w:pPr>
        <w:pStyle w:val="NoSpacing"/>
        <w:spacing w:after="0"/>
        <w:rPr>
          <w:rFonts w:cstheme="minorHAnsi"/>
          <w:sz w:val="20"/>
          <w:szCs w:val="20"/>
        </w:rPr>
      </w:pPr>
      <w:r>
        <w:rPr>
          <w:noProof/>
          <w:lang w:eastAsia="en-AU"/>
        </w:rPr>
        <w:drawing>
          <wp:inline distT="0" distB="0" distL="0" distR="0" wp14:anchorId="6338B13A" wp14:editId="10F3D6F1">
            <wp:extent cx="9372600" cy="4857750"/>
            <wp:effectExtent l="0" t="0" r="0" b="0"/>
            <wp:docPr id="25" name="Picture 25" descr="Figure 4.1 shows the labour force status at 25 by highest educational attainment for each cohort. The graph depicts the relationship between full time employment and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72600" cy="4857750"/>
                    </a:xfrm>
                    <a:prstGeom prst="rect">
                      <a:avLst/>
                    </a:prstGeom>
                  </pic:spPr>
                </pic:pic>
              </a:graphicData>
            </a:graphic>
          </wp:inline>
        </w:drawing>
      </w:r>
    </w:p>
    <w:p w14:paraId="0890F537" w14:textId="77777777" w:rsidR="008A1D27" w:rsidRPr="004A576B" w:rsidRDefault="008A1D27" w:rsidP="008A1D27">
      <w:pPr>
        <w:pStyle w:val="NoSpacing"/>
        <w:spacing w:after="0"/>
        <w:rPr>
          <w:b/>
        </w:rPr>
      </w:pPr>
      <w:r w:rsidRPr="00DA08D8">
        <w:rPr>
          <w:rFonts w:cstheme="minorHAnsi"/>
          <w:b/>
          <w:sz w:val="20"/>
          <w:szCs w:val="20"/>
        </w:rPr>
        <w:t>Note:</w:t>
      </w:r>
      <w:r>
        <w:rPr>
          <w:rFonts w:cstheme="minorHAnsi"/>
          <w:sz w:val="20"/>
          <w:szCs w:val="20"/>
        </w:rPr>
        <w:t xml:space="preserve"> Bracketed year is the year of measurement for the cohort</w:t>
      </w:r>
    </w:p>
    <w:p w14:paraId="3C1C0736" w14:textId="77777777" w:rsidR="008A1D27" w:rsidRDefault="008A1D27" w:rsidP="008A1D27">
      <w:pPr>
        <w:pStyle w:val="Caption"/>
        <w:keepNext/>
        <w:sectPr w:rsidR="008A1D27" w:rsidSect="00BC0E4C">
          <w:pgSz w:w="16838" w:h="11906" w:orient="landscape"/>
          <w:pgMar w:top="720" w:right="720" w:bottom="720" w:left="720" w:header="709" w:footer="709" w:gutter="0"/>
          <w:cols w:space="708"/>
          <w:docGrid w:linePitch="360"/>
        </w:sectPr>
      </w:pPr>
    </w:p>
    <w:p w14:paraId="1A4D805B" w14:textId="77777777" w:rsidR="008A1D27" w:rsidRPr="004A62E0" w:rsidRDefault="008A1D27" w:rsidP="008A1D27">
      <w:r w:rsidRPr="004A62E0">
        <w:lastRenderedPageBreak/>
        <w:t xml:space="preserve">LSAY collects not only point in time labour force status, but also length of time in months spent unemployed in a given survey year. This is used to identify the prevalence of periods of unemployment and to look more closely at the duration of these spells. </w:t>
      </w:r>
      <w:r w:rsidR="00336C2C">
        <w:fldChar w:fldCharType="begin"/>
      </w:r>
      <w:r w:rsidR="00336C2C">
        <w:instrText xml:space="preserve"> REF _Ref31878636 \h </w:instrText>
      </w:r>
      <w:r w:rsidR="00336C2C">
        <w:fldChar w:fldCharType="separate"/>
      </w:r>
      <w:r w:rsidR="00433E17" w:rsidRPr="00DA0CBE">
        <w:t xml:space="preserve">Figure </w:t>
      </w:r>
      <w:r w:rsidR="00433E17">
        <w:rPr>
          <w:noProof/>
        </w:rPr>
        <w:t>4</w:t>
      </w:r>
      <w:r w:rsidR="00433E17" w:rsidRPr="00DA0CBE">
        <w:t>.</w:t>
      </w:r>
      <w:r w:rsidR="00433E17">
        <w:rPr>
          <w:noProof/>
        </w:rPr>
        <w:t>2</w:t>
      </w:r>
      <w:r w:rsidR="00336C2C">
        <w:fldChar w:fldCharType="end"/>
      </w:r>
      <w:r w:rsidR="00336C2C">
        <w:t xml:space="preserve"> </w:t>
      </w:r>
      <w:r w:rsidRPr="004A62E0">
        <w:t>shows two measures: the proportion of young people who experienced a period of at least one month of unemployment in three or more years out of the five years between ages 21 and 25, and the median duration in months of the longest unemployment spell. The median refers to the middle point in the total reported months in unemployment</w:t>
      </w:r>
      <w:r>
        <w:t>,</w:t>
      </w:r>
      <w:r w:rsidRPr="004A62E0">
        <w:t xml:space="preserve"> and is more robust to unusually high outlying values</w:t>
      </w:r>
      <w:r>
        <w:t xml:space="preserve"> than the mean</w:t>
      </w:r>
      <w:r w:rsidRPr="004A62E0">
        <w:t>. This is further disaggregated by educational attainment at age 25.</w:t>
      </w:r>
    </w:p>
    <w:p w14:paraId="2A41DF74" w14:textId="77777777" w:rsidR="008A1D27" w:rsidRDefault="008A1D27" w:rsidP="008A1D27">
      <w:r w:rsidRPr="004A62E0">
        <w:t xml:space="preserve">There is a clear difference in both occurrence and duration of unemployment between those who were established in the labour force prior to the GFC and those who finished school and emerged into a job market already affected by the economic downturn. Small differences can be seen between the first three cohorts, most notably a slight uptick in year 12 non-completers and an improvement for those with an apprenticeship or traineeship during the mining boom years. For the 2006 cohort, however, who were 21 in 2012 and 25 in 2016, the proportion who experienced multiple periods of unemployment increased substantially—tripling the previous cohorts’ figures in some attainment levels—and the median duration of the longest period of unemployment increased across all attainment levels by an average of 3 months. While some people would have been engaged with education in this time, most will have reached their full attainment and have struggled to find work. The percentage increase in unemployment spells for those with a bachelor degree or higher is similar to those with other types of educational attainment, suggesting that while employment prospects are still better for those with a higher education qualification, they are similarly affected by changes in labour market conditions. </w:t>
      </w:r>
    </w:p>
    <w:p w14:paraId="3C26280D" w14:textId="77777777" w:rsidR="008A1D27" w:rsidRPr="001A6DED" w:rsidRDefault="008A1D27" w:rsidP="008A1D27">
      <w:pPr>
        <w:sectPr w:rsidR="008A1D27" w:rsidRPr="001A6DED" w:rsidSect="00BC0E4C">
          <w:pgSz w:w="11906" w:h="16838"/>
          <w:pgMar w:top="1134" w:right="1134" w:bottom="1134" w:left="1134" w:header="708" w:footer="708" w:gutter="0"/>
          <w:cols w:space="708"/>
          <w:docGrid w:linePitch="360"/>
        </w:sectPr>
      </w:pPr>
    </w:p>
    <w:p w14:paraId="1EDB5C6E" w14:textId="77777777" w:rsidR="00E6179B" w:rsidRPr="00E6179B" w:rsidRDefault="008A1D27" w:rsidP="00E6179B">
      <w:pPr>
        <w:pStyle w:val="Figuretitle"/>
      </w:pPr>
      <w:bookmarkStart w:id="174" w:name="_Ref31878636"/>
      <w:bookmarkStart w:id="175" w:name="_Toc31878800"/>
      <w:r w:rsidRPr="00DA0CBE">
        <w:lastRenderedPageBreak/>
        <w:t xml:space="preserve">Figure </w:t>
      </w:r>
      <w:fldSimple w:instr=" STYLEREF 1 \s ">
        <w:r w:rsidR="00433E17">
          <w:rPr>
            <w:noProof/>
          </w:rPr>
          <w:t>4</w:t>
        </w:r>
      </w:fldSimple>
      <w:r w:rsidRPr="00DA0CBE">
        <w:t>.</w:t>
      </w:r>
      <w:fldSimple w:instr=" SEQ Figure \* ARABIC \s 1 ">
        <w:r w:rsidR="00433E17">
          <w:rPr>
            <w:noProof/>
          </w:rPr>
          <w:t>2</w:t>
        </w:r>
      </w:fldSimple>
      <w:bookmarkEnd w:id="174"/>
      <w:r w:rsidRPr="00DA0CBE">
        <w:t>: Periods of unemployment between 21 and 25, by qualification level at age 25</w:t>
      </w:r>
      <w:bookmarkEnd w:id="175"/>
    </w:p>
    <w:p w14:paraId="6075BC67" w14:textId="77777777" w:rsidR="00E6179B" w:rsidRDefault="00E6179B" w:rsidP="008A1D27">
      <w:pPr>
        <w:rPr>
          <w:rFonts w:cstheme="minorHAnsi"/>
          <w:sz w:val="20"/>
          <w:szCs w:val="20"/>
        </w:rPr>
      </w:pPr>
      <w:r>
        <w:rPr>
          <w:noProof/>
          <w:lang w:eastAsia="en-AU"/>
        </w:rPr>
        <w:drawing>
          <wp:inline distT="0" distB="0" distL="0" distR="0" wp14:anchorId="75898475" wp14:editId="36036D83">
            <wp:extent cx="9224618" cy="5143500"/>
            <wp:effectExtent l="0" t="0" r="0" b="0"/>
            <wp:docPr id="11" name="Picture 11" descr="Figure 4.2 shows the relationship between proportion who experienced unemployment in 3 of 5 years or more and median longest duration of unemployment in months, by cohort and qualification level at age 25. It shows that the proportion experiencing unemployment increased for the Y06 cohort, as did the median longest duration of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36726" cy="5150251"/>
                    </a:xfrm>
                    <a:prstGeom prst="rect">
                      <a:avLst/>
                    </a:prstGeom>
                  </pic:spPr>
                </pic:pic>
              </a:graphicData>
            </a:graphic>
          </wp:inline>
        </w:drawing>
      </w:r>
    </w:p>
    <w:p w14:paraId="1FC9B075" w14:textId="77777777" w:rsidR="00E6179B" w:rsidRDefault="00E6179B" w:rsidP="00E6179B">
      <w:pPr>
        <w:rPr>
          <w:rFonts w:cstheme="minorHAnsi"/>
          <w:sz w:val="20"/>
          <w:szCs w:val="20"/>
        </w:rPr>
      </w:pPr>
      <w:r w:rsidRPr="00597C6A">
        <w:rPr>
          <w:rFonts w:cstheme="minorHAnsi"/>
          <w:b/>
          <w:sz w:val="20"/>
          <w:szCs w:val="20"/>
        </w:rPr>
        <w:t>Note</w:t>
      </w:r>
      <w:r>
        <w:rPr>
          <w:rFonts w:cstheme="minorHAnsi"/>
          <w:sz w:val="20"/>
          <w:szCs w:val="20"/>
        </w:rPr>
        <w:t>: Bracketed year is the year of measurement for the cohort</w:t>
      </w:r>
    </w:p>
    <w:p w14:paraId="178347B5" w14:textId="77777777" w:rsidR="00E6179B" w:rsidRPr="00DA08D8" w:rsidRDefault="00E6179B" w:rsidP="008A1D27">
      <w:pPr>
        <w:rPr>
          <w:rFonts w:cstheme="minorHAnsi"/>
          <w:sz w:val="20"/>
          <w:szCs w:val="20"/>
        </w:rPr>
        <w:sectPr w:rsidR="00E6179B" w:rsidRPr="00DA08D8" w:rsidSect="00BC0E4C">
          <w:pgSz w:w="16838" w:h="11906" w:orient="landscape"/>
          <w:pgMar w:top="1134" w:right="1134" w:bottom="1134" w:left="1134" w:header="709" w:footer="709" w:gutter="0"/>
          <w:cols w:space="708"/>
          <w:docGrid w:linePitch="360"/>
        </w:sectPr>
      </w:pPr>
    </w:p>
    <w:p w14:paraId="22629E02" w14:textId="77777777" w:rsidR="008A1D27" w:rsidRPr="0075433A" w:rsidRDefault="008A1D27" w:rsidP="008A1D27">
      <w:pPr>
        <w:pStyle w:val="Heading2"/>
        <w:keepNext w:val="0"/>
        <w:keepLines w:val="0"/>
        <w:numPr>
          <w:ilvl w:val="1"/>
          <w:numId w:val="20"/>
        </w:numPr>
        <w:spacing w:before="0" w:line="259" w:lineRule="auto"/>
        <w:ind w:left="425" w:hanging="425"/>
      </w:pPr>
      <w:bookmarkStart w:id="176" w:name="_Toc31878870"/>
      <w:r>
        <w:lastRenderedPageBreak/>
        <w:t>Employment at Skill Level</w:t>
      </w:r>
      <w:bookmarkEnd w:id="176"/>
    </w:p>
    <w:p w14:paraId="3C546F7E" w14:textId="77777777" w:rsidR="008A1D27" w:rsidRDefault="008A1D27" w:rsidP="008A1D27">
      <w:r w:rsidRPr="004A62E0">
        <w:t xml:space="preserve">It is important to look beyond just whether or not people with various levels of attainment are employed and on what basis. One of the key reasons for pursuing further study is to invest in a future career, reflected by obtaining secure and appropriately skilled work. This helps to increase the likelihood of finding satisfying work and being financially secure, psychologically healthy and sufficiently independent down the track. </w:t>
      </w:r>
    </w:p>
    <w:p w14:paraId="0E461A88" w14:textId="77777777" w:rsidR="008A1D27" w:rsidRDefault="008A1D27" w:rsidP="00DA0CBE">
      <w:pPr>
        <w:pStyle w:val="Figuretitle"/>
      </w:pPr>
      <w:bookmarkStart w:id="177" w:name="_Ref31878667"/>
      <w:bookmarkStart w:id="178" w:name="_Toc31878801"/>
      <w:r w:rsidRPr="00B73CC9">
        <w:t xml:space="preserve">Figure </w:t>
      </w:r>
      <w:fldSimple w:instr=" STYLEREF 1 \s ">
        <w:r w:rsidR="00433E17">
          <w:rPr>
            <w:noProof/>
          </w:rPr>
          <w:t>4</w:t>
        </w:r>
      </w:fldSimple>
      <w:r w:rsidRPr="00B73CC9">
        <w:t>.</w:t>
      </w:r>
      <w:fldSimple w:instr=" SEQ Figure \* ARABIC \s 1 ">
        <w:r w:rsidR="00433E17">
          <w:rPr>
            <w:noProof/>
          </w:rPr>
          <w:t>3</w:t>
        </w:r>
      </w:fldSimple>
      <w:bookmarkEnd w:id="177"/>
      <w:r>
        <w:t>: Skill level</w:t>
      </w:r>
      <w:r w:rsidRPr="00B73CC9">
        <w:t xml:space="preserve"> of occupation compared to qualification at age 25</w:t>
      </w:r>
      <w:bookmarkEnd w:id="178"/>
    </w:p>
    <w:p w14:paraId="32747A25" w14:textId="77777777" w:rsidR="00652286" w:rsidRPr="001A6DED" w:rsidRDefault="00652286" w:rsidP="008A1D27">
      <w:pPr>
        <w:spacing w:after="0"/>
      </w:pPr>
      <w:r>
        <w:rPr>
          <w:noProof/>
          <w:lang w:eastAsia="en-AU"/>
        </w:rPr>
        <w:drawing>
          <wp:inline distT="0" distB="0" distL="0" distR="0" wp14:anchorId="49DEB1DC" wp14:editId="7F5A3204">
            <wp:extent cx="5080883" cy="3336968"/>
            <wp:effectExtent l="0" t="0" r="5715" b="0"/>
            <wp:docPr id="6" name="Picture 6" descr="Figure 4.3 shows the proportion of young people working in a job requiring skills that match their level of educational attainment for the three LSAY cohorts. The graph depicts the relationship between higher educational attainment and job skills match and the downward trend of this measu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86313" cy="3340534"/>
                    </a:xfrm>
                    <a:prstGeom prst="rect">
                      <a:avLst/>
                    </a:prstGeom>
                  </pic:spPr>
                </pic:pic>
              </a:graphicData>
            </a:graphic>
          </wp:inline>
        </w:drawing>
      </w:r>
    </w:p>
    <w:p w14:paraId="397EB3C2" w14:textId="77777777" w:rsidR="008A1D27" w:rsidRPr="00C11809" w:rsidRDefault="008A1D27" w:rsidP="008A1D27">
      <w:pPr>
        <w:spacing w:after="0"/>
        <w:rPr>
          <w:rFonts w:cstheme="minorHAnsi"/>
          <w:sz w:val="18"/>
        </w:rPr>
      </w:pPr>
      <w:r w:rsidRPr="00C11809">
        <w:rPr>
          <w:rFonts w:cstheme="minorHAnsi"/>
          <w:b/>
          <w:sz w:val="18"/>
        </w:rPr>
        <w:t>Note:</w:t>
      </w:r>
      <w:r w:rsidRPr="00C11809">
        <w:rPr>
          <w:rFonts w:cstheme="minorHAnsi"/>
          <w:sz w:val="18"/>
        </w:rPr>
        <w:t xml:space="preserve"> Occupational and qualification alignment denotes young pe</w:t>
      </w:r>
      <w:r>
        <w:rPr>
          <w:rFonts w:cstheme="minorHAnsi"/>
          <w:sz w:val="18"/>
        </w:rPr>
        <w:t xml:space="preserve">ople employed </w:t>
      </w:r>
      <w:r w:rsidRPr="00C11809">
        <w:rPr>
          <w:rFonts w:cstheme="minorHAnsi"/>
          <w:sz w:val="18"/>
        </w:rPr>
        <w:t>in a job requiring skills that match their level of educational attainment. Bracketed year is the year of measurement for the cohort</w:t>
      </w:r>
      <w:r>
        <w:rPr>
          <w:rFonts w:cstheme="minorHAnsi"/>
          <w:sz w:val="18"/>
        </w:rPr>
        <w:t>.</w:t>
      </w:r>
    </w:p>
    <w:p w14:paraId="4CC2FCE8" w14:textId="77777777" w:rsidR="008A1D27" w:rsidRPr="00C11809" w:rsidRDefault="008A1D27" w:rsidP="008A1D27">
      <w:pPr>
        <w:spacing w:after="0"/>
        <w:rPr>
          <w:rFonts w:cstheme="minorHAnsi"/>
          <w:sz w:val="18"/>
          <w:szCs w:val="20"/>
        </w:rPr>
      </w:pPr>
      <w:r w:rsidRPr="00C11809">
        <w:rPr>
          <w:rFonts w:cstheme="minorHAnsi"/>
          <w:sz w:val="18"/>
          <w:szCs w:val="20"/>
        </w:rPr>
        <w:t>*Low and high skill jobs classifications are derived from the Austr</w:t>
      </w:r>
      <w:r>
        <w:rPr>
          <w:rFonts w:cstheme="minorHAnsi"/>
          <w:sz w:val="18"/>
          <w:szCs w:val="20"/>
        </w:rPr>
        <w:t>alian New Zealand Occupational C</w:t>
      </w:r>
      <w:r w:rsidR="00652286">
        <w:rPr>
          <w:rFonts w:cstheme="minorHAnsi"/>
          <w:sz w:val="18"/>
          <w:szCs w:val="20"/>
        </w:rPr>
        <w:t>lassification (</w:t>
      </w:r>
      <w:r w:rsidRPr="00C11809">
        <w:rPr>
          <w:rFonts w:cstheme="minorHAnsi"/>
          <w:sz w:val="18"/>
          <w:szCs w:val="20"/>
        </w:rPr>
        <w:t xml:space="preserve">ANZOC) </w:t>
      </w:r>
    </w:p>
    <w:p w14:paraId="6F6D2B8B" w14:textId="77777777" w:rsidR="008A1D27" w:rsidRPr="00CC3CE4" w:rsidRDefault="008A1D27" w:rsidP="008A1D27">
      <w:pPr>
        <w:spacing w:after="0"/>
        <w:rPr>
          <w:rFonts w:cstheme="minorHAnsi"/>
          <w:sz w:val="20"/>
        </w:rPr>
      </w:pPr>
    </w:p>
    <w:p w14:paraId="4A2C567A" w14:textId="77777777" w:rsidR="008A1D27" w:rsidRDefault="00336C2C" w:rsidP="008A1D27">
      <w:r>
        <w:fldChar w:fldCharType="begin"/>
      </w:r>
      <w:r>
        <w:instrText xml:space="preserve"> REF _Ref31878667 \h </w:instrText>
      </w:r>
      <w:r>
        <w:fldChar w:fldCharType="separate"/>
      </w:r>
      <w:r w:rsidR="00433E17" w:rsidRPr="00B73CC9">
        <w:t xml:space="preserve">Figure </w:t>
      </w:r>
      <w:r w:rsidR="00433E17">
        <w:rPr>
          <w:noProof/>
        </w:rPr>
        <w:t>4</w:t>
      </w:r>
      <w:r w:rsidR="00433E17" w:rsidRPr="00B73CC9">
        <w:t>.</w:t>
      </w:r>
      <w:r w:rsidR="00433E17">
        <w:rPr>
          <w:noProof/>
        </w:rPr>
        <w:t>3</w:t>
      </w:r>
      <w:r>
        <w:fldChar w:fldCharType="end"/>
      </w:r>
      <w:r w:rsidR="008A1D27" w:rsidRPr="004A62E0">
        <w:t xml:space="preserve"> shows that those with higher </w:t>
      </w:r>
      <w:r w:rsidR="00E70E40">
        <w:t>education qualifications or an A</w:t>
      </w:r>
      <w:r w:rsidR="008A1D27" w:rsidRPr="004A62E0">
        <w:t>pprenticeship-based vocational qualification have higher rates of gaining employment at or ab</w:t>
      </w:r>
      <w:r w:rsidR="00E70E40">
        <w:t>ove their skill level than non-A</w:t>
      </w:r>
      <w:r w:rsidR="008A1D27" w:rsidRPr="004A62E0">
        <w:t>pprenticeship vocational qualifications. The proportion of 25 year olds employed in an occupation at or above their skill level is reducing over cohorts. This suggests that more young people are overqualified for the jobs they are in. A secondary but very important consequence is that those without qualifications are increasingly competing with overqualified individuals for low-skilled jobs. This, combined with a tight middle- and low-skilled job market, has resulted in the increased marginalisation of those without further qualifications in the job market.</w:t>
      </w:r>
    </w:p>
    <w:p w14:paraId="21FE5E37" w14:textId="77777777" w:rsidR="008A1D27" w:rsidRDefault="008A1D27" w:rsidP="008A1D27">
      <w:pPr>
        <w:pStyle w:val="Heading2"/>
        <w:keepNext w:val="0"/>
        <w:keepLines w:val="0"/>
        <w:numPr>
          <w:ilvl w:val="1"/>
          <w:numId w:val="20"/>
        </w:numPr>
        <w:spacing w:before="0" w:line="259" w:lineRule="auto"/>
        <w:ind w:left="425" w:hanging="425"/>
      </w:pPr>
      <w:bookmarkStart w:id="179" w:name="_Toc31878871"/>
      <w:r>
        <w:t>Field of Study</w:t>
      </w:r>
      <w:bookmarkEnd w:id="179"/>
    </w:p>
    <w:p w14:paraId="367119EE" w14:textId="77777777" w:rsidR="008A1D27" w:rsidRDefault="008A1D27" w:rsidP="008A1D27">
      <w:r w:rsidRPr="004A62E0">
        <w:t>Fields of study that involve the acquisition and application of specialist skills and knowledge, such as Engineering and Related Studies or Management and Commerce, tend to lead to higher rates of secure a</w:t>
      </w:r>
      <w:r>
        <w:t>nd stable employment (</w:t>
      </w:r>
      <w:r w:rsidR="00336C2C">
        <w:fldChar w:fldCharType="begin"/>
      </w:r>
      <w:r w:rsidR="00336C2C">
        <w:instrText xml:space="preserve"> REF _Ref31878691 \h </w:instrText>
      </w:r>
      <w:r w:rsidR="00336C2C">
        <w:fldChar w:fldCharType="separate"/>
      </w:r>
      <w:r w:rsidR="00433E17" w:rsidRPr="00B73CC9">
        <w:t xml:space="preserve">Figure </w:t>
      </w:r>
      <w:r w:rsidR="00433E17">
        <w:rPr>
          <w:noProof/>
        </w:rPr>
        <w:t>4</w:t>
      </w:r>
      <w:r w:rsidR="00433E17" w:rsidRPr="00B73CC9">
        <w:t>.</w:t>
      </w:r>
      <w:r w:rsidR="00433E17">
        <w:rPr>
          <w:noProof/>
        </w:rPr>
        <w:t>4</w:t>
      </w:r>
      <w:r w:rsidR="00336C2C">
        <w:fldChar w:fldCharType="end"/>
      </w:r>
      <w:r w:rsidRPr="004A62E0">
        <w:t xml:space="preserve">). Conversely, more generalist courses (for example, Creative Arts or Agriculture, Environment and Related Studies) tend to lead to lower rates of </w:t>
      </w:r>
      <w:r>
        <w:t xml:space="preserve">ongoing </w:t>
      </w:r>
      <w:r w:rsidRPr="004A62E0">
        <w:t xml:space="preserve">employment. When compared with the labour force profile of those who did no post-school </w:t>
      </w:r>
      <w:r w:rsidRPr="004A62E0">
        <w:lastRenderedPageBreak/>
        <w:t xml:space="preserve">study, </w:t>
      </w:r>
      <w:r>
        <w:t>eight</w:t>
      </w:r>
      <w:r w:rsidRPr="004A62E0">
        <w:t xml:space="preserve"> out of eleven fields of study had a higher rate of</w:t>
      </w:r>
      <w:r>
        <w:t xml:space="preserve"> ongoing employment</w:t>
      </w:r>
      <w:r w:rsidRPr="004A62E0">
        <w:t xml:space="preserve">, a higher rate of participation in work and a lower rate of labour force non-participation. </w:t>
      </w:r>
    </w:p>
    <w:p w14:paraId="2BFC90E9" w14:textId="77777777" w:rsidR="008A1D27" w:rsidRPr="005941A3" w:rsidRDefault="008A1D27" w:rsidP="00DA0CBE">
      <w:pPr>
        <w:pStyle w:val="Figuretitle"/>
      </w:pPr>
      <w:bookmarkStart w:id="180" w:name="_Ref31878691"/>
      <w:bookmarkStart w:id="181" w:name="_Toc31878802"/>
      <w:r w:rsidRPr="00B73CC9">
        <w:t xml:space="preserve">Figure </w:t>
      </w:r>
      <w:fldSimple w:instr=" STYLEREF 1 \s ">
        <w:r w:rsidR="00433E17">
          <w:rPr>
            <w:noProof/>
          </w:rPr>
          <w:t>4</w:t>
        </w:r>
      </w:fldSimple>
      <w:r w:rsidRPr="00B73CC9">
        <w:t>.</w:t>
      </w:r>
      <w:fldSimple w:instr=" SEQ Figure \* ARABIC \s 1 ">
        <w:r w:rsidR="00433E17">
          <w:rPr>
            <w:noProof/>
          </w:rPr>
          <w:t>4</w:t>
        </w:r>
      </w:fldSimple>
      <w:bookmarkEnd w:id="180"/>
      <w:r w:rsidRPr="00B73CC9">
        <w:t xml:space="preserve">: </w:t>
      </w:r>
      <w:r>
        <w:t xml:space="preserve">Labour force status at age </w:t>
      </w:r>
      <w:r w:rsidRPr="00B73CC9">
        <w:t>25</w:t>
      </w:r>
      <w:r>
        <w:t xml:space="preserve"> by field of post-school study, Y03 and Y06 cohorts</w:t>
      </w:r>
      <w:bookmarkEnd w:id="181"/>
    </w:p>
    <w:p w14:paraId="134FFF22" w14:textId="77777777" w:rsidR="005941A3" w:rsidRPr="00DA08D8" w:rsidRDefault="005941A3" w:rsidP="008A1D27">
      <w:pPr>
        <w:spacing w:after="0"/>
        <w:rPr>
          <w:rFonts w:cstheme="minorHAnsi"/>
          <w:sz w:val="20"/>
        </w:rPr>
      </w:pPr>
      <w:r>
        <w:rPr>
          <w:noProof/>
          <w:lang w:eastAsia="en-AU"/>
        </w:rPr>
        <w:drawing>
          <wp:inline distT="0" distB="0" distL="0" distR="0" wp14:anchorId="423DAF46" wp14:editId="5379F8F4">
            <wp:extent cx="5638800" cy="3590925"/>
            <wp:effectExtent l="0" t="0" r="0" b="9525"/>
            <wp:docPr id="28" name="Picture 28" descr="Figure 4.4 shows the labour force status of 25 years olds by their field of post school study. The bars are ordered by fields with the highest to lowest ongoing employment prospects. Engineering and related studies are at the top of the graph and Creative Art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38800" cy="3590925"/>
                    </a:xfrm>
                    <a:prstGeom prst="rect">
                      <a:avLst/>
                    </a:prstGeom>
                  </pic:spPr>
                </pic:pic>
              </a:graphicData>
            </a:graphic>
          </wp:inline>
        </w:drawing>
      </w:r>
    </w:p>
    <w:p w14:paraId="7EFB6F93" w14:textId="77777777" w:rsidR="008A1D27" w:rsidRPr="00DA08D8" w:rsidRDefault="008A1D27" w:rsidP="008A1D27">
      <w:pPr>
        <w:spacing w:afterLines="160" w:after="384"/>
        <w:rPr>
          <w:rFonts w:cstheme="minorHAnsi"/>
          <w:b/>
          <w:sz w:val="18"/>
        </w:rPr>
      </w:pPr>
      <w:r w:rsidRPr="00DA08D8">
        <w:rPr>
          <w:rFonts w:cstheme="minorHAnsi"/>
          <w:b/>
          <w:sz w:val="18"/>
        </w:rPr>
        <w:t xml:space="preserve">Note: </w:t>
      </w:r>
      <w:r w:rsidRPr="00DA08D8">
        <w:rPr>
          <w:rFonts w:cstheme="minorHAnsi"/>
          <w:sz w:val="18"/>
        </w:rPr>
        <w:t xml:space="preserve">Ongoing </w:t>
      </w:r>
      <w:r>
        <w:rPr>
          <w:rFonts w:cstheme="minorHAnsi"/>
          <w:sz w:val="18"/>
        </w:rPr>
        <w:t xml:space="preserve">and casual </w:t>
      </w:r>
      <w:r w:rsidRPr="00DA08D8">
        <w:rPr>
          <w:rFonts w:cstheme="minorHAnsi"/>
          <w:sz w:val="18"/>
        </w:rPr>
        <w:t>refers to</w:t>
      </w:r>
      <w:r>
        <w:rPr>
          <w:rFonts w:cstheme="minorHAnsi"/>
          <w:sz w:val="18"/>
        </w:rPr>
        <w:t xml:space="preserve"> both</w:t>
      </w:r>
      <w:r w:rsidRPr="00DA08D8">
        <w:rPr>
          <w:rFonts w:cstheme="minorHAnsi"/>
          <w:sz w:val="18"/>
        </w:rPr>
        <w:t xml:space="preserve"> full time and part time </w:t>
      </w:r>
      <w:r>
        <w:rPr>
          <w:rFonts w:cstheme="minorHAnsi"/>
          <w:sz w:val="18"/>
        </w:rPr>
        <w:t>employment.</w:t>
      </w:r>
    </w:p>
    <w:p w14:paraId="0EF44B66" w14:textId="77777777" w:rsidR="008A1D27" w:rsidRDefault="008A1D27" w:rsidP="008A1D27">
      <w:pPr>
        <w:spacing w:afterLines="160" w:after="384"/>
        <w:rPr>
          <w:rFonts w:eastAsiaTheme="majorEastAsia" w:cstheme="majorBidi"/>
          <w:b/>
          <w:bCs/>
          <w:color w:val="522761"/>
          <w:sz w:val="36"/>
          <w:szCs w:val="28"/>
        </w:rPr>
      </w:pPr>
      <w:r w:rsidRPr="004A62E0">
        <w:t xml:space="preserve">Although these results suggest that some fields of study </w:t>
      </w:r>
      <w:r>
        <w:t>may be</w:t>
      </w:r>
      <w:r w:rsidRPr="004A62E0">
        <w:t xml:space="preserve"> less beneficial tha</w:t>
      </w:r>
      <w:r>
        <w:t>n not studying at all, the</w:t>
      </w:r>
      <w:r w:rsidRPr="004A62E0">
        <w:t xml:space="preserve"> results may be explained by the following limitations. Some participants will still be studying at the conclusion of the 10-year follow up period, which is especially true for longer degrees that tend to have higher pay off in terms of positive labour force outcomes</w:t>
      </w:r>
      <w:r>
        <w:t xml:space="preserve"> over the long term</w:t>
      </w:r>
      <w:r w:rsidRPr="004A62E0">
        <w:t>. Similarly, many of these people will have only recently completed their qualifications, and may be waiting to see pay off in terms of finding work and becoming established in their field. Additionally, this particular figure pools together vocational and higher education qualifications, and those with vocational qualifications will generally have had a longer period of time to get a foothold in the workforce than their equivalent field university student counterparts.</w:t>
      </w:r>
      <w:r>
        <w:br w:type="page"/>
      </w:r>
    </w:p>
    <w:p w14:paraId="4CFD383C" w14:textId="77777777" w:rsidR="008A1D27" w:rsidRDefault="008A1D27" w:rsidP="008A1D27">
      <w:pPr>
        <w:pStyle w:val="Heading1"/>
        <w:keepNext w:val="0"/>
        <w:keepLines w:val="0"/>
        <w:numPr>
          <w:ilvl w:val="0"/>
          <w:numId w:val="21"/>
        </w:numPr>
        <w:spacing w:before="0" w:after="240" w:line="259" w:lineRule="auto"/>
        <w:contextualSpacing/>
      </w:pPr>
      <w:bookmarkStart w:id="182" w:name="_Toc31878872"/>
      <w:r w:rsidRPr="00623D22">
        <w:lastRenderedPageBreak/>
        <w:t>Social Outcomes</w:t>
      </w:r>
      <w:bookmarkEnd w:id="182"/>
    </w:p>
    <w:p w14:paraId="296327C5" w14:textId="77777777" w:rsidR="008A1D27" w:rsidRPr="00730923" w:rsidRDefault="008A1D27" w:rsidP="008A1D27">
      <w:pPr>
        <w:spacing w:after="0"/>
      </w:pPr>
      <w:r w:rsidRPr="004A62E0">
        <w:t>The choices that young people make along their journey from school to the workforce are important in ensuring a successful transition to stable work, a satisfying and suitable job and a good sense of independence and wellbeing. Changes in the labour market can be seen to be influencing social outcomes, with delays in financial and social independence, reduced life and career satisfaction, reduced satisfaction with the government and the economy, and increased psych</w:t>
      </w:r>
      <w:r>
        <w:t xml:space="preserve">ological and financial stress. </w:t>
      </w:r>
      <w:bookmarkStart w:id="183" w:name="_Toc22741756"/>
      <w:bookmarkStart w:id="184" w:name="_Toc22809390"/>
      <w:bookmarkStart w:id="185" w:name="_Toc22810247"/>
      <w:bookmarkStart w:id="186" w:name="_Toc22810471"/>
      <w:bookmarkStart w:id="187" w:name="_Toc22810762"/>
      <w:bookmarkStart w:id="188" w:name="_Toc22810853"/>
      <w:bookmarkStart w:id="189" w:name="_Toc22811027"/>
      <w:bookmarkStart w:id="190" w:name="_Toc22811135"/>
      <w:bookmarkStart w:id="191" w:name="_Toc22827279"/>
      <w:bookmarkStart w:id="192" w:name="_Toc22827332"/>
      <w:bookmarkStart w:id="193" w:name="_Toc22827731"/>
      <w:bookmarkEnd w:id="183"/>
      <w:bookmarkEnd w:id="184"/>
      <w:bookmarkEnd w:id="185"/>
      <w:bookmarkEnd w:id="186"/>
      <w:bookmarkEnd w:id="187"/>
      <w:bookmarkEnd w:id="188"/>
      <w:bookmarkEnd w:id="189"/>
      <w:bookmarkEnd w:id="190"/>
      <w:bookmarkEnd w:id="191"/>
      <w:bookmarkEnd w:id="192"/>
      <w:bookmarkEnd w:id="193"/>
    </w:p>
    <w:p w14:paraId="5BF97F77" w14:textId="77777777" w:rsidR="008A1D27" w:rsidRPr="0028536B" w:rsidRDefault="008A1D27" w:rsidP="008A1D27">
      <w:pPr>
        <w:pStyle w:val="ListParagraph"/>
        <w:numPr>
          <w:ilvl w:val="0"/>
          <w:numId w:val="20"/>
        </w:numPr>
        <w:spacing w:after="0" w:line="259" w:lineRule="auto"/>
        <w:contextualSpacing w:val="0"/>
        <w:outlineLvl w:val="1"/>
        <w:rPr>
          <w:rFonts w:eastAsiaTheme="majorEastAsia" w:cstheme="majorBidi"/>
          <w:bCs/>
          <w:vanish/>
          <w:sz w:val="16"/>
          <w:szCs w:val="16"/>
        </w:rPr>
      </w:pPr>
      <w:bookmarkStart w:id="194" w:name="_Toc22827732"/>
      <w:bookmarkStart w:id="195" w:name="_Toc22827786"/>
      <w:bookmarkStart w:id="196" w:name="_Toc22827823"/>
      <w:bookmarkStart w:id="197" w:name="_Toc22828003"/>
      <w:bookmarkStart w:id="198" w:name="_Toc22885555"/>
      <w:bookmarkStart w:id="199" w:name="_Toc22901428"/>
      <w:bookmarkStart w:id="200" w:name="_Toc23232752"/>
      <w:bookmarkStart w:id="201" w:name="_Toc23237623"/>
      <w:bookmarkStart w:id="202" w:name="_Toc31612131"/>
      <w:bookmarkStart w:id="203" w:name="_Toc31878839"/>
      <w:bookmarkStart w:id="204" w:name="_Toc31878873"/>
      <w:bookmarkEnd w:id="194"/>
      <w:bookmarkEnd w:id="195"/>
      <w:bookmarkEnd w:id="196"/>
      <w:bookmarkEnd w:id="197"/>
      <w:bookmarkEnd w:id="198"/>
      <w:bookmarkEnd w:id="199"/>
      <w:bookmarkEnd w:id="200"/>
      <w:bookmarkEnd w:id="201"/>
      <w:bookmarkEnd w:id="202"/>
      <w:bookmarkEnd w:id="203"/>
      <w:bookmarkEnd w:id="204"/>
    </w:p>
    <w:p w14:paraId="0D9BDC57" w14:textId="77777777" w:rsidR="008A1D27" w:rsidRDefault="008A1D27" w:rsidP="008A1D27">
      <w:pPr>
        <w:pStyle w:val="Heading2"/>
        <w:keepNext w:val="0"/>
        <w:keepLines w:val="0"/>
        <w:numPr>
          <w:ilvl w:val="1"/>
          <w:numId w:val="20"/>
        </w:numPr>
        <w:spacing w:before="0" w:line="259" w:lineRule="auto"/>
      </w:pPr>
      <w:r>
        <w:t xml:space="preserve"> </w:t>
      </w:r>
      <w:bookmarkStart w:id="205" w:name="_Toc31878874"/>
      <w:r>
        <w:t>Financial and Social independence</w:t>
      </w:r>
      <w:bookmarkEnd w:id="205"/>
    </w:p>
    <w:p w14:paraId="2F609C7F" w14:textId="77777777" w:rsidR="008A1D27" w:rsidRPr="00534E8A" w:rsidRDefault="008A1D27" w:rsidP="008A1D27">
      <w:pPr>
        <w:rPr>
          <w:rFonts w:cstheme="minorHAnsi"/>
        </w:rPr>
      </w:pPr>
      <w:r w:rsidRPr="004A62E0">
        <w:t xml:space="preserve">While the concept of ‘adulthood’ is broad and cannot be measured by any one event or milestone, the achievement of independent living and stable employment are two metrics that can be considered as relevant for adulthood. On both these metrics, the transition to adulthood is taking longer. </w:t>
      </w:r>
    </w:p>
    <w:p w14:paraId="28607207" w14:textId="77777777" w:rsidR="005941A3" w:rsidRPr="00DA0CBE" w:rsidRDefault="008A1D27" w:rsidP="00DA0CBE">
      <w:pPr>
        <w:pStyle w:val="Figuretitle"/>
      </w:pPr>
      <w:bookmarkStart w:id="206" w:name="_Ref20921889"/>
      <w:bookmarkStart w:id="207" w:name="_Toc529882181"/>
      <w:bookmarkStart w:id="208" w:name="_Toc529882485"/>
      <w:bookmarkStart w:id="209" w:name="_Toc31878803"/>
      <w:r w:rsidRPr="00DA0CBE">
        <w:t xml:space="preserve">Figure </w:t>
      </w:r>
      <w:fldSimple w:instr=" STYLEREF 1 \s ">
        <w:r w:rsidR="00433E17">
          <w:rPr>
            <w:noProof/>
          </w:rPr>
          <w:t>5</w:t>
        </w:r>
      </w:fldSimple>
      <w:r w:rsidRPr="00DA0CBE">
        <w:t>.</w:t>
      </w:r>
      <w:fldSimple w:instr=" SEQ Figure \* ARABIC \s 1 ">
        <w:r w:rsidR="00433E17">
          <w:rPr>
            <w:noProof/>
          </w:rPr>
          <w:t>1</w:t>
        </w:r>
      </w:fldSimple>
      <w:bookmarkEnd w:id="206"/>
      <w:r w:rsidRPr="00DA0CBE">
        <w:t>: Transitions from full-time study to full-time work</w:t>
      </w:r>
      <w:bookmarkEnd w:id="207"/>
      <w:bookmarkEnd w:id="208"/>
      <w:bookmarkEnd w:id="209"/>
    </w:p>
    <w:p w14:paraId="170351BC" w14:textId="77777777" w:rsidR="00F15A35" w:rsidRPr="001A6DED" w:rsidRDefault="00F15A35" w:rsidP="008A1D27">
      <w:r>
        <w:rPr>
          <w:noProof/>
          <w:lang w:eastAsia="en-AU"/>
        </w:rPr>
        <w:drawing>
          <wp:inline distT="0" distB="0" distL="0" distR="0" wp14:anchorId="09509165" wp14:editId="72E6809E">
            <wp:extent cx="5731510" cy="3707130"/>
            <wp:effectExtent l="0" t="0" r="2540" b="7620"/>
            <wp:docPr id="26" name="Picture 26" descr="Figure 5.1 shows the percentage of young people in full-time study and full-time work for the Y95, Y03 and Y09 cohorts by age. The graph depicts the employment line moving further out for later cohorts, and the study line moving in demonstrating the slower transition from study to the labour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707130"/>
                    </a:xfrm>
                    <a:prstGeom prst="rect">
                      <a:avLst/>
                    </a:prstGeom>
                  </pic:spPr>
                </pic:pic>
              </a:graphicData>
            </a:graphic>
          </wp:inline>
        </w:drawing>
      </w:r>
    </w:p>
    <w:p w14:paraId="75634EF1" w14:textId="77777777" w:rsidR="008A1D27" w:rsidRPr="004A62E0" w:rsidRDefault="008A1D27" w:rsidP="008A1D27">
      <w:r w:rsidRPr="004A62E0">
        <w:t xml:space="preserve">The intersection points in </w:t>
      </w:r>
      <w:r>
        <w:fldChar w:fldCharType="begin"/>
      </w:r>
      <w:r>
        <w:instrText xml:space="preserve"> REF _Ref20921889 \h </w:instrText>
      </w:r>
      <w:r>
        <w:fldChar w:fldCharType="separate"/>
      </w:r>
      <w:r w:rsidR="00433E17" w:rsidRPr="00DA0CBE">
        <w:t xml:space="preserve">Figure </w:t>
      </w:r>
      <w:r w:rsidR="00433E17">
        <w:rPr>
          <w:noProof/>
        </w:rPr>
        <w:t>5</w:t>
      </w:r>
      <w:r w:rsidR="00433E17" w:rsidRPr="00DA0CBE">
        <w:t>.</w:t>
      </w:r>
      <w:r w:rsidR="00433E17">
        <w:rPr>
          <w:noProof/>
        </w:rPr>
        <w:t>1</w:t>
      </w:r>
      <w:r>
        <w:fldChar w:fldCharType="end"/>
      </w:r>
      <w:r>
        <w:t xml:space="preserve"> </w:t>
      </w:r>
      <w:r w:rsidRPr="004A62E0">
        <w:t xml:space="preserve">and </w:t>
      </w:r>
      <w:r>
        <w:fldChar w:fldCharType="begin"/>
      </w:r>
      <w:r>
        <w:instrText xml:space="preserve"> REF _Ref20921956 \h </w:instrText>
      </w:r>
      <w:r>
        <w:fldChar w:fldCharType="separate"/>
      </w:r>
      <w:r w:rsidR="00433E17" w:rsidRPr="00DA0CBE">
        <w:t xml:space="preserve">Figure </w:t>
      </w:r>
      <w:r w:rsidR="00433E17">
        <w:rPr>
          <w:noProof/>
        </w:rPr>
        <w:t>5</w:t>
      </w:r>
      <w:r w:rsidR="00433E17" w:rsidRPr="00DA0CBE">
        <w:t>.</w:t>
      </w:r>
      <w:r w:rsidR="00433E17">
        <w:rPr>
          <w:noProof/>
        </w:rPr>
        <w:t>2</w:t>
      </w:r>
      <w:r>
        <w:fldChar w:fldCharType="end"/>
      </w:r>
      <w:r w:rsidRPr="004A62E0">
        <w:t xml:space="preserve">— where </w:t>
      </w:r>
      <w:r>
        <w:t>the proportion</w:t>
      </w:r>
      <w:r w:rsidRPr="004A62E0">
        <w:t xml:space="preserve"> in full-time work are equivalent to those in full-time study, and </w:t>
      </w:r>
      <w:r>
        <w:t>the proportion</w:t>
      </w:r>
      <w:r w:rsidRPr="004A62E0">
        <w:t xml:space="preserve"> living </w:t>
      </w:r>
      <w:r>
        <w:t>independently</w:t>
      </w:r>
      <w:r w:rsidRPr="004A62E0">
        <w:t xml:space="preserve"> is equivalent to those living with parents—are occurring at a later age for each cohort. In the case of full-time education, this is largely driven by the lower proportion of young people who are able to find full-time work. For Y03 and Y09 there are a similar proportion of young people still studying full time </w:t>
      </w:r>
      <w:r>
        <w:t xml:space="preserve">however </w:t>
      </w:r>
      <w:r w:rsidR="00625F13">
        <w:t xml:space="preserve">the proportion of </w:t>
      </w:r>
      <w:r w:rsidRPr="004A62E0">
        <w:t xml:space="preserve">those in full-time work for Y09 is tracking well below where it was for the previous </w:t>
      </w:r>
      <w:proofErr w:type="gramStart"/>
      <w:r w:rsidRPr="004A62E0">
        <w:t>cohorts.</w:t>
      </w:r>
      <w:proofErr w:type="gramEnd"/>
      <w:r w:rsidRPr="004A62E0">
        <w:t xml:space="preserve"> In the case of living situation</w:t>
      </w:r>
      <w:r>
        <w:t>s</w:t>
      </w:r>
      <w:r w:rsidRPr="004A62E0">
        <w:t>, young people are making the switch from living at home to living independently later and later. By age 25 around a third of young people are still living at home, and this is increasing.</w:t>
      </w:r>
    </w:p>
    <w:p w14:paraId="7DD875D9" w14:textId="77777777" w:rsidR="008A1D27" w:rsidRPr="00DA0CBE" w:rsidRDefault="008A1D27" w:rsidP="00DA0CBE">
      <w:pPr>
        <w:pStyle w:val="Figuretitle"/>
      </w:pPr>
      <w:bookmarkStart w:id="210" w:name="_Ref20921956"/>
      <w:bookmarkStart w:id="211" w:name="_Toc529882182"/>
      <w:bookmarkStart w:id="212" w:name="_Toc529882486"/>
      <w:bookmarkStart w:id="213" w:name="_Toc31878804"/>
      <w:r w:rsidRPr="00DA0CBE">
        <w:lastRenderedPageBreak/>
        <w:t xml:space="preserve">Figure </w:t>
      </w:r>
      <w:fldSimple w:instr=" STYLEREF 1 \s ">
        <w:r w:rsidR="00433E17">
          <w:rPr>
            <w:noProof/>
          </w:rPr>
          <w:t>5</w:t>
        </w:r>
      </w:fldSimple>
      <w:r w:rsidRPr="00DA0CBE">
        <w:t>.</w:t>
      </w:r>
      <w:fldSimple w:instr=" SEQ Figure \* ARABIC \s 1 ">
        <w:r w:rsidR="00433E17">
          <w:rPr>
            <w:noProof/>
          </w:rPr>
          <w:t>2</w:t>
        </w:r>
      </w:fldSimple>
      <w:bookmarkEnd w:id="210"/>
      <w:r w:rsidRPr="00DA0CBE">
        <w:t>: Percentage of young people living in and out of the parental home</w:t>
      </w:r>
      <w:bookmarkEnd w:id="211"/>
      <w:bookmarkEnd w:id="212"/>
      <w:bookmarkEnd w:id="213"/>
    </w:p>
    <w:p w14:paraId="742E013C" w14:textId="77777777" w:rsidR="00A65A7E" w:rsidRPr="00632112" w:rsidRDefault="00A65A7E" w:rsidP="008A1D27">
      <w:pPr>
        <w:rPr>
          <w:rFonts w:cstheme="minorHAnsi"/>
        </w:rPr>
      </w:pPr>
      <w:r>
        <w:rPr>
          <w:noProof/>
          <w:lang w:eastAsia="en-AU"/>
        </w:rPr>
        <w:drawing>
          <wp:inline distT="0" distB="0" distL="0" distR="0" wp14:anchorId="0FE11EB1" wp14:editId="094FD2EE">
            <wp:extent cx="5731510" cy="3357245"/>
            <wp:effectExtent l="0" t="0" r="2540" b="0"/>
            <wp:docPr id="39" name="Picture 39" descr="Figure 5.2 shows the percentage of young people living at home and the percentage buying or renting for the Y95, Y03 and Y09 cohorts by age. The graph depicts the lines moving out for successive cohorts illustrating the increased time young people are spending  in the famil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357245"/>
                    </a:xfrm>
                    <a:prstGeom prst="rect">
                      <a:avLst/>
                    </a:prstGeom>
                  </pic:spPr>
                </pic:pic>
              </a:graphicData>
            </a:graphic>
          </wp:inline>
        </w:drawing>
      </w:r>
    </w:p>
    <w:p w14:paraId="23F2614C" w14:textId="77777777" w:rsidR="008A1D27" w:rsidRPr="004A62E0" w:rsidRDefault="008A1D27" w:rsidP="008A1D27">
      <w:r w:rsidRPr="004A62E0">
        <w:t>Delays in milestones such as moving out of the family home and finding full-time work often have flow</w:t>
      </w:r>
      <w:r w:rsidR="00625F13">
        <w:t>-</w:t>
      </w:r>
      <w:r w:rsidRPr="004A62E0">
        <w:t xml:space="preserve">on effects for other milestones such as owning a home, forming relationships and having children. </w:t>
      </w:r>
      <w:r>
        <w:fldChar w:fldCharType="begin"/>
      </w:r>
      <w:r>
        <w:instrText xml:space="preserve"> REF _Ref20921798 \h </w:instrText>
      </w:r>
      <w:r>
        <w:fldChar w:fldCharType="separate"/>
      </w:r>
      <w:r w:rsidR="00433E17" w:rsidRPr="00DA0CBE">
        <w:t xml:space="preserve">Figure </w:t>
      </w:r>
      <w:r w:rsidR="00433E17">
        <w:rPr>
          <w:noProof/>
        </w:rPr>
        <w:t>5</w:t>
      </w:r>
      <w:r w:rsidR="00433E17" w:rsidRPr="00DA0CBE">
        <w:t>.</w:t>
      </w:r>
      <w:r w:rsidR="00433E17">
        <w:rPr>
          <w:noProof/>
        </w:rPr>
        <w:t>3</w:t>
      </w:r>
      <w:r>
        <w:fldChar w:fldCharType="end"/>
      </w:r>
      <w:r>
        <w:t xml:space="preserve"> (left)</w:t>
      </w:r>
      <w:r w:rsidRPr="004A62E0">
        <w:t xml:space="preserve"> illustrates a decline in home ownership. Part of this decline is due to an increase in longer-term study choices, and therefore later entry into full-time employment and the resultant income boost. The remaining effects of the GFC on employment, </w:t>
      </w:r>
      <w:r w:rsidR="00625F13">
        <w:t>the reduction in</w:t>
      </w:r>
      <w:r w:rsidRPr="004A62E0">
        <w:t xml:space="preserve"> housing affordability, and the relatively high proportion</w:t>
      </w:r>
      <w:r>
        <w:t xml:space="preserve"> of youth</w:t>
      </w:r>
      <w:r w:rsidRPr="004A62E0">
        <w:t xml:space="preserve"> employed in casual jobs are also factors in reduced home ownership.</w:t>
      </w:r>
    </w:p>
    <w:p w14:paraId="248B55E3" w14:textId="77777777" w:rsidR="008A1D27" w:rsidRPr="004A62E0" w:rsidRDefault="008A1D27" w:rsidP="008A1D27">
      <w:r w:rsidRPr="004A62E0">
        <w:t xml:space="preserve">Young people are now less likely than ever to be purchasing their home, and as a result, they are slightly more likely to be renting. However, the drop in home ownership is on the whole not offset by renters, but rather by young people staying in the family home. </w:t>
      </w:r>
    </w:p>
    <w:p w14:paraId="106A9E90" w14:textId="77777777" w:rsidR="008A1D27" w:rsidRDefault="008A1D27" w:rsidP="008A1D27">
      <w:r w:rsidRPr="004A62E0">
        <w:t>Despite the changing trends in living situation, young people are not significantly less likely to be forming relationships and cohabiting with their partner, with approximately two in five young people being married or in a de facto relationship by age 25 (</w:t>
      </w:r>
      <w:r>
        <w:fldChar w:fldCharType="begin"/>
      </w:r>
      <w:r>
        <w:instrText xml:space="preserve"> REF _Ref20921798 \h </w:instrText>
      </w:r>
      <w:r>
        <w:fldChar w:fldCharType="separate"/>
      </w:r>
      <w:r w:rsidR="00433E17" w:rsidRPr="00DA0CBE">
        <w:t xml:space="preserve">Figure </w:t>
      </w:r>
      <w:r w:rsidR="00433E17">
        <w:rPr>
          <w:noProof/>
        </w:rPr>
        <w:t>5</w:t>
      </w:r>
      <w:r w:rsidR="00433E17" w:rsidRPr="00DA0CBE">
        <w:t>.</w:t>
      </w:r>
      <w:r w:rsidR="00433E17">
        <w:rPr>
          <w:noProof/>
        </w:rPr>
        <w:t>3</w:t>
      </w:r>
      <w:r>
        <w:fldChar w:fldCharType="end"/>
      </w:r>
      <w:r>
        <w:t xml:space="preserve"> right</w:t>
      </w:r>
      <w:r w:rsidRPr="004A62E0">
        <w:t>). However, the proportion of young people starting a family by age 25 has decreased by a third to just under one in ten.</w:t>
      </w:r>
    </w:p>
    <w:p w14:paraId="6551BD85" w14:textId="77777777" w:rsidR="00A65A7E" w:rsidRDefault="00A65A7E" w:rsidP="008A1D27"/>
    <w:p w14:paraId="0BE094E6" w14:textId="77777777" w:rsidR="00A65A7E" w:rsidRDefault="00A65A7E" w:rsidP="008A1D27"/>
    <w:p w14:paraId="41BCFF84" w14:textId="77777777" w:rsidR="00A65A7E" w:rsidRDefault="00A65A7E" w:rsidP="008A1D27"/>
    <w:p w14:paraId="0AA33B21" w14:textId="77777777" w:rsidR="00A65A7E" w:rsidRDefault="00A65A7E" w:rsidP="008A1D27"/>
    <w:p w14:paraId="3320221A" w14:textId="77777777" w:rsidR="00A65A7E" w:rsidRPr="004A62E0" w:rsidRDefault="00A65A7E" w:rsidP="008A1D27"/>
    <w:p w14:paraId="72C9135D" w14:textId="77777777" w:rsidR="00A65A7E" w:rsidRPr="00DA0CBE" w:rsidRDefault="008A1D27" w:rsidP="00DA0CBE">
      <w:pPr>
        <w:pStyle w:val="Figuretitle"/>
      </w:pPr>
      <w:bookmarkStart w:id="214" w:name="_Ref20921798"/>
      <w:bookmarkStart w:id="215" w:name="_Toc529882183"/>
      <w:bookmarkStart w:id="216" w:name="_Toc529882487"/>
      <w:bookmarkStart w:id="217" w:name="_Toc31878805"/>
      <w:r w:rsidRPr="00DA0CBE">
        <w:lastRenderedPageBreak/>
        <w:t xml:space="preserve">Figure </w:t>
      </w:r>
      <w:fldSimple w:instr=" STYLEREF 1 \s ">
        <w:r w:rsidR="00433E17">
          <w:rPr>
            <w:noProof/>
          </w:rPr>
          <w:t>5</w:t>
        </w:r>
      </w:fldSimple>
      <w:r w:rsidRPr="00DA0CBE">
        <w:t>.</w:t>
      </w:r>
      <w:fldSimple w:instr=" SEQ Figure \* ARABIC \s 1 ">
        <w:r w:rsidR="00433E17">
          <w:rPr>
            <w:noProof/>
          </w:rPr>
          <w:t>3</w:t>
        </w:r>
      </w:fldSimple>
      <w:bookmarkEnd w:id="214"/>
      <w:r w:rsidRPr="00DA0CBE">
        <w:t>: Living arrangements at age 25 (left); Family status at age 25 (right)</w:t>
      </w:r>
      <w:bookmarkEnd w:id="215"/>
      <w:bookmarkEnd w:id="216"/>
      <w:bookmarkEnd w:id="217"/>
    </w:p>
    <w:p w14:paraId="26F8C169" w14:textId="77777777" w:rsidR="008A1D27" w:rsidRDefault="00A65A7E" w:rsidP="008A1D27">
      <w:pPr>
        <w:rPr>
          <w:rFonts w:cstheme="minorHAnsi"/>
        </w:rPr>
      </w:pPr>
      <w:r>
        <w:rPr>
          <w:noProof/>
          <w:lang w:eastAsia="en-AU"/>
        </w:rPr>
        <w:drawing>
          <wp:inline distT="0" distB="0" distL="0" distR="0" wp14:anchorId="5B75BC8B" wp14:editId="4ECF1742">
            <wp:extent cx="5958840" cy="3024973"/>
            <wp:effectExtent l="0" t="0" r="3810" b="4445"/>
            <wp:docPr id="40" name="Picture 40" descr="Figure 5.3 shows the living arrangements and family status of young people for the Y95, Y98, Y03 and Y06 cohorts at age 25. The graph plots the fall in home ownership rates or those with mortgages over time and the corresponding increase in those renting. It also shows a decline in the proportion of those that are married or de facto or have one or more children by 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67507" cy="3029373"/>
                    </a:xfrm>
                    <a:prstGeom prst="rect">
                      <a:avLst/>
                    </a:prstGeom>
                  </pic:spPr>
                </pic:pic>
              </a:graphicData>
            </a:graphic>
          </wp:inline>
        </w:drawing>
      </w:r>
      <w:r w:rsidR="008A1D27" w:rsidRPr="00DA08D8">
        <w:rPr>
          <w:rFonts w:cstheme="minorHAnsi"/>
          <w:b/>
          <w:sz w:val="20"/>
          <w:szCs w:val="20"/>
        </w:rPr>
        <w:t>Note:</w:t>
      </w:r>
      <w:r w:rsidR="008A1D27">
        <w:rPr>
          <w:rFonts w:cstheme="minorHAnsi"/>
          <w:sz w:val="20"/>
          <w:szCs w:val="20"/>
        </w:rPr>
        <w:t xml:space="preserve"> Bracketed year is the year of measurement for the cohort</w:t>
      </w:r>
    </w:p>
    <w:p w14:paraId="30209EE7" w14:textId="77777777" w:rsidR="008A1D27" w:rsidRDefault="008A1D27" w:rsidP="008A1D27">
      <w:pPr>
        <w:pStyle w:val="Heading2"/>
        <w:keepNext w:val="0"/>
        <w:keepLines w:val="0"/>
        <w:numPr>
          <w:ilvl w:val="1"/>
          <w:numId w:val="20"/>
        </w:numPr>
        <w:spacing w:before="0" w:line="259" w:lineRule="auto"/>
      </w:pPr>
      <w:r>
        <w:t xml:space="preserve"> </w:t>
      </w:r>
      <w:bookmarkStart w:id="218" w:name="_Toc31878875"/>
      <w:r>
        <w:t>Stress and Wellbeing</w:t>
      </w:r>
      <w:bookmarkEnd w:id="218"/>
    </w:p>
    <w:p w14:paraId="6E7CE1E0" w14:textId="77777777" w:rsidR="008A1D27" w:rsidRPr="004A62E0" w:rsidRDefault="008A1D27" w:rsidP="008A1D27">
      <w:r w:rsidRPr="004A62E0">
        <w:t>Financial stress and psychological distress provide two important indicators of wellbeing. Feeling stressed financially, or feeling anxious or depressed, are closely related to overall poorer health and can have a severe impact on quality of life and the ability to acquire or keep a job. Overall, both financial stress and psychological distress have been on the increase among young adults (</w:t>
      </w:r>
      <w:r>
        <w:fldChar w:fldCharType="begin"/>
      </w:r>
      <w:r>
        <w:instrText xml:space="preserve"> REF _Ref20921757 \h </w:instrText>
      </w:r>
      <w:r>
        <w:fldChar w:fldCharType="separate"/>
      </w:r>
      <w:r w:rsidR="00433E17" w:rsidRPr="00DA0CBE">
        <w:t xml:space="preserve">Figure </w:t>
      </w:r>
      <w:r w:rsidR="00433E17">
        <w:rPr>
          <w:noProof/>
        </w:rPr>
        <w:t>5</w:t>
      </w:r>
      <w:r w:rsidR="00433E17" w:rsidRPr="00DA0CBE">
        <w:t>.</w:t>
      </w:r>
      <w:r w:rsidR="00433E17">
        <w:rPr>
          <w:noProof/>
        </w:rPr>
        <w:t>4</w:t>
      </w:r>
      <w:r>
        <w:fldChar w:fldCharType="end"/>
      </w:r>
      <w:r>
        <w:t xml:space="preserve"> </w:t>
      </w:r>
      <w:r w:rsidRPr="004A62E0">
        <w:t xml:space="preserve">and </w:t>
      </w:r>
      <w:r>
        <w:fldChar w:fldCharType="begin"/>
      </w:r>
      <w:r>
        <w:instrText xml:space="preserve"> REF _Ref20921770 \h </w:instrText>
      </w:r>
      <w:r>
        <w:fldChar w:fldCharType="separate"/>
      </w:r>
      <w:r w:rsidR="00433E17" w:rsidRPr="00DA0CBE">
        <w:t xml:space="preserve">Figure </w:t>
      </w:r>
      <w:r w:rsidR="00433E17">
        <w:rPr>
          <w:noProof/>
        </w:rPr>
        <w:t>5</w:t>
      </w:r>
      <w:r w:rsidR="00433E17" w:rsidRPr="00DA0CBE">
        <w:t>.</w:t>
      </w:r>
      <w:r w:rsidR="00433E17">
        <w:rPr>
          <w:noProof/>
        </w:rPr>
        <w:t>5</w:t>
      </w:r>
      <w:r>
        <w:fldChar w:fldCharType="end"/>
      </w:r>
      <w:r w:rsidRPr="004A62E0">
        <w:t>).</w:t>
      </w:r>
    </w:p>
    <w:p w14:paraId="47F24609" w14:textId="77777777" w:rsidR="008A1D27" w:rsidRDefault="008A1D27" w:rsidP="008A1D27">
      <w:r w:rsidRPr="004A62E0">
        <w:t xml:space="preserve">Those who do not complete year 12 are most likely to experience financial and psychological distress, and higher educational attainment no longer provides as great a comparative advantage financially or psychologically as it once did. Financial stress is likely a large contributor to psychological distress. Policy focus is increasingly being drawn to ensure the mental wellbeing of young people, and such policy should acknowledge the impact financial stress can have on mental wellbeing. </w:t>
      </w:r>
    </w:p>
    <w:p w14:paraId="3475A442" w14:textId="77777777" w:rsidR="00A65A7E" w:rsidRDefault="00A65A7E" w:rsidP="008A1D27"/>
    <w:p w14:paraId="202B3B6A" w14:textId="77777777" w:rsidR="00A65A7E" w:rsidRDefault="00A65A7E" w:rsidP="008A1D27"/>
    <w:p w14:paraId="35931744" w14:textId="77777777" w:rsidR="00A65A7E" w:rsidRDefault="00A65A7E" w:rsidP="008A1D27"/>
    <w:p w14:paraId="66F069A9" w14:textId="77777777" w:rsidR="00A65A7E" w:rsidRDefault="00A65A7E" w:rsidP="008A1D27"/>
    <w:p w14:paraId="3012700E" w14:textId="77777777" w:rsidR="00A65A7E" w:rsidRDefault="00A65A7E" w:rsidP="008A1D27"/>
    <w:p w14:paraId="4E61A5FF" w14:textId="77777777" w:rsidR="00A65A7E" w:rsidRDefault="00A65A7E" w:rsidP="008A1D27"/>
    <w:p w14:paraId="132A0A78" w14:textId="77777777" w:rsidR="00A65A7E" w:rsidRPr="004A62E0" w:rsidRDefault="00A65A7E" w:rsidP="008A1D27"/>
    <w:p w14:paraId="4EE06779" w14:textId="77777777" w:rsidR="00A65A7E" w:rsidRPr="00DA0CBE" w:rsidRDefault="008A1D27" w:rsidP="00DA0CBE">
      <w:pPr>
        <w:pStyle w:val="Figuretitle"/>
      </w:pPr>
      <w:bookmarkStart w:id="219" w:name="_Ref20921757"/>
      <w:bookmarkStart w:id="220" w:name="_Toc529882184"/>
      <w:bookmarkStart w:id="221" w:name="_Toc529882488"/>
      <w:bookmarkStart w:id="222" w:name="_Toc31878806"/>
      <w:r w:rsidRPr="00DA0CBE">
        <w:lastRenderedPageBreak/>
        <w:t xml:space="preserve">Figure </w:t>
      </w:r>
      <w:fldSimple w:instr=" STYLEREF 1 \s ">
        <w:r w:rsidR="00433E17">
          <w:rPr>
            <w:noProof/>
          </w:rPr>
          <w:t>5</w:t>
        </w:r>
      </w:fldSimple>
      <w:r w:rsidRPr="00DA0CBE">
        <w:t>.</w:t>
      </w:r>
      <w:fldSimple w:instr=" SEQ Figure \* ARABIC \s 1 ">
        <w:r w:rsidR="00433E17">
          <w:rPr>
            <w:noProof/>
          </w:rPr>
          <w:t>4</w:t>
        </w:r>
      </w:fldSimple>
      <w:bookmarkEnd w:id="219"/>
      <w:r w:rsidRPr="00DA0CBE">
        <w:t>: Proportion of 25 year olds experiencing high financial stress, by qualification level</w:t>
      </w:r>
      <w:bookmarkEnd w:id="220"/>
      <w:bookmarkEnd w:id="221"/>
      <w:bookmarkEnd w:id="222"/>
    </w:p>
    <w:p w14:paraId="11EE6A8C" w14:textId="77777777" w:rsidR="00F15A35" w:rsidRDefault="00F15A35" w:rsidP="008A1D27">
      <w:pPr>
        <w:spacing w:after="0"/>
      </w:pPr>
      <w:r>
        <w:rPr>
          <w:noProof/>
          <w:lang w:eastAsia="en-AU"/>
        </w:rPr>
        <w:drawing>
          <wp:inline distT="0" distB="0" distL="0" distR="0" wp14:anchorId="79BC14FE" wp14:editId="3F7E4232">
            <wp:extent cx="5731510" cy="2692400"/>
            <wp:effectExtent l="0" t="0" r="2540" b="0"/>
            <wp:docPr id="29" name="Picture 29" descr="Figure 5.4 shows the percentage of 25 year olds experiencing high levels of financial stress by qualification level. The graph illustrates the inverse relationship between educational qualification and financial stress for successive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92400"/>
                    </a:xfrm>
                    <a:prstGeom prst="rect">
                      <a:avLst/>
                    </a:prstGeom>
                  </pic:spPr>
                </pic:pic>
              </a:graphicData>
            </a:graphic>
          </wp:inline>
        </w:drawing>
      </w:r>
    </w:p>
    <w:p w14:paraId="027A2B52" w14:textId="77777777" w:rsidR="008A1D27" w:rsidRDefault="008A1D27" w:rsidP="008A1D27">
      <w:pPr>
        <w:rPr>
          <w:rFonts w:cstheme="minorHAnsi"/>
        </w:rPr>
      </w:pPr>
      <w:r w:rsidRPr="00DA08D8">
        <w:rPr>
          <w:rFonts w:cstheme="minorHAnsi"/>
          <w:b/>
          <w:sz w:val="20"/>
          <w:szCs w:val="20"/>
        </w:rPr>
        <w:t>Note:</w:t>
      </w:r>
      <w:r>
        <w:rPr>
          <w:rFonts w:cstheme="minorHAnsi"/>
          <w:sz w:val="20"/>
          <w:szCs w:val="20"/>
        </w:rPr>
        <w:t xml:space="preserve"> Bracketed year is the year of measurement for the cohort</w:t>
      </w:r>
    </w:p>
    <w:p w14:paraId="23DC8D95" w14:textId="77777777" w:rsidR="00A65A7E" w:rsidRPr="00DA0CBE" w:rsidRDefault="008A1D27" w:rsidP="00DA0CBE">
      <w:pPr>
        <w:pStyle w:val="Figuretitle"/>
      </w:pPr>
      <w:bookmarkStart w:id="223" w:name="_Ref20921770"/>
      <w:bookmarkStart w:id="224" w:name="_Toc529882185"/>
      <w:bookmarkStart w:id="225" w:name="_Toc529882489"/>
      <w:bookmarkStart w:id="226" w:name="_Toc31878807"/>
      <w:r w:rsidRPr="00DA0CBE">
        <w:t xml:space="preserve">Figure </w:t>
      </w:r>
      <w:fldSimple w:instr=" STYLEREF 1 \s ">
        <w:r w:rsidR="00433E17">
          <w:rPr>
            <w:noProof/>
          </w:rPr>
          <w:t>5</w:t>
        </w:r>
      </w:fldSimple>
      <w:r w:rsidRPr="00DA0CBE">
        <w:t>.</w:t>
      </w:r>
      <w:fldSimple w:instr=" SEQ Figure \* ARABIC \s 1 ">
        <w:r w:rsidR="00433E17">
          <w:rPr>
            <w:noProof/>
          </w:rPr>
          <w:t>5</w:t>
        </w:r>
      </w:fldSimple>
      <w:bookmarkEnd w:id="223"/>
      <w:r w:rsidRPr="00DA0CBE">
        <w:t>: Proportion of 25 year olds “at risk of serious mental illness” by qualification level</w:t>
      </w:r>
      <w:bookmarkEnd w:id="224"/>
      <w:bookmarkEnd w:id="225"/>
      <w:bookmarkEnd w:id="226"/>
    </w:p>
    <w:p w14:paraId="5F3047B9" w14:textId="77777777" w:rsidR="00A65A7E" w:rsidRPr="00CB060F" w:rsidRDefault="00CB060F" w:rsidP="00CB060F">
      <w:pPr>
        <w:pStyle w:val="Figuretitle"/>
      </w:pPr>
      <w:r>
        <w:rPr>
          <w:noProof/>
          <w:lang w:eastAsia="en-AU"/>
        </w:rPr>
        <w:drawing>
          <wp:inline distT="0" distB="0" distL="0" distR="0" wp14:anchorId="69BE3D9F" wp14:editId="424EE536">
            <wp:extent cx="5731510" cy="2593975"/>
            <wp:effectExtent l="0" t="0" r="2540" b="0"/>
            <wp:docPr id="30" name="Picture 30" descr="Figure 5.5 shows a comparison of psychological distress by educational attainment level for the Y03 and Y06 LSAY cohorts. The graph demonstrates a slight overall higher risk of serious mental illness in the Y06 cohort compared to the Y03 cohort for all levels of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593975"/>
                    </a:xfrm>
                    <a:prstGeom prst="rect">
                      <a:avLst/>
                    </a:prstGeom>
                  </pic:spPr>
                </pic:pic>
              </a:graphicData>
            </a:graphic>
          </wp:inline>
        </w:drawing>
      </w:r>
    </w:p>
    <w:p w14:paraId="5A3C76B2" w14:textId="77777777" w:rsidR="008A1D27" w:rsidRDefault="008A1D27" w:rsidP="008A1D27">
      <w:pPr>
        <w:spacing w:after="0"/>
        <w:rPr>
          <w:rFonts w:cstheme="minorHAnsi"/>
          <w:sz w:val="20"/>
          <w:szCs w:val="20"/>
        </w:rPr>
      </w:pPr>
      <w:r w:rsidRPr="00DA08D8">
        <w:rPr>
          <w:rFonts w:cstheme="minorHAnsi"/>
          <w:b/>
          <w:sz w:val="20"/>
          <w:szCs w:val="20"/>
        </w:rPr>
        <w:t>Note:</w:t>
      </w:r>
      <w:r>
        <w:rPr>
          <w:rFonts w:cstheme="minorHAnsi"/>
          <w:sz w:val="20"/>
          <w:szCs w:val="20"/>
        </w:rPr>
        <w:t xml:space="preserve"> Bracketed year is the year of measurement for the cohort</w:t>
      </w:r>
    </w:p>
    <w:p w14:paraId="5CA2797B" w14:textId="77777777" w:rsidR="00CB060F" w:rsidRDefault="008A1D27" w:rsidP="008A1D27">
      <w:pPr>
        <w:rPr>
          <w:rFonts w:cstheme="minorHAnsi"/>
          <w:sz w:val="18"/>
          <w:szCs w:val="20"/>
        </w:rPr>
      </w:pPr>
      <w:r>
        <w:rPr>
          <w:rFonts w:cstheme="minorHAnsi"/>
          <w:sz w:val="18"/>
          <w:szCs w:val="20"/>
        </w:rPr>
        <w:t>* Respondents “at risk of serious mental illness” have been identified according to the Kessler 6 scale</w:t>
      </w:r>
      <w:r w:rsidRPr="00C11809">
        <w:rPr>
          <w:rFonts w:cstheme="minorHAnsi"/>
          <w:sz w:val="18"/>
          <w:szCs w:val="20"/>
        </w:rPr>
        <w:t xml:space="preserve"> </w:t>
      </w:r>
    </w:p>
    <w:p w14:paraId="601B5652" w14:textId="77777777" w:rsidR="00DA0CBE" w:rsidRPr="00597C6A" w:rsidRDefault="00DA0CBE" w:rsidP="008A1D27">
      <w:pPr>
        <w:rPr>
          <w:rFonts w:cstheme="minorHAnsi"/>
          <w:sz w:val="18"/>
          <w:szCs w:val="20"/>
        </w:rPr>
      </w:pPr>
    </w:p>
    <w:p w14:paraId="13CB848C" w14:textId="77777777" w:rsidR="008A1D27" w:rsidRDefault="008A1D27" w:rsidP="00625F13">
      <w:pPr>
        <w:pStyle w:val="Heading2"/>
        <w:keepLines w:val="0"/>
        <w:numPr>
          <w:ilvl w:val="1"/>
          <w:numId w:val="20"/>
        </w:numPr>
        <w:spacing w:before="0" w:line="259" w:lineRule="auto"/>
      </w:pPr>
      <w:r>
        <w:t xml:space="preserve"> </w:t>
      </w:r>
      <w:bookmarkStart w:id="227" w:name="_Toc31878876"/>
      <w:r>
        <w:t>Life and career satisfaction</w:t>
      </w:r>
      <w:bookmarkEnd w:id="227"/>
    </w:p>
    <w:p w14:paraId="01A8B2E6" w14:textId="77777777" w:rsidR="008A1D27" w:rsidRPr="004A62E0" w:rsidRDefault="008A1D27" w:rsidP="008A1D27">
      <w:r w:rsidRPr="004A62E0">
        <w:t>Positively, young people have been—and still are—generally satisfied with most aspects of both their lives and their careers. There has, however, been a downward trend in both life and career satisfaction since 2011 across all three LSAY cohorts, particularly among Y09, the youngest of the cohorts (</w:t>
      </w:r>
      <w:r>
        <w:fldChar w:fldCharType="begin"/>
      </w:r>
      <w:r>
        <w:instrText xml:space="preserve"> REF _Ref20921726 \h </w:instrText>
      </w:r>
      <w:r>
        <w:fldChar w:fldCharType="separate"/>
      </w:r>
      <w:r w:rsidR="00433E17" w:rsidRPr="00DA0CBE">
        <w:t xml:space="preserve">Figure </w:t>
      </w:r>
      <w:r w:rsidR="00433E17">
        <w:rPr>
          <w:noProof/>
        </w:rPr>
        <w:t>5</w:t>
      </w:r>
      <w:r w:rsidR="00433E17" w:rsidRPr="00DA0CBE">
        <w:t>.</w:t>
      </w:r>
      <w:r w:rsidR="00433E17">
        <w:rPr>
          <w:noProof/>
        </w:rPr>
        <w:t>6</w:t>
      </w:r>
      <w:r>
        <w:fldChar w:fldCharType="end"/>
      </w:r>
      <w:r w:rsidRPr="004A62E0">
        <w:t>).</w:t>
      </w:r>
    </w:p>
    <w:p w14:paraId="3FE3D255" w14:textId="77777777" w:rsidR="008A1D27" w:rsidRDefault="008A1D27" w:rsidP="008A1D27">
      <w:pPr>
        <w:rPr>
          <w:rFonts w:cstheme="minorHAnsi"/>
        </w:rPr>
      </w:pPr>
      <w:r w:rsidRPr="004A62E0">
        <w:lastRenderedPageBreak/>
        <w:t>Previous research</w:t>
      </w:r>
      <w:r w:rsidRPr="001D7BF7">
        <w:rPr>
          <w:vertAlign w:val="superscript"/>
        </w:rPr>
        <w:footnoteReference w:id="15"/>
      </w:r>
      <w:r w:rsidRPr="004A62E0">
        <w:t xml:space="preserve"> using data from the Y95 cohort demonstrated that young Australians who were fully allocated (either engaged in full time work, full time study or work and study) had significantly higher life satisfaction than those who were partially allocated, who in turn had significantly higher life satisfaction than those who were unallocated. Given the increase we have seen in youth unemployment and underemployment rates since the Y95 cohort, the decrease in satisfaction seen among the Y03, Y06 and Y09 cohorts is likely to be a reflection in part of the difficult state of the youth labour market, increased and prolonged study and the resulting delay in social and career development.</w:t>
      </w:r>
    </w:p>
    <w:p w14:paraId="2208EA3D" w14:textId="77777777" w:rsidR="008A1D27" w:rsidRPr="00DA0CBE" w:rsidRDefault="008A1D27" w:rsidP="00DA0CBE">
      <w:pPr>
        <w:pStyle w:val="Figuretitle"/>
      </w:pPr>
      <w:bookmarkStart w:id="228" w:name="_Ref20921726"/>
      <w:bookmarkStart w:id="229" w:name="_Toc529882186"/>
      <w:bookmarkStart w:id="230" w:name="_Toc529882490"/>
      <w:bookmarkStart w:id="231" w:name="_Toc31878808"/>
      <w:r w:rsidRPr="00DA0CBE">
        <w:t xml:space="preserve">Figure </w:t>
      </w:r>
      <w:fldSimple w:instr=" STYLEREF 1 \s ">
        <w:r w:rsidR="00433E17">
          <w:rPr>
            <w:noProof/>
          </w:rPr>
          <w:t>5</w:t>
        </w:r>
      </w:fldSimple>
      <w:r w:rsidRPr="00DA0CBE">
        <w:t>.</w:t>
      </w:r>
      <w:fldSimple w:instr=" SEQ Figure \* ARABIC \s 1 ">
        <w:r w:rsidR="00433E17">
          <w:rPr>
            <w:noProof/>
          </w:rPr>
          <w:t>6</w:t>
        </w:r>
      </w:fldSimple>
      <w:bookmarkEnd w:id="228"/>
      <w:r w:rsidRPr="00DA0CBE">
        <w:t>: Averaged life satisfaction measures over time</w:t>
      </w:r>
      <w:bookmarkEnd w:id="229"/>
      <w:bookmarkEnd w:id="230"/>
      <w:bookmarkEnd w:id="231"/>
    </w:p>
    <w:p w14:paraId="4B0EDF8E" w14:textId="77777777" w:rsidR="00876E31" w:rsidRDefault="00876E31" w:rsidP="008A1D27">
      <w:r>
        <w:rPr>
          <w:noProof/>
          <w:lang w:eastAsia="en-AU"/>
        </w:rPr>
        <w:drawing>
          <wp:inline distT="0" distB="0" distL="0" distR="0" wp14:anchorId="67BC2A66" wp14:editId="2BF39E9F">
            <wp:extent cx="5731510" cy="3164205"/>
            <wp:effectExtent l="0" t="0" r="2540" b="0"/>
            <wp:docPr id="44" name="Picture 44" descr="FIgure 5.6 shows life and career satisfaction measures for all cohorts over time. The graph depicts the parallel movement of life and career satisfaction. The overall trend line is bowed, with satisfaction increasing until approximately 2008 and slowly falling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164205"/>
                    </a:xfrm>
                    <a:prstGeom prst="rect">
                      <a:avLst/>
                    </a:prstGeom>
                  </pic:spPr>
                </pic:pic>
              </a:graphicData>
            </a:graphic>
          </wp:inline>
        </w:drawing>
      </w:r>
    </w:p>
    <w:p w14:paraId="14A329AC" w14:textId="77777777" w:rsidR="008A1D27" w:rsidRPr="00FC2B52" w:rsidRDefault="008A1D27" w:rsidP="008A1D27">
      <w:r w:rsidRPr="004A62E0">
        <w:t>Despite being a measure of individual satisfaction with one’s own circumstances, life and career satisfaction are influenced greatly by the wider economy and the government of the day. Satisfaction with government and the economy—or the macro environment—are following a similar trend to life and career satisfaction.</w:t>
      </w:r>
      <w:r>
        <w:br w:type="page"/>
      </w:r>
    </w:p>
    <w:p w14:paraId="52827237" w14:textId="77777777" w:rsidR="008A1D27" w:rsidRPr="00632112" w:rsidRDefault="008A1D27" w:rsidP="008A1D27">
      <w:pPr>
        <w:pStyle w:val="Heading2"/>
        <w:keepNext w:val="0"/>
        <w:keepLines w:val="0"/>
        <w:numPr>
          <w:ilvl w:val="1"/>
          <w:numId w:val="20"/>
        </w:numPr>
        <w:spacing w:before="0" w:line="259" w:lineRule="auto"/>
      </w:pPr>
      <w:r>
        <w:lastRenderedPageBreak/>
        <w:t xml:space="preserve"> </w:t>
      </w:r>
      <w:bookmarkStart w:id="232" w:name="_Toc31878877"/>
      <w:r>
        <w:t>Satisfaction with macro-issues</w:t>
      </w:r>
      <w:bookmarkEnd w:id="232"/>
    </w:p>
    <w:p w14:paraId="716493CD" w14:textId="77777777" w:rsidR="008A1D27" w:rsidRPr="00632112" w:rsidRDefault="008A1D27" w:rsidP="008A1D27">
      <w:pPr>
        <w:rPr>
          <w:rFonts w:cstheme="minorHAnsi"/>
        </w:rPr>
      </w:pPr>
      <w:r w:rsidRPr="004A62E0">
        <w:t>Early on in the LSAY program</w:t>
      </w:r>
      <w:r>
        <w:t xml:space="preserve"> </w:t>
      </w:r>
      <w:r w:rsidRPr="004A62E0">
        <w:t>young Australians were, on average, feeling positively about the macro issues</w:t>
      </w:r>
      <w:r>
        <w:t xml:space="preserve"> affecting Australia. </w:t>
      </w:r>
      <w:r w:rsidR="00336C2C">
        <w:fldChar w:fldCharType="begin"/>
      </w:r>
      <w:r w:rsidR="00336C2C">
        <w:instrText xml:space="preserve"> REF _Ref31878732 \h </w:instrText>
      </w:r>
      <w:r w:rsidR="00336C2C">
        <w:fldChar w:fldCharType="separate"/>
      </w:r>
      <w:r w:rsidR="00433E17" w:rsidRPr="00DA0CBE">
        <w:t xml:space="preserve">Figure </w:t>
      </w:r>
      <w:r w:rsidR="00433E17">
        <w:rPr>
          <w:noProof/>
        </w:rPr>
        <w:t>5</w:t>
      </w:r>
      <w:r w:rsidR="00433E17" w:rsidRPr="00DA0CBE">
        <w:t>.</w:t>
      </w:r>
      <w:r w:rsidR="00433E17">
        <w:rPr>
          <w:noProof/>
        </w:rPr>
        <w:t>7</w:t>
      </w:r>
      <w:r w:rsidR="00336C2C">
        <w:fldChar w:fldCharType="end"/>
      </w:r>
      <w:r w:rsidR="00336C2C">
        <w:t xml:space="preserve"> </w:t>
      </w:r>
      <w:r w:rsidRPr="004A62E0">
        <w:t>shows averaged responses to two questions: one about satisfaction with the economy and the other about satisfaction with the way the country is run. There has been a steady decline in these satisfaction levels since the GFC, and for the last few years young people have trended towards feeling indifferent on average. The relatively steep and consistent decline in satisfaction from 2010 onwards in this graph aligns closely with increases in both unemployment and underemployment for Australians aged 15 to 24 years.</w:t>
      </w:r>
    </w:p>
    <w:p w14:paraId="3A8707EC" w14:textId="77777777" w:rsidR="008A1D27" w:rsidRPr="00DA0CBE" w:rsidRDefault="008A1D27" w:rsidP="00DA0CBE">
      <w:pPr>
        <w:pStyle w:val="Figuretitle"/>
      </w:pPr>
      <w:bookmarkStart w:id="233" w:name="_Ref31878732"/>
      <w:bookmarkStart w:id="234" w:name="_Toc529882187"/>
      <w:bookmarkStart w:id="235" w:name="_Toc529882491"/>
      <w:bookmarkStart w:id="236" w:name="_Toc31878809"/>
      <w:r w:rsidRPr="00DA0CBE">
        <w:t xml:space="preserve">Figure </w:t>
      </w:r>
      <w:fldSimple w:instr=" STYLEREF 1 \s ">
        <w:r w:rsidR="00433E17">
          <w:rPr>
            <w:noProof/>
          </w:rPr>
          <w:t>5</w:t>
        </w:r>
      </w:fldSimple>
      <w:r w:rsidRPr="00DA0CBE">
        <w:t>.</w:t>
      </w:r>
      <w:fldSimple w:instr=" SEQ Figure \* ARABIC \s 1 ">
        <w:r w:rsidR="00433E17">
          <w:rPr>
            <w:noProof/>
          </w:rPr>
          <w:t>7</w:t>
        </w:r>
      </w:fldSimple>
      <w:bookmarkEnd w:id="233"/>
      <w:r w:rsidRPr="00DA0CBE">
        <w:t>: Averaged satisfaction with macro issues over time, by cohort</w:t>
      </w:r>
      <w:bookmarkEnd w:id="234"/>
      <w:bookmarkEnd w:id="235"/>
      <w:bookmarkEnd w:id="236"/>
    </w:p>
    <w:p w14:paraId="6947CAAA" w14:textId="77777777" w:rsidR="000C7AC8" w:rsidRDefault="000C7AC8" w:rsidP="008A1D27">
      <w:pPr>
        <w:spacing w:afterLines="160" w:after="384"/>
        <w:rPr>
          <w:rFonts w:cstheme="minorHAnsi"/>
        </w:rPr>
      </w:pPr>
      <w:r>
        <w:rPr>
          <w:noProof/>
          <w:lang w:eastAsia="en-AU"/>
        </w:rPr>
        <w:drawing>
          <wp:inline distT="0" distB="0" distL="0" distR="0" wp14:anchorId="556ED425" wp14:editId="7E22C929">
            <wp:extent cx="5928360" cy="2786842"/>
            <wp:effectExtent l="0" t="0" r="0" b="0"/>
            <wp:docPr id="46" name="Picture 46" descr="Figure 5.7 shows each cohorts' average satisfaction with macro issues over time. The graph depicts the trend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7877" cy="2791316"/>
                    </a:xfrm>
                    <a:prstGeom prst="rect">
                      <a:avLst/>
                    </a:prstGeom>
                  </pic:spPr>
                </pic:pic>
              </a:graphicData>
            </a:graphic>
          </wp:inline>
        </w:drawing>
      </w:r>
    </w:p>
    <w:p w14:paraId="0236C51C" w14:textId="77777777" w:rsidR="000C7AC8" w:rsidRPr="000C7AC8" w:rsidRDefault="008A1D27" w:rsidP="000C7AC8">
      <w:pPr>
        <w:spacing w:afterLines="160" w:after="384"/>
        <w:rPr>
          <w:rFonts w:cstheme="minorHAnsi"/>
        </w:rPr>
      </w:pPr>
      <w:r w:rsidRPr="004A62E0">
        <w:t>If the questions are taken individually</w:t>
      </w:r>
      <w:r>
        <w:t xml:space="preserve"> (</w:t>
      </w:r>
      <w:r w:rsidR="00336C2C">
        <w:fldChar w:fldCharType="begin"/>
      </w:r>
      <w:r w:rsidR="00336C2C">
        <w:instrText xml:space="preserve"> REF _Ref31878757 \h </w:instrText>
      </w:r>
      <w:r w:rsidR="00336C2C">
        <w:fldChar w:fldCharType="separate"/>
      </w:r>
      <w:r w:rsidR="00433E17" w:rsidRPr="00DA0CBE">
        <w:t xml:space="preserve">Figure </w:t>
      </w:r>
      <w:r w:rsidR="00433E17">
        <w:rPr>
          <w:noProof/>
        </w:rPr>
        <w:t>5</w:t>
      </w:r>
      <w:r w:rsidR="00433E17" w:rsidRPr="00DA0CBE">
        <w:t>.</w:t>
      </w:r>
      <w:r w:rsidR="00433E17">
        <w:rPr>
          <w:noProof/>
        </w:rPr>
        <w:t>8</w:t>
      </w:r>
      <w:r w:rsidR="00336C2C">
        <w:fldChar w:fldCharType="end"/>
      </w:r>
      <w:r w:rsidRPr="004A62E0">
        <w:t>)</w:t>
      </w:r>
      <w:r>
        <w:t xml:space="preserve"> </w:t>
      </w:r>
      <w:r w:rsidRPr="004A62E0">
        <w:t>it can be seen that satisfaction with the government and the economy are closely correlated. However, in the year 2008, average satisfaction with the economy dropped sharply at around the time of the GFC, while satisfaction with the government was smooth from 2007 to 2009. The divergence of these measures from each other may reflect an awareness of the repercussions of the global economic downturn, and a willingness not to blame the Australian government of the time for events beyond their control. Since 2009 satisfaction with both government and the economy have fallen together, as the global downturn started to affect Australian employment markets, government interventions to protect against the GFC were wound up, and the mining boom came to an end.</w:t>
      </w:r>
    </w:p>
    <w:p w14:paraId="0A34857D" w14:textId="77777777" w:rsidR="008A1D27" w:rsidRPr="00DA0CBE" w:rsidRDefault="008A1D27" w:rsidP="00DA0CBE">
      <w:pPr>
        <w:pStyle w:val="Figuretitle"/>
      </w:pPr>
      <w:bookmarkStart w:id="237" w:name="_Ref31878757"/>
      <w:bookmarkStart w:id="238" w:name="_Toc31878810"/>
      <w:r w:rsidRPr="00DA0CBE">
        <w:lastRenderedPageBreak/>
        <w:t xml:space="preserve">Figure </w:t>
      </w:r>
      <w:fldSimple w:instr=" STYLEREF 1 \s ">
        <w:r w:rsidR="00433E17">
          <w:rPr>
            <w:noProof/>
          </w:rPr>
          <w:t>5</w:t>
        </w:r>
      </w:fldSimple>
      <w:r w:rsidRPr="00DA0CBE">
        <w:t>.</w:t>
      </w:r>
      <w:fldSimple w:instr=" SEQ Figure \* ARABIC \s 1 ">
        <w:r w:rsidR="00433E17">
          <w:rPr>
            <w:noProof/>
          </w:rPr>
          <w:t>8</w:t>
        </w:r>
      </w:fldSimple>
      <w:bookmarkEnd w:id="237"/>
      <w:r w:rsidRPr="00DA0CBE">
        <w:t>: Averaged satisfaction with macro issues over time, by issue</w:t>
      </w:r>
      <w:bookmarkEnd w:id="238"/>
    </w:p>
    <w:p w14:paraId="1BF1B660" w14:textId="77777777" w:rsidR="008A1D27" w:rsidRDefault="004F0EA8" w:rsidP="008A1D27">
      <w:pPr>
        <w:rPr>
          <w:rFonts w:eastAsiaTheme="majorEastAsia" w:cstheme="majorBidi"/>
          <w:b/>
          <w:bCs/>
          <w:color w:val="522761"/>
          <w:sz w:val="36"/>
          <w:szCs w:val="28"/>
        </w:rPr>
      </w:pPr>
      <w:bookmarkStart w:id="239" w:name="_GoBack"/>
      <w:r>
        <w:rPr>
          <w:noProof/>
          <w:lang w:eastAsia="en-AU"/>
        </w:rPr>
        <w:drawing>
          <wp:inline distT="0" distB="0" distL="0" distR="0" wp14:anchorId="4282B055" wp14:editId="2AB37B68">
            <wp:extent cx="5731510" cy="2509520"/>
            <wp:effectExtent l="0" t="0" r="2540" b="5080"/>
            <wp:docPr id="45" name="Picture 45" descr="Figure 5.8 shows the average satisfaction with the economy and government over time. The graph shows an increase in satisfaction for both measures until 2009 before a brief divergence, and eventual downward convergence, as described i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509520"/>
                    </a:xfrm>
                    <a:prstGeom prst="rect">
                      <a:avLst/>
                    </a:prstGeom>
                  </pic:spPr>
                </pic:pic>
              </a:graphicData>
            </a:graphic>
          </wp:inline>
        </w:drawing>
      </w:r>
      <w:bookmarkEnd w:id="239"/>
      <w:r w:rsidR="008A1D27">
        <w:br w:type="page"/>
      </w:r>
    </w:p>
    <w:p w14:paraId="22EE408F" w14:textId="77777777" w:rsidR="008A1D27" w:rsidRDefault="008A1D27" w:rsidP="008A1D27">
      <w:pPr>
        <w:pStyle w:val="Heading1"/>
      </w:pPr>
      <w:bookmarkStart w:id="240" w:name="_Toc31878878"/>
      <w:r>
        <w:lastRenderedPageBreak/>
        <w:t>Conclusion</w:t>
      </w:r>
      <w:bookmarkEnd w:id="240"/>
    </w:p>
    <w:p w14:paraId="292F6150" w14:textId="77777777" w:rsidR="008A1D27" w:rsidRPr="004A62E0" w:rsidRDefault="008A1D27" w:rsidP="008A1D27">
      <w:r>
        <w:t>The pathways that youth t</w:t>
      </w:r>
      <w:r w:rsidRPr="004A62E0">
        <w:t>ake from school to the labo</w:t>
      </w:r>
      <w:r>
        <w:t>u</w:t>
      </w:r>
      <w:r w:rsidRPr="004A62E0">
        <w:t xml:space="preserve">r force are diverse and dynamic. Decisions that </w:t>
      </w:r>
      <w:r>
        <w:t>young people</w:t>
      </w:r>
      <w:r w:rsidRPr="004A62E0">
        <w:t xml:space="preserve"> make regarding school and post-school study affect their future labour market and social outcomes. Such decisions are significantly influenced by the socioeconomic context. </w:t>
      </w:r>
      <w:r>
        <w:t>The longitudinal data collected across multiple LSAY cohorts provides an invaluable insight into these decisions and the ways in which they have been affected by changing social and economic conditions.</w:t>
      </w:r>
      <w:r w:rsidRPr="004A62E0">
        <w:t xml:space="preserve"> </w:t>
      </w:r>
    </w:p>
    <w:p w14:paraId="19B51477" w14:textId="77777777" w:rsidR="008A1D27" w:rsidRPr="004A62E0" w:rsidRDefault="008A1D27" w:rsidP="008A1D27">
      <w:r w:rsidRPr="004A62E0">
        <w:t xml:space="preserve">The decisions that </w:t>
      </w:r>
      <w:r>
        <w:t>are mad</w:t>
      </w:r>
      <w:r w:rsidRPr="004A62E0">
        <w:t>e in school have been undergo</w:t>
      </w:r>
      <w:r>
        <w:t>ing change, with reduced selection of</w:t>
      </w:r>
      <w:r w:rsidRPr="004A62E0">
        <w:t xml:space="preserve"> math</w:t>
      </w:r>
      <w:r>
        <w:t>s</w:t>
      </w:r>
      <w:r w:rsidRPr="004A62E0">
        <w:t xml:space="preserve"> and science</w:t>
      </w:r>
      <w:r>
        <w:t xml:space="preserve"> subjects</w:t>
      </w:r>
      <w:r w:rsidRPr="004A62E0">
        <w:t xml:space="preserve">, increased school completion, and future aspirations altering in response to changes in the labour market. Post-school study choices have also been undergoing change, with more higher education participation, and shifts in the demand for certain fields of study. </w:t>
      </w:r>
    </w:p>
    <w:p w14:paraId="52DEE59E" w14:textId="77777777" w:rsidR="008A1D27" w:rsidRPr="004A62E0" w:rsidRDefault="008A1D27" w:rsidP="008A1D27">
      <w:r w:rsidRPr="004A62E0">
        <w:t xml:space="preserve">There is consensus among those with a knowledge of youth affairs that young people </w:t>
      </w:r>
      <w:r w:rsidR="00A0662E">
        <w:t>were</w:t>
      </w:r>
      <w:r w:rsidR="00A0662E" w:rsidRPr="004A62E0">
        <w:t xml:space="preserve"> </w:t>
      </w:r>
      <w:r w:rsidRPr="004A62E0">
        <w:t>having an increasingly tough time</w:t>
      </w:r>
      <w:r w:rsidR="00A0662E">
        <w:t xml:space="preserve"> even before the COVID-19 pandemic</w:t>
      </w:r>
      <w:r w:rsidRPr="004A62E0">
        <w:t xml:space="preserve">. Despite unprecedented high levels of educational attainment, a sluggish labour market </w:t>
      </w:r>
      <w:r w:rsidR="00450EA7">
        <w:t>can</w:t>
      </w:r>
      <w:r w:rsidRPr="004A62E0">
        <w:t xml:space="preserve"> </w:t>
      </w:r>
      <w:r w:rsidR="00A0662E">
        <w:t>put</w:t>
      </w:r>
      <w:r w:rsidRPr="004A62E0">
        <w:t xml:space="preserve"> young people’s transitions from school to the workforce in jeopardy. Even the most educated of young Australians </w:t>
      </w:r>
      <w:r w:rsidR="00A0662E">
        <w:t>can have</w:t>
      </w:r>
      <w:r w:rsidR="00925A92">
        <w:t xml:space="preserve"> difficulty finding secure work</w:t>
      </w:r>
      <w:r w:rsidRPr="004A62E0">
        <w:t xml:space="preserve"> and those with lower attainment </w:t>
      </w:r>
      <w:r w:rsidR="00A0662E">
        <w:t>struggle</w:t>
      </w:r>
      <w:r w:rsidRPr="004A62E0">
        <w:t xml:space="preserve"> more than ever to get a foot in the door. Delayed financial independence can be seen to be keeping young people in the family home for longer and delaying home ownership. Financial and psychological stress </w:t>
      </w:r>
      <w:r w:rsidR="00A0662E">
        <w:t>have been</w:t>
      </w:r>
      <w:r w:rsidR="00A0662E" w:rsidRPr="004A62E0">
        <w:t xml:space="preserve"> </w:t>
      </w:r>
      <w:r w:rsidRPr="004A62E0">
        <w:t>increasing amongst youth, with highe</w:t>
      </w:r>
      <w:r w:rsidR="00E70E40">
        <w:t xml:space="preserve">r education qualifications and </w:t>
      </w:r>
      <w:r w:rsidR="00C4621E">
        <w:t>a</w:t>
      </w:r>
      <w:r w:rsidRPr="004A62E0">
        <w:t xml:space="preserve">pprenticeship qualifications offering less financial and psychological security than they used to. </w:t>
      </w:r>
    </w:p>
    <w:p w14:paraId="4C1BD26D" w14:textId="77777777" w:rsidR="00A0662E" w:rsidRDefault="008A1D27" w:rsidP="00A0662E">
      <w:pPr>
        <w:rPr>
          <w:color w:val="1F497D"/>
        </w:rPr>
      </w:pPr>
      <w:r w:rsidRPr="004A62E0">
        <w:t>Positively, educatio</w:t>
      </w:r>
      <w:r>
        <w:t>n policy seems to be succeeding</w:t>
      </w:r>
      <w:r w:rsidRPr="004A62E0">
        <w:t xml:space="preserve"> in its goal of keeping young people engaged through economically difficult periods. </w:t>
      </w:r>
      <w:r w:rsidR="00755C67">
        <w:t>As time goes on, we</w:t>
      </w:r>
      <w:r w:rsidR="0003416E">
        <w:t xml:space="preserve"> may see even more young people participating in post school study, including those from low SES backgrounds. </w:t>
      </w:r>
    </w:p>
    <w:p w14:paraId="626470AB" w14:textId="77777777" w:rsidR="008A1D27" w:rsidRDefault="008A1D27" w:rsidP="00A56FC7"/>
    <w:p w14:paraId="42433E7E" w14:textId="77777777" w:rsidR="008A1D27" w:rsidRDefault="008A1D27" w:rsidP="00A56FC7"/>
    <w:p w14:paraId="28C1309B" w14:textId="77777777" w:rsidR="008A1D27" w:rsidRDefault="008A1D27" w:rsidP="00A56FC7"/>
    <w:p w14:paraId="16727311" w14:textId="77777777" w:rsidR="008A1D27" w:rsidRDefault="008A1D27" w:rsidP="00A56FC7"/>
    <w:p w14:paraId="3FB514F7" w14:textId="77777777" w:rsidR="008A1D27" w:rsidRDefault="008A1D27" w:rsidP="00A56FC7"/>
    <w:p w14:paraId="20F20DA4" w14:textId="77777777" w:rsidR="008A1D27" w:rsidRDefault="008A1D27" w:rsidP="00A56FC7"/>
    <w:p w14:paraId="0102121E" w14:textId="77777777" w:rsidR="008A1D27" w:rsidRDefault="008A1D27" w:rsidP="00A56FC7"/>
    <w:p w14:paraId="477DAB97" w14:textId="77777777" w:rsidR="008A1D27" w:rsidRPr="00A56FC7" w:rsidRDefault="008A1D27" w:rsidP="00A56FC7"/>
    <w:sectPr w:rsidR="008A1D27" w:rsidRPr="00A56FC7" w:rsidSect="008507C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DD311" w14:textId="77777777" w:rsidR="006C3BEA" w:rsidRDefault="006C3BEA" w:rsidP="0051352E">
      <w:pPr>
        <w:spacing w:after="0" w:line="240" w:lineRule="auto"/>
      </w:pPr>
      <w:r>
        <w:separator/>
      </w:r>
    </w:p>
  </w:endnote>
  <w:endnote w:type="continuationSeparator" w:id="0">
    <w:p w14:paraId="4CB61CD3" w14:textId="77777777" w:rsidR="006C3BEA" w:rsidRDefault="006C3BEA"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7C5F4" w14:textId="77777777" w:rsidR="006C3BEA" w:rsidRDefault="006C3BEA" w:rsidP="00BC0E4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CC12" w14:textId="77777777" w:rsidR="006C3BEA" w:rsidRDefault="006C3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186530"/>
      <w:docPartObj>
        <w:docPartGallery w:val="Page Numbers (Bottom of Page)"/>
        <w:docPartUnique/>
      </w:docPartObj>
    </w:sdtPr>
    <w:sdtEndPr>
      <w:rPr>
        <w:noProof/>
      </w:rPr>
    </w:sdtEndPr>
    <w:sdtContent>
      <w:p w14:paraId="20168E5E" w14:textId="18A37E73" w:rsidR="006C3BEA" w:rsidRDefault="006C3BEA">
        <w:pPr>
          <w:pStyle w:val="Footer"/>
          <w:jc w:val="right"/>
        </w:pPr>
        <w:r>
          <w:fldChar w:fldCharType="begin"/>
        </w:r>
        <w:r>
          <w:instrText xml:space="preserve"> PAGE   \* MERGEFORMAT </w:instrText>
        </w:r>
        <w:r>
          <w:fldChar w:fldCharType="separate"/>
        </w:r>
        <w:r w:rsidR="00836ECE">
          <w:rPr>
            <w:noProof/>
          </w:rPr>
          <w:t>23</w:t>
        </w:r>
        <w:r>
          <w:rPr>
            <w:noProof/>
          </w:rPr>
          <w:fldChar w:fldCharType="end"/>
        </w:r>
      </w:p>
    </w:sdtContent>
  </w:sdt>
  <w:p w14:paraId="1C6062C6" w14:textId="77777777" w:rsidR="006C3BEA" w:rsidRPr="00B574C8" w:rsidRDefault="006C3BEA">
    <w:pPr>
      <w:pStyle w:val="Footer"/>
      <w:rPr>
        <w:b/>
      </w:rPr>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15D1" w14:textId="77777777" w:rsidR="006C3BEA" w:rsidRDefault="006C3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B0A0B" w14:textId="77777777" w:rsidR="006C3BEA" w:rsidRDefault="006C3BEA" w:rsidP="0051352E">
      <w:pPr>
        <w:spacing w:after="0" w:line="240" w:lineRule="auto"/>
      </w:pPr>
      <w:r>
        <w:separator/>
      </w:r>
    </w:p>
  </w:footnote>
  <w:footnote w:type="continuationSeparator" w:id="0">
    <w:p w14:paraId="2A317489" w14:textId="77777777" w:rsidR="006C3BEA" w:rsidRDefault="006C3BEA" w:rsidP="0051352E">
      <w:pPr>
        <w:spacing w:after="0" w:line="240" w:lineRule="auto"/>
      </w:pPr>
      <w:r>
        <w:continuationSeparator/>
      </w:r>
    </w:p>
  </w:footnote>
  <w:footnote w:id="1">
    <w:p w14:paraId="2BECC44D" w14:textId="77777777" w:rsidR="006C3BEA" w:rsidRDefault="006C3BEA">
      <w:pPr>
        <w:pStyle w:val="FootnoteText"/>
      </w:pPr>
      <w:r>
        <w:rPr>
          <w:rStyle w:val="FootnoteReference"/>
        </w:rPr>
        <w:footnoteRef/>
      </w:r>
      <w:r>
        <w:t xml:space="preserve"> </w:t>
      </w:r>
      <w:r>
        <w:rPr>
          <w:sz w:val="18"/>
        </w:rPr>
        <w:t>2016 is the</w:t>
      </w:r>
      <w:r w:rsidRPr="001A1A98">
        <w:rPr>
          <w:sz w:val="18"/>
        </w:rPr>
        <w:t xml:space="preserve"> latest year </w:t>
      </w:r>
      <w:r>
        <w:rPr>
          <w:sz w:val="18"/>
        </w:rPr>
        <w:t>of</w:t>
      </w:r>
      <w:r w:rsidRPr="001A1A98">
        <w:rPr>
          <w:sz w:val="18"/>
        </w:rPr>
        <w:t xml:space="preserve"> </w:t>
      </w:r>
      <w:r>
        <w:rPr>
          <w:sz w:val="18"/>
        </w:rPr>
        <w:t xml:space="preserve">LSAY data that includes information on participants from the ages of 15 to 25 (inclusive). Data for the latest two cohorts of LSAY, who commenced the survey in 2009 and 2015 respectively, is used in analysis where suitable. </w:t>
      </w:r>
    </w:p>
  </w:footnote>
  <w:footnote w:id="2">
    <w:p w14:paraId="35339B8F" w14:textId="77777777" w:rsidR="006C3BEA" w:rsidRDefault="006C3BEA">
      <w:pPr>
        <w:pStyle w:val="FootnoteText"/>
      </w:pPr>
      <w:r>
        <w:rPr>
          <w:rStyle w:val="FootnoteReference"/>
        </w:rPr>
        <w:footnoteRef/>
      </w:r>
      <w:r>
        <w:t xml:space="preserve"> </w:t>
      </w:r>
      <w:r w:rsidRPr="00E70E40">
        <w:rPr>
          <w:sz w:val="18"/>
        </w:rPr>
        <w:t xml:space="preserve">The term Apprenticeship </w:t>
      </w:r>
      <w:r>
        <w:rPr>
          <w:sz w:val="18"/>
        </w:rPr>
        <w:t>refers</w:t>
      </w:r>
      <w:r w:rsidRPr="00E70E40">
        <w:rPr>
          <w:sz w:val="18"/>
        </w:rPr>
        <w:t xml:space="preserve"> to Australian Apprenticeships, which include apprentices and trainees.</w:t>
      </w:r>
    </w:p>
  </w:footnote>
  <w:footnote w:id="3">
    <w:p w14:paraId="17E391C5" w14:textId="77777777" w:rsidR="006C3BEA" w:rsidRPr="00C24574" w:rsidRDefault="006C3BEA" w:rsidP="008A1D27">
      <w:pPr>
        <w:pStyle w:val="FootnoteText"/>
      </w:pPr>
      <w:r>
        <w:rPr>
          <w:rStyle w:val="FootnoteReference"/>
        </w:rPr>
        <w:footnoteRef/>
      </w:r>
      <w:r>
        <w:t xml:space="preserve"> </w:t>
      </w:r>
      <w:r w:rsidRPr="00AA3A8E">
        <w:t>The 1999 Adelaide declaration included in its goals that “All students have access to the high quality education necessary to enable the completion of school education to Year 12 or its vocational equivalent and that provides clear and recognised pathways to employment and further education and training”.</w:t>
      </w:r>
    </w:p>
  </w:footnote>
  <w:footnote w:id="4">
    <w:p w14:paraId="105BFDB9" w14:textId="77777777" w:rsidR="006C3BEA" w:rsidRDefault="006C3BEA">
      <w:pPr>
        <w:pStyle w:val="FootnoteText"/>
      </w:pPr>
      <w:r>
        <w:rPr>
          <w:rStyle w:val="FootnoteReference"/>
        </w:rPr>
        <w:footnoteRef/>
      </w:r>
      <w:r>
        <w:t xml:space="preserve"> The 2006 cohort participants </w:t>
      </w:r>
      <w:r w:rsidRPr="00FC4EF2">
        <w:t>given the option of writing in an alternative response if their plans were “other”.</w:t>
      </w:r>
      <w:r w:rsidRPr="0056707A">
        <w:t xml:space="preserve"> The most common response was to take a break or gap year before returning to formal study. This option has been included as an option in all surveys since and one in six participants has selected it.</w:t>
      </w:r>
    </w:p>
  </w:footnote>
  <w:footnote w:id="5">
    <w:p w14:paraId="34215CCD" w14:textId="77777777" w:rsidR="006C3BEA" w:rsidRDefault="006C3BEA">
      <w:pPr>
        <w:pStyle w:val="FootnoteText"/>
      </w:pPr>
      <w:r>
        <w:rPr>
          <w:rStyle w:val="FootnoteReference"/>
        </w:rPr>
        <w:footnoteRef/>
      </w:r>
      <w:r>
        <w:t xml:space="preserve"> </w:t>
      </w:r>
      <w:r w:rsidRPr="00FC4EF2">
        <w:t xml:space="preserve">There were some differences is response frames for this question and rates across cohort, however investigation shows that this did not seem to effect the distribution of responses. </w:t>
      </w:r>
      <w:r>
        <w:t>Only 41 per cent of</w:t>
      </w:r>
      <w:r w:rsidRPr="00FC4EF2">
        <w:t xml:space="preserve"> the Y09 cohort sample </w:t>
      </w:r>
      <w:r w:rsidRPr="007A0B5F">
        <w:t>provided answers on their plans, their parents</w:t>
      </w:r>
      <w:r>
        <w:t>’</w:t>
      </w:r>
      <w:r w:rsidRPr="007A0B5F">
        <w:t xml:space="preserve"> plans and their friends</w:t>
      </w:r>
      <w:r>
        <w:t>’</w:t>
      </w:r>
      <w:r w:rsidRPr="007A0B5F">
        <w:t xml:space="preserve"> plans, compared to 81 per cent of the Y06 sample.</w:t>
      </w:r>
    </w:p>
  </w:footnote>
  <w:footnote w:id="6">
    <w:p w14:paraId="7EF1FFF5" w14:textId="77777777" w:rsidR="006C3BEA" w:rsidRDefault="006C3BEA" w:rsidP="008A1D27">
      <w:pPr>
        <w:pStyle w:val="FootnoteText"/>
      </w:pPr>
      <w:r>
        <w:rPr>
          <w:rStyle w:val="FootnoteReference"/>
        </w:rPr>
        <w:footnoteRef/>
      </w:r>
      <w:r>
        <w:t xml:space="preserve"> Groups in this figure are not mutually exclusive and can add to more than 100 per cent. </w:t>
      </w:r>
    </w:p>
  </w:footnote>
  <w:footnote w:id="7">
    <w:p w14:paraId="24F551E4" w14:textId="77777777" w:rsidR="006C3BEA" w:rsidRPr="00014791" w:rsidRDefault="006C3BEA" w:rsidP="008A1D27">
      <w:pPr>
        <w:pStyle w:val="FootnoteText"/>
      </w:pPr>
      <w:r>
        <w:rPr>
          <w:rStyle w:val="FootnoteReference"/>
        </w:rPr>
        <w:footnoteRef/>
      </w:r>
      <w:r>
        <w:t xml:space="preserve"> </w:t>
      </w:r>
      <w:proofErr w:type="spellStart"/>
      <w:r>
        <w:t>Gemici</w:t>
      </w:r>
      <w:proofErr w:type="spellEnd"/>
      <w:r>
        <w:t xml:space="preserve">, S., </w:t>
      </w:r>
      <w:proofErr w:type="spellStart"/>
      <w:r>
        <w:t>Bednarz</w:t>
      </w:r>
      <w:proofErr w:type="spellEnd"/>
      <w:r>
        <w:t xml:space="preserve">, A., </w:t>
      </w:r>
      <w:proofErr w:type="spellStart"/>
      <w:r>
        <w:t>Karmel</w:t>
      </w:r>
      <w:proofErr w:type="spellEnd"/>
      <w:r>
        <w:t xml:space="preserve">, T., Lim, P. (2014) </w:t>
      </w:r>
      <w:r w:rsidRPr="007A0B5F">
        <w:rPr>
          <w:i/>
        </w:rPr>
        <w:t>The factors affecting the educational and occupational aspirations of young Australians</w:t>
      </w:r>
    </w:p>
  </w:footnote>
  <w:footnote w:id="8">
    <w:p w14:paraId="72536347" w14:textId="77777777" w:rsidR="006C3BEA" w:rsidRDefault="006C3BEA" w:rsidP="008A1D27">
      <w:pPr>
        <w:pStyle w:val="FootnoteText"/>
      </w:pPr>
      <w:r w:rsidRPr="00672CE6">
        <w:rPr>
          <w:rStyle w:val="FootnoteReference"/>
          <w:sz w:val="18"/>
        </w:rPr>
        <w:footnoteRef/>
      </w:r>
      <w:r w:rsidRPr="00672CE6">
        <w:rPr>
          <w:sz w:val="18"/>
        </w:rPr>
        <w:t xml:space="preserve"> Compact with Young Australians was a federal government policy initiative</w:t>
      </w:r>
      <w:r w:rsidRPr="000A5C10">
        <w:rPr>
          <w:sz w:val="18"/>
        </w:rPr>
        <w:t xml:space="preserve"> implemented through COAG</w:t>
      </w:r>
      <w:r w:rsidRPr="00672CE6">
        <w:rPr>
          <w:sz w:val="18"/>
        </w:rPr>
        <w:t>. The compact included three components</w:t>
      </w:r>
      <w:r w:rsidRPr="000A5C10">
        <w:rPr>
          <w:sz w:val="18"/>
        </w:rPr>
        <w:t xml:space="preserve">; 1) </w:t>
      </w:r>
      <w:r w:rsidRPr="00672CE6">
        <w:rPr>
          <w:sz w:val="18"/>
        </w:rPr>
        <w:t xml:space="preserve">a requirement to participate in schooling to Year 10 or approved education, training or employment, until 17.  </w:t>
      </w:r>
      <w:r w:rsidRPr="000A5C10">
        <w:rPr>
          <w:sz w:val="18"/>
        </w:rPr>
        <w:t>2)</w:t>
      </w:r>
      <w:r w:rsidRPr="00672CE6">
        <w:rPr>
          <w:sz w:val="18"/>
        </w:rPr>
        <w:t xml:space="preserve"> </w:t>
      </w:r>
      <w:r>
        <w:rPr>
          <w:sz w:val="18"/>
        </w:rPr>
        <w:t xml:space="preserve">a </w:t>
      </w:r>
      <w:r w:rsidRPr="00672CE6">
        <w:rPr>
          <w:sz w:val="18"/>
        </w:rPr>
        <w:t>guarantee</w:t>
      </w:r>
      <w:r>
        <w:rPr>
          <w:sz w:val="18"/>
        </w:rPr>
        <w:t xml:space="preserve"> to</w:t>
      </w:r>
      <w:r w:rsidRPr="00672CE6">
        <w:rPr>
          <w:sz w:val="18"/>
        </w:rPr>
        <w:t xml:space="preserve"> young people under the  age of 25 to an education or training place, subject to admission requ</w:t>
      </w:r>
      <w:r w:rsidRPr="000A5C10">
        <w:rPr>
          <w:sz w:val="18"/>
        </w:rPr>
        <w:t xml:space="preserve">irement and course availability; and a strengthening of participation requirements for some types of income support. </w:t>
      </w:r>
    </w:p>
  </w:footnote>
  <w:footnote w:id="9">
    <w:p w14:paraId="041497A1" w14:textId="77777777" w:rsidR="006C3BEA" w:rsidRPr="007A0B5F" w:rsidRDefault="006C3BEA" w:rsidP="008A1D27">
      <w:pPr>
        <w:pStyle w:val="FootnoteText"/>
        <w:rPr>
          <w:i/>
        </w:rPr>
      </w:pPr>
      <w:r>
        <w:rPr>
          <w:rStyle w:val="FootnoteReference"/>
        </w:rPr>
        <w:footnoteRef/>
      </w:r>
      <w:r>
        <w:t xml:space="preserve"> PricewaterhouseCoopers (2015) </w:t>
      </w:r>
      <w:r w:rsidRPr="007A0B5F">
        <w:rPr>
          <w:i/>
        </w:rPr>
        <w:t>A smart move</w:t>
      </w:r>
      <w:r>
        <w:rPr>
          <w:i/>
        </w:rPr>
        <w:t xml:space="preserve">: </w:t>
      </w:r>
      <w:r w:rsidRPr="00475E5F">
        <w:rPr>
          <w:i/>
        </w:rPr>
        <w:t>Future-proofing Australia’s workforce by growing</w:t>
      </w:r>
      <w:r>
        <w:rPr>
          <w:i/>
        </w:rPr>
        <w:t xml:space="preserve"> skills in science, technology, </w:t>
      </w:r>
      <w:r w:rsidRPr="00475E5F">
        <w:rPr>
          <w:i/>
        </w:rPr>
        <w:t>engineering and maths (STEM)</w:t>
      </w:r>
    </w:p>
  </w:footnote>
  <w:footnote w:id="10">
    <w:p w14:paraId="2509A048" w14:textId="77777777" w:rsidR="006C3BEA" w:rsidRDefault="006C3BEA">
      <w:pPr>
        <w:pStyle w:val="FootnoteText"/>
      </w:pPr>
      <w:r>
        <w:rPr>
          <w:rStyle w:val="FootnoteReference"/>
        </w:rPr>
        <w:footnoteRef/>
      </w:r>
      <w:r>
        <w:t xml:space="preserve"> </w:t>
      </w:r>
      <w:proofErr w:type="spellStart"/>
      <w:r>
        <w:t>Moschion</w:t>
      </w:r>
      <w:proofErr w:type="spellEnd"/>
      <w:r>
        <w:t xml:space="preserve">, J. </w:t>
      </w:r>
      <w:proofErr w:type="spellStart"/>
      <w:r>
        <w:t>Polidano</w:t>
      </w:r>
      <w:proofErr w:type="spellEnd"/>
      <w:r>
        <w:t xml:space="preserve">, C. Castillo, M. (2019) </w:t>
      </w:r>
      <w:r w:rsidRPr="0018347C">
        <w:rPr>
          <w:i/>
        </w:rPr>
        <w:t xml:space="preserve">Vocational pathways and post-school transitions from VET delivered to school students </w:t>
      </w:r>
      <w:r>
        <w:t xml:space="preserve">Melbourne Institute Applied Economic &amp; Social Research Available at: </w:t>
      </w:r>
      <w:hyperlink r:id="rId1" w:history="1">
        <w:r w:rsidRPr="00035499">
          <w:rPr>
            <w:rStyle w:val="Hyperlink"/>
          </w:rPr>
          <w:t>https://melbourneinstitute.unimelb.edu.au/__data/assets/pdf_file/0006/3194403/Vocational-pathways-2019.pdf</w:t>
        </w:r>
      </w:hyperlink>
      <w:r>
        <w:t xml:space="preserve"> </w:t>
      </w:r>
    </w:p>
  </w:footnote>
  <w:footnote w:id="11">
    <w:p w14:paraId="7D56A4BF" w14:textId="77777777" w:rsidR="006C3BEA" w:rsidRDefault="006C3BEA" w:rsidP="008A1D27">
      <w:pPr>
        <w:pStyle w:val="FootnoteText"/>
      </w:pPr>
      <w:r>
        <w:rPr>
          <w:rStyle w:val="FootnoteReference"/>
        </w:rPr>
        <w:footnoteRef/>
      </w:r>
      <w:r>
        <w:t xml:space="preserve"> Commencements by reporting period for Government employer type, Apprentices and Trainees – December 2017, NCVER</w:t>
      </w:r>
    </w:p>
  </w:footnote>
  <w:footnote w:id="12">
    <w:p w14:paraId="7FFB353C" w14:textId="77777777" w:rsidR="006C3BEA" w:rsidRDefault="006C3BEA" w:rsidP="00A21BA0">
      <w:pPr>
        <w:pStyle w:val="FootnoteText"/>
      </w:pPr>
      <w:r>
        <w:rPr>
          <w:rStyle w:val="FootnoteReference"/>
        </w:rPr>
        <w:footnoteRef/>
      </w:r>
      <w:r>
        <w:t xml:space="preserve"> OECD (2018) Youth stocktaking report: engaging and empowering youth in OECD countries – how to bridge the governance gap</w:t>
      </w:r>
    </w:p>
  </w:footnote>
  <w:footnote w:id="13">
    <w:p w14:paraId="633636C1" w14:textId="77777777" w:rsidR="006C3BEA" w:rsidRDefault="006C3BEA" w:rsidP="008A1D27">
      <w:pPr>
        <w:pStyle w:val="FootnoteText"/>
      </w:pPr>
      <w:r>
        <w:rPr>
          <w:rStyle w:val="FootnoteReference"/>
        </w:rPr>
        <w:footnoteRef/>
      </w:r>
      <w:r>
        <w:t xml:space="preserve"> Labour Force Australia, cat no. 6202.0, Table 13. Labour force status for 15-24 year olds by Sex - Trend, Seasonally adjusted and Original, ABS 2018</w:t>
      </w:r>
    </w:p>
  </w:footnote>
  <w:footnote w:id="14">
    <w:p w14:paraId="31DF82F9" w14:textId="77777777" w:rsidR="006C3BEA" w:rsidRDefault="006C3BEA" w:rsidP="008A1D27">
      <w:pPr>
        <w:pStyle w:val="FootnoteText"/>
      </w:pPr>
      <w:r>
        <w:rPr>
          <w:rStyle w:val="FootnoteReference"/>
        </w:rPr>
        <w:footnoteRef/>
      </w:r>
      <w:r>
        <w:t xml:space="preserve"> Australian Labour Market Statistics, cat no. 6105.0, Table 1. </w:t>
      </w:r>
      <w:r w:rsidRPr="00243251">
        <w:t>Employment Type: Employed persons by Sex, Full-time/part-time and Age, August 1992—August 2007 and November 2008—November 2012</w:t>
      </w:r>
      <w:r>
        <w:t>, ABS 2014</w:t>
      </w:r>
    </w:p>
  </w:footnote>
  <w:footnote w:id="15">
    <w:p w14:paraId="66B063C5" w14:textId="77777777" w:rsidR="006C3BEA" w:rsidRDefault="006C3BEA" w:rsidP="008A1D27">
      <w:pPr>
        <w:pStyle w:val="FootnoteText"/>
      </w:pPr>
      <w:r>
        <w:rPr>
          <w:rStyle w:val="FootnoteReference"/>
        </w:rPr>
        <w:footnoteRef/>
      </w:r>
      <w:r>
        <w:t xml:space="preserve"> Hillman, K., McMillan, J. (2005) </w:t>
      </w:r>
      <w:r w:rsidRPr="00034328">
        <w:rPr>
          <w:i/>
        </w:rPr>
        <w:t>Life Satisfaction of Young Australians: Relationships between Further Education, Training and Employment and General and Career Satisfaction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1215" w14:textId="77777777" w:rsidR="006C3BEA" w:rsidRDefault="006C3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06492" w14:textId="77777777" w:rsidR="006C3BEA" w:rsidRDefault="006C3BEA" w:rsidP="00BC0E4C">
    <w:pPr>
      <w:pStyle w:val="Header"/>
      <w:jc w:val="right"/>
    </w:pPr>
    <w:r>
      <w:t>15 going on 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620E8" w14:textId="77777777" w:rsidR="006C3BEA" w:rsidRDefault="006C3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75241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347E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3679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626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5A17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ACD8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4E3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FA2A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BA5C77"/>
    <w:multiLevelType w:val="multilevel"/>
    <w:tmpl w:val="FF4E1B0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5E45748"/>
    <w:multiLevelType w:val="hybridMultilevel"/>
    <w:tmpl w:val="AF3AF18C"/>
    <w:lvl w:ilvl="0" w:tplc="6AB6590A">
      <w:start w:val="1"/>
      <w:numFmt w:val="decimal"/>
      <w:lvlText w:val="%1."/>
      <w:lvlJc w:val="left"/>
      <w:pPr>
        <w:ind w:left="3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4" w15:restartNumberingAfterBreak="0">
    <w:nsid w:val="27F80A4B"/>
    <w:multiLevelType w:val="multilevel"/>
    <w:tmpl w:val="B4BC0B70"/>
    <w:lvl w:ilvl="0">
      <w:start w:val="1"/>
      <w:numFmt w:val="decimal"/>
      <w:lvlText w:val="%1.1"/>
      <w:lvlJc w:val="left"/>
      <w:pPr>
        <w:ind w:left="0" w:firstLine="0"/>
      </w:pPr>
      <w:rPr>
        <w:rFonts w:hint="default"/>
        <w:color w:val="FFFFFF" w:themeColor="background1"/>
      </w:rPr>
    </w:lvl>
    <w:lvl w:ilvl="1">
      <w:start w:val="1"/>
      <w:numFmt w:val="decimal"/>
      <w:lvlText w:val="%1.%2"/>
      <w:lvlJc w:val="left"/>
      <w:pPr>
        <w:ind w:left="113" w:hanging="113"/>
      </w:pPr>
      <w:rPr>
        <w:rFonts w:hint="default"/>
      </w:rPr>
    </w:lvl>
    <w:lvl w:ilvl="2">
      <w:start w:val="1"/>
      <w:numFmt w:val="decimal"/>
      <w:lvlText w:val="%1.%2.%3"/>
      <w:lvlJc w:val="left"/>
      <w:pPr>
        <w:ind w:left="0" w:firstLine="0"/>
      </w:pPr>
      <w:rPr>
        <w:rFonts w:hint="default"/>
        <w:sz w:val="24"/>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B13E96"/>
    <w:multiLevelType w:val="multilevel"/>
    <w:tmpl w:val="E54C4922"/>
    <w:lvl w:ilvl="0">
      <w:start w:val="1"/>
      <w:numFmt w:val="none"/>
      <w:suff w:val="nothing"/>
      <w:lvlText w:val=""/>
      <w:lvlJc w:val="left"/>
      <w:pPr>
        <w:ind w:left="715" w:hanging="432"/>
      </w:pPr>
      <w:rPr>
        <w:rFonts w:hint="default"/>
        <w:sz w:val="36"/>
        <w:szCs w:val="36"/>
      </w:rPr>
    </w:lvl>
    <w:lvl w:ilvl="1">
      <w:start w:val="1"/>
      <w:numFmt w:val="decimal"/>
      <w:lvlText w:val="%1.%2"/>
      <w:lvlJc w:val="left"/>
      <w:pPr>
        <w:ind w:left="1143"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2.1.3"/>
      <w:lvlJc w:val="left"/>
      <w:pPr>
        <w:ind w:left="100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1B73210"/>
    <w:multiLevelType w:val="multilevel"/>
    <w:tmpl w:val="9C90C16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311D28"/>
    <w:multiLevelType w:val="hybridMultilevel"/>
    <w:tmpl w:val="8CB6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B71EBC"/>
    <w:multiLevelType w:val="hybridMultilevel"/>
    <w:tmpl w:val="7520D8A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5"/>
  </w:num>
  <w:num w:numId="13">
    <w:abstractNumId w:val="16"/>
  </w:num>
  <w:num w:numId="14">
    <w:abstractNumId w:val="20"/>
  </w:num>
  <w:num w:numId="15">
    <w:abstractNumId w:val="12"/>
  </w:num>
  <w:num w:numId="16">
    <w:abstractNumId w:val="1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9"/>
  </w:num>
  <w:num w:numId="20">
    <w:abstractNumId w:val="14"/>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286"/>
    <w:rsid w:val="00015916"/>
    <w:rsid w:val="0002535F"/>
    <w:rsid w:val="0003416E"/>
    <w:rsid w:val="00052BBC"/>
    <w:rsid w:val="00070E44"/>
    <w:rsid w:val="000805FD"/>
    <w:rsid w:val="0009062A"/>
    <w:rsid w:val="000A453D"/>
    <w:rsid w:val="000B07F2"/>
    <w:rsid w:val="000B6761"/>
    <w:rsid w:val="000C0E60"/>
    <w:rsid w:val="000C7AC8"/>
    <w:rsid w:val="00105AFE"/>
    <w:rsid w:val="00106840"/>
    <w:rsid w:val="00107288"/>
    <w:rsid w:val="0011434B"/>
    <w:rsid w:val="00127EDC"/>
    <w:rsid w:val="00131AE5"/>
    <w:rsid w:val="00157F35"/>
    <w:rsid w:val="0018347C"/>
    <w:rsid w:val="00192E1C"/>
    <w:rsid w:val="00196C66"/>
    <w:rsid w:val="001A1A98"/>
    <w:rsid w:val="001D176F"/>
    <w:rsid w:val="001F14C8"/>
    <w:rsid w:val="00206A2E"/>
    <w:rsid w:val="00217EAB"/>
    <w:rsid w:val="0022498C"/>
    <w:rsid w:val="002436AB"/>
    <w:rsid w:val="00245C18"/>
    <w:rsid w:val="002724D0"/>
    <w:rsid w:val="00282FDA"/>
    <w:rsid w:val="002B1CE5"/>
    <w:rsid w:val="002D08A9"/>
    <w:rsid w:val="002D7974"/>
    <w:rsid w:val="002F4DB3"/>
    <w:rsid w:val="002F4E0C"/>
    <w:rsid w:val="00302164"/>
    <w:rsid w:val="00336C2C"/>
    <w:rsid w:val="00350FFA"/>
    <w:rsid w:val="00352361"/>
    <w:rsid w:val="00355C28"/>
    <w:rsid w:val="00365B92"/>
    <w:rsid w:val="00380778"/>
    <w:rsid w:val="00382F07"/>
    <w:rsid w:val="00387CD9"/>
    <w:rsid w:val="003A7295"/>
    <w:rsid w:val="003D13D5"/>
    <w:rsid w:val="003D7A03"/>
    <w:rsid w:val="003E3AAF"/>
    <w:rsid w:val="003E6A39"/>
    <w:rsid w:val="003F2B82"/>
    <w:rsid w:val="00433E17"/>
    <w:rsid w:val="00443681"/>
    <w:rsid w:val="00450EA7"/>
    <w:rsid w:val="00453C04"/>
    <w:rsid w:val="00454901"/>
    <w:rsid w:val="00497764"/>
    <w:rsid w:val="004A5579"/>
    <w:rsid w:val="004A56A0"/>
    <w:rsid w:val="004D515E"/>
    <w:rsid w:val="004E23C3"/>
    <w:rsid w:val="004E6BDB"/>
    <w:rsid w:val="004F0EA8"/>
    <w:rsid w:val="004F112C"/>
    <w:rsid w:val="0051352E"/>
    <w:rsid w:val="00517DA7"/>
    <w:rsid w:val="00520987"/>
    <w:rsid w:val="00520A33"/>
    <w:rsid w:val="00527AE4"/>
    <w:rsid w:val="00544DA1"/>
    <w:rsid w:val="00555DD0"/>
    <w:rsid w:val="0056707A"/>
    <w:rsid w:val="00573CB7"/>
    <w:rsid w:val="00574468"/>
    <w:rsid w:val="005941A3"/>
    <w:rsid w:val="005B6325"/>
    <w:rsid w:val="005D6299"/>
    <w:rsid w:val="00620DA8"/>
    <w:rsid w:val="0062548C"/>
    <w:rsid w:val="00625F13"/>
    <w:rsid w:val="00630DDF"/>
    <w:rsid w:val="00641FEE"/>
    <w:rsid w:val="00644B08"/>
    <w:rsid w:val="00652286"/>
    <w:rsid w:val="006625E8"/>
    <w:rsid w:val="0066267D"/>
    <w:rsid w:val="00664868"/>
    <w:rsid w:val="006721AB"/>
    <w:rsid w:val="006740D6"/>
    <w:rsid w:val="00681902"/>
    <w:rsid w:val="006845D2"/>
    <w:rsid w:val="00690FE0"/>
    <w:rsid w:val="006A4932"/>
    <w:rsid w:val="006C1183"/>
    <w:rsid w:val="006C3BEA"/>
    <w:rsid w:val="006C78A8"/>
    <w:rsid w:val="006D5A68"/>
    <w:rsid w:val="006D6913"/>
    <w:rsid w:val="006E5D6E"/>
    <w:rsid w:val="00700203"/>
    <w:rsid w:val="00721B03"/>
    <w:rsid w:val="00727043"/>
    <w:rsid w:val="007304BC"/>
    <w:rsid w:val="00732CAC"/>
    <w:rsid w:val="00755C67"/>
    <w:rsid w:val="00756A25"/>
    <w:rsid w:val="007570DC"/>
    <w:rsid w:val="007742C0"/>
    <w:rsid w:val="007A567C"/>
    <w:rsid w:val="007B1ABA"/>
    <w:rsid w:val="007B7456"/>
    <w:rsid w:val="007B74C5"/>
    <w:rsid w:val="007E446D"/>
    <w:rsid w:val="00836ECE"/>
    <w:rsid w:val="008507C1"/>
    <w:rsid w:val="00861934"/>
    <w:rsid w:val="00866383"/>
    <w:rsid w:val="00874FC2"/>
    <w:rsid w:val="00876E31"/>
    <w:rsid w:val="008A1D27"/>
    <w:rsid w:val="008B3FDF"/>
    <w:rsid w:val="008D0625"/>
    <w:rsid w:val="008F0AC9"/>
    <w:rsid w:val="008F1656"/>
    <w:rsid w:val="009110C1"/>
    <w:rsid w:val="009120B3"/>
    <w:rsid w:val="009163B4"/>
    <w:rsid w:val="00921464"/>
    <w:rsid w:val="0092485A"/>
    <w:rsid w:val="00925A92"/>
    <w:rsid w:val="0093473D"/>
    <w:rsid w:val="00970C39"/>
    <w:rsid w:val="00972F57"/>
    <w:rsid w:val="00995280"/>
    <w:rsid w:val="009A48EA"/>
    <w:rsid w:val="009A5DC7"/>
    <w:rsid w:val="009D1F09"/>
    <w:rsid w:val="009D6EE7"/>
    <w:rsid w:val="009E0743"/>
    <w:rsid w:val="009F5B48"/>
    <w:rsid w:val="00A0662E"/>
    <w:rsid w:val="00A177E6"/>
    <w:rsid w:val="00A21BA0"/>
    <w:rsid w:val="00A24E6E"/>
    <w:rsid w:val="00A259D8"/>
    <w:rsid w:val="00A43694"/>
    <w:rsid w:val="00A56FC7"/>
    <w:rsid w:val="00A65A7E"/>
    <w:rsid w:val="00A72575"/>
    <w:rsid w:val="00A74071"/>
    <w:rsid w:val="00A84072"/>
    <w:rsid w:val="00AA124A"/>
    <w:rsid w:val="00AA2A96"/>
    <w:rsid w:val="00AA3A8E"/>
    <w:rsid w:val="00B032BD"/>
    <w:rsid w:val="00B100CC"/>
    <w:rsid w:val="00B124BE"/>
    <w:rsid w:val="00B25559"/>
    <w:rsid w:val="00B276E5"/>
    <w:rsid w:val="00B33277"/>
    <w:rsid w:val="00B6689D"/>
    <w:rsid w:val="00B703F9"/>
    <w:rsid w:val="00B72368"/>
    <w:rsid w:val="00B72D0F"/>
    <w:rsid w:val="00B77334"/>
    <w:rsid w:val="00B80B6E"/>
    <w:rsid w:val="00B858B7"/>
    <w:rsid w:val="00B9023C"/>
    <w:rsid w:val="00B90321"/>
    <w:rsid w:val="00B92550"/>
    <w:rsid w:val="00BA6327"/>
    <w:rsid w:val="00BB39B4"/>
    <w:rsid w:val="00BC0E4C"/>
    <w:rsid w:val="00BC4022"/>
    <w:rsid w:val="00BF2EB9"/>
    <w:rsid w:val="00C32881"/>
    <w:rsid w:val="00C378B5"/>
    <w:rsid w:val="00C4621E"/>
    <w:rsid w:val="00C517D1"/>
    <w:rsid w:val="00C54D58"/>
    <w:rsid w:val="00C573E1"/>
    <w:rsid w:val="00C61C61"/>
    <w:rsid w:val="00C75D84"/>
    <w:rsid w:val="00C8061A"/>
    <w:rsid w:val="00C845E9"/>
    <w:rsid w:val="00C854E2"/>
    <w:rsid w:val="00C9136C"/>
    <w:rsid w:val="00C9257F"/>
    <w:rsid w:val="00C95DF6"/>
    <w:rsid w:val="00C95E36"/>
    <w:rsid w:val="00C965CE"/>
    <w:rsid w:val="00CA1E42"/>
    <w:rsid w:val="00CA2E19"/>
    <w:rsid w:val="00CB060F"/>
    <w:rsid w:val="00CB51DB"/>
    <w:rsid w:val="00CC0B90"/>
    <w:rsid w:val="00CC7CAE"/>
    <w:rsid w:val="00CD1FF5"/>
    <w:rsid w:val="00CD2BCC"/>
    <w:rsid w:val="00CF7B63"/>
    <w:rsid w:val="00D05268"/>
    <w:rsid w:val="00D05485"/>
    <w:rsid w:val="00D34209"/>
    <w:rsid w:val="00D83947"/>
    <w:rsid w:val="00DA0CBE"/>
    <w:rsid w:val="00DA1B7B"/>
    <w:rsid w:val="00DB79DF"/>
    <w:rsid w:val="00DC57EC"/>
    <w:rsid w:val="00DD5558"/>
    <w:rsid w:val="00DF5153"/>
    <w:rsid w:val="00E02C19"/>
    <w:rsid w:val="00E10039"/>
    <w:rsid w:val="00E169F5"/>
    <w:rsid w:val="00E32186"/>
    <w:rsid w:val="00E46526"/>
    <w:rsid w:val="00E46C5E"/>
    <w:rsid w:val="00E50928"/>
    <w:rsid w:val="00E54D92"/>
    <w:rsid w:val="00E55E04"/>
    <w:rsid w:val="00E6179B"/>
    <w:rsid w:val="00E70E40"/>
    <w:rsid w:val="00E81F55"/>
    <w:rsid w:val="00EA32F7"/>
    <w:rsid w:val="00EB45B2"/>
    <w:rsid w:val="00EC144B"/>
    <w:rsid w:val="00ED18EB"/>
    <w:rsid w:val="00ED309E"/>
    <w:rsid w:val="00EE1883"/>
    <w:rsid w:val="00EF5D81"/>
    <w:rsid w:val="00F15A35"/>
    <w:rsid w:val="00F230CD"/>
    <w:rsid w:val="00F51C18"/>
    <w:rsid w:val="00F86D75"/>
    <w:rsid w:val="00FA31E2"/>
    <w:rsid w:val="00FC2B52"/>
    <w:rsid w:val="00FC4EF2"/>
    <w:rsid w:val="00FE4C32"/>
    <w:rsid w:val="00FF5B70"/>
    <w:rsid w:val="00FF5BB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52FAAE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3F9"/>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F51C18"/>
    <w:pPr>
      <w:keepNext/>
      <w:keepLines/>
      <w:spacing w:before="240" w:after="0"/>
      <w:outlineLvl w:val="1"/>
    </w:pPr>
    <w:rPr>
      <w:rFonts w:ascii="Calibri" w:eastAsiaTheme="majorEastAsia" w:hAnsi="Calibri" w:cstheme="majorBidi"/>
      <w:b/>
      <w:color w:val="002D3F"/>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8A1D27"/>
    <w:pPr>
      <w:spacing w:after="160" w:line="259"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A1D27"/>
    <w:pPr>
      <w:spacing w:after="160" w:line="259"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A1D27"/>
    <w:pPr>
      <w:spacing w:after="160" w:line="259"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4D58"/>
    <w:pPr>
      <w:spacing w:before="480" w:after="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C54D58"/>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11"/>
    <w:qFormat/>
    <w:rsid w:val="002B1CE5"/>
    <w:pPr>
      <w:numPr>
        <w:ilvl w:val="1"/>
      </w:numPr>
      <w:spacing w:after="0"/>
    </w:pPr>
    <w:rPr>
      <w:rFonts w:ascii="Calibri" w:eastAsiaTheme="minorEastAsia" w:hAnsi="Calibri"/>
      <w:spacing w:val="15"/>
      <w:sz w:val="40"/>
    </w:rPr>
  </w:style>
  <w:style w:type="character" w:customStyle="1" w:styleId="SubtitleChar">
    <w:name w:val="Subtitle Char"/>
    <w:basedOn w:val="DefaultParagraphFont"/>
    <w:link w:val="Subtitle"/>
    <w:uiPriority w:val="11"/>
    <w:rsid w:val="00B100CC"/>
    <w:rPr>
      <w:rFonts w:ascii="Calibri" w:eastAsiaTheme="minorEastAsia" w:hAnsi="Calibri"/>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F51C18"/>
    <w:rPr>
      <w:rFonts w:ascii="Calibri" w:eastAsiaTheme="majorEastAsia" w:hAnsi="Calibri" w:cstheme="majorBidi"/>
      <w:b/>
      <w:color w:val="002D3F"/>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qFormat/>
    <w:rsid w:val="0022498C"/>
    <w:rPr>
      <w:sz w:val="18"/>
    </w:rPr>
  </w:style>
  <w:style w:type="table" w:customStyle="1" w:styleId="DESE">
    <w:name w:val="DESE"/>
    <w:basedOn w:val="TableNormal"/>
    <w:uiPriority w:val="99"/>
    <w:rsid w:val="00972F5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character" w:customStyle="1" w:styleId="Heading7Char">
    <w:name w:val="Heading 7 Char"/>
    <w:basedOn w:val="DefaultParagraphFont"/>
    <w:link w:val="Heading7"/>
    <w:uiPriority w:val="9"/>
    <w:semiHidden/>
    <w:rsid w:val="008A1D2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A1D2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A1D27"/>
    <w:rPr>
      <w:rFonts w:asciiTheme="majorHAnsi" w:eastAsiaTheme="majorEastAsia" w:hAnsiTheme="majorHAnsi" w:cstheme="majorBidi"/>
      <w:i/>
      <w:iCs/>
      <w:spacing w:val="5"/>
      <w:sz w:val="20"/>
      <w:szCs w:val="20"/>
    </w:rPr>
  </w:style>
  <w:style w:type="paragraph" w:customStyle="1" w:styleId="Default">
    <w:name w:val="Default"/>
    <w:rsid w:val="008A1D27"/>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CommentReference">
    <w:name w:val="annotation reference"/>
    <w:basedOn w:val="DefaultParagraphFont"/>
    <w:uiPriority w:val="99"/>
    <w:semiHidden/>
    <w:unhideWhenUsed/>
    <w:rsid w:val="008A1D27"/>
    <w:rPr>
      <w:sz w:val="16"/>
      <w:szCs w:val="16"/>
    </w:rPr>
  </w:style>
  <w:style w:type="paragraph" w:styleId="CommentText">
    <w:name w:val="annotation text"/>
    <w:basedOn w:val="Normal"/>
    <w:link w:val="CommentTextChar"/>
    <w:uiPriority w:val="99"/>
    <w:semiHidden/>
    <w:unhideWhenUsed/>
    <w:rsid w:val="008A1D27"/>
    <w:pPr>
      <w:spacing w:after="160" w:line="259" w:lineRule="auto"/>
    </w:pPr>
    <w:rPr>
      <w:sz w:val="20"/>
      <w:szCs w:val="20"/>
    </w:rPr>
  </w:style>
  <w:style w:type="character" w:customStyle="1" w:styleId="CommentTextChar">
    <w:name w:val="Comment Text Char"/>
    <w:basedOn w:val="DefaultParagraphFont"/>
    <w:link w:val="CommentText"/>
    <w:uiPriority w:val="99"/>
    <w:semiHidden/>
    <w:rsid w:val="008A1D27"/>
    <w:rPr>
      <w:sz w:val="20"/>
      <w:szCs w:val="20"/>
    </w:rPr>
  </w:style>
  <w:style w:type="paragraph" w:styleId="CommentSubject">
    <w:name w:val="annotation subject"/>
    <w:basedOn w:val="CommentText"/>
    <w:next w:val="CommentText"/>
    <w:link w:val="CommentSubjectChar"/>
    <w:uiPriority w:val="99"/>
    <w:semiHidden/>
    <w:unhideWhenUsed/>
    <w:rsid w:val="008A1D27"/>
    <w:rPr>
      <w:b/>
      <w:bCs/>
    </w:rPr>
  </w:style>
  <w:style w:type="character" w:customStyle="1" w:styleId="CommentSubjectChar">
    <w:name w:val="Comment Subject Char"/>
    <w:basedOn w:val="CommentTextChar"/>
    <w:link w:val="CommentSubject"/>
    <w:uiPriority w:val="99"/>
    <w:semiHidden/>
    <w:rsid w:val="008A1D27"/>
    <w:rPr>
      <w:b/>
      <w:bCs/>
      <w:sz w:val="20"/>
      <w:szCs w:val="20"/>
    </w:rPr>
  </w:style>
  <w:style w:type="paragraph" w:styleId="NoSpacing">
    <w:name w:val="No Spacing"/>
    <w:basedOn w:val="Normal"/>
    <w:link w:val="NoSpacingChar"/>
    <w:uiPriority w:val="1"/>
    <w:qFormat/>
    <w:rsid w:val="008A1D27"/>
    <w:pPr>
      <w:spacing w:after="160" w:line="259" w:lineRule="auto"/>
    </w:pPr>
  </w:style>
  <w:style w:type="paragraph" w:styleId="Revision">
    <w:name w:val="Revision"/>
    <w:hidden/>
    <w:uiPriority w:val="99"/>
    <w:semiHidden/>
    <w:rsid w:val="008A1D27"/>
    <w:pPr>
      <w:spacing w:after="0" w:line="240" w:lineRule="auto"/>
    </w:pPr>
  </w:style>
  <w:style w:type="paragraph" w:styleId="FootnoteText">
    <w:name w:val="footnote text"/>
    <w:basedOn w:val="Normal"/>
    <w:link w:val="FootnoteTextChar"/>
    <w:uiPriority w:val="99"/>
    <w:semiHidden/>
    <w:unhideWhenUsed/>
    <w:rsid w:val="008A1D27"/>
    <w:pPr>
      <w:spacing w:after="160" w:line="259" w:lineRule="auto"/>
    </w:pPr>
    <w:rPr>
      <w:sz w:val="20"/>
      <w:szCs w:val="20"/>
    </w:rPr>
  </w:style>
  <w:style w:type="character" w:customStyle="1" w:styleId="FootnoteTextChar">
    <w:name w:val="Footnote Text Char"/>
    <w:basedOn w:val="DefaultParagraphFont"/>
    <w:link w:val="FootnoteText"/>
    <w:uiPriority w:val="99"/>
    <w:semiHidden/>
    <w:rsid w:val="008A1D27"/>
    <w:rPr>
      <w:sz w:val="20"/>
      <w:szCs w:val="20"/>
    </w:rPr>
  </w:style>
  <w:style w:type="character" w:styleId="FootnoteReference">
    <w:name w:val="footnote reference"/>
    <w:basedOn w:val="DefaultParagraphFont"/>
    <w:uiPriority w:val="99"/>
    <w:semiHidden/>
    <w:unhideWhenUsed/>
    <w:rsid w:val="008A1D27"/>
    <w:rPr>
      <w:vertAlign w:val="superscript"/>
    </w:rPr>
  </w:style>
  <w:style w:type="paragraph" w:styleId="NormalWeb">
    <w:name w:val="Normal (Web)"/>
    <w:basedOn w:val="Normal"/>
    <w:uiPriority w:val="99"/>
    <w:semiHidden/>
    <w:unhideWhenUsed/>
    <w:rsid w:val="008A1D27"/>
    <w:pPr>
      <w:spacing w:before="100" w:beforeAutospacing="1" w:after="100" w:afterAutospacing="1" w:line="259" w:lineRule="auto"/>
    </w:pPr>
    <w:rPr>
      <w:rFonts w:ascii="Times New Roman" w:hAnsi="Times New Roman" w:cs="Times New Roman"/>
    </w:rPr>
  </w:style>
  <w:style w:type="character" w:styleId="Emphasis">
    <w:name w:val="Emphasis"/>
    <w:uiPriority w:val="20"/>
    <w:qFormat/>
    <w:rsid w:val="008A1D27"/>
    <w:rPr>
      <w:b/>
      <w:bCs/>
      <w:i/>
      <w:iCs/>
      <w:spacing w:val="10"/>
      <w:bdr w:val="none" w:sz="0" w:space="0" w:color="auto"/>
      <w:shd w:val="clear" w:color="auto" w:fill="auto"/>
    </w:rPr>
  </w:style>
  <w:style w:type="character" w:styleId="BookTitle">
    <w:name w:val="Book Title"/>
    <w:uiPriority w:val="33"/>
    <w:qFormat/>
    <w:rsid w:val="008A1D27"/>
    <w:rPr>
      <w:i/>
      <w:iCs/>
      <w:caps w:val="0"/>
      <w:smallCaps w:val="0"/>
      <w:spacing w:val="5"/>
    </w:rPr>
  </w:style>
  <w:style w:type="paragraph" w:styleId="IntenseQuote">
    <w:name w:val="Intense Quote"/>
    <w:basedOn w:val="Normal"/>
    <w:next w:val="Normal"/>
    <w:link w:val="IntenseQuoteChar"/>
    <w:uiPriority w:val="30"/>
    <w:qFormat/>
    <w:rsid w:val="008A1D27"/>
    <w:pPr>
      <w:pBdr>
        <w:bottom w:val="single" w:sz="4" w:space="1" w:color="auto"/>
      </w:pBdr>
      <w:spacing w:before="200" w:after="280" w:line="259" w:lineRule="auto"/>
      <w:ind w:left="1008" w:right="1152"/>
      <w:jc w:val="both"/>
    </w:pPr>
    <w:rPr>
      <w:b/>
      <w:bCs/>
      <w:i/>
      <w:iCs/>
    </w:rPr>
  </w:style>
  <w:style w:type="character" w:customStyle="1" w:styleId="IntenseQuoteChar">
    <w:name w:val="Intense Quote Char"/>
    <w:basedOn w:val="DefaultParagraphFont"/>
    <w:link w:val="IntenseQuote"/>
    <w:uiPriority w:val="30"/>
    <w:rsid w:val="008A1D27"/>
    <w:rPr>
      <w:b/>
      <w:bCs/>
      <w:i/>
      <w:iCs/>
    </w:rPr>
  </w:style>
  <w:style w:type="character" w:styleId="SubtleEmphasis">
    <w:name w:val="Subtle Emphasis"/>
    <w:uiPriority w:val="19"/>
    <w:qFormat/>
    <w:rsid w:val="008A1D27"/>
    <w:rPr>
      <w:i/>
      <w:iCs/>
    </w:rPr>
  </w:style>
  <w:style w:type="character" w:styleId="IntenseEmphasis">
    <w:name w:val="Intense Emphasis"/>
    <w:uiPriority w:val="21"/>
    <w:qFormat/>
    <w:rsid w:val="008A1D27"/>
    <w:rPr>
      <w:b/>
      <w:bCs/>
    </w:rPr>
  </w:style>
  <w:style w:type="character" w:styleId="SubtleReference">
    <w:name w:val="Subtle Reference"/>
    <w:uiPriority w:val="31"/>
    <w:qFormat/>
    <w:rsid w:val="008A1D27"/>
    <w:rPr>
      <w:smallCaps/>
    </w:rPr>
  </w:style>
  <w:style w:type="character" w:styleId="IntenseReference">
    <w:name w:val="Intense Reference"/>
    <w:uiPriority w:val="32"/>
    <w:qFormat/>
    <w:rsid w:val="008A1D27"/>
    <w:rPr>
      <w:smallCaps/>
      <w:spacing w:val="5"/>
      <w:u w:val="single"/>
    </w:rPr>
  </w:style>
  <w:style w:type="paragraph" w:styleId="ListNumber2">
    <w:name w:val="List Number 2"/>
    <w:basedOn w:val="Normal"/>
    <w:uiPriority w:val="99"/>
    <w:unhideWhenUsed/>
    <w:rsid w:val="008A1D27"/>
    <w:pPr>
      <w:tabs>
        <w:tab w:val="left" w:pos="1134"/>
      </w:tabs>
      <w:spacing w:after="120" w:line="259" w:lineRule="auto"/>
      <w:ind w:left="936" w:hanging="567"/>
      <w:contextualSpacing/>
    </w:pPr>
  </w:style>
  <w:style w:type="paragraph" w:styleId="ListNumber3">
    <w:name w:val="List Number 3"/>
    <w:basedOn w:val="Normal"/>
    <w:uiPriority w:val="99"/>
    <w:unhideWhenUsed/>
    <w:rsid w:val="008A1D27"/>
    <w:pPr>
      <w:spacing w:after="120" w:line="259" w:lineRule="auto"/>
      <w:ind w:left="1701" w:hanging="765"/>
      <w:contextualSpacing/>
    </w:pPr>
  </w:style>
  <w:style w:type="paragraph" w:styleId="ListNumber4">
    <w:name w:val="List Number 4"/>
    <w:basedOn w:val="Normal"/>
    <w:uiPriority w:val="99"/>
    <w:unhideWhenUsed/>
    <w:rsid w:val="008A1D27"/>
    <w:pPr>
      <w:spacing w:after="120" w:line="259" w:lineRule="auto"/>
      <w:ind w:left="2637" w:hanging="936"/>
      <w:contextualSpacing/>
    </w:pPr>
  </w:style>
  <w:style w:type="paragraph" w:styleId="ListBullet2">
    <w:name w:val="List Bullet 2"/>
    <w:basedOn w:val="Normal"/>
    <w:uiPriority w:val="99"/>
    <w:unhideWhenUsed/>
    <w:rsid w:val="008A1D27"/>
    <w:pPr>
      <w:spacing w:after="120" w:line="259" w:lineRule="auto"/>
      <w:ind w:left="766" w:hanging="369"/>
      <w:contextualSpacing/>
    </w:pPr>
  </w:style>
  <w:style w:type="paragraph" w:styleId="ListBullet3">
    <w:name w:val="List Bullet 3"/>
    <w:basedOn w:val="Normal"/>
    <w:uiPriority w:val="99"/>
    <w:unhideWhenUsed/>
    <w:rsid w:val="008A1D27"/>
    <w:pPr>
      <w:spacing w:after="120" w:line="259" w:lineRule="auto"/>
      <w:ind w:left="1163" w:hanging="369"/>
      <w:contextualSpacing/>
    </w:pPr>
  </w:style>
  <w:style w:type="paragraph" w:styleId="ListBullet4">
    <w:name w:val="List Bullet 4"/>
    <w:basedOn w:val="Normal"/>
    <w:uiPriority w:val="99"/>
    <w:unhideWhenUsed/>
    <w:rsid w:val="008A1D27"/>
    <w:pPr>
      <w:spacing w:after="120" w:line="259" w:lineRule="auto"/>
      <w:ind w:left="1503" w:hanging="369"/>
      <w:contextualSpacing/>
    </w:pPr>
  </w:style>
  <w:style w:type="table" w:customStyle="1" w:styleId="DEEWRTable">
    <w:name w:val="DEEWR Table"/>
    <w:basedOn w:val="TableNormal"/>
    <w:uiPriority w:val="99"/>
    <w:rsid w:val="008A1D27"/>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styleId="BodyText">
    <w:name w:val="Body Text"/>
    <w:basedOn w:val="Normal"/>
    <w:link w:val="BodyTextChar"/>
    <w:rsid w:val="008A1D27"/>
    <w:pPr>
      <w:spacing w:after="120" w:line="259" w:lineRule="auto"/>
    </w:pPr>
    <w:rPr>
      <w:rFonts w:cs="Times New Roman"/>
    </w:rPr>
  </w:style>
  <w:style w:type="character" w:customStyle="1" w:styleId="BodyTextChar">
    <w:name w:val="Body Text Char"/>
    <w:basedOn w:val="DefaultParagraphFont"/>
    <w:link w:val="BodyText"/>
    <w:rsid w:val="008A1D27"/>
    <w:rPr>
      <w:rFonts w:cs="Times New Roman"/>
    </w:rPr>
  </w:style>
  <w:style w:type="paragraph" w:customStyle="1" w:styleId="numberedpara">
    <w:name w:val="numbered para"/>
    <w:basedOn w:val="Normal"/>
    <w:rsid w:val="008A1D27"/>
    <w:pPr>
      <w:numPr>
        <w:numId w:val="17"/>
      </w:numPr>
      <w:spacing w:after="160" w:line="259" w:lineRule="auto"/>
    </w:pPr>
  </w:style>
  <w:style w:type="character" w:customStyle="1" w:styleId="NoSpacingChar">
    <w:name w:val="No Spacing Char"/>
    <w:basedOn w:val="DefaultParagraphFont"/>
    <w:link w:val="NoSpacing"/>
    <w:uiPriority w:val="1"/>
    <w:rsid w:val="008A1D27"/>
  </w:style>
  <w:style w:type="character" w:styleId="PlaceholderText">
    <w:name w:val="Placeholder Text"/>
    <w:basedOn w:val="DefaultParagraphFont"/>
    <w:uiPriority w:val="99"/>
    <w:semiHidden/>
    <w:rsid w:val="008A1D27"/>
    <w:rPr>
      <w:color w:val="808080"/>
    </w:rPr>
  </w:style>
  <w:style w:type="paragraph" w:customStyle="1" w:styleId="DeleteText">
    <w:name w:val="Delete Text"/>
    <w:basedOn w:val="Normal"/>
    <w:qFormat/>
    <w:rsid w:val="008A1D27"/>
    <w:pPr>
      <w:spacing w:after="160" w:line="259" w:lineRule="auto"/>
    </w:pPr>
    <w:rPr>
      <w:color w:val="B6006A" w:themeColor="accent4"/>
    </w:rPr>
  </w:style>
  <w:style w:type="table" w:styleId="ColorfulGrid-Accent1">
    <w:name w:val="Colorful Grid Accent 1"/>
    <w:basedOn w:val="TableNormal"/>
    <w:uiPriority w:val="73"/>
    <w:semiHidden/>
    <w:rsid w:val="008A1D27"/>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A5E5FF" w:themeFill="accent1" w:themeFillTint="33"/>
    </w:tcPr>
    <w:tblStylePr w:type="firstRow">
      <w:rPr>
        <w:b/>
        <w:bCs/>
      </w:rPr>
      <w:tblPr/>
      <w:tcPr>
        <w:shd w:val="clear" w:color="auto" w:fill="4CCBFF" w:themeFill="accent1" w:themeFillTint="66"/>
      </w:tcPr>
    </w:tblStylePr>
    <w:tblStylePr w:type="lastRow">
      <w:rPr>
        <w:b/>
        <w:bCs/>
        <w:color w:val="000000" w:themeColor="text1"/>
      </w:rPr>
      <w:tblPr/>
      <w:tcPr>
        <w:shd w:val="clear" w:color="auto" w:fill="4CCBFF" w:themeFill="accent1" w:themeFillTint="66"/>
      </w:tcPr>
    </w:tblStylePr>
    <w:tblStylePr w:type="firstCol">
      <w:rPr>
        <w:color w:val="FFFFFF" w:themeColor="background1"/>
      </w:rPr>
      <w:tblPr/>
      <w:tcPr>
        <w:shd w:val="clear" w:color="auto" w:fill="00212F" w:themeFill="accent1" w:themeFillShade="BF"/>
      </w:tcPr>
    </w:tblStylePr>
    <w:tblStylePr w:type="lastCol">
      <w:rPr>
        <w:color w:val="FFFFFF" w:themeColor="background1"/>
      </w:rPr>
      <w:tblPr/>
      <w:tcPr>
        <w:shd w:val="clear" w:color="auto" w:fill="00212F" w:themeFill="accent1" w:themeFillShade="BF"/>
      </w:tc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ColorfulGrid-Accent2">
    <w:name w:val="Colorful Grid Accent 2"/>
    <w:basedOn w:val="TableNormal"/>
    <w:uiPriority w:val="73"/>
    <w:semiHidden/>
    <w:rsid w:val="008A1D27"/>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CDFD2" w:themeFill="accent2" w:themeFillTint="33"/>
    </w:tcPr>
    <w:tblStylePr w:type="firstRow">
      <w:rPr>
        <w:b/>
        <w:bCs/>
      </w:rPr>
      <w:tblPr/>
      <w:tcPr>
        <w:shd w:val="clear" w:color="auto" w:fill="F9C0A6" w:themeFill="accent2" w:themeFillTint="66"/>
      </w:tcPr>
    </w:tblStylePr>
    <w:tblStylePr w:type="lastRow">
      <w:rPr>
        <w:b/>
        <w:bCs/>
        <w:color w:val="000000" w:themeColor="text1"/>
      </w:rPr>
      <w:tblPr/>
      <w:tcPr>
        <w:shd w:val="clear" w:color="auto" w:fill="F9C0A6" w:themeFill="accent2" w:themeFillTint="66"/>
      </w:tcPr>
    </w:tblStylePr>
    <w:tblStylePr w:type="firstCol">
      <w:rPr>
        <w:color w:val="FFFFFF" w:themeColor="background1"/>
      </w:rPr>
      <w:tblPr/>
      <w:tcPr>
        <w:shd w:val="clear" w:color="auto" w:fill="C3440B" w:themeFill="accent2" w:themeFillShade="BF"/>
      </w:tcPr>
    </w:tblStylePr>
    <w:tblStylePr w:type="lastCol">
      <w:rPr>
        <w:color w:val="FFFFFF" w:themeColor="background1"/>
      </w:rPr>
      <w:tblPr/>
      <w:tcPr>
        <w:shd w:val="clear" w:color="auto" w:fill="C3440B" w:themeFill="accent2" w:themeFillShade="BF"/>
      </w:tc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ColorfulGrid-Accent3">
    <w:name w:val="Colorful Grid Accent 3"/>
    <w:basedOn w:val="TableNormal"/>
    <w:uiPriority w:val="73"/>
    <w:semiHidden/>
    <w:rsid w:val="008A1D27"/>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B3FFF7" w:themeFill="accent3" w:themeFillTint="33"/>
    </w:tcPr>
    <w:tblStylePr w:type="firstRow">
      <w:rPr>
        <w:b/>
        <w:bCs/>
      </w:rPr>
      <w:tblPr/>
      <w:tcPr>
        <w:shd w:val="clear" w:color="auto" w:fill="67FFF0" w:themeFill="accent3" w:themeFillTint="66"/>
      </w:tcPr>
    </w:tblStylePr>
    <w:tblStylePr w:type="lastRow">
      <w:rPr>
        <w:b/>
        <w:bCs/>
        <w:color w:val="000000" w:themeColor="text1"/>
      </w:rPr>
      <w:tblPr/>
      <w:tcPr>
        <w:shd w:val="clear" w:color="auto" w:fill="67FFF0" w:themeFill="accent3" w:themeFillTint="66"/>
      </w:tcPr>
    </w:tblStylePr>
    <w:tblStylePr w:type="firstCol">
      <w:rPr>
        <w:color w:val="FFFFFF" w:themeColor="background1"/>
      </w:rPr>
      <w:tblPr/>
      <w:tcPr>
        <w:shd w:val="clear" w:color="auto" w:fill="006158" w:themeFill="accent3" w:themeFillShade="BF"/>
      </w:tcPr>
    </w:tblStylePr>
    <w:tblStylePr w:type="lastCol">
      <w:rPr>
        <w:color w:val="FFFFFF" w:themeColor="background1"/>
      </w:rPr>
      <w:tblPr/>
      <w:tcPr>
        <w:shd w:val="clear" w:color="auto" w:fill="006158" w:themeFill="accent3" w:themeFillShade="BF"/>
      </w:tc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ColorfulGrid-Accent4">
    <w:name w:val="Colorful Grid Accent 4"/>
    <w:basedOn w:val="TableNormal"/>
    <w:uiPriority w:val="73"/>
    <w:semiHidden/>
    <w:rsid w:val="008A1D27"/>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BDE3" w:themeFill="accent4" w:themeFillTint="33"/>
    </w:tcPr>
    <w:tblStylePr w:type="firstRow">
      <w:rPr>
        <w:b/>
        <w:bCs/>
      </w:rPr>
      <w:tblPr/>
      <w:tcPr>
        <w:shd w:val="clear" w:color="auto" w:fill="FF7BC7" w:themeFill="accent4" w:themeFillTint="66"/>
      </w:tcPr>
    </w:tblStylePr>
    <w:tblStylePr w:type="lastRow">
      <w:rPr>
        <w:b/>
        <w:bCs/>
        <w:color w:val="000000" w:themeColor="text1"/>
      </w:rPr>
      <w:tblPr/>
      <w:tcPr>
        <w:shd w:val="clear" w:color="auto" w:fill="FF7BC7" w:themeFill="accent4" w:themeFillTint="66"/>
      </w:tcPr>
    </w:tblStylePr>
    <w:tblStylePr w:type="firstCol">
      <w:rPr>
        <w:color w:val="FFFFFF" w:themeColor="background1"/>
      </w:rPr>
      <w:tblPr/>
      <w:tcPr>
        <w:shd w:val="clear" w:color="auto" w:fill="88004E" w:themeFill="accent4" w:themeFillShade="BF"/>
      </w:tcPr>
    </w:tblStylePr>
    <w:tblStylePr w:type="lastCol">
      <w:rPr>
        <w:color w:val="FFFFFF" w:themeColor="background1"/>
      </w:rPr>
      <w:tblPr/>
      <w:tcPr>
        <w:shd w:val="clear" w:color="auto" w:fill="88004E" w:themeFill="accent4" w:themeFillShade="BF"/>
      </w:tc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ColorfulGrid-Accent5">
    <w:name w:val="Colorful Grid Accent 5"/>
    <w:basedOn w:val="TableNormal"/>
    <w:uiPriority w:val="73"/>
    <w:semiHidden/>
    <w:rsid w:val="008A1D27"/>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DCF" w:themeFill="accent5" w:themeFillTint="33"/>
    </w:tcPr>
    <w:tblStylePr w:type="firstRow">
      <w:rPr>
        <w:b/>
        <w:bCs/>
      </w:rPr>
      <w:tblPr/>
      <w:tcPr>
        <w:shd w:val="clear" w:color="auto" w:fill="F7DC9F" w:themeFill="accent5" w:themeFillTint="66"/>
      </w:tcPr>
    </w:tblStylePr>
    <w:tblStylePr w:type="lastRow">
      <w:rPr>
        <w:b/>
        <w:bCs/>
        <w:color w:val="000000" w:themeColor="text1"/>
      </w:rPr>
      <w:tblPr/>
      <w:tcPr>
        <w:shd w:val="clear" w:color="auto" w:fill="F7DC9F" w:themeFill="accent5" w:themeFillTint="66"/>
      </w:tcPr>
    </w:tblStylePr>
    <w:tblStylePr w:type="firstCol">
      <w:rPr>
        <w:color w:val="FFFFFF" w:themeColor="background1"/>
      </w:rPr>
      <w:tblPr/>
      <w:tcPr>
        <w:shd w:val="clear" w:color="auto" w:fill="AE7E0E" w:themeFill="accent5" w:themeFillShade="BF"/>
      </w:tcPr>
    </w:tblStylePr>
    <w:tblStylePr w:type="lastCol">
      <w:rPr>
        <w:color w:val="FFFFFF" w:themeColor="background1"/>
      </w:rPr>
      <w:tblPr/>
      <w:tcPr>
        <w:shd w:val="clear" w:color="auto" w:fill="AE7E0E" w:themeFill="accent5" w:themeFillShade="BF"/>
      </w:tc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ColorfulGrid-Accent6">
    <w:name w:val="Colorful Grid Accent 6"/>
    <w:basedOn w:val="TableNormal"/>
    <w:uiPriority w:val="73"/>
    <w:semiHidden/>
    <w:rsid w:val="008A1D27"/>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FE5F4" w:themeFill="accent6" w:themeFillTint="33"/>
    </w:tcPr>
    <w:tblStylePr w:type="firstRow">
      <w:rPr>
        <w:b/>
        <w:bCs/>
      </w:rPr>
      <w:tblPr/>
      <w:tcPr>
        <w:shd w:val="clear" w:color="auto" w:fill="9FCDE9" w:themeFill="accent6" w:themeFillTint="66"/>
      </w:tcPr>
    </w:tblStylePr>
    <w:tblStylePr w:type="lastRow">
      <w:rPr>
        <w:b/>
        <w:bCs/>
        <w:color w:val="000000" w:themeColor="text1"/>
      </w:rPr>
      <w:tblPr/>
      <w:tcPr>
        <w:shd w:val="clear" w:color="auto" w:fill="9FCDE9" w:themeFill="accent6" w:themeFillTint="66"/>
      </w:tcPr>
    </w:tblStylePr>
    <w:tblStylePr w:type="firstCol">
      <w:rPr>
        <w:color w:val="FFFFFF" w:themeColor="background1"/>
      </w:rPr>
      <w:tblPr/>
      <w:tcPr>
        <w:shd w:val="clear" w:color="auto" w:fill="1E5D85" w:themeFill="accent6" w:themeFillShade="BF"/>
      </w:tcPr>
    </w:tblStylePr>
    <w:tblStylePr w:type="lastCol">
      <w:rPr>
        <w:color w:val="FFFFFF" w:themeColor="background1"/>
      </w:rPr>
      <w:tblPr/>
      <w:tcPr>
        <w:shd w:val="clear" w:color="auto" w:fill="1E5D85" w:themeFill="accent6" w:themeFillShade="BF"/>
      </w:tc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ColorfulList">
    <w:name w:val="Colorful List"/>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D3F2FF" w:themeFill="accent1"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1" w:themeFillTint="3F"/>
      </w:tcPr>
    </w:tblStylePr>
    <w:tblStylePr w:type="band1Horz">
      <w:tblPr/>
      <w:tcPr>
        <w:shd w:val="clear" w:color="auto" w:fill="A5E5FF" w:themeFill="accent1" w:themeFillTint="33"/>
      </w:tcPr>
    </w:tblStylePr>
  </w:style>
  <w:style w:type="table" w:styleId="ColorfulList-Accent2">
    <w:name w:val="Colorful List Accent 2"/>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FDEFE9" w:themeFill="accent2" w:themeFillTint="19"/>
    </w:tcPr>
    <w:tblStylePr w:type="firstRow">
      <w:rPr>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2" w:themeFillTint="3F"/>
      </w:tcPr>
    </w:tblStylePr>
    <w:tblStylePr w:type="band1Horz">
      <w:tblPr/>
      <w:tcPr>
        <w:shd w:val="clear" w:color="auto" w:fill="FCDFD2" w:themeFill="accent2" w:themeFillTint="33"/>
      </w:tcPr>
    </w:tblStylePr>
  </w:style>
  <w:style w:type="table" w:styleId="ColorfulList-Accent3">
    <w:name w:val="Colorful List Accent 3"/>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D9FFFB" w:themeFill="accent3" w:themeFillTint="19"/>
    </w:tcPr>
    <w:tblStylePr w:type="firstRow">
      <w:rPr>
        <w:b/>
        <w:bCs/>
        <w:color w:val="FFFFFF" w:themeColor="background1"/>
      </w:rPr>
      <w:tblPr/>
      <w:tcPr>
        <w:tcBorders>
          <w:bottom w:val="single" w:sz="12" w:space="0" w:color="FFFFFF" w:themeColor="background1"/>
        </w:tcBorders>
        <w:shd w:val="clear" w:color="auto" w:fill="910054" w:themeFill="accent4" w:themeFillShade="CC"/>
      </w:tcPr>
    </w:tblStylePr>
    <w:tblStylePr w:type="lastRow">
      <w:rPr>
        <w:b/>
        <w:bCs/>
        <w:color w:val="9100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F6" w:themeFill="accent3" w:themeFillTint="3F"/>
      </w:tcPr>
    </w:tblStylePr>
    <w:tblStylePr w:type="band1Horz">
      <w:tblPr/>
      <w:tcPr>
        <w:shd w:val="clear" w:color="auto" w:fill="B3FFF7" w:themeFill="accent3" w:themeFillTint="33"/>
      </w:tcPr>
    </w:tblStylePr>
  </w:style>
  <w:style w:type="table" w:styleId="ColorfulList-Accent4">
    <w:name w:val="Colorful List Accent 4"/>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FFDEF1" w:themeFill="accent4" w:themeFillTint="19"/>
    </w:tcPr>
    <w:tblStylePr w:type="firstRow">
      <w:rPr>
        <w:b/>
        <w:bCs/>
        <w:color w:val="FFFFFF" w:themeColor="background1"/>
      </w:rPr>
      <w:tblPr/>
      <w:tcPr>
        <w:tcBorders>
          <w:bottom w:val="single" w:sz="12" w:space="0" w:color="FFFFFF" w:themeColor="background1"/>
        </w:tcBorders>
        <w:shd w:val="clear" w:color="auto" w:fill="00685E" w:themeFill="accent3" w:themeFillShade="CC"/>
      </w:tcPr>
    </w:tblStylePr>
    <w:tblStylePr w:type="lastRow">
      <w:rPr>
        <w:b/>
        <w:bCs/>
        <w:color w:val="00685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DDC" w:themeFill="accent4" w:themeFillTint="3F"/>
      </w:tcPr>
    </w:tblStylePr>
    <w:tblStylePr w:type="band1Horz">
      <w:tblPr/>
      <w:tcPr>
        <w:shd w:val="clear" w:color="auto" w:fill="FFBDE3" w:themeFill="accent4" w:themeFillTint="33"/>
      </w:tcPr>
    </w:tblStylePr>
  </w:style>
  <w:style w:type="table" w:styleId="ColorfulList-Accent5">
    <w:name w:val="Colorful List Accent 5"/>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FDF6E7" w:themeFill="accent5" w:themeFillTint="19"/>
    </w:tcPr>
    <w:tblStylePr w:type="firstRow">
      <w:rPr>
        <w:b/>
        <w:bCs/>
        <w:color w:val="FFFFFF" w:themeColor="background1"/>
      </w:rPr>
      <w:tblPr/>
      <w:tcPr>
        <w:tcBorders>
          <w:bottom w:val="single" w:sz="12" w:space="0" w:color="FFFFFF" w:themeColor="background1"/>
        </w:tcBorders>
        <w:shd w:val="clear" w:color="auto" w:fill="20638E" w:themeFill="accent6" w:themeFillShade="CC"/>
      </w:tcPr>
    </w:tblStylePr>
    <w:tblStylePr w:type="lastRow">
      <w:rPr>
        <w:b/>
        <w:bCs/>
        <w:color w:val="2063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5" w:themeFillTint="3F"/>
      </w:tcPr>
    </w:tblStylePr>
    <w:tblStylePr w:type="band1Horz">
      <w:tblPr/>
      <w:tcPr>
        <w:shd w:val="clear" w:color="auto" w:fill="FBEDCF" w:themeFill="accent5" w:themeFillTint="33"/>
      </w:tcPr>
    </w:tblStylePr>
  </w:style>
  <w:style w:type="table" w:styleId="ColorfulList-Accent6">
    <w:name w:val="Colorful List Accent 6"/>
    <w:basedOn w:val="TableNormal"/>
    <w:uiPriority w:val="72"/>
    <w:semiHidden/>
    <w:rsid w:val="008A1D27"/>
    <w:pPr>
      <w:spacing w:after="0" w:line="240" w:lineRule="auto"/>
    </w:pPr>
    <w:rPr>
      <w:rFonts w:eastAsiaTheme="minorEastAsia"/>
      <w:color w:val="000000" w:themeColor="text1"/>
    </w:rPr>
    <w:tblPr>
      <w:tblStyleRowBandSize w:val="1"/>
      <w:tblStyleColBandSize w:val="1"/>
    </w:tblPr>
    <w:tcPr>
      <w:shd w:val="clear" w:color="auto" w:fill="E7F2F9" w:themeFill="accent6" w:themeFillTint="19"/>
    </w:tcPr>
    <w:tblStylePr w:type="firstRow">
      <w:rPr>
        <w:b/>
        <w:bCs/>
        <w:color w:val="FFFFFF" w:themeColor="background1"/>
      </w:rPr>
      <w:tblPr/>
      <w:tcPr>
        <w:tcBorders>
          <w:bottom w:val="single" w:sz="12" w:space="0" w:color="FFFFFF" w:themeColor="background1"/>
        </w:tcBorders>
        <w:shd w:val="clear" w:color="auto" w:fill="BA860F" w:themeFill="accent5" w:themeFillShade="CC"/>
      </w:tcPr>
    </w:tblStylePr>
    <w:tblStylePr w:type="lastRow">
      <w:rPr>
        <w:b/>
        <w:bCs/>
        <w:color w:val="BA860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0F1" w:themeFill="accent6" w:themeFillTint="3F"/>
      </w:tcPr>
    </w:tblStylePr>
    <w:tblStylePr w:type="band1Horz">
      <w:tblPr/>
      <w:tcPr>
        <w:shd w:val="clear" w:color="auto" w:fill="CFE5F4" w:themeFill="accent6" w:themeFillTint="33"/>
      </w:tcPr>
    </w:tblStylePr>
  </w:style>
  <w:style w:type="table" w:styleId="ColorfulShading">
    <w:name w:val="Colorful Shading"/>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002D3F" w:themeColor="accent1"/>
        <w:bottom w:val="single" w:sz="4" w:space="0" w:color="002D3F" w:themeColor="accent1"/>
        <w:right w:val="single" w:sz="4" w:space="0" w:color="002D3F" w:themeColor="accent1"/>
        <w:insideH w:val="single" w:sz="4" w:space="0" w:color="FFFFFF" w:themeColor="background1"/>
        <w:insideV w:val="single" w:sz="4" w:space="0" w:color="FFFFFF" w:themeColor="background1"/>
      </w:tblBorders>
    </w:tblPr>
    <w:tcPr>
      <w:shd w:val="clear" w:color="auto" w:fill="D3F2FF" w:themeFill="accent1"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25" w:themeFill="accent1" w:themeFillShade="99"/>
      </w:tcPr>
    </w:tblStylePr>
    <w:tblStylePr w:type="firstCol">
      <w:rPr>
        <w:color w:val="FFFFFF" w:themeColor="background1"/>
      </w:rPr>
      <w:tblPr/>
      <w:tcPr>
        <w:tcBorders>
          <w:top w:val="nil"/>
          <w:left w:val="nil"/>
          <w:bottom w:val="nil"/>
          <w:right w:val="nil"/>
          <w:insideH w:val="single" w:sz="4" w:space="0" w:color="001A25" w:themeColor="accent1" w:themeShade="99"/>
          <w:insideV w:val="nil"/>
        </w:tcBorders>
        <w:shd w:val="clear" w:color="auto" w:fill="001A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25" w:themeFill="accent1" w:themeFillShade="99"/>
      </w:tcPr>
    </w:tblStylePr>
    <w:tblStylePr w:type="band1Vert">
      <w:tblPr/>
      <w:tcPr>
        <w:shd w:val="clear" w:color="auto" w:fill="4CCBFF" w:themeFill="accent1" w:themeFillTint="66"/>
      </w:tcPr>
    </w:tblStylePr>
    <w:tblStylePr w:type="band1Horz">
      <w:tblPr/>
      <w:tcPr>
        <w:shd w:val="clear" w:color="auto" w:fill="20B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F26322" w:themeColor="accent2"/>
        <w:left w:val="single" w:sz="4" w:space="0" w:color="F26322" w:themeColor="accent2"/>
        <w:bottom w:val="single" w:sz="4" w:space="0" w:color="F26322" w:themeColor="accent2"/>
        <w:right w:val="single" w:sz="4" w:space="0" w:color="F26322" w:themeColor="accent2"/>
        <w:insideH w:val="single" w:sz="4" w:space="0" w:color="FFFFFF" w:themeColor="background1"/>
        <w:insideV w:val="single" w:sz="4" w:space="0" w:color="FFFFFF" w:themeColor="background1"/>
      </w:tblBorders>
    </w:tblPr>
    <w:tcPr>
      <w:shd w:val="clear" w:color="auto" w:fill="FDEFE9" w:themeFill="accent2" w:themeFillTint="19"/>
    </w:tcPr>
    <w:tblStylePr w:type="firstRow">
      <w:rPr>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2" w:themeFillShade="99"/>
      </w:tcPr>
    </w:tblStylePr>
    <w:tblStylePr w:type="firstCol">
      <w:rPr>
        <w:color w:val="FFFFFF" w:themeColor="background1"/>
      </w:rPr>
      <w:tblPr/>
      <w:tcPr>
        <w:tcBorders>
          <w:top w:val="nil"/>
          <w:left w:val="nil"/>
          <w:bottom w:val="nil"/>
          <w:right w:val="nil"/>
          <w:insideH w:val="single" w:sz="4" w:space="0" w:color="9C3609" w:themeColor="accent2" w:themeShade="99"/>
          <w:insideV w:val="nil"/>
        </w:tcBorders>
        <w:shd w:val="clear" w:color="auto" w:fill="9C36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2" w:themeFillShade="99"/>
      </w:tcPr>
    </w:tblStylePr>
    <w:tblStylePr w:type="band1Vert">
      <w:tblPr/>
      <w:tcPr>
        <w:shd w:val="clear" w:color="auto" w:fill="F9C0A6" w:themeFill="accent2" w:themeFillTint="66"/>
      </w:tcPr>
    </w:tblStylePr>
    <w:tblStylePr w:type="band1Horz">
      <w:tblPr/>
      <w:tcPr>
        <w:shd w:val="clear" w:color="auto" w:fill="F8B0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B6006A" w:themeColor="accent4"/>
        <w:left w:val="single" w:sz="4" w:space="0" w:color="008276" w:themeColor="accent3"/>
        <w:bottom w:val="single" w:sz="4" w:space="0" w:color="008276" w:themeColor="accent3"/>
        <w:right w:val="single" w:sz="4" w:space="0" w:color="008276" w:themeColor="accent3"/>
        <w:insideH w:val="single" w:sz="4" w:space="0" w:color="FFFFFF" w:themeColor="background1"/>
        <w:insideV w:val="single" w:sz="4" w:space="0" w:color="FFFFFF" w:themeColor="background1"/>
      </w:tblBorders>
    </w:tblPr>
    <w:tcPr>
      <w:shd w:val="clear" w:color="auto" w:fill="D9FFFB" w:themeFill="accent3" w:themeFillTint="19"/>
    </w:tcPr>
    <w:tblStylePr w:type="firstRow">
      <w:rPr>
        <w:b/>
        <w:bCs/>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E46" w:themeFill="accent3" w:themeFillShade="99"/>
      </w:tcPr>
    </w:tblStylePr>
    <w:tblStylePr w:type="firstCol">
      <w:rPr>
        <w:color w:val="FFFFFF" w:themeColor="background1"/>
      </w:rPr>
      <w:tblPr/>
      <w:tcPr>
        <w:tcBorders>
          <w:top w:val="nil"/>
          <w:left w:val="nil"/>
          <w:bottom w:val="nil"/>
          <w:right w:val="nil"/>
          <w:insideH w:val="single" w:sz="4" w:space="0" w:color="004E46" w:themeColor="accent3" w:themeShade="99"/>
          <w:insideV w:val="nil"/>
        </w:tcBorders>
        <w:shd w:val="clear" w:color="auto" w:fill="004E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E46" w:themeFill="accent3" w:themeFillShade="99"/>
      </w:tcPr>
    </w:tblStylePr>
    <w:tblStylePr w:type="band1Vert">
      <w:tblPr/>
      <w:tcPr>
        <w:shd w:val="clear" w:color="auto" w:fill="67FFF0" w:themeFill="accent3" w:themeFillTint="66"/>
      </w:tcPr>
    </w:tblStylePr>
    <w:tblStylePr w:type="band1Horz">
      <w:tblPr/>
      <w:tcPr>
        <w:shd w:val="clear" w:color="auto" w:fill="41FFED" w:themeFill="accent3" w:themeFillTint="7F"/>
      </w:tcPr>
    </w:tblStylePr>
  </w:style>
  <w:style w:type="table" w:styleId="ColorfulShading-Accent4">
    <w:name w:val="Colorful Shading Accent 4"/>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008276" w:themeColor="accent3"/>
        <w:left w:val="single" w:sz="4" w:space="0" w:color="B6006A" w:themeColor="accent4"/>
        <w:bottom w:val="single" w:sz="4" w:space="0" w:color="B6006A" w:themeColor="accent4"/>
        <w:right w:val="single" w:sz="4" w:space="0" w:color="B6006A" w:themeColor="accent4"/>
        <w:insideH w:val="single" w:sz="4" w:space="0" w:color="FFFFFF" w:themeColor="background1"/>
        <w:insideV w:val="single" w:sz="4" w:space="0" w:color="FFFFFF" w:themeColor="background1"/>
      </w:tblBorders>
    </w:tblPr>
    <w:tcPr>
      <w:shd w:val="clear" w:color="auto" w:fill="FFDEF1" w:themeFill="accent4" w:themeFillTint="19"/>
    </w:tcPr>
    <w:tblStylePr w:type="firstRow">
      <w:rPr>
        <w:b/>
        <w:bCs/>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003F" w:themeFill="accent4" w:themeFillShade="99"/>
      </w:tcPr>
    </w:tblStylePr>
    <w:tblStylePr w:type="firstCol">
      <w:rPr>
        <w:color w:val="FFFFFF" w:themeColor="background1"/>
      </w:rPr>
      <w:tblPr/>
      <w:tcPr>
        <w:tcBorders>
          <w:top w:val="nil"/>
          <w:left w:val="nil"/>
          <w:bottom w:val="nil"/>
          <w:right w:val="nil"/>
          <w:insideH w:val="single" w:sz="4" w:space="0" w:color="6D003F" w:themeColor="accent4" w:themeShade="99"/>
          <w:insideV w:val="nil"/>
        </w:tcBorders>
        <w:shd w:val="clear" w:color="auto" w:fill="6D00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003F" w:themeFill="accent4" w:themeFillShade="99"/>
      </w:tcPr>
    </w:tblStylePr>
    <w:tblStylePr w:type="band1Vert">
      <w:tblPr/>
      <w:tcPr>
        <w:shd w:val="clear" w:color="auto" w:fill="FF7BC7" w:themeFill="accent4" w:themeFillTint="66"/>
      </w:tcPr>
    </w:tblStylePr>
    <w:tblStylePr w:type="band1Horz">
      <w:tblPr/>
      <w:tcPr>
        <w:shd w:val="clear" w:color="auto" w:fill="FF5B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287DB2" w:themeColor="accent6"/>
        <w:left w:val="single" w:sz="4" w:space="0" w:color="E9A913" w:themeColor="accent5"/>
        <w:bottom w:val="single" w:sz="4" w:space="0" w:color="E9A913" w:themeColor="accent5"/>
        <w:right w:val="single" w:sz="4" w:space="0" w:color="E9A913" w:themeColor="accent5"/>
        <w:insideH w:val="single" w:sz="4" w:space="0" w:color="FFFFFF" w:themeColor="background1"/>
        <w:insideV w:val="single" w:sz="4" w:space="0" w:color="FFFFFF" w:themeColor="background1"/>
      </w:tblBorders>
    </w:tblPr>
    <w:tcPr>
      <w:shd w:val="clear" w:color="auto" w:fill="FDF6E7" w:themeFill="accent5" w:themeFillTint="19"/>
    </w:tcPr>
    <w:tblStylePr w:type="firstRow">
      <w:rPr>
        <w:b/>
        <w:bCs/>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5" w:themeFillShade="99"/>
      </w:tcPr>
    </w:tblStylePr>
    <w:tblStylePr w:type="firstCol">
      <w:rPr>
        <w:color w:val="FFFFFF" w:themeColor="background1"/>
      </w:rPr>
      <w:tblPr/>
      <w:tcPr>
        <w:tcBorders>
          <w:top w:val="nil"/>
          <w:left w:val="nil"/>
          <w:bottom w:val="nil"/>
          <w:right w:val="nil"/>
          <w:insideH w:val="single" w:sz="4" w:space="0" w:color="8B640B" w:themeColor="accent5" w:themeShade="99"/>
          <w:insideV w:val="nil"/>
        </w:tcBorders>
        <w:shd w:val="clear" w:color="auto" w:fill="8B640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5" w:themeFillShade="99"/>
      </w:tcPr>
    </w:tblStylePr>
    <w:tblStylePr w:type="band1Vert">
      <w:tblPr/>
      <w:tcPr>
        <w:shd w:val="clear" w:color="auto" w:fill="F7DC9F" w:themeFill="accent5" w:themeFillTint="66"/>
      </w:tcPr>
    </w:tblStylePr>
    <w:tblStylePr w:type="band1Horz">
      <w:tblPr/>
      <w:tcPr>
        <w:shd w:val="clear" w:color="auto" w:fill="F5D4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A1D27"/>
    <w:pPr>
      <w:spacing w:after="0" w:line="240" w:lineRule="auto"/>
    </w:pPr>
    <w:rPr>
      <w:rFonts w:eastAsiaTheme="minorEastAsia"/>
      <w:color w:val="000000" w:themeColor="text1"/>
    </w:rPr>
    <w:tblPr>
      <w:tblStyleRowBandSize w:val="1"/>
      <w:tblStyleColBandSize w:val="1"/>
      <w:tblBorders>
        <w:top w:val="single" w:sz="24" w:space="0" w:color="E9A913" w:themeColor="accent5"/>
        <w:left w:val="single" w:sz="4" w:space="0" w:color="287DB2" w:themeColor="accent6"/>
        <w:bottom w:val="single" w:sz="4" w:space="0" w:color="287DB2" w:themeColor="accent6"/>
        <w:right w:val="single" w:sz="4" w:space="0" w:color="287DB2" w:themeColor="accent6"/>
        <w:insideH w:val="single" w:sz="4" w:space="0" w:color="FFFFFF" w:themeColor="background1"/>
        <w:insideV w:val="single" w:sz="4" w:space="0" w:color="FFFFFF" w:themeColor="background1"/>
      </w:tblBorders>
    </w:tblPr>
    <w:tcPr>
      <w:shd w:val="clear" w:color="auto" w:fill="E7F2F9" w:themeFill="accent6" w:themeFillTint="19"/>
    </w:tcPr>
    <w:tblStylePr w:type="firstRow">
      <w:rPr>
        <w:b/>
        <w:bCs/>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A6A" w:themeFill="accent6" w:themeFillShade="99"/>
      </w:tcPr>
    </w:tblStylePr>
    <w:tblStylePr w:type="firstCol">
      <w:rPr>
        <w:color w:val="FFFFFF" w:themeColor="background1"/>
      </w:rPr>
      <w:tblPr/>
      <w:tcPr>
        <w:tcBorders>
          <w:top w:val="nil"/>
          <w:left w:val="nil"/>
          <w:bottom w:val="nil"/>
          <w:right w:val="nil"/>
          <w:insideH w:val="single" w:sz="4" w:space="0" w:color="184A6A" w:themeColor="accent6" w:themeShade="99"/>
          <w:insideV w:val="nil"/>
        </w:tcBorders>
        <w:shd w:val="clear" w:color="auto" w:fill="184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4A6A" w:themeFill="accent6" w:themeFillShade="99"/>
      </w:tcPr>
    </w:tblStylePr>
    <w:tblStylePr w:type="band1Vert">
      <w:tblPr/>
      <w:tcPr>
        <w:shd w:val="clear" w:color="auto" w:fill="9FCDE9" w:themeFill="accent6" w:themeFillTint="66"/>
      </w:tcPr>
    </w:tblStylePr>
    <w:tblStylePr w:type="band1Horz">
      <w:tblPr/>
      <w:tcPr>
        <w:shd w:val="clear" w:color="auto" w:fill="88C0E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002D3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2F" w:themeFill="accent1" w:themeFillShade="BF"/>
      </w:tcPr>
    </w:tblStylePr>
    <w:tblStylePr w:type="band1Vert">
      <w:tblPr/>
      <w:tcPr>
        <w:tcBorders>
          <w:top w:val="nil"/>
          <w:left w:val="nil"/>
          <w:bottom w:val="nil"/>
          <w:right w:val="nil"/>
          <w:insideH w:val="nil"/>
          <w:insideV w:val="nil"/>
        </w:tcBorders>
        <w:shd w:val="clear" w:color="auto" w:fill="00212F" w:themeFill="accent1" w:themeFillShade="BF"/>
      </w:tcPr>
    </w:tblStylePr>
    <w:tblStylePr w:type="band1Horz">
      <w:tblPr/>
      <w:tcPr>
        <w:tcBorders>
          <w:top w:val="nil"/>
          <w:left w:val="nil"/>
          <w:bottom w:val="nil"/>
          <w:right w:val="nil"/>
          <w:insideH w:val="nil"/>
          <w:insideV w:val="nil"/>
        </w:tcBorders>
        <w:shd w:val="clear" w:color="auto" w:fill="00212F" w:themeFill="accent1" w:themeFillShade="BF"/>
      </w:tcPr>
    </w:tblStylePr>
  </w:style>
  <w:style w:type="table" w:styleId="DarkList-Accent2">
    <w:name w:val="Dark List Accent 2"/>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F2632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2" w:themeFillShade="BF"/>
      </w:tcPr>
    </w:tblStylePr>
    <w:tblStylePr w:type="band1Vert">
      <w:tblPr/>
      <w:tcPr>
        <w:tcBorders>
          <w:top w:val="nil"/>
          <w:left w:val="nil"/>
          <w:bottom w:val="nil"/>
          <w:right w:val="nil"/>
          <w:insideH w:val="nil"/>
          <w:insideV w:val="nil"/>
        </w:tcBorders>
        <w:shd w:val="clear" w:color="auto" w:fill="C3440B" w:themeFill="accent2" w:themeFillShade="BF"/>
      </w:tcPr>
    </w:tblStylePr>
    <w:tblStylePr w:type="band1Horz">
      <w:tblPr/>
      <w:tcPr>
        <w:tcBorders>
          <w:top w:val="nil"/>
          <w:left w:val="nil"/>
          <w:bottom w:val="nil"/>
          <w:right w:val="nil"/>
          <w:insideH w:val="nil"/>
          <w:insideV w:val="nil"/>
        </w:tcBorders>
        <w:shd w:val="clear" w:color="auto" w:fill="C3440B" w:themeFill="accent2" w:themeFillShade="BF"/>
      </w:tcPr>
    </w:tblStylePr>
  </w:style>
  <w:style w:type="table" w:styleId="DarkList-Accent3">
    <w:name w:val="Dark List Accent 3"/>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00827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1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158" w:themeFill="accent3" w:themeFillShade="BF"/>
      </w:tcPr>
    </w:tblStylePr>
    <w:tblStylePr w:type="band1Vert">
      <w:tblPr/>
      <w:tcPr>
        <w:tcBorders>
          <w:top w:val="nil"/>
          <w:left w:val="nil"/>
          <w:bottom w:val="nil"/>
          <w:right w:val="nil"/>
          <w:insideH w:val="nil"/>
          <w:insideV w:val="nil"/>
        </w:tcBorders>
        <w:shd w:val="clear" w:color="auto" w:fill="006158" w:themeFill="accent3" w:themeFillShade="BF"/>
      </w:tcPr>
    </w:tblStylePr>
    <w:tblStylePr w:type="band1Horz">
      <w:tblPr/>
      <w:tcPr>
        <w:tcBorders>
          <w:top w:val="nil"/>
          <w:left w:val="nil"/>
          <w:bottom w:val="nil"/>
          <w:right w:val="nil"/>
          <w:insideH w:val="nil"/>
          <w:insideV w:val="nil"/>
        </w:tcBorders>
        <w:shd w:val="clear" w:color="auto" w:fill="006158" w:themeFill="accent3" w:themeFillShade="BF"/>
      </w:tcPr>
    </w:tblStylePr>
  </w:style>
  <w:style w:type="table" w:styleId="DarkList-Accent4">
    <w:name w:val="Dark List Accent 4"/>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B6006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0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00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004E" w:themeFill="accent4" w:themeFillShade="BF"/>
      </w:tcPr>
    </w:tblStylePr>
    <w:tblStylePr w:type="band1Vert">
      <w:tblPr/>
      <w:tcPr>
        <w:tcBorders>
          <w:top w:val="nil"/>
          <w:left w:val="nil"/>
          <w:bottom w:val="nil"/>
          <w:right w:val="nil"/>
          <w:insideH w:val="nil"/>
          <w:insideV w:val="nil"/>
        </w:tcBorders>
        <w:shd w:val="clear" w:color="auto" w:fill="88004E" w:themeFill="accent4" w:themeFillShade="BF"/>
      </w:tcPr>
    </w:tblStylePr>
    <w:tblStylePr w:type="band1Horz">
      <w:tblPr/>
      <w:tcPr>
        <w:tcBorders>
          <w:top w:val="nil"/>
          <w:left w:val="nil"/>
          <w:bottom w:val="nil"/>
          <w:right w:val="nil"/>
          <w:insideH w:val="nil"/>
          <w:insideV w:val="nil"/>
        </w:tcBorders>
        <w:shd w:val="clear" w:color="auto" w:fill="88004E" w:themeFill="accent4" w:themeFillShade="BF"/>
      </w:tcPr>
    </w:tblStylePr>
  </w:style>
  <w:style w:type="table" w:styleId="DarkList-Accent5">
    <w:name w:val="Dark List Accent 5"/>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E9A91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5" w:themeFillShade="BF"/>
      </w:tcPr>
    </w:tblStylePr>
    <w:tblStylePr w:type="band1Vert">
      <w:tblPr/>
      <w:tcPr>
        <w:tcBorders>
          <w:top w:val="nil"/>
          <w:left w:val="nil"/>
          <w:bottom w:val="nil"/>
          <w:right w:val="nil"/>
          <w:insideH w:val="nil"/>
          <w:insideV w:val="nil"/>
        </w:tcBorders>
        <w:shd w:val="clear" w:color="auto" w:fill="AE7E0E" w:themeFill="accent5" w:themeFillShade="BF"/>
      </w:tcPr>
    </w:tblStylePr>
    <w:tblStylePr w:type="band1Horz">
      <w:tblPr/>
      <w:tcPr>
        <w:tcBorders>
          <w:top w:val="nil"/>
          <w:left w:val="nil"/>
          <w:bottom w:val="nil"/>
          <w:right w:val="nil"/>
          <w:insideH w:val="nil"/>
          <w:insideV w:val="nil"/>
        </w:tcBorders>
        <w:shd w:val="clear" w:color="auto" w:fill="AE7E0E" w:themeFill="accent5" w:themeFillShade="BF"/>
      </w:tcPr>
    </w:tblStylePr>
  </w:style>
  <w:style w:type="table" w:styleId="DarkList-Accent6">
    <w:name w:val="Dark List Accent 6"/>
    <w:basedOn w:val="TableNormal"/>
    <w:uiPriority w:val="70"/>
    <w:semiHidden/>
    <w:rsid w:val="008A1D27"/>
    <w:pPr>
      <w:spacing w:after="0" w:line="240" w:lineRule="auto"/>
    </w:pPr>
    <w:rPr>
      <w:rFonts w:eastAsiaTheme="minorEastAsia"/>
      <w:color w:val="FFFFFF" w:themeColor="background1"/>
    </w:rPr>
    <w:tblPr>
      <w:tblStyleRowBandSize w:val="1"/>
      <w:tblStyleColBandSize w:val="1"/>
    </w:tblPr>
    <w:tcPr>
      <w:shd w:val="clear" w:color="auto" w:fill="287D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E5D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E5D85" w:themeFill="accent6" w:themeFillShade="BF"/>
      </w:tcPr>
    </w:tblStylePr>
    <w:tblStylePr w:type="band1Vert">
      <w:tblPr/>
      <w:tcPr>
        <w:tcBorders>
          <w:top w:val="nil"/>
          <w:left w:val="nil"/>
          <w:bottom w:val="nil"/>
          <w:right w:val="nil"/>
          <w:insideH w:val="nil"/>
          <w:insideV w:val="nil"/>
        </w:tcBorders>
        <w:shd w:val="clear" w:color="auto" w:fill="1E5D85" w:themeFill="accent6" w:themeFillShade="BF"/>
      </w:tcPr>
    </w:tblStylePr>
    <w:tblStylePr w:type="band1Horz">
      <w:tblPr/>
      <w:tcPr>
        <w:tcBorders>
          <w:top w:val="nil"/>
          <w:left w:val="nil"/>
          <w:bottom w:val="nil"/>
          <w:right w:val="nil"/>
          <w:insideH w:val="nil"/>
          <w:insideV w:val="nil"/>
        </w:tcBorders>
        <w:shd w:val="clear" w:color="auto" w:fill="1E5D85" w:themeFill="accent6" w:themeFillShade="BF"/>
      </w:tcPr>
    </w:tblStylePr>
  </w:style>
  <w:style w:type="table" w:styleId="LightGrid">
    <w:name w:val="Light Grid"/>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18" w:space="0" w:color="002D3F" w:themeColor="accent1"/>
          <w:right w:val="single" w:sz="8" w:space="0" w:color="002D3F" w:themeColor="accent1"/>
          <w:insideH w:val="nil"/>
          <w:insideV w:val="single" w:sz="8" w:space="0" w:color="002D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insideH w:val="nil"/>
          <w:insideV w:val="single" w:sz="8" w:space="0" w:color="002D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shd w:val="clear" w:color="auto" w:fill="90DFFF" w:themeFill="accent1" w:themeFillTint="3F"/>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shd w:val="clear" w:color="auto" w:fill="90DFFF" w:themeFill="accent1" w:themeFillTint="3F"/>
      </w:tcPr>
    </w:tblStylePr>
    <w:tblStylePr w:type="band2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tcPr>
    </w:tblStylePr>
  </w:style>
  <w:style w:type="table" w:styleId="LightGrid-Accent2">
    <w:name w:val="Light Grid Accent 2"/>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18" w:space="0" w:color="F26322" w:themeColor="accent2"/>
          <w:right w:val="single" w:sz="8" w:space="0" w:color="F26322" w:themeColor="accent2"/>
          <w:insideH w:val="nil"/>
          <w:insideV w:val="single" w:sz="8" w:space="0" w:color="F2632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insideH w:val="nil"/>
          <w:insideV w:val="single" w:sz="8" w:space="0" w:color="F2632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shd w:val="clear" w:color="auto" w:fill="FBD8C8" w:themeFill="accent2" w:themeFillTint="3F"/>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shd w:val="clear" w:color="auto" w:fill="FBD8C8" w:themeFill="accent2" w:themeFillTint="3F"/>
      </w:tcPr>
    </w:tblStylePr>
    <w:tblStylePr w:type="band2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tcPr>
    </w:tblStylePr>
  </w:style>
  <w:style w:type="table" w:styleId="LightGrid-Accent3">
    <w:name w:val="Light Grid Accent 3"/>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18" w:space="0" w:color="008276" w:themeColor="accent3"/>
          <w:right w:val="single" w:sz="8" w:space="0" w:color="008276" w:themeColor="accent3"/>
          <w:insideH w:val="nil"/>
          <w:insideV w:val="single" w:sz="8" w:space="0" w:color="008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insideH w:val="nil"/>
          <w:insideV w:val="single" w:sz="8" w:space="0" w:color="008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shd w:val="clear" w:color="auto" w:fill="A1FFF6" w:themeFill="accent3" w:themeFillTint="3F"/>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shd w:val="clear" w:color="auto" w:fill="A1FFF6" w:themeFill="accent3" w:themeFillTint="3F"/>
      </w:tcPr>
    </w:tblStylePr>
    <w:tblStylePr w:type="band2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tcPr>
    </w:tblStylePr>
  </w:style>
  <w:style w:type="table" w:styleId="LightGrid-Accent4">
    <w:name w:val="Light Grid Accent 4"/>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18" w:space="0" w:color="B6006A" w:themeColor="accent4"/>
          <w:right w:val="single" w:sz="8" w:space="0" w:color="B6006A" w:themeColor="accent4"/>
          <w:insideH w:val="nil"/>
          <w:insideV w:val="single" w:sz="8" w:space="0" w:color="B600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insideH w:val="nil"/>
          <w:insideV w:val="single" w:sz="8" w:space="0" w:color="B600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shd w:val="clear" w:color="auto" w:fill="FFADDC" w:themeFill="accent4" w:themeFillTint="3F"/>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shd w:val="clear" w:color="auto" w:fill="FFADDC" w:themeFill="accent4" w:themeFillTint="3F"/>
      </w:tcPr>
    </w:tblStylePr>
    <w:tblStylePr w:type="band2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tcPr>
    </w:tblStylePr>
  </w:style>
  <w:style w:type="table" w:styleId="LightGrid-Accent5">
    <w:name w:val="Light Grid Accent 5"/>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18" w:space="0" w:color="E9A913" w:themeColor="accent5"/>
          <w:right w:val="single" w:sz="8" w:space="0" w:color="E9A913" w:themeColor="accent5"/>
          <w:insideH w:val="nil"/>
          <w:insideV w:val="single" w:sz="8" w:space="0" w:color="E9A91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insideH w:val="nil"/>
          <w:insideV w:val="single" w:sz="8" w:space="0" w:color="E9A91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shd w:val="clear" w:color="auto" w:fill="FAE9C3" w:themeFill="accent5" w:themeFillTint="3F"/>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shd w:val="clear" w:color="auto" w:fill="FAE9C3" w:themeFill="accent5" w:themeFillTint="3F"/>
      </w:tcPr>
    </w:tblStylePr>
    <w:tblStylePr w:type="band2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tcPr>
    </w:tblStylePr>
  </w:style>
  <w:style w:type="table" w:styleId="LightGrid-Accent6">
    <w:name w:val="Light Grid Accent 6"/>
    <w:basedOn w:val="TableNormal"/>
    <w:uiPriority w:val="62"/>
    <w:semiHidden/>
    <w:rsid w:val="008A1D27"/>
    <w:pPr>
      <w:spacing w:after="0" w:line="240" w:lineRule="auto"/>
    </w:pPr>
    <w:rPr>
      <w:rFonts w:eastAsiaTheme="minorEastAsia"/>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18" w:space="0" w:color="287DB2" w:themeColor="accent6"/>
          <w:right w:val="single" w:sz="8" w:space="0" w:color="287DB2" w:themeColor="accent6"/>
          <w:insideH w:val="nil"/>
          <w:insideV w:val="single" w:sz="8" w:space="0" w:color="287D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insideH w:val="nil"/>
          <w:insideV w:val="single" w:sz="8" w:space="0" w:color="287D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shd w:val="clear" w:color="auto" w:fill="C3E0F1" w:themeFill="accent6" w:themeFillTint="3F"/>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shd w:val="clear" w:color="auto" w:fill="C3E0F1" w:themeFill="accent6" w:themeFillTint="3F"/>
      </w:tcPr>
    </w:tblStylePr>
    <w:tblStylePr w:type="band2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tcPr>
    </w:tblStylePr>
  </w:style>
  <w:style w:type="table" w:styleId="LightList">
    <w:name w:val="Light List"/>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pPr>
        <w:spacing w:before="0" w:after="0" w:line="240" w:lineRule="auto"/>
      </w:pPr>
      <w:rPr>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table" w:styleId="LightList-Accent2">
    <w:name w:val="Light List Accent 2"/>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blStylePr w:type="firstRow">
      <w:pPr>
        <w:spacing w:before="0" w:after="0" w:line="240" w:lineRule="auto"/>
      </w:pPr>
      <w:rPr>
        <w:b/>
        <w:bCs/>
        <w:color w:val="FFFFFF" w:themeColor="background1"/>
      </w:rPr>
      <w:tblPr/>
      <w:tcPr>
        <w:shd w:val="clear" w:color="auto" w:fill="F26322" w:themeFill="accent2"/>
      </w:tcPr>
    </w:tblStylePr>
    <w:tblStylePr w:type="lastRow">
      <w:pPr>
        <w:spacing w:before="0" w:after="0" w:line="240" w:lineRule="auto"/>
      </w:pPr>
      <w:rPr>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tcBorders>
      </w:tcPr>
    </w:tblStylePr>
    <w:tblStylePr w:type="firstCol">
      <w:rPr>
        <w:b/>
        <w:bCs/>
      </w:rPr>
    </w:tblStylePr>
    <w:tblStylePr w:type="lastCol">
      <w:rPr>
        <w:b/>
        <w:bCs/>
      </w:r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style>
  <w:style w:type="table" w:styleId="LightList-Accent3">
    <w:name w:val="Light List Accent 3"/>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blStylePr w:type="firstRow">
      <w:pPr>
        <w:spacing w:before="0" w:after="0" w:line="240" w:lineRule="auto"/>
      </w:pPr>
      <w:rPr>
        <w:b/>
        <w:bCs/>
        <w:color w:val="FFFFFF" w:themeColor="background1"/>
      </w:rPr>
      <w:tblPr/>
      <w:tcPr>
        <w:shd w:val="clear" w:color="auto" w:fill="008276" w:themeFill="accent3"/>
      </w:tcPr>
    </w:tblStylePr>
    <w:tblStylePr w:type="lastRow">
      <w:pPr>
        <w:spacing w:before="0" w:after="0" w:line="240" w:lineRule="auto"/>
      </w:pPr>
      <w:rPr>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tcBorders>
      </w:tcPr>
    </w:tblStylePr>
    <w:tblStylePr w:type="firstCol">
      <w:rPr>
        <w:b/>
        <w:bCs/>
      </w:rPr>
    </w:tblStylePr>
    <w:tblStylePr w:type="lastCol">
      <w:rPr>
        <w:b/>
        <w:bCs/>
      </w:r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style>
  <w:style w:type="table" w:styleId="LightList-Accent4">
    <w:name w:val="Light List Accent 4"/>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blStylePr w:type="firstRow">
      <w:pPr>
        <w:spacing w:before="0" w:after="0" w:line="240" w:lineRule="auto"/>
      </w:pPr>
      <w:rPr>
        <w:b/>
        <w:bCs/>
        <w:color w:val="FFFFFF" w:themeColor="background1"/>
      </w:rPr>
      <w:tblPr/>
      <w:tcPr>
        <w:shd w:val="clear" w:color="auto" w:fill="B6006A" w:themeFill="accent4"/>
      </w:tcPr>
    </w:tblStylePr>
    <w:tblStylePr w:type="lastRow">
      <w:pPr>
        <w:spacing w:before="0" w:after="0" w:line="240" w:lineRule="auto"/>
      </w:pPr>
      <w:rPr>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tcBorders>
      </w:tcPr>
    </w:tblStylePr>
    <w:tblStylePr w:type="firstCol">
      <w:rPr>
        <w:b/>
        <w:bCs/>
      </w:rPr>
    </w:tblStylePr>
    <w:tblStylePr w:type="lastCol">
      <w:rPr>
        <w:b/>
        <w:bCs/>
      </w:r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style>
  <w:style w:type="table" w:styleId="LightList-Accent5">
    <w:name w:val="Light List Accent 5"/>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blStylePr w:type="firstRow">
      <w:pPr>
        <w:spacing w:before="0" w:after="0" w:line="240" w:lineRule="auto"/>
      </w:pPr>
      <w:rPr>
        <w:b/>
        <w:bCs/>
        <w:color w:val="FFFFFF" w:themeColor="background1"/>
      </w:rPr>
      <w:tblPr/>
      <w:tcPr>
        <w:shd w:val="clear" w:color="auto" w:fill="E9A913" w:themeFill="accent5"/>
      </w:tcPr>
    </w:tblStylePr>
    <w:tblStylePr w:type="lastRow">
      <w:pPr>
        <w:spacing w:before="0" w:after="0" w:line="240" w:lineRule="auto"/>
      </w:pPr>
      <w:rPr>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tcBorders>
      </w:tcPr>
    </w:tblStylePr>
    <w:tblStylePr w:type="firstCol">
      <w:rPr>
        <w:b/>
        <w:bCs/>
      </w:rPr>
    </w:tblStylePr>
    <w:tblStylePr w:type="lastCol">
      <w:rPr>
        <w:b/>
        <w:bCs/>
      </w:r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style>
  <w:style w:type="table" w:styleId="LightList-Accent6">
    <w:name w:val="Light List Accent 6"/>
    <w:basedOn w:val="TableNormal"/>
    <w:uiPriority w:val="61"/>
    <w:semiHidden/>
    <w:rsid w:val="008A1D27"/>
    <w:pPr>
      <w:spacing w:after="0" w:line="240" w:lineRule="auto"/>
    </w:pPr>
    <w:rPr>
      <w:rFonts w:eastAsiaTheme="minorEastAsia"/>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blStylePr w:type="firstRow">
      <w:pPr>
        <w:spacing w:before="0" w:after="0" w:line="240" w:lineRule="auto"/>
      </w:pPr>
      <w:rPr>
        <w:b/>
        <w:bCs/>
        <w:color w:val="FFFFFF" w:themeColor="background1"/>
      </w:rPr>
      <w:tblPr/>
      <w:tcPr>
        <w:shd w:val="clear" w:color="auto" w:fill="287DB2" w:themeFill="accent6"/>
      </w:tcPr>
    </w:tblStylePr>
    <w:tblStylePr w:type="lastRow">
      <w:pPr>
        <w:spacing w:before="0" w:after="0" w:line="240" w:lineRule="auto"/>
      </w:pPr>
      <w:rPr>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tcBorders>
      </w:tcPr>
    </w:tblStylePr>
    <w:tblStylePr w:type="firstCol">
      <w:rPr>
        <w:b/>
        <w:bCs/>
      </w:rPr>
    </w:tblStylePr>
    <w:tblStylePr w:type="lastCol">
      <w:rPr>
        <w:b/>
        <w:bCs/>
      </w:r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style>
  <w:style w:type="table" w:styleId="LightShading">
    <w:name w:val="Light Shading"/>
    <w:basedOn w:val="TableNormal"/>
    <w:uiPriority w:val="60"/>
    <w:semiHidden/>
    <w:rsid w:val="008A1D27"/>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A1D27"/>
    <w:pPr>
      <w:spacing w:after="0" w:line="240" w:lineRule="auto"/>
    </w:pPr>
    <w:rPr>
      <w:rFonts w:eastAsiaTheme="minorEastAsia"/>
      <w:color w:val="00212F" w:themeColor="accent1" w:themeShade="BF"/>
    </w:rPr>
    <w:tblPr>
      <w:tblStyleRowBandSize w:val="1"/>
      <w:tblStyleColBandSize w:val="1"/>
      <w:tblBorders>
        <w:top w:val="single" w:sz="8" w:space="0" w:color="002D3F" w:themeColor="accent1"/>
        <w:bottom w:val="single" w:sz="8" w:space="0" w:color="002D3F" w:themeColor="accent1"/>
      </w:tblBorders>
    </w:tblPr>
    <w:tblStylePr w:type="fir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la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left w:val="nil"/>
          <w:right w:val="nil"/>
          <w:insideH w:val="nil"/>
          <w:insideV w:val="nil"/>
        </w:tcBorders>
        <w:shd w:val="clear" w:color="auto" w:fill="90DFFF" w:themeFill="accent1" w:themeFillTint="3F"/>
      </w:tcPr>
    </w:tblStylePr>
  </w:style>
  <w:style w:type="table" w:styleId="LightShading-Accent2">
    <w:name w:val="Light Shading Accent 2"/>
    <w:basedOn w:val="TableNormal"/>
    <w:uiPriority w:val="60"/>
    <w:semiHidden/>
    <w:rsid w:val="008A1D27"/>
    <w:pPr>
      <w:spacing w:after="0" w:line="240" w:lineRule="auto"/>
    </w:pPr>
    <w:rPr>
      <w:rFonts w:eastAsiaTheme="minorEastAsia"/>
      <w:color w:val="C3440B" w:themeColor="accent2" w:themeShade="BF"/>
    </w:rPr>
    <w:tblPr>
      <w:tblStyleRowBandSize w:val="1"/>
      <w:tblStyleColBandSize w:val="1"/>
      <w:tblBorders>
        <w:top w:val="single" w:sz="8" w:space="0" w:color="F26322" w:themeColor="accent2"/>
        <w:bottom w:val="single" w:sz="8" w:space="0" w:color="F26322" w:themeColor="accent2"/>
      </w:tblBorders>
    </w:tblPr>
    <w:tblStylePr w:type="fir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la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ghtShading-Accent3">
    <w:name w:val="Light Shading Accent 3"/>
    <w:basedOn w:val="TableNormal"/>
    <w:uiPriority w:val="60"/>
    <w:semiHidden/>
    <w:rsid w:val="008A1D27"/>
    <w:pPr>
      <w:spacing w:after="0" w:line="240" w:lineRule="auto"/>
    </w:pPr>
    <w:rPr>
      <w:rFonts w:eastAsiaTheme="minorEastAsia"/>
      <w:color w:val="006158" w:themeColor="accent3" w:themeShade="BF"/>
    </w:rPr>
    <w:tblPr>
      <w:tblStyleRowBandSize w:val="1"/>
      <w:tblStyleColBandSize w:val="1"/>
      <w:tblBorders>
        <w:top w:val="single" w:sz="8" w:space="0" w:color="008276" w:themeColor="accent3"/>
        <w:bottom w:val="single" w:sz="8" w:space="0" w:color="008276" w:themeColor="accent3"/>
      </w:tblBorders>
    </w:tblPr>
    <w:tblStylePr w:type="fir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la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left w:val="nil"/>
          <w:right w:val="nil"/>
          <w:insideH w:val="nil"/>
          <w:insideV w:val="nil"/>
        </w:tcBorders>
        <w:shd w:val="clear" w:color="auto" w:fill="A1FFF6" w:themeFill="accent3" w:themeFillTint="3F"/>
      </w:tcPr>
    </w:tblStylePr>
  </w:style>
  <w:style w:type="table" w:styleId="LightShading-Accent4">
    <w:name w:val="Light Shading Accent 4"/>
    <w:basedOn w:val="TableNormal"/>
    <w:uiPriority w:val="60"/>
    <w:semiHidden/>
    <w:rsid w:val="008A1D27"/>
    <w:pPr>
      <w:spacing w:after="0" w:line="240" w:lineRule="auto"/>
    </w:pPr>
    <w:rPr>
      <w:rFonts w:eastAsiaTheme="minorEastAsia"/>
      <w:color w:val="88004E" w:themeColor="accent4" w:themeShade="BF"/>
    </w:rPr>
    <w:tblPr>
      <w:tblStyleRowBandSize w:val="1"/>
      <w:tblStyleColBandSize w:val="1"/>
      <w:tblBorders>
        <w:top w:val="single" w:sz="8" w:space="0" w:color="B6006A" w:themeColor="accent4"/>
        <w:bottom w:val="single" w:sz="8" w:space="0" w:color="B6006A" w:themeColor="accent4"/>
      </w:tblBorders>
    </w:tblPr>
    <w:tblStylePr w:type="fir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la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left w:val="nil"/>
          <w:right w:val="nil"/>
          <w:insideH w:val="nil"/>
          <w:insideV w:val="nil"/>
        </w:tcBorders>
        <w:shd w:val="clear" w:color="auto" w:fill="FFADDC" w:themeFill="accent4" w:themeFillTint="3F"/>
      </w:tcPr>
    </w:tblStylePr>
  </w:style>
  <w:style w:type="table" w:styleId="MediumGrid1">
    <w:name w:val="Medium Grid 1"/>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insideV w:val="single" w:sz="8" w:space="0" w:color="007CAF" w:themeColor="accent1" w:themeTint="BF"/>
      </w:tblBorders>
    </w:tblPr>
    <w:tcPr>
      <w:shd w:val="clear" w:color="auto" w:fill="90DFFF" w:themeFill="accent1" w:themeFillTint="3F"/>
    </w:tcPr>
    <w:tblStylePr w:type="firstRow">
      <w:rPr>
        <w:b/>
        <w:bCs/>
      </w:rPr>
    </w:tblStylePr>
    <w:tblStylePr w:type="lastRow">
      <w:rPr>
        <w:b/>
        <w:bCs/>
      </w:rPr>
      <w:tblPr/>
      <w:tcPr>
        <w:tcBorders>
          <w:top w:val="single" w:sz="18" w:space="0" w:color="007CAF" w:themeColor="accent1" w:themeTint="BF"/>
        </w:tcBorders>
      </w:tcPr>
    </w:tblStylePr>
    <w:tblStylePr w:type="firstCol">
      <w:rPr>
        <w:b/>
        <w:bCs/>
      </w:rPr>
    </w:tblStylePr>
    <w:tblStylePr w:type="lastCol">
      <w:rPr>
        <w:b/>
        <w:bCs/>
      </w:r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MediumGrid1-Accent2">
    <w:name w:val="Medium Grid 1 Accent 2"/>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insideV w:val="single" w:sz="8" w:space="0" w:color="F58959" w:themeColor="accent2" w:themeTint="BF"/>
      </w:tblBorders>
    </w:tblPr>
    <w:tcPr>
      <w:shd w:val="clear" w:color="auto" w:fill="FBD8C8" w:themeFill="accent2" w:themeFillTint="3F"/>
    </w:tcPr>
    <w:tblStylePr w:type="firstRow">
      <w:rPr>
        <w:b/>
        <w:bCs/>
      </w:rPr>
    </w:tblStylePr>
    <w:tblStylePr w:type="lastRow">
      <w:rPr>
        <w:b/>
        <w:bCs/>
      </w:rPr>
      <w:tblPr/>
      <w:tcPr>
        <w:tcBorders>
          <w:top w:val="single" w:sz="18" w:space="0" w:color="F58959" w:themeColor="accent2" w:themeTint="BF"/>
        </w:tcBorders>
      </w:tcPr>
    </w:tblStylePr>
    <w:tblStylePr w:type="firstCol">
      <w:rPr>
        <w:b/>
        <w:bCs/>
      </w:rPr>
    </w:tblStylePr>
    <w:tblStylePr w:type="lastCol">
      <w:rPr>
        <w:b/>
        <w:bCs/>
      </w:r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MediumGrid1-Accent3">
    <w:name w:val="Medium Grid 1 Accent 3"/>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insideV w:val="single" w:sz="8" w:space="0" w:color="00E1CC" w:themeColor="accent3" w:themeTint="BF"/>
      </w:tblBorders>
    </w:tblPr>
    <w:tcPr>
      <w:shd w:val="clear" w:color="auto" w:fill="A1FFF6" w:themeFill="accent3" w:themeFillTint="3F"/>
    </w:tcPr>
    <w:tblStylePr w:type="firstRow">
      <w:rPr>
        <w:b/>
        <w:bCs/>
      </w:rPr>
    </w:tblStylePr>
    <w:tblStylePr w:type="lastRow">
      <w:rPr>
        <w:b/>
        <w:bCs/>
      </w:rPr>
      <w:tblPr/>
      <w:tcPr>
        <w:tcBorders>
          <w:top w:val="single" w:sz="18" w:space="0" w:color="00E1CC" w:themeColor="accent3" w:themeTint="BF"/>
        </w:tcBorders>
      </w:tcPr>
    </w:tblStylePr>
    <w:tblStylePr w:type="firstCol">
      <w:rPr>
        <w:b/>
        <w:bCs/>
      </w:rPr>
    </w:tblStylePr>
    <w:tblStylePr w:type="lastCol">
      <w:rPr>
        <w:b/>
        <w:bCs/>
      </w:r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MediumGrid1-Accent4">
    <w:name w:val="Medium Grid 1 Accent 4"/>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insideV w:val="single" w:sz="8" w:space="0" w:color="FF0997" w:themeColor="accent4" w:themeTint="BF"/>
      </w:tblBorders>
    </w:tblPr>
    <w:tcPr>
      <w:shd w:val="clear" w:color="auto" w:fill="FFADDC" w:themeFill="accent4" w:themeFillTint="3F"/>
    </w:tcPr>
    <w:tblStylePr w:type="firstRow">
      <w:rPr>
        <w:b/>
        <w:bCs/>
      </w:rPr>
    </w:tblStylePr>
    <w:tblStylePr w:type="lastRow">
      <w:rPr>
        <w:b/>
        <w:bCs/>
      </w:rPr>
      <w:tblPr/>
      <w:tcPr>
        <w:tcBorders>
          <w:top w:val="single" w:sz="18" w:space="0" w:color="FF0997" w:themeColor="accent4" w:themeTint="BF"/>
        </w:tcBorders>
      </w:tcPr>
    </w:tblStylePr>
    <w:tblStylePr w:type="firstCol">
      <w:rPr>
        <w:b/>
        <w:bCs/>
      </w:rPr>
    </w:tblStylePr>
    <w:tblStylePr w:type="lastCol">
      <w:rPr>
        <w:b/>
        <w:bCs/>
      </w:r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MediumGrid1-Accent5">
    <w:name w:val="Medium Grid 1 Accent 5"/>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insideV w:val="single" w:sz="8" w:space="0" w:color="F0BE4C" w:themeColor="accent5" w:themeTint="BF"/>
      </w:tblBorders>
    </w:tblPr>
    <w:tcPr>
      <w:shd w:val="clear" w:color="auto" w:fill="FAE9C3" w:themeFill="accent5" w:themeFillTint="3F"/>
    </w:tcPr>
    <w:tblStylePr w:type="firstRow">
      <w:rPr>
        <w:b/>
        <w:bCs/>
      </w:rPr>
    </w:tblStylePr>
    <w:tblStylePr w:type="lastRow">
      <w:rPr>
        <w:b/>
        <w:bCs/>
      </w:rPr>
      <w:tblPr/>
      <w:tcPr>
        <w:tcBorders>
          <w:top w:val="single" w:sz="18" w:space="0" w:color="F0BE4C" w:themeColor="accent5" w:themeTint="BF"/>
        </w:tcBorders>
      </w:tcPr>
    </w:tblStylePr>
    <w:tblStylePr w:type="firstCol">
      <w:rPr>
        <w:b/>
        <w:bCs/>
      </w:rPr>
    </w:tblStylePr>
    <w:tblStylePr w:type="lastCol">
      <w:rPr>
        <w:b/>
        <w:bCs/>
      </w:r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MediumGrid1-Accent6">
    <w:name w:val="Medium Grid 1 Accent 6"/>
    <w:basedOn w:val="TableNormal"/>
    <w:uiPriority w:val="67"/>
    <w:semiHidden/>
    <w:rsid w:val="008A1D27"/>
    <w:pPr>
      <w:spacing w:after="0" w:line="240" w:lineRule="auto"/>
    </w:pPr>
    <w:rPr>
      <w:rFonts w:eastAsiaTheme="minorEastAsia"/>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insideV w:val="single" w:sz="8" w:space="0" w:color="4CA1D6" w:themeColor="accent6" w:themeTint="BF"/>
      </w:tblBorders>
    </w:tblPr>
    <w:tcPr>
      <w:shd w:val="clear" w:color="auto" w:fill="C3E0F1" w:themeFill="accent6" w:themeFillTint="3F"/>
    </w:tcPr>
    <w:tblStylePr w:type="firstRow">
      <w:rPr>
        <w:b/>
        <w:bCs/>
      </w:rPr>
    </w:tblStylePr>
    <w:tblStylePr w:type="lastRow">
      <w:rPr>
        <w:b/>
        <w:bCs/>
      </w:rPr>
      <w:tblPr/>
      <w:tcPr>
        <w:tcBorders>
          <w:top w:val="single" w:sz="18" w:space="0" w:color="4CA1D6" w:themeColor="accent6" w:themeTint="BF"/>
        </w:tcBorders>
      </w:tcPr>
    </w:tblStylePr>
    <w:tblStylePr w:type="firstCol">
      <w:rPr>
        <w:b/>
        <w:bCs/>
      </w:rPr>
    </w:tblStylePr>
    <w:tblStylePr w:type="lastCol">
      <w:rPr>
        <w:b/>
        <w:bCs/>
      </w:r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MediumGrid2">
    <w:name w:val="Medium Grid 2"/>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shd w:val="clear" w:color="auto" w:fill="90DFFF" w:themeFill="accent1" w:themeFillTint="3F"/>
    </w:tcPr>
    <w:tblStylePr w:type="firstRow">
      <w:rPr>
        <w:b/>
        <w:bCs/>
        <w:color w:val="000000" w:themeColor="text1"/>
      </w:rPr>
      <w:tblPr/>
      <w:tcPr>
        <w:shd w:val="clear" w:color="auto" w:fill="D3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1" w:themeFillTint="33"/>
      </w:tcPr>
    </w:tblStylePr>
    <w:tblStylePr w:type="band1Vert">
      <w:tblPr/>
      <w:tcPr>
        <w:shd w:val="clear" w:color="auto" w:fill="20BFFF" w:themeFill="accent1" w:themeFillTint="7F"/>
      </w:tcPr>
    </w:tblStylePr>
    <w:tblStylePr w:type="band1Horz">
      <w:tblPr/>
      <w:tcPr>
        <w:tcBorders>
          <w:insideH w:val="single" w:sz="6" w:space="0" w:color="002D3F" w:themeColor="accent1"/>
          <w:insideV w:val="single" w:sz="6" w:space="0" w:color="002D3F" w:themeColor="accent1"/>
        </w:tcBorders>
        <w:shd w:val="clear" w:color="auto" w:fill="20B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shd w:val="clear" w:color="auto" w:fill="FBD8C8" w:themeFill="accent2" w:themeFillTint="3F"/>
    </w:tcPr>
    <w:tblStylePr w:type="firstRow">
      <w:rPr>
        <w:b/>
        <w:bCs/>
        <w:color w:val="000000" w:themeColor="text1"/>
      </w:rPr>
      <w:tblPr/>
      <w:tcPr>
        <w:shd w:val="clear" w:color="auto" w:fill="FDEF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D2" w:themeFill="accent2" w:themeFillTint="33"/>
      </w:tcPr>
    </w:tblStylePr>
    <w:tblStylePr w:type="band1Vert">
      <w:tblPr/>
      <w:tcPr>
        <w:shd w:val="clear" w:color="auto" w:fill="F8B090" w:themeFill="accent2" w:themeFillTint="7F"/>
      </w:tcPr>
    </w:tblStylePr>
    <w:tblStylePr w:type="band1Horz">
      <w:tblPr/>
      <w:tcPr>
        <w:tcBorders>
          <w:insideH w:val="single" w:sz="6" w:space="0" w:color="F26322" w:themeColor="accent2"/>
          <w:insideV w:val="single" w:sz="6" w:space="0" w:color="F26322" w:themeColor="accent2"/>
        </w:tcBorders>
        <w:shd w:val="clear" w:color="auto" w:fill="F8B0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shd w:val="clear" w:color="auto" w:fill="A1FFF6" w:themeFill="accent3" w:themeFillTint="3F"/>
    </w:tcPr>
    <w:tblStylePr w:type="firstRow">
      <w:rPr>
        <w:b/>
        <w:bCs/>
        <w:color w:val="000000" w:themeColor="text1"/>
      </w:rPr>
      <w:tblPr/>
      <w:tcPr>
        <w:shd w:val="clear" w:color="auto" w:fill="D9F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F7" w:themeFill="accent3" w:themeFillTint="33"/>
      </w:tcPr>
    </w:tblStylePr>
    <w:tblStylePr w:type="band1Vert">
      <w:tblPr/>
      <w:tcPr>
        <w:shd w:val="clear" w:color="auto" w:fill="41FFED" w:themeFill="accent3" w:themeFillTint="7F"/>
      </w:tcPr>
    </w:tblStylePr>
    <w:tblStylePr w:type="band1Horz">
      <w:tblPr/>
      <w:tcPr>
        <w:tcBorders>
          <w:insideH w:val="single" w:sz="6" w:space="0" w:color="008276" w:themeColor="accent3"/>
          <w:insideV w:val="single" w:sz="6" w:space="0" w:color="008276" w:themeColor="accent3"/>
        </w:tcBorders>
        <w:shd w:val="clear" w:color="auto" w:fill="41FF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shd w:val="clear" w:color="auto" w:fill="FFADDC" w:themeFill="accent4" w:themeFillTint="3F"/>
    </w:tcPr>
    <w:tblStylePr w:type="firstRow">
      <w:rPr>
        <w:b/>
        <w:bCs/>
        <w:color w:val="000000" w:themeColor="text1"/>
      </w:rPr>
      <w:tblPr/>
      <w:tcPr>
        <w:shd w:val="clear" w:color="auto" w:fill="FFDE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DE3" w:themeFill="accent4" w:themeFillTint="33"/>
      </w:tcPr>
    </w:tblStylePr>
    <w:tblStylePr w:type="band1Vert">
      <w:tblPr/>
      <w:tcPr>
        <w:shd w:val="clear" w:color="auto" w:fill="FF5BBA" w:themeFill="accent4" w:themeFillTint="7F"/>
      </w:tcPr>
    </w:tblStylePr>
    <w:tblStylePr w:type="band1Horz">
      <w:tblPr/>
      <w:tcPr>
        <w:tcBorders>
          <w:insideH w:val="single" w:sz="6" w:space="0" w:color="B6006A" w:themeColor="accent4"/>
          <w:insideV w:val="single" w:sz="6" w:space="0" w:color="B6006A" w:themeColor="accent4"/>
        </w:tcBorders>
        <w:shd w:val="clear" w:color="auto" w:fill="FF5B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shd w:val="clear" w:color="auto" w:fill="FAE9C3" w:themeFill="accent5" w:themeFillTint="3F"/>
    </w:tcPr>
    <w:tblStylePr w:type="firstRow">
      <w:rPr>
        <w:b/>
        <w:bCs/>
        <w:color w:val="000000" w:themeColor="text1"/>
      </w:rPr>
      <w:tblPr/>
      <w:tcPr>
        <w:shd w:val="clear" w:color="auto" w:fill="FDF6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5" w:themeFillTint="33"/>
      </w:tcPr>
    </w:tblStylePr>
    <w:tblStylePr w:type="band1Vert">
      <w:tblPr/>
      <w:tcPr>
        <w:shd w:val="clear" w:color="auto" w:fill="F5D488" w:themeFill="accent5" w:themeFillTint="7F"/>
      </w:tcPr>
    </w:tblStylePr>
    <w:tblStylePr w:type="band1Horz">
      <w:tblPr/>
      <w:tcPr>
        <w:tcBorders>
          <w:insideH w:val="single" w:sz="6" w:space="0" w:color="E9A913" w:themeColor="accent5"/>
          <w:insideV w:val="single" w:sz="6" w:space="0" w:color="E9A913" w:themeColor="accent5"/>
        </w:tcBorders>
        <w:shd w:val="clear" w:color="auto" w:fill="F5D4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shd w:val="clear" w:color="auto" w:fill="C3E0F1" w:themeFill="accent6" w:themeFillTint="3F"/>
    </w:tcPr>
    <w:tblStylePr w:type="firstRow">
      <w:rPr>
        <w:b/>
        <w:bCs/>
        <w:color w:val="000000" w:themeColor="text1"/>
      </w:rPr>
      <w:tblPr/>
      <w:tcPr>
        <w:shd w:val="clear" w:color="auto" w:fill="E7F2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5F4" w:themeFill="accent6" w:themeFillTint="33"/>
      </w:tcPr>
    </w:tblStylePr>
    <w:tblStylePr w:type="band1Vert">
      <w:tblPr/>
      <w:tcPr>
        <w:shd w:val="clear" w:color="auto" w:fill="88C0E4" w:themeFill="accent6" w:themeFillTint="7F"/>
      </w:tcPr>
    </w:tblStylePr>
    <w:tblStylePr w:type="band1Horz">
      <w:tblPr/>
      <w:tcPr>
        <w:tcBorders>
          <w:insideH w:val="single" w:sz="6" w:space="0" w:color="287DB2" w:themeColor="accent6"/>
          <w:insideV w:val="single" w:sz="6" w:space="0" w:color="287DB2" w:themeColor="accent6"/>
        </w:tcBorders>
        <w:shd w:val="clear" w:color="auto" w:fill="88C0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B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BFFF" w:themeFill="accent1" w:themeFillTint="7F"/>
      </w:tcPr>
    </w:tblStylePr>
  </w:style>
  <w:style w:type="table" w:styleId="MediumGrid3-Accent2">
    <w:name w:val="Medium Grid 3 Accent 2"/>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2" w:themeFillTint="7F"/>
      </w:tcPr>
    </w:tblStylePr>
  </w:style>
  <w:style w:type="table" w:styleId="MediumGrid3-Accent3">
    <w:name w:val="Medium Grid 3 Accent 3"/>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FF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FFED" w:themeFill="accent3" w:themeFillTint="7F"/>
      </w:tcPr>
    </w:tblStylePr>
  </w:style>
  <w:style w:type="table" w:styleId="MediumGrid3-Accent4">
    <w:name w:val="Medium Grid 3 Accent 4"/>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D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00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00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B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BBA" w:themeFill="accent4" w:themeFillTint="7F"/>
      </w:tcPr>
    </w:tblStylePr>
  </w:style>
  <w:style w:type="table" w:styleId="MediumGrid3-Accent5">
    <w:name w:val="Medium Grid 3 Accent 5"/>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5" w:themeFillTint="7F"/>
      </w:tcPr>
    </w:tblStylePr>
  </w:style>
  <w:style w:type="table" w:styleId="MediumGrid3-Accent6">
    <w:name w:val="Medium Grid 3 Accent 6"/>
    <w:basedOn w:val="TableNormal"/>
    <w:uiPriority w:val="69"/>
    <w:semiHidden/>
    <w:rsid w:val="008A1D27"/>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0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D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D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C0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C0E4" w:themeFill="accent6" w:themeFillTint="7F"/>
      </w:tcPr>
    </w:tblStylePr>
  </w:style>
  <w:style w:type="table" w:styleId="MediumList1">
    <w:name w:val="Medium List 1"/>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D3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002D3F" w:themeColor="accent1"/>
        <w:bottom w:val="single" w:sz="8" w:space="0" w:color="002D3F" w:themeColor="accent1"/>
      </w:tblBorders>
    </w:tblPr>
    <w:tblStylePr w:type="firstRow">
      <w:rPr>
        <w:rFonts w:asciiTheme="majorHAnsi" w:eastAsiaTheme="majorEastAsia" w:hAnsiTheme="majorHAnsi" w:cstheme="majorBidi"/>
      </w:rPr>
      <w:tblPr/>
      <w:tcPr>
        <w:tcBorders>
          <w:top w:val="nil"/>
          <w:bottom w:val="single" w:sz="8" w:space="0" w:color="002D3F" w:themeColor="accent1"/>
        </w:tcBorders>
      </w:tcPr>
    </w:tblStylePr>
    <w:tblStylePr w:type="lastRow">
      <w:rPr>
        <w:b/>
        <w:bCs/>
        <w:color w:val="002D3F" w:themeColor="text2"/>
      </w:rPr>
      <w:tblPr/>
      <w:tcPr>
        <w:tcBorders>
          <w:top w:val="single" w:sz="8" w:space="0" w:color="002D3F" w:themeColor="accent1"/>
          <w:bottom w:val="single" w:sz="8" w:space="0" w:color="002D3F" w:themeColor="accent1"/>
        </w:tcBorders>
      </w:tcPr>
    </w:tblStylePr>
    <w:tblStylePr w:type="firstCol">
      <w:rPr>
        <w:b/>
        <w:bCs/>
      </w:rPr>
    </w:tblStylePr>
    <w:tblStylePr w:type="lastCol">
      <w:rPr>
        <w:b/>
        <w:bCs/>
      </w:rPr>
      <w:tblPr/>
      <w:tcPr>
        <w:tcBorders>
          <w:top w:val="single" w:sz="8" w:space="0" w:color="002D3F" w:themeColor="accent1"/>
          <w:bottom w:val="single" w:sz="8" w:space="0" w:color="002D3F" w:themeColor="accent1"/>
        </w:tcBorders>
      </w:tcPr>
    </w:tblStylePr>
    <w:tblStylePr w:type="band1Vert">
      <w:tblPr/>
      <w:tcPr>
        <w:shd w:val="clear" w:color="auto" w:fill="90DFFF" w:themeFill="accent1" w:themeFillTint="3F"/>
      </w:tcPr>
    </w:tblStylePr>
    <w:tblStylePr w:type="band1Horz">
      <w:tblPr/>
      <w:tcPr>
        <w:shd w:val="clear" w:color="auto" w:fill="90DFFF" w:themeFill="accent1" w:themeFillTint="3F"/>
      </w:tcPr>
    </w:tblStylePr>
  </w:style>
  <w:style w:type="table" w:styleId="MediumList1-Accent2">
    <w:name w:val="Medium List 1 Accent 2"/>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F26322" w:themeColor="accent2"/>
        <w:bottom w:val="single" w:sz="8" w:space="0" w:color="F26322" w:themeColor="accent2"/>
      </w:tblBorders>
    </w:tblPr>
    <w:tblStylePr w:type="firstRow">
      <w:rPr>
        <w:rFonts w:asciiTheme="majorHAnsi" w:eastAsiaTheme="majorEastAsia" w:hAnsiTheme="majorHAnsi" w:cstheme="majorBidi"/>
      </w:rPr>
      <w:tblPr/>
      <w:tcPr>
        <w:tcBorders>
          <w:top w:val="nil"/>
          <w:bottom w:val="single" w:sz="8" w:space="0" w:color="F26322" w:themeColor="accent2"/>
        </w:tcBorders>
      </w:tcPr>
    </w:tblStylePr>
    <w:tblStylePr w:type="lastRow">
      <w:rPr>
        <w:b/>
        <w:bCs/>
        <w:color w:val="002D3F" w:themeColor="text2"/>
      </w:rPr>
      <w:tblPr/>
      <w:tcPr>
        <w:tcBorders>
          <w:top w:val="single" w:sz="8" w:space="0" w:color="F26322" w:themeColor="accent2"/>
          <w:bottom w:val="single" w:sz="8" w:space="0" w:color="F26322" w:themeColor="accent2"/>
        </w:tcBorders>
      </w:tcPr>
    </w:tblStylePr>
    <w:tblStylePr w:type="firstCol">
      <w:rPr>
        <w:b/>
        <w:bCs/>
      </w:rPr>
    </w:tblStylePr>
    <w:tblStylePr w:type="lastCol">
      <w:rPr>
        <w:b/>
        <w:bCs/>
      </w:rPr>
      <w:tblPr/>
      <w:tcPr>
        <w:tcBorders>
          <w:top w:val="single" w:sz="8" w:space="0" w:color="F26322" w:themeColor="accent2"/>
          <w:bottom w:val="single" w:sz="8" w:space="0" w:color="F26322" w:themeColor="accent2"/>
        </w:tcBorders>
      </w:tcPr>
    </w:tblStylePr>
    <w:tblStylePr w:type="band1Vert">
      <w:tblPr/>
      <w:tcPr>
        <w:shd w:val="clear" w:color="auto" w:fill="FBD8C8" w:themeFill="accent2" w:themeFillTint="3F"/>
      </w:tcPr>
    </w:tblStylePr>
    <w:tblStylePr w:type="band1Horz">
      <w:tblPr/>
      <w:tcPr>
        <w:shd w:val="clear" w:color="auto" w:fill="FBD8C8" w:themeFill="accent2" w:themeFillTint="3F"/>
      </w:tcPr>
    </w:tblStylePr>
  </w:style>
  <w:style w:type="table" w:styleId="MediumList1-Accent3">
    <w:name w:val="Medium List 1 Accent 3"/>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008276" w:themeColor="accent3"/>
        <w:bottom w:val="single" w:sz="8" w:space="0" w:color="008276" w:themeColor="accent3"/>
      </w:tblBorders>
    </w:tblPr>
    <w:tblStylePr w:type="firstRow">
      <w:rPr>
        <w:rFonts w:asciiTheme="majorHAnsi" w:eastAsiaTheme="majorEastAsia" w:hAnsiTheme="majorHAnsi" w:cstheme="majorBidi"/>
      </w:rPr>
      <w:tblPr/>
      <w:tcPr>
        <w:tcBorders>
          <w:top w:val="nil"/>
          <w:bottom w:val="single" w:sz="8" w:space="0" w:color="008276" w:themeColor="accent3"/>
        </w:tcBorders>
      </w:tcPr>
    </w:tblStylePr>
    <w:tblStylePr w:type="lastRow">
      <w:rPr>
        <w:b/>
        <w:bCs/>
        <w:color w:val="002D3F" w:themeColor="text2"/>
      </w:rPr>
      <w:tblPr/>
      <w:tcPr>
        <w:tcBorders>
          <w:top w:val="single" w:sz="8" w:space="0" w:color="008276" w:themeColor="accent3"/>
          <w:bottom w:val="single" w:sz="8" w:space="0" w:color="008276" w:themeColor="accent3"/>
        </w:tcBorders>
      </w:tcPr>
    </w:tblStylePr>
    <w:tblStylePr w:type="firstCol">
      <w:rPr>
        <w:b/>
        <w:bCs/>
      </w:rPr>
    </w:tblStylePr>
    <w:tblStylePr w:type="lastCol">
      <w:rPr>
        <w:b/>
        <w:bCs/>
      </w:rPr>
      <w:tblPr/>
      <w:tcPr>
        <w:tcBorders>
          <w:top w:val="single" w:sz="8" w:space="0" w:color="008276" w:themeColor="accent3"/>
          <w:bottom w:val="single" w:sz="8" w:space="0" w:color="008276" w:themeColor="accent3"/>
        </w:tcBorders>
      </w:tcPr>
    </w:tblStylePr>
    <w:tblStylePr w:type="band1Vert">
      <w:tblPr/>
      <w:tcPr>
        <w:shd w:val="clear" w:color="auto" w:fill="A1FFF6" w:themeFill="accent3" w:themeFillTint="3F"/>
      </w:tcPr>
    </w:tblStylePr>
    <w:tblStylePr w:type="band1Horz">
      <w:tblPr/>
      <w:tcPr>
        <w:shd w:val="clear" w:color="auto" w:fill="A1FFF6" w:themeFill="accent3" w:themeFillTint="3F"/>
      </w:tcPr>
    </w:tblStylePr>
  </w:style>
  <w:style w:type="table" w:styleId="MediumList1-Accent4">
    <w:name w:val="Medium List 1 Accent 4"/>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B6006A" w:themeColor="accent4"/>
        <w:bottom w:val="single" w:sz="8" w:space="0" w:color="B6006A" w:themeColor="accent4"/>
      </w:tblBorders>
    </w:tblPr>
    <w:tblStylePr w:type="firstRow">
      <w:rPr>
        <w:rFonts w:asciiTheme="majorHAnsi" w:eastAsiaTheme="majorEastAsia" w:hAnsiTheme="majorHAnsi" w:cstheme="majorBidi"/>
      </w:rPr>
      <w:tblPr/>
      <w:tcPr>
        <w:tcBorders>
          <w:top w:val="nil"/>
          <w:bottom w:val="single" w:sz="8" w:space="0" w:color="B6006A" w:themeColor="accent4"/>
        </w:tcBorders>
      </w:tcPr>
    </w:tblStylePr>
    <w:tblStylePr w:type="lastRow">
      <w:rPr>
        <w:b/>
        <w:bCs/>
        <w:color w:val="002D3F" w:themeColor="text2"/>
      </w:rPr>
      <w:tblPr/>
      <w:tcPr>
        <w:tcBorders>
          <w:top w:val="single" w:sz="8" w:space="0" w:color="B6006A" w:themeColor="accent4"/>
          <w:bottom w:val="single" w:sz="8" w:space="0" w:color="B6006A" w:themeColor="accent4"/>
        </w:tcBorders>
      </w:tcPr>
    </w:tblStylePr>
    <w:tblStylePr w:type="firstCol">
      <w:rPr>
        <w:b/>
        <w:bCs/>
      </w:rPr>
    </w:tblStylePr>
    <w:tblStylePr w:type="lastCol">
      <w:rPr>
        <w:b/>
        <w:bCs/>
      </w:rPr>
      <w:tblPr/>
      <w:tcPr>
        <w:tcBorders>
          <w:top w:val="single" w:sz="8" w:space="0" w:color="B6006A" w:themeColor="accent4"/>
          <w:bottom w:val="single" w:sz="8" w:space="0" w:color="B6006A" w:themeColor="accent4"/>
        </w:tcBorders>
      </w:tcPr>
    </w:tblStylePr>
    <w:tblStylePr w:type="band1Vert">
      <w:tblPr/>
      <w:tcPr>
        <w:shd w:val="clear" w:color="auto" w:fill="FFADDC" w:themeFill="accent4" w:themeFillTint="3F"/>
      </w:tcPr>
    </w:tblStylePr>
    <w:tblStylePr w:type="band1Horz">
      <w:tblPr/>
      <w:tcPr>
        <w:shd w:val="clear" w:color="auto" w:fill="FFADDC" w:themeFill="accent4" w:themeFillTint="3F"/>
      </w:tcPr>
    </w:tblStylePr>
  </w:style>
  <w:style w:type="table" w:styleId="MediumList1-Accent5">
    <w:name w:val="Medium List 1 Accent 5"/>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E9A913" w:themeColor="accent5"/>
        <w:bottom w:val="single" w:sz="8" w:space="0" w:color="E9A913" w:themeColor="accent5"/>
      </w:tblBorders>
    </w:tblPr>
    <w:tblStylePr w:type="firstRow">
      <w:rPr>
        <w:rFonts w:asciiTheme="majorHAnsi" w:eastAsiaTheme="majorEastAsia" w:hAnsiTheme="majorHAnsi" w:cstheme="majorBidi"/>
      </w:rPr>
      <w:tblPr/>
      <w:tcPr>
        <w:tcBorders>
          <w:top w:val="nil"/>
          <w:bottom w:val="single" w:sz="8" w:space="0" w:color="E9A913" w:themeColor="accent5"/>
        </w:tcBorders>
      </w:tcPr>
    </w:tblStylePr>
    <w:tblStylePr w:type="lastRow">
      <w:rPr>
        <w:b/>
        <w:bCs/>
        <w:color w:val="002D3F" w:themeColor="text2"/>
      </w:rPr>
      <w:tblPr/>
      <w:tcPr>
        <w:tcBorders>
          <w:top w:val="single" w:sz="8" w:space="0" w:color="E9A913" w:themeColor="accent5"/>
          <w:bottom w:val="single" w:sz="8" w:space="0" w:color="E9A913" w:themeColor="accent5"/>
        </w:tcBorders>
      </w:tcPr>
    </w:tblStylePr>
    <w:tblStylePr w:type="firstCol">
      <w:rPr>
        <w:b/>
        <w:bCs/>
      </w:rPr>
    </w:tblStylePr>
    <w:tblStylePr w:type="lastCol">
      <w:rPr>
        <w:b/>
        <w:bCs/>
      </w:rPr>
      <w:tblPr/>
      <w:tcPr>
        <w:tcBorders>
          <w:top w:val="single" w:sz="8" w:space="0" w:color="E9A913" w:themeColor="accent5"/>
          <w:bottom w:val="single" w:sz="8" w:space="0" w:color="E9A913" w:themeColor="accent5"/>
        </w:tcBorders>
      </w:tcPr>
    </w:tblStylePr>
    <w:tblStylePr w:type="band1Vert">
      <w:tblPr/>
      <w:tcPr>
        <w:shd w:val="clear" w:color="auto" w:fill="FAE9C3" w:themeFill="accent5" w:themeFillTint="3F"/>
      </w:tcPr>
    </w:tblStylePr>
    <w:tblStylePr w:type="band1Horz">
      <w:tblPr/>
      <w:tcPr>
        <w:shd w:val="clear" w:color="auto" w:fill="FAE9C3" w:themeFill="accent5" w:themeFillTint="3F"/>
      </w:tcPr>
    </w:tblStylePr>
  </w:style>
  <w:style w:type="table" w:styleId="MediumList1-Accent6">
    <w:name w:val="Medium List 1 Accent 6"/>
    <w:basedOn w:val="TableNormal"/>
    <w:uiPriority w:val="65"/>
    <w:semiHidden/>
    <w:rsid w:val="008A1D27"/>
    <w:pPr>
      <w:spacing w:after="0" w:line="240" w:lineRule="auto"/>
    </w:pPr>
    <w:rPr>
      <w:rFonts w:eastAsiaTheme="minorEastAsia"/>
      <w:color w:val="000000" w:themeColor="text1"/>
    </w:rPr>
    <w:tblPr>
      <w:tblStyleRowBandSize w:val="1"/>
      <w:tblStyleColBandSize w:val="1"/>
      <w:tblBorders>
        <w:top w:val="single" w:sz="8" w:space="0" w:color="287DB2" w:themeColor="accent6"/>
        <w:bottom w:val="single" w:sz="8" w:space="0" w:color="287DB2" w:themeColor="accent6"/>
      </w:tblBorders>
    </w:tblPr>
    <w:tblStylePr w:type="firstRow">
      <w:rPr>
        <w:rFonts w:asciiTheme="majorHAnsi" w:eastAsiaTheme="majorEastAsia" w:hAnsiTheme="majorHAnsi" w:cstheme="majorBidi"/>
      </w:rPr>
      <w:tblPr/>
      <w:tcPr>
        <w:tcBorders>
          <w:top w:val="nil"/>
          <w:bottom w:val="single" w:sz="8" w:space="0" w:color="287DB2" w:themeColor="accent6"/>
        </w:tcBorders>
      </w:tcPr>
    </w:tblStylePr>
    <w:tblStylePr w:type="lastRow">
      <w:rPr>
        <w:b/>
        <w:bCs/>
        <w:color w:val="002D3F" w:themeColor="text2"/>
      </w:rPr>
      <w:tblPr/>
      <w:tcPr>
        <w:tcBorders>
          <w:top w:val="single" w:sz="8" w:space="0" w:color="287DB2" w:themeColor="accent6"/>
          <w:bottom w:val="single" w:sz="8" w:space="0" w:color="287DB2" w:themeColor="accent6"/>
        </w:tcBorders>
      </w:tcPr>
    </w:tblStylePr>
    <w:tblStylePr w:type="firstCol">
      <w:rPr>
        <w:b/>
        <w:bCs/>
      </w:rPr>
    </w:tblStylePr>
    <w:tblStylePr w:type="lastCol">
      <w:rPr>
        <w:b/>
        <w:bCs/>
      </w:rPr>
      <w:tblPr/>
      <w:tcPr>
        <w:tcBorders>
          <w:top w:val="single" w:sz="8" w:space="0" w:color="287DB2" w:themeColor="accent6"/>
          <w:bottom w:val="single" w:sz="8" w:space="0" w:color="287DB2" w:themeColor="accent6"/>
        </w:tcBorders>
      </w:tcPr>
    </w:tblStylePr>
    <w:tblStylePr w:type="band1Vert">
      <w:tblPr/>
      <w:tcPr>
        <w:shd w:val="clear" w:color="auto" w:fill="C3E0F1" w:themeFill="accent6" w:themeFillTint="3F"/>
      </w:tcPr>
    </w:tblStylePr>
    <w:tblStylePr w:type="band1Horz">
      <w:tblPr/>
      <w:tcPr>
        <w:shd w:val="clear" w:color="auto" w:fill="C3E0F1" w:themeFill="accent6" w:themeFillTint="3F"/>
      </w:tcPr>
    </w:tblStylePr>
  </w:style>
  <w:style w:type="table" w:styleId="MediumList2">
    <w:name w:val="Medium List 2"/>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rPr>
        <w:sz w:val="24"/>
        <w:szCs w:val="24"/>
      </w:rPr>
      <w:tblPr/>
      <w:tcPr>
        <w:tcBorders>
          <w:top w:val="nil"/>
          <w:left w:val="nil"/>
          <w:bottom w:val="single" w:sz="24" w:space="0" w:color="002D3F" w:themeColor="accent1"/>
          <w:right w:val="nil"/>
          <w:insideH w:val="nil"/>
          <w:insideV w:val="nil"/>
        </w:tcBorders>
        <w:shd w:val="clear" w:color="auto" w:fill="FFFFFF" w:themeFill="background1"/>
      </w:tcPr>
    </w:tblStylePr>
    <w:tblStylePr w:type="lastRow">
      <w:tblPr/>
      <w:tcPr>
        <w:tcBorders>
          <w:top w:val="single" w:sz="8" w:space="0" w:color="002D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3F" w:themeColor="accent1"/>
          <w:insideH w:val="nil"/>
          <w:insideV w:val="nil"/>
        </w:tcBorders>
        <w:shd w:val="clear" w:color="auto" w:fill="FFFFFF" w:themeFill="background1"/>
      </w:tcPr>
    </w:tblStylePr>
    <w:tblStylePr w:type="lastCol">
      <w:tblPr/>
      <w:tcPr>
        <w:tcBorders>
          <w:top w:val="nil"/>
          <w:left w:val="single" w:sz="8" w:space="0" w:color="002D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top w:val="nil"/>
          <w:bottom w:val="nil"/>
          <w:insideH w:val="nil"/>
          <w:insideV w:val="nil"/>
        </w:tcBorders>
        <w:shd w:val="clear" w:color="auto" w:fill="90D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blStylePr w:type="firstRow">
      <w:rPr>
        <w:sz w:val="24"/>
        <w:szCs w:val="24"/>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tblPr/>
      <w:tcPr>
        <w:tcBorders>
          <w:top w:val="single" w:sz="8" w:space="0" w:color="F2632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2"/>
          <w:insideH w:val="nil"/>
          <w:insideV w:val="nil"/>
        </w:tcBorders>
        <w:shd w:val="clear" w:color="auto" w:fill="FFFFFF" w:themeFill="background1"/>
      </w:tcPr>
    </w:tblStylePr>
    <w:tblStylePr w:type="lastCol">
      <w:tblPr/>
      <w:tcPr>
        <w:tcBorders>
          <w:top w:val="nil"/>
          <w:left w:val="single" w:sz="8" w:space="0" w:color="F2632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top w:val="nil"/>
          <w:bottom w:val="nil"/>
          <w:insideH w:val="nil"/>
          <w:insideV w:val="nil"/>
        </w:tcBorders>
        <w:shd w:val="clear" w:color="auto" w:fill="FBD8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blStylePr w:type="firstRow">
      <w:rPr>
        <w:sz w:val="24"/>
        <w:szCs w:val="24"/>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tblPr/>
      <w:tcPr>
        <w:tcBorders>
          <w:top w:val="single" w:sz="8" w:space="0" w:color="008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76" w:themeColor="accent3"/>
          <w:insideH w:val="nil"/>
          <w:insideV w:val="nil"/>
        </w:tcBorders>
        <w:shd w:val="clear" w:color="auto" w:fill="FFFFFF" w:themeFill="background1"/>
      </w:tcPr>
    </w:tblStylePr>
    <w:tblStylePr w:type="lastCol">
      <w:tblPr/>
      <w:tcPr>
        <w:tcBorders>
          <w:top w:val="nil"/>
          <w:left w:val="single" w:sz="8" w:space="0" w:color="008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top w:val="nil"/>
          <w:bottom w:val="nil"/>
          <w:insideH w:val="nil"/>
          <w:insideV w:val="nil"/>
        </w:tcBorders>
        <w:shd w:val="clear" w:color="auto" w:fill="A1FF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blStylePr w:type="firstRow">
      <w:rPr>
        <w:sz w:val="24"/>
        <w:szCs w:val="24"/>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tblPr/>
      <w:tcPr>
        <w:tcBorders>
          <w:top w:val="single" w:sz="8" w:space="0" w:color="B600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006A" w:themeColor="accent4"/>
          <w:insideH w:val="nil"/>
          <w:insideV w:val="nil"/>
        </w:tcBorders>
        <w:shd w:val="clear" w:color="auto" w:fill="FFFFFF" w:themeFill="background1"/>
      </w:tcPr>
    </w:tblStylePr>
    <w:tblStylePr w:type="lastCol">
      <w:tblPr/>
      <w:tcPr>
        <w:tcBorders>
          <w:top w:val="nil"/>
          <w:left w:val="single" w:sz="8" w:space="0" w:color="B600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top w:val="nil"/>
          <w:bottom w:val="nil"/>
          <w:insideH w:val="nil"/>
          <w:insideV w:val="nil"/>
        </w:tcBorders>
        <w:shd w:val="clear" w:color="auto" w:fill="FFAD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blStylePr w:type="firstRow">
      <w:rPr>
        <w:sz w:val="24"/>
        <w:szCs w:val="24"/>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tblPr/>
      <w:tcPr>
        <w:tcBorders>
          <w:top w:val="single" w:sz="8" w:space="0" w:color="E9A91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5"/>
          <w:insideH w:val="nil"/>
          <w:insideV w:val="nil"/>
        </w:tcBorders>
        <w:shd w:val="clear" w:color="auto" w:fill="FFFFFF" w:themeFill="background1"/>
      </w:tcPr>
    </w:tblStylePr>
    <w:tblStylePr w:type="lastCol">
      <w:tblPr/>
      <w:tcPr>
        <w:tcBorders>
          <w:top w:val="nil"/>
          <w:left w:val="single" w:sz="8" w:space="0" w:color="E9A91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top w:val="nil"/>
          <w:bottom w:val="nil"/>
          <w:insideH w:val="nil"/>
          <w:insideV w:val="nil"/>
        </w:tcBorders>
        <w:shd w:val="clear" w:color="auto" w:fill="FAE9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A1D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blStylePr w:type="firstRow">
      <w:rPr>
        <w:sz w:val="24"/>
        <w:szCs w:val="24"/>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tblPr/>
      <w:tcPr>
        <w:tcBorders>
          <w:top w:val="single" w:sz="8" w:space="0" w:color="287D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DB2" w:themeColor="accent6"/>
          <w:insideH w:val="nil"/>
          <w:insideV w:val="nil"/>
        </w:tcBorders>
        <w:shd w:val="clear" w:color="auto" w:fill="FFFFFF" w:themeFill="background1"/>
      </w:tcPr>
    </w:tblStylePr>
    <w:tblStylePr w:type="lastCol">
      <w:tblPr/>
      <w:tcPr>
        <w:tcBorders>
          <w:top w:val="nil"/>
          <w:left w:val="single" w:sz="8" w:space="0" w:color="287D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top w:val="nil"/>
          <w:bottom w:val="nil"/>
          <w:insideH w:val="nil"/>
          <w:insideV w:val="nil"/>
        </w:tcBorders>
        <w:shd w:val="clear" w:color="auto" w:fill="C3E0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tblBorders>
    </w:tblPr>
    <w:tblStylePr w:type="firstRow">
      <w:pPr>
        <w:spacing w:before="0" w:after="0" w:line="240" w:lineRule="auto"/>
      </w:pPr>
      <w:rPr>
        <w:b/>
        <w:bCs/>
        <w:color w:val="FFFFFF" w:themeColor="background1"/>
      </w:rPr>
      <w:tblPr/>
      <w:tcPr>
        <w:tc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shd w:val="clear" w:color="auto" w:fill="002D3F" w:themeFill="accent1"/>
      </w:tcPr>
    </w:tblStylePr>
    <w:tblStylePr w:type="lastRow">
      <w:pPr>
        <w:spacing w:before="0" w:after="0" w:line="240" w:lineRule="auto"/>
      </w:pPr>
      <w:rPr>
        <w:b/>
        <w:bCs/>
      </w:rPr>
      <w:tblPr/>
      <w:tcPr>
        <w:tcBorders>
          <w:top w:val="double" w:sz="6"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1" w:themeFillTint="3F"/>
      </w:tcPr>
    </w:tblStylePr>
    <w:tblStylePr w:type="band1Horz">
      <w:tblPr/>
      <w:tcPr>
        <w:tcBorders>
          <w:insideH w:val="nil"/>
          <w:insideV w:val="nil"/>
        </w:tcBorders>
        <w:shd w:val="clear" w:color="auto" w:fill="90D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tblBorders>
    </w:tblPr>
    <w:tblStylePr w:type="firstRow">
      <w:pPr>
        <w:spacing w:before="0" w:after="0" w:line="240" w:lineRule="auto"/>
      </w:pPr>
      <w:rPr>
        <w:b/>
        <w:bCs/>
        <w:color w:val="FFFFFF" w:themeColor="background1"/>
      </w:rPr>
      <w:tblPr/>
      <w:tcPr>
        <w:tc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shd w:val="clear" w:color="auto" w:fill="F26322" w:themeFill="accent2"/>
      </w:tcPr>
    </w:tblStylePr>
    <w:tblStylePr w:type="lastRow">
      <w:pPr>
        <w:spacing w:before="0" w:after="0" w:line="240" w:lineRule="auto"/>
      </w:pPr>
      <w:rPr>
        <w:b/>
        <w:bCs/>
      </w:rPr>
      <w:tblPr/>
      <w:tcPr>
        <w:tcBorders>
          <w:top w:val="double" w:sz="6"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2" w:themeFillTint="3F"/>
      </w:tcPr>
    </w:tblStylePr>
    <w:tblStylePr w:type="band1Horz">
      <w:tblPr/>
      <w:tcPr>
        <w:tcBorders>
          <w:insideH w:val="nil"/>
          <w:insideV w:val="nil"/>
        </w:tcBorders>
        <w:shd w:val="clear" w:color="auto" w:fill="FBD8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tblBorders>
    </w:tblPr>
    <w:tblStylePr w:type="firstRow">
      <w:pPr>
        <w:spacing w:before="0" w:after="0" w:line="240" w:lineRule="auto"/>
      </w:pPr>
      <w:rPr>
        <w:b/>
        <w:bCs/>
        <w:color w:val="FFFFFF" w:themeColor="background1"/>
      </w:rPr>
      <w:tblPr/>
      <w:tcPr>
        <w:tc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shd w:val="clear" w:color="auto" w:fill="008276" w:themeFill="accent3"/>
      </w:tcPr>
    </w:tblStylePr>
    <w:tblStylePr w:type="lastRow">
      <w:pPr>
        <w:spacing w:before="0" w:after="0" w:line="240" w:lineRule="auto"/>
      </w:pPr>
      <w:rPr>
        <w:b/>
        <w:bCs/>
      </w:rPr>
      <w:tblPr/>
      <w:tcPr>
        <w:tcBorders>
          <w:top w:val="double" w:sz="6"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1FFF6" w:themeFill="accent3" w:themeFillTint="3F"/>
      </w:tcPr>
    </w:tblStylePr>
    <w:tblStylePr w:type="band1Horz">
      <w:tblPr/>
      <w:tcPr>
        <w:tcBorders>
          <w:insideH w:val="nil"/>
          <w:insideV w:val="nil"/>
        </w:tcBorders>
        <w:shd w:val="clear" w:color="auto" w:fill="A1FF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tblBorders>
    </w:tblPr>
    <w:tblStylePr w:type="firstRow">
      <w:pPr>
        <w:spacing w:before="0" w:after="0" w:line="240" w:lineRule="auto"/>
      </w:pPr>
      <w:rPr>
        <w:b/>
        <w:bCs/>
        <w:color w:val="FFFFFF" w:themeColor="background1"/>
      </w:rPr>
      <w:tblPr/>
      <w:tcPr>
        <w:tc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shd w:val="clear" w:color="auto" w:fill="B6006A" w:themeFill="accent4"/>
      </w:tcPr>
    </w:tblStylePr>
    <w:tblStylePr w:type="lastRow">
      <w:pPr>
        <w:spacing w:before="0" w:after="0" w:line="240" w:lineRule="auto"/>
      </w:pPr>
      <w:rPr>
        <w:b/>
        <w:bCs/>
      </w:rPr>
      <w:tblPr/>
      <w:tcPr>
        <w:tcBorders>
          <w:top w:val="double" w:sz="6"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DDC" w:themeFill="accent4" w:themeFillTint="3F"/>
      </w:tcPr>
    </w:tblStylePr>
    <w:tblStylePr w:type="band1Horz">
      <w:tblPr/>
      <w:tcPr>
        <w:tcBorders>
          <w:insideH w:val="nil"/>
          <w:insideV w:val="nil"/>
        </w:tcBorders>
        <w:shd w:val="clear" w:color="auto" w:fill="FFAD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tblBorders>
    </w:tblPr>
    <w:tblStylePr w:type="firstRow">
      <w:pPr>
        <w:spacing w:before="0" w:after="0" w:line="240" w:lineRule="auto"/>
      </w:pPr>
      <w:rPr>
        <w:b/>
        <w:bCs/>
        <w:color w:val="FFFFFF" w:themeColor="background1"/>
      </w:rPr>
      <w:tblPr/>
      <w:tcPr>
        <w:tc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shd w:val="clear" w:color="auto" w:fill="E9A913" w:themeFill="accent5"/>
      </w:tcPr>
    </w:tblStylePr>
    <w:tblStylePr w:type="lastRow">
      <w:pPr>
        <w:spacing w:before="0" w:after="0" w:line="240" w:lineRule="auto"/>
      </w:pPr>
      <w:rPr>
        <w:b/>
        <w:bCs/>
      </w:rPr>
      <w:tblPr/>
      <w:tcPr>
        <w:tcBorders>
          <w:top w:val="double" w:sz="6"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5" w:themeFillTint="3F"/>
      </w:tcPr>
    </w:tblStylePr>
    <w:tblStylePr w:type="band1Horz">
      <w:tblPr/>
      <w:tcPr>
        <w:tcBorders>
          <w:insideH w:val="nil"/>
          <w:insideV w:val="nil"/>
        </w:tcBorders>
        <w:shd w:val="clear" w:color="auto" w:fill="FAE9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A1D27"/>
    <w:pPr>
      <w:spacing w:after="0" w:line="240" w:lineRule="auto"/>
    </w:pPr>
    <w:rPr>
      <w:rFonts w:eastAsiaTheme="minorEastAsia"/>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tblBorders>
    </w:tblPr>
    <w:tblStylePr w:type="firstRow">
      <w:pPr>
        <w:spacing w:before="0" w:after="0" w:line="240" w:lineRule="auto"/>
      </w:pPr>
      <w:rPr>
        <w:b/>
        <w:bCs/>
        <w:color w:val="FFFFFF" w:themeColor="background1"/>
      </w:rPr>
      <w:tblPr/>
      <w:tcPr>
        <w:tc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shd w:val="clear" w:color="auto" w:fill="287DB2" w:themeFill="accent6"/>
      </w:tcPr>
    </w:tblStylePr>
    <w:tblStylePr w:type="lastRow">
      <w:pPr>
        <w:spacing w:before="0" w:after="0" w:line="240" w:lineRule="auto"/>
      </w:pPr>
      <w:rPr>
        <w:b/>
        <w:bCs/>
      </w:rPr>
      <w:tblPr/>
      <w:tcPr>
        <w:tcBorders>
          <w:top w:val="double" w:sz="6"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E0F1" w:themeFill="accent6" w:themeFillTint="3F"/>
      </w:tcPr>
    </w:tblStylePr>
    <w:tblStylePr w:type="band1Horz">
      <w:tblPr/>
      <w:tcPr>
        <w:tcBorders>
          <w:insideH w:val="nil"/>
          <w:insideV w:val="nil"/>
        </w:tcBorders>
        <w:shd w:val="clear" w:color="auto" w:fill="C3E0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2"/>
      </w:tcPr>
    </w:tblStylePr>
    <w:tblStylePr w:type="lastCol">
      <w:rPr>
        <w:b/>
        <w:bCs/>
        <w:color w:val="FFFFFF" w:themeColor="background1"/>
      </w:rPr>
      <w:tblPr/>
      <w:tcPr>
        <w:tcBorders>
          <w:left w:val="nil"/>
          <w:right w:val="nil"/>
          <w:insideH w:val="nil"/>
          <w:insideV w:val="nil"/>
        </w:tcBorders>
        <w:shd w:val="clear" w:color="auto" w:fill="F2632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76" w:themeFill="accent3"/>
      </w:tcPr>
    </w:tblStylePr>
    <w:tblStylePr w:type="lastCol">
      <w:rPr>
        <w:b/>
        <w:bCs/>
        <w:color w:val="FFFFFF" w:themeColor="background1"/>
      </w:rPr>
      <w:tblPr/>
      <w:tcPr>
        <w:tcBorders>
          <w:left w:val="nil"/>
          <w:right w:val="nil"/>
          <w:insideH w:val="nil"/>
          <w:insideV w:val="nil"/>
        </w:tcBorders>
        <w:shd w:val="clear" w:color="auto" w:fill="008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00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6A" w:themeFill="accent4"/>
      </w:tcPr>
    </w:tblStylePr>
    <w:tblStylePr w:type="lastCol">
      <w:rPr>
        <w:b/>
        <w:bCs/>
        <w:color w:val="FFFFFF" w:themeColor="background1"/>
      </w:rPr>
      <w:tblPr/>
      <w:tcPr>
        <w:tcBorders>
          <w:left w:val="nil"/>
          <w:right w:val="nil"/>
          <w:insideH w:val="nil"/>
          <w:insideV w:val="nil"/>
        </w:tcBorders>
        <w:shd w:val="clear" w:color="auto" w:fill="B600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5"/>
      </w:tcPr>
    </w:tblStylePr>
    <w:tblStylePr w:type="lastCol">
      <w:rPr>
        <w:b/>
        <w:bCs/>
        <w:color w:val="FFFFFF" w:themeColor="background1"/>
      </w:rPr>
      <w:tblPr/>
      <w:tcPr>
        <w:tcBorders>
          <w:left w:val="nil"/>
          <w:right w:val="nil"/>
          <w:insideH w:val="nil"/>
          <w:insideV w:val="nil"/>
        </w:tcBorders>
        <w:shd w:val="clear" w:color="auto" w:fill="E9A91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A1D2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D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87DB2" w:themeFill="accent6"/>
      </w:tcPr>
    </w:tblStylePr>
    <w:tblStylePr w:type="lastCol">
      <w:rPr>
        <w:b/>
        <w:bCs/>
        <w:color w:val="FFFFFF" w:themeColor="background1"/>
      </w:rPr>
      <w:tblPr/>
      <w:tcPr>
        <w:tcBorders>
          <w:left w:val="nil"/>
          <w:right w:val="nil"/>
          <w:insideH w:val="nil"/>
          <w:insideV w:val="nil"/>
        </w:tcBorders>
        <w:shd w:val="clear" w:color="auto" w:fill="287D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8A1D27"/>
    <w:pPr>
      <w:spacing w:after="200" w:line="276"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1D27"/>
    <w:pPr>
      <w:spacing w:after="200" w:line="276"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1D27"/>
    <w:pPr>
      <w:spacing w:after="200" w:line="276"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1D27"/>
    <w:pPr>
      <w:spacing w:after="200" w:line="276"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1D27"/>
    <w:pPr>
      <w:spacing w:after="200" w:line="276"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1D27"/>
    <w:pPr>
      <w:spacing w:after="200" w:line="276"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1D27"/>
    <w:pPr>
      <w:spacing w:after="200" w:line="276"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1D27"/>
    <w:pPr>
      <w:spacing w:after="200" w:line="276"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1D27"/>
    <w:pPr>
      <w:spacing w:after="200" w:line="276"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1D27"/>
    <w:pPr>
      <w:spacing w:after="200" w:line="276"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1D27"/>
    <w:pPr>
      <w:spacing w:after="200" w:line="276"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1D27"/>
    <w:pPr>
      <w:spacing w:after="200" w:line="276"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1D27"/>
    <w:pPr>
      <w:spacing w:after="200" w:line="276"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1D27"/>
    <w:pPr>
      <w:spacing w:after="200" w:line="276"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8A1D27"/>
    <w:pPr>
      <w:spacing w:after="200" w:line="276"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8A1D27"/>
    <w:pPr>
      <w:spacing w:after="200" w:line="276"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1D27"/>
    <w:pPr>
      <w:spacing w:after="200" w:line="276"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A1D27"/>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1D27"/>
    <w:pPr>
      <w:spacing w:after="200" w:line="276"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1D27"/>
    <w:pPr>
      <w:spacing w:after="200" w:line="276"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1D27"/>
    <w:pPr>
      <w:spacing w:after="200" w:line="276"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1D27"/>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A1D27"/>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A1D27"/>
    <w:pPr>
      <w:spacing w:after="200" w:line="276"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A1D27"/>
    <w:pPr>
      <w:spacing w:after="200" w:line="276"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1D27"/>
    <w:pPr>
      <w:spacing w:after="200" w:line="276"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1D27"/>
    <w:pPr>
      <w:spacing w:after="200" w:line="276"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1D27"/>
    <w:pPr>
      <w:spacing w:after="200" w:line="276"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1D27"/>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1D27"/>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1D27"/>
    <w:pPr>
      <w:spacing w:after="200" w:line="276"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8A1D27"/>
    <w:pPr>
      <w:spacing w:after="160" w:line="259" w:lineRule="auto"/>
      <w:ind w:left="220" w:hanging="220"/>
    </w:pPr>
  </w:style>
  <w:style w:type="paragraph" w:styleId="TableofFigures">
    <w:name w:val="table of figures"/>
    <w:basedOn w:val="Normal"/>
    <w:next w:val="Normal"/>
    <w:uiPriority w:val="99"/>
    <w:rsid w:val="008A1D27"/>
    <w:pPr>
      <w:spacing w:after="160" w:line="259" w:lineRule="auto"/>
    </w:pPr>
  </w:style>
  <w:style w:type="table" w:styleId="TableProfessional">
    <w:name w:val="Table Professional"/>
    <w:basedOn w:val="TableNormal"/>
    <w:uiPriority w:val="99"/>
    <w:semiHidden/>
    <w:rsid w:val="008A1D27"/>
    <w:pPr>
      <w:spacing w:after="200" w:line="276"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1D27"/>
    <w:pPr>
      <w:spacing w:after="200" w:line="276"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1D27"/>
    <w:pPr>
      <w:spacing w:after="200" w:line="276"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1D27"/>
    <w:pPr>
      <w:spacing w:after="200" w:line="276"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1D27"/>
    <w:pPr>
      <w:spacing w:after="200" w:line="276"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1D27"/>
    <w:pPr>
      <w:spacing w:after="200" w:line="276"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1D27"/>
    <w:pPr>
      <w:spacing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1D27"/>
    <w:pPr>
      <w:spacing w:after="200" w:line="276"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8A1D27"/>
    <w:rPr>
      <w:color w:val="B6006A" w:themeColor="accent4"/>
      <w:u w:val="single"/>
    </w:rPr>
  </w:style>
  <w:style w:type="paragraph" w:customStyle="1" w:styleId="Figuretitle">
    <w:name w:val="Figure title"/>
    <w:basedOn w:val="Normal"/>
    <w:link w:val="FiguretitleChar"/>
    <w:qFormat/>
    <w:rsid w:val="00DA0CBE"/>
    <w:pPr>
      <w:keepNext/>
      <w:spacing w:after="160" w:line="259" w:lineRule="auto"/>
    </w:pPr>
    <w:rPr>
      <w:rFonts w:ascii="Calibri" w:eastAsiaTheme="majorEastAsia" w:hAnsi="Calibri" w:cstheme="majorBidi"/>
      <w:b/>
      <w:bCs/>
      <w:color w:val="5F6369"/>
      <w:szCs w:val="18"/>
    </w:rPr>
  </w:style>
  <w:style w:type="character" w:customStyle="1" w:styleId="CaptionChar">
    <w:name w:val="Caption Char"/>
    <w:basedOn w:val="Heading4Char"/>
    <w:link w:val="Caption"/>
    <w:uiPriority w:val="35"/>
    <w:rsid w:val="008A1D27"/>
    <w:rPr>
      <w:rFonts w:ascii="Calibri" w:eastAsiaTheme="majorEastAsia" w:hAnsi="Calibri" w:cstheme="majorBidi"/>
      <w:b/>
      <w:iCs/>
      <w:color w:val="5F6369"/>
      <w:sz w:val="26"/>
      <w:szCs w:val="18"/>
    </w:rPr>
  </w:style>
  <w:style w:type="character" w:customStyle="1" w:styleId="FiguretitleChar">
    <w:name w:val="Figure title Char"/>
    <w:basedOn w:val="CaptionChar"/>
    <w:link w:val="Figuretitle"/>
    <w:rsid w:val="00DA0CBE"/>
    <w:rPr>
      <w:rFonts w:ascii="Calibri" w:eastAsiaTheme="majorEastAsia" w:hAnsi="Calibri" w:cstheme="majorBidi"/>
      <w:b/>
      <w:bCs/>
      <w:iCs w:val="0"/>
      <w:color w:val="5F6369"/>
      <w:sz w:val="2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27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3.0/au/legalcod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government/commonwealth-coat-arm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melbourneinstitute.unimelb.edu.au/__data/assets/pdf_file/0006/3194403/Vocational-pathways-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4.%20Youth\4.1%20LSAY\Analysis\LSAY%20Retrospective\Publication\Final\15goingon25DE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D797A877474EE6A25B23B7E2FF0876"/>
        <w:category>
          <w:name w:val="General"/>
          <w:gallery w:val="placeholder"/>
        </w:category>
        <w:types>
          <w:type w:val="bbPlcHdr"/>
        </w:types>
        <w:behaviors>
          <w:behavior w:val="content"/>
        </w:behaviors>
        <w:guid w:val="{8459E673-6D73-43AA-B381-42DA2ADBE5F7}"/>
      </w:docPartPr>
      <w:docPartBody>
        <w:p w:rsidR="004C2080" w:rsidRDefault="004C2080">
          <w:pPr>
            <w:pStyle w:val="83D797A877474EE6A25B23B7E2FF0876"/>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80"/>
    <w:rsid w:val="000464AA"/>
    <w:rsid w:val="000867C1"/>
    <w:rsid w:val="002C35F1"/>
    <w:rsid w:val="00380C3C"/>
    <w:rsid w:val="00456F99"/>
    <w:rsid w:val="004C2080"/>
    <w:rsid w:val="00727D25"/>
    <w:rsid w:val="007F4DDE"/>
    <w:rsid w:val="008C41F7"/>
    <w:rsid w:val="00A006D2"/>
    <w:rsid w:val="00AB710D"/>
    <w:rsid w:val="00B71934"/>
    <w:rsid w:val="00C224DF"/>
    <w:rsid w:val="00D746C0"/>
    <w:rsid w:val="00DB3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3D797A877474EE6A25B23B7E2FF0876">
    <w:name w:val="83D797A877474EE6A25B23B7E2FF08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9" ma:contentTypeDescription="Create a new document." ma:contentTypeScope="" ma:versionID="3180f40cf209bc4f4948dd64e6f1d0a9">
  <xsd:schema xmlns:xsd="http://www.w3.org/2001/XMLSchema" xmlns:xs="http://www.w3.org/2001/XMLSchema" xmlns:p="http://schemas.microsoft.com/office/2006/metadata/properties" xmlns:ns2="e72c3662-d489-4d5c-a678-b18c0e8aeb72" targetNamespace="http://schemas.microsoft.com/office/2006/metadata/properties" ma:root="true" ma:fieldsID="3f7ad6cf21444496d772c8ce1802ec33" ns2:_="">
    <xsd:import namespace="e72c3662-d489-4d5c-a678-b18c0e8aeb72"/>
    <xsd:element name="properties">
      <xsd:complexType>
        <xsd:sequence>
          <xsd:element name="documentManagement">
            <xsd:complexType>
              <xsd:all>
                <xsd:element ref="ns2:la020d86e283469abb02d1589f8af8a1" minOccurs="0"/>
                <xsd:element ref="ns2:TaxCatchAll" minOccurs="0"/>
                <xsd:element ref="ns2:pfc532bc3d924724be3e431fa8a34286" minOccurs="0"/>
                <xsd:element ref="ns2:ItemPublishedDate" minOccurs="0"/>
                <xsd:element ref="ns2:idf49b01858c4ab7b49fec8a6554c79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9"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2"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3" nillable="true" ma:displayName="ItemPublishedDate" ma:format="DateOnly" ma:internalName="ItemPublishedDate">
      <xsd:simpleType>
        <xsd:restriction base="dms:DateTime"/>
      </xsd:simpleType>
    </xsd:element>
    <xsd:element name="idf49b01858c4ab7b49fec8a6554c79a" ma:index="15"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3BD14-F52E-4479-8807-B806156B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purl.org/dc/elements/1.1/"/>
    <ds:schemaRef ds:uri="http://schemas.microsoft.com/office/2006/metadata/properties"/>
    <ds:schemaRef ds:uri="e72c3662-d489-4d5c-a678-b18c0e8aeb7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65ADF14-C018-4D29-B195-BA78A3375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15goingon25DESE.dotx</Template>
  <TotalTime>0</TotalTime>
  <Pages>45</Pages>
  <Words>11391</Words>
  <Characters>64929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15 going on 25</vt:lpstr>
    </vt:vector>
  </TitlesOfParts>
  <Company/>
  <LinksUpToDate>false</LinksUpToDate>
  <CharactersWithSpaces>76168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going on 25</dc:title>
  <dc:subject/>
  <dc:creator/>
  <cp:keywords/>
  <dc:description/>
  <cp:lastModifiedBy/>
  <cp:revision>1</cp:revision>
  <dcterms:created xsi:type="dcterms:W3CDTF">2020-05-28T05:49:00Z</dcterms:created>
  <dcterms:modified xsi:type="dcterms:W3CDTF">2020-05-29T02:57:00Z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