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F7A7" w14:textId="5ECCACDA" w:rsidR="00E75A27" w:rsidRDefault="00E75A27" w:rsidP="005E59CB">
      <w:pPr>
        <w:pStyle w:val="Heading1"/>
        <w:ind w:left="414" w:right="423" w:firstLine="720"/>
      </w:pPr>
      <w:bookmarkStart w:id="0" w:name="_GoBack"/>
      <w:bookmarkEnd w:id="0"/>
      <w:r w:rsidRPr="00E75A27">
        <w:t>AC</w:t>
      </w:r>
      <w:r w:rsidR="00837827">
        <w:t>CESS AND PARTICIPATION PLAN 2019</w:t>
      </w:r>
    </w:p>
    <w:p w14:paraId="6C007826" w14:textId="423D4566" w:rsidR="00E75A27" w:rsidRPr="00E75A27" w:rsidRDefault="00AF62C5" w:rsidP="00AD7DF6">
      <w:pPr>
        <w:pStyle w:val="Heading2"/>
        <w:ind w:left="1134" w:right="423"/>
      </w:pPr>
      <w:r>
        <w:t>Unive</w:t>
      </w:r>
      <w:r w:rsidR="00E75A27" w:rsidRPr="00E75A27">
        <w:t>rsity</w:t>
      </w:r>
      <w:r>
        <w:t xml:space="preserve"> of New England</w:t>
      </w:r>
    </w:p>
    <w:p w14:paraId="690E4489" w14:textId="77777777" w:rsidR="00E75A27" w:rsidRDefault="00E75A27" w:rsidP="00AD7DF6">
      <w:pPr>
        <w:spacing w:after="0" w:line="240" w:lineRule="auto"/>
        <w:ind w:left="1134" w:right="423"/>
        <w:rPr>
          <w:rFonts w:ascii="Calibri" w:hAnsi="Calibri" w:cstheme="minorHAnsi"/>
        </w:rPr>
      </w:pPr>
    </w:p>
    <w:p w14:paraId="439C33BE" w14:textId="490A5C19" w:rsidR="00AF62C5" w:rsidRDefault="00AF62C5" w:rsidP="00AD7DF6">
      <w:pPr>
        <w:spacing w:after="0" w:line="240" w:lineRule="auto"/>
        <w:ind w:left="1134" w:right="423"/>
        <w:rPr>
          <w:rFonts w:ascii="Calibri" w:hAnsi="Calibri" w:cstheme="minorHAnsi"/>
        </w:rPr>
      </w:pPr>
      <w:r>
        <w:rPr>
          <w:rFonts w:ascii="Calibri" w:hAnsi="Calibri" w:cstheme="minorHAnsi"/>
        </w:rPr>
        <w:t xml:space="preserve">The University’s Access and Participation plan will </w:t>
      </w:r>
      <w:r w:rsidR="00B82328">
        <w:rPr>
          <w:rFonts w:ascii="Calibri" w:hAnsi="Calibri" w:cstheme="minorHAnsi"/>
        </w:rPr>
        <w:t>promote</w:t>
      </w:r>
      <w:r>
        <w:rPr>
          <w:rFonts w:ascii="Calibri" w:hAnsi="Calibri" w:cstheme="minorHAnsi"/>
        </w:rPr>
        <w:t xml:space="preserve"> </w:t>
      </w:r>
      <w:r w:rsidR="00F01FB5">
        <w:rPr>
          <w:rFonts w:ascii="Calibri" w:hAnsi="Calibri" w:cstheme="minorHAnsi"/>
        </w:rPr>
        <w:t>increased</w:t>
      </w:r>
      <w:r w:rsidR="00B82328">
        <w:rPr>
          <w:rFonts w:ascii="Calibri" w:hAnsi="Calibri" w:cstheme="minorHAnsi"/>
        </w:rPr>
        <w:t xml:space="preserve"> </w:t>
      </w:r>
      <w:r w:rsidR="003D5230">
        <w:rPr>
          <w:rFonts w:ascii="Calibri" w:hAnsi="Calibri" w:cstheme="minorHAnsi"/>
        </w:rPr>
        <w:t>aspiration</w:t>
      </w:r>
      <w:r w:rsidR="00BB73DF">
        <w:rPr>
          <w:rFonts w:ascii="Calibri" w:hAnsi="Calibri" w:cstheme="minorHAnsi"/>
        </w:rPr>
        <w:t>, access</w:t>
      </w:r>
      <w:r w:rsidR="003D5230">
        <w:rPr>
          <w:rFonts w:ascii="Calibri" w:hAnsi="Calibri" w:cstheme="minorHAnsi"/>
        </w:rPr>
        <w:t xml:space="preserve"> and participation for individual from low SES backgrounds and the increased </w:t>
      </w:r>
      <w:r w:rsidR="00F01FB5">
        <w:rPr>
          <w:rFonts w:ascii="Calibri" w:hAnsi="Calibri" w:cstheme="minorHAnsi"/>
        </w:rPr>
        <w:t>progression</w:t>
      </w:r>
      <w:r w:rsidR="003D5230">
        <w:rPr>
          <w:rFonts w:ascii="Calibri" w:hAnsi="Calibri" w:cstheme="minorHAnsi"/>
        </w:rPr>
        <w:t>, retention and completion</w:t>
      </w:r>
      <w:r w:rsidR="00BB73DF">
        <w:rPr>
          <w:rFonts w:ascii="Calibri" w:hAnsi="Calibri" w:cstheme="minorHAnsi"/>
        </w:rPr>
        <w:t xml:space="preserve"> </w:t>
      </w:r>
      <w:r w:rsidR="00F01FB5">
        <w:rPr>
          <w:rFonts w:ascii="Calibri" w:hAnsi="Calibri" w:cstheme="minorHAnsi"/>
        </w:rPr>
        <w:t xml:space="preserve">of domestic </w:t>
      </w:r>
      <w:r w:rsidR="00B82328">
        <w:rPr>
          <w:rFonts w:ascii="Calibri" w:hAnsi="Calibri" w:cstheme="minorHAnsi"/>
        </w:rPr>
        <w:t>undergraduate students from low socioeconomic backgrounds in Higher Education.</w:t>
      </w:r>
    </w:p>
    <w:p w14:paraId="50FD0352" w14:textId="77777777" w:rsidR="00B82328" w:rsidRPr="005F20C2" w:rsidRDefault="00B82328" w:rsidP="00AD7DF6">
      <w:pPr>
        <w:spacing w:after="0" w:line="240" w:lineRule="auto"/>
        <w:ind w:left="1134" w:right="423"/>
        <w:rPr>
          <w:rFonts w:ascii="Calibri" w:hAnsi="Calibri" w:cstheme="minorHAnsi"/>
        </w:rPr>
      </w:pPr>
    </w:p>
    <w:p w14:paraId="636829FD" w14:textId="667C37C6" w:rsidR="00E75A27" w:rsidRDefault="00E75A27" w:rsidP="00AD7DF6">
      <w:pPr>
        <w:pStyle w:val="ListNumber"/>
        <w:numPr>
          <w:ilvl w:val="0"/>
          <w:numId w:val="27"/>
        </w:numPr>
        <w:spacing w:after="240" w:line="240" w:lineRule="auto"/>
        <w:ind w:left="1560" w:right="423" w:hanging="426"/>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r w:rsidR="00BE4F09" w:rsidRPr="00712BE3">
        <w:rPr>
          <w:sz w:val="24"/>
          <w:szCs w:val="24"/>
        </w:rPr>
        <w:t>for improving outcomes for people from a low SES background</w:t>
      </w:r>
      <w:r w:rsidRPr="00712BE3">
        <w:rPr>
          <w:sz w:val="24"/>
          <w:szCs w:val="24"/>
        </w:rPr>
        <w:t>.</w:t>
      </w:r>
    </w:p>
    <w:p w14:paraId="7FA7043F" w14:textId="77777777" w:rsidR="006A38E8" w:rsidRDefault="006A38E8" w:rsidP="00AD7DF6">
      <w:pPr>
        <w:pStyle w:val="ListNumber"/>
        <w:numPr>
          <w:ilvl w:val="0"/>
          <w:numId w:val="0"/>
        </w:numPr>
        <w:spacing w:after="240"/>
        <w:ind w:left="1134" w:right="423"/>
      </w:pPr>
    </w:p>
    <w:p w14:paraId="25562CFD" w14:textId="41509BF6" w:rsidR="006515F3" w:rsidRPr="006A38E8" w:rsidRDefault="00F01FB5" w:rsidP="007C2EFF">
      <w:pPr>
        <w:pStyle w:val="ListNumber"/>
        <w:numPr>
          <w:ilvl w:val="0"/>
          <w:numId w:val="0"/>
        </w:numPr>
        <w:spacing w:after="240"/>
        <w:ind w:left="1560" w:right="423"/>
      </w:pPr>
      <w:r w:rsidRPr="006A38E8">
        <w:t>To encourage and support diversity by increasing opportunities for access, developing strategies and improving activities to encourage participation and success in higher education for all equity groups, including those from a low SES background.</w:t>
      </w:r>
    </w:p>
    <w:p w14:paraId="6E096D7D" w14:textId="0290BA1E" w:rsidR="00B82328" w:rsidRPr="00712BE3" w:rsidRDefault="00B82328" w:rsidP="00AD7DF6">
      <w:pPr>
        <w:pStyle w:val="ListNumber"/>
        <w:numPr>
          <w:ilvl w:val="0"/>
          <w:numId w:val="0"/>
        </w:numPr>
        <w:spacing w:after="240" w:line="240" w:lineRule="auto"/>
        <w:ind w:left="1134" w:right="423"/>
        <w:rPr>
          <w:sz w:val="24"/>
          <w:szCs w:val="24"/>
        </w:rPr>
      </w:pPr>
    </w:p>
    <w:p w14:paraId="2D36270A" w14:textId="77777777" w:rsidR="00395311" w:rsidRPr="00712BE3" w:rsidRDefault="00395311" w:rsidP="00AD7DF6">
      <w:pPr>
        <w:pStyle w:val="ListNumber"/>
        <w:numPr>
          <w:ilvl w:val="0"/>
          <w:numId w:val="0"/>
        </w:numPr>
        <w:spacing w:after="240" w:line="240" w:lineRule="auto"/>
        <w:ind w:left="1134" w:right="423"/>
        <w:rPr>
          <w:sz w:val="24"/>
          <w:szCs w:val="24"/>
        </w:rPr>
      </w:pPr>
    </w:p>
    <w:p w14:paraId="186F897B" w14:textId="53B0075E" w:rsidR="00395311" w:rsidRPr="00B60E3A" w:rsidRDefault="00E75A27" w:rsidP="00AD7DF6">
      <w:pPr>
        <w:pStyle w:val="ListNumber"/>
        <w:numPr>
          <w:ilvl w:val="0"/>
          <w:numId w:val="27"/>
        </w:numPr>
        <w:spacing w:after="240" w:line="240" w:lineRule="auto"/>
        <w:ind w:left="1560" w:right="423" w:hanging="426"/>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14:paraId="4C7BF6B2" w14:textId="77777777" w:rsidR="00F01FB5" w:rsidRDefault="00F01FB5" w:rsidP="00AD7DF6">
      <w:pPr>
        <w:pStyle w:val="ListNumber"/>
        <w:numPr>
          <w:ilvl w:val="0"/>
          <w:numId w:val="0"/>
        </w:numPr>
        <w:spacing w:after="240" w:line="240" w:lineRule="auto"/>
        <w:ind w:left="1134" w:right="423"/>
        <w:rPr>
          <w:b/>
          <w:sz w:val="24"/>
          <w:szCs w:val="24"/>
        </w:rPr>
      </w:pPr>
    </w:p>
    <w:p w14:paraId="5477FBDF" w14:textId="38028AFC" w:rsidR="00F453DB" w:rsidRDefault="006515F3" w:rsidP="007C2EFF">
      <w:pPr>
        <w:pStyle w:val="ListNumber"/>
        <w:numPr>
          <w:ilvl w:val="0"/>
          <w:numId w:val="35"/>
        </w:numPr>
        <w:spacing w:after="240" w:line="240" w:lineRule="auto"/>
        <w:ind w:left="1985" w:right="423" w:hanging="425"/>
        <w:rPr>
          <w:b/>
          <w:sz w:val="24"/>
          <w:szCs w:val="24"/>
        </w:rPr>
      </w:pPr>
      <w:r w:rsidRPr="00F453DB">
        <w:rPr>
          <w:b/>
          <w:sz w:val="24"/>
          <w:szCs w:val="24"/>
        </w:rPr>
        <w:t>Pre-Access</w:t>
      </w:r>
      <w:r w:rsidR="00F453DB" w:rsidRPr="00F453DB">
        <w:rPr>
          <w:b/>
          <w:sz w:val="24"/>
          <w:szCs w:val="24"/>
        </w:rPr>
        <w:t>:</w:t>
      </w:r>
      <w:r w:rsidRPr="00F453DB">
        <w:rPr>
          <w:b/>
          <w:sz w:val="24"/>
          <w:szCs w:val="24"/>
        </w:rPr>
        <w:t xml:space="preserve"> </w:t>
      </w:r>
    </w:p>
    <w:p w14:paraId="549AAC21" w14:textId="77777777" w:rsidR="005E59CB" w:rsidRDefault="005E59CB" w:rsidP="005E59CB">
      <w:pPr>
        <w:pStyle w:val="ListNumber"/>
        <w:numPr>
          <w:ilvl w:val="0"/>
          <w:numId w:val="0"/>
        </w:numPr>
        <w:spacing w:after="240" w:line="240" w:lineRule="auto"/>
        <w:ind w:left="1985" w:right="423"/>
        <w:rPr>
          <w:b/>
          <w:sz w:val="24"/>
          <w:szCs w:val="24"/>
        </w:rPr>
      </w:pPr>
    </w:p>
    <w:p w14:paraId="4AB3EBB2" w14:textId="7536E637" w:rsidR="00F01FB5" w:rsidRPr="006A38E8" w:rsidRDefault="00F01FB5" w:rsidP="007C2EFF">
      <w:pPr>
        <w:pStyle w:val="ListNumber"/>
        <w:numPr>
          <w:ilvl w:val="0"/>
          <w:numId w:val="0"/>
        </w:numPr>
        <w:spacing w:after="240" w:line="240" w:lineRule="auto"/>
        <w:ind w:left="1985" w:right="423"/>
      </w:pPr>
      <w:r w:rsidRPr="006A38E8">
        <w:t>Expand outreach liaison to increase interest and aspirations of potential students and their families through comprehensive access and participation programs and partnerships that provide a sustainable outreach &amp; engagement model for UNE through the delivery of key activities, such as:</w:t>
      </w:r>
    </w:p>
    <w:p w14:paraId="02F6D537" w14:textId="3F5F2434" w:rsidR="006515F3" w:rsidRPr="006A38E8" w:rsidRDefault="00F453DB" w:rsidP="007C2EFF">
      <w:pPr>
        <w:pStyle w:val="ListNumber"/>
        <w:numPr>
          <w:ilvl w:val="0"/>
          <w:numId w:val="34"/>
        </w:numPr>
        <w:spacing w:after="240" w:line="240" w:lineRule="auto"/>
        <w:ind w:left="2268" w:right="423" w:hanging="283"/>
      </w:pPr>
      <w:r w:rsidRPr="006A38E8">
        <w:t>Discovery Voyager</w:t>
      </w:r>
    </w:p>
    <w:p w14:paraId="50DCBD83" w14:textId="5EAC1F91" w:rsidR="00F453DB" w:rsidRPr="006A38E8" w:rsidRDefault="00F453DB" w:rsidP="007C2EFF">
      <w:pPr>
        <w:pStyle w:val="ListNumber"/>
        <w:numPr>
          <w:ilvl w:val="0"/>
          <w:numId w:val="34"/>
        </w:numPr>
        <w:spacing w:after="240" w:line="240" w:lineRule="auto"/>
        <w:ind w:left="2268" w:right="423" w:hanging="283"/>
      </w:pPr>
      <w:r w:rsidRPr="006A38E8">
        <w:t>HSC Booster Days &amp; Science in the Bush</w:t>
      </w:r>
    </w:p>
    <w:p w14:paraId="3FFCC205" w14:textId="2586C866" w:rsidR="00F453DB" w:rsidRPr="006A38E8" w:rsidRDefault="00F453DB" w:rsidP="007C2EFF">
      <w:pPr>
        <w:pStyle w:val="ListNumber"/>
        <w:numPr>
          <w:ilvl w:val="0"/>
          <w:numId w:val="34"/>
        </w:numPr>
        <w:spacing w:after="240" w:line="240" w:lineRule="auto"/>
        <w:ind w:left="2268" w:right="423" w:hanging="283"/>
      </w:pPr>
      <w:r w:rsidRPr="006A38E8">
        <w:t>Far Out Science 2019</w:t>
      </w:r>
    </w:p>
    <w:p w14:paraId="0C43F125" w14:textId="4D9EB686" w:rsidR="00F453DB" w:rsidRPr="006A38E8" w:rsidRDefault="00F453DB" w:rsidP="007C2EFF">
      <w:pPr>
        <w:pStyle w:val="ListNumber"/>
        <w:numPr>
          <w:ilvl w:val="0"/>
          <w:numId w:val="34"/>
        </w:numPr>
        <w:spacing w:after="240" w:line="240" w:lineRule="auto"/>
        <w:ind w:left="2268" w:right="423" w:hanging="283"/>
      </w:pPr>
      <w:r w:rsidRPr="006A38E8">
        <w:t>Careers Fairs and targeted outreach events</w:t>
      </w:r>
    </w:p>
    <w:p w14:paraId="7962EC2B" w14:textId="630B2FFF" w:rsidR="00F453DB" w:rsidRPr="006A38E8" w:rsidRDefault="00F453DB" w:rsidP="007C2EFF">
      <w:pPr>
        <w:pStyle w:val="ListNumber"/>
        <w:numPr>
          <w:ilvl w:val="0"/>
          <w:numId w:val="34"/>
        </w:numPr>
        <w:spacing w:after="240" w:line="240" w:lineRule="auto"/>
        <w:ind w:left="2268" w:right="423" w:hanging="283"/>
      </w:pPr>
      <w:r w:rsidRPr="006A38E8">
        <w:t>Schools and Universities connect</w:t>
      </w:r>
    </w:p>
    <w:p w14:paraId="576AC7E7" w14:textId="77777777" w:rsidR="00F453DB" w:rsidRPr="006A38E8" w:rsidRDefault="00F453DB" w:rsidP="00AD7DF6">
      <w:pPr>
        <w:pStyle w:val="ListNumber"/>
        <w:numPr>
          <w:ilvl w:val="0"/>
          <w:numId w:val="0"/>
        </w:numPr>
        <w:spacing w:after="240" w:line="240" w:lineRule="auto"/>
        <w:ind w:left="1134" w:right="423"/>
        <w:rPr>
          <w:b/>
        </w:rPr>
      </w:pPr>
    </w:p>
    <w:p w14:paraId="625EAFAE" w14:textId="05739760" w:rsidR="00F453DB" w:rsidRDefault="00F453DB" w:rsidP="007C2EFF">
      <w:pPr>
        <w:pStyle w:val="ListNumber"/>
        <w:numPr>
          <w:ilvl w:val="0"/>
          <w:numId w:val="35"/>
        </w:numPr>
        <w:spacing w:after="240" w:line="240" w:lineRule="auto"/>
        <w:ind w:left="1985" w:right="423" w:hanging="425"/>
        <w:rPr>
          <w:b/>
          <w:sz w:val="24"/>
          <w:szCs w:val="24"/>
        </w:rPr>
      </w:pPr>
      <w:r w:rsidRPr="00F453DB">
        <w:rPr>
          <w:b/>
          <w:sz w:val="24"/>
          <w:szCs w:val="24"/>
        </w:rPr>
        <w:t xml:space="preserve">Access: </w:t>
      </w:r>
    </w:p>
    <w:p w14:paraId="3E830163" w14:textId="77777777" w:rsidR="007C2EFF" w:rsidRDefault="007C2EFF" w:rsidP="007C2EFF">
      <w:pPr>
        <w:pStyle w:val="ListNumber"/>
        <w:numPr>
          <w:ilvl w:val="0"/>
          <w:numId w:val="0"/>
        </w:numPr>
        <w:spacing w:after="240" w:line="240" w:lineRule="auto"/>
        <w:ind w:left="1985" w:right="423"/>
        <w:rPr>
          <w:b/>
          <w:sz w:val="24"/>
          <w:szCs w:val="24"/>
        </w:rPr>
      </w:pPr>
    </w:p>
    <w:p w14:paraId="2B0A9824" w14:textId="1E469DCA" w:rsidR="007C2EFF" w:rsidRPr="006A38E8" w:rsidRDefault="009A47F0" w:rsidP="007C2EFF">
      <w:pPr>
        <w:pStyle w:val="ListNumber"/>
        <w:numPr>
          <w:ilvl w:val="0"/>
          <w:numId w:val="0"/>
        </w:numPr>
        <w:spacing w:after="240" w:line="240" w:lineRule="auto"/>
        <w:ind w:left="1985" w:right="423"/>
      </w:pPr>
      <w:r w:rsidRPr="006A38E8">
        <w:t xml:space="preserve">Engagement, pre-entry and admissions activities to advise expectations of university life, provide opportunities to participate in university life and promote inclusion for commencing </w:t>
      </w:r>
      <w:r w:rsidR="006A38E8" w:rsidRPr="006A38E8">
        <w:t xml:space="preserve">and future </w:t>
      </w:r>
      <w:r w:rsidRPr="006A38E8">
        <w:t>students</w:t>
      </w:r>
      <w:r w:rsidR="007C2EFF">
        <w:t>:</w:t>
      </w:r>
    </w:p>
    <w:p w14:paraId="658692DB" w14:textId="4D8B8AF9" w:rsidR="00F453DB" w:rsidRPr="006A38E8" w:rsidRDefault="00F453DB" w:rsidP="007C2EFF">
      <w:pPr>
        <w:pStyle w:val="ListNumber"/>
        <w:numPr>
          <w:ilvl w:val="0"/>
          <w:numId w:val="34"/>
        </w:numPr>
        <w:spacing w:after="240" w:line="240" w:lineRule="auto"/>
        <w:ind w:left="2268" w:right="423" w:hanging="283"/>
      </w:pPr>
      <w:r w:rsidRPr="006A38E8">
        <w:t>SMART Farms Education Program</w:t>
      </w:r>
    </w:p>
    <w:p w14:paraId="76BCCF65" w14:textId="681C5E9F" w:rsidR="00F453DB" w:rsidRPr="006A38E8" w:rsidRDefault="00F453DB" w:rsidP="007C2EFF">
      <w:pPr>
        <w:pStyle w:val="ListNumber"/>
        <w:numPr>
          <w:ilvl w:val="0"/>
          <w:numId w:val="34"/>
        </w:numPr>
        <w:spacing w:after="240" w:line="240" w:lineRule="auto"/>
        <w:ind w:left="2268" w:right="423" w:hanging="283"/>
      </w:pPr>
      <w:r w:rsidRPr="006A38E8">
        <w:t>On Campus programs</w:t>
      </w:r>
    </w:p>
    <w:p w14:paraId="446D4EDA" w14:textId="3911FB3D" w:rsidR="00F453DB" w:rsidRPr="006A38E8" w:rsidRDefault="00F453DB" w:rsidP="007C2EFF">
      <w:pPr>
        <w:pStyle w:val="ListNumber"/>
        <w:numPr>
          <w:ilvl w:val="0"/>
          <w:numId w:val="34"/>
        </w:numPr>
        <w:spacing w:after="240" w:line="240" w:lineRule="auto"/>
        <w:ind w:left="2268" w:right="423" w:hanging="283"/>
      </w:pPr>
      <w:r w:rsidRPr="006A38E8">
        <w:t>Peer Support programs</w:t>
      </w:r>
    </w:p>
    <w:p w14:paraId="1A4E316E" w14:textId="77777777" w:rsidR="00F453DB" w:rsidRPr="006A38E8" w:rsidRDefault="00F453DB" w:rsidP="00AD7DF6">
      <w:pPr>
        <w:pStyle w:val="ListNumber"/>
        <w:numPr>
          <w:ilvl w:val="0"/>
          <w:numId w:val="0"/>
        </w:numPr>
        <w:spacing w:after="240" w:line="240" w:lineRule="auto"/>
        <w:ind w:left="1134" w:right="423"/>
        <w:rPr>
          <w:b/>
        </w:rPr>
      </w:pPr>
    </w:p>
    <w:p w14:paraId="01E037A5" w14:textId="63496AB1" w:rsidR="00F453DB" w:rsidRDefault="00F453DB" w:rsidP="007C2EFF">
      <w:pPr>
        <w:pStyle w:val="ListNumber"/>
        <w:numPr>
          <w:ilvl w:val="0"/>
          <w:numId w:val="35"/>
        </w:numPr>
        <w:spacing w:after="240" w:line="240" w:lineRule="auto"/>
        <w:ind w:left="1985" w:right="423" w:hanging="425"/>
        <w:rPr>
          <w:b/>
          <w:sz w:val="24"/>
          <w:szCs w:val="24"/>
        </w:rPr>
      </w:pPr>
      <w:r w:rsidRPr="00F453DB">
        <w:rPr>
          <w:b/>
          <w:sz w:val="24"/>
          <w:szCs w:val="24"/>
        </w:rPr>
        <w:t>P</w:t>
      </w:r>
      <w:r>
        <w:rPr>
          <w:b/>
          <w:sz w:val="24"/>
          <w:szCs w:val="24"/>
        </w:rPr>
        <w:t>articipation</w:t>
      </w:r>
      <w:r w:rsidRPr="00F453DB">
        <w:rPr>
          <w:b/>
          <w:sz w:val="24"/>
          <w:szCs w:val="24"/>
        </w:rPr>
        <w:t xml:space="preserve">: </w:t>
      </w:r>
    </w:p>
    <w:p w14:paraId="128EF447" w14:textId="77777777" w:rsidR="007C2EFF" w:rsidRDefault="007C2EFF" w:rsidP="007C2EFF">
      <w:pPr>
        <w:pStyle w:val="ListNumber"/>
        <w:numPr>
          <w:ilvl w:val="0"/>
          <w:numId w:val="0"/>
        </w:numPr>
        <w:spacing w:after="240" w:line="240" w:lineRule="auto"/>
        <w:ind w:left="1985" w:right="423"/>
        <w:rPr>
          <w:b/>
          <w:sz w:val="24"/>
          <w:szCs w:val="24"/>
        </w:rPr>
      </w:pPr>
    </w:p>
    <w:p w14:paraId="65FA96C2" w14:textId="690F18D8" w:rsidR="007C2EFF" w:rsidRPr="006A38E8" w:rsidRDefault="009A47F0" w:rsidP="007C2EFF">
      <w:pPr>
        <w:pStyle w:val="ListNumber"/>
        <w:numPr>
          <w:ilvl w:val="0"/>
          <w:numId w:val="0"/>
        </w:numPr>
        <w:spacing w:after="240" w:line="240" w:lineRule="auto"/>
        <w:ind w:left="1985" w:right="423"/>
      </w:pPr>
      <w:r w:rsidRPr="006A38E8">
        <w:t>Provision of a suite of programs that complement existing student services to facilitate transition and progression including student mentoring and support programs. Additional support is provided for students from low SES backgrounds to continue to attend university through the provision of bursaries and scholarships. Key activities include:</w:t>
      </w:r>
    </w:p>
    <w:p w14:paraId="11C35850" w14:textId="19D9568E" w:rsidR="00F453DB" w:rsidRPr="006A38E8" w:rsidRDefault="00F453DB" w:rsidP="007C2EFF">
      <w:pPr>
        <w:pStyle w:val="ListNumber"/>
        <w:numPr>
          <w:ilvl w:val="0"/>
          <w:numId w:val="34"/>
        </w:numPr>
        <w:spacing w:after="240" w:line="240" w:lineRule="auto"/>
        <w:ind w:left="2268" w:right="423" w:hanging="283"/>
      </w:pPr>
      <w:r w:rsidRPr="006A38E8">
        <w:t>Scholarships and Bursaries</w:t>
      </w:r>
    </w:p>
    <w:p w14:paraId="185AAD5D" w14:textId="77777777" w:rsidR="00F01FB5" w:rsidRPr="006A38E8" w:rsidRDefault="00F453DB" w:rsidP="007C2EFF">
      <w:pPr>
        <w:pStyle w:val="ListNumber"/>
        <w:numPr>
          <w:ilvl w:val="0"/>
          <w:numId w:val="34"/>
        </w:numPr>
        <w:spacing w:after="240" w:line="240" w:lineRule="auto"/>
        <w:ind w:left="2268" w:right="423" w:hanging="283"/>
      </w:pPr>
      <w:r w:rsidRPr="006A38E8">
        <w:t>Peer Mentoring and Tutoring</w:t>
      </w:r>
      <w:r w:rsidR="00F01FB5" w:rsidRPr="006A38E8">
        <w:t xml:space="preserve"> programs</w:t>
      </w:r>
    </w:p>
    <w:p w14:paraId="0E1F9E5B" w14:textId="436D1860" w:rsidR="00F453DB" w:rsidRPr="006A38E8" w:rsidRDefault="00F01FB5" w:rsidP="007C2EFF">
      <w:pPr>
        <w:pStyle w:val="ListNumber"/>
        <w:numPr>
          <w:ilvl w:val="0"/>
          <w:numId w:val="34"/>
        </w:numPr>
        <w:spacing w:after="240" w:line="240" w:lineRule="auto"/>
        <w:ind w:left="2268" w:right="423" w:hanging="283"/>
      </w:pPr>
      <w:r w:rsidRPr="006A38E8">
        <w:t>Transition programs and</w:t>
      </w:r>
      <w:r w:rsidR="00F453DB" w:rsidRPr="006A38E8">
        <w:t xml:space="preserve"> workshops</w:t>
      </w:r>
    </w:p>
    <w:p w14:paraId="4B4CE56E" w14:textId="0D5869DE" w:rsidR="00F01FB5" w:rsidRPr="006A38E8" w:rsidRDefault="00F01FB5" w:rsidP="007C2EFF">
      <w:pPr>
        <w:pStyle w:val="ListNumber"/>
        <w:numPr>
          <w:ilvl w:val="0"/>
          <w:numId w:val="34"/>
        </w:numPr>
        <w:spacing w:after="240" w:line="240" w:lineRule="auto"/>
        <w:ind w:left="2268" w:right="423" w:hanging="283"/>
      </w:pPr>
      <w:r w:rsidRPr="006A38E8">
        <w:t>Student Support and Progression programs</w:t>
      </w:r>
    </w:p>
    <w:p w14:paraId="5A0A2D4E" w14:textId="16C650CC" w:rsidR="00AD7DF6" w:rsidRPr="006A38E8" w:rsidRDefault="00AD7DF6" w:rsidP="007C2EFF">
      <w:pPr>
        <w:pStyle w:val="ListNumber"/>
        <w:numPr>
          <w:ilvl w:val="0"/>
          <w:numId w:val="0"/>
        </w:numPr>
        <w:spacing w:after="240" w:line="240" w:lineRule="auto"/>
        <w:ind w:right="423"/>
        <w:rPr>
          <w:rFonts w:ascii="Calibri" w:hAnsi="Calibri"/>
        </w:rPr>
      </w:pPr>
    </w:p>
    <w:p w14:paraId="31359583" w14:textId="3E7561AB" w:rsidR="00F01FB5" w:rsidRDefault="00F01FB5" w:rsidP="007C2EFF">
      <w:pPr>
        <w:pStyle w:val="ListNumber"/>
        <w:numPr>
          <w:ilvl w:val="0"/>
          <w:numId w:val="35"/>
        </w:numPr>
        <w:spacing w:after="240" w:line="240" w:lineRule="auto"/>
        <w:ind w:left="1985" w:right="423" w:hanging="425"/>
        <w:rPr>
          <w:b/>
          <w:sz w:val="24"/>
          <w:szCs w:val="24"/>
        </w:rPr>
      </w:pPr>
      <w:r>
        <w:rPr>
          <w:b/>
          <w:sz w:val="24"/>
          <w:szCs w:val="24"/>
        </w:rPr>
        <w:t>Attainment</w:t>
      </w:r>
      <w:r w:rsidRPr="00F453DB">
        <w:rPr>
          <w:b/>
          <w:sz w:val="24"/>
          <w:szCs w:val="24"/>
        </w:rPr>
        <w:t xml:space="preserve">: </w:t>
      </w:r>
    </w:p>
    <w:p w14:paraId="3830AE32" w14:textId="77777777" w:rsidR="007C2EFF" w:rsidRDefault="007C2EFF" w:rsidP="007C2EFF">
      <w:pPr>
        <w:pStyle w:val="ListNumber"/>
        <w:numPr>
          <w:ilvl w:val="0"/>
          <w:numId w:val="0"/>
        </w:numPr>
        <w:spacing w:after="240" w:line="240" w:lineRule="auto"/>
        <w:ind w:left="1985" w:right="423"/>
        <w:rPr>
          <w:b/>
          <w:sz w:val="24"/>
          <w:szCs w:val="24"/>
        </w:rPr>
      </w:pPr>
    </w:p>
    <w:p w14:paraId="6D993E45" w14:textId="69411FD9" w:rsidR="007C2EFF" w:rsidRPr="006A38E8" w:rsidRDefault="009A47F0" w:rsidP="007C2EFF">
      <w:pPr>
        <w:pStyle w:val="ListNumber"/>
        <w:numPr>
          <w:ilvl w:val="0"/>
          <w:numId w:val="0"/>
        </w:numPr>
        <w:spacing w:after="240" w:line="240" w:lineRule="auto"/>
        <w:ind w:left="1985" w:right="423"/>
      </w:pPr>
      <w:r w:rsidRPr="006A38E8">
        <w:t>Aimed at improving preparation for graduate employment and ensuring learning and graduate outcomes enhance students’ employability skills base.  Key activities include:</w:t>
      </w:r>
    </w:p>
    <w:p w14:paraId="6FB57E9B" w14:textId="582F212C" w:rsidR="00F01FB5" w:rsidRPr="006A38E8" w:rsidRDefault="00F01FB5" w:rsidP="007C2EFF">
      <w:pPr>
        <w:pStyle w:val="ListNumber"/>
        <w:numPr>
          <w:ilvl w:val="0"/>
          <w:numId w:val="34"/>
        </w:numPr>
        <w:spacing w:after="240" w:line="240" w:lineRule="auto"/>
        <w:ind w:left="2268" w:right="423" w:hanging="283"/>
      </w:pPr>
      <w:r w:rsidRPr="006A38E8">
        <w:t>Career and Graduate Employability readiness including collaboration and careers toolkit resources</w:t>
      </w:r>
    </w:p>
    <w:p w14:paraId="20C6ED1B" w14:textId="2A2B6A1D" w:rsidR="00F01FB5" w:rsidRPr="006A38E8" w:rsidRDefault="00F01FB5" w:rsidP="007C2EFF">
      <w:pPr>
        <w:pStyle w:val="ListNumber"/>
        <w:numPr>
          <w:ilvl w:val="0"/>
          <w:numId w:val="34"/>
        </w:numPr>
        <w:spacing w:after="240" w:line="240" w:lineRule="auto"/>
        <w:ind w:left="2268" w:right="423" w:hanging="283"/>
      </w:pPr>
      <w:r w:rsidRPr="006A38E8">
        <w:t>Business and Industry Connections</w:t>
      </w:r>
    </w:p>
    <w:p w14:paraId="0A82F4C3" w14:textId="4DCE482E" w:rsidR="00F01FB5" w:rsidRPr="006A38E8" w:rsidRDefault="00F01FB5" w:rsidP="007C2EFF">
      <w:pPr>
        <w:pStyle w:val="ListNumber"/>
        <w:numPr>
          <w:ilvl w:val="0"/>
          <w:numId w:val="34"/>
        </w:numPr>
        <w:spacing w:after="240" w:line="240" w:lineRule="auto"/>
        <w:ind w:left="2268" w:right="423" w:hanging="283"/>
      </w:pPr>
      <w:r w:rsidRPr="006A38E8">
        <w:t xml:space="preserve">Targeted </w:t>
      </w:r>
      <w:proofErr w:type="spellStart"/>
      <w:r w:rsidRPr="006A38E8">
        <w:t>reSTART</w:t>
      </w:r>
      <w:proofErr w:type="spellEnd"/>
      <w:r w:rsidRPr="006A38E8">
        <w:t xml:space="preserve"> activities</w:t>
      </w:r>
      <w:r w:rsidR="009A47F0" w:rsidRPr="006A38E8">
        <w:t>.</w:t>
      </w:r>
    </w:p>
    <w:p w14:paraId="62D219D3" w14:textId="77777777" w:rsidR="00F01FB5" w:rsidRPr="006A38E8" w:rsidRDefault="00F01FB5" w:rsidP="00AD7DF6">
      <w:pPr>
        <w:pStyle w:val="ListNumber"/>
        <w:numPr>
          <w:ilvl w:val="0"/>
          <w:numId w:val="0"/>
        </w:numPr>
        <w:spacing w:after="240" w:line="240" w:lineRule="auto"/>
        <w:ind w:left="1134" w:right="423" w:hanging="360"/>
        <w:rPr>
          <w:rFonts w:ascii="Calibri" w:hAnsi="Calibri"/>
        </w:rPr>
      </w:pPr>
    </w:p>
    <w:p w14:paraId="1724FF21" w14:textId="77777777" w:rsidR="009A47F0" w:rsidRPr="006A38E8" w:rsidRDefault="009A47F0" w:rsidP="00AD7DF6">
      <w:pPr>
        <w:pStyle w:val="ListNumber"/>
        <w:numPr>
          <w:ilvl w:val="0"/>
          <w:numId w:val="0"/>
        </w:numPr>
        <w:spacing w:after="240" w:line="240" w:lineRule="auto"/>
        <w:ind w:left="1134" w:right="423" w:hanging="360"/>
        <w:rPr>
          <w:rFonts w:ascii="Calibri" w:hAnsi="Calibri"/>
        </w:rPr>
      </w:pPr>
    </w:p>
    <w:p w14:paraId="42A40E7E" w14:textId="4E0497DC" w:rsidR="00E75A27" w:rsidRDefault="00E75A27" w:rsidP="00AD7DF6">
      <w:pPr>
        <w:pStyle w:val="ListNumber"/>
        <w:numPr>
          <w:ilvl w:val="0"/>
          <w:numId w:val="27"/>
        </w:numPr>
        <w:spacing w:after="240" w:line="240" w:lineRule="auto"/>
        <w:ind w:left="1560" w:right="423" w:hanging="426"/>
        <w:rPr>
          <w:sz w:val="24"/>
        </w:rPr>
      </w:pPr>
      <w:r w:rsidRPr="00CB6EC3">
        <w:rPr>
          <w:b/>
          <w:sz w:val="24"/>
        </w:rPr>
        <w:t>Evaluation</w:t>
      </w:r>
      <w:r w:rsidRPr="00CB6EC3">
        <w:rPr>
          <w:sz w:val="24"/>
        </w:rPr>
        <w:t>: how the university plans to evaluate the effectiveness of the equity strategies.</w:t>
      </w:r>
    </w:p>
    <w:p w14:paraId="3016755C" w14:textId="77777777" w:rsidR="006A38E8" w:rsidRDefault="006A38E8" w:rsidP="00AD7DF6">
      <w:pPr>
        <w:pStyle w:val="ListNumber"/>
        <w:numPr>
          <w:ilvl w:val="0"/>
          <w:numId w:val="0"/>
        </w:numPr>
        <w:spacing w:after="240" w:line="240" w:lineRule="auto"/>
        <w:ind w:left="1134" w:right="423"/>
      </w:pPr>
    </w:p>
    <w:p w14:paraId="28B6C568" w14:textId="77777777" w:rsidR="009A47F0" w:rsidRPr="006A38E8" w:rsidRDefault="009A47F0" w:rsidP="007C2EFF">
      <w:pPr>
        <w:pStyle w:val="ListNumber"/>
        <w:numPr>
          <w:ilvl w:val="0"/>
          <w:numId w:val="0"/>
        </w:numPr>
        <w:spacing w:after="240" w:line="240" w:lineRule="auto"/>
        <w:ind w:left="1560" w:right="423"/>
      </w:pPr>
      <w:r w:rsidRPr="006A38E8">
        <w:t>Institutional enrolment and planning data using qualitative and quantitative measurements will be used to quantify progress and to aid in the development of access and participation initiatives.</w:t>
      </w:r>
    </w:p>
    <w:p w14:paraId="015C4E2A" w14:textId="06C00139" w:rsidR="009A47F0" w:rsidRPr="006A38E8" w:rsidRDefault="009A47F0" w:rsidP="007C2EFF">
      <w:pPr>
        <w:pStyle w:val="ListNumber"/>
        <w:numPr>
          <w:ilvl w:val="0"/>
          <w:numId w:val="0"/>
        </w:numPr>
        <w:spacing w:after="240" w:line="240" w:lineRule="auto"/>
        <w:ind w:left="1560" w:right="423"/>
      </w:pPr>
      <w:r w:rsidRPr="006A38E8">
        <w:t>HEPP funded projects will be monitored at defined times, against agreed milestones and evaluative controls.</w:t>
      </w:r>
    </w:p>
    <w:p w14:paraId="2142A186" w14:textId="598F8235" w:rsidR="00395311" w:rsidRDefault="00395311" w:rsidP="00AD7DF6">
      <w:pPr>
        <w:pStyle w:val="ListNumber"/>
        <w:numPr>
          <w:ilvl w:val="0"/>
          <w:numId w:val="0"/>
        </w:numPr>
        <w:spacing w:after="240" w:line="240" w:lineRule="auto"/>
        <w:ind w:left="1134" w:right="423"/>
        <w:rPr>
          <w:sz w:val="24"/>
        </w:rPr>
      </w:pPr>
    </w:p>
    <w:p w14:paraId="0EFBA467" w14:textId="77777777" w:rsidR="009A47F0" w:rsidRPr="00CB6EC3" w:rsidRDefault="009A47F0" w:rsidP="00AD7DF6">
      <w:pPr>
        <w:pStyle w:val="ListNumber"/>
        <w:numPr>
          <w:ilvl w:val="0"/>
          <w:numId w:val="0"/>
        </w:numPr>
        <w:spacing w:after="240" w:line="240" w:lineRule="auto"/>
        <w:ind w:left="1134" w:right="423"/>
        <w:rPr>
          <w:sz w:val="24"/>
        </w:rPr>
      </w:pPr>
    </w:p>
    <w:p w14:paraId="0EAC248C" w14:textId="22133D7F" w:rsidR="00E75A27" w:rsidRDefault="00E75A27" w:rsidP="00AD7DF6">
      <w:pPr>
        <w:pStyle w:val="ListNumber"/>
        <w:numPr>
          <w:ilvl w:val="0"/>
          <w:numId w:val="27"/>
        </w:numPr>
        <w:spacing w:after="240" w:line="240" w:lineRule="auto"/>
        <w:ind w:left="1560" w:right="423" w:hanging="426"/>
        <w:rPr>
          <w:sz w:val="24"/>
        </w:rPr>
      </w:pPr>
      <w:r w:rsidRPr="00CB6EC3">
        <w:rPr>
          <w:b/>
          <w:sz w:val="24"/>
        </w:rPr>
        <w:t>Partnerships and collaboration</w:t>
      </w:r>
      <w:r w:rsidRPr="00CB6EC3">
        <w:rPr>
          <w:sz w:val="24"/>
        </w:rPr>
        <w:t>: who the university will partner and collaborate with and how this will improve equity performance</w:t>
      </w:r>
      <w:r w:rsidR="00B00D12" w:rsidRPr="00CB6EC3">
        <w:rPr>
          <w:sz w:val="24"/>
        </w:rPr>
        <w:t>.</w:t>
      </w:r>
    </w:p>
    <w:p w14:paraId="0A0103C3" w14:textId="77777777" w:rsidR="006A38E8" w:rsidRDefault="006A38E8" w:rsidP="00AD7DF6">
      <w:pPr>
        <w:pStyle w:val="ListNumber"/>
        <w:numPr>
          <w:ilvl w:val="0"/>
          <w:numId w:val="0"/>
        </w:numPr>
        <w:spacing w:after="240" w:line="240" w:lineRule="auto"/>
        <w:ind w:left="1134" w:right="423"/>
      </w:pPr>
    </w:p>
    <w:p w14:paraId="66DEBBD6" w14:textId="3558A909" w:rsidR="009A47F0" w:rsidRPr="006A38E8" w:rsidRDefault="009A47F0" w:rsidP="007C2EFF">
      <w:pPr>
        <w:pStyle w:val="ListNumber"/>
        <w:numPr>
          <w:ilvl w:val="0"/>
          <w:numId w:val="0"/>
        </w:numPr>
        <w:spacing w:after="240" w:line="240" w:lineRule="auto"/>
        <w:ind w:left="1560" w:right="423"/>
      </w:pPr>
      <w:r w:rsidRPr="006A38E8">
        <w:t>The University of New England is a partner in the RUN network and will continue to work with regional universities to foster a broad coverage of regional issues.  The University will continue its work with schools, and community groups in the New England/North West of NSW, Hunter Valley, Central Coast and North Coast of NSW in delivering programs to improve the access and participation in Higher Education of students in equity groups.  Opportunities with industry will continue to be pursued.</w:t>
      </w:r>
    </w:p>
    <w:p w14:paraId="763B665B" w14:textId="32376386" w:rsidR="009C0EA3" w:rsidRDefault="009C0EA3">
      <w:pPr>
        <w:rPr>
          <w:rFonts w:ascii="Calibri" w:eastAsiaTheme="majorEastAsia" w:hAnsi="Calibri" w:cstheme="majorBidi"/>
          <w:b/>
          <w:bCs/>
        </w:rPr>
      </w:pPr>
    </w:p>
    <w:sectPr w:rsidR="009C0EA3" w:rsidSect="007C2EFF">
      <w:headerReference w:type="default" r:id="rId11"/>
      <w:footerReference w:type="default" r:id="rId12"/>
      <w:headerReference w:type="first" r:id="rId13"/>
      <w:pgSz w:w="11906" w:h="16838"/>
      <w:pgMar w:top="1440" w:right="851" w:bottom="568" w:left="28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A5FF1" w14:textId="77777777" w:rsidR="00F65393" w:rsidRDefault="00F65393" w:rsidP="00130923">
      <w:pPr>
        <w:spacing w:after="0" w:line="240" w:lineRule="auto"/>
      </w:pPr>
      <w:r>
        <w:separator/>
      </w:r>
    </w:p>
  </w:endnote>
  <w:endnote w:type="continuationSeparator" w:id="0">
    <w:p w14:paraId="1C163DF3" w14:textId="77777777" w:rsidR="00F65393" w:rsidRDefault="00F6539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2F68ADC4" w:rsidR="00152D18" w:rsidRDefault="005E59CB" w:rsidP="00A73406">
    <w:pPr>
      <w:pStyle w:val="Footer"/>
      <w:tabs>
        <w:tab w:val="clear" w:pos="9026"/>
        <w:tab w:val="right" w:pos="8647"/>
      </w:tabs>
      <w:ind w:firstLine="720"/>
      <w:jc w:val="right"/>
    </w:pPr>
    <w:sdt>
      <w:sdtPr>
        <w:id w:val="450374262"/>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Pr>
            <w:noProof/>
          </w:rPr>
          <w:t>2</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30340" w14:textId="77777777" w:rsidR="00F65393" w:rsidRDefault="00F65393" w:rsidP="00130923">
      <w:pPr>
        <w:spacing w:after="0" w:line="240" w:lineRule="auto"/>
      </w:pPr>
      <w:r>
        <w:separator/>
      </w:r>
    </w:p>
  </w:footnote>
  <w:footnote w:type="continuationSeparator" w:id="0">
    <w:p w14:paraId="385F6564" w14:textId="77777777" w:rsidR="00F65393" w:rsidRDefault="00F6539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23BC8491" w:rsidR="00152D18" w:rsidRDefault="00152D18" w:rsidP="00AD7DF6">
    <w:pPr>
      <w:pStyle w:val="Header"/>
      <w:spacing w:after="480"/>
      <w:ind w:right="423"/>
      <w:jc w:val="right"/>
    </w:pPr>
    <w:r>
      <w:t>Ac</w:t>
    </w:r>
    <w:r w:rsidR="008E5AC8">
      <w:t>cess and Participation Plan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C9C0" w14:textId="77777777" w:rsidR="00AD7DF6" w:rsidRDefault="00AD7DF6" w:rsidP="00AD7DF6">
    <w:pPr>
      <w:pStyle w:val="Header"/>
      <w:spacing w:after="480"/>
      <w:ind w:right="423"/>
      <w:jc w:val="right"/>
    </w:pPr>
    <w:r>
      <w:tab/>
      <w:t>Access and Participation Plan 2019</w:t>
    </w:r>
  </w:p>
  <w:p w14:paraId="394828CE" w14:textId="466FD79A" w:rsidR="00AD7DF6" w:rsidRDefault="00AD7DF6" w:rsidP="00AD7DF6">
    <w:pPr>
      <w:pStyle w:val="Header"/>
      <w:tabs>
        <w:tab w:val="clear" w:pos="4513"/>
        <w:tab w:val="clear" w:pos="9026"/>
        <w:tab w:val="left" w:pos="87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4F96F24"/>
    <w:multiLevelType w:val="hybridMultilevel"/>
    <w:tmpl w:val="B34E5FA2"/>
    <w:lvl w:ilvl="0" w:tplc="E98A155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08711E"/>
    <w:multiLevelType w:val="hybridMultilevel"/>
    <w:tmpl w:val="15CA63A8"/>
    <w:lvl w:ilvl="0" w:tplc="0C090009">
      <w:start w:val="1"/>
      <w:numFmt w:val="bullet"/>
      <w:lvlText w:val=""/>
      <w:lvlJc w:val="left"/>
      <w:pPr>
        <w:ind w:left="1495"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9"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13E583D"/>
    <w:multiLevelType w:val="hybridMultilevel"/>
    <w:tmpl w:val="BC06E0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4FD251C"/>
    <w:multiLevelType w:val="hybridMultilevel"/>
    <w:tmpl w:val="2A789776"/>
    <w:lvl w:ilvl="0" w:tplc="E98A155C">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4"/>
  </w:num>
  <w:num w:numId="15">
    <w:abstractNumId w:val="12"/>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19"/>
  </w:num>
  <w:num w:numId="22">
    <w:abstractNumId w:val="21"/>
  </w:num>
  <w:num w:numId="23">
    <w:abstractNumId w:val="15"/>
  </w:num>
  <w:num w:numId="24">
    <w:abstractNumId w:val="18"/>
  </w:num>
  <w:num w:numId="25">
    <w:abstractNumId w:val="15"/>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3"/>
  </w:num>
  <w:num w:numId="31">
    <w:abstractNumId w:val="26"/>
  </w:num>
  <w:num w:numId="32">
    <w:abstractNumId w:val="9"/>
  </w:num>
  <w:num w:numId="33">
    <w:abstractNumId w:val="20"/>
  </w:num>
  <w:num w:numId="34">
    <w:abstractNumId w:val="17"/>
  </w:num>
  <w:num w:numId="35">
    <w:abstractNumId w:val="22"/>
  </w:num>
  <w:num w:numId="36">
    <w:abstractNumId w:val="15"/>
  </w:num>
  <w:num w:numId="37">
    <w:abstractNumId w:val="15"/>
  </w:num>
  <w:num w:numId="38">
    <w:abstractNumId w:val="15"/>
  </w:num>
  <w:num w:numId="39">
    <w:abstractNumId w:val="15"/>
  </w:num>
  <w:num w:numId="40">
    <w:abstractNumId w:val="1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10CA9"/>
    <w:rsid w:val="00024E24"/>
    <w:rsid w:val="0003145C"/>
    <w:rsid w:val="00034EAA"/>
    <w:rsid w:val="000861A6"/>
    <w:rsid w:val="000D7FD3"/>
    <w:rsid w:val="000E7E7B"/>
    <w:rsid w:val="000F3BA2"/>
    <w:rsid w:val="00103F8C"/>
    <w:rsid w:val="001175BF"/>
    <w:rsid w:val="00130923"/>
    <w:rsid w:val="00132B66"/>
    <w:rsid w:val="001414F3"/>
    <w:rsid w:val="00143FCD"/>
    <w:rsid w:val="00152D18"/>
    <w:rsid w:val="001A495D"/>
    <w:rsid w:val="001B6467"/>
    <w:rsid w:val="001C48A7"/>
    <w:rsid w:val="00205914"/>
    <w:rsid w:val="002076E6"/>
    <w:rsid w:val="00222463"/>
    <w:rsid w:val="00223EB1"/>
    <w:rsid w:val="00236917"/>
    <w:rsid w:val="00241465"/>
    <w:rsid w:val="00243D6B"/>
    <w:rsid w:val="0026793C"/>
    <w:rsid w:val="002758D7"/>
    <w:rsid w:val="00276954"/>
    <w:rsid w:val="00280EBE"/>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723BB"/>
    <w:rsid w:val="003753C7"/>
    <w:rsid w:val="00376582"/>
    <w:rsid w:val="0038467B"/>
    <w:rsid w:val="00395311"/>
    <w:rsid w:val="003979FC"/>
    <w:rsid w:val="003D5230"/>
    <w:rsid w:val="003D67FC"/>
    <w:rsid w:val="00406E5A"/>
    <w:rsid w:val="004142A1"/>
    <w:rsid w:val="0041715E"/>
    <w:rsid w:val="0042619D"/>
    <w:rsid w:val="00437D70"/>
    <w:rsid w:val="00443110"/>
    <w:rsid w:val="00455B34"/>
    <w:rsid w:val="00481F02"/>
    <w:rsid w:val="00484F48"/>
    <w:rsid w:val="0048762C"/>
    <w:rsid w:val="004B256F"/>
    <w:rsid w:val="004F15A7"/>
    <w:rsid w:val="005113B6"/>
    <w:rsid w:val="00531817"/>
    <w:rsid w:val="00547932"/>
    <w:rsid w:val="00560C98"/>
    <w:rsid w:val="00560CA0"/>
    <w:rsid w:val="005624F3"/>
    <w:rsid w:val="005811EF"/>
    <w:rsid w:val="00585156"/>
    <w:rsid w:val="005B0878"/>
    <w:rsid w:val="005B66CA"/>
    <w:rsid w:val="005C15C0"/>
    <w:rsid w:val="005D6868"/>
    <w:rsid w:val="005E59CB"/>
    <w:rsid w:val="00610654"/>
    <w:rsid w:val="0062410D"/>
    <w:rsid w:val="006318B9"/>
    <w:rsid w:val="006515F3"/>
    <w:rsid w:val="0067026C"/>
    <w:rsid w:val="006A38E8"/>
    <w:rsid w:val="006E2D49"/>
    <w:rsid w:val="00712BE3"/>
    <w:rsid w:val="007468FC"/>
    <w:rsid w:val="00782F1B"/>
    <w:rsid w:val="00792CA3"/>
    <w:rsid w:val="007B2FDD"/>
    <w:rsid w:val="007C2EFF"/>
    <w:rsid w:val="007D58FB"/>
    <w:rsid w:val="007E0574"/>
    <w:rsid w:val="007E14AF"/>
    <w:rsid w:val="008163BB"/>
    <w:rsid w:val="00832FB2"/>
    <w:rsid w:val="0083468A"/>
    <w:rsid w:val="00837827"/>
    <w:rsid w:val="00842D43"/>
    <w:rsid w:val="00845040"/>
    <w:rsid w:val="00856D1C"/>
    <w:rsid w:val="00876AC0"/>
    <w:rsid w:val="008E5219"/>
    <w:rsid w:val="008E5AC8"/>
    <w:rsid w:val="008E773B"/>
    <w:rsid w:val="00903408"/>
    <w:rsid w:val="00905AD9"/>
    <w:rsid w:val="009116EA"/>
    <w:rsid w:val="009227F1"/>
    <w:rsid w:val="00931E30"/>
    <w:rsid w:val="00933671"/>
    <w:rsid w:val="00971D09"/>
    <w:rsid w:val="00972BF7"/>
    <w:rsid w:val="00972DD5"/>
    <w:rsid w:val="00984879"/>
    <w:rsid w:val="00985632"/>
    <w:rsid w:val="00991B63"/>
    <w:rsid w:val="009A47F0"/>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77274"/>
    <w:rsid w:val="00AA464D"/>
    <w:rsid w:val="00AB2766"/>
    <w:rsid w:val="00AC10B4"/>
    <w:rsid w:val="00AC65DA"/>
    <w:rsid w:val="00AD09E4"/>
    <w:rsid w:val="00AD5D0A"/>
    <w:rsid w:val="00AD7DF6"/>
    <w:rsid w:val="00AF1737"/>
    <w:rsid w:val="00AF62C5"/>
    <w:rsid w:val="00B00D12"/>
    <w:rsid w:val="00B2722A"/>
    <w:rsid w:val="00B4243F"/>
    <w:rsid w:val="00B4447B"/>
    <w:rsid w:val="00B60E3A"/>
    <w:rsid w:val="00B618BA"/>
    <w:rsid w:val="00B61FB4"/>
    <w:rsid w:val="00B82137"/>
    <w:rsid w:val="00B82328"/>
    <w:rsid w:val="00B95503"/>
    <w:rsid w:val="00BA282D"/>
    <w:rsid w:val="00BA4D57"/>
    <w:rsid w:val="00BB6260"/>
    <w:rsid w:val="00BB73DF"/>
    <w:rsid w:val="00BC6AAD"/>
    <w:rsid w:val="00BD44BE"/>
    <w:rsid w:val="00BE4F09"/>
    <w:rsid w:val="00BF6463"/>
    <w:rsid w:val="00C03C81"/>
    <w:rsid w:val="00C05E74"/>
    <w:rsid w:val="00C10C19"/>
    <w:rsid w:val="00C143B8"/>
    <w:rsid w:val="00C17D02"/>
    <w:rsid w:val="00C2348C"/>
    <w:rsid w:val="00C33682"/>
    <w:rsid w:val="00C52261"/>
    <w:rsid w:val="00C5649C"/>
    <w:rsid w:val="00C66021"/>
    <w:rsid w:val="00C75486"/>
    <w:rsid w:val="00C7781E"/>
    <w:rsid w:val="00C8202C"/>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5F75"/>
    <w:rsid w:val="00DF46C4"/>
    <w:rsid w:val="00DF4CA3"/>
    <w:rsid w:val="00E02515"/>
    <w:rsid w:val="00E12873"/>
    <w:rsid w:val="00E14CDD"/>
    <w:rsid w:val="00E15C96"/>
    <w:rsid w:val="00E1604B"/>
    <w:rsid w:val="00E2102F"/>
    <w:rsid w:val="00E75A27"/>
    <w:rsid w:val="00E763A6"/>
    <w:rsid w:val="00EC78E7"/>
    <w:rsid w:val="00ED43D2"/>
    <w:rsid w:val="00EE3B8C"/>
    <w:rsid w:val="00EF25D6"/>
    <w:rsid w:val="00EF4A38"/>
    <w:rsid w:val="00EF5845"/>
    <w:rsid w:val="00F01FB5"/>
    <w:rsid w:val="00F11B8F"/>
    <w:rsid w:val="00F21BBD"/>
    <w:rsid w:val="00F35716"/>
    <w:rsid w:val="00F379D0"/>
    <w:rsid w:val="00F41D52"/>
    <w:rsid w:val="00F453DB"/>
    <w:rsid w:val="00F47193"/>
    <w:rsid w:val="00F501B4"/>
    <w:rsid w:val="00F65393"/>
    <w:rsid w:val="00F74011"/>
    <w:rsid w:val="00F758CD"/>
    <w:rsid w:val="00F76175"/>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schemas.microsoft.com/office/2006/metadata/properties"/>
    <ds:schemaRef ds:uri="http://schemas.microsoft.com/office/infopath/2007/PartnerControls"/>
    <ds:schemaRef ds:uri="c5a0bbd5-585e-4472-9791-5df67fe41a90"/>
    <ds:schemaRef ds:uri="http://schemas.microsoft.com/sharepoint/v3"/>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8C5CFD38-7AB0-4DA6-AD8B-EC7B0957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4033BE39.dotm</Template>
  <TotalTime>9</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FEDERICI,Steven</cp:lastModifiedBy>
  <cp:revision>6</cp:revision>
  <cp:lastPrinted>2019-03-07T03:57:00Z</cp:lastPrinted>
  <dcterms:created xsi:type="dcterms:W3CDTF">2019-03-27T21:12:00Z</dcterms:created>
  <dcterms:modified xsi:type="dcterms:W3CDTF">2019-05-14T00:37:00Z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