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557E3" w14:textId="1DB4A700" w:rsidR="00AB2766" w:rsidRPr="00AB2766" w:rsidRDefault="00AB2766" w:rsidP="00436F45">
      <w:pPr>
        <w:ind w:left="709" w:right="565"/>
        <w:rPr>
          <w:sz w:val="28"/>
          <w:szCs w:val="26"/>
        </w:rPr>
      </w:pPr>
      <w:bookmarkStart w:id="0" w:name="_GoBack"/>
      <w:bookmarkEnd w:id="0"/>
      <w:r w:rsidRPr="00AB2766">
        <w:rPr>
          <w:sz w:val="28"/>
          <w:szCs w:val="26"/>
        </w:rPr>
        <w:t>Appendix A</w:t>
      </w:r>
    </w:p>
    <w:p w14:paraId="6882F7A7" w14:textId="4242C7A3" w:rsidR="00E75A27" w:rsidRDefault="00E75A27" w:rsidP="00436F45">
      <w:pPr>
        <w:pStyle w:val="Heading1"/>
        <w:ind w:left="709" w:right="565"/>
      </w:pPr>
      <w:r w:rsidRPr="00E75A27">
        <w:t>AC</w:t>
      </w:r>
      <w:r w:rsidR="00837827">
        <w:t>CESS AND PARTICIPATION PLAN 2019</w:t>
      </w:r>
    </w:p>
    <w:p w14:paraId="690E4489" w14:textId="43D8E64F" w:rsidR="00E75A27" w:rsidRPr="000D5DE6" w:rsidRDefault="005428ED" w:rsidP="00436F45">
      <w:pPr>
        <w:pStyle w:val="Heading2"/>
        <w:ind w:left="709" w:right="565"/>
        <w:rPr>
          <w:sz w:val="24"/>
        </w:rPr>
      </w:pPr>
      <w:r w:rsidRPr="001D7954">
        <w:rPr>
          <w:sz w:val="24"/>
        </w:rPr>
        <w:t>The Australian National University</w:t>
      </w:r>
    </w:p>
    <w:p w14:paraId="2D36270A" w14:textId="179A2B1F" w:rsidR="00395311" w:rsidRPr="001D7954" w:rsidRDefault="0044201B" w:rsidP="00436F45">
      <w:pPr>
        <w:pStyle w:val="ListNumber"/>
        <w:numPr>
          <w:ilvl w:val="0"/>
          <w:numId w:val="0"/>
        </w:numPr>
        <w:spacing w:after="0" w:line="240" w:lineRule="auto"/>
        <w:ind w:left="709" w:right="565"/>
        <w:rPr>
          <w:i/>
          <w:sz w:val="20"/>
          <w:szCs w:val="20"/>
        </w:rPr>
      </w:pPr>
      <w:r w:rsidRPr="001D7954">
        <w:rPr>
          <w:i/>
          <w:sz w:val="20"/>
          <w:szCs w:val="20"/>
        </w:rPr>
        <w:t>The Australian National University stands for equity in all that</w:t>
      </w:r>
      <w:r w:rsidR="000C1B07" w:rsidRPr="001D7954">
        <w:rPr>
          <w:i/>
          <w:sz w:val="20"/>
          <w:szCs w:val="20"/>
        </w:rPr>
        <w:t xml:space="preserve"> we do, and we will reflect the </w:t>
      </w:r>
      <w:r w:rsidRPr="001D7954">
        <w:rPr>
          <w:i/>
          <w:sz w:val="20"/>
          <w:szCs w:val="20"/>
        </w:rPr>
        <w:t xml:space="preserve">extraordinary and increasing diversity of the Australia we serve. Talent – realised or potential – will be the only threshold for joining our community as a student or staff member. The national university will work with communities across Australia to address the widespread legacies of inequality of opportunity through both education and research. Our low-SES students achieve great outcomes, but only four per cent of students at ANU are from disadvantaged backgrounds. We will increase the opportunities for students from all walks of Australian life to attend the national university, focusing on their potential to thrive at ANU and to contribute to society upon graduation. </w:t>
      </w:r>
    </w:p>
    <w:p w14:paraId="21E1B385" w14:textId="49CC3FCF" w:rsidR="0044201B" w:rsidRDefault="0044201B" w:rsidP="00436F45">
      <w:pPr>
        <w:pStyle w:val="ListNumber"/>
        <w:numPr>
          <w:ilvl w:val="0"/>
          <w:numId w:val="0"/>
        </w:numPr>
        <w:spacing w:after="0" w:line="240" w:lineRule="auto"/>
        <w:ind w:left="709" w:right="565"/>
        <w:rPr>
          <w:i/>
          <w:sz w:val="20"/>
          <w:szCs w:val="20"/>
        </w:rPr>
      </w:pPr>
    </w:p>
    <w:p w14:paraId="3BB8B42D" w14:textId="77777777" w:rsidR="00436F45" w:rsidRPr="001D7954" w:rsidRDefault="00436F45" w:rsidP="00436F45">
      <w:pPr>
        <w:pStyle w:val="ListNumber"/>
        <w:numPr>
          <w:ilvl w:val="0"/>
          <w:numId w:val="0"/>
        </w:numPr>
        <w:spacing w:after="0" w:line="240" w:lineRule="auto"/>
        <w:ind w:left="709" w:right="565"/>
        <w:rPr>
          <w:i/>
          <w:sz w:val="20"/>
          <w:szCs w:val="20"/>
        </w:rPr>
      </w:pPr>
    </w:p>
    <w:p w14:paraId="186F897B" w14:textId="73606D4B" w:rsidR="00395311" w:rsidRPr="001D7954" w:rsidRDefault="001D7954" w:rsidP="00436F45">
      <w:pPr>
        <w:pStyle w:val="ListNumber"/>
        <w:numPr>
          <w:ilvl w:val="0"/>
          <w:numId w:val="0"/>
        </w:numPr>
        <w:spacing w:after="240" w:line="240" w:lineRule="auto"/>
        <w:ind w:left="709" w:right="565"/>
        <w:rPr>
          <w:sz w:val="20"/>
          <w:szCs w:val="20"/>
        </w:rPr>
      </w:pPr>
      <w:r w:rsidRPr="001D7954">
        <w:rPr>
          <w:b/>
          <w:sz w:val="20"/>
          <w:szCs w:val="20"/>
        </w:rPr>
        <w:t>Activities and programs:</w:t>
      </w:r>
      <w:r w:rsidRPr="001D7954">
        <w:rPr>
          <w:sz w:val="20"/>
          <w:szCs w:val="20"/>
        </w:rPr>
        <w:t xml:space="preserve"> </w:t>
      </w:r>
      <w:r w:rsidR="007E7532">
        <w:rPr>
          <w:sz w:val="20"/>
          <w:szCs w:val="20"/>
        </w:rPr>
        <w:t xml:space="preserve">The following </w:t>
      </w:r>
      <w:proofErr w:type="gramStart"/>
      <w:r w:rsidR="007E7532">
        <w:rPr>
          <w:sz w:val="20"/>
          <w:szCs w:val="20"/>
        </w:rPr>
        <w:t>provides</w:t>
      </w:r>
      <w:proofErr w:type="gramEnd"/>
      <w:r w:rsidR="007E7532">
        <w:rPr>
          <w:sz w:val="20"/>
          <w:szCs w:val="20"/>
        </w:rPr>
        <w:t xml:space="preserve"> a comprehensive set of key activities across the student lifecycle.                       </w:t>
      </w:r>
    </w:p>
    <w:p w14:paraId="0C3788E2" w14:textId="5FBAA831" w:rsidR="000C1B07" w:rsidRDefault="000C1B07" w:rsidP="00436F45">
      <w:pPr>
        <w:pStyle w:val="ListNumber"/>
        <w:numPr>
          <w:ilvl w:val="0"/>
          <w:numId w:val="0"/>
        </w:numPr>
        <w:spacing w:after="240" w:line="240" w:lineRule="auto"/>
        <w:ind w:left="709" w:right="565"/>
        <w:rPr>
          <w:sz w:val="24"/>
          <w:szCs w:val="24"/>
        </w:rPr>
      </w:pPr>
    </w:p>
    <w:p w14:paraId="16D346C1" w14:textId="77777777" w:rsidR="00436F45" w:rsidRDefault="00436F45" w:rsidP="00436F45">
      <w:pPr>
        <w:pStyle w:val="ListNumber"/>
        <w:numPr>
          <w:ilvl w:val="0"/>
          <w:numId w:val="0"/>
        </w:numPr>
        <w:spacing w:after="240" w:line="240" w:lineRule="auto"/>
        <w:ind w:left="709" w:right="565"/>
        <w:rPr>
          <w:sz w:val="24"/>
          <w:szCs w:val="24"/>
        </w:rPr>
      </w:pPr>
    </w:p>
    <w:p w14:paraId="3A073154" w14:textId="0AC96064" w:rsidR="007E7532" w:rsidRPr="007E7532" w:rsidRDefault="007E7532" w:rsidP="00436F45">
      <w:pPr>
        <w:pStyle w:val="ListNumber"/>
        <w:numPr>
          <w:ilvl w:val="0"/>
          <w:numId w:val="0"/>
        </w:numPr>
        <w:spacing w:after="240" w:line="240" w:lineRule="auto"/>
        <w:ind w:left="709" w:right="565"/>
        <w:rPr>
          <w:sz w:val="20"/>
          <w:szCs w:val="20"/>
        </w:rPr>
      </w:pPr>
      <w:r w:rsidRPr="007E7532">
        <w:rPr>
          <w:b/>
          <w:sz w:val="20"/>
          <w:szCs w:val="20"/>
        </w:rPr>
        <w:t>Key performance indicators:</w:t>
      </w:r>
      <w:r w:rsidRPr="007E7532">
        <w:rPr>
          <w:sz w:val="20"/>
          <w:szCs w:val="20"/>
        </w:rPr>
        <w:t xml:space="preserve">  KPIs for this plan are to increase the:</w:t>
      </w:r>
    </w:p>
    <w:p w14:paraId="77E075B6" w14:textId="2FBDBF14" w:rsidR="007E7532" w:rsidRPr="007E7532" w:rsidRDefault="002442FA" w:rsidP="00436F45">
      <w:pPr>
        <w:pStyle w:val="ListNumber"/>
        <w:numPr>
          <w:ilvl w:val="0"/>
          <w:numId w:val="37"/>
        </w:numPr>
        <w:spacing w:after="240" w:line="240" w:lineRule="auto"/>
        <w:ind w:left="1134" w:right="565"/>
        <w:rPr>
          <w:sz w:val="20"/>
          <w:szCs w:val="20"/>
        </w:rPr>
      </w:pPr>
      <w:r>
        <w:rPr>
          <w:sz w:val="20"/>
          <w:szCs w:val="20"/>
        </w:rPr>
        <w:t>N</w:t>
      </w:r>
      <w:r w:rsidR="007E7532" w:rsidRPr="007E7532">
        <w:rPr>
          <w:sz w:val="20"/>
          <w:szCs w:val="20"/>
        </w:rPr>
        <w:t>umber of domestic undergraduate students from low SES backgrounds as a percentage of the total domestic undergraduate student cohort.</w:t>
      </w:r>
    </w:p>
    <w:p w14:paraId="70940E13" w14:textId="42967468" w:rsidR="007E7532" w:rsidRPr="007E7532" w:rsidRDefault="007E7532" w:rsidP="00436F45">
      <w:pPr>
        <w:pStyle w:val="ListNumber"/>
        <w:numPr>
          <w:ilvl w:val="0"/>
          <w:numId w:val="37"/>
        </w:numPr>
        <w:spacing w:after="240" w:line="240" w:lineRule="auto"/>
        <w:ind w:left="1134" w:right="565"/>
        <w:rPr>
          <w:sz w:val="20"/>
          <w:szCs w:val="20"/>
        </w:rPr>
      </w:pPr>
      <w:r w:rsidRPr="007E7532">
        <w:rPr>
          <w:sz w:val="20"/>
          <w:szCs w:val="20"/>
        </w:rPr>
        <w:t>Retention rate of domestic undergraduate students from low SES backgrounds.</w:t>
      </w:r>
    </w:p>
    <w:p w14:paraId="66A7401C" w14:textId="573E0064" w:rsidR="007E7532" w:rsidRDefault="007E7532" w:rsidP="00436F45">
      <w:pPr>
        <w:pStyle w:val="ListNumber"/>
        <w:numPr>
          <w:ilvl w:val="0"/>
          <w:numId w:val="37"/>
        </w:numPr>
        <w:spacing w:after="240" w:line="240" w:lineRule="auto"/>
        <w:ind w:left="1134" w:right="565"/>
        <w:rPr>
          <w:sz w:val="20"/>
          <w:szCs w:val="20"/>
        </w:rPr>
      </w:pPr>
      <w:r w:rsidRPr="007E7532">
        <w:rPr>
          <w:sz w:val="20"/>
          <w:szCs w:val="20"/>
        </w:rPr>
        <w:t>Number of domestic undergraduate completions from low SES backgrounds.</w:t>
      </w:r>
    </w:p>
    <w:p w14:paraId="00A1E336" w14:textId="58E9115E" w:rsidR="00436F45" w:rsidRDefault="00436F45" w:rsidP="00436F45">
      <w:pPr>
        <w:pStyle w:val="ListNumber"/>
        <w:numPr>
          <w:ilvl w:val="0"/>
          <w:numId w:val="0"/>
        </w:numPr>
        <w:tabs>
          <w:tab w:val="left" w:pos="1134"/>
        </w:tabs>
        <w:spacing w:after="240" w:line="240" w:lineRule="auto"/>
        <w:ind w:left="1134" w:right="565"/>
        <w:rPr>
          <w:sz w:val="20"/>
          <w:szCs w:val="20"/>
        </w:rPr>
      </w:pPr>
    </w:p>
    <w:p w14:paraId="004C2921" w14:textId="77777777" w:rsidR="00436F45" w:rsidRPr="00581353" w:rsidRDefault="00436F45" w:rsidP="00436F45">
      <w:pPr>
        <w:pStyle w:val="ListNumber"/>
        <w:numPr>
          <w:ilvl w:val="0"/>
          <w:numId w:val="0"/>
        </w:numPr>
        <w:tabs>
          <w:tab w:val="left" w:pos="1134"/>
        </w:tabs>
        <w:spacing w:after="240" w:line="240" w:lineRule="auto"/>
        <w:ind w:left="1134" w:right="565"/>
        <w:rPr>
          <w:sz w:val="20"/>
          <w:szCs w:val="20"/>
        </w:rPr>
      </w:pPr>
    </w:p>
    <w:tbl>
      <w:tblPr>
        <w:tblStyle w:val="TableGrid"/>
        <w:tblW w:w="9781" w:type="dxa"/>
        <w:tblInd w:w="704" w:type="dxa"/>
        <w:tblLook w:val="04A0" w:firstRow="1" w:lastRow="0" w:firstColumn="1" w:lastColumn="0" w:noHBand="0" w:noVBand="1"/>
      </w:tblPr>
      <w:tblGrid>
        <w:gridCol w:w="2319"/>
        <w:gridCol w:w="2622"/>
        <w:gridCol w:w="2558"/>
        <w:gridCol w:w="2558"/>
      </w:tblGrid>
      <w:tr w:rsidR="00581353" w14:paraId="381E49CB" w14:textId="77777777" w:rsidTr="00436F45">
        <w:trPr>
          <w:trHeight w:val="246"/>
        </w:trPr>
        <w:tc>
          <w:tcPr>
            <w:tcW w:w="2319" w:type="dxa"/>
          </w:tcPr>
          <w:p w14:paraId="3B800479" w14:textId="428AFEB4" w:rsidR="000C1B07" w:rsidRPr="000D5DE6" w:rsidRDefault="000C1B07" w:rsidP="00436F45">
            <w:pPr>
              <w:pStyle w:val="ListNumber"/>
              <w:numPr>
                <w:ilvl w:val="0"/>
                <w:numId w:val="0"/>
              </w:numPr>
              <w:spacing w:after="0"/>
              <w:ind w:left="709" w:right="565"/>
              <w:rPr>
                <w:b/>
                <w:sz w:val="20"/>
                <w:szCs w:val="20"/>
              </w:rPr>
            </w:pPr>
            <w:r w:rsidRPr="000D5DE6">
              <w:rPr>
                <w:b/>
                <w:sz w:val="20"/>
                <w:szCs w:val="20"/>
              </w:rPr>
              <w:t>Lifecycle Phase</w:t>
            </w:r>
          </w:p>
        </w:tc>
        <w:tc>
          <w:tcPr>
            <w:tcW w:w="2622" w:type="dxa"/>
          </w:tcPr>
          <w:p w14:paraId="3938756B" w14:textId="721EE681" w:rsidR="000C1B07" w:rsidRPr="000D5DE6" w:rsidRDefault="000C1B07" w:rsidP="00436F45">
            <w:pPr>
              <w:pStyle w:val="ListNumber"/>
              <w:numPr>
                <w:ilvl w:val="0"/>
                <w:numId w:val="0"/>
              </w:numPr>
              <w:spacing w:after="0"/>
              <w:ind w:left="709" w:right="565"/>
              <w:rPr>
                <w:b/>
                <w:sz w:val="20"/>
                <w:szCs w:val="20"/>
              </w:rPr>
            </w:pPr>
            <w:r w:rsidRPr="000D5DE6">
              <w:rPr>
                <w:b/>
                <w:sz w:val="20"/>
                <w:szCs w:val="20"/>
              </w:rPr>
              <w:t>Activity</w:t>
            </w:r>
          </w:p>
        </w:tc>
        <w:tc>
          <w:tcPr>
            <w:tcW w:w="2558" w:type="dxa"/>
          </w:tcPr>
          <w:p w14:paraId="45FD4D15" w14:textId="010B5F9A" w:rsidR="000C1B07" w:rsidRPr="000D5DE6" w:rsidRDefault="00347401" w:rsidP="00436F45">
            <w:pPr>
              <w:pStyle w:val="ListNumber"/>
              <w:numPr>
                <w:ilvl w:val="0"/>
                <w:numId w:val="0"/>
              </w:numPr>
              <w:spacing w:after="0"/>
              <w:ind w:left="709" w:right="565"/>
              <w:rPr>
                <w:b/>
                <w:sz w:val="20"/>
                <w:szCs w:val="20"/>
              </w:rPr>
            </w:pPr>
            <w:r w:rsidRPr="000D5DE6">
              <w:rPr>
                <w:b/>
                <w:sz w:val="20"/>
                <w:szCs w:val="20"/>
              </w:rPr>
              <w:t>Evaluation</w:t>
            </w:r>
          </w:p>
        </w:tc>
        <w:tc>
          <w:tcPr>
            <w:tcW w:w="2282" w:type="dxa"/>
          </w:tcPr>
          <w:p w14:paraId="2182F5D9" w14:textId="5F024182" w:rsidR="000C1B07" w:rsidRPr="000D5DE6" w:rsidRDefault="00347401" w:rsidP="00436F45">
            <w:pPr>
              <w:pStyle w:val="ListNumber"/>
              <w:numPr>
                <w:ilvl w:val="0"/>
                <w:numId w:val="0"/>
              </w:numPr>
              <w:spacing w:after="0"/>
              <w:ind w:left="709" w:right="565"/>
              <w:rPr>
                <w:b/>
                <w:sz w:val="20"/>
                <w:szCs w:val="20"/>
              </w:rPr>
            </w:pPr>
            <w:r w:rsidRPr="000D5DE6">
              <w:rPr>
                <w:b/>
                <w:sz w:val="20"/>
                <w:szCs w:val="20"/>
              </w:rPr>
              <w:t>Outcomes</w:t>
            </w:r>
          </w:p>
        </w:tc>
      </w:tr>
      <w:tr w:rsidR="00581353" w14:paraId="012934E8" w14:textId="77777777" w:rsidTr="00436F45">
        <w:trPr>
          <w:trHeight w:val="246"/>
        </w:trPr>
        <w:tc>
          <w:tcPr>
            <w:tcW w:w="2319" w:type="dxa"/>
          </w:tcPr>
          <w:p w14:paraId="76CBBA99" w14:textId="11903B4C" w:rsidR="000C1B07" w:rsidRPr="001D7954" w:rsidRDefault="000C1B07" w:rsidP="00436F45">
            <w:pPr>
              <w:pStyle w:val="ListNumber"/>
              <w:numPr>
                <w:ilvl w:val="0"/>
                <w:numId w:val="0"/>
              </w:numPr>
              <w:spacing w:after="0"/>
              <w:ind w:left="709" w:right="565"/>
              <w:rPr>
                <w:sz w:val="20"/>
                <w:szCs w:val="20"/>
              </w:rPr>
            </w:pPr>
            <w:r w:rsidRPr="001D7954">
              <w:rPr>
                <w:sz w:val="20"/>
                <w:szCs w:val="20"/>
              </w:rPr>
              <w:t>Pre-access - Outreach to schools and communities</w:t>
            </w:r>
          </w:p>
        </w:tc>
        <w:tc>
          <w:tcPr>
            <w:tcW w:w="2622" w:type="dxa"/>
          </w:tcPr>
          <w:p w14:paraId="6DD03476" w14:textId="7EDB9CC2" w:rsidR="002442FA" w:rsidRDefault="000C1B07" w:rsidP="00436F45">
            <w:pPr>
              <w:pStyle w:val="ListNumber"/>
              <w:numPr>
                <w:ilvl w:val="0"/>
                <w:numId w:val="38"/>
              </w:numPr>
              <w:spacing w:after="0"/>
              <w:ind w:left="709" w:right="565" w:hanging="284"/>
              <w:rPr>
                <w:sz w:val="20"/>
                <w:szCs w:val="20"/>
              </w:rPr>
            </w:pPr>
            <w:r w:rsidRPr="001D7954">
              <w:rPr>
                <w:sz w:val="20"/>
                <w:szCs w:val="20"/>
              </w:rPr>
              <w:t xml:space="preserve">Implementation of </w:t>
            </w:r>
            <w:r w:rsidR="002442FA">
              <w:rPr>
                <w:sz w:val="20"/>
                <w:szCs w:val="20"/>
              </w:rPr>
              <w:t>pre-access programs, including a S</w:t>
            </w:r>
            <w:r w:rsidRPr="001D7954">
              <w:rPr>
                <w:sz w:val="20"/>
                <w:szCs w:val="20"/>
              </w:rPr>
              <w:t>ummer School,</w:t>
            </w:r>
            <w:r w:rsidR="001D7954">
              <w:rPr>
                <w:sz w:val="20"/>
                <w:szCs w:val="20"/>
              </w:rPr>
              <w:t xml:space="preserve"> peer-mentoring program, outreach to schools </w:t>
            </w:r>
            <w:r w:rsidR="00BA1BDF">
              <w:rPr>
                <w:sz w:val="20"/>
                <w:szCs w:val="20"/>
              </w:rPr>
              <w:t xml:space="preserve">through </w:t>
            </w:r>
            <w:r w:rsidR="00BA1BDF" w:rsidRPr="00BA1BDF">
              <w:rPr>
                <w:i/>
                <w:sz w:val="20"/>
                <w:szCs w:val="20"/>
              </w:rPr>
              <w:t>ANU On-Tour</w:t>
            </w:r>
            <w:r w:rsidR="00BA1BDF">
              <w:rPr>
                <w:sz w:val="20"/>
                <w:szCs w:val="20"/>
              </w:rPr>
              <w:t xml:space="preserve"> across regional and remote Australia, c</w:t>
            </w:r>
            <w:r w:rsidR="001D7954" w:rsidRPr="002442FA">
              <w:rPr>
                <w:sz w:val="20"/>
                <w:szCs w:val="20"/>
              </w:rPr>
              <w:t xml:space="preserve">ampus experience days, </w:t>
            </w:r>
            <w:r w:rsidRPr="002442FA">
              <w:rPr>
                <w:sz w:val="20"/>
                <w:szCs w:val="20"/>
              </w:rPr>
              <w:t xml:space="preserve">immersions days </w:t>
            </w:r>
            <w:r w:rsidR="001D7954" w:rsidRPr="002442FA">
              <w:rPr>
                <w:sz w:val="20"/>
                <w:szCs w:val="20"/>
              </w:rPr>
              <w:t>and</w:t>
            </w:r>
            <w:r w:rsidR="002442FA">
              <w:rPr>
                <w:sz w:val="20"/>
                <w:szCs w:val="20"/>
              </w:rPr>
              <w:t xml:space="preserve"> masterclasses. </w:t>
            </w:r>
          </w:p>
          <w:p w14:paraId="00C28841" w14:textId="7BAF5B93" w:rsidR="000C1B07" w:rsidRPr="002442FA" w:rsidRDefault="001D7954" w:rsidP="00436F45">
            <w:pPr>
              <w:pStyle w:val="ListNumber"/>
              <w:numPr>
                <w:ilvl w:val="0"/>
                <w:numId w:val="38"/>
              </w:numPr>
              <w:spacing w:after="0"/>
              <w:ind w:left="709" w:right="565" w:hanging="284"/>
              <w:rPr>
                <w:sz w:val="20"/>
                <w:szCs w:val="20"/>
              </w:rPr>
            </w:pPr>
            <w:r w:rsidRPr="002442FA">
              <w:rPr>
                <w:sz w:val="20"/>
                <w:szCs w:val="20"/>
              </w:rPr>
              <w:t xml:space="preserve">Expansion of Beyond Year 12 Conference. </w:t>
            </w:r>
            <w:r w:rsidR="000C1B07" w:rsidRPr="002442FA">
              <w:rPr>
                <w:sz w:val="20"/>
                <w:szCs w:val="20"/>
              </w:rPr>
              <w:t xml:space="preserve">                        </w:t>
            </w:r>
          </w:p>
        </w:tc>
        <w:tc>
          <w:tcPr>
            <w:tcW w:w="2558" w:type="dxa"/>
          </w:tcPr>
          <w:p w14:paraId="50EF8DC4" w14:textId="77777777" w:rsidR="000C1B07" w:rsidRPr="001D7954" w:rsidRDefault="000C1B07" w:rsidP="00436F45">
            <w:pPr>
              <w:pStyle w:val="ListNumber"/>
              <w:numPr>
                <w:ilvl w:val="0"/>
                <w:numId w:val="33"/>
              </w:numPr>
              <w:spacing w:after="0"/>
              <w:ind w:left="709" w:right="565" w:hanging="259"/>
              <w:rPr>
                <w:sz w:val="20"/>
                <w:szCs w:val="20"/>
              </w:rPr>
            </w:pPr>
            <w:r w:rsidRPr="001D7954">
              <w:rPr>
                <w:sz w:val="20"/>
                <w:szCs w:val="20"/>
              </w:rPr>
              <w:t xml:space="preserve">Pre and post survey to track aspiration and awareness of higher education. </w:t>
            </w:r>
          </w:p>
          <w:p w14:paraId="38877F33" w14:textId="24B8CFC7" w:rsidR="000C1B07" w:rsidRPr="001D7954" w:rsidRDefault="000C1B07" w:rsidP="00436F45">
            <w:pPr>
              <w:pStyle w:val="ListNumber"/>
              <w:numPr>
                <w:ilvl w:val="0"/>
                <w:numId w:val="33"/>
              </w:numPr>
              <w:spacing w:after="0"/>
              <w:ind w:left="709" w:right="565" w:hanging="259"/>
              <w:rPr>
                <w:sz w:val="20"/>
                <w:szCs w:val="20"/>
              </w:rPr>
            </w:pPr>
            <w:r w:rsidRPr="001D7954">
              <w:rPr>
                <w:sz w:val="20"/>
                <w:szCs w:val="20"/>
              </w:rPr>
              <w:t>Number of students engaging in program</w:t>
            </w:r>
            <w:r w:rsidR="00237DCF">
              <w:rPr>
                <w:sz w:val="20"/>
                <w:szCs w:val="20"/>
              </w:rPr>
              <w:t>.</w:t>
            </w:r>
          </w:p>
          <w:p w14:paraId="41F1E514" w14:textId="0886E001" w:rsidR="000C1B07" w:rsidRPr="001D7954" w:rsidRDefault="000C1B07" w:rsidP="00436F45">
            <w:pPr>
              <w:pStyle w:val="ListNumber"/>
              <w:numPr>
                <w:ilvl w:val="0"/>
                <w:numId w:val="33"/>
              </w:numPr>
              <w:spacing w:after="0"/>
              <w:ind w:left="709" w:right="565" w:hanging="259"/>
              <w:rPr>
                <w:sz w:val="20"/>
                <w:szCs w:val="20"/>
              </w:rPr>
            </w:pPr>
            <w:r w:rsidRPr="001D7954">
              <w:rPr>
                <w:sz w:val="20"/>
                <w:szCs w:val="20"/>
              </w:rPr>
              <w:t xml:space="preserve">Number of schools engaged in activities.                                                                                              </w:t>
            </w:r>
          </w:p>
        </w:tc>
        <w:tc>
          <w:tcPr>
            <w:tcW w:w="2282" w:type="dxa"/>
          </w:tcPr>
          <w:p w14:paraId="7607BF29" w14:textId="71ACF475" w:rsidR="000C1B07" w:rsidRDefault="001D7954" w:rsidP="00436F45">
            <w:pPr>
              <w:pStyle w:val="ListNumber"/>
              <w:numPr>
                <w:ilvl w:val="0"/>
                <w:numId w:val="36"/>
              </w:numPr>
              <w:spacing w:after="0"/>
              <w:ind w:left="709" w:right="565" w:hanging="284"/>
              <w:rPr>
                <w:sz w:val="20"/>
                <w:szCs w:val="20"/>
              </w:rPr>
            </w:pPr>
            <w:r>
              <w:rPr>
                <w:sz w:val="20"/>
                <w:szCs w:val="20"/>
              </w:rPr>
              <w:t xml:space="preserve">Increased </w:t>
            </w:r>
            <w:r w:rsidR="002442FA">
              <w:rPr>
                <w:sz w:val="20"/>
                <w:szCs w:val="20"/>
              </w:rPr>
              <w:t xml:space="preserve">number of </w:t>
            </w:r>
            <w:r>
              <w:rPr>
                <w:sz w:val="20"/>
                <w:szCs w:val="20"/>
              </w:rPr>
              <w:t>Student Ambassadors.</w:t>
            </w:r>
          </w:p>
          <w:p w14:paraId="079055E8" w14:textId="37783A01" w:rsidR="001D7954" w:rsidRDefault="001D7954" w:rsidP="00436F45">
            <w:pPr>
              <w:pStyle w:val="ListNumber"/>
              <w:numPr>
                <w:ilvl w:val="0"/>
                <w:numId w:val="36"/>
              </w:numPr>
              <w:spacing w:after="0"/>
              <w:ind w:left="709" w:right="565" w:hanging="284"/>
              <w:rPr>
                <w:sz w:val="20"/>
                <w:szCs w:val="20"/>
              </w:rPr>
            </w:pPr>
            <w:r>
              <w:rPr>
                <w:sz w:val="20"/>
                <w:szCs w:val="20"/>
              </w:rPr>
              <w:t xml:space="preserve">Engagement with over 1000 </w:t>
            </w:r>
            <w:proofErr w:type="gramStart"/>
            <w:r>
              <w:rPr>
                <w:sz w:val="20"/>
                <w:szCs w:val="20"/>
              </w:rPr>
              <w:t>schools</w:t>
            </w:r>
            <w:proofErr w:type="gramEnd"/>
            <w:r>
              <w:rPr>
                <w:sz w:val="20"/>
                <w:szCs w:val="20"/>
              </w:rPr>
              <w:t xml:space="preserve"> students. </w:t>
            </w:r>
          </w:p>
          <w:p w14:paraId="7EC92668" w14:textId="66257634" w:rsidR="00871CE5" w:rsidRPr="00871CE5" w:rsidRDefault="001D7954" w:rsidP="00436F45">
            <w:pPr>
              <w:pStyle w:val="ListNumber"/>
              <w:numPr>
                <w:ilvl w:val="0"/>
                <w:numId w:val="36"/>
              </w:numPr>
              <w:spacing w:after="0"/>
              <w:ind w:left="709" w:right="565" w:hanging="284"/>
              <w:rPr>
                <w:sz w:val="20"/>
                <w:szCs w:val="20"/>
              </w:rPr>
            </w:pPr>
            <w:r>
              <w:rPr>
                <w:sz w:val="20"/>
                <w:szCs w:val="20"/>
              </w:rPr>
              <w:t xml:space="preserve">Delivery of 12 campus experience days. </w:t>
            </w:r>
          </w:p>
          <w:p w14:paraId="77EE0455" w14:textId="1F7C4A27" w:rsidR="001D7954" w:rsidRPr="001D7954" w:rsidRDefault="001D7954" w:rsidP="00436F45">
            <w:pPr>
              <w:pStyle w:val="ListNumber"/>
              <w:numPr>
                <w:ilvl w:val="0"/>
                <w:numId w:val="36"/>
              </w:numPr>
              <w:spacing w:after="0"/>
              <w:ind w:left="709" w:right="565" w:hanging="284"/>
              <w:rPr>
                <w:sz w:val="20"/>
                <w:szCs w:val="20"/>
              </w:rPr>
            </w:pPr>
            <w:r>
              <w:rPr>
                <w:sz w:val="20"/>
                <w:szCs w:val="20"/>
              </w:rPr>
              <w:t>Increase of 25% of Careers Advisors from Low ICSEA schools at Beyond Year 12 conference.</w:t>
            </w:r>
          </w:p>
        </w:tc>
      </w:tr>
      <w:tr w:rsidR="00581353" w14:paraId="698AF6A8" w14:textId="77777777" w:rsidTr="00436F45">
        <w:trPr>
          <w:trHeight w:val="246"/>
        </w:trPr>
        <w:tc>
          <w:tcPr>
            <w:tcW w:w="2319" w:type="dxa"/>
          </w:tcPr>
          <w:p w14:paraId="72ED5681" w14:textId="4E75F03C" w:rsidR="001D7954" w:rsidRPr="001D7954" w:rsidRDefault="001D7954" w:rsidP="00436F45">
            <w:pPr>
              <w:pStyle w:val="ListNumber"/>
              <w:numPr>
                <w:ilvl w:val="0"/>
                <w:numId w:val="0"/>
              </w:numPr>
              <w:spacing w:after="0"/>
              <w:ind w:left="709" w:right="565"/>
              <w:rPr>
                <w:sz w:val="20"/>
                <w:szCs w:val="20"/>
              </w:rPr>
            </w:pPr>
            <w:r>
              <w:rPr>
                <w:sz w:val="20"/>
                <w:szCs w:val="20"/>
              </w:rPr>
              <w:t>Access</w:t>
            </w:r>
          </w:p>
        </w:tc>
        <w:tc>
          <w:tcPr>
            <w:tcW w:w="2622" w:type="dxa"/>
          </w:tcPr>
          <w:p w14:paraId="7E405D82" w14:textId="2902576F" w:rsidR="007423EE" w:rsidRDefault="00BA1BDF" w:rsidP="00436F45">
            <w:pPr>
              <w:pStyle w:val="ListParagraph"/>
              <w:numPr>
                <w:ilvl w:val="0"/>
                <w:numId w:val="35"/>
              </w:numPr>
              <w:ind w:left="709" w:right="565" w:hanging="325"/>
              <w:rPr>
                <w:color w:val="3C3C3C"/>
                <w:sz w:val="20"/>
                <w:szCs w:val="20"/>
              </w:rPr>
            </w:pPr>
            <w:r>
              <w:rPr>
                <w:sz w:val="20"/>
                <w:szCs w:val="20"/>
              </w:rPr>
              <w:t xml:space="preserve">ANU On-Tour Admission, </w:t>
            </w:r>
            <w:r>
              <w:rPr>
                <w:sz w:val="20"/>
                <w:szCs w:val="20"/>
              </w:rPr>
              <w:lastRenderedPageBreak/>
              <w:t>Scholarship and Accommodation session</w:t>
            </w:r>
            <w:r w:rsidR="00DF60C8" w:rsidRPr="007423EE">
              <w:rPr>
                <w:color w:val="3C3C3C"/>
                <w:sz w:val="20"/>
                <w:szCs w:val="20"/>
              </w:rPr>
              <w:t>, parent information sessions, young alumni events, information webinars.</w:t>
            </w:r>
          </w:p>
          <w:p w14:paraId="4E4B4FF8" w14:textId="5B0ED774" w:rsidR="007423EE" w:rsidRPr="00347401" w:rsidRDefault="007423EE" w:rsidP="00436F45">
            <w:pPr>
              <w:pStyle w:val="ListParagraph"/>
              <w:numPr>
                <w:ilvl w:val="0"/>
                <w:numId w:val="35"/>
              </w:numPr>
              <w:ind w:left="709" w:right="565" w:hanging="325"/>
              <w:rPr>
                <w:color w:val="3C3C3C"/>
                <w:sz w:val="20"/>
                <w:szCs w:val="20"/>
              </w:rPr>
            </w:pPr>
            <w:r w:rsidRPr="007423EE">
              <w:rPr>
                <w:color w:val="3C3C3C"/>
                <w:sz w:val="20"/>
                <w:szCs w:val="20"/>
              </w:rPr>
              <w:t xml:space="preserve">Review of Equity </w:t>
            </w:r>
            <w:r w:rsidRPr="007423EE">
              <w:rPr>
                <w:sz w:val="20"/>
                <w:szCs w:val="20"/>
              </w:rPr>
              <w:t xml:space="preserve">Scholarships. </w:t>
            </w:r>
          </w:p>
          <w:p w14:paraId="636C6F7B" w14:textId="46EFBE36" w:rsidR="00347401" w:rsidRPr="007423EE" w:rsidRDefault="00BA1BDF" w:rsidP="00436F45">
            <w:pPr>
              <w:pStyle w:val="ListParagraph"/>
              <w:numPr>
                <w:ilvl w:val="0"/>
                <w:numId w:val="35"/>
              </w:numPr>
              <w:ind w:left="709" w:right="565" w:hanging="325"/>
              <w:rPr>
                <w:color w:val="3C3C3C"/>
                <w:sz w:val="20"/>
                <w:szCs w:val="20"/>
              </w:rPr>
            </w:pPr>
            <w:r>
              <w:rPr>
                <w:sz w:val="20"/>
                <w:szCs w:val="20"/>
              </w:rPr>
              <w:t>Student Accommodation.</w:t>
            </w:r>
          </w:p>
          <w:p w14:paraId="161C814F" w14:textId="34ED18AC" w:rsidR="001D7954" w:rsidRPr="00DF60C8" w:rsidRDefault="001D7954" w:rsidP="00436F45">
            <w:pPr>
              <w:ind w:left="709" w:right="565"/>
              <w:rPr>
                <w:color w:val="3C3C3C"/>
                <w:sz w:val="20"/>
                <w:szCs w:val="20"/>
              </w:rPr>
            </w:pPr>
          </w:p>
        </w:tc>
        <w:tc>
          <w:tcPr>
            <w:tcW w:w="2558" w:type="dxa"/>
          </w:tcPr>
          <w:p w14:paraId="0CE32617" w14:textId="117EF035" w:rsidR="001D7954" w:rsidRDefault="00DF60C8" w:rsidP="00436F45">
            <w:pPr>
              <w:pStyle w:val="ListNumber"/>
              <w:numPr>
                <w:ilvl w:val="0"/>
                <w:numId w:val="33"/>
              </w:numPr>
              <w:spacing w:after="0"/>
              <w:ind w:left="709" w:right="565" w:hanging="259"/>
              <w:rPr>
                <w:sz w:val="20"/>
                <w:szCs w:val="20"/>
              </w:rPr>
            </w:pPr>
            <w:r>
              <w:rPr>
                <w:sz w:val="20"/>
                <w:szCs w:val="20"/>
              </w:rPr>
              <w:lastRenderedPageBreak/>
              <w:t xml:space="preserve">Number of students </w:t>
            </w:r>
            <w:r>
              <w:rPr>
                <w:sz w:val="20"/>
                <w:szCs w:val="20"/>
              </w:rPr>
              <w:lastRenderedPageBreak/>
              <w:t xml:space="preserve">from LSES backgrounds applying through ASA, including those applying via pathway programs. </w:t>
            </w:r>
          </w:p>
          <w:p w14:paraId="4DD1D46E" w14:textId="644659DB" w:rsidR="00C87F65" w:rsidRDefault="00C87F65" w:rsidP="00436F45">
            <w:pPr>
              <w:pStyle w:val="ListNumber"/>
              <w:numPr>
                <w:ilvl w:val="0"/>
                <w:numId w:val="33"/>
              </w:numPr>
              <w:spacing w:after="0"/>
              <w:ind w:left="709" w:right="565" w:hanging="259"/>
              <w:rPr>
                <w:sz w:val="20"/>
                <w:szCs w:val="20"/>
              </w:rPr>
            </w:pPr>
            <w:r>
              <w:rPr>
                <w:sz w:val="20"/>
                <w:szCs w:val="20"/>
              </w:rPr>
              <w:t>Increased enrolment numbers.</w:t>
            </w:r>
          </w:p>
          <w:p w14:paraId="3EE98E7B" w14:textId="19711A3F" w:rsidR="007423EE" w:rsidRDefault="00347401" w:rsidP="00436F45">
            <w:pPr>
              <w:pStyle w:val="ListNumber"/>
              <w:numPr>
                <w:ilvl w:val="0"/>
                <w:numId w:val="33"/>
              </w:numPr>
              <w:spacing w:after="0"/>
              <w:ind w:left="709" w:right="565" w:hanging="259"/>
              <w:rPr>
                <w:sz w:val="20"/>
                <w:szCs w:val="20"/>
              </w:rPr>
            </w:pPr>
            <w:r>
              <w:rPr>
                <w:sz w:val="20"/>
                <w:szCs w:val="20"/>
              </w:rPr>
              <w:t>Number of accommodation rooms reserved and occupied by designated LSES cohorts.</w:t>
            </w:r>
            <w:r w:rsidR="002442FA">
              <w:rPr>
                <w:sz w:val="20"/>
                <w:szCs w:val="20"/>
              </w:rPr>
              <w:t xml:space="preserve"> </w:t>
            </w:r>
          </w:p>
          <w:p w14:paraId="4327B44E" w14:textId="7C419B14" w:rsidR="00C87F65" w:rsidRDefault="00C87F65" w:rsidP="00436F45">
            <w:pPr>
              <w:pStyle w:val="ListNumber"/>
              <w:numPr>
                <w:ilvl w:val="0"/>
                <w:numId w:val="33"/>
              </w:numPr>
              <w:spacing w:after="0"/>
              <w:ind w:left="709" w:right="565" w:hanging="259"/>
              <w:rPr>
                <w:sz w:val="20"/>
                <w:szCs w:val="20"/>
              </w:rPr>
            </w:pPr>
            <w:r>
              <w:rPr>
                <w:sz w:val="20"/>
                <w:szCs w:val="20"/>
              </w:rPr>
              <w:t xml:space="preserve">Equity scholarships awarded. </w:t>
            </w:r>
          </w:p>
          <w:p w14:paraId="5E9983A5" w14:textId="20AC59A0" w:rsidR="001D7954" w:rsidRPr="001D7954" w:rsidRDefault="001D7954" w:rsidP="00436F45">
            <w:pPr>
              <w:ind w:left="709" w:right="565"/>
              <w:rPr>
                <w:sz w:val="20"/>
                <w:szCs w:val="20"/>
              </w:rPr>
            </w:pPr>
          </w:p>
        </w:tc>
        <w:tc>
          <w:tcPr>
            <w:tcW w:w="2282" w:type="dxa"/>
          </w:tcPr>
          <w:p w14:paraId="11B1F3B7" w14:textId="1C0F7CA5" w:rsidR="00347401" w:rsidRPr="00347401" w:rsidRDefault="00DF60C8" w:rsidP="00436F45">
            <w:pPr>
              <w:pStyle w:val="ListParagraph"/>
              <w:numPr>
                <w:ilvl w:val="0"/>
                <w:numId w:val="33"/>
              </w:numPr>
              <w:ind w:left="709" w:right="565" w:hanging="259"/>
              <w:rPr>
                <w:color w:val="3C3C3C"/>
                <w:sz w:val="20"/>
                <w:szCs w:val="20"/>
              </w:rPr>
            </w:pPr>
            <w:r>
              <w:rPr>
                <w:sz w:val="20"/>
                <w:szCs w:val="20"/>
              </w:rPr>
              <w:lastRenderedPageBreak/>
              <w:t xml:space="preserve">1% increase year on year </w:t>
            </w:r>
            <w:r>
              <w:rPr>
                <w:sz w:val="20"/>
                <w:szCs w:val="20"/>
              </w:rPr>
              <w:lastRenderedPageBreak/>
              <w:t xml:space="preserve">of students from LSES </w:t>
            </w:r>
            <w:r w:rsidR="00BA1BDF">
              <w:rPr>
                <w:sz w:val="20"/>
                <w:szCs w:val="20"/>
              </w:rPr>
              <w:t>backgrounds accessing ANU. This will be assessed through a combination of postcode measures and other contextual attributes</w:t>
            </w:r>
            <w:r>
              <w:rPr>
                <w:sz w:val="20"/>
                <w:szCs w:val="20"/>
              </w:rPr>
              <w:t>.</w:t>
            </w:r>
            <w:r w:rsidR="00347401">
              <w:rPr>
                <w:sz w:val="20"/>
                <w:szCs w:val="20"/>
              </w:rPr>
              <w:t xml:space="preserve"> </w:t>
            </w:r>
          </w:p>
          <w:p w14:paraId="180380BF" w14:textId="0D6E30B7" w:rsidR="00347401" w:rsidRPr="00347401" w:rsidRDefault="00347401" w:rsidP="00436F45">
            <w:pPr>
              <w:pStyle w:val="ListParagraph"/>
              <w:numPr>
                <w:ilvl w:val="0"/>
                <w:numId w:val="33"/>
              </w:numPr>
              <w:ind w:left="709" w:right="565" w:hanging="259"/>
              <w:rPr>
                <w:color w:val="3C3C3C"/>
                <w:sz w:val="20"/>
                <w:szCs w:val="20"/>
              </w:rPr>
            </w:pPr>
            <w:r>
              <w:rPr>
                <w:sz w:val="20"/>
                <w:szCs w:val="20"/>
              </w:rPr>
              <w:t>Equity Scholarships assessed for purpose and value level to ensure financial wellbeing.</w:t>
            </w:r>
          </w:p>
          <w:p w14:paraId="425C49E0" w14:textId="519CE5DD" w:rsidR="001D7954" w:rsidRPr="000D5DE6" w:rsidRDefault="00347401" w:rsidP="00436F45">
            <w:pPr>
              <w:pStyle w:val="ListParagraph"/>
              <w:numPr>
                <w:ilvl w:val="0"/>
                <w:numId w:val="33"/>
              </w:numPr>
              <w:ind w:left="709" w:right="565" w:hanging="259"/>
              <w:rPr>
                <w:color w:val="3C3C3C"/>
                <w:sz w:val="20"/>
                <w:szCs w:val="20"/>
              </w:rPr>
            </w:pPr>
            <w:r>
              <w:rPr>
                <w:sz w:val="20"/>
                <w:szCs w:val="20"/>
              </w:rPr>
              <w:t>Guaranteed access to affordable accommodation for</w:t>
            </w:r>
            <w:r w:rsidR="00581353">
              <w:rPr>
                <w:sz w:val="20"/>
                <w:szCs w:val="20"/>
              </w:rPr>
              <w:t xml:space="preserve"> </w:t>
            </w:r>
            <w:r>
              <w:rPr>
                <w:sz w:val="20"/>
                <w:szCs w:val="20"/>
              </w:rPr>
              <w:t>designated LSES cohorts.</w:t>
            </w:r>
          </w:p>
        </w:tc>
      </w:tr>
      <w:tr w:rsidR="00581353" w14:paraId="17EC1192" w14:textId="77777777" w:rsidTr="00436F45">
        <w:trPr>
          <w:trHeight w:val="246"/>
        </w:trPr>
        <w:tc>
          <w:tcPr>
            <w:tcW w:w="2319" w:type="dxa"/>
          </w:tcPr>
          <w:p w14:paraId="7B4C1AEC" w14:textId="13A267AB" w:rsidR="00DF60C8" w:rsidRDefault="00DF60C8" w:rsidP="00436F45">
            <w:pPr>
              <w:pStyle w:val="ListNumber"/>
              <w:numPr>
                <w:ilvl w:val="0"/>
                <w:numId w:val="0"/>
              </w:numPr>
              <w:spacing w:after="0"/>
              <w:ind w:left="709" w:right="565"/>
              <w:rPr>
                <w:sz w:val="20"/>
                <w:szCs w:val="20"/>
              </w:rPr>
            </w:pPr>
            <w:r>
              <w:rPr>
                <w:sz w:val="20"/>
                <w:szCs w:val="20"/>
              </w:rPr>
              <w:lastRenderedPageBreak/>
              <w:t>Transition and Retention</w:t>
            </w:r>
          </w:p>
        </w:tc>
        <w:tc>
          <w:tcPr>
            <w:tcW w:w="2622" w:type="dxa"/>
          </w:tcPr>
          <w:p w14:paraId="44DD85F4" w14:textId="5316D168" w:rsidR="00DF60C8" w:rsidRPr="007423EE" w:rsidRDefault="00DF60C8" w:rsidP="00436F45">
            <w:pPr>
              <w:pStyle w:val="ListParagraph"/>
              <w:numPr>
                <w:ilvl w:val="0"/>
                <w:numId w:val="34"/>
              </w:numPr>
              <w:ind w:left="709" w:right="565"/>
              <w:rPr>
                <w:sz w:val="20"/>
                <w:szCs w:val="20"/>
              </w:rPr>
            </w:pPr>
            <w:r w:rsidRPr="007423EE">
              <w:rPr>
                <w:sz w:val="20"/>
                <w:szCs w:val="20"/>
              </w:rPr>
              <w:t xml:space="preserve">Implementation of a </w:t>
            </w:r>
            <w:r w:rsidR="00BA1BDF" w:rsidRPr="00BA1BDF">
              <w:rPr>
                <w:i/>
                <w:sz w:val="20"/>
                <w:szCs w:val="20"/>
              </w:rPr>
              <w:t>F</w:t>
            </w:r>
            <w:r w:rsidRPr="00BA1BDF">
              <w:rPr>
                <w:i/>
                <w:sz w:val="20"/>
                <w:szCs w:val="20"/>
              </w:rPr>
              <w:t xml:space="preserve">irst </w:t>
            </w:r>
            <w:r w:rsidR="00BA1BDF" w:rsidRPr="00BA1BDF">
              <w:rPr>
                <w:i/>
                <w:sz w:val="20"/>
                <w:szCs w:val="20"/>
              </w:rPr>
              <w:t>Y</w:t>
            </w:r>
            <w:r w:rsidRPr="00BA1BDF">
              <w:rPr>
                <w:i/>
                <w:sz w:val="20"/>
                <w:szCs w:val="20"/>
              </w:rPr>
              <w:t xml:space="preserve">ear </w:t>
            </w:r>
            <w:r w:rsidR="00BA1BDF" w:rsidRPr="00BA1BDF">
              <w:rPr>
                <w:i/>
                <w:sz w:val="20"/>
                <w:szCs w:val="20"/>
              </w:rPr>
              <w:t>E</w:t>
            </w:r>
            <w:r w:rsidRPr="00BA1BDF">
              <w:rPr>
                <w:i/>
                <w:sz w:val="20"/>
                <w:szCs w:val="20"/>
              </w:rPr>
              <w:t xml:space="preserve">xperience </w:t>
            </w:r>
            <w:r w:rsidR="00BA1BDF" w:rsidRPr="00BA1BDF">
              <w:rPr>
                <w:i/>
                <w:sz w:val="20"/>
                <w:szCs w:val="20"/>
              </w:rPr>
              <w:t>P</w:t>
            </w:r>
            <w:r w:rsidRPr="00BA1BDF">
              <w:rPr>
                <w:i/>
                <w:sz w:val="20"/>
                <w:szCs w:val="20"/>
              </w:rPr>
              <w:t>rogram</w:t>
            </w:r>
            <w:r w:rsidRPr="007423EE">
              <w:rPr>
                <w:sz w:val="20"/>
                <w:szCs w:val="20"/>
              </w:rPr>
              <w:t xml:space="preserve">. </w:t>
            </w:r>
          </w:p>
          <w:p w14:paraId="58CE1E24" w14:textId="31FFD8BA" w:rsidR="00DF60C8" w:rsidRPr="007423EE" w:rsidRDefault="00DF60C8" w:rsidP="00436F45">
            <w:pPr>
              <w:pStyle w:val="ListParagraph"/>
              <w:numPr>
                <w:ilvl w:val="0"/>
                <w:numId w:val="34"/>
              </w:numPr>
              <w:ind w:left="709" w:right="565"/>
              <w:rPr>
                <w:sz w:val="20"/>
                <w:szCs w:val="20"/>
              </w:rPr>
            </w:pPr>
            <w:r w:rsidRPr="007423EE">
              <w:rPr>
                <w:sz w:val="20"/>
                <w:szCs w:val="20"/>
              </w:rPr>
              <w:t xml:space="preserve">Develop and strengthen mentoring programs and expand student involvement in co-curricular programs and activities. </w:t>
            </w:r>
          </w:p>
          <w:p w14:paraId="7ABC5C05" w14:textId="2CFDE835" w:rsidR="002239F5" w:rsidRPr="007423EE" w:rsidRDefault="00347401" w:rsidP="00436F45">
            <w:pPr>
              <w:pStyle w:val="ListParagraph"/>
              <w:numPr>
                <w:ilvl w:val="0"/>
                <w:numId w:val="34"/>
              </w:numPr>
              <w:ind w:left="709" w:right="565"/>
              <w:rPr>
                <w:sz w:val="20"/>
                <w:szCs w:val="20"/>
              </w:rPr>
            </w:pPr>
            <w:r>
              <w:rPr>
                <w:sz w:val="20"/>
                <w:szCs w:val="20"/>
              </w:rPr>
              <w:t>Accessibility Guides.</w:t>
            </w:r>
          </w:p>
          <w:p w14:paraId="22502EBE" w14:textId="6F366910" w:rsidR="00347401" w:rsidRDefault="00347401" w:rsidP="00436F45">
            <w:pPr>
              <w:pStyle w:val="ListParagraph"/>
              <w:numPr>
                <w:ilvl w:val="0"/>
                <w:numId w:val="34"/>
              </w:numPr>
              <w:ind w:left="709" w:right="565"/>
              <w:rPr>
                <w:sz w:val="20"/>
                <w:szCs w:val="20"/>
              </w:rPr>
            </w:pPr>
            <w:r>
              <w:rPr>
                <w:sz w:val="20"/>
                <w:szCs w:val="20"/>
              </w:rPr>
              <w:t>Academic Skills Writing Centre.</w:t>
            </w:r>
            <w:r w:rsidR="00871CE5">
              <w:rPr>
                <w:sz w:val="20"/>
                <w:szCs w:val="20"/>
              </w:rPr>
              <w:t xml:space="preserve"> Peer Writers, Writing Coaches and Learning Advisers.</w:t>
            </w:r>
          </w:p>
          <w:p w14:paraId="15698D57" w14:textId="3F1A442F" w:rsidR="001B2B28" w:rsidRDefault="001B2B28" w:rsidP="00436F45">
            <w:pPr>
              <w:pStyle w:val="ListParagraph"/>
              <w:numPr>
                <w:ilvl w:val="0"/>
                <w:numId w:val="34"/>
              </w:numPr>
              <w:ind w:left="709" w:right="565"/>
              <w:rPr>
                <w:sz w:val="20"/>
                <w:szCs w:val="20"/>
              </w:rPr>
            </w:pPr>
            <w:proofErr w:type="spellStart"/>
            <w:r>
              <w:rPr>
                <w:sz w:val="20"/>
                <w:szCs w:val="20"/>
              </w:rPr>
              <w:t>Well@ANU</w:t>
            </w:r>
            <w:proofErr w:type="spellEnd"/>
            <w:r>
              <w:rPr>
                <w:sz w:val="20"/>
                <w:szCs w:val="20"/>
              </w:rPr>
              <w:t xml:space="preserve"> – Healthy University </w:t>
            </w:r>
            <w:r>
              <w:rPr>
                <w:sz w:val="20"/>
                <w:szCs w:val="20"/>
              </w:rPr>
              <w:lastRenderedPageBreak/>
              <w:t>Strategy</w:t>
            </w:r>
            <w:r w:rsidR="00D602DD">
              <w:rPr>
                <w:sz w:val="20"/>
                <w:szCs w:val="20"/>
              </w:rPr>
              <w:t xml:space="preserve"> and access to support services.</w:t>
            </w:r>
          </w:p>
          <w:p w14:paraId="70EA1B50" w14:textId="2BBDFBED" w:rsidR="00871CE5" w:rsidRDefault="00871CE5" w:rsidP="00436F45">
            <w:pPr>
              <w:pStyle w:val="ListParagraph"/>
              <w:numPr>
                <w:ilvl w:val="0"/>
                <w:numId w:val="34"/>
              </w:numPr>
              <w:ind w:left="709" w:right="565"/>
              <w:rPr>
                <w:sz w:val="20"/>
                <w:szCs w:val="20"/>
              </w:rPr>
            </w:pPr>
            <w:r>
              <w:rPr>
                <w:sz w:val="20"/>
                <w:szCs w:val="20"/>
              </w:rPr>
              <w:t>Supporting</w:t>
            </w:r>
            <w:r w:rsidR="00237DCF">
              <w:rPr>
                <w:sz w:val="20"/>
                <w:szCs w:val="20"/>
              </w:rPr>
              <w:t xml:space="preserve"> access to</w:t>
            </w:r>
            <w:r>
              <w:rPr>
                <w:sz w:val="20"/>
                <w:szCs w:val="20"/>
              </w:rPr>
              <w:t xml:space="preserve"> </w:t>
            </w:r>
            <w:r w:rsidR="00237DCF" w:rsidRPr="00237DCF">
              <w:rPr>
                <w:i/>
                <w:sz w:val="20"/>
                <w:szCs w:val="20"/>
              </w:rPr>
              <w:t>S</w:t>
            </w:r>
            <w:r w:rsidRPr="00237DCF">
              <w:rPr>
                <w:i/>
                <w:sz w:val="20"/>
                <w:szCs w:val="20"/>
              </w:rPr>
              <w:t xml:space="preserve">tudent </w:t>
            </w:r>
            <w:r w:rsidR="00237DCF" w:rsidRPr="00237DCF">
              <w:rPr>
                <w:i/>
                <w:sz w:val="20"/>
                <w:szCs w:val="20"/>
              </w:rPr>
              <w:t>R</w:t>
            </w:r>
            <w:r w:rsidRPr="00237DCF">
              <w:rPr>
                <w:i/>
                <w:sz w:val="20"/>
                <w:szCs w:val="20"/>
              </w:rPr>
              <w:t xml:space="preserve">esearch </w:t>
            </w:r>
            <w:r w:rsidR="00237DCF" w:rsidRPr="00237DCF">
              <w:rPr>
                <w:i/>
                <w:sz w:val="20"/>
                <w:szCs w:val="20"/>
              </w:rPr>
              <w:t>Conference</w:t>
            </w:r>
            <w:r w:rsidR="00237DCF">
              <w:rPr>
                <w:sz w:val="20"/>
                <w:szCs w:val="20"/>
              </w:rPr>
              <w:t>.</w:t>
            </w:r>
          </w:p>
          <w:p w14:paraId="31B1DA6E" w14:textId="3F4850F5" w:rsidR="00871CE5" w:rsidRPr="00871CE5" w:rsidRDefault="00871CE5" w:rsidP="00436F45">
            <w:pPr>
              <w:pStyle w:val="ListParagraph"/>
              <w:numPr>
                <w:ilvl w:val="0"/>
                <w:numId w:val="34"/>
              </w:numPr>
              <w:ind w:left="709" w:right="565"/>
              <w:rPr>
                <w:sz w:val="20"/>
                <w:szCs w:val="20"/>
              </w:rPr>
            </w:pPr>
            <w:r>
              <w:rPr>
                <w:sz w:val="20"/>
                <w:szCs w:val="20"/>
              </w:rPr>
              <w:t>Career development support and development of Neurodiversity Hub.</w:t>
            </w:r>
          </w:p>
        </w:tc>
        <w:tc>
          <w:tcPr>
            <w:tcW w:w="2558" w:type="dxa"/>
          </w:tcPr>
          <w:p w14:paraId="3FFD4207" w14:textId="77777777" w:rsidR="00C87F65" w:rsidRDefault="00C87F65" w:rsidP="00436F45">
            <w:pPr>
              <w:pStyle w:val="ListNumber"/>
              <w:numPr>
                <w:ilvl w:val="0"/>
                <w:numId w:val="33"/>
              </w:numPr>
              <w:spacing w:after="0"/>
              <w:ind w:left="709" w:right="565" w:hanging="259"/>
              <w:rPr>
                <w:sz w:val="20"/>
                <w:szCs w:val="20"/>
              </w:rPr>
            </w:pPr>
            <w:r>
              <w:rPr>
                <w:sz w:val="20"/>
                <w:szCs w:val="20"/>
              </w:rPr>
              <w:lastRenderedPageBreak/>
              <w:t xml:space="preserve">Increased retention and success ratios for students from LSES backgrounds. </w:t>
            </w:r>
          </w:p>
          <w:p w14:paraId="3C1AA6CE" w14:textId="6DB68AD3" w:rsidR="00245F55" w:rsidRDefault="00245F55" w:rsidP="00436F45">
            <w:pPr>
              <w:pStyle w:val="ListNumber"/>
              <w:numPr>
                <w:ilvl w:val="0"/>
                <w:numId w:val="33"/>
              </w:numPr>
              <w:spacing w:after="0"/>
              <w:ind w:left="709" w:right="565" w:hanging="259"/>
              <w:rPr>
                <w:sz w:val="20"/>
                <w:szCs w:val="20"/>
              </w:rPr>
            </w:pPr>
            <w:r>
              <w:rPr>
                <w:sz w:val="20"/>
                <w:szCs w:val="20"/>
              </w:rPr>
              <w:t xml:space="preserve">Increased </w:t>
            </w:r>
            <w:r w:rsidR="00237DCF">
              <w:rPr>
                <w:sz w:val="20"/>
                <w:szCs w:val="20"/>
              </w:rPr>
              <w:t>engagement of programs, activities and support available for students from LSES backgrounds.</w:t>
            </w:r>
          </w:p>
          <w:p w14:paraId="0F1569D5" w14:textId="3B07FA50" w:rsidR="00237DCF" w:rsidRDefault="00237DCF" w:rsidP="00436F45">
            <w:pPr>
              <w:pStyle w:val="ListNumber"/>
              <w:numPr>
                <w:ilvl w:val="0"/>
                <w:numId w:val="0"/>
              </w:numPr>
              <w:spacing w:after="0"/>
              <w:ind w:left="709" w:right="565"/>
              <w:rPr>
                <w:sz w:val="20"/>
                <w:szCs w:val="20"/>
              </w:rPr>
            </w:pPr>
          </w:p>
        </w:tc>
        <w:tc>
          <w:tcPr>
            <w:tcW w:w="2282" w:type="dxa"/>
          </w:tcPr>
          <w:p w14:paraId="0C2FB695" w14:textId="4B3C1A32" w:rsidR="00871CE5" w:rsidRDefault="00871CE5" w:rsidP="00436F45">
            <w:pPr>
              <w:pStyle w:val="ListNumber"/>
              <w:numPr>
                <w:ilvl w:val="0"/>
                <w:numId w:val="33"/>
              </w:numPr>
              <w:spacing w:after="0"/>
              <w:ind w:left="709" w:right="565" w:hanging="226"/>
              <w:rPr>
                <w:sz w:val="20"/>
                <w:szCs w:val="20"/>
              </w:rPr>
            </w:pPr>
            <w:r>
              <w:rPr>
                <w:sz w:val="20"/>
                <w:szCs w:val="20"/>
              </w:rPr>
              <w:t xml:space="preserve">Development of targeted </w:t>
            </w:r>
            <w:r w:rsidR="00237DCF">
              <w:rPr>
                <w:sz w:val="20"/>
                <w:szCs w:val="20"/>
              </w:rPr>
              <w:t>transition activities including pre-arrival,</w:t>
            </w:r>
            <w:r>
              <w:rPr>
                <w:sz w:val="20"/>
                <w:szCs w:val="20"/>
              </w:rPr>
              <w:t xml:space="preserve"> engagement, workshops and events.</w:t>
            </w:r>
          </w:p>
          <w:p w14:paraId="39B6D6E1" w14:textId="4C54E21B" w:rsidR="00871CE5" w:rsidRDefault="00871CE5" w:rsidP="00436F45">
            <w:pPr>
              <w:pStyle w:val="ListNumber"/>
              <w:numPr>
                <w:ilvl w:val="0"/>
                <w:numId w:val="33"/>
              </w:numPr>
              <w:spacing w:after="0"/>
              <w:ind w:left="709" w:right="565" w:hanging="226"/>
              <w:rPr>
                <w:sz w:val="20"/>
                <w:szCs w:val="20"/>
              </w:rPr>
            </w:pPr>
            <w:r>
              <w:rPr>
                <w:sz w:val="20"/>
                <w:szCs w:val="20"/>
              </w:rPr>
              <w:t xml:space="preserve">Development of First year webinars and an online wellbeing module that includes </w:t>
            </w:r>
            <w:r w:rsidR="00C87F65">
              <w:rPr>
                <w:sz w:val="20"/>
                <w:szCs w:val="20"/>
              </w:rPr>
              <w:t xml:space="preserve">a financial wellbeing component. </w:t>
            </w:r>
          </w:p>
          <w:p w14:paraId="6F730C9C" w14:textId="1FB18E8B" w:rsidR="00237DCF" w:rsidRDefault="00237DCF" w:rsidP="00436F45">
            <w:pPr>
              <w:pStyle w:val="ListNumber"/>
              <w:numPr>
                <w:ilvl w:val="0"/>
                <w:numId w:val="33"/>
              </w:numPr>
              <w:spacing w:after="0"/>
              <w:ind w:left="709" w:right="565" w:hanging="226"/>
              <w:rPr>
                <w:sz w:val="20"/>
                <w:szCs w:val="20"/>
              </w:rPr>
            </w:pPr>
            <w:r>
              <w:rPr>
                <w:sz w:val="20"/>
                <w:szCs w:val="20"/>
              </w:rPr>
              <w:t>Development of cultural capital module designed to demystify the ANU experience.</w:t>
            </w:r>
          </w:p>
          <w:p w14:paraId="4762AF9B" w14:textId="3165F7A8" w:rsidR="00C87F65" w:rsidRDefault="00C87F65" w:rsidP="00436F45">
            <w:pPr>
              <w:pStyle w:val="ListParagraph"/>
              <w:numPr>
                <w:ilvl w:val="0"/>
                <w:numId w:val="33"/>
              </w:numPr>
              <w:ind w:left="709" w:right="565" w:hanging="226"/>
              <w:rPr>
                <w:sz w:val="20"/>
                <w:szCs w:val="20"/>
              </w:rPr>
            </w:pPr>
            <w:r w:rsidRPr="007423EE">
              <w:rPr>
                <w:sz w:val="20"/>
                <w:szCs w:val="20"/>
              </w:rPr>
              <w:lastRenderedPageBreak/>
              <w:t xml:space="preserve">Implementation of crisis and wellbeing support with 24/7 availability. </w:t>
            </w:r>
          </w:p>
          <w:p w14:paraId="5D68B213" w14:textId="38FFE51A" w:rsidR="00C87F65" w:rsidRPr="00C87F65" w:rsidRDefault="00C87F65" w:rsidP="00436F45">
            <w:pPr>
              <w:pStyle w:val="ListParagraph"/>
              <w:numPr>
                <w:ilvl w:val="0"/>
                <w:numId w:val="33"/>
              </w:numPr>
              <w:ind w:left="709" w:right="565" w:hanging="226"/>
              <w:rPr>
                <w:sz w:val="20"/>
                <w:szCs w:val="20"/>
              </w:rPr>
            </w:pPr>
            <w:r>
              <w:rPr>
                <w:sz w:val="20"/>
                <w:szCs w:val="20"/>
              </w:rPr>
              <w:t>Development of suite of Accessibility Guides.</w:t>
            </w:r>
          </w:p>
          <w:p w14:paraId="4389C8E0" w14:textId="75F79B4D" w:rsidR="00237DCF" w:rsidRPr="000D5DE6" w:rsidRDefault="00621DDE" w:rsidP="00436F45">
            <w:pPr>
              <w:pStyle w:val="ListNumber"/>
              <w:numPr>
                <w:ilvl w:val="0"/>
                <w:numId w:val="33"/>
              </w:numPr>
              <w:spacing w:after="0"/>
              <w:ind w:left="709" w:right="565" w:hanging="226"/>
              <w:rPr>
                <w:sz w:val="20"/>
                <w:szCs w:val="20"/>
              </w:rPr>
            </w:pPr>
            <w:r>
              <w:rPr>
                <w:sz w:val="20"/>
                <w:szCs w:val="20"/>
              </w:rPr>
              <w:t>D</w:t>
            </w:r>
            <w:r w:rsidR="00871CE5">
              <w:rPr>
                <w:sz w:val="20"/>
                <w:szCs w:val="20"/>
              </w:rPr>
              <w:t>eve</w:t>
            </w:r>
            <w:r w:rsidR="002442FA">
              <w:rPr>
                <w:sz w:val="20"/>
                <w:szCs w:val="20"/>
              </w:rPr>
              <w:t>lopment of</w:t>
            </w:r>
            <w:r>
              <w:rPr>
                <w:sz w:val="20"/>
                <w:szCs w:val="20"/>
              </w:rPr>
              <w:t xml:space="preserve"> programs designed to enhance</w:t>
            </w:r>
            <w:r w:rsidR="002442FA">
              <w:rPr>
                <w:sz w:val="20"/>
                <w:szCs w:val="20"/>
              </w:rPr>
              <w:t xml:space="preserve"> employability skills</w:t>
            </w:r>
            <w:r w:rsidR="00237DCF">
              <w:rPr>
                <w:sz w:val="20"/>
                <w:szCs w:val="20"/>
              </w:rPr>
              <w:t xml:space="preserve"> for students with disabilities.</w:t>
            </w:r>
          </w:p>
        </w:tc>
      </w:tr>
      <w:tr w:rsidR="00581353" w14:paraId="4FBEF65A" w14:textId="77777777" w:rsidTr="00436F45">
        <w:trPr>
          <w:trHeight w:val="246"/>
        </w:trPr>
        <w:tc>
          <w:tcPr>
            <w:tcW w:w="2319" w:type="dxa"/>
          </w:tcPr>
          <w:p w14:paraId="1564FDAF" w14:textId="300CDE0B" w:rsidR="007E7532" w:rsidRDefault="007E7532" w:rsidP="00436F45">
            <w:pPr>
              <w:pStyle w:val="ListNumber"/>
              <w:numPr>
                <w:ilvl w:val="0"/>
                <w:numId w:val="0"/>
              </w:numPr>
              <w:spacing w:after="0"/>
              <w:ind w:left="709" w:right="565"/>
              <w:rPr>
                <w:sz w:val="20"/>
                <w:szCs w:val="20"/>
              </w:rPr>
            </w:pPr>
            <w:r>
              <w:rPr>
                <w:sz w:val="20"/>
                <w:szCs w:val="20"/>
              </w:rPr>
              <w:lastRenderedPageBreak/>
              <w:t>Research</w:t>
            </w:r>
          </w:p>
        </w:tc>
        <w:tc>
          <w:tcPr>
            <w:tcW w:w="2622" w:type="dxa"/>
          </w:tcPr>
          <w:p w14:paraId="206AA6FF" w14:textId="42AE93D9" w:rsidR="007E7532" w:rsidRDefault="007E7532" w:rsidP="00436F45">
            <w:pPr>
              <w:pStyle w:val="ListParagraph"/>
              <w:numPr>
                <w:ilvl w:val="0"/>
                <w:numId w:val="34"/>
              </w:numPr>
              <w:ind w:left="709" w:right="565"/>
              <w:rPr>
                <w:sz w:val="20"/>
                <w:szCs w:val="20"/>
              </w:rPr>
            </w:pPr>
            <w:r>
              <w:rPr>
                <w:sz w:val="20"/>
                <w:szCs w:val="20"/>
              </w:rPr>
              <w:t>In partnership with</w:t>
            </w:r>
            <w:r w:rsidR="002442FA">
              <w:rPr>
                <w:sz w:val="20"/>
                <w:szCs w:val="20"/>
              </w:rPr>
              <w:t xml:space="preserve"> NSW/ACT Widening </w:t>
            </w:r>
            <w:r w:rsidR="00237DCF">
              <w:rPr>
                <w:sz w:val="20"/>
                <w:szCs w:val="20"/>
              </w:rPr>
              <w:t xml:space="preserve">Participation Managers </w:t>
            </w:r>
            <w:r w:rsidR="002442FA">
              <w:rPr>
                <w:sz w:val="20"/>
                <w:szCs w:val="20"/>
              </w:rPr>
              <w:t>and NCSEHE involvement in</w:t>
            </w:r>
            <w:r w:rsidR="00581353">
              <w:rPr>
                <w:sz w:val="20"/>
                <w:szCs w:val="20"/>
              </w:rPr>
              <w:t xml:space="preserve"> at least one</w:t>
            </w:r>
            <w:r w:rsidR="002442FA">
              <w:rPr>
                <w:sz w:val="20"/>
                <w:szCs w:val="20"/>
              </w:rPr>
              <w:t xml:space="preserve"> research project</w:t>
            </w:r>
            <w:r w:rsidR="00581353">
              <w:rPr>
                <w:sz w:val="20"/>
                <w:szCs w:val="20"/>
              </w:rPr>
              <w:t xml:space="preserve"> </w:t>
            </w:r>
            <w:r w:rsidR="002442FA">
              <w:rPr>
                <w:sz w:val="20"/>
                <w:szCs w:val="20"/>
              </w:rPr>
              <w:t xml:space="preserve">with a focus on LSES students. </w:t>
            </w:r>
          </w:p>
          <w:p w14:paraId="5E64E389" w14:textId="0E5BEB5F" w:rsidR="00237DCF" w:rsidRPr="007423EE" w:rsidRDefault="00237DCF" w:rsidP="00436F45">
            <w:pPr>
              <w:pStyle w:val="ListParagraph"/>
              <w:numPr>
                <w:ilvl w:val="0"/>
                <w:numId w:val="34"/>
              </w:numPr>
              <w:ind w:left="709" w:right="565"/>
              <w:rPr>
                <w:sz w:val="20"/>
                <w:szCs w:val="20"/>
              </w:rPr>
            </w:pPr>
            <w:r>
              <w:rPr>
                <w:sz w:val="20"/>
                <w:szCs w:val="20"/>
              </w:rPr>
              <w:t>Creating baseline and historic data on</w:t>
            </w:r>
            <w:r w:rsidR="000D5DE6">
              <w:rPr>
                <w:sz w:val="20"/>
                <w:szCs w:val="20"/>
              </w:rPr>
              <w:t xml:space="preserve"> the</w:t>
            </w:r>
            <w:r>
              <w:rPr>
                <w:sz w:val="20"/>
                <w:szCs w:val="20"/>
              </w:rPr>
              <w:t xml:space="preserve"> </w:t>
            </w:r>
            <w:proofErr w:type="gramStart"/>
            <w:r>
              <w:rPr>
                <w:sz w:val="20"/>
                <w:szCs w:val="20"/>
              </w:rPr>
              <w:t>first year</w:t>
            </w:r>
            <w:proofErr w:type="gramEnd"/>
            <w:r>
              <w:rPr>
                <w:sz w:val="20"/>
                <w:szCs w:val="20"/>
              </w:rPr>
              <w:t xml:space="preserve"> experience </w:t>
            </w:r>
            <w:r w:rsidR="000D5DE6">
              <w:rPr>
                <w:sz w:val="20"/>
                <w:szCs w:val="20"/>
              </w:rPr>
              <w:t>of LSES, Regional, Rural and Remote students at ANU.</w:t>
            </w:r>
          </w:p>
        </w:tc>
        <w:tc>
          <w:tcPr>
            <w:tcW w:w="2558" w:type="dxa"/>
          </w:tcPr>
          <w:p w14:paraId="5F79EB1D" w14:textId="7A8BFDFE" w:rsidR="007E7532" w:rsidRDefault="002442FA" w:rsidP="00436F45">
            <w:pPr>
              <w:pStyle w:val="ListNumber"/>
              <w:numPr>
                <w:ilvl w:val="0"/>
                <w:numId w:val="33"/>
              </w:numPr>
              <w:spacing w:after="0"/>
              <w:ind w:left="709" w:right="565" w:hanging="259"/>
              <w:rPr>
                <w:sz w:val="20"/>
                <w:szCs w:val="20"/>
              </w:rPr>
            </w:pPr>
            <w:r>
              <w:rPr>
                <w:sz w:val="20"/>
                <w:szCs w:val="20"/>
              </w:rPr>
              <w:t xml:space="preserve">Reports and research contribution produced and disseminated. </w:t>
            </w:r>
          </w:p>
        </w:tc>
        <w:tc>
          <w:tcPr>
            <w:tcW w:w="2282" w:type="dxa"/>
          </w:tcPr>
          <w:p w14:paraId="6C921981" w14:textId="77777777" w:rsidR="007E7532" w:rsidRDefault="002442FA" w:rsidP="00436F45">
            <w:pPr>
              <w:pStyle w:val="ListNumber"/>
              <w:numPr>
                <w:ilvl w:val="0"/>
                <w:numId w:val="33"/>
              </w:numPr>
              <w:spacing w:after="0"/>
              <w:ind w:left="709" w:right="565" w:hanging="226"/>
              <w:rPr>
                <w:sz w:val="20"/>
                <w:szCs w:val="20"/>
              </w:rPr>
            </w:pPr>
            <w:r>
              <w:rPr>
                <w:sz w:val="20"/>
                <w:szCs w:val="20"/>
              </w:rPr>
              <w:t>Contribution to high quality research to inform best practice.</w:t>
            </w:r>
          </w:p>
          <w:p w14:paraId="633DAA66" w14:textId="2F50BC1F" w:rsidR="00621DDE" w:rsidRDefault="00621DDE" w:rsidP="00436F45">
            <w:pPr>
              <w:pStyle w:val="ListNumber"/>
              <w:numPr>
                <w:ilvl w:val="0"/>
                <w:numId w:val="33"/>
              </w:numPr>
              <w:spacing w:after="0"/>
              <w:ind w:left="709" w:right="565" w:hanging="226"/>
              <w:rPr>
                <w:sz w:val="20"/>
                <w:szCs w:val="20"/>
              </w:rPr>
            </w:pPr>
            <w:r>
              <w:rPr>
                <w:sz w:val="20"/>
                <w:szCs w:val="20"/>
              </w:rPr>
              <w:t>Production of baseline and historic data on FYE</w:t>
            </w:r>
          </w:p>
        </w:tc>
      </w:tr>
    </w:tbl>
    <w:p w14:paraId="7C8D643B" w14:textId="77777777" w:rsidR="00A4521B" w:rsidRDefault="00A4521B" w:rsidP="00436F45">
      <w:pPr>
        <w:tabs>
          <w:tab w:val="left" w:pos="426"/>
        </w:tabs>
        <w:spacing w:after="0" w:line="240" w:lineRule="auto"/>
        <w:ind w:left="709" w:right="565"/>
        <w:rPr>
          <w:sz w:val="24"/>
          <w:szCs w:val="24"/>
        </w:rPr>
      </w:pPr>
    </w:p>
    <w:p w14:paraId="44AB608A" w14:textId="7F0BA387" w:rsidR="0044201B" w:rsidRPr="000D5DE6" w:rsidRDefault="0044201B" w:rsidP="00436F45">
      <w:pPr>
        <w:tabs>
          <w:tab w:val="left" w:pos="426"/>
        </w:tabs>
        <w:spacing w:after="0" w:line="240" w:lineRule="auto"/>
        <w:ind w:left="709" w:right="565"/>
        <w:rPr>
          <w:b/>
          <w:sz w:val="20"/>
          <w:szCs w:val="20"/>
        </w:rPr>
      </w:pPr>
      <w:r w:rsidRPr="000D5DE6">
        <w:rPr>
          <w:b/>
          <w:sz w:val="20"/>
          <w:szCs w:val="20"/>
        </w:rPr>
        <w:t>2.</w:t>
      </w:r>
      <w:r w:rsidRPr="000D5DE6">
        <w:rPr>
          <w:b/>
          <w:sz w:val="20"/>
          <w:szCs w:val="20"/>
        </w:rPr>
        <w:tab/>
        <w:t xml:space="preserve">Evaluation Plan </w:t>
      </w:r>
    </w:p>
    <w:p w14:paraId="011AD9AD" w14:textId="77777777" w:rsidR="00436F45" w:rsidRDefault="00436F45" w:rsidP="00436F45">
      <w:pPr>
        <w:spacing w:line="240" w:lineRule="auto"/>
        <w:ind w:left="709" w:right="565"/>
        <w:rPr>
          <w:sz w:val="20"/>
          <w:szCs w:val="20"/>
        </w:rPr>
      </w:pPr>
    </w:p>
    <w:p w14:paraId="3F5A9454" w14:textId="7BFF02C9" w:rsidR="00436F45" w:rsidRDefault="0044201B" w:rsidP="00436F45">
      <w:pPr>
        <w:spacing w:line="240" w:lineRule="auto"/>
        <w:ind w:left="709" w:right="565"/>
        <w:rPr>
          <w:sz w:val="20"/>
          <w:szCs w:val="20"/>
        </w:rPr>
      </w:pPr>
      <w:r w:rsidRPr="000D5DE6">
        <w:rPr>
          <w:sz w:val="20"/>
          <w:szCs w:val="20"/>
        </w:rPr>
        <w:t xml:space="preserve">Reporting will compare data each year and describe the annual impact for </w:t>
      </w:r>
      <w:r w:rsidR="007E7532" w:rsidRPr="000D5DE6">
        <w:rPr>
          <w:sz w:val="20"/>
          <w:szCs w:val="20"/>
        </w:rPr>
        <w:t>domestic undergraduate low SES students</w:t>
      </w:r>
      <w:r w:rsidRPr="000D5DE6">
        <w:rPr>
          <w:sz w:val="20"/>
          <w:szCs w:val="20"/>
        </w:rPr>
        <w:t>. Quantitative data relating to current enrolments, commencing enrolments, retention rates and completions will be tracked and analysed.  Additional relevant quantit</w:t>
      </w:r>
      <w:r w:rsidR="000C1B07" w:rsidRPr="000D5DE6">
        <w:rPr>
          <w:sz w:val="20"/>
          <w:szCs w:val="20"/>
        </w:rPr>
        <w:t xml:space="preserve">ative and qualitative data will </w:t>
      </w:r>
      <w:r w:rsidRPr="000D5DE6">
        <w:rPr>
          <w:sz w:val="20"/>
          <w:szCs w:val="20"/>
        </w:rPr>
        <w:t>be provided where appropriate.</w:t>
      </w:r>
    </w:p>
    <w:p w14:paraId="73B1D62F" w14:textId="4F303696" w:rsidR="00436F45" w:rsidRDefault="00436F45" w:rsidP="00436F45">
      <w:pPr>
        <w:spacing w:line="240" w:lineRule="auto"/>
        <w:ind w:left="709" w:right="565"/>
        <w:rPr>
          <w:sz w:val="20"/>
          <w:szCs w:val="20"/>
        </w:rPr>
      </w:pPr>
    </w:p>
    <w:p w14:paraId="4E47D7B4" w14:textId="6AAEAC12" w:rsidR="00436F45" w:rsidRPr="000D5DE6" w:rsidRDefault="00436F45" w:rsidP="00436F45">
      <w:pPr>
        <w:spacing w:line="240" w:lineRule="auto"/>
        <w:ind w:right="565"/>
        <w:rPr>
          <w:sz w:val="20"/>
          <w:szCs w:val="20"/>
        </w:rPr>
      </w:pPr>
    </w:p>
    <w:p w14:paraId="16519F67" w14:textId="0B2B3E68" w:rsidR="000D5DE6" w:rsidRDefault="0044201B" w:rsidP="00436F45">
      <w:pPr>
        <w:tabs>
          <w:tab w:val="left" w:pos="426"/>
        </w:tabs>
        <w:spacing w:after="0" w:line="240" w:lineRule="auto"/>
        <w:ind w:left="709" w:right="565"/>
        <w:rPr>
          <w:b/>
          <w:sz w:val="20"/>
          <w:szCs w:val="20"/>
        </w:rPr>
      </w:pPr>
      <w:r w:rsidRPr="000D5DE6">
        <w:rPr>
          <w:b/>
          <w:sz w:val="20"/>
          <w:szCs w:val="20"/>
        </w:rPr>
        <w:lastRenderedPageBreak/>
        <w:t>3.</w:t>
      </w:r>
      <w:r w:rsidRPr="000D5DE6">
        <w:rPr>
          <w:b/>
          <w:sz w:val="20"/>
          <w:szCs w:val="20"/>
        </w:rPr>
        <w:tab/>
        <w:t xml:space="preserve">Partnerships and collaboration </w:t>
      </w:r>
      <w:r w:rsidR="000D5DE6">
        <w:rPr>
          <w:b/>
          <w:sz w:val="20"/>
          <w:szCs w:val="20"/>
        </w:rPr>
        <w:t>– The university will collaborate with:</w:t>
      </w:r>
    </w:p>
    <w:p w14:paraId="1505DD92" w14:textId="77777777" w:rsidR="00581353" w:rsidRDefault="00581353" w:rsidP="00436F45">
      <w:pPr>
        <w:tabs>
          <w:tab w:val="left" w:pos="426"/>
        </w:tabs>
        <w:spacing w:after="0" w:line="240" w:lineRule="auto"/>
        <w:ind w:left="709" w:right="565"/>
        <w:rPr>
          <w:b/>
          <w:sz w:val="20"/>
          <w:szCs w:val="20"/>
        </w:rPr>
      </w:pPr>
    </w:p>
    <w:tbl>
      <w:tblPr>
        <w:tblStyle w:val="TableGrid"/>
        <w:tblW w:w="10117" w:type="dxa"/>
        <w:tblInd w:w="704" w:type="dxa"/>
        <w:tblLook w:val="04A0" w:firstRow="1" w:lastRow="0" w:firstColumn="1" w:lastColumn="0" w:noHBand="0" w:noVBand="1"/>
      </w:tblPr>
      <w:tblGrid>
        <w:gridCol w:w="2951"/>
        <w:gridCol w:w="3582"/>
        <w:gridCol w:w="3584"/>
      </w:tblGrid>
      <w:tr w:rsidR="000D5DE6" w14:paraId="5C7EE459" w14:textId="77777777" w:rsidTr="00436F45">
        <w:trPr>
          <w:trHeight w:val="1117"/>
        </w:trPr>
        <w:tc>
          <w:tcPr>
            <w:tcW w:w="2951" w:type="dxa"/>
          </w:tcPr>
          <w:p w14:paraId="5E85FEC5" w14:textId="1012DACD" w:rsidR="000D5DE6" w:rsidRPr="000D5DE6" w:rsidRDefault="000D5DE6" w:rsidP="00436F45">
            <w:pPr>
              <w:tabs>
                <w:tab w:val="left" w:pos="426"/>
              </w:tabs>
              <w:ind w:left="709" w:right="565"/>
              <w:rPr>
                <w:sz w:val="20"/>
                <w:szCs w:val="20"/>
              </w:rPr>
            </w:pPr>
            <w:r w:rsidRPr="000D5DE6">
              <w:rPr>
                <w:sz w:val="20"/>
                <w:szCs w:val="20"/>
              </w:rPr>
              <w:t>Schools</w:t>
            </w:r>
          </w:p>
        </w:tc>
        <w:tc>
          <w:tcPr>
            <w:tcW w:w="3582" w:type="dxa"/>
          </w:tcPr>
          <w:p w14:paraId="558BB54A" w14:textId="4AA9E3F2" w:rsidR="000D5DE6" w:rsidRPr="000D5DE6" w:rsidRDefault="000D5DE6" w:rsidP="00436F45">
            <w:pPr>
              <w:tabs>
                <w:tab w:val="left" w:pos="426"/>
              </w:tabs>
              <w:ind w:left="709" w:right="565"/>
              <w:rPr>
                <w:sz w:val="20"/>
                <w:szCs w:val="20"/>
              </w:rPr>
            </w:pPr>
            <w:r w:rsidRPr="000D5DE6">
              <w:rPr>
                <w:sz w:val="20"/>
                <w:szCs w:val="20"/>
              </w:rPr>
              <w:t>University of Canberra</w:t>
            </w:r>
          </w:p>
        </w:tc>
        <w:tc>
          <w:tcPr>
            <w:tcW w:w="3584" w:type="dxa"/>
          </w:tcPr>
          <w:p w14:paraId="6BB6BD09" w14:textId="7EB33E80" w:rsidR="000D5DE6" w:rsidRPr="000D5DE6" w:rsidRDefault="000D5DE6" w:rsidP="00436F45">
            <w:pPr>
              <w:tabs>
                <w:tab w:val="left" w:pos="426"/>
              </w:tabs>
              <w:ind w:left="709" w:right="565"/>
              <w:rPr>
                <w:sz w:val="20"/>
                <w:szCs w:val="20"/>
              </w:rPr>
            </w:pPr>
            <w:r w:rsidRPr="000D5DE6">
              <w:rPr>
                <w:sz w:val="20"/>
                <w:szCs w:val="20"/>
              </w:rPr>
              <w:t>University of Sydney</w:t>
            </w:r>
          </w:p>
        </w:tc>
      </w:tr>
      <w:tr w:rsidR="000D5DE6" w14:paraId="2AD7AB74" w14:textId="77777777" w:rsidTr="00436F45">
        <w:trPr>
          <w:trHeight w:val="1635"/>
        </w:trPr>
        <w:tc>
          <w:tcPr>
            <w:tcW w:w="2951" w:type="dxa"/>
          </w:tcPr>
          <w:p w14:paraId="332E0C8F" w14:textId="7A5A89BF" w:rsidR="000D5DE6" w:rsidRPr="000D5DE6" w:rsidRDefault="000D5DE6" w:rsidP="00436F45">
            <w:pPr>
              <w:tabs>
                <w:tab w:val="left" w:pos="426"/>
              </w:tabs>
              <w:ind w:left="709" w:right="565"/>
              <w:rPr>
                <w:sz w:val="20"/>
                <w:szCs w:val="20"/>
              </w:rPr>
            </w:pPr>
            <w:r w:rsidRPr="000D5DE6">
              <w:rPr>
                <w:sz w:val="20"/>
                <w:szCs w:val="20"/>
              </w:rPr>
              <w:t>University of Wollongong</w:t>
            </w:r>
          </w:p>
        </w:tc>
        <w:tc>
          <w:tcPr>
            <w:tcW w:w="3582" w:type="dxa"/>
          </w:tcPr>
          <w:p w14:paraId="08A48FF0" w14:textId="292BFCCE" w:rsidR="000D5DE6" w:rsidRPr="000D5DE6" w:rsidRDefault="000D5DE6" w:rsidP="00436F45">
            <w:pPr>
              <w:tabs>
                <w:tab w:val="left" w:pos="426"/>
              </w:tabs>
              <w:ind w:left="709" w:right="565"/>
              <w:rPr>
                <w:sz w:val="20"/>
                <w:szCs w:val="20"/>
              </w:rPr>
            </w:pPr>
            <w:r w:rsidRPr="000D5DE6">
              <w:rPr>
                <w:sz w:val="20"/>
                <w:szCs w:val="20"/>
              </w:rPr>
              <w:t>The Smith Family</w:t>
            </w:r>
          </w:p>
        </w:tc>
        <w:tc>
          <w:tcPr>
            <w:tcW w:w="3584" w:type="dxa"/>
          </w:tcPr>
          <w:p w14:paraId="2C329054" w14:textId="3FB26CCE" w:rsidR="000D5DE6" w:rsidRPr="000D5DE6" w:rsidRDefault="000D5DE6" w:rsidP="00436F45">
            <w:pPr>
              <w:ind w:left="709" w:right="565"/>
              <w:rPr>
                <w:sz w:val="20"/>
                <w:szCs w:val="20"/>
              </w:rPr>
            </w:pPr>
            <w:r w:rsidRPr="000D5DE6">
              <w:rPr>
                <w:sz w:val="20"/>
                <w:szCs w:val="20"/>
              </w:rPr>
              <w:t>Country Education Fund Association (CEFA)</w:t>
            </w:r>
          </w:p>
        </w:tc>
      </w:tr>
      <w:tr w:rsidR="000D5DE6" w14:paraId="37D1FF91" w14:textId="77777777" w:rsidTr="00436F45">
        <w:trPr>
          <w:trHeight w:val="1117"/>
        </w:trPr>
        <w:tc>
          <w:tcPr>
            <w:tcW w:w="2951" w:type="dxa"/>
          </w:tcPr>
          <w:p w14:paraId="252289D7" w14:textId="1102F55B" w:rsidR="000D5DE6" w:rsidRPr="000D5DE6" w:rsidRDefault="000D5DE6" w:rsidP="00436F45">
            <w:pPr>
              <w:ind w:left="709" w:right="565"/>
              <w:rPr>
                <w:sz w:val="20"/>
                <w:szCs w:val="20"/>
              </w:rPr>
            </w:pPr>
            <w:r>
              <w:rPr>
                <w:sz w:val="20"/>
                <w:szCs w:val="20"/>
              </w:rPr>
              <w:t>EPHEA</w:t>
            </w:r>
          </w:p>
        </w:tc>
        <w:tc>
          <w:tcPr>
            <w:tcW w:w="3582" w:type="dxa"/>
          </w:tcPr>
          <w:p w14:paraId="390ECE41" w14:textId="2A0E37D5" w:rsidR="000D5DE6" w:rsidRDefault="000D5DE6" w:rsidP="00436F45">
            <w:pPr>
              <w:tabs>
                <w:tab w:val="left" w:pos="426"/>
              </w:tabs>
              <w:ind w:left="709" w:right="565"/>
              <w:rPr>
                <w:b/>
                <w:sz w:val="20"/>
                <w:szCs w:val="20"/>
              </w:rPr>
            </w:pPr>
            <w:r w:rsidRPr="000D5DE6">
              <w:rPr>
                <w:sz w:val="20"/>
                <w:szCs w:val="20"/>
              </w:rPr>
              <w:t>Engage University Outreach</w:t>
            </w:r>
          </w:p>
        </w:tc>
        <w:tc>
          <w:tcPr>
            <w:tcW w:w="3584" w:type="dxa"/>
          </w:tcPr>
          <w:p w14:paraId="080B6297" w14:textId="1F9440EE" w:rsidR="000D5DE6" w:rsidRPr="000D5DE6" w:rsidRDefault="000D5DE6" w:rsidP="00436F45">
            <w:pPr>
              <w:ind w:left="709" w:right="565"/>
              <w:rPr>
                <w:sz w:val="20"/>
                <w:szCs w:val="20"/>
              </w:rPr>
            </w:pPr>
            <w:r w:rsidRPr="000D5DE6">
              <w:rPr>
                <w:sz w:val="20"/>
                <w:szCs w:val="20"/>
              </w:rPr>
              <w:t>Youth Leading in STEM</w:t>
            </w:r>
          </w:p>
        </w:tc>
      </w:tr>
      <w:tr w:rsidR="00D602DD" w14:paraId="396E056B" w14:textId="77777777" w:rsidTr="00436F45">
        <w:trPr>
          <w:trHeight w:val="1090"/>
        </w:trPr>
        <w:tc>
          <w:tcPr>
            <w:tcW w:w="2951" w:type="dxa"/>
          </w:tcPr>
          <w:p w14:paraId="27AD31A8" w14:textId="57A486BF" w:rsidR="00D602DD" w:rsidRDefault="00D602DD" w:rsidP="00436F45">
            <w:pPr>
              <w:ind w:left="709" w:right="565"/>
              <w:rPr>
                <w:sz w:val="20"/>
                <w:szCs w:val="20"/>
              </w:rPr>
            </w:pPr>
            <w:r>
              <w:rPr>
                <w:sz w:val="20"/>
                <w:szCs w:val="20"/>
              </w:rPr>
              <w:t>Applied Inspiration</w:t>
            </w:r>
          </w:p>
        </w:tc>
        <w:tc>
          <w:tcPr>
            <w:tcW w:w="3582" w:type="dxa"/>
          </w:tcPr>
          <w:p w14:paraId="3A56B35A" w14:textId="600D5992" w:rsidR="00D602DD" w:rsidRPr="000D5DE6" w:rsidRDefault="00D602DD" w:rsidP="00436F45">
            <w:pPr>
              <w:tabs>
                <w:tab w:val="left" w:pos="426"/>
              </w:tabs>
              <w:ind w:left="709" w:right="565"/>
              <w:rPr>
                <w:sz w:val="20"/>
                <w:szCs w:val="20"/>
              </w:rPr>
            </w:pPr>
            <w:r>
              <w:rPr>
                <w:sz w:val="20"/>
                <w:szCs w:val="20"/>
              </w:rPr>
              <w:t>Country to Canberra</w:t>
            </w:r>
          </w:p>
        </w:tc>
        <w:tc>
          <w:tcPr>
            <w:tcW w:w="3584" w:type="dxa"/>
          </w:tcPr>
          <w:p w14:paraId="2B2B5BD0" w14:textId="08D5B6C4" w:rsidR="00D602DD" w:rsidRPr="000D5DE6" w:rsidRDefault="00D602DD" w:rsidP="00436F45">
            <w:pPr>
              <w:ind w:left="709" w:right="565"/>
              <w:rPr>
                <w:sz w:val="20"/>
                <w:szCs w:val="20"/>
              </w:rPr>
            </w:pPr>
            <w:r>
              <w:rPr>
                <w:sz w:val="20"/>
                <w:szCs w:val="20"/>
              </w:rPr>
              <w:t>Why Not You Project</w:t>
            </w:r>
          </w:p>
        </w:tc>
      </w:tr>
    </w:tbl>
    <w:p w14:paraId="031017CA" w14:textId="77777777" w:rsidR="009C0EA3" w:rsidRDefault="009C0EA3" w:rsidP="00436F45">
      <w:pPr>
        <w:pStyle w:val="Heading1"/>
        <w:spacing w:after="120"/>
        <w:ind w:left="709" w:right="565"/>
        <w:rPr>
          <w:b w:val="0"/>
          <w:bCs w:val="0"/>
        </w:rPr>
      </w:pPr>
    </w:p>
    <w:sectPr w:rsidR="009C0EA3" w:rsidSect="00436F45">
      <w:headerReference w:type="default" r:id="rId11"/>
      <w:footerReference w:type="default" r:id="rId12"/>
      <w:headerReference w:type="first" r:id="rId13"/>
      <w:pgSz w:w="11906" w:h="16838"/>
      <w:pgMar w:top="1440" w:right="851" w:bottom="851" w:left="28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E3860" w14:textId="77777777" w:rsidR="00645216" w:rsidRDefault="00645216" w:rsidP="00130923">
      <w:pPr>
        <w:spacing w:after="0" w:line="240" w:lineRule="auto"/>
      </w:pPr>
      <w:r>
        <w:separator/>
      </w:r>
    </w:p>
  </w:endnote>
  <w:endnote w:type="continuationSeparator" w:id="0">
    <w:p w14:paraId="50F25806" w14:textId="77777777" w:rsidR="00645216" w:rsidRDefault="00645216"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1FC8" w14:textId="2D0F4C20" w:rsidR="00BA1BDF" w:rsidRDefault="00BA62B3"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BA1BDF">
          <w:fldChar w:fldCharType="begin"/>
        </w:r>
        <w:r w:rsidR="00BA1BDF">
          <w:instrText xml:space="preserve"> PAGE   \* MERGEFORMAT </w:instrText>
        </w:r>
        <w:r w:rsidR="00BA1BDF">
          <w:fldChar w:fldCharType="separate"/>
        </w:r>
        <w:r w:rsidR="00A21ACD">
          <w:rPr>
            <w:noProof/>
          </w:rPr>
          <w:t>4</w:t>
        </w:r>
        <w:r w:rsidR="00BA1BD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9DCA7" w14:textId="77777777" w:rsidR="00645216" w:rsidRDefault="00645216" w:rsidP="00130923">
      <w:pPr>
        <w:spacing w:after="0" w:line="240" w:lineRule="auto"/>
      </w:pPr>
      <w:r>
        <w:separator/>
      </w:r>
    </w:p>
  </w:footnote>
  <w:footnote w:type="continuationSeparator" w:id="0">
    <w:p w14:paraId="505BCB69" w14:textId="77777777" w:rsidR="00645216" w:rsidRDefault="00645216"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1FC7" w14:textId="51AB3DDD" w:rsidR="00BA1BDF" w:rsidRDefault="00BA1BDF" w:rsidP="00A66052">
    <w:pPr>
      <w:pStyle w:val="Header"/>
      <w:spacing w:after="480"/>
      <w:jc w:val="right"/>
    </w:pPr>
    <w:r>
      <w:t>Access and Participation Plan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A92DB" w14:textId="77777777" w:rsidR="00436F45" w:rsidRDefault="00436F45" w:rsidP="00436F45">
    <w:pPr>
      <w:pStyle w:val="Header"/>
      <w:spacing w:after="480"/>
      <w:jc w:val="right"/>
    </w:pPr>
    <w:r>
      <w:t>Access and Participation Plan 2019</w:t>
    </w:r>
  </w:p>
  <w:p w14:paraId="2589C8E1" w14:textId="77777777" w:rsidR="00436F45" w:rsidRDefault="00436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CC8BD2"/>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60F65A0"/>
    <w:multiLevelType w:val="hybridMultilevel"/>
    <w:tmpl w:val="D298D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1FC574E3"/>
    <w:multiLevelType w:val="hybridMultilevel"/>
    <w:tmpl w:val="DF288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9"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BE74E7F"/>
    <w:multiLevelType w:val="hybridMultilevel"/>
    <w:tmpl w:val="333CF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770024"/>
    <w:multiLevelType w:val="hybridMultilevel"/>
    <w:tmpl w:val="2C0C1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D503B6C"/>
    <w:multiLevelType w:val="hybridMultilevel"/>
    <w:tmpl w:val="B6464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666034C4"/>
    <w:multiLevelType w:val="hybridMultilevel"/>
    <w:tmpl w:val="0F081D3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742F05F7"/>
    <w:multiLevelType w:val="hybridMultilevel"/>
    <w:tmpl w:val="EFB8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7"/>
  </w:num>
  <w:num w:numId="15">
    <w:abstractNumId w:val="11"/>
  </w:num>
  <w:num w:numId="16">
    <w:abstractNumId w:val="2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0"/>
  </w:num>
  <w:num w:numId="21">
    <w:abstractNumId w:val="19"/>
  </w:num>
  <w:num w:numId="22">
    <w:abstractNumId w:val="23"/>
  </w:num>
  <w:num w:numId="23">
    <w:abstractNumId w:val="15"/>
  </w:num>
  <w:num w:numId="24">
    <w:abstractNumId w:val="18"/>
  </w:num>
  <w:num w:numId="25">
    <w:abstractNumId w:val="15"/>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2"/>
  </w:num>
  <w:num w:numId="31">
    <w:abstractNumId w:val="29"/>
  </w:num>
  <w:num w:numId="32">
    <w:abstractNumId w:val="25"/>
  </w:num>
  <w:num w:numId="33">
    <w:abstractNumId w:val="20"/>
  </w:num>
  <w:num w:numId="34">
    <w:abstractNumId w:val="21"/>
  </w:num>
  <w:num w:numId="35">
    <w:abstractNumId w:val="26"/>
  </w:num>
  <w:num w:numId="36">
    <w:abstractNumId w:val="13"/>
  </w:num>
  <w:num w:numId="37">
    <w:abstractNumId w:val="1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F76175"/>
    <w:rsid w:val="0000170B"/>
    <w:rsid w:val="00002721"/>
    <w:rsid w:val="00007E0C"/>
    <w:rsid w:val="00024E24"/>
    <w:rsid w:val="00034EAA"/>
    <w:rsid w:val="000861A6"/>
    <w:rsid w:val="000C1B07"/>
    <w:rsid w:val="000D5DE6"/>
    <w:rsid w:val="000D7FD3"/>
    <w:rsid w:val="000E7E7B"/>
    <w:rsid w:val="000F3BA2"/>
    <w:rsid w:val="00103F8C"/>
    <w:rsid w:val="001175BF"/>
    <w:rsid w:val="00130923"/>
    <w:rsid w:val="00132B66"/>
    <w:rsid w:val="001414F3"/>
    <w:rsid w:val="00143FCD"/>
    <w:rsid w:val="00152D18"/>
    <w:rsid w:val="001A495D"/>
    <w:rsid w:val="001B2B28"/>
    <w:rsid w:val="001B6467"/>
    <w:rsid w:val="001C48A7"/>
    <w:rsid w:val="001D7954"/>
    <w:rsid w:val="002076E6"/>
    <w:rsid w:val="00222463"/>
    <w:rsid w:val="002239F5"/>
    <w:rsid w:val="00223EB1"/>
    <w:rsid w:val="00236917"/>
    <w:rsid w:val="00237DCF"/>
    <w:rsid w:val="00241465"/>
    <w:rsid w:val="00241D06"/>
    <w:rsid w:val="00243D6B"/>
    <w:rsid w:val="002442FA"/>
    <w:rsid w:val="00245F55"/>
    <w:rsid w:val="0026793C"/>
    <w:rsid w:val="002758D7"/>
    <w:rsid w:val="00276954"/>
    <w:rsid w:val="002822BD"/>
    <w:rsid w:val="002A11FB"/>
    <w:rsid w:val="002B06E6"/>
    <w:rsid w:val="002C3AA1"/>
    <w:rsid w:val="002D271F"/>
    <w:rsid w:val="002D6386"/>
    <w:rsid w:val="002D7D13"/>
    <w:rsid w:val="002F1999"/>
    <w:rsid w:val="00303892"/>
    <w:rsid w:val="00305B35"/>
    <w:rsid w:val="003155A7"/>
    <w:rsid w:val="003155A8"/>
    <w:rsid w:val="003166C5"/>
    <w:rsid w:val="003242B9"/>
    <w:rsid w:val="0034671D"/>
    <w:rsid w:val="00347401"/>
    <w:rsid w:val="003723BB"/>
    <w:rsid w:val="003753C7"/>
    <w:rsid w:val="00376582"/>
    <w:rsid w:val="0038467B"/>
    <w:rsid w:val="00395311"/>
    <w:rsid w:val="003979FC"/>
    <w:rsid w:val="003D67FC"/>
    <w:rsid w:val="003F3879"/>
    <w:rsid w:val="00406E5A"/>
    <w:rsid w:val="00415A1A"/>
    <w:rsid w:val="0041715E"/>
    <w:rsid w:val="0042619D"/>
    <w:rsid w:val="00436F45"/>
    <w:rsid w:val="0044201B"/>
    <w:rsid w:val="00443110"/>
    <w:rsid w:val="00455B34"/>
    <w:rsid w:val="00481F02"/>
    <w:rsid w:val="0048762C"/>
    <w:rsid w:val="004B256F"/>
    <w:rsid w:val="004F15A7"/>
    <w:rsid w:val="005113B6"/>
    <w:rsid w:val="00531817"/>
    <w:rsid w:val="00540736"/>
    <w:rsid w:val="005428ED"/>
    <w:rsid w:val="00560CA0"/>
    <w:rsid w:val="005624F3"/>
    <w:rsid w:val="005811EF"/>
    <w:rsid w:val="00581353"/>
    <w:rsid w:val="00585156"/>
    <w:rsid w:val="005B0878"/>
    <w:rsid w:val="005B66CA"/>
    <w:rsid w:val="005C15C0"/>
    <w:rsid w:val="00610654"/>
    <w:rsid w:val="00620B25"/>
    <w:rsid w:val="006212FC"/>
    <w:rsid w:val="00621DDE"/>
    <w:rsid w:val="0062410D"/>
    <w:rsid w:val="006318B9"/>
    <w:rsid w:val="00645216"/>
    <w:rsid w:val="0067026C"/>
    <w:rsid w:val="006E2D49"/>
    <w:rsid w:val="0070164F"/>
    <w:rsid w:val="00712BE3"/>
    <w:rsid w:val="00732DC3"/>
    <w:rsid w:val="007423EE"/>
    <w:rsid w:val="007468FC"/>
    <w:rsid w:val="00782F1B"/>
    <w:rsid w:val="00792CA3"/>
    <w:rsid w:val="007B2FDD"/>
    <w:rsid w:val="007D58FB"/>
    <w:rsid w:val="007E0574"/>
    <w:rsid w:val="007E7532"/>
    <w:rsid w:val="008163BB"/>
    <w:rsid w:val="00832FB2"/>
    <w:rsid w:val="0083468A"/>
    <w:rsid w:val="00837827"/>
    <w:rsid w:val="00842D43"/>
    <w:rsid w:val="00845040"/>
    <w:rsid w:val="00856D1C"/>
    <w:rsid w:val="00871CE5"/>
    <w:rsid w:val="00876AC0"/>
    <w:rsid w:val="008E5219"/>
    <w:rsid w:val="008E5AC8"/>
    <w:rsid w:val="008E773B"/>
    <w:rsid w:val="00903408"/>
    <w:rsid w:val="00905AD9"/>
    <w:rsid w:val="009116EA"/>
    <w:rsid w:val="00931E30"/>
    <w:rsid w:val="00933671"/>
    <w:rsid w:val="00971D09"/>
    <w:rsid w:val="00972BF7"/>
    <w:rsid w:val="00972DD5"/>
    <w:rsid w:val="00984879"/>
    <w:rsid w:val="00985632"/>
    <w:rsid w:val="00991B63"/>
    <w:rsid w:val="009B2428"/>
    <w:rsid w:val="009B5CB7"/>
    <w:rsid w:val="009C0EA3"/>
    <w:rsid w:val="009D3C4D"/>
    <w:rsid w:val="009F3E64"/>
    <w:rsid w:val="00A0490D"/>
    <w:rsid w:val="00A1074C"/>
    <w:rsid w:val="00A145A2"/>
    <w:rsid w:val="00A21ACD"/>
    <w:rsid w:val="00A31242"/>
    <w:rsid w:val="00A40A2D"/>
    <w:rsid w:val="00A4521B"/>
    <w:rsid w:val="00A475CB"/>
    <w:rsid w:val="00A50604"/>
    <w:rsid w:val="00A52530"/>
    <w:rsid w:val="00A551BF"/>
    <w:rsid w:val="00A571DC"/>
    <w:rsid w:val="00A66052"/>
    <w:rsid w:val="00A70524"/>
    <w:rsid w:val="00A73406"/>
    <w:rsid w:val="00A77602"/>
    <w:rsid w:val="00AA464D"/>
    <w:rsid w:val="00AB2766"/>
    <w:rsid w:val="00AC65DA"/>
    <w:rsid w:val="00AD09E4"/>
    <w:rsid w:val="00AD5D0A"/>
    <w:rsid w:val="00AF1737"/>
    <w:rsid w:val="00B00D12"/>
    <w:rsid w:val="00B2722A"/>
    <w:rsid w:val="00B4243F"/>
    <w:rsid w:val="00B4447B"/>
    <w:rsid w:val="00B60E3A"/>
    <w:rsid w:val="00B618BA"/>
    <w:rsid w:val="00B82137"/>
    <w:rsid w:val="00B95503"/>
    <w:rsid w:val="00BA1BDF"/>
    <w:rsid w:val="00BA282D"/>
    <w:rsid w:val="00BA4D57"/>
    <w:rsid w:val="00BA62B3"/>
    <w:rsid w:val="00BB6260"/>
    <w:rsid w:val="00BE4F09"/>
    <w:rsid w:val="00BF6463"/>
    <w:rsid w:val="00C03C81"/>
    <w:rsid w:val="00C05E74"/>
    <w:rsid w:val="00C10C19"/>
    <w:rsid w:val="00C143B8"/>
    <w:rsid w:val="00C17D02"/>
    <w:rsid w:val="00C33682"/>
    <w:rsid w:val="00C52261"/>
    <w:rsid w:val="00C5649C"/>
    <w:rsid w:val="00C66021"/>
    <w:rsid w:val="00C70340"/>
    <w:rsid w:val="00C75486"/>
    <w:rsid w:val="00C8202C"/>
    <w:rsid w:val="00C87F65"/>
    <w:rsid w:val="00C91576"/>
    <w:rsid w:val="00C92A5B"/>
    <w:rsid w:val="00CA46EC"/>
    <w:rsid w:val="00CA7C7F"/>
    <w:rsid w:val="00CB6EC3"/>
    <w:rsid w:val="00CE2AA2"/>
    <w:rsid w:val="00D05B29"/>
    <w:rsid w:val="00D12BEB"/>
    <w:rsid w:val="00D1394D"/>
    <w:rsid w:val="00D22C29"/>
    <w:rsid w:val="00D27C2D"/>
    <w:rsid w:val="00D41A46"/>
    <w:rsid w:val="00D47740"/>
    <w:rsid w:val="00D51B3A"/>
    <w:rsid w:val="00D602DD"/>
    <w:rsid w:val="00D812B9"/>
    <w:rsid w:val="00D903FD"/>
    <w:rsid w:val="00D94BC5"/>
    <w:rsid w:val="00D96C08"/>
    <w:rsid w:val="00DC3052"/>
    <w:rsid w:val="00DD022D"/>
    <w:rsid w:val="00DE5F75"/>
    <w:rsid w:val="00DF46C4"/>
    <w:rsid w:val="00DF4CA3"/>
    <w:rsid w:val="00DF60C8"/>
    <w:rsid w:val="00E02515"/>
    <w:rsid w:val="00E12873"/>
    <w:rsid w:val="00E15C96"/>
    <w:rsid w:val="00E1604B"/>
    <w:rsid w:val="00E2102F"/>
    <w:rsid w:val="00E75A27"/>
    <w:rsid w:val="00E763A6"/>
    <w:rsid w:val="00EC78E7"/>
    <w:rsid w:val="00ED43D2"/>
    <w:rsid w:val="00EE3B8C"/>
    <w:rsid w:val="00EF25D6"/>
    <w:rsid w:val="00EF4A38"/>
    <w:rsid w:val="00EF5845"/>
    <w:rsid w:val="00F11B8F"/>
    <w:rsid w:val="00F21BBD"/>
    <w:rsid w:val="00F379D0"/>
    <w:rsid w:val="00F47193"/>
    <w:rsid w:val="00F501B4"/>
    <w:rsid w:val="00F74011"/>
    <w:rsid w:val="00F76175"/>
    <w:rsid w:val="00F80CFC"/>
    <w:rsid w:val="00F80DCB"/>
    <w:rsid w:val="00F958AE"/>
    <w:rsid w:val="00F97875"/>
    <w:rsid w:val="00FA6ABF"/>
    <w:rsid w:val="00FB10CB"/>
    <w:rsid w:val="00FB365C"/>
    <w:rsid w:val="00FC5F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B6729E29282B47938B2E96636235B6" ma:contentTypeVersion="12" ma:contentTypeDescription="Create a new document." ma:contentTypeScope="" ma:versionID="9bae43b7831fbc1fcdfd1fc437dea542">
  <xsd:schema xmlns:xsd="http://www.w3.org/2001/XMLSchema" xmlns:xs="http://www.w3.org/2001/XMLSchema" xmlns:p="http://schemas.microsoft.com/office/2006/metadata/properties" xmlns:ns3="7e2a561c-25b6-4a9a-a09b-d1773a9cde38" xmlns:ns4="be5127da-0f38-4a70-a022-d425bc6366d8" targetNamespace="http://schemas.microsoft.com/office/2006/metadata/properties" ma:root="true" ma:fieldsID="6088d5d40a138e7fe3850aa915f3b9f8" ns3:_="" ns4:_="">
    <xsd:import namespace="7e2a561c-25b6-4a9a-a09b-d1773a9cde38"/>
    <xsd:import namespace="be5127da-0f38-4a70-a022-d425bc6366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a561c-25b6-4a9a-a09b-d1773a9c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127da-0f38-4a70-a022-d425bc6366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AB01-E58C-4841-B922-14ADCC30097F}">
  <ds:schemaRefs>
    <ds:schemaRef ds:uri="http://schemas.microsoft.com/office/2006/documentManagement/types"/>
    <ds:schemaRef ds:uri="http://schemas.microsoft.com/office/infopath/2007/PartnerControls"/>
    <ds:schemaRef ds:uri="http://schemas.microsoft.com/office/2006/metadata/properties"/>
    <ds:schemaRef ds:uri="7e2a561c-25b6-4a9a-a09b-d1773a9cde38"/>
    <ds:schemaRef ds:uri="http://purl.org/dc/elements/1.1/"/>
    <ds:schemaRef ds:uri="http://purl.org/dc/dcmitype/"/>
    <ds:schemaRef ds:uri="http://www.w3.org/XML/1998/namespace"/>
    <ds:schemaRef ds:uri="http://purl.org/dc/terms/"/>
    <ds:schemaRef ds:uri="http://schemas.openxmlformats.org/package/2006/metadata/core-properties"/>
    <ds:schemaRef ds:uri="be5127da-0f38-4a70-a022-d425bc6366d8"/>
  </ds:schemaRefs>
</ds:datastoreItem>
</file>

<file path=customXml/itemProps2.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3.xml><?xml version="1.0" encoding="utf-8"?>
<ds:datastoreItem xmlns:ds="http://schemas.openxmlformats.org/officeDocument/2006/customXml" ds:itemID="{88AB3E4B-C5C3-4D9C-820C-C55C555A4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a561c-25b6-4a9a-a09b-d1773a9cde38"/>
    <ds:schemaRef ds:uri="be5127da-0f38-4a70-a022-d425bc636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1F2508-8BFD-43CF-B15F-10854DFA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4528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COOPER,Suzanne</cp:lastModifiedBy>
  <cp:revision>2</cp:revision>
  <cp:lastPrinted>2019-05-22T23:20:00Z</cp:lastPrinted>
  <dcterms:created xsi:type="dcterms:W3CDTF">2020-03-03T05:16:00Z</dcterms:created>
  <dcterms:modified xsi:type="dcterms:W3CDTF">2020-03-03T05:16:00Z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0x01010025B6729E29282B47938B2E96636235B6</vt:lpwstr>
  </property>
</Properties>
</file>