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2C083" w14:textId="77777777" w:rsidR="00C43FEE" w:rsidRDefault="00C43FEE" w:rsidP="00C43FEE"/>
    <w:p w14:paraId="30F04B3D" w14:textId="7C7E47FD" w:rsidR="00C43FEE" w:rsidRPr="00AA7C9C" w:rsidRDefault="00E801E4" w:rsidP="00E801E4">
      <w:pPr>
        <w:pStyle w:val="BodyText"/>
        <w:kinsoku w:val="0"/>
        <w:overflowPunct w:val="0"/>
        <w:spacing w:before="10"/>
      </w:pPr>
      <w:r w:rsidRPr="00AA7C9C">
        <w:t>Griffith</w:t>
      </w:r>
      <w:r>
        <w:t xml:space="preserve"> University has </w:t>
      </w:r>
      <w:r w:rsidRPr="00417D79">
        <w:t>long standing commitment to providing access to tertiary education for students who would not normally have an open path to university</w:t>
      </w:r>
      <w:r>
        <w:t>, and to supporting th</w:t>
      </w:r>
      <w:r w:rsidR="00524EBE">
        <w:t>e</w:t>
      </w:r>
      <w:r>
        <w:t>se students to succeed at university</w:t>
      </w:r>
      <w:r w:rsidRPr="00417D79">
        <w:t>.</w:t>
      </w:r>
      <w:r>
        <w:t xml:space="preserve"> This commitment is affirmed in </w:t>
      </w:r>
      <w:r w:rsidRPr="00417D79">
        <w:t xml:space="preserve">by </w:t>
      </w:r>
      <w:hyperlink r:id="rId6" w:history="1">
        <w:r w:rsidRPr="00417D79">
          <w:rPr>
            <w:rStyle w:val="Hyperlink"/>
          </w:rPr>
          <w:t>Griffith University’s Strategic Plan (2018 – 2019), Academic Plan (2017 – 2020),</w:t>
        </w:r>
        <w:r w:rsidRPr="00E801E4">
          <w:t xml:space="preserve"> </w:t>
        </w:r>
        <w:r w:rsidRPr="00417D79">
          <w:t xml:space="preserve">the </w:t>
        </w:r>
        <w:hyperlink r:id="rId7" w:history="1">
          <w:r w:rsidRPr="00FD3D0B">
            <w:rPr>
              <w:rStyle w:val="Hyperlink"/>
            </w:rPr>
            <w:t>Equity, Diversity and Inclusion Plan (2018 – 2019)</w:t>
          </w:r>
        </w:hyperlink>
        <w:r w:rsidRPr="00417D79">
          <w:rPr>
            <w:rStyle w:val="Hyperlink"/>
          </w:rPr>
          <w:t xml:space="preserve"> and the Reconciliation Action Plan (2016 – 2018)</w:t>
        </w:r>
      </w:hyperlink>
      <w:r>
        <w:rPr>
          <w:rStyle w:val="Hyperlink"/>
        </w:rPr>
        <w:t xml:space="preserve">.  </w:t>
      </w:r>
    </w:p>
    <w:p w14:paraId="38F80854" w14:textId="77777777" w:rsidR="00E801E4" w:rsidRDefault="00E801E4" w:rsidP="00C43FEE">
      <w:pPr>
        <w:pStyle w:val="BodyText"/>
      </w:pPr>
    </w:p>
    <w:p w14:paraId="4D780A5F" w14:textId="36EFCAB0" w:rsidR="00175A67" w:rsidRDefault="00C43FEE" w:rsidP="00C43FEE">
      <w:pPr>
        <w:pStyle w:val="BodyText"/>
      </w:pPr>
      <w:r>
        <w:t>T</w:t>
      </w:r>
      <w:r w:rsidRPr="00417D79">
        <w:t>he Griffith Access and Participation Plan</w:t>
      </w:r>
      <w:r w:rsidR="00E801E4">
        <w:t xml:space="preserve"> (a</w:t>
      </w:r>
      <w:r w:rsidR="00E801E4" w:rsidRPr="00417D79">
        <w:t xml:space="preserve"> Department of Education and Training requirement</w:t>
      </w:r>
      <w:r w:rsidR="00E801E4">
        <w:t>)</w:t>
      </w:r>
      <w:r w:rsidRPr="00417D79">
        <w:t xml:space="preserve"> </w:t>
      </w:r>
      <w:r w:rsidR="00E801E4">
        <w:t xml:space="preserve">supports these plans </w:t>
      </w:r>
      <w:r w:rsidRPr="00417D79">
        <w:t>through the Higher Education Participation and Partnership Program</w:t>
      </w:r>
      <w:r w:rsidR="008D3EFE">
        <w:t xml:space="preserve"> (HEPPP)</w:t>
      </w:r>
      <w:r w:rsidRPr="00417D79">
        <w:t>. The Plan outlin</w:t>
      </w:r>
      <w:r w:rsidR="00E801E4">
        <w:t>es</w:t>
      </w:r>
      <w:r w:rsidRPr="00417D79">
        <w:t xml:space="preserve"> Griffith’s suite of strategies for increasing access, participation</w:t>
      </w:r>
      <w:r>
        <w:t>, retention</w:t>
      </w:r>
      <w:r w:rsidRPr="00417D79">
        <w:t xml:space="preserve"> and success for people from low socioeconomic status (LSES) backgrounds</w:t>
      </w:r>
      <w:r w:rsidR="00E801E4">
        <w:t xml:space="preserve"> and First Peoples</w:t>
      </w:r>
      <w:r>
        <w:t xml:space="preserve">. Griffith’s holistic approach to equity means our strategies encompass intersectionality and so include LSES </w:t>
      </w:r>
      <w:r w:rsidR="008D3EFE">
        <w:t xml:space="preserve">students </w:t>
      </w:r>
      <w:r w:rsidR="00E801E4">
        <w:t xml:space="preserve">and </w:t>
      </w:r>
      <w:r w:rsidR="008D3EFE">
        <w:t>First Peoples</w:t>
      </w:r>
      <w:r w:rsidR="00E801E4">
        <w:t xml:space="preserve"> </w:t>
      </w:r>
      <w:r>
        <w:t xml:space="preserve">who </w:t>
      </w:r>
      <w:r w:rsidRPr="00417D79">
        <w:t>also identify</w:t>
      </w:r>
      <w:r w:rsidR="00E801E4">
        <w:t xml:space="preserve"> as belonging to</w:t>
      </w:r>
      <w:r w:rsidRPr="00417D79">
        <w:t xml:space="preserve"> other under-represented groups in Higher Education including Maori and Pasifika students, students from regional and remote backgrounds, students with disabilities, and students from </w:t>
      </w:r>
      <w:r w:rsidR="00E801E4" w:rsidRPr="00417D79">
        <w:t>non-English-speaking</w:t>
      </w:r>
      <w:r w:rsidRPr="00417D79">
        <w:t xml:space="preserve"> backgrounds </w:t>
      </w:r>
      <w:r>
        <w:t>including</w:t>
      </w:r>
      <w:r w:rsidRPr="00417D79">
        <w:t xml:space="preserve"> refugees and migrants.</w:t>
      </w:r>
      <w:r w:rsidR="00175A67">
        <w:t xml:space="preserve">  </w:t>
      </w:r>
    </w:p>
    <w:p w14:paraId="602519E5" w14:textId="77777777" w:rsidR="00175A67" w:rsidRDefault="00175A67" w:rsidP="00C43FEE">
      <w:pPr>
        <w:pStyle w:val="BodyText"/>
      </w:pPr>
    </w:p>
    <w:p w14:paraId="0D834180" w14:textId="07C65B77" w:rsidR="00C43FEE" w:rsidRPr="00417D79" w:rsidRDefault="00175A67" w:rsidP="00C43FEE">
      <w:pPr>
        <w:pStyle w:val="BodyText"/>
      </w:pPr>
      <w:r>
        <w:t xml:space="preserve">Griffith’s catchment </w:t>
      </w:r>
      <w:r w:rsidR="009200C3">
        <w:t>including</w:t>
      </w:r>
      <w:r>
        <w:t xml:space="preserve"> the outer suburbs of Brisbane, the City of Logan, the City of Gold Coast and Northern NSW ha</w:t>
      </w:r>
      <w:r w:rsidR="008D3EFE">
        <w:t>s</w:t>
      </w:r>
      <w:r>
        <w:t xml:space="preserve"> significant proportions of LSES families, and historically low rates of higher education participation.  In addition, the 10,000 students who study at Griffith fully online include a significant proportion of LSES </w:t>
      </w:r>
      <w:r w:rsidR="008D3EFE">
        <w:t xml:space="preserve">students </w:t>
      </w:r>
      <w:r>
        <w:t xml:space="preserve">and First Peoples. </w:t>
      </w:r>
    </w:p>
    <w:p w14:paraId="7F7472E9" w14:textId="77777777" w:rsidR="00C43FEE" w:rsidRPr="00417D79" w:rsidRDefault="00C43FEE" w:rsidP="00C43FEE">
      <w:pPr>
        <w:pStyle w:val="BodyText"/>
      </w:pPr>
    </w:p>
    <w:p w14:paraId="31694351" w14:textId="0B9E9519" w:rsidR="00C43FEE" w:rsidRDefault="00C43FEE" w:rsidP="00C43FEE">
      <w:pPr>
        <w:pStyle w:val="BodyText"/>
      </w:pPr>
      <w:r w:rsidRPr="00417D79">
        <w:t>T</w:t>
      </w:r>
      <w:r w:rsidR="00E801E4">
        <w:t>h</w:t>
      </w:r>
      <w:r w:rsidRPr="00417D79">
        <w:t xml:space="preserve">e University’s commitment to improving educational outcomes for people from </w:t>
      </w:r>
      <w:r w:rsidR="00E801E4">
        <w:t>L</w:t>
      </w:r>
      <w:r w:rsidRPr="00417D79">
        <w:t>SES background</w:t>
      </w:r>
      <w:r w:rsidR="003543FC">
        <w:t>s</w:t>
      </w:r>
      <w:r w:rsidRPr="00417D79">
        <w:t xml:space="preserve"> or other under-represented groups will be extended in 2019. </w:t>
      </w:r>
      <w:r w:rsidR="00175A67">
        <w:t xml:space="preserve"> </w:t>
      </w:r>
      <w:r w:rsidRPr="00417D79">
        <w:t>In 2018</w:t>
      </w:r>
      <w:r w:rsidR="009200C3">
        <w:t>,</w:t>
      </w:r>
      <w:r w:rsidRPr="00417D79">
        <w:t xml:space="preserve"> Griffith reviewed the current HEPPP strategies across the entire student life-cycle and will undertake in 2019 to </w:t>
      </w:r>
      <w:r>
        <w:t xml:space="preserve">consolidate, </w:t>
      </w:r>
      <w:r w:rsidRPr="00417D79">
        <w:t>innovate</w:t>
      </w:r>
      <w:r w:rsidR="00175A67">
        <w:t>, evaluate</w:t>
      </w:r>
      <w:r w:rsidRPr="00417D79">
        <w:t xml:space="preserve"> and renew its programs</w:t>
      </w:r>
      <w:r w:rsidR="00175A67">
        <w:t>.</w:t>
      </w:r>
    </w:p>
    <w:p w14:paraId="2E4838D8" w14:textId="77777777" w:rsidR="00C43FEE" w:rsidRPr="00417D79" w:rsidRDefault="00C43FEE" w:rsidP="00C43FEE">
      <w:pPr>
        <w:pStyle w:val="BodyText"/>
      </w:pPr>
    </w:p>
    <w:p w14:paraId="3E731EFB" w14:textId="3972CA1E" w:rsidR="00175A67" w:rsidRDefault="00C43FEE" w:rsidP="00C43FEE">
      <w:pPr>
        <w:pStyle w:val="BodyText"/>
      </w:pPr>
      <w:r>
        <w:t>Enhancing</w:t>
      </w:r>
      <w:r w:rsidRPr="00417D79">
        <w:t xml:space="preserve"> this work is Griffith’s investment in digital learning programs and support services </w:t>
      </w:r>
      <w:r w:rsidR="00175A67">
        <w:t>for those</w:t>
      </w:r>
      <w:r w:rsidRPr="00417D79">
        <w:t xml:space="preserve"> </w:t>
      </w:r>
      <w:r w:rsidR="00175A67">
        <w:t>LSES</w:t>
      </w:r>
      <w:r w:rsidRPr="00417D79">
        <w:t xml:space="preserve"> students </w:t>
      </w:r>
      <w:r w:rsidR="00175A67">
        <w:t>studying fully</w:t>
      </w:r>
      <w:r w:rsidR="00175A67" w:rsidRPr="00417D79">
        <w:t xml:space="preserve"> </w:t>
      </w:r>
      <w:r w:rsidRPr="00417D79">
        <w:t xml:space="preserve">online. </w:t>
      </w:r>
      <w:r w:rsidR="00175A67">
        <w:t>Griffith r</w:t>
      </w:r>
      <w:r w:rsidRPr="00417D79">
        <w:t>ecognis</w:t>
      </w:r>
      <w:r w:rsidR="00175A67">
        <w:t>es</w:t>
      </w:r>
      <w:r w:rsidRPr="00417D79">
        <w:t xml:space="preserve"> the power of online learning to transform opportunities for students from </w:t>
      </w:r>
      <w:r w:rsidR="008D3EFE">
        <w:t xml:space="preserve">under-represented groups </w:t>
      </w:r>
      <w:r w:rsidRPr="00417D79">
        <w:t xml:space="preserve"> by delivering more accessible, personalised and flexible learning and support services into local communities</w:t>
      </w:r>
      <w:r w:rsidR="00175A67">
        <w:t>, particularly for those students who need to balance carer, work or other responsibilities with study</w:t>
      </w:r>
      <w:r w:rsidRPr="00417D79">
        <w:t>.</w:t>
      </w:r>
      <w:r>
        <w:t xml:space="preserve"> </w:t>
      </w:r>
      <w:r w:rsidR="00175A67">
        <w:t xml:space="preserve"> </w:t>
      </w:r>
    </w:p>
    <w:p w14:paraId="622DD9FF" w14:textId="77777777" w:rsidR="00175A67" w:rsidRDefault="00175A67" w:rsidP="00C43FEE">
      <w:pPr>
        <w:pStyle w:val="BodyText"/>
      </w:pPr>
    </w:p>
    <w:p w14:paraId="23B975B6" w14:textId="7EF7CBC7" w:rsidR="00C43FEE" w:rsidRPr="00417D79" w:rsidRDefault="009200C3" w:rsidP="00C43FEE">
      <w:pPr>
        <w:pStyle w:val="BodyText"/>
      </w:pPr>
      <w:r>
        <w:t xml:space="preserve">HEPPP activities and strategies are underpinned by collaborative partnerships across the University so HEPPP-funded initiatives </w:t>
      </w:r>
      <w:r w:rsidR="00C43FEE">
        <w:t>are further enhanced by existing core activities funded through relevant areas including Academic Administration</w:t>
      </w:r>
      <w:r w:rsidR="00AA7C9C">
        <w:t xml:space="preserve"> (which includes Student Services and Student Success Unit)</w:t>
      </w:r>
      <w:r>
        <w:t>,</w:t>
      </w:r>
      <w:r w:rsidR="00C43FEE">
        <w:t xml:space="preserve"> Academic Groups</w:t>
      </w:r>
      <w:r w:rsidR="003230A0">
        <w:t xml:space="preserve"> or faculties</w:t>
      </w:r>
      <w:r w:rsidR="00C43FEE">
        <w:t>, Learning Futures</w:t>
      </w:r>
      <w:r w:rsidR="003230A0">
        <w:t>- Griffith’s academic development unit</w:t>
      </w:r>
      <w:r w:rsidR="00C43FEE">
        <w:t xml:space="preserve"> and </w:t>
      </w:r>
      <w:r w:rsidR="003230A0">
        <w:t xml:space="preserve">through </w:t>
      </w:r>
      <w:r w:rsidR="00C43FEE">
        <w:t xml:space="preserve">our commitment to </w:t>
      </w:r>
      <w:r w:rsidR="003230A0">
        <w:t xml:space="preserve">increasing opportunities for </w:t>
      </w:r>
      <w:r w:rsidR="00C43FEE">
        <w:t xml:space="preserve">work-integrated learning </w:t>
      </w:r>
      <w:r w:rsidR="003230A0">
        <w:t xml:space="preserve">and other initiatives to enhance student </w:t>
      </w:r>
      <w:r w:rsidR="00C43FEE">
        <w:t>employability.</w:t>
      </w:r>
    </w:p>
    <w:p w14:paraId="1CE58649" w14:textId="77777777" w:rsidR="00C43FEE" w:rsidRPr="00417D79" w:rsidRDefault="00C43FEE" w:rsidP="00C43FEE">
      <w:pPr>
        <w:pStyle w:val="BodyText"/>
      </w:pPr>
    </w:p>
    <w:p w14:paraId="13D48D2A" w14:textId="00A316F4" w:rsidR="00C43FEE" w:rsidRDefault="00C43FEE" w:rsidP="00C43FEE">
      <w:pPr>
        <w:pStyle w:val="BodyText"/>
      </w:pPr>
      <w:r>
        <w:t xml:space="preserve">The suite of strategies supported by HEPPP and this plan are overseen by the </w:t>
      </w:r>
      <w:r w:rsidRPr="00417D79">
        <w:t>D</w:t>
      </w:r>
      <w:r w:rsidR="003230A0">
        <w:t xml:space="preserve">eputy </w:t>
      </w:r>
      <w:r w:rsidRPr="00417D79">
        <w:t>V</w:t>
      </w:r>
      <w:r w:rsidR="003230A0">
        <w:t xml:space="preserve">ice </w:t>
      </w:r>
      <w:r w:rsidRPr="00417D79">
        <w:t>C</w:t>
      </w:r>
      <w:r w:rsidR="003230A0">
        <w:t>hancellor</w:t>
      </w:r>
      <w:r w:rsidRPr="00417D79">
        <w:t xml:space="preserve"> (A</w:t>
      </w:r>
      <w:r w:rsidR="003230A0">
        <w:t>cademic</w:t>
      </w:r>
      <w:r w:rsidRPr="00417D79">
        <w:t xml:space="preserve">) and </w:t>
      </w:r>
      <w:r w:rsidR="003230A0">
        <w:t xml:space="preserve">the </w:t>
      </w:r>
      <w:r>
        <w:t>D</w:t>
      </w:r>
      <w:r w:rsidR="003230A0">
        <w:t xml:space="preserve">eputy </w:t>
      </w:r>
      <w:r>
        <w:t>V</w:t>
      </w:r>
      <w:r w:rsidR="003230A0">
        <w:t xml:space="preserve">ice </w:t>
      </w:r>
      <w:r>
        <w:t>C</w:t>
      </w:r>
      <w:r w:rsidR="003230A0">
        <w:t>hancellor</w:t>
      </w:r>
      <w:r>
        <w:t xml:space="preserve"> </w:t>
      </w:r>
      <w:r w:rsidRPr="00417D79">
        <w:t>(E</w:t>
      </w:r>
      <w:r w:rsidR="003230A0">
        <w:t>ngagement</w:t>
      </w:r>
      <w:r w:rsidRPr="00417D79">
        <w:t xml:space="preserve">) </w:t>
      </w:r>
      <w:r>
        <w:t>in conjunction with a dedicated</w:t>
      </w:r>
      <w:r w:rsidRPr="00417D79">
        <w:t xml:space="preserve"> Advisor</w:t>
      </w:r>
      <w:r>
        <w:t>y Group</w:t>
      </w:r>
      <w:r w:rsidR="009200C3">
        <w:t xml:space="preserve"> which includes members from </w:t>
      </w:r>
      <w:r w:rsidR="003230A0">
        <w:t xml:space="preserve">the University’s </w:t>
      </w:r>
      <w:r w:rsidRPr="00417D79">
        <w:t>Equity Committee</w:t>
      </w:r>
      <w:r w:rsidR="009200C3">
        <w:t xml:space="preserve">, Student Support Services, the </w:t>
      </w:r>
      <w:r>
        <w:t>Academic Groups</w:t>
      </w:r>
      <w:r w:rsidR="009200C3">
        <w:t xml:space="preserve">, </w:t>
      </w:r>
      <w:r w:rsidR="003230A0">
        <w:t xml:space="preserve">the First Peoples student support unit, </w:t>
      </w:r>
      <w:r>
        <w:lastRenderedPageBreak/>
        <w:t>GUMURRII</w:t>
      </w:r>
      <w:r w:rsidR="009200C3">
        <w:t xml:space="preserve">, </w:t>
      </w:r>
      <w:r w:rsidRPr="00417D79">
        <w:t>and student representation</w:t>
      </w:r>
      <w:r>
        <w:t xml:space="preserve">. </w:t>
      </w:r>
    </w:p>
    <w:p w14:paraId="0544DF43" w14:textId="77777777" w:rsidR="009B4CBC" w:rsidRDefault="009B4CBC" w:rsidP="00C43FEE">
      <w:pPr>
        <w:pStyle w:val="BodyText"/>
      </w:pPr>
    </w:p>
    <w:p w14:paraId="7503CA5A" w14:textId="728154A0" w:rsidR="00C43FEE" w:rsidRDefault="00524EBE" w:rsidP="00C43FEE">
      <w:pPr>
        <w:pStyle w:val="BodyText"/>
      </w:pPr>
      <w:r>
        <w:rPr>
          <w:w w:val="105"/>
        </w:rPr>
        <w:t>A</w:t>
      </w:r>
      <w:r w:rsidR="00C43FEE">
        <w:rPr>
          <w:w w:val="105"/>
        </w:rPr>
        <w:t xml:space="preserve"> proportion of </w:t>
      </w:r>
      <w:r>
        <w:rPr>
          <w:w w:val="105"/>
        </w:rPr>
        <w:t xml:space="preserve">HEPPP </w:t>
      </w:r>
      <w:r w:rsidR="00C43FEE">
        <w:rPr>
          <w:w w:val="105"/>
        </w:rPr>
        <w:t xml:space="preserve">funds </w:t>
      </w:r>
      <w:r>
        <w:rPr>
          <w:w w:val="105"/>
        </w:rPr>
        <w:t>support</w:t>
      </w:r>
      <w:r w:rsidR="009200C3">
        <w:rPr>
          <w:w w:val="105"/>
        </w:rPr>
        <w:t>s</w:t>
      </w:r>
      <w:r>
        <w:rPr>
          <w:w w:val="105"/>
        </w:rPr>
        <w:t xml:space="preserve"> </w:t>
      </w:r>
      <w:r w:rsidR="00C43FEE">
        <w:rPr>
          <w:w w:val="105"/>
        </w:rPr>
        <w:t xml:space="preserve">strategic </w:t>
      </w:r>
      <w:r>
        <w:rPr>
          <w:w w:val="105"/>
        </w:rPr>
        <w:t xml:space="preserve">pilot </w:t>
      </w:r>
      <w:r w:rsidR="00C43FEE">
        <w:rPr>
          <w:w w:val="105"/>
        </w:rPr>
        <w:t>projects which foster innovati</w:t>
      </w:r>
      <w:r>
        <w:rPr>
          <w:w w:val="105"/>
        </w:rPr>
        <w:t xml:space="preserve">ve approaches to address </w:t>
      </w:r>
      <w:r w:rsidR="00C43FEE">
        <w:rPr>
          <w:w w:val="105"/>
        </w:rPr>
        <w:t xml:space="preserve">emerging </w:t>
      </w:r>
      <w:r>
        <w:rPr>
          <w:w w:val="105"/>
        </w:rPr>
        <w:t>priorities or</w:t>
      </w:r>
      <w:r w:rsidR="00C43FEE">
        <w:rPr>
          <w:w w:val="105"/>
        </w:rPr>
        <w:t xml:space="preserve"> the changing needs of under-represented groups</w:t>
      </w:r>
      <w:r w:rsidR="009200C3">
        <w:rPr>
          <w:w w:val="105"/>
        </w:rPr>
        <w:t xml:space="preserve">, </w:t>
      </w:r>
      <w:r w:rsidR="00C43FEE">
        <w:rPr>
          <w:w w:val="105"/>
        </w:rPr>
        <w:t xml:space="preserve">across the University and the student life-cycle </w:t>
      </w:r>
      <w:r>
        <w:rPr>
          <w:w w:val="105"/>
        </w:rPr>
        <w:t xml:space="preserve">that </w:t>
      </w:r>
      <w:r w:rsidR="00C43FEE">
        <w:rPr>
          <w:w w:val="105"/>
        </w:rPr>
        <w:t>fit with</w:t>
      </w:r>
      <w:r>
        <w:rPr>
          <w:w w:val="105"/>
        </w:rPr>
        <w:t>in</w:t>
      </w:r>
      <w:r w:rsidR="00C43FEE">
        <w:rPr>
          <w:w w:val="105"/>
        </w:rPr>
        <w:t xml:space="preserve"> HEPPP guidelines</w:t>
      </w:r>
      <w:r>
        <w:rPr>
          <w:w w:val="105"/>
        </w:rPr>
        <w:t xml:space="preserve">.  Each project will be evaluated to measure its </w:t>
      </w:r>
      <w:r w:rsidR="00C43FEE">
        <w:rPr>
          <w:w w:val="105"/>
        </w:rPr>
        <w:t>potential impact</w:t>
      </w:r>
      <w:r>
        <w:rPr>
          <w:w w:val="105"/>
        </w:rPr>
        <w:t xml:space="preserve"> on student outcomes before extending further</w:t>
      </w:r>
      <w:r w:rsidR="00C43FEE">
        <w:rPr>
          <w:w w:val="105"/>
        </w:rPr>
        <w:t xml:space="preserve">. </w:t>
      </w:r>
      <w:r>
        <w:rPr>
          <w:w w:val="105"/>
        </w:rPr>
        <w:t xml:space="preserve">The Deputy Vice Chancellors (Academic) and (Engagement) and </w:t>
      </w:r>
      <w:r>
        <w:t>the Advisory</w:t>
      </w:r>
      <w:r>
        <w:rPr>
          <w:spacing w:val="32"/>
        </w:rPr>
        <w:t xml:space="preserve"> </w:t>
      </w:r>
      <w:r>
        <w:t>Group</w:t>
      </w:r>
      <w:r>
        <w:rPr>
          <w:w w:val="105"/>
        </w:rPr>
        <w:t xml:space="preserve"> will oversee </w:t>
      </w:r>
      <w:r w:rsidR="00C43FEE">
        <w:rPr>
          <w:w w:val="105"/>
        </w:rPr>
        <w:t>these activities</w:t>
      </w:r>
      <w:r>
        <w:rPr>
          <w:w w:val="105"/>
        </w:rPr>
        <w:t xml:space="preserve">, including their </w:t>
      </w:r>
      <w:r w:rsidR="00175A67">
        <w:rPr>
          <w:w w:val="105"/>
        </w:rPr>
        <w:t>evaluation</w:t>
      </w:r>
      <w:r>
        <w:rPr>
          <w:w w:val="105"/>
        </w:rPr>
        <w:t>.</w:t>
      </w:r>
    </w:p>
    <w:p w14:paraId="2D76D921" w14:textId="77777777" w:rsidR="00C43FEE" w:rsidRDefault="00C43FEE" w:rsidP="00C43FEE">
      <w:pPr>
        <w:pStyle w:val="BodyText"/>
      </w:pPr>
    </w:p>
    <w:p w14:paraId="75CDFA42" w14:textId="387C4D48" w:rsidR="00C43FEE" w:rsidRDefault="00C43FEE" w:rsidP="00AA7C9C">
      <w:pPr>
        <w:widowControl/>
        <w:autoSpaceDE/>
        <w:autoSpaceDN/>
        <w:adjustRightInd/>
        <w:spacing w:after="160" w:line="259" w:lineRule="auto"/>
        <w:rPr>
          <w:sz w:val="16"/>
          <w:szCs w:val="16"/>
        </w:rPr>
      </w:pPr>
      <w:r>
        <w:t>The information below outlines strategies across the student lifecycle: pre-access, access, participation, and progress and attainment. Details of our evaluation strategies, partnerships and KPIs are also listed.</w:t>
      </w:r>
      <w:r w:rsidR="00A6595C">
        <w:t xml:space="preserve"> Further information is available at </w:t>
      </w:r>
      <w:hyperlink r:id="rId8" w:history="1">
        <w:r w:rsidR="005C0A42" w:rsidRPr="005C0A42">
          <w:rPr>
            <w:rStyle w:val="Hyperlink"/>
          </w:rPr>
          <w:t>www.griffith.edu.au/about-griffith/corporate-governance/plans-publications</w:t>
        </w:r>
      </w:hyperlink>
    </w:p>
    <w:p w14:paraId="6CEFA6D2" w14:textId="01E9930F" w:rsidR="00C43FEE" w:rsidRDefault="00C43FEE" w:rsidP="00C43FEE">
      <w:pPr>
        <w:pStyle w:val="Heading1"/>
      </w:pPr>
      <w:r>
        <w:br w:type="page"/>
        <w:t>Griffith’s Access and Participation Strategy at a glance</w:t>
      </w:r>
    </w:p>
    <w:p w14:paraId="6081878A" w14:textId="77777777" w:rsidR="00C43FEE" w:rsidRDefault="00C43FEE" w:rsidP="00C2089B">
      <w:pPr>
        <w:widowControl/>
        <w:autoSpaceDE/>
        <w:autoSpaceDN/>
        <w:adjustRightInd/>
        <w:spacing w:after="160" w:line="259" w:lineRule="auto"/>
        <w:ind w:left="-142"/>
      </w:pPr>
      <w:bookmarkStart w:id="0" w:name="_GoBack"/>
      <w:r>
        <w:rPr>
          <w:rFonts w:ascii="Rockwell" w:eastAsiaTheme="majorEastAsia" w:hAnsi="Rockwell" w:cstheme="majorBidi"/>
          <w:noProof/>
          <w:color w:val="C00000"/>
          <w:sz w:val="32"/>
          <w:szCs w:val="32"/>
        </w:rPr>
        <w:drawing>
          <wp:inline distT="0" distB="0" distL="0" distR="0" wp14:anchorId="48FB600C" wp14:editId="3C2D767D">
            <wp:extent cx="9593580" cy="4899660"/>
            <wp:effectExtent l="0" t="0" r="266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p w14:paraId="4664977B" w14:textId="4C68042F" w:rsidR="00F71ED2" w:rsidRPr="00C43FEE" w:rsidRDefault="00F71ED2" w:rsidP="00C43FEE">
      <w:pPr>
        <w:widowControl/>
        <w:autoSpaceDE/>
        <w:autoSpaceDN/>
        <w:adjustRightInd/>
        <w:spacing w:after="160" w:line="259" w:lineRule="auto"/>
        <w:rPr>
          <w:b/>
          <w:bCs/>
          <w:sz w:val="24"/>
          <w:szCs w:val="24"/>
        </w:rPr>
      </w:pPr>
    </w:p>
    <w:sectPr w:rsidR="00F71ED2" w:rsidRPr="00C43FEE" w:rsidSect="009B4CBC">
      <w:headerReference w:type="default" r:id="rId14"/>
      <w:pgSz w:w="16838" w:h="11906" w:orient="landscape"/>
      <w:pgMar w:top="993" w:right="962"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B1230" w14:textId="77777777" w:rsidR="00025E8B" w:rsidRDefault="00025E8B" w:rsidP="00025E8B">
      <w:r>
        <w:separator/>
      </w:r>
    </w:p>
  </w:endnote>
  <w:endnote w:type="continuationSeparator" w:id="0">
    <w:p w14:paraId="608BAD73" w14:textId="77777777" w:rsidR="00025E8B" w:rsidRDefault="00025E8B" w:rsidP="0002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9FD39" w14:textId="77777777" w:rsidR="00025E8B" w:rsidRDefault="00025E8B" w:rsidP="00025E8B">
      <w:r>
        <w:separator/>
      </w:r>
    </w:p>
  </w:footnote>
  <w:footnote w:type="continuationSeparator" w:id="0">
    <w:p w14:paraId="0A5931E6" w14:textId="77777777" w:rsidR="00025E8B" w:rsidRDefault="00025E8B" w:rsidP="0002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B999" w14:textId="77777777" w:rsidR="00025E8B" w:rsidRPr="0088462D" w:rsidRDefault="00025E8B" w:rsidP="00880DA9">
    <w:pPr>
      <w:pStyle w:val="BodyText"/>
      <w:kinsoku w:val="0"/>
      <w:overflowPunct w:val="0"/>
      <w:spacing w:before="32"/>
      <w:rPr>
        <w:b/>
        <w:bCs/>
        <w:color w:val="767171" w:themeColor="background2" w:themeShade="80"/>
        <w:sz w:val="36"/>
        <w:szCs w:val="28"/>
      </w:rPr>
    </w:pPr>
    <w:r w:rsidRPr="00260595">
      <w:rPr>
        <w:b/>
        <w:bCs/>
        <w:noProof/>
        <w:color w:val="767171" w:themeColor="background2" w:themeShade="80"/>
        <w:sz w:val="40"/>
        <w:szCs w:val="28"/>
      </w:rPr>
      <w:drawing>
        <wp:anchor distT="0" distB="0" distL="114300" distR="114300" simplePos="0" relativeHeight="251661312" behindDoc="0" locked="0" layoutInCell="1" allowOverlap="1" wp14:anchorId="604900E5" wp14:editId="6BB4319F">
          <wp:simplePos x="0" y="0"/>
          <wp:positionH relativeFrom="column">
            <wp:posOffset>7603490</wp:posOffset>
          </wp:positionH>
          <wp:positionV relativeFrom="paragraph">
            <wp:posOffset>0</wp:posOffset>
          </wp:positionV>
          <wp:extent cx="1955165" cy="772795"/>
          <wp:effectExtent l="0" t="0" r="698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_International_ST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165" cy="772795"/>
                  </a:xfrm>
                  <a:prstGeom prst="rect">
                    <a:avLst/>
                  </a:prstGeom>
                </pic:spPr>
              </pic:pic>
            </a:graphicData>
          </a:graphic>
          <wp14:sizeRelH relativeFrom="page">
            <wp14:pctWidth>0</wp14:pctWidth>
          </wp14:sizeRelH>
          <wp14:sizeRelV relativeFrom="page">
            <wp14:pctHeight>0</wp14:pctHeight>
          </wp14:sizeRelV>
        </wp:anchor>
      </w:drawing>
    </w:r>
    <w:r w:rsidRPr="00260595">
      <w:rPr>
        <w:b/>
        <w:bCs/>
        <w:color w:val="767171" w:themeColor="background2" w:themeShade="80"/>
        <w:sz w:val="40"/>
        <w:szCs w:val="28"/>
      </w:rPr>
      <w:t>GRIFFITH UNIVERSITY ACCESS AND PARTICIPATION PLAN 2019</w:t>
    </w:r>
    <w:r w:rsidRPr="0088462D">
      <w:rPr>
        <w:b/>
        <w:bCs/>
        <w:color w:val="767171" w:themeColor="background2" w:themeShade="80"/>
        <w:sz w:val="36"/>
        <w:szCs w:val="28"/>
      </w:rPr>
      <w:t xml:space="preserve"> </w:t>
    </w:r>
  </w:p>
  <w:p w14:paraId="1CDCDE4D" w14:textId="77777777" w:rsidR="00025E8B" w:rsidRPr="00260595" w:rsidRDefault="00025E8B" w:rsidP="00880DA9">
    <w:pPr>
      <w:pStyle w:val="Heading1"/>
      <w:kinsoku w:val="0"/>
      <w:overflowPunct w:val="0"/>
      <w:spacing w:before="120"/>
      <w:ind w:left="0" w:firstLine="0"/>
      <w:rPr>
        <w:i/>
      </w:rPr>
    </w:pPr>
    <w:r w:rsidRPr="00260595">
      <w:rPr>
        <w:i/>
      </w:rPr>
      <w:t>Equity outcomes and strategies: for improving outcomes for p</w:t>
    </w:r>
    <w:r>
      <w:rPr>
        <w:i/>
      </w:rPr>
      <w:t>eople from low SES backgrounds</w:t>
    </w:r>
  </w:p>
  <w:p w14:paraId="242A7110" w14:textId="2134D5BD" w:rsidR="00025E8B" w:rsidRDefault="00025E8B">
    <w:pPr>
      <w:pStyle w:val="Header"/>
    </w:pPr>
  </w:p>
  <w:p w14:paraId="2CF0C250" w14:textId="77777777" w:rsidR="00025E8B" w:rsidRDefault="00025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EE"/>
    <w:rsid w:val="00025E8B"/>
    <w:rsid w:val="000B1FFB"/>
    <w:rsid w:val="001259D1"/>
    <w:rsid w:val="00175A67"/>
    <w:rsid w:val="002F2A8C"/>
    <w:rsid w:val="003230A0"/>
    <w:rsid w:val="003543FC"/>
    <w:rsid w:val="003633B0"/>
    <w:rsid w:val="003C63E8"/>
    <w:rsid w:val="00467B25"/>
    <w:rsid w:val="0047578C"/>
    <w:rsid w:val="00524EBE"/>
    <w:rsid w:val="005C0A42"/>
    <w:rsid w:val="00643AD0"/>
    <w:rsid w:val="006571E0"/>
    <w:rsid w:val="00685E25"/>
    <w:rsid w:val="00686427"/>
    <w:rsid w:val="00880DA9"/>
    <w:rsid w:val="008D3EFE"/>
    <w:rsid w:val="009200C3"/>
    <w:rsid w:val="009B4CBC"/>
    <w:rsid w:val="00A6595C"/>
    <w:rsid w:val="00AA7C9C"/>
    <w:rsid w:val="00BA19B8"/>
    <w:rsid w:val="00C2089B"/>
    <w:rsid w:val="00C43FEE"/>
    <w:rsid w:val="00DD1D0C"/>
    <w:rsid w:val="00E33BF6"/>
    <w:rsid w:val="00E801E4"/>
    <w:rsid w:val="00F71ED2"/>
    <w:rsid w:val="00FD0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77FE"/>
  <w15:chartTrackingRefBased/>
  <w15:docId w15:val="{DE7D22AA-D8CF-4705-90B4-5EF3CB71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43FEE"/>
    <w:pPr>
      <w:widowControl w:val="0"/>
      <w:autoSpaceDE w:val="0"/>
      <w:autoSpaceDN w:val="0"/>
      <w:adjustRightInd w:val="0"/>
      <w:spacing w:after="0" w:line="240" w:lineRule="auto"/>
    </w:pPr>
    <w:rPr>
      <w:rFonts w:ascii="Calibri" w:eastAsiaTheme="minorEastAsia" w:hAnsi="Calibri" w:cs="Calibri"/>
      <w:sz w:val="20"/>
      <w:lang w:eastAsia="en-AU"/>
    </w:rPr>
  </w:style>
  <w:style w:type="paragraph" w:styleId="Heading1">
    <w:name w:val="heading 1"/>
    <w:basedOn w:val="Normal"/>
    <w:next w:val="Normal"/>
    <w:link w:val="Heading1Char"/>
    <w:uiPriority w:val="1"/>
    <w:qFormat/>
    <w:rsid w:val="00C43FEE"/>
    <w:pPr>
      <w:ind w:left="360" w:hanging="360"/>
      <w:outlineLvl w:val="0"/>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3FEE"/>
    <w:rPr>
      <w:rFonts w:ascii="Calibri" w:eastAsiaTheme="minorEastAsia" w:hAnsi="Calibri" w:cs="Calibri"/>
      <w:b/>
      <w:bCs/>
      <w:sz w:val="28"/>
      <w:szCs w:val="24"/>
      <w:lang w:eastAsia="en-AU"/>
    </w:rPr>
  </w:style>
  <w:style w:type="paragraph" w:styleId="BodyText">
    <w:name w:val="Body Text"/>
    <w:basedOn w:val="Normal"/>
    <w:link w:val="BodyTextChar"/>
    <w:uiPriority w:val="1"/>
    <w:qFormat/>
    <w:rsid w:val="00C43FEE"/>
    <w:rPr>
      <w:szCs w:val="20"/>
    </w:rPr>
  </w:style>
  <w:style w:type="character" w:customStyle="1" w:styleId="BodyTextChar">
    <w:name w:val="Body Text Char"/>
    <w:basedOn w:val="DefaultParagraphFont"/>
    <w:link w:val="BodyText"/>
    <w:uiPriority w:val="1"/>
    <w:rsid w:val="00C43FEE"/>
    <w:rPr>
      <w:rFonts w:ascii="Calibri" w:eastAsiaTheme="minorEastAsia" w:hAnsi="Calibri" w:cs="Calibri"/>
      <w:sz w:val="20"/>
      <w:szCs w:val="20"/>
      <w:lang w:eastAsia="en-AU"/>
    </w:rPr>
  </w:style>
  <w:style w:type="character" w:styleId="Hyperlink">
    <w:name w:val="Hyperlink"/>
    <w:basedOn w:val="DefaultParagraphFont"/>
    <w:uiPriority w:val="99"/>
    <w:unhideWhenUsed/>
    <w:rsid w:val="00C43FEE"/>
    <w:rPr>
      <w:color w:val="0563C1" w:themeColor="hyperlink"/>
      <w:u w:val="single"/>
    </w:rPr>
  </w:style>
  <w:style w:type="paragraph" w:styleId="BalloonText">
    <w:name w:val="Balloon Text"/>
    <w:basedOn w:val="Normal"/>
    <w:link w:val="BalloonTextChar"/>
    <w:uiPriority w:val="99"/>
    <w:semiHidden/>
    <w:unhideWhenUsed/>
    <w:rsid w:val="00467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B25"/>
    <w:rPr>
      <w:rFonts w:ascii="Segoe UI" w:eastAsiaTheme="minorEastAsia" w:hAnsi="Segoe UI" w:cs="Segoe UI"/>
      <w:sz w:val="18"/>
      <w:szCs w:val="18"/>
      <w:lang w:eastAsia="en-AU"/>
    </w:rPr>
  </w:style>
  <w:style w:type="character" w:styleId="CommentReference">
    <w:name w:val="annotation reference"/>
    <w:basedOn w:val="DefaultParagraphFont"/>
    <w:uiPriority w:val="99"/>
    <w:semiHidden/>
    <w:unhideWhenUsed/>
    <w:rsid w:val="008D3EFE"/>
    <w:rPr>
      <w:sz w:val="16"/>
      <w:szCs w:val="16"/>
    </w:rPr>
  </w:style>
  <w:style w:type="paragraph" w:styleId="CommentText">
    <w:name w:val="annotation text"/>
    <w:basedOn w:val="Normal"/>
    <w:link w:val="CommentTextChar"/>
    <w:uiPriority w:val="99"/>
    <w:semiHidden/>
    <w:unhideWhenUsed/>
    <w:rsid w:val="008D3EFE"/>
    <w:rPr>
      <w:szCs w:val="20"/>
    </w:rPr>
  </w:style>
  <w:style w:type="character" w:customStyle="1" w:styleId="CommentTextChar">
    <w:name w:val="Comment Text Char"/>
    <w:basedOn w:val="DefaultParagraphFont"/>
    <w:link w:val="CommentText"/>
    <w:uiPriority w:val="99"/>
    <w:semiHidden/>
    <w:rsid w:val="008D3EFE"/>
    <w:rPr>
      <w:rFonts w:ascii="Calibri" w:eastAsiaTheme="minorEastAsia"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8D3EFE"/>
    <w:rPr>
      <w:b/>
      <w:bCs/>
    </w:rPr>
  </w:style>
  <w:style w:type="character" w:customStyle="1" w:styleId="CommentSubjectChar">
    <w:name w:val="Comment Subject Char"/>
    <w:basedOn w:val="CommentTextChar"/>
    <w:link w:val="CommentSubject"/>
    <w:uiPriority w:val="99"/>
    <w:semiHidden/>
    <w:rsid w:val="008D3EFE"/>
    <w:rPr>
      <w:rFonts w:ascii="Calibri" w:eastAsiaTheme="minorEastAsia" w:hAnsi="Calibri" w:cs="Calibri"/>
      <w:b/>
      <w:bCs/>
      <w:sz w:val="20"/>
      <w:szCs w:val="20"/>
      <w:lang w:eastAsia="en-AU"/>
    </w:rPr>
  </w:style>
  <w:style w:type="character" w:styleId="UnresolvedMention">
    <w:name w:val="Unresolved Mention"/>
    <w:basedOn w:val="DefaultParagraphFont"/>
    <w:uiPriority w:val="99"/>
    <w:semiHidden/>
    <w:unhideWhenUsed/>
    <w:rsid w:val="005C0A42"/>
    <w:rPr>
      <w:color w:val="605E5C"/>
      <w:shd w:val="clear" w:color="auto" w:fill="E1DFDD"/>
    </w:rPr>
  </w:style>
  <w:style w:type="paragraph" w:styleId="Header">
    <w:name w:val="header"/>
    <w:basedOn w:val="Normal"/>
    <w:link w:val="HeaderChar"/>
    <w:uiPriority w:val="99"/>
    <w:unhideWhenUsed/>
    <w:rsid w:val="00025E8B"/>
    <w:pPr>
      <w:tabs>
        <w:tab w:val="center" w:pos="4513"/>
        <w:tab w:val="right" w:pos="9026"/>
      </w:tabs>
    </w:pPr>
  </w:style>
  <w:style w:type="character" w:customStyle="1" w:styleId="HeaderChar">
    <w:name w:val="Header Char"/>
    <w:basedOn w:val="DefaultParagraphFont"/>
    <w:link w:val="Header"/>
    <w:uiPriority w:val="99"/>
    <w:rsid w:val="00025E8B"/>
    <w:rPr>
      <w:rFonts w:ascii="Calibri" w:eastAsiaTheme="minorEastAsia" w:hAnsi="Calibri" w:cs="Calibri"/>
      <w:sz w:val="20"/>
      <w:lang w:eastAsia="en-AU"/>
    </w:rPr>
  </w:style>
  <w:style w:type="paragraph" w:styleId="Footer">
    <w:name w:val="footer"/>
    <w:basedOn w:val="Normal"/>
    <w:link w:val="FooterChar"/>
    <w:uiPriority w:val="99"/>
    <w:unhideWhenUsed/>
    <w:rsid w:val="00025E8B"/>
    <w:pPr>
      <w:tabs>
        <w:tab w:val="center" w:pos="4513"/>
        <w:tab w:val="right" w:pos="9026"/>
      </w:tabs>
    </w:pPr>
  </w:style>
  <w:style w:type="character" w:customStyle="1" w:styleId="FooterChar">
    <w:name w:val="Footer Char"/>
    <w:basedOn w:val="DefaultParagraphFont"/>
    <w:link w:val="Footer"/>
    <w:uiPriority w:val="99"/>
    <w:rsid w:val="00025E8B"/>
    <w:rPr>
      <w:rFonts w:ascii="Calibri" w:eastAsiaTheme="minorEastAsia" w:hAnsi="Calibri" w:cs="Calibr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fith.edu.au/about-griffith/corporate-governance/plans-publications" TargetMode="External"/><Relationship Id="rId13"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hyperlink" Target="https://www.griffith.edu.au/__data/assets/pdf_file/0028/533278/FINAL_Equity-Diversity-and-Inclusion-Plan-2018-2019.pdf" TargetMode="External"/><Relationship Id="rId12" Type="http://schemas.openxmlformats.org/officeDocument/2006/relationships/diagramColors" Target="diagrams/colors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riffith.edu.au/about-griffith/plans-publications" TargetMode="External"/><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C50D9-FB6B-4640-ACCF-4EC714D2703B}" type="doc">
      <dgm:prSet loTypeId="urn:microsoft.com/office/officeart/2005/8/layout/hList2" loCatId="relationship" qsTypeId="urn:microsoft.com/office/officeart/2005/8/quickstyle/simple1" qsCatId="simple" csTypeId="urn:microsoft.com/office/officeart/2005/8/colors/accent3_2" csCatId="accent3" phldr="1"/>
      <dgm:spPr/>
      <dgm:t>
        <a:bodyPr/>
        <a:lstStyle/>
        <a:p>
          <a:endParaRPr lang="en-AU"/>
        </a:p>
      </dgm:t>
    </dgm:pt>
    <dgm:pt modelId="{C3C2AABE-17F7-4808-9E3A-782C4AB1D7C1}">
      <dgm:prSet phldrT="[Text]"/>
      <dgm:spPr/>
      <dgm:t>
        <a:bodyPr/>
        <a:lstStyle/>
        <a:p>
          <a:r>
            <a:rPr lang="en-AU"/>
            <a:t>Pre-access</a:t>
          </a:r>
        </a:p>
      </dgm:t>
    </dgm:pt>
    <dgm:pt modelId="{496563A7-D968-4336-8998-38FB0AE3E70E}" type="parTrans" cxnId="{E1D6036D-4806-4DFC-8CE1-2B2DE5EC208C}">
      <dgm:prSet/>
      <dgm:spPr/>
      <dgm:t>
        <a:bodyPr/>
        <a:lstStyle/>
        <a:p>
          <a:endParaRPr lang="en-AU"/>
        </a:p>
      </dgm:t>
    </dgm:pt>
    <dgm:pt modelId="{BD321668-F142-4D6E-98BC-A977555759A0}" type="sibTrans" cxnId="{E1D6036D-4806-4DFC-8CE1-2B2DE5EC208C}">
      <dgm:prSet/>
      <dgm:spPr/>
      <dgm:t>
        <a:bodyPr/>
        <a:lstStyle/>
        <a:p>
          <a:endParaRPr lang="en-AU"/>
        </a:p>
      </dgm:t>
    </dgm:pt>
    <dgm:pt modelId="{D3DBCAD6-453C-49E7-8367-0F038672E5B8}">
      <dgm:prSet phldrT="[Text]"/>
      <dgm:spPr/>
      <dgm:t>
        <a:bodyPr/>
        <a:lstStyle/>
        <a:p>
          <a:r>
            <a:rPr lang="en-AU"/>
            <a:t>Access</a:t>
          </a:r>
        </a:p>
      </dgm:t>
    </dgm:pt>
    <dgm:pt modelId="{CF92B0A1-00EC-4203-8EEF-EFBD2CCB79BB}" type="parTrans" cxnId="{256373E8-3BAB-4492-9ACD-E1B207503BD0}">
      <dgm:prSet/>
      <dgm:spPr/>
      <dgm:t>
        <a:bodyPr/>
        <a:lstStyle/>
        <a:p>
          <a:endParaRPr lang="en-AU"/>
        </a:p>
      </dgm:t>
    </dgm:pt>
    <dgm:pt modelId="{AECDF4F0-2CEC-49E9-8655-EE02ABC15671}" type="sibTrans" cxnId="{256373E8-3BAB-4492-9ACD-E1B207503BD0}">
      <dgm:prSet/>
      <dgm:spPr/>
      <dgm:t>
        <a:bodyPr/>
        <a:lstStyle/>
        <a:p>
          <a:endParaRPr lang="en-AU"/>
        </a:p>
      </dgm:t>
    </dgm:pt>
    <dgm:pt modelId="{C2681CAC-7B39-4C1A-A6FA-463E22C2287B}">
      <dgm:prSet phldrT="[Text]"/>
      <dgm:spPr/>
      <dgm:t>
        <a:bodyPr/>
        <a:lstStyle/>
        <a:p>
          <a:r>
            <a:rPr lang="en-AU"/>
            <a:t>Participation</a:t>
          </a:r>
        </a:p>
      </dgm:t>
    </dgm:pt>
    <dgm:pt modelId="{D4C859F2-6E12-4662-A48F-0C6526868E57}" type="parTrans" cxnId="{2C900FBA-E2F6-4017-B740-361A51EF854E}">
      <dgm:prSet/>
      <dgm:spPr/>
      <dgm:t>
        <a:bodyPr/>
        <a:lstStyle/>
        <a:p>
          <a:endParaRPr lang="en-AU"/>
        </a:p>
      </dgm:t>
    </dgm:pt>
    <dgm:pt modelId="{6CEABD22-C9AB-4F62-A8C1-ABA0841A350E}" type="sibTrans" cxnId="{2C900FBA-E2F6-4017-B740-361A51EF854E}">
      <dgm:prSet/>
      <dgm:spPr/>
      <dgm:t>
        <a:bodyPr/>
        <a:lstStyle/>
        <a:p>
          <a:endParaRPr lang="en-AU"/>
        </a:p>
      </dgm:t>
    </dgm:pt>
    <dgm:pt modelId="{36207FD3-769F-48C0-95F7-904FBEFB5676}">
      <dgm:prSet/>
      <dgm:spPr/>
      <dgm:t>
        <a:bodyPr/>
        <a:lstStyle/>
        <a:p>
          <a:r>
            <a:rPr lang="en-AU"/>
            <a:t>Progress and attainment</a:t>
          </a:r>
        </a:p>
      </dgm:t>
    </dgm:pt>
    <dgm:pt modelId="{C8C8D6CF-CBB2-42B9-8098-408189E76DD5}" type="parTrans" cxnId="{B31A2B4A-0759-4F43-8813-4EFE60CDC43D}">
      <dgm:prSet/>
      <dgm:spPr/>
      <dgm:t>
        <a:bodyPr/>
        <a:lstStyle/>
        <a:p>
          <a:endParaRPr lang="en-AU"/>
        </a:p>
      </dgm:t>
    </dgm:pt>
    <dgm:pt modelId="{A7C5B07D-A2BD-4FBA-AF76-1E801EED6215}" type="sibTrans" cxnId="{B31A2B4A-0759-4F43-8813-4EFE60CDC43D}">
      <dgm:prSet/>
      <dgm:spPr/>
      <dgm:t>
        <a:bodyPr/>
        <a:lstStyle/>
        <a:p>
          <a:endParaRPr lang="en-AU"/>
        </a:p>
      </dgm:t>
    </dgm:pt>
    <dgm:pt modelId="{90502050-F693-4B30-8A0C-D3DDBA68305B}">
      <dgm:prSet custT="1"/>
      <dgm:spPr>
        <a:solidFill>
          <a:srgbClr val="C00000"/>
        </a:solidFill>
      </dgm:spPr>
      <dgm:t>
        <a:bodyPr/>
        <a:lstStyle/>
        <a:p>
          <a:r>
            <a:rPr lang="en-AU" sz="1000" b="1"/>
            <a:t>Financial support </a:t>
          </a:r>
          <a:r>
            <a:rPr lang="en-AU" sz="1000" b="0"/>
            <a:t>through Welfare Officers, bursaires and scholarships </a:t>
          </a:r>
        </a:p>
      </dgm:t>
    </dgm:pt>
    <dgm:pt modelId="{419D0578-0ABD-43AA-9555-9B61CE320743}" type="parTrans" cxnId="{32CFBACC-04BC-479F-AD59-0170E7E69752}">
      <dgm:prSet/>
      <dgm:spPr/>
      <dgm:t>
        <a:bodyPr/>
        <a:lstStyle/>
        <a:p>
          <a:endParaRPr lang="en-AU"/>
        </a:p>
      </dgm:t>
    </dgm:pt>
    <dgm:pt modelId="{AA43E5F0-2493-498B-AA8A-D001A7534836}" type="sibTrans" cxnId="{32CFBACC-04BC-479F-AD59-0170E7E69752}">
      <dgm:prSet/>
      <dgm:spPr/>
      <dgm:t>
        <a:bodyPr/>
        <a:lstStyle/>
        <a:p>
          <a:endParaRPr lang="en-AU"/>
        </a:p>
      </dgm:t>
    </dgm:pt>
    <dgm:pt modelId="{1F3176CE-BEF9-4B39-9921-437AAC47B769}">
      <dgm:prSet custT="1"/>
      <dgm:spPr>
        <a:solidFill>
          <a:srgbClr val="C00000"/>
        </a:solidFill>
      </dgm:spPr>
      <dgm:t>
        <a:bodyPr/>
        <a:lstStyle/>
        <a:p>
          <a:r>
            <a:rPr lang="en-AU" sz="1000" b="1"/>
            <a:t>Retention programs </a:t>
          </a:r>
          <a:r>
            <a:rPr lang="en-AU" sz="1000"/>
            <a:t>e.g. Mentoring@Griffith, PASS, academic workshops, cohort specific activities and Library Learning support</a:t>
          </a:r>
        </a:p>
      </dgm:t>
    </dgm:pt>
    <dgm:pt modelId="{BE290E18-EF5A-4017-9962-A2BF7257E3F3}" type="parTrans" cxnId="{C56A7765-1B11-4B4D-8299-2E16DA21CD9D}">
      <dgm:prSet/>
      <dgm:spPr/>
      <dgm:t>
        <a:bodyPr/>
        <a:lstStyle/>
        <a:p>
          <a:endParaRPr lang="en-AU"/>
        </a:p>
      </dgm:t>
    </dgm:pt>
    <dgm:pt modelId="{65DCFB6C-031A-49E9-8DDB-99FCA6362D5C}" type="sibTrans" cxnId="{C56A7765-1B11-4B4D-8299-2E16DA21CD9D}">
      <dgm:prSet/>
      <dgm:spPr/>
      <dgm:t>
        <a:bodyPr/>
        <a:lstStyle/>
        <a:p>
          <a:endParaRPr lang="en-AU"/>
        </a:p>
      </dgm:t>
    </dgm:pt>
    <dgm:pt modelId="{F4D9D1CC-99AE-469A-B2F3-0013F0586D34}">
      <dgm:prSet phldrT="[Text]" custT="1"/>
      <dgm:spPr>
        <a:solidFill>
          <a:srgbClr val="C00000"/>
        </a:solidFill>
      </dgm:spPr>
      <dgm:t>
        <a:bodyPr/>
        <a:lstStyle/>
        <a:p>
          <a:r>
            <a:rPr lang="en-AU" sz="1000" b="1"/>
            <a:t>Pathways and admissions </a:t>
          </a:r>
          <a:r>
            <a:rPr lang="en-AU" sz="1000"/>
            <a:t>programs e.g. Logan Direct Admission for adults, Educational Assistance Scheme, equity scholarships</a:t>
          </a:r>
        </a:p>
      </dgm:t>
    </dgm:pt>
    <dgm:pt modelId="{70A5C1CB-E39C-46A3-BA95-4DFE27D9665A}" type="sibTrans" cxnId="{6D45C48E-01D6-4EB9-BF97-DF9E73E45D85}">
      <dgm:prSet/>
      <dgm:spPr/>
      <dgm:t>
        <a:bodyPr/>
        <a:lstStyle/>
        <a:p>
          <a:endParaRPr lang="en-AU"/>
        </a:p>
      </dgm:t>
    </dgm:pt>
    <dgm:pt modelId="{D6F1BFCA-B4BC-4BCA-8B97-11DF62D55BF0}" type="parTrans" cxnId="{6D45C48E-01D6-4EB9-BF97-DF9E73E45D85}">
      <dgm:prSet/>
      <dgm:spPr/>
      <dgm:t>
        <a:bodyPr/>
        <a:lstStyle/>
        <a:p>
          <a:endParaRPr lang="en-AU"/>
        </a:p>
      </dgm:t>
    </dgm:pt>
    <dgm:pt modelId="{C75E842C-E679-4B97-8454-78DB0E615201}">
      <dgm:prSet phldrT="[Text]" custT="1"/>
      <dgm:spPr>
        <a:solidFill>
          <a:srgbClr val="C00000"/>
        </a:solidFill>
      </dgm:spPr>
      <dgm:t>
        <a:bodyPr/>
        <a:lstStyle/>
        <a:p>
          <a:r>
            <a:rPr lang="en-AU" sz="1000" b="1"/>
            <a:t>Pre-enrolment programs </a:t>
          </a:r>
          <a:r>
            <a:rPr lang="en-AU" sz="1000"/>
            <a:t>e.g. First Peoples strategies; English-language support activities; Tertiary Preparation Programs; Orientation and Transition Programs</a:t>
          </a:r>
        </a:p>
      </dgm:t>
    </dgm:pt>
    <dgm:pt modelId="{CD796327-7031-4056-B24B-D923D2162D37}" type="sibTrans" cxnId="{C5F804B5-2B95-4949-B074-C5DFB7143E8A}">
      <dgm:prSet/>
      <dgm:spPr/>
      <dgm:t>
        <a:bodyPr/>
        <a:lstStyle/>
        <a:p>
          <a:endParaRPr lang="en-AU"/>
        </a:p>
      </dgm:t>
    </dgm:pt>
    <dgm:pt modelId="{6D2E433E-C624-4479-8479-8B1D65D1B268}" type="parTrans" cxnId="{C5F804B5-2B95-4949-B074-C5DFB7143E8A}">
      <dgm:prSet/>
      <dgm:spPr/>
      <dgm:t>
        <a:bodyPr/>
        <a:lstStyle/>
        <a:p>
          <a:endParaRPr lang="en-AU"/>
        </a:p>
      </dgm:t>
    </dgm:pt>
    <dgm:pt modelId="{BE40DB3A-6236-44A9-9AFC-A34686BD2347}">
      <dgm:prSet phldrT="[Text]" custT="1"/>
      <dgm:spPr>
        <a:solidFill>
          <a:srgbClr val="C00000"/>
        </a:solidFill>
      </dgm:spPr>
      <dgm:t>
        <a:bodyPr/>
        <a:lstStyle/>
        <a:p>
          <a:r>
            <a:rPr lang="en-AU" sz="1000" b="1"/>
            <a:t>Retention programs </a:t>
          </a:r>
          <a:r>
            <a:rPr lang="en-AU" sz="1000"/>
            <a:t>to assist students e.g. Mentoring@Griffith, PASS, academic workshops, cohort specific activities, scholarships, and Library Learning support</a:t>
          </a:r>
        </a:p>
      </dgm:t>
    </dgm:pt>
    <dgm:pt modelId="{3F57CD81-3E67-467F-9863-663B4CE0BF56}" type="sibTrans" cxnId="{1A7CE017-8292-4449-8C8F-47D867EAB31A}">
      <dgm:prSet/>
      <dgm:spPr/>
      <dgm:t>
        <a:bodyPr/>
        <a:lstStyle/>
        <a:p>
          <a:endParaRPr lang="en-AU"/>
        </a:p>
      </dgm:t>
    </dgm:pt>
    <dgm:pt modelId="{903484FB-CACE-4AD6-B67A-A58A0ACB49D0}" type="parTrans" cxnId="{1A7CE017-8292-4449-8C8F-47D867EAB31A}">
      <dgm:prSet/>
      <dgm:spPr/>
      <dgm:t>
        <a:bodyPr/>
        <a:lstStyle/>
        <a:p>
          <a:endParaRPr lang="en-AU"/>
        </a:p>
      </dgm:t>
    </dgm:pt>
    <dgm:pt modelId="{3AFCBEC2-22F9-48A3-9EEC-347684FDFB3A}">
      <dgm:prSet phldrT="[Text]" custT="1"/>
      <dgm:spPr>
        <a:solidFill>
          <a:srgbClr val="C00000"/>
        </a:solidFill>
      </dgm:spPr>
      <dgm:t>
        <a:bodyPr/>
        <a:lstStyle/>
        <a:p>
          <a:r>
            <a:rPr lang="en-AU" sz="1000" b="1"/>
            <a:t>First Peoples </a:t>
          </a:r>
          <a:r>
            <a:rPr lang="en-AU" sz="1000" b="0"/>
            <a:t>access and participation programs</a:t>
          </a:r>
        </a:p>
      </dgm:t>
    </dgm:pt>
    <dgm:pt modelId="{F93A5937-C44D-4D0D-A606-181D6C70EF11}" type="parTrans" cxnId="{F11E1B14-402B-4B27-9268-EB7B9D3ED4BF}">
      <dgm:prSet/>
      <dgm:spPr/>
      <dgm:t>
        <a:bodyPr/>
        <a:lstStyle/>
        <a:p>
          <a:endParaRPr lang="en-AU"/>
        </a:p>
      </dgm:t>
    </dgm:pt>
    <dgm:pt modelId="{F7E8C7A4-5719-40F2-ACB1-2797370D14BC}" type="sibTrans" cxnId="{F11E1B14-402B-4B27-9268-EB7B9D3ED4BF}">
      <dgm:prSet/>
      <dgm:spPr/>
      <dgm:t>
        <a:bodyPr/>
        <a:lstStyle/>
        <a:p>
          <a:endParaRPr lang="en-AU"/>
        </a:p>
      </dgm:t>
    </dgm:pt>
    <dgm:pt modelId="{647CF892-26FB-454E-ABC2-4C7541307C21}">
      <dgm:prSet custT="1"/>
      <dgm:spPr>
        <a:solidFill>
          <a:srgbClr val="C00000"/>
        </a:solidFill>
      </dgm:spPr>
      <dgm:t>
        <a:bodyPr/>
        <a:lstStyle/>
        <a:p>
          <a:r>
            <a:rPr lang="en-AU" sz="1000" b="1"/>
            <a:t>Supporting LSES and First peoples student success through wrap around services </a:t>
          </a:r>
          <a:r>
            <a:rPr lang="en-AU" sz="1000"/>
            <a:t>such as GUMURRII Student support unit for First Peoples; Equity support; Health and wellbeing activities, welfare support, leadership programs and disabilities support</a:t>
          </a:r>
        </a:p>
      </dgm:t>
    </dgm:pt>
    <dgm:pt modelId="{2710E817-2738-4193-85BC-1ECC007619CA}" type="parTrans" cxnId="{BB8556B3-D109-4574-B4BD-786E11FE871D}">
      <dgm:prSet/>
      <dgm:spPr/>
      <dgm:t>
        <a:bodyPr/>
        <a:lstStyle/>
        <a:p>
          <a:endParaRPr lang="en-AU"/>
        </a:p>
      </dgm:t>
    </dgm:pt>
    <dgm:pt modelId="{D0D3E2C5-5AC6-417C-8325-6FB77866CA0B}" type="sibTrans" cxnId="{BB8556B3-D109-4574-B4BD-786E11FE871D}">
      <dgm:prSet/>
      <dgm:spPr/>
      <dgm:t>
        <a:bodyPr/>
        <a:lstStyle/>
        <a:p>
          <a:endParaRPr lang="en-AU"/>
        </a:p>
      </dgm:t>
    </dgm:pt>
    <dgm:pt modelId="{1A41115F-95B0-485C-8D7F-BBF602CE5628}">
      <dgm:prSet custT="1"/>
      <dgm:spPr>
        <a:solidFill>
          <a:srgbClr val="C00000"/>
        </a:solidFill>
      </dgm:spPr>
      <dgm:t>
        <a:bodyPr/>
        <a:lstStyle/>
        <a:p>
          <a:r>
            <a:rPr lang="en-AU" sz="1000" b="0"/>
            <a:t>The University has an </a:t>
          </a:r>
          <a:r>
            <a:rPr lang="en-AU" sz="1000" b="1"/>
            <a:t>Employability Strategy </a:t>
          </a:r>
          <a:r>
            <a:rPr lang="en-AU" sz="1000"/>
            <a:t>across the whole student life-cycle to prepare students for graduation and employment.  This enables students to develop skills that will support relevant work experience while studying (improving retention and progression) and to provide opportunities that contribute to graduate attributes and graduate employment. </a:t>
          </a:r>
          <a:r>
            <a:rPr lang="en-AU" sz="1000" b="1"/>
            <a:t>Initiatives includes </a:t>
          </a:r>
          <a:r>
            <a:rPr lang="en-AU" sz="1000"/>
            <a:t> curriculum-embedded careers content, advisory services, Griffith's employment agency UniTemps, internships,Work-integrated learning, leadership programs, cohort-specific programs for students with disabilities and refugee/migrants.</a:t>
          </a:r>
          <a:endParaRPr lang="en-AU" sz="900"/>
        </a:p>
      </dgm:t>
    </dgm:pt>
    <dgm:pt modelId="{42207379-07E5-4CF5-B240-7D993A6CCDCF}" type="parTrans" cxnId="{758CD898-E011-4535-9068-2A224AC3F961}">
      <dgm:prSet/>
      <dgm:spPr/>
      <dgm:t>
        <a:bodyPr/>
        <a:lstStyle/>
        <a:p>
          <a:endParaRPr lang="en-AU"/>
        </a:p>
      </dgm:t>
    </dgm:pt>
    <dgm:pt modelId="{6457BC15-B3C7-4347-BC95-306949B5F68E}" type="sibTrans" cxnId="{758CD898-E011-4535-9068-2A224AC3F961}">
      <dgm:prSet/>
      <dgm:spPr/>
      <dgm:t>
        <a:bodyPr/>
        <a:lstStyle/>
        <a:p>
          <a:endParaRPr lang="en-AU"/>
        </a:p>
      </dgm:t>
    </dgm:pt>
    <dgm:pt modelId="{F3A02AAD-58BE-42DB-BE17-9ECC2B1759C9}">
      <dgm:prSet phldrT="[Text]" custT="1"/>
      <dgm:spPr>
        <a:solidFill>
          <a:srgbClr val="C00000"/>
        </a:solidFill>
      </dgm:spPr>
      <dgm:t>
        <a:bodyPr/>
        <a:lstStyle/>
        <a:p>
          <a:r>
            <a:rPr lang="en-AU" sz="1000" b="1"/>
            <a:t>High Schools Outreach, </a:t>
          </a:r>
          <a:r>
            <a:rPr lang="en-AU" sz="1000"/>
            <a:t>including Career information, educational partnerships</a:t>
          </a:r>
        </a:p>
      </dgm:t>
    </dgm:pt>
    <dgm:pt modelId="{1631A248-D977-4429-9F63-6D3E18DEEBD4}" type="sibTrans" cxnId="{33508E9D-0FA0-4FBA-B14E-77A2B7E888ED}">
      <dgm:prSet/>
      <dgm:spPr/>
      <dgm:t>
        <a:bodyPr/>
        <a:lstStyle/>
        <a:p>
          <a:endParaRPr lang="en-AU"/>
        </a:p>
      </dgm:t>
    </dgm:pt>
    <dgm:pt modelId="{2DDC1E5C-035F-4D9E-8BE0-7E1C25631971}" type="parTrans" cxnId="{33508E9D-0FA0-4FBA-B14E-77A2B7E888ED}">
      <dgm:prSet/>
      <dgm:spPr/>
      <dgm:t>
        <a:bodyPr/>
        <a:lstStyle/>
        <a:p>
          <a:endParaRPr lang="en-AU"/>
        </a:p>
      </dgm:t>
    </dgm:pt>
    <dgm:pt modelId="{A7C6B59D-71A2-4D82-8047-E4C9D1A37A4F}">
      <dgm:prSet phldrT="[Text]" custT="1"/>
      <dgm:spPr>
        <a:solidFill>
          <a:srgbClr val="C00000"/>
        </a:solidFill>
      </dgm:spPr>
      <dgm:t>
        <a:bodyPr/>
        <a:lstStyle/>
        <a:p>
          <a:r>
            <a:rPr lang="en-AU" sz="1000" b="1"/>
            <a:t>Cohort-specific activities </a:t>
          </a:r>
          <a:r>
            <a:rPr lang="en-AU" sz="1000" b="0"/>
            <a:t>to support students such as Pasifika, students with disabilities, refugees and migrants, out-of-home-care leavers, parents</a:t>
          </a:r>
        </a:p>
      </dgm:t>
    </dgm:pt>
    <dgm:pt modelId="{D07AA091-1211-4B85-AFD4-D9D098DFEC3B}" type="sibTrans" cxnId="{82196874-0A87-49B3-BB38-8589E438C2BD}">
      <dgm:prSet/>
      <dgm:spPr/>
      <dgm:t>
        <a:bodyPr/>
        <a:lstStyle/>
        <a:p>
          <a:endParaRPr lang="en-AU"/>
        </a:p>
      </dgm:t>
    </dgm:pt>
    <dgm:pt modelId="{A943907C-FD3C-48CD-A9BC-7E5DA5F97501}" type="parTrans" cxnId="{82196874-0A87-49B3-BB38-8589E438C2BD}">
      <dgm:prSet/>
      <dgm:spPr/>
      <dgm:t>
        <a:bodyPr/>
        <a:lstStyle/>
        <a:p>
          <a:endParaRPr lang="en-AU"/>
        </a:p>
      </dgm:t>
    </dgm:pt>
    <dgm:pt modelId="{EE168D3B-66A4-4909-8154-6BEA62B898C3}">
      <dgm:prSet custT="1"/>
      <dgm:spPr>
        <a:solidFill>
          <a:srgbClr val="C00000"/>
        </a:solidFill>
      </dgm:spPr>
      <dgm:t>
        <a:bodyPr/>
        <a:lstStyle/>
        <a:p>
          <a:r>
            <a:rPr lang="en-AU" sz="1000" b="1"/>
            <a:t>Building First Peoples, </a:t>
          </a:r>
          <a:r>
            <a:rPr lang="en-AU" sz="1000"/>
            <a:t>including GUMURRII outreach activity, enabling programs, scholarships and admissions schemes</a:t>
          </a:r>
        </a:p>
      </dgm:t>
    </dgm:pt>
    <dgm:pt modelId="{F03374C8-2C11-4AD3-94DB-2D035AA8BFF4}" type="sibTrans" cxnId="{9C65BCF3-8489-403D-A529-DFFEF56713D1}">
      <dgm:prSet/>
      <dgm:spPr/>
      <dgm:t>
        <a:bodyPr/>
        <a:lstStyle/>
        <a:p>
          <a:endParaRPr lang="en-AU"/>
        </a:p>
      </dgm:t>
    </dgm:pt>
    <dgm:pt modelId="{A551BEE3-C258-49AA-ACAB-675B832505FB}" type="parTrans" cxnId="{9C65BCF3-8489-403D-A529-DFFEF56713D1}">
      <dgm:prSet/>
      <dgm:spPr/>
      <dgm:t>
        <a:bodyPr/>
        <a:lstStyle/>
        <a:p>
          <a:endParaRPr lang="en-AU"/>
        </a:p>
      </dgm:t>
    </dgm:pt>
    <dgm:pt modelId="{B91A3680-3FD6-44CC-AEEB-C2EEEB85B3B2}">
      <dgm:prSet custT="1"/>
      <dgm:spPr>
        <a:solidFill>
          <a:srgbClr val="C00000"/>
        </a:solidFill>
      </dgm:spPr>
      <dgm:t>
        <a:bodyPr/>
        <a:lstStyle/>
        <a:p>
          <a:r>
            <a:rPr lang="en-AU" sz="1000" b="1"/>
            <a:t>Mature-age strategy </a:t>
          </a:r>
          <a:r>
            <a:rPr lang="en-AU" sz="1000"/>
            <a:t>including outreach, STAT subsidies, alternative pathways advice</a:t>
          </a:r>
        </a:p>
      </dgm:t>
    </dgm:pt>
    <dgm:pt modelId="{C738C405-F66C-436D-8827-8C4743DD64E6}" type="sibTrans" cxnId="{F91156E7-14A6-4076-86A3-4A7D89C19760}">
      <dgm:prSet/>
      <dgm:spPr/>
      <dgm:t>
        <a:bodyPr/>
        <a:lstStyle/>
        <a:p>
          <a:endParaRPr lang="en-AU"/>
        </a:p>
      </dgm:t>
    </dgm:pt>
    <dgm:pt modelId="{C922A391-1012-4AB8-8317-6BBDE3F5EDF6}" type="parTrans" cxnId="{F91156E7-14A6-4076-86A3-4A7D89C19760}">
      <dgm:prSet/>
      <dgm:spPr/>
      <dgm:t>
        <a:bodyPr/>
        <a:lstStyle/>
        <a:p>
          <a:endParaRPr lang="en-AU"/>
        </a:p>
      </dgm:t>
    </dgm:pt>
    <dgm:pt modelId="{B222F986-9C67-4BAE-8541-61F113DB0A03}" type="pres">
      <dgm:prSet presAssocID="{E73C50D9-FB6B-4640-ACCF-4EC714D2703B}" presName="linearFlow" presStyleCnt="0">
        <dgm:presLayoutVars>
          <dgm:dir/>
          <dgm:animLvl val="lvl"/>
          <dgm:resizeHandles/>
        </dgm:presLayoutVars>
      </dgm:prSet>
      <dgm:spPr/>
    </dgm:pt>
    <dgm:pt modelId="{F0C46DBE-9F02-45E5-B3CC-A0AAB3F9F0D4}" type="pres">
      <dgm:prSet presAssocID="{C3C2AABE-17F7-4808-9E3A-782C4AB1D7C1}" presName="compositeNode" presStyleCnt="0">
        <dgm:presLayoutVars>
          <dgm:bulletEnabled val="1"/>
        </dgm:presLayoutVars>
      </dgm:prSet>
      <dgm:spPr/>
    </dgm:pt>
    <dgm:pt modelId="{09C1FC76-1232-4763-881A-BA8A719DE115}" type="pres">
      <dgm:prSet presAssocID="{C3C2AABE-17F7-4808-9E3A-782C4AB1D7C1}" presName="image" presStyleLbl="fgImgPlace1" presStyleIdx="0" presStyleCnt="4"/>
      <dgm:spPr>
        <a:blipFill>
          <a:blip xmlns:r="http://schemas.openxmlformats.org/officeDocument/2006/relationships" r:embed="rId1"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Eye"/>
        </a:ext>
      </dgm:extLst>
    </dgm:pt>
    <dgm:pt modelId="{40E846CE-DCD9-4D9B-8789-227889B1BEA5}" type="pres">
      <dgm:prSet presAssocID="{C3C2AABE-17F7-4808-9E3A-782C4AB1D7C1}" presName="childNode" presStyleLbl="node1" presStyleIdx="0" presStyleCnt="4" custScaleX="112591" custLinFactNeighborX="6729" custLinFactNeighborY="-718">
        <dgm:presLayoutVars>
          <dgm:bulletEnabled val="1"/>
        </dgm:presLayoutVars>
      </dgm:prSet>
      <dgm:spPr/>
    </dgm:pt>
    <dgm:pt modelId="{A0F4192A-00D9-4B01-91E6-76EBB48EAB8C}" type="pres">
      <dgm:prSet presAssocID="{C3C2AABE-17F7-4808-9E3A-782C4AB1D7C1}" presName="parentNode" presStyleLbl="revTx" presStyleIdx="0" presStyleCnt="4">
        <dgm:presLayoutVars>
          <dgm:chMax val="0"/>
          <dgm:bulletEnabled val="1"/>
        </dgm:presLayoutVars>
      </dgm:prSet>
      <dgm:spPr/>
    </dgm:pt>
    <dgm:pt modelId="{82D81312-3B34-4093-B2E8-BCBC013EE4E0}" type="pres">
      <dgm:prSet presAssocID="{BD321668-F142-4D6E-98BC-A977555759A0}" presName="sibTrans" presStyleCnt="0"/>
      <dgm:spPr/>
    </dgm:pt>
    <dgm:pt modelId="{2621CB8E-9B33-4560-96C2-59152781E19E}" type="pres">
      <dgm:prSet presAssocID="{D3DBCAD6-453C-49E7-8367-0F038672E5B8}" presName="compositeNode" presStyleCnt="0">
        <dgm:presLayoutVars>
          <dgm:bulletEnabled val="1"/>
        </dgm:presLayoutVars>
      </dgm:prSet>
      <dgm:spPr/>
    </dgm:pt>
    <dgm:pt modelId="{4597EE52-1743-43ED-98B2-A3D65409E67E}" type="pres">
      <dgm:prSet presAssocID="{D3DBCAD6-453C-49E7-8367-0F038672E5B8}" presName="image" presStyleLbl="fgImgPlace1" presStyleIdx="1" presStyleCnt="4"/>
      <dgm:spPr>
        <a:blipFill>
          <a:blip xmlns:r="http://schemas.openxmlformats.org/officeDocument/2006/relationships" r:embed="rId3">
            <a:duotone>
              <a:schemeClr val="accent3">
                <a:hueOff val="0"/>
                <a:satOff val="0"/>
                <a:lumOff val="0"/>
                <a:alphaOff val="0"/>
                <a:shade val="20000"/>
                <a:satMod val="200000"/>
              </a:schemeClr>
              <a:schemeClr val="accent3">
                <a:hueOff val="0"/>
                <a:satOff val="0"/>
                <a:lumOff val="0"/>
                <a:alphaOff val="0"/>
                <a:tint val="12000"/>
                <a:satMod val="190000"/>
              </a:schemeClr>
            </a:duotone>
            <a:extLs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Open Book"/>
        </a:ext>
      </dgm:extLst>
    </dgm:pt>
    <dgm:pt modelId="{C046D92E-2CEA-46B9-9635-ED88B6C26119}" type="pres">
      <dgm:prSet presAssocID="{D3DBCAD6-453C-49E7-8367-0F038672E5B8}" presName="childNode" presStyleLbl="node1" presStyleIdx="1" presStyleCnt="4" custScaleX="113451" custLinFactNeighborX="7270" custLinFactNeighborY="-239">
        <dgm:presLayoutVars>
          <dgm:bulletEnabled val="1"/>
        </dgm:presLayoutVars>
      </dgm:prSet>
      <dgm:spPr/>
    </dgm:pt>
    <dgm:pt modelId="{FCC05460-1E21-4AF3-915A-B40C02F9BC40}" type="pres">
      <dgm:prSet presAssocID="{D3DBCAD6-453C-49E7-8367-0F038672E5B8}" presName="parentNode" presStyleLbl="revTx" presStyleIdx="1" presStyleCnt="4">
        <dgm:presLayoutVars>
          <dgm:chMax val="0"/>
          <dgm:bulletEnabled val="1"/>
        </dgm:presLayoutVars>
      </dgm:prSet>
      <dgm:spPr/>
    </dgm:pt>
    <dgm:pt modelId="{2B2A2E11-83FB-4FC7-9EDF-BF1214AE7A0C}" type="pres">
      <dgm:prSet presAssocID="{AECDF4F0-2CEC-49E9-8655-EE02ABC15671}" presName="sibTrans" presStyleCnt="0"/>
      <dgm:spPr/>
    </dgm:pt>
    <dgm:pt modelId="{EF8AD07B-F2BD-41C2-BB42-8739EF55788F}" type="pres">
      <dgm:prSet presAssocID="{C2681CAC-7B39-4C1A-A6FA-463E22C2287B}" presName="compositeNode" presStyleCnt="0">
        <dgm:presLayoutVars>
          <dgm:bulletEnabled val="1"/>
        </dgm:presLayoutVars>
      </dgm:prSet>
      <dgm:spPr/>
    </dgm:pt>
    <dgm:pt modelId="{9E10C6C1-20F8-41BA-9A6F-CBCB90F89837}" type="pres">
      <dgm:prSet presAssocID="{C2681CAC-7B39-4C1A-A6FA-463E22C2287B}" presName="image" presStyleLbl="fgImgPlace1" presStyleIdx="2" presStyleCnt="4"/>
      <dgm:spPr>
        <a:blipFill>
          <a:blip xmlns:r="http://schemas.openxmlformats.org/officeDocument/2006/relationships" r:embed="rId5"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Users"/>
        </a:ext>
      </dgm:extLst>
    </dgm:pt>
    <dgm:pt modelId="{707F6DFC-934C-429A-BFA2-3C7C6366DD07}" type="pres">
      <dgm:prSet presAssocID="{C2681CAC-7B39-4C1A-A6FA-463E22C2287B}" presName="childNode" presStyleLbl="node1" presStyleIdx="2" presStyleCnt="4" custScaleX="107973" custLinFactNeighborX="6409">
        <dgm:presLayoutVars>
          <dgm:bulletEnabled val="1"/>
        </dgm:presLayoutVars>
      </dgm:prSet>
      <dgm:spPr/>
    </dgm:pt>
    <dgm:pt modelId="{E75CBB7C-4208-4562-ACEE-C4E07FA698CE}" type="pres">
      <dgm:prSet presAssocID="{C2681CAC-7B39-4C1A-A6FA-463E22C2287B}" presName="parentNode" presStyleLbl="revTx" presStyleIdx="2" presStyleCnt="4">
        <dgm:presLayoutVars>
          <dgm:chMax val="0"/>
          <dgm:bulletEnabled val="1"/>
        </dgm:presLayoutVars>
      </dgm:prSet>
      <dgm:spPr/>
    </dgm:pt>
    <dgm:pt modelId="{F4E8EF60-48C4-4F28-ADB6-CAE0F0E0B3C4}" type="pres">
      <dgm:prSet presAssocID="{6CEABD22-C9AB-4F62-A8C1-ABA0841A350E}" presName="sibTrans" presStyleCnt="0"/>
      <dgm:spPr/>
    </dgm:pt>
    <dgm:pt modelId="{B1C3BA66-1346-4DA0-B2A0-BA82CBD1CF98}" type="pres">
      <dgm:prSet presAssocID="{36207FD3-769F-48C0-95F7-904FBEFB5676}" presName="compositeNode" presStyleCnt="0">
        <dgm:presLayoutVars>
          <dgm:bulletEnabled val="1"/>
        </dgm:presLayoutVars>
      </dgm:prSet>
      <dgm:spPr/>
    </dgm:pt>
    <dgm:pt modelId="{3B8E08B5-94D2-428A-95F6-4CAF76B7F711}" type="pres">
      <dgm:prSet presAssocID="{36207FD3-769F-48C0-95F7-904FBEFB5676}" presName="image" presStyleLbl="fgImgPlace1" presStyleIdx="3" presStyleCnt="4"/>
      <dgm:spPr>
        <a:blipFill>
          <a:blip xmlns:r="http://schemas.openxmlformats.org/officeDocument/2006/relationships" r:embed="rId7"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Podium"/>
        </a:ext>
      </dgm:extLst>
    </dgm:pt>
    <dgm:pt modelId="{83E9CA30-820D-4517-9950-A1E28EF2388C}" type="pres">
      <dgm:prSet presAssocID="{36207FD3-769F-48C0-95F7-904FBEFB5676}" presName="childNode" presStyleLbl="node1" presStyleIdx="3" presStyleCnt="4" custScaleX="106058" custScaleY="101581" custLinFactNeighborX="3222" custLinFactNeighborY="478">
        <dgm:presLayoutVars>
          <dgm:bulletEnabled val="1"/>
        </dgm:presLayoutVars>
      </dgm:prSet>
      <dgm:spPr/>
    </dgm:pt>
    <dgm:pt modelId="{707E0B0D-4092-4DE9-9BB4-BCDF0B4E695D}" type="pres">
      <dgm:prSet presAssocID="{36207FD3-769F-48C0-95F7-904FBEFB5676}" presName="parentNode" presStyleLbl="revTx" presStyleIdx="3" presStyleCnt="4">
        <dgm:presLayoutVars>
          <dgm:chMax val="0"/>
          <dgm:bulletEnabled val="1"/>
        </dgm:presLayoutVars>
      </dgm:prSet>
      <dgm:spPr/>
    </dgm:pt>
  </dgm:ptLst>
  <dgm:cxnLst>
    <dgm:cxn modelId="{F11E1B14-402B-4B27-9268-EB7B9D3ED4BF}" srcId="{D3DBCAD6-453C-49E7-8367-0F038672E5B8}" destId="{3AFCBEC2-22F9-48A3-9EEC-347684FDFB3A}" srcOrd="0" destOrd="0" parTransId="{F93A5937-C44D-4D0D-A606-181D6C70EF11}" sibTransId="{F7E8C7A4-5719-40F2-ACB1-2797370D14BC}"/>
    <dgm:cxn modelId="{1A7CE017-8292-4449-8C8F-47D867EAB31A}" srcId="{D3DBCAD6-453C-49E7-8367-0F038672E5B8}" destId="{BE40DB3A-6236-44A9-9AFC-A34686BD2347}" srcOrd="3" destOrd="0" parTransId="{903484FB-CACE-4AD6-B67A-A58A0ACB49D0}" sibTransId="{3F57CD81-3E67-467F-9863-663B4CE0BF56}"/>
    <dgm:cxn modelId="{3273DC1C-FD8B-4DB8-AE97-29CC39877119}" type="presOf" srcId="{647CF892-26FB-454E-ABC2-4C7541307C21}" destId="{707F6DFC-934C-429A-BFA2-3C7C6366DD07}" srcOrd="0" destOrd="0" presId="urn:microsoft.com/office/officeart/2005/8/layout/hList2"/>
    <dgm:cxn modelId="{B7C95121-9EF0-482F-A483-23D45CD0355D}" type="presOf" srcId="{90502050-F693-4B30-8A0C-D3DDBA68305B}" destId="{707F6DFC-934C-429A-BFA2-3C7C6366DD07}" srcOrd="0" destOrd="2" presId="urn:microsoft.com/office/officeart/2005/8/layout/hList2"/>
    <dgm:cxn modelId="{C56A7765-1B11-4B4D-8299-2E16DA21CD9D}" srcId="{C2681CAC-7B39-4C1A-A6FA-463E22C2287B}" destId="{1F3176CE-BEF9-4B39-9921-437AAC47B769}" srcOrd="1" destOrd="0" parTransId="{BE290E18-EF5A-4017-9962-A2BF7257E3F3}" sibTransId="{65DCFB6C-031A-49E9-8DDB-99FCA6362D5C}"/>
    <dgm:cxn modelId="{3B6B2448-BEA3-43D8-AD90-A2C6646BF4DA}" type="presOf" srcId="{A7C6B59D-71A2-4D82-8047-E4C9D1A37A4F}" destId="{40E846CE-DCD9-4D9B-8789-227889B1BEA5}" srcOrd="0" destOrd="1" presId="urn:microsoft.com/office/officeart/2005/8/layout/hList2"/>
    <dgm:cxn modelId="{B31A2B4A-0759-4F43-8813-4EFE60CDC43D}" srcId="{E73C50D9-FB6B-4640-ACCF-4EC714D2703B}" destId="{36207FD3-769F-48C0-95F7-904FBEFB5676}" srcOrd="3" destOrd="0" parTransId="{C8C8D6CF-CBB2-42B9-8098-408189E76DD5}" sibTransId="{A7C5B07D-A2BD-4FBA-AF76-1E801EED6215}"/>
    <dgm:cxn modelId="{E1D6036D-4806-4DFC-8CE1-2B2DE5EC208C}" srcId="{E73C50D9-FB6B-4640-ACCF-4EC714D2703B}" destId="{C3C2AABE-17F7-4808-9E3A-782C4AB1D7C1}" srcOrd="0" destOrd="0" parTransId="{496563A7-D968-4336-8998-38FB0AE3E70E}" sibTransId="{BD321668-F142-4D6E-98BC-A977555759A0}"/>
    <dgm:cxn modelId="{A188CC6E-0CCA-495C-93A7-F1873C19FA52}" type="presOf" srcId="{D3DBCAD6-453C-49E7-8367-0F038672E5B8}" destId="{FCC05460-1E21-4AF3-915A-B40C02F9BC40}" srcOrd="0" destOrd="0" presId="urn:microsoft.com/office/officeart/2005/8/layout/hList2"/>
    <dgm:cxn modelId="{82196874-0A87-49B3-BB38-8589E438C2BD}" srcId="{C3C2AABE-17F7-4808-9E3A-782C4AB1D7C1}" destId="{A7C6B59D-71A2-4D82-8047-E4C9D1A37A4F}" srcOrd="1" destOrd="0" parTransId="{A943907C-FD3C-48CD-A9BC-7E5DA5F97501}" sibTransId="{D07AA091-1211-4B85-AFD4-D9D098DFEC3B}"/>
    <dgm:cxn modelId="{5014067A-A854-412D-B50B-6E0A41461DA7}" type="presOf" srcId="{BE40DB3A-6236-44A9-9AFC-A34686BD2347}" destId="{C046D92E-2CEA-46B9-9635-ED88B6C26119}" srcOrd="0" destOrd="3" presId="urn:microsoft.com/office/officeart/2005/8/layout/hList2"/>
    <dgm:cxn modelId="{E15CA67B-936D-49A2-A1DF-E9E976AE4141}" type="presOf" srcId="{3AFCBEC2-22F9-48A3-9EEC-347684FDFB3A}" destId="{C046D92E-2CEA-46B9-9635-ED88B6C26119}" srcOrd="0" destOrd="0" presId="urn:microsoft.com/office/officeart/2005/8/layout/hList2"/>
    <dgm:cxn modelId="{29C4ED81-054B-4C26-9BB6-57F1D2A53D5C}" type="presOf" srcId="{1A41115F-95B0-485C-8D7F-BBF602CE5628}" destId="{83E9CA30-820D-4517-9950-A1E28EF2388C}" srcOrd="0" destOrd="0" presId="urn:microsoft.com/office/officeart/2005/8/layout/hList2"/>
    <dgm:cxn modelId="{6D45C48E-01D6-4EB9-BF97-DF9E73E45D85}" srcId="{D3DBCAD6-453C-49E7-8367-0F038672E5B8}" destId="{F4D9D1CC-99AE-469A-B2F3-0013F0586D34}" srcOrd="1" destOrd="0" parTransId="{D6F1BFCA-B4BC-4BCA-8B97-11DF62D55BF0}" sibTransId="{70A5C1CB-E39C-46A3-BA95-4DFE27D9665A}"/>
    <dgm:cxn modelId="{3D07CB97-D185-4D01-A310-316D7412721D}" type="presOf" srcId="{C2681CAC-7B39-4C1A-A6FA-463E22C2287B}" destId="{E75CBB7C-4208-4562-ACEE-C4E07FA698CE}" srcOrd="0" destOrd="0" presId="urn:microsoft.com/office/officeart/2005/8/layout/hList2"/>
    <dgm:cxn modelId="{758CD898-E011-4535-9068-2A224AC3F961}" srcId="{36207FD3-769F-48C0-95F7-904FBEFB5676}" destId="{1A41115F-95B0-485C-8D7F-BBF602CE5628}" srcOrd="0" destOrd="0" parTransId="{42207379-07E5-4CF5-B240-7D993A6CCDCF}" sibTransId="{6457BC15-B3C7-4347-BC95-306949B5F68E}"/>
    <dgm:cxn modelId="{33508E9D-0FA0-4FBA-B14E-77A2B7E888ED}" srcId="{C3C2AABE-17F7-4808-9E3A-782C4AB1D7C1}" destId="{F3A02AAD-58BE-42DB-BE17-9ECC2B1759C9}" srcOrd="0" destOrd="0" parTransId="{2DDC1E5C-035F-4D9E-8BE0-7E1C25631971}" sibTransId="{1631A248-D977-4429-9F63-6D3E18DEEBD4}"/>
    <dgm:cxn modelId="{1EA434AD-F657-4163-8BE4-934A448D1FBB}" type="presOf" srcId="{B91A3680-3FD6-44CC-AEEB-C2EEEB85B3B2}" destId="{40E846CE-DCD9-4D9B-8789-227889B1BEA5}" srcOrd="0" destOrd="3" presId="urn:microsoft.com/office/officeart/2005/8/layout/hList2"/>
    <dgm:cxn modelId="{BB8556B3-D109-4574-B4BD-786E11FE871D}" srcId="{C2681CAC-7B39-4C1A-A6FA-463E22C2287B}" destId="{647CF892-26FB-454E-ABC2-4C7541307C21}" srcOrd="0" destOrd="0" parTransId="{2710E817-2738-4193-85BC-1ECC007619CA}" sibTransId="{D0D3E2C5-5AC6-417C-8325-6FB77866CA0B}"/>
    <dgm:cxn modelId="{C5F804B5-2B95-4949-B074-C5DFB7143E8A}" srcId="{D3DBCAD6-453C-49E7-8367-0F038672E5B8}" destId="{C75E842C-E679-4B97-8454-78DB0E615201}" srcOrd="2" destOrd="0" parTransId="{6D2E433E-C624-4479-8479-8B1D65D1B268}" sibTransId="{CD796327-7031-4056-B24B-D923D2162D37}"/>
    <dgm:cxn modelId="{2C900FBA-E2F6-4017-B740-361A51EF854E}" srcId="{E73C50D9-FB6B-4640-ACCF-4EC714D2703B}" destId="{C2681CAC-7B39-4C1A-A6FA-463E22C2287B}" srcOrd="2" destOrd="0" parTransId="{D4C859F2-6E12-4662-A48F-0C6526868E57}" sibTransId="{6CEABD22-C9AB-4F62-A8C1-ABA0841A350E}"/>
    <dgm:cxn modelId="{7CE475BE-B3C8-4716-8FC4-4F014A8CCF0A}" type="presOf" srcId="{1F3176CE-BEF9-4B39-9921-437AAC47B769}" destId="{707F6DFC-934C-429A-BFA2-3C7C6366DD07}" srcOrd="0" destOrd="1" presId="urn:microsoft.com/office/officeart/2005/8/layout/hList2"/>
    <dgm:cxn modelId="{E962C7BE-0436-4944-9D61-4F398BEEE9DD}" type="presOf" srcId="{C75E842C-E679-4B97-8454-78DB0E615201}" destId="{C046D92E-2CEA-46B9-9635-ED88B6C26119}" srcOrd="0" destOrd="2" presId="urn:microsoft.com/office/officeart/2005/8/layout/hList2"/>
    <dgm:cxn modelId="{32CFBACC-04BC-479F-AD59-0170E7E69752}" srcId="{C2681CAC-7B39-4C1A-A6FA-463E22C2287B}" destId="{90502050-F693-4B30-8A0C-D3DDBA68305B}" srcOrd="2" destOrd="0" parTransId="{419D0578-0ABD-43AA-9555-9B61CE320743}" sibTransId="{AA43E5F0-2493-498B-AA8A-D001A7534836}"/>
    <dgm:cxn modelId="{2E0D04D0-C472-48A0-BF37-CBB1C1B3D931}" type="presOf" srcId="{E73C50D9-FB6B-4640-ACCF-4EC714D2703B}" destId="{B222F986-9C67-4BAE-8541-61F113DB0A03}" srcOrd="0" destOrd="0" presId="urn:microsoft.com/office/officeart/2005/8/layout/hList2"/>
    <dgm:cxn modelId="{2AD286DB-B201-4D6B-AAF9-74AB05D57684}" type="presOf" srcId="{F4D9D1CC-99AE-469A-B2F3-0013F0586D34}" destId="{C046D92E-2CEA-46B9-9635-ED88B6C26119}" srcOrd="0" destOrd="1" presId="urn:microsoft.com/office/officeart/2005/8/layout/hList2"/>
    <dgm:cxn modelId="{9654F0DE-9EF4-4442-AB0D-CB5395814DA4}" type="presOf" srcId="{EE168D3B-66A4-4909-8154-6BEA62B898C3}" destId="{40E846CE-DCD9-4D9B-8789-227889B1BEA5}" srcOrd="0" destOrd="2" presId="urn:microsoft.com/office/officeart/2005/8/layout/hList2"/>
    <dgm:cxn modelId="{E7B54CE0-5363-4C72-89C3-334BFDF169D9}" type="presOf" srcId="{36207FD3-769F-48C0-95F7-904FBEFB5676}" destId="{707E0B0D-4092-4DE9-9BB4-BCDF0B4E695D}" srcOrd="0" destOrd="0" presId="urn:microsoft.com/office/officeart/2005/8/layout/hList2"/>
    <dgm:cxn modelId="{F91156E7-14A6-4076-86A3-4A7D89C19760}" srcId="{C3C2AABE-17F7-4808-9E3A-782C4AB1D7C1}" destId="{B91A3680-3FD6-44CC-AEEB-C2EEEB85B3B2}" srcOrd="3" destOrd="0" parTransId="{C922A391-1012-4AB8-8317-6BBDE3F5EDF6}" sibTransId="{C738C405-F66C-436D-8827-8C4743DD64E6}"/>
    <dgm:cxn modelId="{F84DB3E7-E1F9-4F0C-8C20-CF21D9DCA1C3}" type="presOf" srcId="{F3A02AAD-58BE-42DB-BE17-9ECC2B1759C9}" destId="{40E846CE-DCD9-4D9B-8789-227889B1BEA5}" srcOrd="0" destOrd="0" presId="urn:microsoft.com/office/officeart/2005/8/layout/hList2"/>
    <dgm:cxn modelId="{256373E8-3BAB-4492-9ACD-E1B207503BD0}" srcId="{E73C50D9-FB6B-4640-ACCF-4EC714D2703B}" destId="{D3DBCAD6-453C-49E7-8367-0F038672E5B8}" srcOrd="1" destOrd="0" parTransId="{CF92B0A1-00EC-4203-8EEF-EFBD2CCB79BB}" sibTransId="{AECDF4F0-2CEC-49E9-8655-EE02ABC15671}"/>
    <dgm:cxn modelId="{9C65BCF3-8489-403D-A529-DFFEF56713D1}" srcId="{C3C2AABE-17F7-4808-9E3A-782C4AB1D7C1}" destId="{EE168D3B-66A4-4909-8154-6BEA62B898C3}" srcOrd="2" destOrd="0" parTransId="{A551BEE3-C258-49AA-ACAB-675B832505FB}" sibTransId="{F03374C8-2C11-4AD3-94DB-2D035AA8BFF4}"/>
    <dgm:cxn modelId="{AF290FFE-F320-4534-8E54-9856386CE423}" type="presOf" srcId="{C3C2AABE-17F7-4808-9E3A-782C4AB1D7C1}" destId="{A0F4192A-00D9-4B01-91E6-76EBB48EAB8C}" srcOrd="0" destOrd="0" presId="urn:microsoft.com/office/officeart/2005/8/layout/hList2"/>
    <dgm:cxn modelId="{A3759299-7C9C-422C-87FF-CBA509F82268}" type="presParOf" srcId="{B222F986-9C67-4BAE-8541-61F113DB0A03}" destId="{F0C46DBE-9F02-45E5-B3CC-A0AAB3F9F0D4}" srcOrd="0" destOrd="0" presId="urn:microsoft.com/office/officeart/2005/8/layout/hList2"/>
    <dgm:cxn modelId="{7A1D6620-9F1C-45FA-9683-BC719E3D0DC7}" type="presParOf" srcId="{F0C46DBE-9F02-45E5-B3CC-A0AAB3F9F0D4}" destId="{09C1FC76-1232-4763-881A-BA8A719DE115}" srcOrd="0" destOrd="0" presId="urn:microsoft.com/office/officeart/2005/8/layout/hList2"/>
    <dgm:cxn modelId="{043259AC-8ED3-4F91-BF4E-A39EB9668630}" type="presParOf" srcId="{F0C46DBE-9F02-45E5-B3CC-A0AAB3F9F0D4}" destId="{40E846CE-DCD9-4D9B-8789-227889B1BEA5}" srcOrd="1" destOrd="0" presId="urn:microsoft.com/office/officeart/2005/8/layout/hList2"/>
    <dgm:cxn modelId="{2B1698C6-3EB5-4552-8DE0-FB4D50713035}" type="presParOf" srcId="{F0C46DBE-9F02-45E5-B3CC-A0AAB3F9F0D4}" destId="{A0F4192A-00D9-4B01-91E6-76EBB48EAB8C}" srcOrd="2" destOrd="0" presId="urn:microsoft.com/office/officeart/2005/8/layout/hList2"/>
    <dgm:cxn modelId="{61869701-4337-4558-9776-FE9766BB4981}" type="presParOf" srcId="{B222F986-9C67-4BAE-8541-61F113DB0A03}" destId="{82D81312-3B34-4093-B2E8-BCBC013EE4E0}" srcOrd="1" destOrd="0" presId="urn:microsoft.com/office/officeart/2005/8/layout/hList2"/>
    <dgm:cxn modelId="{CC9A80B3-7EB2-463B-9EA5-4A79B6AC0AA3}" type="presParOf" srcId="{B222F986-9C67-4BAE-8541-61F113DB0A03}" destId="{2621CB8E-9B33-4560-96C2-59152781E19E}" srcOrd="2" destOrd="0" presId="urn:microsoft.com/office/officeart/2005/8/layout/hList2"/>
    <dgm:cxn modelId="{C003FB01-9415-4016-9B6F-5337AF06F1A9}" type="presParOf" srcId="{2621CB8E-9B33-4560-96C2-59152781E19E}" destId="{4597EE52-1743-43ED-98B2-A3D65409E67E}" srcOrd="0" destOrd="0" presId="urn:microsoft.com/office/officeart/2005/8/layout/hList2"/>
    <dgm:cxn modelId="{DE40DE2E-DF32-48A5-9453-94BE9C9D94D9}" type="presParOf" srcId="{2621CB8E-9B33-4560-96C2-59152781E19E}" destId="{C046D92E-2CEA-46B9-9635-ED88B6C26119}" srcOrd="1" destOrd="0" presId="urn:microsoft.com/office/officeart/2005/8/layout/hList2"/>
    <dgm:cxn modelId="{B90A860A-2DAD-43C3-8D6B-8010C1B0F21E}" type="presParOf" srcId="{2621CB8E-9B33-4560-96C2-59152781E19E}" destId="{FCC05460-1E21-4AF3-915A-B40C02F9BC40}" srcOrd="2" destOrd="0" presId="urn:microsoft.com/office/officeart/2005/8/layout/hList2"/>
    <dgm:cxn modelId="{DCDC8341-4B98-45E9-B5F7-46545B648547}" type="presParOf" srcId="{B222F986-9C67-4BAE-8541-61F113DB0A03}" destId="{2B2A2E11-83FB-4FC7-9EDF-BF1214AE7A0C}" srcOrd="3" destOrd="0" presId="urn:microsoft.com/office/officeart/2005/8/layout/hList2"/>
    <dgm:cxn modelId="{5F25CF9D-FD95-4271-8125-667D6C982AF2}" type="presParOf" srcId="{B222F986-9C67-4BAE-8541-61F113DB0A03}" destId="{EF8AD07B-F2BD-41C2-BB42-8739EF55788F}" srcOrd="4" destOrd="0" presId="urn:microsoft.com/office/officeart/2005/8/layout/hList2"/>
    <dgm:cxn modelId="{713E4727-E0F8-4160-83A5-A9B98B965794}" type="presParOf" srcId="{EF8AD07B-F2BD-41C2-BB42-8739EF55788F}" destId="{9E10C6C1-20F8-41BA-9A6F-CBCB90F89837}" srcOrd="0" destOrd="0" presId="urn:microsoft.com/office/officeart/2005/8/layout/hList2"/>
    <dgm:cxn modelId="{DA4D7DDD-55BB-4D7C-A231-5D87AFA9EFF1}" type="presParOf" srcId="{EF8AD07B-F2BD-41C2-BB42-8739EF55788F}" destId="{707F6DFC-934C-429A-BFA2-3C7C6366DD07}" srcOrd="1" destOrd="0" presId="urn:microsoft.com/office/officeart/2005/8/layout/hList2"/>
    <dgm:cxn modelId="{726AF24D-C45D-4DDC-B7EC-7E2AD0C95203}" type="presParOf" srcId="{EF8AD07B-F2BD-41C2-BB42-8739EF55788F}" destId="{E75CBB7C-4208-4562-ACEE-C4E07FA698CE}" srcOrd="2" destOrd="0" presId="urn:microsoft.com/office/officeart/2005/8/layout/hList2"/>
    <dgm:cxn modelId="{D8FC9669-8019-42A1-87D6-D16EF7905B67}" type="presParOf" srcId="{B222F986-9C67-4BAE-8541-61F113DB0A03}" destId="{F4E8EF60-48C4-4F28-ADB6-CAE0F0E0B3C4}" srcOrd="5" destOrd="0" presId="urn:microsoft.com/office/officeart/2005/8/layout/hList2"/>
    <dgm:cxn modelId="{29A4D7B8-C174-4ED3-AC7E-3191BADEE690}" type="presParOf" srcId="{B222F986-9C67-4BAE-8541-61F113DB0A03}" destId="{B1C3BA66-1346-4DA0-B2A0-BA82CBD1CF98}" srcOrd="6" destOrd="0" presId="urn:microsoft.com/office/officeart/2005/8/layout/hList2"/>
    <dgm:cxn modelId="{8273EEC6-2E41-4571-9AC4-47C6C0749FB6}" type="presParOf" srcId="{B1C3BA66-1346-4DA0-B2A0-BA82CBD1CF98}" destId="{3B8E08B5-94D2-428A-95F6-4CAF76B7F711}" srcOrd="0" destOrd="0" presId="urn:microsoft.com/office/officeart/2005/8/layout/hList2"/>
    <dgm:cxn modelId="{8912098F-05AC-45CC-B2AC-C6FE1E4B7F99}" type="presParOf" srcId="{B1C3BA66-1346-4DA0-B2A0-BA82CBD1CF98}" destId="{83E9CA30-820D-4517-9950-A1E28EF2388C}" srcOrd="1" destOrd="0" presId="urn:microsoft.com/office/officeart/2005/8/layout/hList2"/>
    <dgm:cxn modelId="{CF3C0934-198D-4518-9B53-FC8A4237B4C9}" type="presParOf" srcId="{B1C3BA66-1346-4DA0-B2A0-BA82CBD1CF98}" destId="{707E0B0D-4092-4DE9-9BB4-BCDF0B4E695D}" srcOrd="2" destOrd="0" presId="urn:microsoft.com/office/officeart/2005/8/layout/hList2"/>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4192A-00D9-4B01-91E6-76EBB48EAB8C}">
      <dsp:nvSpPr>
        <dsp:cNvPr id="0" name=""/>
        <dsp:cNvSpPr/>
      </dsp:nvSpPr>
      <dsp:spPr>
        <a:xfrm rot="16200000">
          <a:off x="-1673432" y="2487179"/>
          <a:ext cx="3821734" cy="327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9137" bIns="0" numCol="1" spcCol="1270" anchor="t" anchorCtr="0">
          <a:noAutofit/>
        </a:bodyPr>
        <a:lstStyle/>
        <a:p>
          <a:pPr marL="0" lvl="0" indent="0" algn="r" defTabSz="1022350">
            <a:lnSpc>
              <a:spcPct val="90000"/>
            </a:lnSpc>
            <a:spcBef>
              <a:spcPct val="0"/>
            </a:spcBef>
            <a:spcAft>
              <a:spcPct val="35000"/>
            </a:spcAft>
            <a:buNone/>
          </a:pPr>
          <a:r>
            <a:rPr lang="en-AU" sz="2300" kern="1200"/>
            <a:t>Pre-access</a:t>
          </a:r>
        </a:p>
      </dsp:txBody>
      <dsp:txXfrm>
        <a:off x="-1673432" y="2487179"/>
        <a:ext cx="3821734" cy="327840"/>
      </dsp:txXfrm>
    </dsp:sp>
    <dsp:sp modelId="{40E846CE-DCD9-4D9B-8789-227889B1BEA5}">
      <dsp:nvSpPr>
        <dsp:cNvPr id="0" name=""/>
        <dsp:cNvSpPr/>
      </dsp:nvSpPr>
      <dsp:spPr>
        <a:xfrm>
          <a:off x="408433" y="712791"/>
          <a:ext cx="1838603" cy="3821734"/>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289137" rIns="71120" bIns="71120" numCol="1" spcCol="1270" anchor="t" anchorCtr="0">
          <a:noAutofit/>
        </a:bodyPr>
        <a:lstStyle/>
        <a:p>
          <a:pPr marL="57150" lvl="1" indent="-57150" algn="l" defTabSz="444500">
            <a:lnSpc>
              <a:spcPct val="90000"/>
            </a:lnSpc>
            <a:spcBef>
              <a:spcPct val="0"/>
            </a:spcBef>
            <a:spcAft>
              <a:spcPct val="15000"/>
            </a:spcAft>
            <a:buChar char="•"/>
          </a:pPr>
          <a:r>
            <a:rPr lang="en-AU" sz="1000" b="1" kern="1200"/>
            <a:t>High Schools Outreach, </a:t>
          </a:r>
          <a:r>
            <a:rPr lang="en-AU" sz="1000" kern="1200"/>
            <a:t>including Career information, educational partnerships</a:t>
          </a:r>
        </a:p>
        <a:p>
          <a:pPr marL="57150" lvl="1" indent="-57150" algn="l" defTabSz="444500">
            <a:lnSpc>
              <a:spcPct val="90000"/>
            </a:lnSpc>
            <a:spcBef>
              <a:spcPct val="0"/>
            </a:spcBef>
            <a:spcAft>
              <a:spcPct val="15000"/>
            </a:spcAft>
            <a:buChar char="•"/>
          </a:pPr>
          <a:r>
            <a:rPr lang="en-AU" sz="1000" b="1" kern="1200"/>
            <a:t>Cohort-specific activities </a:t>
          </a:r>
          <a:r>
            <a:rPr lang="en-AU" sz="1000" b="0" kern="1200"/>
            <a:t>to support students such as Pasifika, students with disabilities, refugees and migrants, out-of-home-care leavers, parents</a:t>
          </a:r>
        </a:p>
        <a:p>
          <a:pPr marL="57150" lvl="1" indent="-57150" algn="l" defTabSz="444500">
            <a:lnSpc>
              <a:spcPct val="90000"/>
            </a:lnSpc>
            <a:spcBef>
              <a:spcPct val="0"/>
            </a:spcBef>
            <a:spcAft>
              <a:spcPct val="15000"/>
            </a:spcAft>
            <a:buChar char="•"/>
          </a:pPr>
          <a:r>
            <a:rPr lang="en-AU" sz="1000" b="1" kern="1200"/>
            <a:t>Building First Peoples, </a:t>
          </a:r>
          <a:r>
            <a:rPr lang="en-AU" sz="1000" kern="1200"/>
            <a:t>including GUMURRII outreach activity, enabling programs, scholarships and admissions schemes</a:t>
          </a:r>
        </a:p>
        <a:p>
          <a:pPr marL="57150" lvl="1" indent="-57150" algn="l" defTabSz="444500">
            <a:lnSpc>
              <a:spcPct val="90000"/>
            </a:lnSpc>
            <a:spcBef>
              <a:spcPct val="0"/>
            </a:spcBef>
            <a:spcAft>
              <a:spcPct val="15000"/>
            </a:spcAft>
            <a:buChar char="•"/>
          </a:pPr>
          <a:r>
            <a:rPr lang="en-AU" sz="1000" b="1" kern="1200"/>
            <a:t>Mature-age strategy </a:t>
          </a:r>
          <a:r>
            <a:rPr lang="en-AU" sz="1000" kern="1200"/>
            <a:t>including outreach, STAT subsidies, alternative pathways advice</a:t>
          </a:r>
        </a:p>
      </dsp:txBody>
      <dsp:txXfrm>
        <a:off x="408433" y="712791"/>
        <a:ext cx="1838603" cy="3821734"/>
      </dsp:txXfrm>
    </dsp:sp>
    <dsp:sp modelId="{09C1FC76-1232-4763-881A-BA8A719DE115}">
      <dsp:nvSpPr>
        <dsp:cNvPr id="0" name=""/>
        <dsp:cNvSpPr/>
      </dsp:nvSpPr>
      <dsp:spPr>
        <a:xfrm>
          <a:off x="73514" y="307482"/>
          <a:ext cx="655681" cy="655681"/>
        </a:xfrm>
        <a:prstGeom prst="rect">
          <a:avLst/>
        </a:prstGeom>
        <a:blipFill>
          <a:blip xmlns:r="http://schemas.openxmlformats.org/officeDocument/2006/relationships" r:embed="rId1"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CC05460-1E21-4AF3-915A-B40C02F9BC40}">
      <dsp:nvSpPr>
        <dsp:cNvPr id="0" name=""/>
        <dsp:cNvSpPr/>
      </dsp:nvSpPr>
      <dsp:spPr>
        <a:xfrm rot="16200000">
          <a:off x="815546" y="2487179"/>
          <a:ext cx="3821734" cy="327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9137" bIns="0" numCol="1" spcCol="1270" anchor="t" anchorCtr="0">
          <a:noAutofit/>
        </a:bodyPr>
        <a:lstStyle/>
        <a:p>
          <a:pPr marL="0" lvl="0" indent="0" algn="r" defTabSz="1022350">
            <a:lnSpc>
              <a:spcPct val="90000"/>
            </a:lnSpc>
            <a:spcBef>
              <a:spcPct val="0"/>
            </a:spcBef>
            <a:spcAft>
              <a:spcPct val="35000"/>
            </a:spcAft>
            <a:buNone/>
          </a:pPr>
          <a:r>
            <a:rPr lang="en-AU" sz="2300" kern="1200"/>
            <a:t>Access</a:t>
          </a:r>
        </a:p>
      </dsp:txBody>
      <dsp:txXfrm>
        <a:off x="815546" y="2487179"/>
        <a:ext cx="3821734" cy="327840"/>
      </dsp:txXfrm>
    </dsp:sp>
    <dsp:sp modelId="{C046D92E-2CEA-46B9-9635-ED88B6C26119}">
      <dsp:nvSpPr>
        <dsp:cNvPr id="0" name=""/>
        <dsp:cNvSpPr/>
      </dsp:nvSpPr>
      <dsp:spPr>
        <a:xfrm>
          <a:off x="2899225" y="731097"/>
          <a:ext cx="1852647" cy="3821734"/>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289137" rIns="71120" bIns="71120" numCol="1" spcCol="1270" anchor="t" anchorCtr="0">
          <a:noAutofit/>
        </a:bodyPr>
        <a:lstStyle/>
        <a:p>
          <a:pPr marL="57150" lvl="1" indent="-57150" algn="l" defTabSz="444500">
            <a:lnSpc>
              <a:spcPct val="90000"/>
            </a:lnSpc>
            <a:spcBef>
              <a:spcPct val="0"/>
            </a:spcBef>
            <a:spcAft>
              <a:spcPct val="15000"/>
            </a:spcAft>
            <a:buChar char="•"/>
          </a:pPr>
          <a:r>
            <a:rPr lang="en-AU" sz="1000" b="1" kern="1200"/>
            <a:t>First Peoples </a:t>
          </a:r>
          <a:r>
            <a:rPr lang="en-AU" sz="1000" b="0" kern="1200"/>
            <a:t>access and participation programs</a:t>
          </a:r>
        </a:p>
        <a:p>
          <a:pPr marL="57150" lvl="1" indent="-57150" algn="l" defTabSz="444500">
            <a:lnSpc>
              <a:spcPct val="90000"/>
            </a:lnSpc>
            <a:spcBef>
              <a:spcPct val="0"/>
            </a:spcBef>
            <a:spcAft>
              <a:spcPct val="15000"/>
            </a:spcAft>
            <a:buChar char="•"/>
          </a:pPr>
          <a:r>
            <a:rPr lang="en-AU" sz="1000" b="1" kern="1200"/>
            <a:t>Pathways and admissions </a:t>
          </a:r>
          <a:r>
            <a:rPr lang="en-AU" sz="1000" kern="1200"/>
            <a:t>programs e.g. Logan Direct Admission for adults, Educational Assistance Scheme, equity scholarships</a:t>
          </a:r>
        </a:p>
        <a:p>
          <a:pPr marL="57150" lvl="1" indent="-57150" algn="l" defTabSz="444500">
            <a:lnSpc>
              <a:spcPct val="90000"/>
            </a:lnSpc>
            <a:spcBef>
              <a:spcPct val="0"/>
            </a:spcBef>
            <a:spcAft>
              <a:spcPct val="15000"/>
            </a:spcAft>
            <a:buChar char="•"/>
          </a:pPr>
          <a:r>
            <a:rPr lang="en-AU" sz="1000" b="1" kern="1200"/>
            <a:t>Pre-enrolment programs </a:t>
          </a:r>
          <a:r>
            <a:rPr lang="en-AU" sz="1000" kern="1200"/>
            <a:t>e.g. First Peoples strategies; English-language support activities; Tertiary Preparation Programs; Orientation and Transition Programs</a:t>
          </a:r>
        </a:p>
        <a:p>
          <a:pPr marL="57150" lvl="1" indent="-57150" algn="l" defTabSz="444500">
            <a:lnSpc>
              <a:spcPct val="90000"/>
            </a:lnSpc>
            <a:spcBef>
              <a:spcPct val="0"/>
            </a:spcBef>
            <a:spcAft>
              <a:spcPct val="15000"/>
            </a:spcAft>
            <a:buChar char="•"/>
          </a:pPr>
          <a:r>
            <a:rPr lang="en-AU" sz="1000" b="1" kern="1200"/>
            <a:t>Retention programs </a:t>
          </a:r>
          <a:r>
            <a:rPr lang="en-AU" sz="1000" kern="1200"/>
            <a:t>to assist students e.g. Mentoring@Griffith, PASS, academic workshops, cohort specific activities, scholarships, and Library Learning support</a:t>
          </a:r>
        </a:p>
      </dsp:txBody>
      <dsp:txXfrm>
        <a:off x="2899225" y="731097"/>
        <a:ext cx="1852647" cy="3821734"/>
      </dsp:txXfrm>
    </dsp:sp>
    <dsp:sp modelId="{4597EE52-1743-43ED-98B2-A3D65409E67E}">
      <dsp:nvSpPr>
        <dsp:cNvPr id="0" name=""/>
        <dsp:cNvSpPr/>
      </dsp:nvSpPr>
      <dsp:spPr>
        <a:xfrm>
          <a:off x="2562493" y="307482"/>
          <a:ext cx="655681" cy="655681"/>
        </a:xfrm>
        <a:prstGeom prst="rect">
          <a:avLst/>
        </a:prstGeom>
        <a:blipFill>
          <a:blip xmlns:r="http://schemas.openxmlformats.org/officeDocument/2006/relationships" r:embed="rId3">
            <a:duotone>
              <a:schemeClr val="accent3">
                <a:hueOff val="0"/>
                <a:satOff val="0"/>
                <a:lumOff val="0"/>
                <a:alphaOff val="0"/>
                <a:shade val="20000"/>
                <a:satMod val="200000"/>
              </a:schemeClr>
              <a:schemeClr val="accent3">
                <a:hueOff val="0"/>
                <a:satOff val="0"/>
                <a:lumOff val="0"/>
                <a:alphaOff val="0"/>
                <a:tint val="12000"/>
                <a:satMod val="190000"/>
              </a:schemeClr>
            </a:duotone>
            <a:extLs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75CBB7C-4208-4562-ACEE-C4E07FA698CE}">
      <dsp:nvSpPr>
        <dsp:cNvPr id="0" name=""/>
        <dsp:cNvSpPr/>
      </dsp:nvSpPr>
      <dsp:spPr>
        <a:xfrm rot="16200000">
          <a:off x="3311547" y="2487179"/>
          <a:ext cx="3821734" cy="327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9137" bIns="0" numCol="1" spcCol="1270" anchor="t" anchorCtr="0">
          <a:noAutofit/>
        </a:bodyPr>
        <a:lstStyle/>
        <a:p>
          <a:pPr marL="0" lvl="0" indent="0" algn="r" defTabSz="1022350">
            <a:lnSpc>
              <a:spcPct val="90000"/>
            </a:lnSpc>
            <a:spcBef>
              <a:spcPct val="0"/>
            </a:spcBef>
            <a:spcAft>
              <a:spcPct val="35000"/>
            </a:spcAft>
            <a:buNone/>
          </a:pPr>
          <a:r>
            <a:rPr lang="en-AU" sz="2300" kern="1200"/>
            <a:t>Participation</a:t>
          </a:r>
        </a:p>
      </dsp:txBody>
      <dsp:txXfrm>
        <a:off x="3311547" y="2487179"/>
        <a:ext cx="3821734" cy="327840"/>
      </dsp:txXfrm>
    </dsp:sp>
    <dsp:sp modelId="{707F6DFC-934C-429A-BFA2-3C7C6366DD07}">
      <dsp:nvSpPr>
        <dsp:cNvPr id="0" name=""/>
        <dsp:cNvSpPr/>
      </dsp:nvSpPr>
      <dsp:spPr>
        <a:xfrm>
          <a:off x="5425894" y="740231"/>
          <a:ext cx="1763191" cy="3821734"/>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289137" rIns="71120" bIns="71120" numCol="1" spcCol="1270" anchor="t" anchorCtr="0">
          <a:noAutofit/>
        </a:bodyPr>
        <a:lstStyle/>
        <a:p>
          <a:pPr marL="57150" lvl="1" indent="-57150" algn="l" defTabSz="444500">
            <a:lnSpc>
              <a:spcPct val="90000"/>
            </a:lnSpc>
            <a:spcBef>
              <a:spcPct val="0"/>
            </a:spcBef>
            <a:spcAft>
              <a:spcPct val="15000"/>
            </a:spcAft>
            <a:buChar char="•"/>
          </a:pPr>
          <a:r>
            <a:rPr lang="en-AU" sz="1000" b="1" kern="1200"/>
            <a:t>Supporting LSES and First peoples student success through wrap around services </a:t>
          </a:r>
          <a:r>
            <a:rPr lang="en-AU" sz="1000" kern="1200"/>
            <a:t>such as GUMURRII Student support unit for First Peoples; Equity support; Health and wellbeing activities, welfare support, leadership programs and disabilities support</a:t>
          </a:r>
        </a:p>
        <a:p>
          <a:pPr marL="57150" lvl="1" indent="-57150" algn="l" defTabSz="444500">
            <a:lnSpc>
              <a:spcPct val="90000"/>
            </a:lnSpc>
            <a:spcBef>
              <a:spcPct val="0"/>
            </a:spcBef>
            <a:spcAft>
              <a:spcPct val="15000"/>
            </a:spcAft>
            <a:buChar char="•"/>
          </a:pPr>
          <a:r>
            <a:rPr lang="en-AU" sz="1000" b="1" kern="1200"/>
            <a:t>Retention programs </a:t>
          </a:r>
          <a:r>
            <a:rPr lang="en-AU" sz="1000" kern="1200"/>
            <a:t>e.g. Mentoring@Griffith, PASS, academic workshops, cohort specific activities and Library Learning support</a:t>
          </a:r>
        </a:p>
        <a:p>
          <a:pPr marL="57150" lvl="1" indent="-57150" algn="l" defTabSz="444500">
            <a:lnSpc>
              <a:spcPct val="90000"/>
            </a:lnSpc>
            <a:spcBef>
              <a:spcPct val="0"/>
            </a:spcBef>
            <a:spcAft>
              <a:spcPct val="15000"/>
            </a:spcAft>
            <a:buChar char="•"/>
          </a:pPr>
          <a:r>
            <a:rPr lang="en-AU" sz="1000" b="1" kern="1200"/>
            <a:t>Financial support </a:t>
          </a:r>
          <a:r>
            <a:rPr lang="en-AU" sz="1000" b="0" kern="1200"/>
            <a:t>through Welfare Officers, bursaires and scholarships </a:t>
          </a:r>
        </a:p>
      </dsp:txBody>
      <dsp:txXfrm>
        <a:off x="5425894" y="740231"/>
        <a:ext cx="1763191" cy="3821734"/>
      </dsp:txXfrm>
    </dsp:sp>
    <dsp:sp modelId="{9E10C6C1-20F8-41BA-9A6F-CBCB90F89837}">
      <dsp:nvSpPr>
        <dsp:cNvPr id="0" name=""/>
        <dsp:cNvSpPr/>
      </dsp:nvSpPr>
      <dsp:spPr>
        <a:xfrm>
          <a:off x="5058494" y="307482"/>
          <a:ext cx="655681" cy="655681"/>
        </a:xfrm>
        <a:prstGeom prst="rect">
          <a:avLst/>
        </a:prstGeom>
        <a:blipFill>
          <a:blip xmlns:r="http://schemas.openxmlformats.org/officeDocument/2006/relationships" r:embed="rId5"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7E0B0D-4092-4DE9-9BB4-BCDF0B4E695D}">
      <dsp:nvSpPr>
        <dsp:cNvPr id="0" name=""/>
        <dsp:cNvSpPr/>
      </dsp:nvSpPr>
      <dsp:spPr>
        <a:xfrm rot="16200000">
          <a:off x="5762821" y="2487179"/>
          <a:ext cx="3821734" cy="327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89137" bIns="0" numCol="1" spcCol="1270" anchor="t" anchorCtr="0">
          <a:noAutofit/>
        </a:bodyPr>
        <a:lstStyle/>
        <a:p>
          <a:pPr marL="0" lvl="0" indent="0" algn="r" defTabSz="1022350">
            <a:lnSpc>
              <a:spcPct val="90000"/>
            </a:lnSpc>
            <a:spcBef>
              <a:spcPct val="0"/>
            </a:spcBef>
            <a:spcAft>
              <a:spcPct val="35000"/>
            </a:spcAft>
            <a:buNone/>
          </a:pPr>
          <a:r>
            <a:rPr lang="en-AU" sz="2300" kern="1200"/>
            <a:t>Progress and attainment</a:t>
          </a:r>
        </a:p>
      </dsp:txBody>
      <dsp:txXfrm>
        <a:off x="5762821" y="2487179"/>
        <a:ext cx="3821734" cy="327840"/>
      </dsp:txXfrm>
    </dsp:sp>
    <dsp:sp modelId="{83E9CA30-820D-4517-9950-A1E28EF2388C}">
      <dsp:nvSpPr>
        <dsp:cNvPr id="0" name=""/>
        <dsp:cNvSpPr/>
      </dsp:nvSpPr>
      <dsp:spPr>
        <a:xfrm>
          <a:off x="7840760" y="728289"/>
          <a:ext cx="1731920" cy="3882156"/>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289137" rIns="71120" bIns="71120" numCol="1" spcCol="1270" anchor="t" anchorCtr="0">
          <a:noAutofit/>
        </a:bodyPr>
        <a:lstStyle/>
        <a:p>
          <a:pPr marL="57150" lvl="1" indent="-57150" algn="l" defTabSz="444500">
            <a:lnSpc>
              <a:spcPct val="90000"/>
            </a:lnSpc>
            <a:spcBef>
              <a:spcPct val="0"/>
            </a:spcBef>
            <a:spcAft>
              <a:spcPct val="15000"/>
            </a:spcAft>
            <a:buChar char="•"/>
          </a:pPr>
          <a:r>
            <a:rPr lang="en-AU" sz="1000" b="0" kern="1200"/>
            <a:t>The University has an </a:t>
          </a:r>
          <a:r>
            <a:rPr lang="en-AU" sz="1000" b="1" kern="1200"/>
            <a:t>Employability Strategy </a:t>
          </a:r>
          <a:r>
            <a:rPr lang="en-AU" sz="1000" kern="1200"/>
            <a:t>across the whole student life-cycle to prepare students for graduation and employment.  This enables students to develop skills that will support relevant work experience while studying (improving retention and progression) and to provide opportunities that contribute to graduate attributes and graduate employment. </a:t>
          </a:r>
          <a:r>
            <a:rPr lang="en-AU" sz="1000" b="1" kern="1200"/>
            <a:t>Initiatives includes </a:t>
          </a:r>
          <a:r>
            <a:rPr lang="en-AU" sz="1000" kern="1200"/>
            <a:t> curriculum-embedded careers content, advisory services, Griffith's employment agency UniTemps, internships,Work-integrated learning, leadership programs, cohort-specific programs for students with disabilities and refugee/migrants.</a:t>
          </a:r>
          <a:endParaRPr lang="en-AU" sz="900" kern="1200"/>
        </a:p>
      </dsp:txBody>
      <dsp:txXfrm>
        <a:off x="7840760" y="728289"/>
        <a:ext cx="1731920" cy="3882156"/>
      </dsp:txXfrm>
    </dsp:sp>
    <dsp:sp modelId="{3B8E08B5-94D2-428A-95F6-4CAF76B7F711}">
      <dsp:nvSpPr>
        <dsp:cNvPr id="0" name=""/>
        <dsp:cNvSpPr/>
      </dsp:nvSpPr>
      <dsp:spPr>
        <a:xfrm>
          <a:off x="7509768" y="307482"/>
          <a:ext cx="655681" cy="655681"/>
        </a:xfrm>
        <a:prstGeom prst="rect">
          <a:avLst/>
        </a:prstGeom>
        <a:blipFill>
          <a:blip xmlns:r="http://schemas.openxmlformats.org/officeDocument/2006/relationships" r:embed="rId7" cstate="print">
            <a:duotone>
              <a:schemeClr val="accent3">
                <a:hueOff val="0"/>
                <a:satOff val="0"/>
                <a:lumOff val="0"/>
                <a:alphaOff val="0"/>
                <a:shade val="20000"/>
                <a:satMod val="200000"/>
              </a:schemeClr>
              <a:schemeClr val="accent3">
                <a:hueOff val="0"/>
                <a:satOff val="0"/>
                <a:lumOff val="0"/>
                <a:alphaOff val="0"/>
                <a:tint val="12000"/>
                <a:satMod val="190000"/>
              </a:schemeClr>
            </a:duotone>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O'Brien</dc:creator>
  <cp:keywords/>
  <dc:description/>
  <cp:lastModifiedBy>Gabrielle O'Brien</cp:lastModifiedBy>
  <cp:revision>4</cp:revision>
  <cp:lastPrinted>2019-04-01T03:01:00Z</cp:lastPrinted>
  <dcterms:created xsi:type="dcterms:W3CDTF">2019-04-02T03:37:00Z</dcterms:created>
  <dcterms:modified xsi:type="dcterms:W3CDTF">2019-04-02T03:38:00Z</dcterms:modified>
</cp:coreProperties>
</file>