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D1952" w14:textId="77777777" w:rsidR="00ED399D" w:rsidRDefault="00ED399D" w:rsidP="00D96778">
      <w:pPr>
        <w:pStyle w:val="Heading2"/>
        <w:spacing w:before="0"/>
      </w:pPr>
      <w:r>
        <w:t>Introduction</w:t>
      </w:r>
    </w:p>
    <w:p w14:paraId="6F614DFB" w14:textId="77777777" w:rsidR="005022EE" w:rsidRDefault="005022EE" w:rsidP="009F60FE">
      <w:r>
        <w:t xml:space="preserve">ECU has a long-standing commitment to widening participation in higher education. Our entry pathways and supportive student experience encourage all people, including those from under-represented groups, </w:t>
      </w:r>
      <w:r w:rsidR="003640AF">
        <w:t xml:space="preserve">to access and to succeed at university. </w:t>
      </w:r>
    </w:p>
    <w:p w14:paraId="02F9854E" w14:textId="77777777" w:rsidR="005022EE" w:rsidRDefault="00C341C2" w:rsidP="009F60FE">
      <w:r>
        <w:t>Th</w:t>
      </w:r>
      <w:r w:rsidR="00167F60">
        <w:t>e</w:t>
      </w:r>
      <w:r>
        <w:t xml:space="preserve"> </w:t>
      </w:r>
      <w:r w:rsidRPr="00441B11">
        <w:rPr>
          <w:i/>
        </w:rPr>
        <w:t>Access and Participation Plan</w:t>
      </w:r>
      <w:r>
        <w:t xml:space="preserve"> focuses on increasing </w:t>
      </w:r>
      <w:r w:rsidR="00167F60">
        <w:t>opportunities</w:t>
      </w:r>
      <w:r>
        <w:t xml:space="preserve"> for</w:t>
      </w:r>
      <w:r w:rsidR="00167F60">
        <w:t xml:space="preserve"> university study for people</w:t>
      </w:r>
      <w:r>
        <w:t xml:space="preserve"> </w:t>
      </w:r>
      <w:proofErr w:type="gramStart"/>
      <w:r>
        <w:t>from a</w:t>
      </w:r>
      <w:proofErr w:type="gramEnd"/>
      <w:r>
        <w:t xml:space="preserve"> low-socioeconomic status background</w:t>
      </w:r>
      <w:r w:rsidR="003640AF">
        <w:t>s</w:t>
      </w:r>
      <w:r>
        <w:t xml:space="preserve">. Many of the strategies also apply to other defined equity groups, </w:t>
      </w:r>
      <w:r w:rsidR="003640AF">
        <w:t xml:space="preserve">including Aboriginal and/or Torres Strait Islanders; people with disability; and people from regional and remote areas. </w:t>
      </w:r>
    </w:p>
    <w:p w14:paraId="397BC333" w14:textId="5269D9A4" w:rsidR="00ED399D" w:rsidRDefault="00D96778" w:rsidP="00CB3CBB">
      <w:r>
        <w:t xml:space="preserve">For additional strategies to widen university access, please refer to </w:t>
      </w:r>
      <w:hyperlink r:id="rId8" w:history="1">
        <w:r w:rsidR="003640AF">
          <w:rPr>
            <w:rStyle w:val="Hyperlink"/>
            <w:i/>
          </w:rPr>
          <w:t>ECU's Disability Access and Inclusion Plan, 2016-2021</w:t>
        </w:r>
      </w:hyperlink>
      <w:r>
        <w:t xml:space="preserve"> and</w:t>
      </w:r>
      <w:r w:rsidR="003640AF">
        <w:t xml:space="preserve"> </w:t>
      </w:r>
      <w:hyperlink r:id="rId9" w:history="1">
        <w:r w:rsidR="007E33E1">
          <w:rPr>
            <w:rStyle w:val="Hyperlink"/>
            <w:i/>
          </w:rPr>
          <w:t>ECU's Reconciliation Action Plan, 2018-2021</w:t>
        </w:r>
      </w:hyperlink>
      <w:r>
        <w:t>.</w:t>
      </w:r>
    </w:p>
    <w:p w14:paraId="5BFC4868" w14:textId="77777777" w:rsidR="00ED399D" w:rsidRDefault="00ED399D" w:rsidP="00D96778">
      <w:pPr>
        <w:pStyle w:val="Heading2"/>
      </w:pPr>
      <w:r>
        <w:lastRenderedPageBreak/>
        <w:t>Student lifecycle</w:t>
      </w:r>
    </w:p>
    <w:p w14:paraId="78729632" w14:textId="77777777" w:rsidR="004775B6" w:rsidRPr="004775B6" w:rsidRDefault="004775B6" w:rsidP="009F60FE">
      <w:r>
        <w:t>The</w:t>
      </w:r>
      <w:r w:rsidR="00D96778">
        <w:t xml:space="preserve"> </w:t>
      </w:r>
      <w:r w:rsidR="00D96778">
        <w:rPr>
          <w:i/>
        </w:rPr>
        <w:t>Access and Participation Plan</w:t>
      </w:r>
      <w:r>
        <w:t xml:space="preserve"> </w:t>
      </w:r>
      <w:r w:rsidR="001524BC">
        <w:t>strategies and key activities are aligned with</w:t>
      </w:r>
      <w:r>
        <w:t xml:space="preserve"> the student </w:t>
      </w:r>
      <w:r w:rsidR="00ED399D">
        <w:t>lifecycle</w:t>
      </w:r>
      <w:r>
        <w:t xml:space="preserve">. </w:t>
      </w:r>
      <w:r>
        <w:rPr>
          <w:i/>
        </w:rPr>
        <w:t>Pre-access</w:t>
      </w:r>
      <w:r>
        <w:t xml:space="preserve"> refers to outreach to schools and communities</w:t>
      </w:r>
      <w:r w:rsidR="00D96778">
        <w:t xml:space="preserve">; </w:t>
      </w:r>
      <w:r w:rsidRPr="004775B6">
        <w:rPr>
          <w:i/>
        </w:rPr>
        <w:t>A</w:t>
      </w:r>
      <w:r>
        <w:rPr>
          <w:i/>
        </w:rPr>
        <w:t>ccess</w:t>
      </w:r>
      <w:r>
        <w:t xml:space="preserve"> is pre-entry and admission</w:t>
      </w:r>
      <w:r w:rsidR="00D96778">
        <w:t xml:space="preserve">; </w:t>
      </w:r>
      <w:r w:rsidR="00D96778" w:rsidRPr="009F60FE">
        <w:rPr>
          <w:i/>
        </w:rPr>
        <w:t>Participation</w:t>
      </w:r>
      <w:r>
        <w:rPr>
          <w:i/>
        </w:rPr>
        <w:t xml:space="preserve"> </w:t>
      </w:r>
      <w:r>
        <w:t>means transition and progression during studies</w:t>
      </w:r>
      <w:r w:rsidR="00D96778">
        <w:t>;</w:t>
      </w:r>
      <w:r>
        <w:t xml:space="preserve"> and </w:t>
      </w:r>
      <w:r>
        <w:rPr>
          <w:i/>
        </w:rPr>
        <w:t>Progress and attainment</w:t>
      </w:r>
      <w:r>
        <w:t xml:space="preserve"> is defined as successful completion and preparation for employment.</w:t>
      </w:r>
    </w:p>
    <w:p w14:paraId="5EF8E2E4" w14:textId="77777777" w:rsidR="00D25263" w:rsidRDefault="00D25263" w:rsidP="00D96778">
      <w:pPr>
        <w:pStyle w:val="Heading2"/>
      </w:pPr>
      <w:r>
        <w:t>Partnerships and collaboration</w:t>
      </w:r>
    </w:p>
    <w:p w14:paraId="0D251FDF" w14:textId="13323408" w:rsidR="00D25263" w:rsidRPr="00543988" w:rsidRDefault="00BA1D1C" w:rsidP="00370805">
      <w:pPr>
        <w:spacing w:after="240"/>
      </w:pPr>
      <w:r>
        <w:t>In 2019</w:t>
      </w:r>
      <w:r w:rsidR="00C93A00">
        <w:t xml:space="preserve">, </w:t>
      </w:r>
      <w:r w:rsidR="00D25263">
        <w:t xml:space="preserve">ECU </w:t>
      </w:r>
      <w:r w:rsidR="00C93A00">
        <w:t xml:space="preserve">will </w:t>
      </w:r>
      <w:r w:rsidR="00D25263">
        <w:t xml:space="preserve">partner with </w:t>
      </w:r>
      <w:r w:rsidR="00906E9D">
        <w:t xml:space="preserve">leading education services providers in order to progress our strategies for </w:t>
      </w:r>
      <w:r w:rsidR="00906E9D" w:rsidRPr="009F60FE">
        <w:rPr>
          <w:i/>
        </w:rPr>
        <w:t>Pre-access</w:t>
      </w:r>
      <w:r w:rsidR="00906E9D">
        <w:t xml:space="preserve"> and </w:t>
      </w:r>
      <w:r w:rsidR="00906E9D" w:rsidRPr="009F60FE">
        <w:rPr>
          <w:i/>
        </w:rPr>
        <w:t>Access</w:t>
      </w:r>
      <w:r w:rsidR="00906E9D">
        <w:t xml:space="preserve">. These are: </w:t>
      </w:r>
      <w:r w:rsidR="00D25263" w:rsidRPr="00543988">
        <w:t>AIME (Australian Indigenous Mentoring Experience)</w:t>
      </w:r>
      <w:r w:rsidR="00D25263">
        <w:t xml:space="preserve">, the St Vincent de Paul Society WA (Catalyst Clemente Program), </w:t>
      </w:r>
      <w:r w:rsidR="00C93A00">
        <w:t>GRIP Leadership (</w:t>
      </w:r>
      <w:r w:rsidR="003640AF">
        <w:t>GRIP Le</w:t>
      </w:r>
      <w:r w:rsidR="00AC642C">
        <w:t xml:space="preserve">adership (LEAP) program), </w:t>
      </w:r>
      <w:proofErr w:type="spellStart"/>
      <w:r w:rsidR="00AC642C">
        <w:t>Studios</w:t>
      </w:r>
      <w:r w:rsidR="003640AF">
        <w:t>ity</w:t>
      </w:r>
      <w:proofErr w:type="spellEnd"/>
      <w:r w:rsidR="003640AF">
        <w:t xml:space="preserve"> (</w:t>
      </w:r>
      <w:proofErr w:type="spellStart"/>
      <w:r w:rsidR="003640AF">
        <w:t>YourTutor</w:t>
      </w:r>
      <w:proofErr w:type="spellEnd"/>
      <w:r w:rsidR="003640AF">
        <w:t xml:space="preserve"> program), Children’s University Australia and </w:t>
      </w:r>
      <w:r w:rsidR="00906E9D">
        <w:t xml:space="preserve">sixteen high schools, including those in the </w:t>
      </w:r>
      <w:r w:rsidR="003640AF">
        <w:t>New North Education Initiative</w:t>
      </w:r>
      <w:r w:rsidR="00906E9D">
        <w:t xml:space="preserve"> </w:t>
      </w:r>
      <w:r w:rsidR="009F60FE">
        <w:t>collaboration</w:t>
      </w:r>
      <w:r w:rsidR="00D25263">
        <w:t>.</w:t>
      </w:r>
    </w:p>
    <w:p w14:paraId="644455B9" w14:textId="77777777" w:rsidR="004775B6" w:rsidRDefault="004775B6" w:rsidP="00D96778">
      <w:pPr>
        <w:pStyle w:val="Heading2"/>
        <w:sectPr w:rsidR="004775B6" w:rsidSect="00370805">
          <w:headerReference w:type="first" r:id="rId10"/>
          <w:pgSz w:w="16838" w:h="11906" w:orient="landscape"/>
          <w:pgMar w:top="3544" w:right="1440" w:bottom="709" w:left="1440" w:header="568" w:footer="3579" w:gutter="0"/>
          <w:cols w:num="2" w:space="678"/>
          <w:titlePg/>
          <w:docGrid w:linePitch="360"/>
        </w:sectPr>
      </w:pPr>
    </w:p>
    <w:p w14:paraId="2C997E63" w14:textId="77777777" w:rsidR="0027123B" w:rsidRPr="00966D9A" w:rsidRDefault="00966D9A" w:rsidP="00966D9A">
      <w:pPr>
        <w:pStyle w:val="Heading2"/>
        <w:spacing w:before="480"/>
        <w:rPr>
          <w:color w:val="FFFFFF" w:themeColor="background1"/>
        </w:rPr>
      </w:pPr>
      <w:r w:rsidRPr="00966D9A">
        <w:rPr>
          <w:noProof/>
          <w:color w:val="FFFFFF" w:themeColor="background1"/>
          <w:lang w:val="en-US"/>
        </w:rPr>
        <w:lastRenderedPageBreak/>
        <w:drawing>
          <wp:anchor distT="0" distB="0" distL="114300" distR="114300" simplePos="0" relativeHeight="251663360" behindDoc="1" locked="0" layoutInCell="1" allowOverlap="1" wp14:anchorId="128B72BB" wp14:editId="0ABD31E0">
            <wp:simplePos x="0" y="0"/>
            <wp:positionH relativeFrom="margin">
              <wp:posOffset>-45085</wp:posOffset>
            </wp:positionH>
            <wp:positionV relativeFrom="paragraph">
              <wp:posOffset>131657</wp:posOffset>
            </wp:positionV>
            <wp:extent cx="8953500" cy="3352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953500" cy="33528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27123B" w:rsidRPr="00966D9A">
        <w:rPr>
          <w:color w:val="FFFFFF" w:themeColor="background1"/>
        </w:rPr>
        <w:t>Equity outcomes and strategies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3487"/>
        <w:gridCol w:w="3487"/>
        <w:gridCol w:w="3487"/>
        <w:gridCol w:w="3487"/>
      </w:tblGrid>
      <w:tr w:rsidR="0027123B" w:rsidRPr="0043213B" w14:paraId="4BED4534" w14:textId="77777777" w:rsidTr="00D25263">
        <w:tc>
          <w:tcPr>
            <w:tcW w:w="3487" w:type="dxa"/>
          </w:tcPr>
          <w:p w14:paraId="17927030" w14:textId="77777777" w:rsidR="0027123B" w:rsidRPr="0043213B" w:rsidRDefault="0027123B" w:rsidP="00370805">
            <w:pPr>
              <w:pStyle w:val="Heading3"/>
              <w:spacing w:after="140"/>
              <w:outlineLvl w:val="2"/>
            </w:pPr>
            <w:r w:rsidRPr="0043213B">
              <w:t xml:space="preserve">Pre-access </w:t>
            </w:r>
          </w:p>
        </w:tc>
        <w:tc>
          <w:tcPr>
            <w:tcW w:w="3487" w:type="dxa"/>
          </w:tcPr>
          <w:p w14:paraId="67E69B35" w14:textId="77777777" w:rsidR="0027123B" w:rsidRPr="0043213B" w:rsidRDefault="0027123B" w:rsidP="00370805">
            <w:pPr>
              <w:pStyle w:val="Heading3"/>
              <w:spacing w:after="140"/>
              <w:outlineLvl w:val="2"/>
            </w:pPr>
            <w:r w:rsidRPr="0043213B">
              <w:t>Access</w:t>
            </w:r>
          </w:p>
        </w:tc>
        <w:tc>
          <w:tcPr>
            <w:tcW w:w="3487" w:type="dxa"/>
          </w:tcPr>
          <w:p w14:paraId="14DD1BD2" w14:textId="77777777" w:rsidR="0027123B" w:rsidRPr="0043213B" w:rsidRDefault="0027123B" w:rsidP="00370805">
            <w:pPr>
              <w:pStyle w:val="Heading3"/>
              <w:spacing w:after="140"/>
              <w:outlineLvl w:val="2"/>
            </w:pPr>
            <w:r w:rsidRPr="0043213B">
              <w:t>Participation</w:t>
            </w:r>
          </w:p>
        </w:tc>
        <w:tc>
          <w:tcPr>
            <w:tcW w:w="3487" w:type="dxa"/>
          </w:tcPr>
          <w:p w14:paraId="0180F96C" w14:textId="77777777" w:rsidR="0027123B" w:rsidRPr="0043213B" w:rsidRDefault="0027123B" w:rsidP="00370805">
            <w:pPr>
              <w:pStyle w:val="Heading3"/>
              <w:spacing w:after="140"/>
              <w:outlineLvl w:val="2"/>
            </w:pPr>
            <w:r w:rsidRPr="0043213B">
              <w:t>Progress and attainment</w:t>
            </w:r>
          </w:p>
        </w:tc>
      </w:tr>
      <w:tr w:rsidR="0027123B" w:rsidRPr="0027123B" w14:paraId="170185E7" w14:textId="77777777" w:rsidTr="00B34CF0">
        <w:trPr>
          <w:trHeight w:val="227"/>
        </w:trPr>
        <w:tc>
          <w:tcPr>
            <w:tcW w:w="3487" w:type="dxa"/>
          </w:tcPr>
          <w:p w14:paraId="6884B2BB"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Awareness-raising</w:t>
            </w:r>
          </w:p>
          <w:p w14:paraId="45C9A93E"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Aspiration-raising</w:t>
            </w:r>
          </w:p>
          <w:p w14:paraId="646E8C48"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Building esteem</w:t>
            </w:r>
          </w:p>
        </w:tc>
        <w:tc>
          <w:tcPr>
            <w:tcW w:w="3487" w:type="dxa"/>
          </w:tcPr>
          <w:p w14:paraId="0008A16B"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Attraction</w:t>
            </w:r>
          </w:p>
          <w:p w14:paraId="662531A1"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Recruitment</w:t>
            </w:r>
          </w:p>
          <w:p w14:paraId="3BEDCA54"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Other entry pathways</w:t>
            </w:r>
          </w:p>
        </w:tc>
        <w:tc>
          <w:tcPr>
            <w:tcW w:w="3487" w:type="dxa"/>
          </w:tcPr>
          <w:p w14:paraId="2C77BBA7"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Understanding the university environment</w:t>
            </w:r>
          </w:p>
          <w:p w14:paraId="0866C5EB"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Building a sense of belonging</w:t>
            </w:r>
          </w:p>
          <w:p w14:paraId="69C39073"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Building academic literacy</w:t>
            </w:r>
          </w:p>
          <w:p w14:paraId="0E8981F1"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Providing financial support</w:t>
            </w:r>
          </w:p>
          <w:p w14:paraId="4C4ABF2F"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Build sense of identity</w:t>
            </w:r>
          </w:p>
          <w:p w14:paraId="6A955699"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Interventions for ‘at risk’</w:t>
            </w:r>
          </w:p>
          <w:p w14:paraId="7E281454" w14:textId="77777777" w:rsidR="0027123B" w:rsidRPr="00D25263"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Improving progress (pass rates)</w:t>
            </w:r>
          </w:p>
        </w:tc>
        <w:tc>
          <w:tcPr>
            <w:tcW w:w="3487" w:type="dxa"/>
          </w:tcPr>
          <w:p w14:paraId="62A0D82B"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Career development</w:t>
            </w:r>
          </w:p>
          <w:p w14:paraId="4F91DAFD"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Workplace learning</w:t>
            </w:r>
          </w:p>
          <w:p w14:paraId="298AEEEF"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Supporting better employment outcomes</w:t>
            </w:r>
          </w:p>
          <w:p w14:paraId="51FD0431"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Developing professional identity</w:t>
            </w:r>
          </w:p>
          <w:p w14:paraId="72969C92" w14:textId="77777777" w:rsidR="0027123B" w:rsidRPr="00304DC4" w:rsidRDefault="0027123B" w:rsidP="00370805">
            <w:pPr>
              <w:pStyle w:val="ListParagraph"/>
              <w:numPr>
                <w:ilvl w:val="0"/>
                <w:numId w:val="2"/>
              </w:numPr>
              <w:spacing w:before="40" w:after="60"/>
              <w:ind w:left="459" w:hanging="357"/>
              <w:contextualSpacing w:val="0"/>
              <w:rPr>
                <w:rFonts w:cstheme="minorHAnsi"/>
                <w:szCs w:val="18"/>
              </w:rPr>
            </w:pPr>
            <w:r w:rsidRPr="00304DC4">
              <w:rPr>
                <w:rFonts w:cstheme="minorHAnsi"/>
                <w:szCs w:val="18"/>
              </w:rPr>
              <w:t>Supporting further study</w:t>
            </w:r>
          </w:p>
        </w:tc>
      </w:tr>
    </w:tbl>
    <w:p w14:paraId="307AA1F2" w14:textId="77777777" w:rsidR="00D25263" w:rsidRDefault="00D25263" w:rsidP="00D96778">
      <w:pPr>
        <w:pStyle w:val="Heading2"/>
        <w:sectPr w:rsidR="00D25263" w:rsidSect="004775B6">
          <w:headerReference w:type="default" r:id="rId12"/>
          <w:footerReference w:type="default" r:id="rId13"/>
          <w:type w:val="continuous"/>
          <w:pgSz w:w="16838" w:h="11906" w:orient="landscape"/>
          <w:pgMar w:top="3261" w:right="1440" w:bottom="1440" w:left="1440" w:header="708" w:footer="708" w:gutter="0"/>
          <w:cols w:space="708"/>
          <w:titlePg/>
          <w:docGrid w:linePitch="360"/>
        </w:sectPr>
      </w:pPr>
    </w:p>
    <w:p w14:paraId="6BA38F23" w14:textId="77777777" w:rsidR="0027123B" w:rsidRPr="00966D9A" w:rsidRDefault="00966D9A" w:rsidP="00D96778">
      <w:pPr>
        <w:pStyle w:val="Heading2"/>
        <w:rPr>
          <w:color w:val="FFFFFF" w:themeColor="background1"/>
        </w:rPr>
      </w:pPr>
      <w:r w:rsidRPr="00966D9A">
        <w:rPr>
          <w:noProof/>
          <w:color w:val="FFFFFF" w:themeColor="background1"/>
          <w:lang w:val="en-US"/>
        </w:rPr>
        <w:lastRenderedPageBreak/>
        <w:drawing>
          <wp:anchor distT="0" distB="0" distL="114300" distR="114300" simplePos="0" relativeHeight="251661312" behindDoc="1" locked="0" layoutInCell="1" allowOverlap="1" wp14:anchorId="172F0BDC" wp14:editId="02E6B438">
            <wp:simplePos x="0" y="0"/>
            <wp:positionH relativeFrom="margin">
              <wp:posOffset>-45085</wp:posOffset>
            </wp:positionH>
            <wp:positionV relativeFrom="paragraph">
              <wp:posOffset>81068</wp:posOffset>
            </wp:positionV>
            <wp:extent cx="8953500" cy="3352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953500" cy="33528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27123B" w:rsidRPr="00966D9A">
        <w:rPr>
          <w:color w:val="FFFFFF" w:themeColor="background1"/>
        </w:rPr>
        <w:t>Key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3487"/>
        <w:gridCol w:w="3487"/>
        <w:gridCol w:w="3487"/>
        <w:gridCol w:w="3487"/>
      </w:tblGrid>
      <w:tr w:rsidR="00304DC4" w:rsidRPr="0027123B" w14:paraId="754E2D46" w14:textId="77777777" w:rsidTr="00D25263">
        <w:tc>
          <w:tcPr>
            <w:tcW w:w="3487" w:type="dxa"/>
          </w:tcPr>
          <w:p w14:paraId="7CB723D4" w14:textId="77777777" w:rsidR="00304DC4" w:rsidRPr="0027123B" w:rsidRDefault="00304DC4" w:rsidP="00D25263">
            <w:pPr>
              <w:pStyle w:val="Heading3"/>
              <w:outlineLvl w:val="2"/>
            </w:pPr>
            <w:r w:rsidRPr="0027123B">
              <w:t xml:space="preserve">Pre-access </w:t>
            </w:r>
          </w:p>
        </w:tc>
        <w:tc>
          <w:tcPr>
            <w:tcW w:w="3487" w:type="dxa"/>
          </w:tcPr>
          <w:p w14:paraId="18E66E6F" w14:textId="77777777" w:rsidR="00304DC4" w:rsidRPr="0027123B" w:rsidRDefault="00304DC4" w:rsidP="00D25263">
            <w:pPr>
              <w:pStyle w:val="Heading3"/>
              <w:outlineLvl w:val="2"/>
            </w:pPr>
            <w:r w:rsidRPr="0027123B">
              <w:t>Access</w:t>
            </w:r>
          </w:p>
        </w:tc>
        <w:tc>
          <w:tcPr>
            <w:tcW w:w="3487" w:type="dxa"/>
          </w:tcPr>
          <w:p w14:paraId="5B2759E3" w14:textId="77777777" w:rsidR="00304DC4" w:rsidRPr="0027123B" w:rsidRDefault="00304DC4" w:rsidP="00D25263">
            <w:pPr>
              <w:pStyle w:val="Heading3"/>
              <w:outlineLvl w:val="2"/>
            </w:pPr>
            <w:r w:rsidRPr="0027123B">
              <w:t>Participation</w:t>
            </w:r>
          </w:p>
        </w:tc>
        <w:tc>
          <w:tcPr>
            <w:tcW w:w="3487" w:type="dxa"/>
          </w:tcPr>
          <w:p w14:paraId="0FB030D6" w14:textId="77777777" w:rsidR="00304DC4" w:rsidRPr="0027123B" w:rsidRDefault="00304DC4" w:rsidP="00D25263">
            <w:pPr>
              <w:pStyle w:val="Heading3"/>
              <w:outlineLvl w:val="2"/>
            </w:pPr>
            <w:r w:rsidRPr="0027123B">
              <w:t>Progress and attainment</w:t>
            </w:r>
          </w:p>
        </w:tc>
      </w:tr>
      <w:tr w:rsidR="00304DC4" w:rsidRPr="00304DC4" w14:paraId="3752A65E" w14:textId="77777777" w:rsidTr="00D25263">
        <w:trPr>
          <w:trHeight w:val="1503"/>
        </w:trPr>
        <w:tc>
          <w:tcPr>
            <w:tcW w:w="3487" w:type="dxa"/>
          </w:tcPr>
          <w:p w14:paraId="532BC4B9" w14:textId="51472E07" w:rsidR="00304DC4" w:rsidRPr="00304DC4" w:rsidRDefault="00304DC4" w:rsidP="006A692B">
            <w:r>
              <w:t>Our outreach programs focus on high schools designated low-ICSEA (</w:t>
            </w:r>
            <w:r w:rsidRPr="00304DC4">
              <w:t>Index of Community Socio-Educational Advantage</w:t>
            </w:r>
            <w:r>
              <w:t>), communities in our campus catchments, regional students, and Aboriginal and Torres Strait Islander students.</w:t>
            </w:r>
            <w:r w:rsidR="001524BC">
              <w:t xml:space="preserve"> </w:t>
            </w:r>
            <w:r w:rsidR="00BA1D1C">
              <w:t>In 2019</w:t>
            </w:r>
            <w:r w:rsidR="00906E9D">
              <w:t xml:space="preserve"> </w:t>
            </w:r>
            <w:r w:rsidR="006A692B">
              <w:rPr>
                <w:b/>
              </w:rPr>
              <w:t>nine</w:t>
            </w:r>
            <w:bookmarkStart w:id="0" w:name="_GoBack"/>
            <w:bookmarkEnd w:id="0"/>
            <w:r w:rsidR="006A692B" w:rsidRPr="009F60FE">
              <w:rPr>
                <w:b/>
              </w:rPr>
              <w:t xml:space="preserve"> </w:t>
            </w:r>
            <w:r w:rsidR="00906E9D" w:rsidRPr="009F60FE">
              <w:rPr>
                <w:b/>
              </w:rPr>
              <w:t>outreach programs</w:t>
            </w:r>
            <w:r w:rsidR="00906E9D">
              <w:t xml:space="preserve"> will be run with the support of the Commonwealth’s Higher Education Participation and Partnership Program. </w:t>
            </w:r>
          </w:p>
        </w:tc>
        <w:tc>
          <w:tcPr>
            <w:tcW w:w="3487" w:type="dxa"/>
          </w:tcPr>
          <w:p w14:paraId="5126D56E" w14:textId="77777777" w:rsidR="00D25263" w:rsidRDefault="00304DC4" w:rsidP="009F60FE">
            <w:r>
              <w:t xml:space="preserve">Key activities include the </w:t>
            </w:r>
            <w:r w:rsidRPr="009F60FE">
              <w:rPr>
                <w:b/>
              </w:rPr>
              <w:t>Attraction of Regional and Remote Students</w:t>
            </w:r>
            <w:r w:rsidRPr="00F554A1">
              <w:t xml:space="preserve"> project (</w:t>
            </w:r>
            <w:r w:rsidR="00F554A1" w:rsidRPr="00F554A1">
              <w:t>presentations and activities for high school students from low-SES backgrounds, and Aboriginal and/or Torres Strait Islander students</w:t>
            </w:r>
            <w:r w:rsidRPr="00F554A1">
              <w:t>),</w:t>
            </w:r>
            <w:r w:rsidR="00D25263" w:rsidRPr="00F554A1">
              <w:t xml:space="preserve"> and the </w:t>
            </w:r>
            <w:r w:rsidR="00D25263" w:rsidRPr="009F60FE">
              <w:rPr>
                <w:b/>
              </w:rPr>
              <w:t>Catalyst Clemente Program</w:t>
            </w:r>
            <w:r w:rsidR="00D25263" w:rsidRPr="00F554A1">
              <w:t>, a free course for people who have not had the opportunity to</w:t>
            </w:r>
            <w:r w:rsidR="00D25263">
              <w:t xml:space="preserve"> complete higher education due to challenges in their life. </w:t>
            </w:r>
          </w:p>
          <w:p w14:paraId="59D6D033" w14:textId="77777777" w:rsidR="00304DC4" w:rsidRPr="00304DC4" w:rsidRDefault="00D25263" w:rsidP="009F60FE">
            <w:r>
              <w:t>In addition, o</w:t>
            </w:r>
            <w:r w:rsidR="00304DC4">
              <w:t>ur enabling programs</w:t>
            </w:r>
            <w:r>
              <w:t xml:space="preserve"> (</w:t>
            </w:r>
            <w:r w:rsidR="00F554A1">
              <w:t>such as UniPrep and the</w:t>
            </w:r>
            <w:r>
              <w:t xml:space="preserve"> Indigenous University Orientation Course)</w:t>
            </w:r>
            <w:r w:rsidR="00304DC4">
              <w:t xml:space="preserve"> </w:t>
            </w:r>
            <w:r>
              <w:t>provide</w:t>
            </w:r>
            <w:r w:rsidR="00304DC4">
              <w:t xml:space="preserve"> </w:t>
            </w:r>
            <w:r>
              <w:t xml:space="preserve">an alternative entry pathway while </w:t>
            </w:r>
            <w:r w:rsidR="00304DC4">
              <w:t>prepar</w:t>
            </w:r>
            <w:r>
              <w:t xml:space="preserve">ing </w:t>
            </w:r>
            <w:r w:rsidR="00F554A1">
              <w:t>students</w:t>
            </w:r>
            <w:r>
              <w:t xml:space="preserve"> for university study.</w:t>
            </w:r>
          </w:p>
        </w:tc>
        <w:tc>
          <w:tcPr>
            <w:tcW w:w="3487" w:type="dxa"/>
          </w:tcPr>
          <w:p w14:paraId="20FE1C4E" w14:textId="77777777" w:rsidR="0075766F" w:rsidRDefault="001D2FEB" w:rsidP="009F60FE">
            <w:r>
              <w:t xml:space="preserve">ECU offers </w:t>
            </w:r>
            <w:r w:rsidR="008C2BD2">
              <w:t xml:space="preserve">a wide range of </w:t>
            </w:r>
            <w:r>
              <w:t>services to support students’ transition to university life. Our orientation program includes sessions on study/life</w:t>
            </w:r>
            <w:r w:rsidR="009F60FE">
              <w:t xml:space="preserve"> balance, study skills, health</w:t>
            </w:r>
            <w:r w:rsidR="00A40931">
              <w:t xml:space="preserve">, </w:t>
            </w:r>
            <w:r>
              <w:t xml:space="preserve">and IT. </w:t>
            </w:r>
            <w:r w:rsidR="0075766F">
              <w:t xml:space="preserve">A first year support program will </w:t>
            </w:r>
            <w:r w:rsidR="00BA1D1C">
              <w:t>continue</w:t>
            </w:r>
            <w:r w:rsidR="0075766F">
              <w:t xml:space="preserve"> in 201</w:t>
            </w:r>
            <w:r w:rsidR="00BA1D1C">
              <w:t xml:space="preserve">9, complemented by peer assisted study sessions for low </w:t>
            </w:r>
            <w:r w:rsidR="00A16916">
              <w:t>SES students at all year levels</w:t>
            </w:r>
            <w:r w:rsidR="0075766F">
              <w:t xml:space="preserve">. </w:t>
            </w:r>
          </w:p>
          <w:p w14:paraId="4F90A5C4" w14:textId="77777777" w:rsidR="001D2FEB" w:rsidRDefault="00D25263" w:rsidP="009F60FE">
            <w:r>
              <w:t>S</w:t>
            </w:r>
            <w:r w:rsidR="001D2FEB">
              <w:t xml:space="preserve">tudents can access counselling, disability support services, health services, mentoring, and other support. </w:t>
            </w:r>
            <w:r w:rsidR="009F60FE">
              <w:t>S</w:t>
            </w:r>
            <w:r w:rsidR="001D2FEB">
              <w:t xml:space="preserve">cholarships </w:t>
            </w:r>
            <w:r>
              <w:t xml:space="preserve">are </w:t>
            </w:r>
            <w:r w:rsidR="009F60FE">
              <w:t>offered</w:t>
            </w:r>
            <w:r w:rsidR="00F554A1">
              <w:t xml:space="preserve"> to</w:t>
            </w:r>
            <w:r w:rsidR="001D2FEB">
              <w:t xml:space="preserve"> students from equity groups, including low-SES.</w:t>
            </w:r>
          </w:p>
          <w:p w14:paraId="7B342A57" w14:textId="77777777" w:rsidR="001524BC" w:rsidRPr="00304DC4" w:rsidRDefault="001D2FEB" w:rsidP="009F60FE">
            <w:r>
              <w:t>Aboriginal and Torres Strait Islander students have access to additional support</w:t>
            </w:r>
            <w:r w:rsidR="00F554A1">
              <w:t>,</w:t>
            </w:r>
            <w:r>
              <w:t xml:space="preserve"> funded by the </w:t>
            </w:r>
            <w:r w:rsidR="00906E9D">
              <w:t xml:space="preserve">Commonwealth’s </w:t>
            </w:r>
            <w:r w:rsidRPr="001D2FEB">
              <w:t>Indigenous Student Success Program</w:t>
            </w:r>
            <w:r>
              <w:t>.</w:t>
            </w:r>
          </w:p>
        </w:tc>
        <w:tc>
          <w:tcPr>
            <w:tcW w:w="3487" w:type="dxa"/>
          </w:tcPr>
          <w:p w14:paraId="1B493927" w14:textId="77777777" w:rsidR="00F554A1" w:rsidRDefault="00A40931" w:rsidP="009F60FE">
            <w:r>
              <w:t xml:space="preserve">ECU Careers and Leadership Services provides support to current students and alumni. Workshops are held regularly on topics like resume writing and interview skills, and students and alumni are encouraged to attend employer information sessions and on-campus career fairs. </w:t>
            </w:r>
            <w:r w:rsidR="00090496">
              <w:t>Specialist online tutor support and peer-assisted study sessions</w:t>
            </w:r>
            <w:r w:rsidR="0075766F">
              <w:t xml:space="preserve"> are also available.</w:t>
            </w:r>
          </w:p>
          <w:p w14:paraId="63225639" w14:textId="77777777" w:rsidR="00304DC4" w:rsidRPr="00304DC4" w:rsidRDefault="00A40931" w:rsidP="009F60FE">
            <w:r>
              <w:t xml:space="preserve">One-on-one appointments are also available with Career Advisers, including via phone for students unable to attend campus. Online and hard copy resources complement the </w:t>
            </w:r>
            <w:r w:rsidR="00F554A1">
              <w:t>on-campus</w:t>
            </w:r>
            <w:r>
              <w:t xml:space="preserve"> services. </w:t>
            </w:r>
          </w:p>
        </w:tc>
      </w:tr>
    </w:tbl>
    <w:p w14:paraId="78C53FEF" w14:textId="77777777" w:rsidR="0027123B" w:rsidRPr="00977F8D" w:rsidRDefault="00977F8D" w:rsidP="00D96778">
      <w:pPr>
        <w:pStyle w:val="Heading2"/>
        <w:rPr>
          <w:color w:val="FFFFFF" w:themeColor="background1"/>
        </w:rPr>
      </w:pPr>
      <w:r w:rsidRPr="00977F8D">
        <w:rPr>
          <w:noProof/>
          <w:color w:val="FFFFFF" w:themeColor="background1"/>
          <w:lang w:val="en-US"/>
        </w:rPr>
        <w:drawing>
          <wp:anchor distT="0" distB="0" distL="114300" distR="114300" simplePos="0" relativeHeight="251659264" behindDoc="1" locked="0" layoutInCell="1" allowOverlap="1" wp14:anchorId="679C6BC8" wp14:editId="76DFD4A3">
            <wp:simplePos x="0" y="0"/>
            <wp:positionH relativeFrom="margin">
              <wp:posOffset>-45085</wp:posOffset>
            </wp:positionH>
            <wp:positionV relativeFrom="paragraph">
              <wp:posOffset>137795</wp:posOffset>
            </wp:positionV>
            <wp:extent cx="8953500" cy="335280"/>
            <wp:effectExtent l="0" t="0" r="0" b="762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953500" cy="33528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27123B" w:rsidRPr="00977F8D">
        <w:rPr>
          <w:color w:val="FFFFFF" w:themeColor="background1"/>
        </w:rPr>
        <w:t>Evaluation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3487"/>
        <w:gridCol w:w="3487"/>
        <w:gridCol w:w="3487"/>
        <w:gridCol w:w="3487"/>
      </w:tblGrid>
      <w:tr w:rsidR="006E0D0A" w:rsidRPr="00D25263" w14:paraId="3ED4EFCC" w14:textId="77777777" w:rsidTr="00D25263">
        <w:tc>
          <w:tcPr>
            <w:tcW w:w="3487" w:type="dxa"/>
          </w:tcPr>
          <w:p w14:paraId="4232A138" w14:textId="77777777" w:rsidR="006E0D0A" w:rsidRPr="00D25263" w:rsidRDefault="006E0D0A" w:rsidP="00D25263">
            <w:pPr>
              <w:pStyle w:val="Heading3"/>
              <w:outlineLvl w:val="2"/>
            </w:pPr>
            <w:r w:rsidRPr="00D25263">
              <w:t xml:space="preserve">Pre-access </w:t>
            </w:r>
          </w:p>
        </w:tc>
        <w:tc>
          <w:tcPr>
            <w:tcW w:w="3487" w:type="dxa"/>
          </w:tcPr>
          <w:p w14:paraId="2B5FC2AD" w14:textId="77777777" w:rsidR="006E0D0A" w:rsidRPr="00D25263" w:rsidRDefault="006E0D0A" w:rsidP="00D25263">
            <w:pPr>
              <w:pStyle w:val="Heading3"/>
              <w:outlineLvl w:val="2"/>
            </w:pPr>
            <w:r w:rsidRPr="00D25263">
              <w:t>Access</w:t>
            </w:r>
          </w:p>
        </w:tc>
        <w:tc>
          <w:tcPr>
            <w:tcW w:w="3487" w:type="dxa"/>
          </w:tcPr>
          <w:p w14:paraId="13BC3ED1" w14:textId="77777777" w:rsidR="006E0D0A" w:rsidRPr="00D25263" w:rsidRDefault="006E0D0A" w:rsidP="00D25263">
            <w:pPr>
              <w:pStyle w:val="Heading3"/>
              <w:outlineLvl w:val="2"/>
            </w:pPr>
            <w:r w:rsidRPr="00D25263">
              <w:t>Participation</w:t>
            </w:r>
          </w:p>
        </w:tc>
        <w:tc>
          <w:tcPr>
            <w:tcW w:w="3487" w:type="dxa"/>
          </w:tcPr>
          <w:p w14:paraId="37C294D8" w14:textId="77777777" w:rsidR="006E0D0A" w:rsidRPr="00D25263" w:rsidRDefault="006E0D0A" w:rsidP="00D25263">
            <w:pPr>
              <w:pStyle w:val="Heading3"/>
              <w:outlineLvl w:val="2"/>
            </w:pPr>
            <w:r w:rsidRPr="00D25263">
              <w:t>Progress and attainment</w:t>
            </w:r>
          </w:p>
        </w:tc>
      </w:tr>
      <w:tr w:rsidR="006E0D0A" w:rsidRPr="00304DC4" w14:paraId="43CFE8C4" w14:textId="77777777" w:rsidTr="00D25263">
        <w:trPr>
          <w:trHeight w:val="614"/>
        </w:trPr>
        <w:tc>
          <w:tcPr>
            <w:tcW w:w="3487" w:type="dxa"/>
          </w:tcPr>
          <w:p w14:paraId="0A0029F9" w14:textId="77777777" w:rsidR="006E0D0A" w:rsidRPr="00304DC4" w:rsidRDefault="00543988" w:rsidP="009F60FE">
            <w:r>
              <w:t xml:space="preserve">As most outreach activities are conducted with high school students, the delay between the activities, and university study renders it difficult to directly measure the impact of </w:t>
            </w:r>
            <w:r w:rsidR="0075766F">
              <w:t xml:space="preserve">the </w:t>
            </w:r>
            <w:r w:rsidR="00A30903">
              <w:t>activity</w:t>
            </w:r>
            <w:r>
              <w:t xml:space="preserve">. Therefore, these activities </w:t>
            </w:r>
            <w:r w:rsidR="00A30903">
              <w:t>are usually</w:t>
            </w:r>
            <w:r>
              <w:t xml:space="preserve"> evaluated </w:t>
            </w:r>
            <w:r w:rsidR="00A30903">
              <w:t>through</w:t>
            </w:r>
            <w:r>
              <w:t xml:space="preserve"> student and teacher surveys</w:t>
            </w:r>
            <w:r w:rsidR="0075766F">
              <w:t xml:space="preserve"> to measure improved aspirations and self-esteem.</w:t>
            </w:r>
          </w:p>
        </w:tc>
        <w:tc>
          <w:tcPr>
            <w:tcW w:w="3487" w:type="dxa"/>
          </w:tcPr>
          <w:p w14:paraId="4356E629" w14:textId="77777777" w:rsidR="006E0D0A" w:rsidRPr="00304DC4" w:rsidRDefault="00D72CC2" w:rsidP="009F60FE">
            <w:r>
              <w:t xml:space="preserve">These activities are evaluated in accordance with their priorities and methods. </w:t>
            </w:r>
            <w:r w:rsidR="00A30903">
              <w:t>ECU monitors the proportion</w:t>
            </w:r>
            <w:r>
              <w:t xml:space="preserve"> of graduates </w:t>
            </w:r>
            <w:r w:rsidR="0075766F">
              <w:t xml:space="preserve">from “preparation programs” </w:t>
            </w:r>
            <w:r w:rsidR="00A30903">
              <w:t>entering</w:t>
            </w:r>
            <w:r>
              <w:t xml:space="preserve"> bachelor degrees, and the</w:t>
            </w:r>
            <w:r w:rsidR="00A30903">
              <w:t>ir</w:t>
            </w:r>
            <w:r>
              <w:t xml:space="preserve"> rates of retention, success and graduation compared to students admitted via other pathways.</w:t>
            </w:r>
          </w:p>
        </w:tc>
        <w:tc>
          <w:tcPr>
            <w:tcW w:w="3487" w:type="dxa"/>
          </w:tcPr>
          <w:p w14:paraId="77C88F47" w14:textId="77777777" w:rsidR="006E0D0A" w:rsidRPr="00304DC4" w:rsidRDefault="00D72CC2" w:rsidP="009F60FE">
            <w:r>
              <w:t>These s</w:t>
            </w:r>
            <w:r w:rsidR="006E0D0A">
              <w:t>trategies have in</w:t>
            </w:r>
            <w:r w:rsidR="00A30903">
              <w:t>dividual assessment mechanisms</w:t>
            </w:r>
            <w:r w:rsidR="0075766F">
              <w:t xml:space="preserve">. </w:t>
            </w:r>
            <w:r w:rsidR="006E0D0A">
              <w:t xml:space="preserve">ECU monitors its overall performance through student success and retention figures, including </w:t>
            </w:r>
            <w:r>
              <w:t xml:space="preserve">via </w:t>
            </w:r>
            <w:r w:rsidR="006E0D0A">
              <w:t>benchmarking.</w:t>
            </w:r>
            <w:r>
              <w:t xml:space="preserve"> Individual student progress </w:t>
            </w:r>
            <w:r w:rsidR="0075766F">
              <w:t>is</w:t>
            </w:r>
            <w:r>
              <w:t xml:space="preserve"> </w:t>
            </w:r>
            <w:r w:rsidR="0075766F">
              <w:t xml:space="preserve">monitored </w:t>
            </w:r>
            <w:r>
              <w:t>so that additional support can be offered</w:t>
            </w:r>
            <w:r w:rsidR="00A30903">
              <w:t xml:space="preserve"> </w:t>
            </w:r>
            <w:r w:rsidR="0075766F">
              <w:t>to those “at risk”</w:t>
            </w:r>
            <w:r>
              <w:t>.</w:t>
            </w:r>
          </w:p>
        </w:tc>
        <w:tc>
          <w:tcPr>
            <w:tcW w:w="3487" w:type="dxa"/>
          </w:tcPr>
          <w:p w14:paraId="642D9592" w14:textId="77777777" w:rsidR="006E0D0A" w:rsidRPr="00304DC4" w:rsidRDefault="00D72CC2" w:rsidP="009F60FE">
            <w:r>
              <w:t xml:space="preserve">The national Graduate Outcomes Survey provides valuable data to assess the satisfaction and success of our graduates. Although many factors contribute towards graduate </w:t>
            </w:r>
            <w:r w:rsidR="00A30903">
              <w:t>success</w:t>
            </w:r>
            <w:r>
              <w:t xml:space="preserve">, this survey allows ECU to benchmark its progress in response to </w:t>
            </w:r>
            <w:r w:rsidR="00A30903">
              <w:t xml:space="preserve">the </w:t>
            </w:r>
            <w:r>
              <w:t>initiatives</w:t>
            </w:r>
            <w:r w:rsidR="0075766F">
              <w:t xml:space="preserve"> undertaken</w:t>
            </w:r>
            <w:r>
              <w:t>.</w:t>
            </w:r>
          </w:p>
        </w:tc>
      </w:tr>
    </w:tbl>
    <w:p w14:paraId="1A21822B" w14:textId="77777777" w:rsidR="0027123B" w:rsidRPr="009F60FE" w:rsidRDefault="0027123B" w:rsidP="00D25263">
      <w:pPr>
        <w:pStyle w:val="NoSpacing"/>
        <w:rPr>
          <w:sz w:val="2"/>
          <w:szCs w:val="2"/>
        </w:rPr>
      </w:pPr>
    </w:p>
    <w:sectPr w:rsidR="0027123B" w:rsidRPr="009F60FE" w:rsidSect="00A16916">
      <w:headerReference w:type="default" r:id="rId14"/>
      <w:footerReference w:type="default" r:id="rId15"/>
      <w:pgSz w:w="16838" w:h="11906" w:orient="landscape"/>
      <w:pgMar w:top="851" w:right="1440" w:bottom="1985" w:left="1440" w:header="56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1AC9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1AC97F" w16cid:durableId="2030B60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8373" w14:textId="77777777" w:rsidR="00ED4B08" w:rsidRDefault="00ED4B08" w:rsidP="002E081E">
      <w:pPr>
        <w:spacing w:before="0" w:after="0" w:line="240" w:lineRule="auto"/>
      </w:pPr>
      <w:r>
        <w:separator/>
      </w:r>
    </w:p>
  </w:endnote>
  <w:endnote w:type="continuationSeparator" w:id="0">
    <w:p w14:paraId="2D0887E4" w14:textId="77777777" w:rsidR="00ED4B08" w:rsidRDefault="00ED4B08" w:rsidP="002E08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DD6AC" w14:textId="77777777" w:rsidR="00AC642C" w:rsidRPr="007F78B4" w:rsidRDefault="00AC642C" w:rsidP="007F78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8AC13" w14:textId="77777777" w:rsidR="00AC642C" w:rsidRDefault="00AC642C">
    <w:pPr>
      <w:pStyle w:val="Footer"/>
    </w:pPr>
    <w:r w:rsidRPr="00463736">
      <w:rPr>
        <w:noProof/>
        <w:lang w:val="en-US"/>
      </w:rPr>
      <w:drawing>
        <wp:anchor distT="0" distB="0" distL="114300" distR="114300" simplePos="0" relativeHeight="251663360" behindDoc="0" locked="0" layoutInCell="1" allowOverlap="1" wp14:anchorId="679189DF" wp14:editId="55631038">
          <wp:simplePos x="0" y="0"/>
          <wp:positionH relativeFrom="page">
            <wp:posOffset>7658100</wp:posOffset>
          </wp:positionH>
          <wp:positionV relativeFrom="paragraph">
            <wp:posOffset>-748665</wp:posOffset>
          </wp:positionV>
          <wp:extent cx="3042285" cy="1360805"/>
          <wp:effectExtent l="0" t="0" r="5715" b="1079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udents-jo-9.5cm_wide_x_7cm_high.jpg"/>
                  <pic:cNvPicPr/>
                </pic:nvPicPr>
                <pic:blipFill rotWithShape="1">
                  <a:blip r:embed="rId1" cstate="print">
                    <a:extLst>
                      <a:ext uri="{28A0092B-C50C-407E-A947-70E740481C1C}">
                        <a14:useLocalDpi xmlns:a14="http://schemas.microsoft.com/office/drawing/2010/main" val="0"/>
                      </a:ext>
                    </a:extLst>
                  </a:blip>
                  <a:srcRect t="39281"/>
                  <a:stretch/>
                </pic:blipFill>
                <pic:spPr bwMode="auto">
                  <a:xfrm>
                    <a:off x="0" y="0"/>
                    <a:ext cx="3042285" cy="1360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143" behindDoc="0" locked="0" layoutInCell="1" allowOverlap="1" wp14:anchorId="547216E0" wp14:editId="37E463BF">
          <wp:simplePos x="0" y="0"/>
          <wp:positionH relativeFrom="page">
            <wp:posOffset>-160020</wp:posOffset>
          </wp:positionH>
          <wp:positionV relativeFrom="page">
            <wp:posOffset>6255385</wp:posOffset>
          </wp:positionV>
          <wp:extent cx="13849350" cy="12903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849350" cy="129032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7456" behindDoc="0" locked="0" layoutInCell="1" allowOverlap="1" wp14:anchorId="4FD35E18" wp14:editId="7ACD9209">
              <wp:simplePos x="0" y="0"/>
              <wp:positionH relativeFrom="column">
                <wp:posOffset>-524933</wp:posOffset>
              </wp:positionH>
              <wp:positionV relativeFrom="paragraph">
                <wp:posOffset>-179706</wp:posOffset>
              </wp:positionV>
              <wp:extent cx="6502400" cy="456777"/>
              <wp:effectExtent l="0" t="0" r="0" b="635"/>
              <wp:wrapNone/>
              <wp:docPr id="7" name="Text Box 7"/>
              <wp:cNvGraphicFramePr/>
              <a:graphic xmlns:a="http://schemas.openxmlformats.org/drawingml/2006/main">
                <a:graphicData uri="http://schemas.microsoft.com/office/word/2010/wordprocessingShape">
                  <wps:wsp>
                    <wps:cNvSpPr txBox="1"/>
                    <wps:spPr>
                      <a:xfrm>
                        <a:off x="0" y="0"/>
                        <a:ext cx="6502400" cy="456777"/>
                      </a:xfrm>
                      <a:prstGeom prst="rect">
                        <a:avLst/>
                      </a:prstGeom>
                      <a:noFill/>
                      <a:ln w="6350">
                        <a:noFill/>
                      </a:ln>
                    </wps:spPr>
                    <wps:txbx>
                      <w:txbxContent>
                        <w:p w14:paraId="3B6862DF" w14:textId="77777777" w:rsidR="00AC642C" w:rsidRPr="0043213B" w:rsidRDefault="00AC642C" w:rsidP="0043213B">
                          <w:pPr>
                            <w:spacing w:before="0" w:after="60"/>
                            <w:rPr>
                              <w:i/>
                              <w:color w:val="FFFFFF" w:themeColor="background1"/>
                            </w:rPr>
                          </w:pPr>
                          <w:r w:rsidRPr="0043213B">
                            <w:rPr>
                              <w:color w:val="FFFFFF" w:themeColor="background1"/>
                            </w:rPr>
                            <w:t xml:space="preserve">Edith Cowan University, </w:t>
                          </w:r>
                          <w:r w:rsidRPr="0043213B">
                            <w:rPr>
                              <w:i/>
                              <w:color w:val="FFFFFF" w:themeColor="background1"/>
                            </w:rPr>
                            <w:t>Ac</w:t>
                          </w:r>
                          <w:r>
                            <w:rPr>
                              <w:i/>
                              <w:color w:val="FFFFFF" w:themeColor="background1"/>
                            </w:rPr>
                            <w:t>cess and Participation Plan 2019</w:t>
                          </w:r>
                        </w:p>
                        <w:p w14:paraId="2EA5EBBD" w14:textId="77777777" w:rsidR="00AC642C" w:rsidRPr="0043213B" w:rsidRDefault="00AC642C" w:rsidP="00405160">
                          <w:pPr>
                            <w:spacing w:before="0"/>
                            <w:rPr>
                              <w:color w:val="BFBFBF" w:themeColor="background1" w:themeShade="BF"/>
                              <w:sz w:val="15"/>
                              <w:szCs w:val="15"/>
                            </w:rPr>
                          </w:pPr>
                          <w:r w:rsidRPr="0043213B">
                            <w:rPr>
                              <w:color w:val="BFBFBF" w:themeColor="background1" w:themeShade="BF"/>
                              <w:sz w:val="15"/>
                              <w:szCs w:val="15"/>
                            </w:rPr>
                            <w:t xml:space="preserve">Prepared </w:t>
                          </w:r>
                          <w:r>
                            <w:rPr>
                              <w:color w:val="BFBFBF" w:themeColor="background1" w:themeShade="BF"/>
                              <w:sz w:val="15"/>
                              <w:szCs w:val="15"/>
                            </w:rPr>
                            <w:t>March 2019</w:t>
                          </w:r>
                          <w:r w:rsidRPr="0043213B">
                            <w:rPr>
                              <w:color w:val="BFBFBF" w:themeColor="background1" w:themeShade="BF"/>
                              <w:sz w:val="15"/>
                              <w:szCs w:val="15"/>
                            </w:rPr>
                            <w:t xml:space="preserve">, as required under guidelines for the Commonwealth’s </w:t>
                          </w:r>
                          <w:r w:rsidRPr="0043213B">
                            <w:rPr>
                              <w:i/>
                              <w:color w:val="BFBFBF" w:themeColor="background1" w:themeShade="BF"/>
                              <w:sz w:val="15"/>
                              <w:szCs w:val="15"/>
                            </w:rPr>
                            <w:t>Higher Education Participation and Partnership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0,0l0,21600,21600,21600,21600,0xe">
              <v:stroke joinstyle="miter"/>
              <v:path gradientshapeok="t" o:connecttype="rect"/>
            </v:shapetype>
            <v:shape id="Text Box 7" o:spid="_x0000_s1026" type="#_x0000_t202" style="position:absolute;margin-left:-41.3pt;margin-top:-14.1pt;width:512pt;height:3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" filled="f" stroked="f" strokeweight=".5pt">
              <v:textbox>
                <w:txbxContent>
                  <w:p w14:paraId="3B6862DF" w14:textId="77777777" w:rsidR="00AC642C" w:rsidRPr="0043213B" w:rsidRDefault="00AC642C" w:rsidP="0043213B">
                    <w:pPr>
                      <w:spacing w:before="0" w:after="60"/>
                      <w:rPr>
                        <w:i/>
                        <w:color w:val="FFFFFF" w:themeColor="background1"/>
                      </w:rPr>
                    </w:pPr>
                    <w:r w:rsidRPr="0043213B">
                      <w:rPr>
                        <w:color w:val="FFFFFF" w:themeColor="background1"/>
                      </w:rPr>
                      <w:t xml:space="preserve">Edith Cowan University, </w:t>
                    </w:r>
                    <w:r w:rsidRPr="0043213B">
                      <w:rPr>
                        <w:i/>
                        <w:color w:val="FFFFFF" w:themeColor="background1"/>
                      </w:rPr>
                      <w:t>Ac</w:t>
                    </w:r>
                    <w:r>
                      <w:rPr>
                        <w:i/>
                        <w:color w:val="FFFFFF" w:themeColor="background1"/>
                      </w:rPr>
                      <w:t>cess and Participation Plan 2019</w:t>
                    </w:r>
                  </w:p>
                  <w:p w14:paraId="2EA5EBBD" w14:textId="77777777" w:rsidR="00AC642C" w:rsidRPr="0043213B" w:rsidRDefault="00AC642C" w:rsidP="00405160">
                    <w:pPr>
                      <w:spacing w:before="0"/>
                      <w:rPr>
                        <w:color w:val="BFBFBF" w:themeColor="background1" w:themeShade="BF"/>
                        <w:sz w:val="15"/>
                        <w:szCs w:val="15"/>
                      </w:rPr>
                    </w:pPr>
                    <w:r w:rsidRPr="0043213B">
                      <w:rPr>
                        <w:color w:val="BFBFBF" w:themeColor="background1" w:themeShade="BF"/>
                        <w:sz w:val="15"/>
                        <w:szCs w:val="15"/>
                      </w:rPr>
                      <w:t xml:space="preserve">Prepared </w:t>
                    </w:r>
                    <w:r>
                      <w:rPr>
                        <w:color w:val="BFBFBF" w:themeColor="background1" w:themeShade="BF"/>
                        <w:sz w:val="15"/>
                        <w:szCs w:val="15"/>
                      </w:rPr>
                      <w:t>March 2019</w:t>
                    </w:r>
                    <w:r w:rsidRPr="0043213B">
                      <w:rPr>
                        <w:color w:val="BFBFBF" w:themeColor="background1" w:themeShade="BF"/>
                        <w:sz w:val="15"/>
                        <w:szCs w:val="15"/>
                      </w:rPr>
                      <w:t xml:space="preserve">, as required under guidelines for the Commonwealth’s </w:t>
                    </w:r>
                    <w:r w:rsidRPr="0043213B">
                      <w:rPr>
                        <w:i/>
                        <w:color w:val="BFBFBF" w:themeColor="background1" w:themeShade="BF"/>
                        <w:sz w:val="15"/>
                        <w:szCs w:val="15"/>
                      </w:rPr>
                      <w:t>Higher Education Participation and Partnership Program</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DB264" w14:textId="77777777" w:rsidR="00ED4B08" w:rsidRDefault="00ED4B08" w:rsidP="002E081E">
      <w:pPr>
        <w:spacing w:before="0" w:after="0" w:line="240" w:lineRule="auto"/>
      </w:pPr>
      <w:r>
        <w:separator/>
      </w:r>
    </w:p>
  </w:footnote>
  <w:footnote w:type="continuationSeparator" w:id="0">
    <w:p w14:paraId="25D379BA" w14:textId="77777777" w:rsidR="00ED4B08" w:rsidRDefault="00ED4B08" w:rsidP="002E081E">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21802" w14:textId="77777777" w:rsidR="00AC642C" w:rsidRDefault="00AC642C" w:rsidP="00D25263">
    <w:pPr>
      <w:pStyle w:val="Header"/>
    </w:pPr>
    <w:r>
      <w:rPr>
        <w:noProof/>
        <w:lang w:val="en-US"/>
      </w:rPr>
      <w:drawing>
        <wp:anchor distT="0" distB="0" distL="114300" distR="114300" simplePos="0" relativeHeight="251668480" behindDoc="1" locked="0" layoutInCell="1" allowOverlap="1" wp14:anchorId="63C9475F" wp14:editId="3BC3F4C2">
          <wp:simplePos x="0" y="0"/>
          <wp:positionH relativeFrom="page">
            <wp:align>left</wp:align>
          </wp:positionH>
          <wp:positionV relativeFrom="page">
            <wp:align>top</wp:align>
          </wp:positionV>
          <wp:extent cx="10698480" cy="1988702"/>
          <wp:effectExtent l="0" t="0" r="0" b="0"/>
          <wp:wrapNone/>
          <wp:docPr id="136" name="Picture 136" descr="\\staffhome\homee\ejarvis2\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home\homee\ejarvis2\Desktop\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8480" cy="19887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FD0A0" w14:textId="77777777" w:rsidR="00AC642C" w:rsidRDefault="00AC642C" w:rsidP="00D25263">
    <w:pPr>
      <w:pStyle w:val="Header"/>
    </w:pPr>
  </w:p>
  <w:p w14:paraId="36DDE1F4" w14:textId="77777777" w:rsidR="00AC642C" w:rsidRPr="003735E7" w:rsidRDefault="00AC642C" w:rsidP="001F087F">
    <w:pPr>
      <w:spacing w:before="0" w:after="0" w:line="240" w:lineRule="auto"/>
      <w:ind w:left="3261"/>
      <w:rPr>
        <w:b/>
        <w:color w:val="FFFFFF" w:themeColor="background1"/>
        <w:sz w:val="48"/>
        <w:szCs w:val="48"/>
      </w:rPr>
    </w:pPr>
    <w:r w:rsidRPr="003735E7">
      <w:rPr>
        <w:b/>
        <w:color w:val="FFFFFF" w:themeColor="background1"/>
        <w:sz w:val="48"/>
        <w:szCs w:val="48"/>
      </w:rPr>
      <w:t>Appendix A</w:t>
    </w:r>
  </w:p>
  <w:p w14:paraId="00E38A68" w14:textId="79321F16" w:rsidR="00AC642C" w:rsidRPr="002850D1" w:rsidRDefault="00AC642C" w:rsidP="001F087F">
    <w:pPr>
      <w:spacing w:before="0" w:after="0" w:line="240" w:lineRule="auto"/>
      <w:ind w:left="3261"/>
      <w:rPr>
        <w:b/>
        <w:color w:val="FFFFFF" w:themeColor="background1"/>
        <w:sz w:val="64"/>
        <w:szCs w:val="64"/>
      </w:rPr>
    </w:pPr>
    <w:r w:rsidRPr="002850D1">
      <w:rPr>
        <w:b/>
        <w:color w:val="FFFFFF" w:themeColor="background1"/>
        <w:sz w:val="64"/>
        <w:szCs w:val="64"/>
      </w:rPr>
      <w:t>Access and Participation Plan</w:t>
    </w:r>
  </w:p>
  <w:p w14:paraId="34416A0F" w14:textId="77777777" w:rsidR="00AC642C" w:rsidRPr="002850D1" w:rsidRDefault="00AC642C" w:rsidP="001F087F">
    <w:pPr>
      <w:spacing w:after="0" w:line="240" w:lineRule="auto"/>
      <w:ind w:left="3261"/>
      <w:rPr>
        <w:b/>
        <w:color w:val="FFFFFF" w:themeColor="background1"/>
        <w:sz w:val="48"/>
        <w:szCs w:val="48"/>
      </w:rPr>
    </w:pPr>
    <w:r w:rsidRPr="002850D1">
      <w:rPr>
        <w:b/>
        <w:color w:val="FFFFFF" w:themeColor="background1"/>
        <w:sz w:val="48"/>
        <w:szCs w:val="48"/>
      </w:rPr>
      <w:t>201</w:t>
    </w:r>
    <w:r>
      <w:rPr>
        <w:b/>
        <w:color w:val="FFFFFF" w:themeColor="background1"/>
        <w:sz w:val="48"/>
        <w:szCs w:val="48"/>
      </w:rPr>
      <w:t>9</w:t>
    </w:r>
  </w:p>
  <w:p w14:paraId="4C8E96B8" w14:textId="77777777" w:rsidR="00AC642C" w:rsidRPr="00D25263" w:rsidRDefault="00AC642C" w:rsidP="00D252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A1CD5" w14:textId="77777777" w:rsidR="00AC642C" w:rsidRDefault="00AC64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E12E0" w14:textId="77777777" w:rsidR="00AC642C" w:rsidRPr="00966D9A" w:rsidRDefault="00AC642C" w:rsidP="00966D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75BC"/>
    <w:multiLevelType w:val="hybridMultilevel"/>
    <w:tmpl w:val="500C3890"/>
    <w:lvl w:ilvl="0" w:tplc="8222BE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765800"/>
    <w:multiLevelType w:val="hybridMultilevel"/>
    <w:tmpl w:val="7974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NEWMAN">
    <w15:presenceInfo w15:providerId="AD" w15:userId="S::s.newman@ecu.edu.au::2492a855-e2e4-48be-9b74-fc902e679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AD"/>
    <w:rsid w:val="000015EA"/>
    <w:rsid w:val="00090496"/>
    <w:rsid w:val="000940F1"/>
    <w:rsid w:val="001271DD"/>
    <w:rsid w:val="0013750A"/>
    <w:rsid w:val="001524BC"/>
    <w:rsid w:val="00167F60"/>
    <w:rsid w:val="00175F2C"/>
    <w:rsid w:val="001B57B8"/>
    <w:rsid w:val="001D2FEB"/>
    <w:rsid w:val="001F087F"/>
    <w:rsid w:val="0027123B"/>
    <w:rsid w:val="002850D1"/>
    <w:rsid w:val="002D562D"/>
    <w:rsid w:val="002D750B"/>
    <w:rsid w:val="002E081E"/>
    <w:rsid w:val="00304DC4"/>
    <w:rsid w:val="003640AF"/>
    <w:rsid w:val="00370805"/>
    <w:rsid w:val="003735E7"/>
    <w:rsid w:val="003A5EC3"/>
    <w:rsid w:val="00405160"/>
    <w:rsid w:val="0043213B"/>
    <w:rsid w:val="004323BC"/>
    <w:rsid w:val="00440E73"/>
    <w:rsid w:val="00441B11"/>
    <w:rsid w:val="004775B6"/>
    <w:rsid w:val="00487F2A"/>
    <w:rsid w:val="004B3EFA"/>
    <w:rsid w:val="005022EE"/>
    <w:rsid w:val="0051291B"/>
    <w:rsid w:val="00540185"/>
    <w:rsid w:val="00543988"/>
    <w:rsid w:val="005A30C5"/>
    <w:rsid w:val="0067568B"/>
    <w:rsid w:val="006876AD"/>
    <w:rsid w:val="006A692B"/>
    <w:rsid w:val="006E0D0A"/>
    <w:rsid w:val="0075766F"/>
    <w:rsid w:val="00791CFE"/>
    <w:rsid w:val="007C32B8"/>
    <w:rsid w:val="007E33E1"/>
    <w:rsid w:val="007F78B4"/>
    <w:rsid w:val="0084798A"/>
    <w:rsid w:val="008C2BD2"/>
    <w:rsid w:val="00906E9D"/>
    <w:rsid w:val="00945DAA"/>
    <w:rsid w:val="00966D9A"/>
    <w:rsid w:val="00977F8D"/>
    <w:rsid w:val="009D33FA"/>
    <w:rsid w:val="009F60FE"/>
    <w:rsid w:val="00A16916"/>
    <w:rsid w:val="00A30903"/>
    <w:rsid w:val="00A40931"/>
    <w:rsid w:val="00AC642C"/>
    <w:rsid w:val="00B34CF0"/>
    <w:rsid w:val="00BA1D1C"/>
    <w:rsid w:val="00BB6520"/>
    <w:rsid w:val="00C33B93"/>
    <w:rsid w:val="00C341C2"/>
    <w:rsid w:val="00C93A00"/>
    <w:rsid w:val="00CB3CBB"/>
    <w:rsid w:val="00D25263"/>
    <w:rsid w:val="00D56259"/>
    <w:rsid w:val="00D72CC2"/>
    <w:rsid w:val="00D96778"/>
    <w:rsid w:val="00E379C8"/>
    <w:rsid w:val="00ED399D"/>
    <w:rsid w:val="00ED4B08"/>
    <w:rsid w:val="00F104D5"/>
    <w:rsid w:val="00F17D61"/>
    <w:rsid w:val="00F2011C"/>
    <w:rsid w:val="00F3088E"/>
    <w:rsid w:val="00F554A1"/>
    <w:rsid w:val="00FA397E"/>
    <w:rsid w:val="00FB1290"/>
    <w:rsid w:val="00FD35E2"/>
    <w:rsid w:val="00FE62B6"/>
    <w:rsid w:val="00FF040C"/>
    <w:rsid w:val="00FF33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B9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4CF0"/>
    <w:pPr>
      <w:spacing w:before="120" w:after="120" w:line="220" w:lineRule="atLeast"/>
    </w:pPr>
    <w:rPr>
      <w:spacing w:val="4"/>
      <w:sz w:val="17"/>
    </w:rPr>
  </w:style>
  <w:style w:type="paragraph" w:styleId="Heading1">
    <w:name w:val="heading 1"/>
    <w:basedOn w:val="Normal"/>
    <w:next w:val="Normal"/>
    <w:link w:val="Heading1Char"/>
    <w:uiPriority w:val="9"/>
    <w:qFormat/>
    <w:rsid w:val="00FF040C"/>
    <w:pPr>
      <w:keepNext/>
      <w:keepLines/>
      <w:spacing w:before="36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96778"/>
    <w:pPr>
      <w:keepNext/>
      <w:keepLines/>
      <w:spacing w:before="360"/>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unhideWhenUsed/>
    <w:qFormat/>
    <w:rsid w:val="009F60FE"/>
    <w:pPr>
      <w:spacing w:before="240" w:after="60" w:line="240" w:lineRule="auto"/>
      <w:outlineLvl w:val="2"/>
    </w:pPr>
    <w:rPr>
      <w:rFonts w:cstheme="minorHAnsi"/>
      <w:b/>
      <w:szCs w:val="18"/>
    </w:rPr>
  </w:style>
  <w:style w:type="paragraph" w:styleId="Heading4">
    <w:name w:val="heading 4"/>
    <w:basedOn w:val="Normal"/>
    <w:next w:val="Normal"/>
    <w:link w:val="Heading4Char"/>
    <w:uiPriority w:val="9"/>
    <w:semiHidden/>
    <w:unhideWhenUsed/>
    <w:qFormat/>
    <w:rsid w:val="00FF040C"/>
    <w:pPr>
      <w:keepNext/>
      <w:keepLines/>
      <w:spacing w:before="24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40C"/>
    <w:rPr>
      <w:rFonts w:asciiTheme="majorHAnsi" w:eastAsiaTheme="majorEastAsia" w:hAnsiTheme="majorHAnsi" w:cstheme="majorBidi"/>
      <w:b/>
      <w:spacing w:val="4"/>
      <w:sz w:val="32"/>
      <w:szCs w:val="32"/>
    </w:rPr>
  </w:style>
  <w:style w:type="character" w:customStyle="1" w:styleId="Heading2Char">
    <w:name w:val="Heading 2 Char"/>
    <w:basedOn w:val="DefaultParagraphFont"/>
    <w:link w:val="Heading2"/>
    <w:uiPriority w:val="9"/>
    <w:rsid w:val="00D96778"/>
    <w:rPr>
      <w:rFonts w:asciiTheme="majorHAnsi" w:eastAsiaTheme="majorEastAsia" w:hAnsiTheme="majorHAnsi" w:cstheme="majorBidi"/>
      <w:b/>
      <w:spacing w:val="4"/>
      <w:sz w:val="22"/>
      <w:szCs w:val="26"/>
    </w:rPr>
  </w:style>
  <w:style w:type="character" w:customStyle="1" w:styleId="Heading3Char">
    <w:name w:val="Heading 3 Char"/>
    <w:basedOn w:val="DefaultParagraphFont"/>
    <w:link w:val="Heading3"/>
    <w:uiPriority w:val="9"/>
    <w:rsid w:val="009F60FE"/>
    <w:rPr>
      <w:rFonts w:cstheme="minorHAnsi"/>
      <w:b/>
      <w:spacing w:val="4"/>
      <w:sz w:val="17"/>
      <w:szCs w:val="18"/>
    </w:rPr>
  </w:style>
  <w:style w:type="character" w:customStyle="1" w:styleId="Heading4Char">
    <w:name w:val="Heading 4 Char"/>
    <w:basedOn w:val="DefaultParagraphFont"/>
    <w:link w:val="Heading4"/>
    <w:uiPriority w:val="9"/>
    <w:semiHidden/>
    <w:rsid w:val="00FF040C"/>
    <w:rPr>
      <w:rFonts w:asciiTheme="majorHAnsi" w:eastAsiaTheme="majorEastAsia" w:hAnsiTheme="majorHAnsi" w:cstheme="majorBidi"/>
      <w:b/>
      <w:iCs/>
      <w:spacing w:val="4"/>
    </w:rPr>
  </w:style>
  <w:style w:type="table" w:styleId="TableGrid">
    <w:name w:val="Table Grid"/>
    <w:basedOn w:val="TableNormal"/>
    <w:uiPriority w:val="39"/>
    <w:rsid w:val="00F20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5A30C5"/>
    <w:pPr>
      <w:spacing w:after="0" w:line="240" w:lineRule="auto"/>
    </w:pPr>
    <w:tblPr>
      <w:tblInd w:w="0" w:type="dxa"/>
      <w:tblCellMar>
        <w:top w:w="0" w:type="dxa"/>
        <w:left w:w="108" w:type="dxa"/>
        <w:bottom w:w="0" w:type="dxa"/>
        <w:right w:w="108" w:type="dxa"/>
      </w:tblCellMar>
    </w:tblPr>
    <w:tblStylePr w:type="firstRow">
      <w:pPr>
        <w:wordWrap/>
        <w:spacing w:beforeLines="60" w:before="60" w:beforeAutospacing="0" w:afterLines="60" w:after="60" w:afterAutospacing="0" w:line="240" w:lineRule="atLeast"/>
        <w:contextualSpacing w:val="0"/>
      </w:pPr>
      <w:rPr>
        <w:b/>
      </w:rPr>
      <w:tblPr/>
      <w:tcPr>
        <w:tcBorders>
          <w:bottom w:val="single" w:sz="4" w:space="0" w:color="auto"/>
        </w:tcBorders>
      </w:tcPr>
    </w:tblStylePr>
  </w:style>
  <w:style w:type="paragraph" w:styleId="ListParagraph">
    <w:name w:val="List Paragraph"/>
    <w:basedOn w:val="Normal"/>
    <w:uiPriority w:val="34"/>
    <w:qFormat/>
    <w:rsid w:val="0027123B"/>
    <w:pPr>
      <w:ind w:left="720"/>
      <w:contextualSpacing/>
    </w:pPr>
  </w:style>
  <w:style w:type="paragraph" w:styleId="Header">
    <w:name w:val="header"/>
    <w:basedOn w:val="Normal"/>
    <w:link w:val="HeaderChar"/>
    <w:uiPriority w:val="99"/>
    <w:unhideWhenUsed/>
    <w:rsid w:val="002E081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E081E"/>
  </w:style>
  <w:style w:type="paragraph" w:styleId="Footer">
    <w:name w:val="footer"/>
    <w:basedOn w:val="Normal"/>
    <w:link w:val="FooterChar"/>
    <w:uiPriority w:val="99"/>
    <w:unhideWhenUsed/>
    <w:rsid w:val="002E08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E081E"/>
  </w:style>
  <w:style w:type="paragraph" w:styleId="NoSpacing">
    <w:name w:val="No Spacing"/>
    <w:uiPriority w:val="1"/>
    <w:qFormat/>
    <w:rsid w:val="002E081E"/>
    <w:pPr>
      <w:spacing w:after="0" w:line="240" w:lineRule="auto"/>
    </w:pPr>
  </w:style>
  <w:style w:type="paragraph" w:customStyle="1" w:styleId="Subtitles">
    <w:name w:val="Subtitles"/>
    <w:basedOn w:val="Normal"/>
    <w:link w:val="SubtitlesChar"/>
    <w:qFormat/>
    <w:rsid w:val="00D25263"/>
    <w:pPr>
      <w:spacing w:before="60" w:after="60" w:line="200" w:lineRule="atLeast"/>
    </w:pPr>
    <w:rPr>
      <w:i/>
      <w:color w:val="595959" w:themeColor="text1" w:themeTint="A6"/>
      <w:sz w:val="16"/>
      <w:szCs w:val="16"/>
    </w:rPr>
  </w:style>
  <w:style w:type="character" w:customStyle="1" w:styleId="SubtitlesChar">
    <w:name w:val="Subtitles Char"/>
    <w:basedOn w:val="DefaultParagraphFont"/>
    <w:link w:val="Subtitles"/>
    <w:rsid w:val="00D25263"/>
    <w:rPr>
      <w:i/>
      <w:color w:val="595959" w:themeColor="text1" w:themeTint="A6"/>
      <w:spacing w:val="2"/>
      <w:sz w:val="16"/>
      <w:szCs w:val="16"/>
    </w:rPr>
  </w:style>
  <w:style w:type="character" w:styleId="Hyperlink">
    <w:name w:val="Hyperlink"/>
    <w:basedOn w:val="DefaultParagraphFont"/>
    <w:uiPriority w:val="99"/>
    <w:unhideWhenUsed/>
    <w:rsid w:val="009F60FE"/>
    <w:rPr>
      <w:color w:val="004B85" w:themeColor="text2"/>
      <w:u w:val="single"/>
    </w:rPr>
  </w:style>
  <w:style w:type="paragraph" w:styleId="BalloonText">
    <w:name w:val="Balloon Text"/>
    <w:basedOn w:val="Normal"/>
    <w:link w:val="BalloonTextChar"/>
    <w:uiPriority w:val="99"/>
    <w:semiHidden/>
    <w:unhideWhenUsed/>
    <w:rsid w:val="00C93A00"/>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A00"/>
    <w:rPr>
      <w:rFonts w:ascii="Times New Roman" w:hAnsi="Times New Roman" w:cs="Times New Roman"/>
      <w:spacing w:val="4"/>
      <w:sz w:val="18"/>
      <w:szCs w:val="18"/>
    </w:rPr>
  </w:style>
  <w:style w:type="paragraph" w:styleId="Revision">
    <w:name w:val="Revision"/>
    <w:hidden/>
    <w:uiPriority w:val="99"/>
    <w:semiHidden/>
    <w:rsid w:val="009F60FE"/>
    <w:pPr>
      <w:spacing w:after="0" w:line="240" w:lineRule="auto"/>
    </w:pPr>
    <w:rPr>
      <w:spacing w:val="4"/>
      <w:sz w:val="17"/>
    </w:rPr>
  </w:style>
  <w:style w:type="character" w:styleId="FollowedHyperlink">
    <w:name w:val="FollowedHyperlink"/>
    <w:basedOn w:val="DefaultParagraphFont"/>
    <w:uiPriority w:val="99"/>
    <w:semiHidden/>
    <w:unhideWhenUsed/>
    <w:rsid w:val="009F60FE"/>
    <w:rPr>
      <w:color w:val="004B85" w:themeColor="text2"/>
      <w:u w:val="single"/>
    </w:rPr>
  </w:style>
  <w:style w:type="character" w:styleId="CommentReference">
    <w:name w:val="annotation reference"/>
    <w:basedOn w:val="DefaultParagraphFont"/>
    <w:uiPriority w:val="99"/>
    <w:semiHidden/>
    <w:unhideWhenUsed/>
    <w:rsid w:val="00440E73"/>
    <w:rPr>
      <w:sz w:val="16"/>
      <w:szCs w:val="16"/>
    </w:rPr>
  </w:style>
  <w:style w:type="paragraph" w:styleId="CommentText">
    <w:name w:val="annotation text"/>
    <w:basedOn w:val="Normal"/>
    <w:link w:val="CommentTextChar"/>
    <w:uiPriority w:val="99"/>
    <w:semiHidden/>
    <w:unhideWhenUsed/>
    <w:rsid w:val="00440E73"/>
    <w:pPr>
      <w:spacing w:line="240" w:lineRule="auto"/>
    </w:pPr>
    <w:rPr>
      <w:sz w:val="20"/>
    </w:rPr>
  </w:style>
  <w:style w:type="character" w:customStyle="1" w:styleId="CommentTextChar">
    <w:name w:val="Comment Text Char"/>
    <w:basedOn w:val="DefaultParagraphFont"/>
    <w:link w:val="CommentText"/>
    <w:uiPriority w:val="99"/>
    <w:semiHidden/>
    <w:rsid w:val="00440E73"/>
    <w:rPr>
      <w:spacing w:val="4"/>
    </w:rPr>
  </w:style>
  <w:style w:type="paragraph" w:styleId="CommentSubject">
    <w:name w:val="annotation subject"/>
    <w:basedOn w:val="CommentText"/>
    <w:next w:val="CommentText"/>
    <w:link w:val="CommentSubjectChar"/>
    <w:uiPriority w:val="99"/>
    <w:semiHidden/>
    <w:unhideWhenUsed/>
    <w:rsid w:val="00440E73"/>
    <w:rPr>
      <w:b/>
      <w:bCs/>
    </w:rPr>
  </w:style>
  <w:style w:type="character" w:customStyle="1" w:styleId="CommentSubjectChar">
    <w:name w:val="Comment Subject Char"/>
    <w:basedOn w:val="CommentTextChar"/>
    <w:link w:val="CommentSubject"/>
    <w:uiPriority w:val="99"/>
    <w:semiHidden/>
    <w:rsid w:val="00440E73"/>
    <w:rPr>
      <w:b/>
      <w:bCs/>
      <w:spacing w:val="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4CF0"/>
    <w:pPr>
      <w:spacing w:before="120" w:after="120" w:line="220" w:lineRule="atLeast"/>
    </w:pPr>
    <w:rPr>
      <w:spacing w:val="4"/>
      <w:sz w:val="17"/>
    </w:rPr>
  </w:style>
  <w:style w:type="paragraph" w:styleId="Heading1">
    <w:name w:val="heading 1"/>
    <w:basedOn w:val="Normal"/>
    <w:next w:val="Normal"/>
    <w:link w:val="Heading1Char"/>
    <w:uiPriority w:val="9"/>
    <w:qFormat/>
    <w:rsid w:val="00FF040C"/>
    <w:pPr>
      <w:keepNext/>
      <w:keepLines/>
      <w:spacing w:before="36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96778"/>
    <w:pPr>
      <w:keepNext/>
      <w:keepLines/>
      <w:spacing w:before="360"/>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unhideWhenUsed/>
    <w:qFormat/>
    <w:rsid w:val="009F60FE"/>
    <w:pPr>
      <w:spacing w:before="240" w:after="60" w:line="240" w:lineRule="auto"/>
      <w:outlineLvl w:val="2"/>
    </w:pPr>
    <w:rPr>
      <w:rFonts w:cstheme="minorHAnsi"/>
      <w:b/>
      <w:szCs w:val="18"/>
    </w:rPr>
  </w:style>
  <w:style w:type="paragraph" w:styleId="Heading4">
    <w:name w:val="heading 4"/>
    <w:basedOn w:val="Normal"/>
    <w:next w:val="Normal"/>
    <w:link w:val="Heading4Char"/>
    <w:uiPriority w:val="9"/>
    <w:semiHidden/>
    <w:unhideWhenUsed/>
    <w:qFormat/>
    <w:rsid w:val="00FF040C"/>
    <w:pPr>
      <w:keepNext/>
      <w:keepLines/>
      <w:spacing w:before="24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40C"/>
    <w:rPr>
      <w:rFonts w:asciiTheme="majorHAnsi" w:eastAsiaTheme="majorEastAsia" w:hAnsiTheme="majorHAnsi" w:cstheme="majorBidi"/>
      <w:b/>
      <w:spacing w:val="4"/>
      <w:sz w:val="32"/>
      <w:szCs w:val="32"/>
    </w:rPr>
  </w:style>
  <w:style w:type="character" w:customStyle="1" w:styleId="Heading2Char">
    <w:name w:val="Heading 2 Char"/>
    <w:basedOn w:val="DefaultParagraphFont"/>
    <w:link w:val="Heading2"/>
    <w:uiPriority w:val="9"/>
    <w:rsid w:val="00D96778"/>
    <w:rPr>
      <w:rFonts w:asciiTheme="majorHAnsi" w:eastAsiaTheme="majorEastAsia" w:hAnsiTheme="majorHAnsi" w:cstheme="majorBidi"/>
      <w:b/>
      <w:spacing w:val="4"/>
      <w:sz w:val="22"/>
      <w:szCs w:val="26"/>
    </w:rPr>
  </w:style>
  <w:style w:type="character" w:customStyle="1" w:styleId="Heading3Char">
    <w:name w:val="Heading 3 Char"/>
    <w:basedOn w:val="DefaultParagraphFont"/>
    <w:link w:val="Heading3"/>
    <w:uiPriority w:val="9"/>
    <w:rsid w:val="009F60FE"/>
    <w:rPr>
      <w:rFonts w:cstheme="minorHAnsi"/>
      <w:b/>
      <w:spacing w:val="4"/>
      <w:sz w:val="17"/>
      <w:szCs w:val="18"/>
    </w:rPr>
  </w:style>
  <w:style w:type="character" w:customStyle="1" w:styleId="Heading4Char">
    <w:name w:val="Heading 4 Char"/>
    <w:basedOn w:val="DefaultParagraphFont"/>
    <w:link w:val="Heading4"/>
    <w:uiPriority w:val="9"/>
    <w:semiHidden/>
    <w:rsid w:val="00FF040C"/>
    <w:rPr>
      <w:rFonts w:asciiTheme="majorHAnsi" w:eastAsiaTheme="majorEastAsia" w:hAnsiTheme="majorHAnsi" w:cstheme="majorBidi"/>
      <w:b/>
      <w:iCs/>
      <w:spacing w:val="4"/>
    </w:rPr>
  </w:style>
  <w:style w:type="table" w:styleId="TableGrid">
    <w:name w:val="Table Grid"/>
    <w:basedOn w:val="TableNormal"/>
    <w:uiPriority w:val="39"/>
    <w:rsid w:val="00F20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5A30C5"/>
    <w:pPr>
      <w:spacing w:after="0" w:line="240" w:lineRule="auto"/>
    </w:pPr>
    <w:tblPr>
      <w:tblInd w:w="0" w:type="dxa"/>
      <w:tblCellMar>
        <w:top w:w="0" w:type="dxa"/>
        <w:left w:w="108" w:type="dxa"/>
        <w:bottom w:w="0" w:type="dxa"/>
        <w:right w:w="108" w:type="dxa"/>
      </w:tblCellMar>
    </w:tblPr>
    <w:tblStylePr w:type="firstRow">
      <w:pPr>
        <w:wordWrap/>
        <w:spacing w:beforeLines="60" w:before="60" w:beforeAutospacing="0" w:afterLines="60" w:after="60" w:afterAutospacing="0" w:line="240" w:lineRule="atLeast"/>
        <w:contextualSpacing w:val="0"/>
      </w:pPr>
      <w:rPr>
        <w:b/>
      </w:rPr>
      <w:tblPr/>
      <w:tcPr>
        <w:tcBorders>
          <w:bottom w:val="single" w:sz="4" w:space="0" w:color="auto"/>
        </w:tcBorders>
      </w:tcPr>
    </w:tblStylePr>
  </w:style>
  <w:style w:type="paragraph" w:styleId="ListParagraph">
    <w:name w:val="List Paragraph"/>
    <w:basedOn w:val="Normal"/>
    <w:uiPriority w:val="34"/>
    <w:qFormat/>
    <w:rsid w:val="0027123B"/>
    <w:pPr>
      <w:ind w:left="720"/>
      <w:contextualSpacing/>
    </w:pPr>
  </w:style>
  <w:style w:type="paragraph" w:styleId="Header">
    <w:name w:val="header"/>
    <w:basedOn w:val="Normal"/>
    <w:link w:val="HeaderChar"/>
    <w:uiPriority w:val="99"/>
    <w:unhideWhenUsed/>
    <w:rsid w:val="002E081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E081E"/>
  </w:style>
  <w:style w:type="paragraph" w:styleId="Footer">
    <w:name w:val="footer"/>
    <w:basedOn w:val="Normal"/>
    <w:link w:val="FooterChar"/>
    <w:uiPriority w:val="99"/>
    <w:unhideWhenUsed/>
    <w:rsid w:val="002E08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E081E"/>
  </w:style>
  <w:style w:type="paragraph" w:styleId="NoSpacing">
    <w:name w:val="No Spacing"/>
    <w:uiPriority w:val="1"/>
    <w:qFormat/>
    <w:rsid w:val="002E081E"/>
    <w:pPr>
      <w:spacing w:after="0" w:line="240" w:lineRule="auto"/>
    </w:pPr>
  </w:style>
  <w:style w:type="paragraph" w:customStyle="1" w:styleId="Subtitles">
    <w:name w:val="Subtitles"/>
    <w:basedOn w:val="Normal"/>
    <w:link w:val="SubtitlesChar"/>
    <w:qFormat/>
    <w:rsid w:val="00D25263"/>
    <w:pPr>
      <w:spacing w:before="60" w:after="60" w:line="200" w:lineRule="atLeast"/>
    </w:pPr>
    <w:rPr>
      <w:i/>
      <w:color w:val="595959" w:themeColor="text1" w:themeTint="A6"/>
      <w:sz w:val="16"/>
      <w:szCs w:val="16"/>
    </w:rPr>
  </w:style>
  <w:style w:type="character" w:customStyle="1" w:styleId="SubtitlesChar">
    <w:name w:val="Subtitles Char"/>
    <w:basedOn w:val="DefaultParagraphFont"/>
    <w:link w:val="Subtitles"/>
    <w:rsid w:val="00D25263"/>
    <w:rPr>
      <w:i/>
      <w:color w:val="595959" w:themeColor="text1" w:themeTint="A6"/>
      <w:spacing w:val="2"/>
      <w:sz w:val="16"/>
      <w:szCs w:val="16"/>
    </w:rPr>
  </w:style>
  <w:style w:type="character" w:styleId="Hyperlink">
    <w:name w:val="Hyperlink"/>
    <w:basedOn w:val="DefaultParagraphFont"/>
    <w:uiPriority w:val="99"/>
    <w:unhideWhenUsed/>
    <w:rsid w:val="009F60FE"/>
    <w:rPr>
      <w:color w:val="004B85" w:themeColor="text2"/>
      <w:u w:val="single"/>
    </w:rPr>
  </w:style>
  <w:style w:type="paragraph" w:styleId="BalloonText">
    <w:name w:val="Balloon Text"/>
    <w:basedOn w:val="Normal"/>
    <w:link w:val="BalloonTextChar"/>
    <w:uiPriority w:val="99"/>
    <w:semiHidden/>
    <w:unhideWhenUsed/>
    <w:rsid w:val="00C93A00"/>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A00"/>
    <w:rPr>
      <w:rFonts w:ascii="Times New Roman" w:hAnsi="Times New Roman" w:cs="Times New Roman"/>
      <w:spacing w:val="4"/>
      <w:sz w:val="18"/>
      <w:szCs w:val="18"/>
    </w:rPr>
  </w:style>
  <w:style w:type="paragraph" w:styleId="Revision">
    <w:name w:val="Revision"/>
    <w:hidden/>
    <w:uiPriority w:val="99"/>
    <w:semiHidden/>
    <w:rsid w:val="009F60FE"/>
    <w:pPr>
      <w:spacing w:after="0" w:line="240" w:lineRule="auto"/>
    </w:pPr>
    <w:rPr>
      <w:spacing w:val="4"/>
      <w:sz w:val="17"/>
    </w:rPr>
  </w:style>
  <w:style w:type="character" w:styleId="FollowedHyperlink">
    <w:name w:val="FollowedHyperlink"/>
    <w:basedOn w:val="DefaultParagraphFont"/>
    <w:uiPriority w:val="99"/>
    <w:semiHidden/>
    <w:unhideWhenUsed/>
    <w:rsid w:val="009F60FE"/>
    <w:rPr>
      <w:color w:val="004B85" w:themeColor="text2"/>
      <w:u w:val="single"/>
    </w:rPr>
  </w:style>
  <w:style w:type="character" w:styleId="CommentReference">
    <w:name w:val="annotation reference"/>
    <w:basedOn w:val="DefaultParagraphFont"/>
    <w:uiPriority w:val="99"/>
    <w:semiHidden/>
    <w:unhideWhenUsed/>
    <w:rsid w:val="00440E73"/>
    <w:rPr>
      <w:sz w:val="16"/>
      <w:szCs w:val="16"/>
    </w:rPr>
  </w:style>
  <w:style w:type="paragraph" w:styleId="CommentText">
    <w:name w:val="annotation text"/>
    <w:basedOn w:val="Normal"/>
    <w:link w:val="CommentTextChar"/>
    <w:uiPriority w:val="99"/>
    <w:semiHidden/>
    <w:unhideWhenUsed/>
    <w:rsid w:val="00440E73"/>
    <w:pPr>
      <w:spacing w:line="240" w:lineRule="auto"/>
    </w:pPr>
    <w:rPr>
      <w:sz w:val="20"/>
    </w:rPr>
  </w:style>
  <w:style w:type="character" w:customStyle="1" w:styleId="CommentTextChar">
    <w:name w:val="Comment Text Char"/>
    <w:basedOn w:val="DefaultParagraphFont"/>
    <w:link w:val="CommentText"/>
    <w:uiPriority w:val="99"/>
    <w:semiHidden/>
    <w:rsid w:val="00440E73"/>
    <w:rPr>
      <w:spacing w:val="4"/>
    </w:rPr>
  </w:style>
  <w:style w:type="paragraph" w:styleId="CommentSubject">
    <w:name w:val="annotation subject"/>
    <w:basedOn w:val="CommentText"/>
    <w:next w:val="CommentText"/>
    <w:link w:val="CommentSubjectChar"/>
    <w:uiPriority w:val="99"/>
    <w:semiHidden/>
    <w:unhideWhenUsed/>
    <w:rsid w:val="00440E73"/>
    <w:rPr>
      <w:b/>
      <w:bCs/>
    </w:rPr>
  </w:style>
  <w:style w:type="character" w:customStyle="1" w:styleId="CommentSubjectChar">
    <w:name w:val="Comment Subject Char"/>
    <w:basedOn w:val="CommentTextChar"/>
    <w:link w:val="CommentSubject"/>
    <w:uiPriority w:val="99"/>
    <w:semiHidden/>
    <w:rsid w:val="00440E73"/>
    <w:rPr>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9" Type="http://schemas.microsoft.com/office/2011/relationships/commentsExtended" Target="commentsExtended.xml"/><Relationship Id="rId20" Type="http://schemas.microsoft.com/office/2016/09/relationships/commentsIds" Target="commentsIds.xml"/><Relationship Id="rId10" Type="http://schemas.openxmlformats.org/officeDocument/2006/relationships/header" Target="header1.xml"/><Relationship Id="rId11" Type="http://schemas.openxmlformats.org/officeDocument/2006/relationships/image" Target="media/image2.jpg"/><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cu.edu.au/__data/assets/pdf_file/0019/760510/DAIP-2016-2021-FINAL.pdf" TargetMode="External"/><Relationship Id="rId9" Type="http://schemas.openxmlformats.org/officeDocument/2006/relationships/hyperlink" Target="http://www.ecu.edu.au/about-ecu/indigenous-matters/reconciliation-action-pl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CU Theme">
  <a:themeElements>
    <a:clrScheme name="ECU Colours">
      <a:dk1>
        <a:sysClr val="windowText" lastClr="000000"/>
      </a:dk1>
      <a:lt1>
        <a:sysClr val="window" lastClr="FFFFFF"/>
      </a:lt1>
      <a:dk2>
        <a:srgbClr val="004B85"/>
      </a:dk2>
      <a:lt2>
        <a:srgbClr val="F2F2F2"/>
      </a:lt2>
      <a:accent1>
        <a:srgbClr val="BF2F37"/>
      </a:accent1>
      <a:accent2>
        <a:srgbClr val="FEC558"/>
      </a:accent2>
      <a:accent3>
        <a:srgbClr val="0077AF"/>
      </a:accent3>
      <a:accent4>
        <a:srgbClr val="5B6F1E"/>
      </a:accent4>
      <a:accent5>
        <a:srgbClr val="7B3350"/>
      </a:accent5>
      <a:accent6>
        <a:srgbClr val="338288"/>
      </a:accent6>
      <a:hlink>
        <a:srgbClr val="004B85"/>
      </a:hlink>
      <a:folHlink>
        <a:srgbClr val="7B335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JARVIS</dc:creator>
  <cp:keywords/>
  <dc:description/>
  <cp:lastModifiedBy>Annabel Pizzata</cp:lastModifiedBy>
  <cp:revision>3</cp:revision>
  <dcterms:created xsi:type="dcterms:W3CDTF">2019-03-11T08:12:00Z</dcterms:created>
  <dcterms:modified xsi:type="dcterms:W3CDTF">2019-03-18T06:29:00Z</dcterms:modified>
</cp:coreProperties>
</file>