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E9" w:rsidRPr="00281D12" w:rsidRDefault="006F69E9" w:rsidP="006F69E9">
      <w:pPr>
        <w:pStyle w:val="Heading1"/>
        <w:tabs>
          <w:tab w:val="left" w:pos="993"/>
        </w:tabs>
        <w:rPr>
          <w:sz w:val="24"/>
          <w:szCs w:val="24"/>
        </w:rPr>
      </w:pPr>
      <w:r w:rsidRPr="003C7EA2">
        <w:rPr>
          <w:sz w:val="24"/>
          <w:szCs w:val="24"/>
        </w:rPr>
        <w:t>AC</w:t>
      </w:r>
      <w:r>
        <w:rPr>
          <w:sz w:val="24"/>
          <w:szCs w:val="24"/>
        </w:rPr>
        <w:t>CESS AND PARTICIPATION PLAN 2019</w:t>
      </w:r>
      <w:r>
        <w:rPr>
          <w:sz w:val="24"/>
          <w:szCs w:val="24"/>
        </w:rPr>
        <w:tab/>
      </w:r>
      <w:r w:rsidRPr="003C7EA2">
        <w:rPr>
          <w:sz w:val="24"/>
          <w:szCs w:val="24"/>
        </w:rPr>
        <w:t>Curtin University</w:t>
      </w:r>
    </w:p>
    <w:p w:rsidR="006F69E9" w:rsidRDefault="006F69E9" w:rsidP="006F69E9">
      <w:pPr>
        <w:spacing w:line="240" w:lineRule="auto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The Curtin University </w:t>
      </w:r>
      <w:r w:rsidRPr="003C7EA2">
        <w:rPr>
          <w:rFonts w:cstheme="minorHAnsi"/>
          <w:i/>
          <w:sz w:val="24"/>
          <w:szCs w:val="24"/>
        </w:rPr>
        <w:t xml:space="preserve">Access and Participation Plan </w:t>
      </w:r>
      <w:r>
        <w:rPr>
          <w:rFonts w:cstheme="minorHAnsi"/>
          <w:i/>
          <w:sz w:val="24"/>
          <w:szCs w:val="24"/>
        </w:rPr>
        <w:t>2019</w:t>
      </w:r>
      <w:r w:rsidRPr="003C7EA2">
        <w:rPr>
          <w:rFonts w:cstheme="minorHAnsi"/>
          <w:sz w:val="24"/>
          <w:szCs w:val="24"/>
        </w:rPr>
        <w:t xml:space="preserve"> </w:t>
      </w:r>
      <w:r w:rsidR="009B6D31">
        <w:rPr>
          <w:rFonts w:cstheme="minorHAnsi"/>
          <w:sz w:val="24"/>
          <w:szCs w:val="24"/>
        </w:rPr>
        <w:t xml:space="preserve">(The Plan) </w:t>
      </w:r>
      <w:r w:rsidR="00A11FE1">
        <w:rPr>
          <w:rFonts w:cstheme="minorHAnsi"/>
          <w:sz w:val="24"/>
          <w:szCs w:val="24"/>
        </w:rPr>
        <w:t xml:space="preserve">provides a </w:t>
      </w:r>
      <w:r w:rsidRPr="003C7EA2">
        <w:rPr>
          <w:rFonts w:cstheme="minorHAnsi"/>
          <w:sz w:val="24"/>
          <w:szCs w:val="24"/>
        </w:rPr>
        <w:t xml:space="preserve">framework </w:t>
      </w:r>
      <w:r>
        <w:rPr>
          <w:rFonts w:cstheme="minorHAnsi"/>
          <w:sz w:val="24"/>
          <w:szCs w:val="24"/>
        </w:rPr>
        <w:t>for progressing</w:t>
      </w:r>
      <w:r w:rsidRPr="003C7EA2">
        <w:rPr>
          <w:rFonts w:cstheme="minorHAnsi"/>
          <w:sz w:val="24"/>
          <w:szCs w:val="24"/>
        </w:rPr>
        <w:t xml:space="preserve"> student </w:t>
      </w:r>
      <w:r>
        <w:rPr>
          <w:rFonts w:cstheme="minorHAnsi"/>
          <w:sz w:val="24"/>
          <w:szCs w:val="24"/>
        </w:rPr>
        <w:t xml:space="preserve">diversity, </w:t>
      </w:r>
      <w:r w:rsidRPr="003C7EA2">
        <w:rPr>
          <w:rFonts w:cstheme="minorHAnsi"/>
          <w:sz w:val="24"/>
          <w:szCs w:val="24"/>
        </w:rPr>
        <w:t xml:space="preserve">equity, </w:t>
      </w:r>
      <w:r>
        <w:rPr>
          <w:rFonts w:cstheme="minorHAnsi"/>
          <w:sz w:val="24"/>
          <w:szCs w:val="24"/>
        </w:rPr>
        <w:t>and inclusion</w:t>
      </w:r>
      <w:r w:rsidRPr="003C7EA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The</w:t>
      </w:r>
      <w:r w:rsidRPr="003C7EA2">
        <w:rPr>
          <w:rFonts w:cstheme="minorHAnsi"/>
          <w:sz w:val="24"/>
          <w:szCs w:val="24"/>
        </w:rPr>
        <w:t xml:space="preserve"> Plan is underpinned by Curtin’s Value of “Respect” and Signature Behaviour of “valuing diversity and promoting equity and inclusion”, and is embedded within Curtin’s </w:t>
      </w:r>
      <w:r w:rsidRPr="003C7EA2">
        <w:rPr>
          <w:rFonts w:cstheme="minorHAnsi"/>
          <w:i/>
          <w:iCs/>
          <w:sz w:val="24"/>
          <w:szCs w:val="24"/>
        </w:rPr>
        <w:t xml:space="preserve">Strategic Plan 2017-2020 </w:t>
      </w:r>
      <w:r w:rsidRPr="003C7EA2">
        <w:rPr>
          <w:rFonts w:cstheme="minorHAnsi"/>
          <w:iCs/>
          <w:sz w:val="24"/>
          <w:szCs w:val="24"/>
        </w:rPr>
        <w:t>in which the University states its intent to</w:t>
      </w:r>
      <w:r w:rsidRPr="003C7EA2">
        <w:rPr>
          <w:rFonts w:cstheme="minorHAnsi"/>
          <w:i/>
          <w:iCs/>
          <w:sz w:val="24"/>
          <w:szCs w:val="24"/>
        </w:rPr>
        <w:t xml:space="preserve"> “be a university of choice for a diver</w:t>
      </w:r>
      <w:r>
        <w:rPr>
          <w:rFonts w:cstheme="minorHAnsi"/>
          <w:i/>
          <w:iCs/>
          <w:sz w:val="24"/>
          <w:szCs w:val="24"/>
        </w:rPr>
        <w:t>se range of students, including</w:t>
      </w:r>
      <w:r w:rsidRPr="003C7EA2">
        <w:rPr>
          <w:rFonts w:cstheme="minorHAnsi"/>
          <w:i/>
          <w:iCs/>
          <w:sz w:val="24"/>
          <w:szCs w:val="24"/>
        </w:rPr>
        <w:t xml:space="preserve"> high achievers and those from disadvantaged backgrounds”.</w:t>
      </w:r>
      <w:r w:rsidRPr="003C7E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The Plan aligns to </w:t>
      </w:r>
      <w:r w:rsidR="00A11FE1">
        <w:rPr>
          <w:rFonts w:cstheme="minorHAnsi"/>
          <w:iCs/>
          <w:sz w:val="24"/>
          <w:szCs w:val="24"/>
        </w:rPr>
        <w:t>Curtin’s</w:t>
      </w:r>
      <w:r>
        <w:rPr>
          <w:rFonts w:cstheme="minorHAnsi"/>
          <w:iCs/>
          <w:sz w:val="24"/>
          <w:szCs w:val="24"/>
        </w:rPr>
        <w:t xml:space="preserve"> </w:t>
      </w:r>
      <w:r w:rsidRPr="00E54ED7">
        <w:rPr>
          <w:rFonts w:cstheme="minorHAnsi"/>
          <w:i/>
          <w:iCs/>
          <w:sz w:val="24"/>
          <w:szCs w:val="24"/>
        </w:rPr>
        <w:t>Diversity and Equity Strategy</w:t>
      </w:r>
      <w:r w:rsidR="00733D50">
        <w:rPr>
          <w:rFonts w:cstheme="minorHAnsi"/>
          <w:i/>
          <w:iCs/>
          <w:sz w:val="24"/>
          <w:szCs w:val="24"/>
        </w:rPr>
        <w:t xml:space="preserve"> 2018-2020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A11FE1">
        <w:rPr>
          <w:rFonts w:cstheme="minorHAnsi"/>
          <w:iCs/>
          <w:sz w:val="24"/>
          <w:szCs w:val="24"/>
        </w:rPr>
        <w:t>the overarching</w:t>
      </w:r>
      <w:r w:rsidRPr="003C7EA2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framework for </w:t>
      </w:r>
      <w:r w:rsidR="00A11FE1">
        <w:rPr>
          <w:rFonts w:cstheme="minorHAnsi"/>
          <w:iCs/>
          <w:sz w:val="24"/>
          <w:szCs w:val="24"/>
        </w:rPr>
        <w:t xml:space="preserve">the </w:t>
      </w:r>
      <w:r>
        <w:rPr>
          <w:rFonts w:cstheme="minorHAnsi"/>
          <w:iCs/>
          <w:sz w:val="24"/>
          <w:szCs w:val="24"/>
        </w:rPr>
        <w:t>promot</w:t>
      </w:r>
      <w:r w:rsidR="00A11FE1">
        <w:rPr>
          <w:rFonts w:cstheme="minorHAnsi"/>
          <w:iCs/>
          <w:sz w:val="24"/>
          <w:szCs w:val="24"/>
        </w:rPr>
        <w:t>ion</w:t>
      </w:r>
      <w:r w:rsidR="00733D50">
        <w:rPr>
          <w:rFonts w:cstheme="minorHAnsi"/>
          <w:iCs/>
          <w:sz w:val="24"/>
          <w:szCs w:val="24"/>
        </w:rPr>
        <w:t xml:space="preserve"> diversity and</w:t>
      </w:r>
      <w:r>
        <w:rPr>
          <w:rFonts w:cstheme="minorHAnsi"/>
          <w:iCs/>
          <w:sz w:val="24"/>
          <w:szCs w:val="24"/>
        </w:rPr>
        <w:t xml:space="preserve"> inclusion.  </w:t>
      </w:r>
      <w:r w:rsidRPr="003C7EA2">
        <w:rPr>
          <w:rFonts w:cstheme="minorHAnsi"/>
          <w:sz w:val="24"/>
          <w:szCs w:val="24"/>
        </w:rPr>
        <w:t xml:space="preserve">The </w:t>
      </w:r>
      <w:r w:rsidRPr="003567E9">
        <w:rPr>
          <w:rFonts w:cstheme="minorHAnsi"/>
          <w:sz w:val="24"/>
          <w:szCs w:val="24"/>
        </w:rPr>
        <w:t>Plan</w:t>
      </w:r>
      <w:r w:rsidRPr="003C7EA2">
        <w:rPr>
          <w:rFonts w:cstheme="minorHAnsi"/>
          <w:sz w:val="24"/>
          <w:szCs w:val="24"/>
        </w:rPr>
        <w:t xml:space="preserve"> addresses </w:t>
      </w:r>
      <w:r>
        <w:rPr>
          <w:rFonts w:cstheme="minorHAnsi"/>
          <w:sz w:val="24"/>
          <w:szCs w:val="24"/>
        </w:rPr>
        <w:t xml:space="preserve">all </w:t>
      </w:r>
      <w:r w:rsidRPr="003C7EA2">
        <w:rPr>
          <w:rFonts w:cstheme="minorHAnsi"/>
          <w:sz w:val="24"/>
          <w:szCs w:val="24"/>
        </w:rPr>
        <w:t>stage</w:t>
      </w:r>
      <w:r>
        <w:rPr>
          <w:rFonts w:cstheme="minorHAnsi"/>
          <w:sz w:val="24"/>
          <w:szCs w:val="24"/>
        </w:rPr>
        <w:t>s in the student life cycle</w:t>
      </w:r>
      <w:r w:rsidR="00A11FE1">
        <w:rPr>
          <w:rFonts w:cstheme="minorHAnsi"/>
          <w:sz w:val="24"/>
          <w:szCs w:val="24"/>
        </w:rPr>
        <w:t>,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articulating the </w:t>
      </w:r>
      <w:r w:rsidRPr="003C7EA2">
        <w:rPr>
          <w:rFonts w:cstheme="minorHAnsi"/>
          <w:sz w:val="24"/>
          <w:szCs w:val="24"/>
        </w:rPr>
        <w:t>key</w:t>
      </w:r>
      <w:r w:rsidRPr="003C7EA2">
        <w:rPr>
          <w:rFonts w:cstheme="minorHAnsi"/>
          <w:b/>
          <w:sz w:val="24"/>
          <w:szCs w:val="24"/>
        </w:rPr>
        <w:t xml:space="preserve"> </w:t>
      </w:r>
      <w:r w:rsidRPr="003C7EA2">
        <w:rPr>
          <w:rFonts w:cstheme="minorHAnsi"/>
          <w:sz w:val="24"/>
          <w:szCs w:val="24"/>
        </w:rPr>
        <w:t>activities at each stage</w:t>
      </w:r>
      <w:r>
        <w:rPr>
          <w:rFonts w:cstheme="minorHAnsi"/>
          <w:sz w:val="24"/>
          <w:szCs w:val="24"/>
        </w:rPr>
        <w:t>, and sets out</w:t>
      </w:r>
      <w:r w:rsidRPr="003C7EA2">
        <w:rPr>
          <w:rFonts w:cstheme="minorHAnsi"/>
          <w:sz w:val="24"/>
          <w:szCs w:val="24"/>
        </w:rPr>
        <w:t xml:space="preserve"> how Curtin will meet its obligations </w:t>
      </w:r>
      <w:r>
        <w:rPr>
          <w:rFonts w:cstheme="minorHAnsi"/>
          <w:sz w:val="24"/>
          <w:szCs w:val="24"/>
        </w:rPr>
        <w:t>under</w:t>
      </w:r>
      <w:r w:rsidRPr="003C7EA2">
        <w:rPr>
          <w:rFonts w:cstheme="minorHAnsi"/>
          <w:sz w:val="24"/>
          <w:szCs w:val="24"/>
        </w:rPr>
        <w:t xml:space="preserve"> State and Federal equity legislation and policy including expenditure of Higher Education Participation and Partnerships Program</w:t>
      </w:r>
      <w:r>
        <w:rPr>
          <w:rFonts w:cstheme="minorHAnsi"/>
          <w:sz w:val="24"/>
          <w:szCs w:val="24"/>
        </w:rPr>
        <w:t xml:space="preserve"> funding</w:t>
      </w:r>
      <w:r w:rsidRPr="003C7EA2">
        <w:rPr>
          <w:rFonts w:cstheme="minorHAnsi"/>
          <w:sz w:val="24"/>
          <w:szCs w:val="24"/>
        </w:rPr>
        <w:t>.</w:t>
      </w:r>
    </w:p>
    <w:p w:rsidR="006F69E9" w:rsidRDefault="006F69E9" w:rsidP="006F69E9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E4334">
        <w:rPr>
          <w:rFonts w:cstheme="minorHAnsi"/>
          <w:b/>
          <w:sz w:val="24"/>
          <w:szCs w:val="24"/>
        </w:rPr>
        <w:t>Equity Outcomes</w:t>
      </w:r>
    </w:p>
    <w:p w:rsidR="006F69E9" w:rsidRPr="00A11FE1" w:rsidRDefault="006F69E9" w:rsidP="006F69E9">
      <w:pPr>
        <w:pStyle w:val="ListParagraph"/>
        <w:ind w:left="360"/>
        <w:rPr>
          <w:rFonts w:cstheme="minorHAnsi"/>
          <w:b/>
          <w:szCs w:val="24"/>
        </w:rPr>
      </w:pPr>
    </w:p>
    <w:p w:rsidR="006F69E9" w:rsidRPr="003C7EA2" w:rsidRDefault="006F69E9" w:rsidP="006F69E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>Pre-access (outreach to schools and communities)</w:t>
      </w:r>
    </w:p>
    <w:p w:rsidR="006F69E9" w:rsidRPr="003C7EA2" w:rsidRDefault="006F69E9" w:rsidP="006F69E9">
      <w:pPr>
        <w:ind w:firstLine="360"/>
        <w:rPr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Attract</w:t>
      </w:r>
      <w:r w:rsidRPr="003C7EA2">
        <w:rPr>
          <w:rFonts w:ascii="Calibri" w:hAnsi="Calibri" w:cs="Times New Roman"/>
          <w:i/>
          <w:iCs/>
          <w:sz w:val="24"/>
          <w:szCs w:val="24"/>
        </w:rPr>
        <w:t xml:space="preserve"> </w:t>
      </w:r>
      <w:r w:rsidRPr="003C7EA2">
        <w:rPr>
          <w:rFonts w:ascii="Calibri" w:hAnsi="Calibri" w:cs="Times New Roman"/>
          <w:sz w:val="24"/>
          <w:szCs w:val="24"/>
        </w:rPr>
        <w:t>students from identified equity target groups to Higher Education</w:t>
      </w:r>
      <w:r>
        <w:rPr>
          <w:rFonts w:ascii="Calibri" w:hAnsi="Calibri" w:cs="Times New Roman"/>
          <w:sz w:val="24"/>
          <w:szCs w:val="24"/>
        </w:rPr>
        <w:t xml:space="preserve"> (HE)</w:t>
      </w:r>
      <w:r w:rsidRPr="003C7EA2">
        <w:rPr>
          <w:rFonts w:ascii="Calibri" w:hAnsi="Calibri" w:cs="Times New Roman"/>
          <w:sz w:val="24"/>
          <w:szCs w:val="24"/>
        </w:rPr>
        <w:t xml:space="preserve">, by: </w:t>
      </w:r>
    </w:p>
    <w:p w:rsidR="006F69E9" w:rsidRPr="003C7EA2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Developing positive attitudes towards HE and inspirational leadership in Indigenous, regional and school and mature age Low Socio- Economic Status (LSES) communities; </w:t>
      </w:r>
    </w:p>
    <w:p w:rsidR="006F69E9" w:rsidRPr="003C7EA2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Increasing Indigenous, regional, and school and mature age LSES community awareness and understanding of HE as a viable post-school option; </w:t>
      </w:r>
      <w:r>
        <w:rPr>
          <w:rFonts w:cstheme="minorHAnsi"/>
          <w:sz w:val="24"/>
          <w:szCs w:val="24"/>
        </w:rPr>
        <w:t>and</w:t>
      </w:r>
    </w:p>
    <w:p w:rsidR="006F69E9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Supporting capability development of Indigenous, regional, and school and mature age LSES </w:t>
      </w:r>
      <w:proofErr w:type="gramStart"/>
      <w:r w:rsidRPr="003C7EA2">
        <w:rPr>
          <w:rFonts w:cstheme="minorHAnsi"/>
          <w:sz w:val="24"/>
          <w:szCs w:val="24"/>
        </w:rPr>
        <w:t>communities</w:t>
      </w:r>
      <w:proofErr w:type="gramEnd"/>
      <w:r w:rsidRPr="003C7EA2">
        <w:rPr>
          <w:rFonts w:cstheme="minorHAnsi"/>
          <w:sz w:val="24"/>
          <w:szCs w:val="24"/>
        </w:rPr>
        <w:t xml:space="preserve"> pre-university, where this relates to undergraduate cours</w:t>
      </w:r>
      <w:r>
        <w:rPr>
          <w:rFonts w:cstheme="minorHAnsi"/>
          <w:sz w:val="24"/>
          <w:szCs w:val="24"/>
        </w:rPr>
        <w:t>e eligibility requirements.</w:t>
      </w:r>
    </w:p>
    <w:p w:rsidR="00A11FE1" w:rsidRPr="004E0D65" w:rsidRDefault="00A11FE1" w:rsidP="00A11FE1">
      <w:pPr>
        <w:pStyle w:val="ListParagraph"/>
        <w:spacing w:after="0" w:line="240" w:lineRule="auto"/>
        <w:ind w:left="1418"/>
        <w:rPr>
          <w:rFonts w:cstheme="minorHAnsi"/>
          <w:sz w:val="24"/>
          <w:szCs w:val="24"/>
        </w:rPr>
      </w:pPr>
    </w:p>
    <w:p w:rsidR="006F69E9" w:rsidRPr="007B4AC7" w:rsidRDefault="006F69E9" w:rsidP="006F69E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7B4AC7">
        <w:rPr>
          <w:rFonts w:cstheme="minorHAnsi"/>
          <w:b/>
          <w:sz w:val="24"/>
          <w:szCs w:val="24"/>
        </w:rPr>
        <w:t>Access (pre-entry and admissions)</w:t>
      </w:r>
    </w:p>
    <w:p w:rsidR="006F69E9" w:rsidRPr="003C7EA2" w:rsidRDefault="006F69E9" w:rsidP="006F69E9">
      <w:pPr>
        <w:ind w:left="360"/>
        <w:rPr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Enrol</w:t>
      </w:r>
      <w:r w:rsidRPr="003C7EA2">
        <w:rPr>
          <w:rFonts w:ascii="Calibri" w:hAnsi="Calibri" w:cs="Times New Roman"/>
          <w:i/>
          <w:iCs/>
          <w:sz w:val="24"/>
          <w:szCs w:val="24"/>
        </w:rPr>
        <w:t xml:space="preserve"> </w:t>
      </w:r>
      <w:r w:rsidRPr="003C7EA2">
        <w:rPr>
          <w:rFonts w:ascii="Calibri" w:hAnsi="Calibri" w:cs="Times New Roman"/>
          <w:sz w:val="24"/>
          <w:szCs w:val="24"/>
        </w:rPr>
        <w:t>students from identified equity target groups</w:t>
      </w:r>
      <w:r>
        <w:rPr>
          <w:rFonts w:ascii="Calibri" w:hAnsi="Calibri" w:cs="Times New Roman"/>
          <w:sz w:val="24"/>
          <w:szCs w:val="24"/>
        </w:rPr>
        <w:t xml:space="preserve"> at Curtin University</w:t>
      </w:r>
      <w:r w:rsidRPr="003C7EA2">
        <w:rPr>
          <w:rFonts w:ascii="Calibri" w:hAnsi="Calibri" w:cs="Times New Roman"/>
          <w:sz w:val="24"/>
          <w:szCs w:val="24"/>
        </w:rPr>
        <w:t xml:space="preserve">, by: </w:t>
      </w:r>
    </w:p>
    <w:p w:rsidR="006F69E9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>Increasing applications</w:t>
      </w:r>
      <w:r>
        <w:rPr>
          <w:rFonts w:cstheme="minorHAnsi"/>
          <w:sz w:val="24"/>
          <w:szCs w:val="24"/>
        </w:rPr>
        <w:t xml:space="preserve"> to Curtin</w:t>
      </w:r>
      <w:r w:rsidRPr="003C7EA2">
        <w:rPr>
          <w:rFonts w:cstheme="minorHAnsi"/>
          <w:sz w:val="24"/>
          <w:szCs w:val="24"/>
        </w:rPr>
        <w:t xml:space="preserve"> from Indigenous, regional, and school and mature age LSES people</w:t>
      </w:r>
      <w:r>
        <w:rPr>
          <w:rFonts w:cstheme="minorHAnsi"/>
          <w:sz w:val="24"/>
          <w:szCs w:val="24"/>
        </w:rPr>
        <w:t xml:space="preserve"> through supporting people in managing and navigating the admissions process;</w:t>
      </w:r>
    </w:p>
    <w:p w:rsidR="006F69E9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Providing entry pathways and ATAR bonuses; and</w:t>
      </w:r>
    </w:p>
    <w:p w:rsidR="006F69E9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Providing Enabling Programs.</w:t>
      </w:r>
    </w:p>
    <w:p w:rsidR="006F69E9" w:rsidRPr="0038211C" w:rsidRDefault="006F69E9" w:rsidP="006F69E9">
      <w:pPr>
        <w:pStyle w:val="ListParagraph"/>
        <w:spacing w:after="0" w:line="240" w:lineRule="auto"/>
        <w:ind w:left="1417"/>
        <w:contextualSpacing w:val="0"/>
        <w:rPr>
          <w:rFonts w:cstheme="minorHAnsi"/>
          <w:sz w:val="24"/>
          <w:szCs w:val="24"/>
        </w:rPr>
      </w:pPr>
    </w:p>
    <w:p w:rsidR="006F69E9" w:rsidRPr="003C7EA2" w:rsidRDefault="006F69E9" w:rsidP="006F69E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>Participation (transition and progression during studies)</w:t>
      </w:r>
    </w:p>
    <w:p w:rsidR="006F69E9" w:rsidRPr="003C7EA2" w:rsidRDefault="006F69E9" w:rsidP="006F69E9">
      <w:pPr>
        <w:ind w:left="360"/>
        <w:rPr>
          <w:sz w:val="24"/>
          <w:szCs w:val="24"/>
        </w:rPr>
      </w:pPr>
      <w:r w:rsidRPr="003C7EA2">
        <w:rPr>
          <w:rFonts w:ascii="Calibri" w:hAnsi="Calibri" w:cs="Times New Roman"/>
          <w:i/>
          <w:iCs/>
          <w:sz w:val="24"/>
          <w:szCs w:val="24"/>
        </w:rPr>
        <w:t xml:space="preserve">Retain </w:t>
      </w:r>
      <w:r w:rsidRPr="003C7EA2">
        <w:rPr>
          <w:rFonts w:ascii="Calibri" w:hAnsi="Calibri" w:cs="Times New Roman"/>
          <w:sz w:val="24"/>
          <w:szCs w:val="24"/>
        </w:rPr>
        <w:t xml:space="preserve">students from identified equity target groups, by: </w:t>
      </w:r>
    </w:p>
    <w:p w:rsidR="006F69E9" w:rsidRPr="003C7EA2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lastRenderedPageBreak/>
        <w:t xml:space="preserve">Facilitating a HE environment that is inclusive and supportive of Indigenous, external (online) and LSES students; </w:t>
      </w:r>
    </w:p>
    <w:p w:rsidR="006F69E9" w:rsidRPr="003C7EA2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Supporting Indigenous, external (online) and LSES students to succeed in their studies; and </w:t>
      </w:r>
    </w:p>
    <w:p w:rsidR="006F69E9" w:rsidRPr="003C7EA2" w:rsidRDefault="006F69E9" w:rsidP="006F69E9">
      <w:pPr>
        <w:pStyle w:val="ListParagraph"/>
        <w:numPr>
          <w:ilvl w:val="2"/>
          <w:numId w:val="1"/>
        </w:numPr>
        <w:spacing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Facilitating a positive student experience for Indigenous, external (online) and LSES students. </w:t>
      </w:r>
    </w:p>
    <w:p w:rsidR="006F69E9" w:rsidRPr="003C7EA2" w:rsidRDefault="006F69E9" w:rsidP="006F69E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 xml:space="preserve">Progress and attainment (successful completion and preparation for graduate employment). </w:t>
      </w:r>
    </w:p>
    <w:p w:rsidR="006F69E9" w:rsidRPr="003C7EA2" w:rsidRDefault="006F69E9" w:rsidP="006F69E9">
      <w:pPr>
        <w:ind w:left="360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i/>
          <w:iCs/>
          <w:sz w:val="24"/>
          <w:szCs w:val="24"/>
        </w:rPr>
        <w:t xml:space="preserve">Place </w:t>
      </w:r>
      <w:r w:rsidRPr="003C7EA2">
        <w:rPr>
          <w:rFonts w:ascii="Calibri" w:hAnsi="Calibri" w:cs="Times New Roman"/>
          <w:sz w:val="24"/>
          <w:szCs w:val="24"/>
        </w:rPr>
        <w:t>graduates from identified equity target groups</w:t>
      </w:r>
      <w:r>
        <w:rPr>
          <w:rFonts w:ascii="Calibri" w:hAnsi="Calibri" w:cs="Times New Roman"/>
          <w:sz w:val="24"/>
          <w:szCs w:val="24"/>
        </w:rPr>
        <w:t xml:space="preserve"> in employment or further study</w:t>
      </w:r>
      <w:r w:rsidRPr="003C7EA2">
        <w:rPr>
          <w:rFonts w:ascii="Calibri" w:hAnsi="Calibri" w:cs="Times New Roman"/>
          <w:sz w:val="24"/>
          <w:szCs w:val="24"/>
        </w:rPr>
        <w:t xml:space="preserve">, by: </w:t>
      </w:r>
    </w:p>
    <w:p w:rsidR="006F69E9" w:rsidRPr="003C7EA2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Supporting Indigenous, external (online) and LSES students to identify and develop realistic but aspirational goals for their studies and career; </w:t>
      </w:r>
    </w:p>
    <w:p w:rsidR="006F69E9" w:rsidRPr="003C7EA2" w:rsidRDefault="006F69E9" w:rsidP="006F69E9">
      <w:pPr>
        <w:pStyle w:val="ListParagraph"/>
        <w:numPr>
          <w:ilvl w:val="2"/>
          <w:numId w:val="1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Providing opportunities for Indigenous, external (online) and LSES students to gain practical experience related to their studies and career goals, through work integrated learning, volunteering and employment opportunities; and </w:t>
      </w:r>
    </w:p>
    <w:p w:rsidR="006F69E9" w:rsidRPr="003C7EA2" w:rsidRDefault="006F69E9" w:rsidP="006F69E9">
      <w:pPr>
        <w:pStyle w:val="ListParagraph"/>
        <w:numPr>
          <w:ilvl w:val="2"/>
          <w:numId w:val="1"/>
        </w:numPr>
        <w:spacing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>Supporting Indigenous, external (online) and LSES students to gain skills and experience that will position them as attractive to employers.</w:t>
      </w:r>
    </w:p>
    <w:p w:rsidR="006F69E9" w:rsidRPr="003C7EA2" w:rsidRDefault="006F69E9" w:rsidP="006F69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>Key Performance Indicators (KPIs)</w:t>
      </w:r>
    </w:p>
    <w:p w:rsidR="006F69E9" w:rsidRPr="003C7EA2" w:rsidRDefault="006F69E9" w:rsidP="006F69E9">
      <w:pPr>
        <w:spacing w:before="100" w:beforeAutospacing="1" w:after="100" w:afterAutospacing="1"/>
        <w:rPr>
          <w:rFonts w:ascii="Times" w:hAnsi="Times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 xml:space="preserve">The specific KPIs for the </w:t>
      </w:r>
      <w:r w:rsidRPr="003C7EA2">
        <w:rPr>
          <w:rFonts w:cstheme="minorHAnsi"/>
          <w:i/>
          <w:sz w:val="24"/>
          <w:szCs w:val="24"/>
        </w:rPr>
        <w:t>Ac</w:t>
      </w:r>
      <w:r w:rsidR="00E55CA4">
        <w:rPr>
          <w:rFonts w:cstheme="minorHAnsi"/>
          <w:i/>
          <w:sz w:val="24"/>
          <w:szCs w:val="24"/>
        </w:rPr>
        <w:t>cess and Participation Plan 2019</w:t>
      </w:r>
      <w:r w:rsidRPr="003C7EA2">
        <w:rPr>
          <w:rFonts w:cstheme="minorHAnsi"/>
          <w:sz w:val="24"/>
          <w:szCs w:val="24"/>
        </w:rPr>
        <w:t xml:space="preserve"> </w:t>
      </w:r>
      <w:r w:rsidRPr="003C7EA2">
        <w:rPr>
          <w:rFonts w:ascii="Calibri" w:hAnsi="Calibri" w:cs="Times New Roman"/>
          <w:sz w:val="24"/>
          <w:szCs w:val="24"/>
        </w:rPr>
        <w:t xml:space="preserve">are to increase: </w:t>
      </w:r>
    </w:p>
    <w:p w:rsidR="006F69E9" w:rsidRPr="003C7EA2" w:rsidRDefault="006F69E9" w:rsidP="006F69E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>Number of domestic undergraduate students from nominated equity target groups as a percentage of total domestic undergraduate students</w:t>
      </w:r>
      <w:r>
        <w:rPr>
          <w:rFonts w:ascii="Calibri" w:hAnsi="Calibri" w:cs="Times New Roman"/>
          <w:sz w:val="24"/>
          <w:szCs w:val="24"/>
        </w:rPr>
        <w:t>;</w:t>
      </w:r>
      <w:r w:rsidRPr="003C7EA2">
        <w:rPr>
          <w:rFonts w:ascii="Calibri" w:hAnsi="Calibri" w:cs="Times New Roman"/>
          <w:sz w:val="24"/>
          <w:szCs w:val="24"/>
        </w:rPr>
        <w:t xml:space="preserve"> </w:t>
      </w:r>
    </w:p>
    <w:p w:rsidR="006F69E9" w:rsidRPr="003C7EA2" w:rsidRDefault="006F69E9" w:rsidP="006F69E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>Retention rate of domestic undergraduate students from nominated equity target groups</w:t>
      </w:r>
      <w:r>
        <w:rPr>
          <w:rFonts w:ascii="Calibri" w:hAnsi="Calibri" w:cs="Times New Roman"/>
          <w:sz w:val="24"/>
          <w:szCs w:val="24"/>
        </w:rPr>
        <w:t>; and</w:t>
      </w:r>
      <w:r w:rsidRPr="003C7EA2">
        <w:rPr>
          <w:rFonts w:ascii="Calibri" w:hAnsi="Calibri" w:cs="Times New Roman"/>
          <w:sz w:val="24"/>
          <w:szCs w:val="24"/>
        </w:rPr>
        <w:t xml:space="preserve"> </w:t>
      </w:r>
    </w:p>
    <w:p w:rsidR="006F69E9" w:rsidRPr="003C7EA2" w:rsidRDefault="006F69E9" w:rsidP="006F69E9">
      <w:pPr>
        <w:pStyle w:val="ListParagraph"/>
        <w:numPr>
          <w:ilvl w:val="0"/>
          <w:numId w:val="2"/>
        </w:numPr>
        <w:spacing w:before="100" w:beforeAutospacing="1" w:line="240" w:lineRule="auto"/>
        <w:ind w:left="714" w:hanging="357"/>
        <w:contextualSpacing w:val="0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>Number of domestic undergraduate completions from nominated equity target groups</w:t>
      </w:r>
      <w:r>
        <w:rPr>
          <w:rFonts w:ascii="Calibri" w:hAnsi="Calibri" w:cs="Times New Roman"/>
          <w:sz w:val="24"/>
          <w:szCs w:val="24"/>
        </w:rPr>
        <w:t>.</w:t>
      </w:r>
      <w:r w:rsidRPr="003C7EA2">
        <w:rPr>
          <w:rFonts w:ascii="Calibri" w:hAnsi="Calibri" w:cs="Times New Roman"/>
          <w:sz w:val="24"/>
          <w:szCs w:val="24"/>
        </w:rPr>
        <w:t xml:space="preserve"> </w:t>
      </w:r>
    </w:p>
    <w:p w:rsidR="006F69E9" w:rsidRPr="003C7EA2" w:rsidRDefault="006F69E9" w:rsidP="006F69E9">
      <w:pPr>
        <w:pStyle w:val="ListParagraph"/>
        <w:keepNext/>
        <w:numPr>
          <w:ilvl w:val="0"/>
          <w:numId w:val="1"/>
        </w:numPr>
        <w:spacing w:line="240" w:lineRule="auto"/>
        <w:ind w:left="357" w:hanging="357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>Key Activities</w:t>
      </w:r>
    </w:p>
    <w:p w:rsidR="006F69E9" w:rsidRPr="000E63C4" w:rsidRDefault="006F69E9" w:rsidP="006F69E9">
      <w:pPr>
        <w:rPr>
          <w:sz w:val="24"/>
          <w:szCs w:val="24"/>
        </w:rPr>
      </w:pPr>
      <w:r>
        <w:rPr>
          <w:sz w:val="24"/>
          <w:szCs w:val="24"/>
        </w:rPr>
        <w:t>Table 1 lists the</w:t>
      </w:r>
      <w:r w:rsidRPr="003C7EA2">
        <w:rPr>
          <w:sz w:val="24"/>
          <w:szCs w:val="24"/>
        </w:rPr>
        <w:t xml:space="preserve"> key activitie</w:t>
      </w:r>
      <w:r>
        <w:rPr>
          <w:sz w:val="24"/>
          <w:szCs w:val="24"/>
        </w:rPr>
        <w:t xml:space="preserve">s that </w:t>
      </w:r>
      <w:r w:rsidRPr="003C7EA2">
        <w:rPr>
          <w:sz w:val="24"/>
          <w:szCs w:val="24"/>
        </w:rPr>
        <w:t>will deliver an increase in the access, participation and success of people from a low SES background: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6F69E9" w:rsidRPr="003C7EA2" w:rsidTr="00A11FE1">
        <w:tc>
          <w:tcPr>
            <w:tcW w:w="1838" w:type="dxa"/>
            <w:vMerge w:val="restart"/>
          </w:tcPr>
          <w:p w:rsidR="006F69E9" w:rsidRPr="003C7EA2" w:rsidRDefault="006F69E9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  <w:r w:rsidRPr="003C7EA2">
              <w:rPr>
                <w:rFonts w:cstheme="minorHAnsi"/>
                <w:b/>
                <w:sz w:val="24"/>
                <w:szCs w:val="24"/>
              </w:rPr>
              <w:t xml:space="preserve">Pre-Access </w:t>
            </w:r>
          </w:p>
        </w:tc>
        <w:tc>
          <w:tcPr>
            <w:tcW w:w="7938" w:type="dxa"/>
            <w:shd w:val="clear" w:color="auto" w:fill="auto"/>
          </w:tcPr>
          <w:p w:rsidR="006F69E9" w:rsidRPr="003C7EA2" w:rsidRDefault="006F69E9" w:rsidP="00A11FE1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AHEAD* (in Schools and Communities - School, Adult Learning &amp; Community) Program</w:t>
            </w:r>
          </w:p>
        </w:tc>
      </w:tr>
      <w:tr w:rsidR="006F69E9" w:rsidRPr="003C7EA2" w:rsidTr="00A11FE1">
        <w:tc>
          <w:tcPr>
            <w:tcW w:w="1838" w:type="dxa"/>
            <w:vMerge/>
          </w:tcPr>
          <w:p w:rsidR="006F69E9" w:rsidRPr="003C7EA2" w:rsidRDefault="006F69E9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F69E9" w:rsidRPr="003C7EA2" w:rsidRDefault="006F69E9" w:rsidP="00355ABA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 xml:space="preserve">Australian Indigenous Mentoring Experience (AIME) </w:t>
            </w:r>
            <w:r>
              <w:rPr>
                <w:rFonts w:cstheme="minorHAnsi"/>
                <w:sz w:val="24"/>
                <w:szCs w:val="24"/>
              </w:rPr>
              <w:t>Partnership</w:t>
            </w:r>
          </w:p>
        </w:tc>
      </w:tr>
      <w:tr w:rsidR="006F69E9" w:rsidRPr="003C7EA2" w:rsidTr="00A11FE1">
        <w:tc>
          <w:tcPr>
            <w:tcW w:w="1838" w:type="dxa"/>
            <w:vMerge/>
          </w:tcPr>
          <w:p w:rsidR="006F69E9" w:rsidRPr="003C7EA2" w:rsidRDefault="006F69E9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F69E9" w:rsidRPr="003C7EA2" w:rsidRDefault="006F69E9" w:rsidP="00355ABA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Challenge Program</w:t>
            </w:r>
          </w:p>
        </w:tc>
      </w:tr>
      <w:tr w:rsidR="006F69E9" w:rsidRPr="003C7EA2" w:rsidTr="00A11FE1">
        <w:tc>
          <w:tcPr>
            <w:tcW w:w="1838" w:type="dxa"/>
            <w:vMerge/>
          </w:tcPr>
          <w:p w:rsidR="006F69E9" w:rsidRPr="003C7EA2" w:rsidRDefault="006F69E9" w:rsidP="00355ABA">
            <w:pPr>
              <w:keepNext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F69E9" w:rsidRPr="003C7EA2" w:rsidRDefault="006F69E9" w:rsidP="00355ABA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Regional Access Strategy and Programs</w:t>
            </w:r>
          </w:p>
        </w:tc>
      </w:tr>
      <w:tr w:rsidR="006F69E9" w:rsidRPr="003C7EA2" w:rsidTr="00A11FE1">
        <w:tc>
          <w:tcPr>
            <w:tcW w:w="1838" w:type="dxa"/>
            <w:vMerge/>
          </w:tcPr>
          <w:p w:rsidR="006F69E9" w:rsidRPr="003C7EA2" w:rsidRDefault="006F69E9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F69E9" w:rsidRPr="003C7EA2" w:rsidRDefault="006F69E9" w:rsidP="00355ABA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Entry Pathways and ATAR Bonus Schemes</w:t>
            </w:r>
          </w:p>
        </w:tc>
      </w:tr>
      <w:tr w:rsidR="006F69E9" w:rsidRPr="003C7EA2" w:rsidTr="00A11FE1">
        <w:tc>
          <w:tcPr>
            <w:tcW w:w="1838" w:type="dxa"/>
            <w:vMerge/>
          </w:tcPr>
          <w:p w:rsidR="006F69E9" w:rsidRPr="003C7EA2" w:rsidRDefault="006F69E9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F69E9" w:rsidRPr="003C7EA2" w:rsidRDefault="006F69E9" w:rsidP="00355ABA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 xml:space="preserve">Enabling Program Support Services </w:t>
            </w:r>
          </w:p>
        </w:tc>
      </w:tr>
      <w:tr w:rsidR="00A11FE1" w:rsidRPr="003C7EA2" w:rsidTr="00A11FE1">
        <w:tc>
          <w:tcPr>
            <w:tcW w:w="1838" w:type="dxa"/>
            <w:vMerge w:val="restart"/>
          </w:tcPr>
          <w:p w:rsidR="00A11FE1" w:rsidRPr="003C7EA2" w:rsidRDefault="00A11FE1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  <w:r w:rsidRPr="003C7EA2">
              <w:rPr>
                <w:rFonts w:cstheme="minorHAnsi"/>
                <w:b/>
                <w:sz w:val="24"/>
                <w:szCs w:val="24"/>
              </w:rPr>
              <w:t xml:space="preserve">Participation </w:t>
            </w:r>
          </w:p>
        </w:tc>
        <w:tc>
          <w:tcPr>
            <w:tcW w:w="7938" w:type="dxa"/>
          </w:tcPr>
          <w:p w:rsidR="00A11FE1" w:rsidRPr="003C7EA2" w:rsidRDefault="00A11FE1" w:rsidP="00355ABA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 xml:space="preserve">Student Counselling Support </w:t>
            </w:r>
          </w:p>
        </w:tc>
      </w:tr>
      <w:tr w:rsidR="00A11FE1" w:rsidRPr="003C7EA2" w:rsidTr="00A11FE1">
        <w:tc>
          <w:tcPr>
            <w:tcW w:w="1838" w:type="dxa"/>
            <w:vMerge/>
          </w:tcPr>
          <w:p w:rsidR="00A11FE1" w:rsidRPr="003C7EA2" w:rsidRDefault="00A11FE1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11FE1" w:rsidRPr="003C7EA2" w:rsidRDefault="00A11FE1" w:rsidP="00A11FE1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Student Wel</w:t>
            </w:r>
            <w:r>
              <w:rPr>
                <w:rFonts w:cstheme="minorHAnsi"/>
                <w:sz w:val="24"/>
                <w:szCs w:val="24"/>
              </w:rPr>
              <w:t>lbeing</w:t>
            </w:r>
            <w:r w:rsidRPr="003C7EA2">
              <w:rPr>
                <w:rFonts w:cstheme="minorHAnsi"/>
                <w:sz w:val="24"/>
                <w:szCs w:val="24"/>
              </w:rPr>
              <w:t xml:space="preserve"> Support</w:t>
            </w:r>
          </w:p>
        </w:tc>
      </w:tr>
      <w:tr w:rsidR="00A11FE1" w:rsidRPr="003C7EA2" w:rsidTr="00A11FE1">
        <w:tc>
          <w:tcPr>
            <w:tcW w:w="1838" w:type="dxa"/>
            <w:vMerge/>
          </w:tcPr>
          <w:p w:rsidR="00A11FE1" w:rsidRPr="003C7EA2" w:rsidRDefault="00A11FE1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11FE1" w:rsidRPr="003C7EA2" w:rsidRDefault="00A11FE1" w:rsidP="00355ABA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Student Learning Support</w:t>
            </w:r>
          </w:p>
        </w:tc>
      </w:tr>
      <w:tr w:rsidR="00A11FE1" w:rsidRPr="003C7EA2" w:rsidTr="00A11FE1">
        <w:tc>
          <w:tcPr>
            <w:tcW w:w="1838" w:type="dxa"/>
            <w:vMerge/>
          </w:tcPr>
          <w:p w:rsidR="00A11FE1" w:rsidRPr="003C7EA2" w:rsidRDefault="00A11FE1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11FE1" w:rsidRPr="003C7EA2" w:rsidRDefault="00A11FE1" w:rsidP="00355ABA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Student Digital Engagement</w:t>
            </w:r>
          </w:p>
        </w:tc>
      </w:tr>
      <w:tr w:rsidR="00A11FE1" w:rsidRPr="003C7EA2" w:rsidTr="00A11FE1">
        <w:tc>
          <w:tcPr>
            <w:tcW w:w="1838" w:type="dxa"/>
            <w:vMerge/>
          </w:tcPr>
          <w:p w:rsidR="00A11FE1" w:rsidRPr="003C7EA2" w:rsidRDefault="00A11FE1" w:rsidP="00355ABA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11FE1" w:rsidRPr="003C7EA2" w:rsidRDefault="00A11FE1" w:rsidP="00355ABA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 Retention Programs</w:t>
            </w:r>
          </w:p>
        </w:tc>
      </w:tr>
      <w:tr w:rsidR="00A11FE1" w:rsidRPr="003C7EA2" w:rsidTr="00A11FE1">
        <w:tc>
          <w:tcPr>
            <w:tcW w:w="1838" w:type="dxa"/>
            <w:vMerge/>
          </w:tcPr>
          <w:p w:rsidR="00A11FE1" w:rsidRPr="003C7EA2" w:rsidRDefault="00A11FE1" w:rsidP="00A11FE1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11FE1" w:rsidRPr="003C7EA2" w:rsidRDefault="00A11FE1" w:rsidP="00A11FE1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Indigenous Student Mentoring and Support</w:t>
            </w:r>
          </w:p>
        </w:tc>
      </w:tr>
      <w:tr w:rsidR="00A11FE1" w:rsidRPr="003C7EA2" w:rsidTr="00A11FE1">
        <w:tc>
          <w:tcPr>
            <w:tcW w:w="1838" w:type="dxa"/>
            <w:vMerge/>
          </w:tcPr>
          <w:p w:rsidR="00A11FE1" w:rsidRPr="003C7EA2" w:rsidRDefault="00A11FE1" w:rsidP="00A11FE1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11FE1" w:rsidRPr="003C7EA2" w:rsidRDefault="00A11FE1" w:rsidP="00A11FE1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Staff Diversity and Equity Capability Development</w:t>
            </w:r>
          </w:p>
        </w:tc>
      </w:tr>
      <w:tr w:rsidR="00A11FE1" w:rsidRPr="003C7EA2" w:rsidTr="00A11FE1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11FE1" w:rsidRPr="003C7EA2" w:rsidRDefault="00A11FE1" w:rsidP="00A11FE1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11FE1" w:rsidRPr="003C7EA2" w:rsidRDefault="00A11FE1" w:rsidP="00A11FE1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 xml:space="preserve">Student Equity Management &amp; Administration </w:t>
            </w:r>
          </w:p>
        </w:tc>
      </w:tr>
      <w:tr w:rsidR="00A11FE1" w:rsidRPr="003C7EA2" w:rsidTr="00A11FE1"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A11FE1" w:rsidRPr="003C7EA2" w:rsidRDefault="00A11FE1" w:rsidP="00A11FE1">
            <w:pPr>
              <w:keepNext/>
              <w:rPr>
                <w:rFonts w:cstheme="minorHAnsi"/>
                <w:b/>
                <w:sz w:val="24"/>
                <w:szCs w:val="24"/>
              </w:rPr>
            </w:pPr>
            <w:r w:rsidRPr="003C7EA2">
              <w:rPr>
                <w:rFonts w:cstheme="minorHAnsi"/>
                <w:b/>
                <w:sz w:val="24"/>
                <w:szCs w:val="24"/>
              </w:rPr>
              <w:t>Progress and Attainment</w:t>
            </w:r>
          </w:p>
        </w:tc>
        <w:tc>
          <w:tcPr>
            <w:tcW w:w="7938" w:type="dxa"/>
          </w:tcPr>
          <w:p w:rsidR="00A11FE1" w:rsidRPr="003C7EA2" w:rsidRDefault="00A11FE1" w:rsidP="00A11FE1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Student Career Development</w:t>
            </w:r>
          </w:p>
        </w:tc>
      </w:tr>
      <w:tr w:rsidR="00A11FE1" w:rsidRPr="003C7EA2" w:rsidTr="00A11FE1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11FE1" w:rsidRPr="003C7EA2" w:rsidRDefault="00A11FE1" w:rsidP="00A11FE1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11FE1" w:rsidRPr="003C7EA2" w:rsidRDefault="00A11FE1" w:rsidP="00A11FE1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Student Leadership &amp; Volunteering programs</w:t>
            </w:r>
          </w:p>
        </w:tc>
      </w:tr>
    </w:tbl>
    <w:p w:rsidR="006F69E9" w:rsidRDefault="006F69E9" w:rsidP="006F69E9">
      <w:pPr>
        <w:ind w:firstLine="435"/>
        <w:rPr>
          <w:rFonts w:cs="Times New Roman"/>
          <w:i/>
          <w:sz w:val="24"/>
          <w:szCs w:val="24"/>
        </w:rPr>
      </w:pPr>
      <w:r w:rsidRPr="003C7EA2">
        <w:rPr>
          <w:rFonts w:cs="Times New Roman"/>
          <w:i/>
          <w:sz w:val="24"/>
          <w:szCs w:val="24"/>
        </w:rPr>
        <w:t>*Addressing Higher Education Access Disadvantage</w:t>
      </w:r>
    </w:p>
    <w:p w:rsidR="006F69E9" w:rsidRPr="003C7EA2" w:rsidRDefault="006F69E9" w:rsidP="006F69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>Evaluation</w:t>
      </w:r>
      <w:r>
        <w:rPr>
          <w:rFonts w:cstheme="minorHAnsi"/>
          <w:b/>
          <w:sz w:val="24"/>
          <w:szCs w:val="24"/>
        </w:rPr>
        <w:t xml:space="preserve"> and Reporting</w:t>
      </w:r>
    </w:p>
    <w:p w:rsidR="006F69E9" w:rsidRPr="003C7EA2" w:rsidRDefault="006F69E9" w:rsidP="006F69E9">
      <w:pPr>
        <w:pStyle w:val="ListNumber"/>
        <w:numPr>
          <w:ilvl w:val="0"/>
          <w:numId w:val="0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 xml:space="preserve">All initiatives implemented through this strategy (regardless of their source of funding) </w:t>
      </w:r>
      <w:r>
        <w:rPr>
          <w:rFonts w:ascii="Calibri" w:hAnsi="Calibri" w:cs="Times New Roman"/>
          <w:sz w:val="24"/>
          <w:szCs w:val="24"/>
        </w:rPr>
        <w:t>are</w:t>
      </w:r>
      <w:r w:rsidRPr="003C7EA2">
        <w:rPr>
          <w:rFonts w:ascii="Calibri" w:hAnsi="Calibri" w:cs="Times New Roman"/>
          <w:sz w:val="24"/>
          <w:szCs w:val="24"/>
        </w:rPr>
        <w:t xml:space="preserve"> required to report to the DVC Academic (or nominee) on the demonstrable impact for equity target groups of that initiative, and achievement/progress towards proposed outcomes. Evaluation and reporting </w:t>
      </w:r>
      <w:r>
        <w:rPr>
          <w:rFonts w:ascii="Calibri" w:hAnsi="Calibri" w:cs="Times New Roman"/>
          <w:sz w:val="24"/>
          <w:szCs w:val="24"/>
        </w:rPr>
        <w:t>occurs on an annual basis</w:t>
      </w:r>
      <w:r w:rsidRPr="003C7EA2">
        <w:rPr>
          <w:rFonts w:ascii="Calibri" w:hAnsi="Calibri" w:cs="Times New Roman"/>
          <w:sz w:val="24"/>
          <w:szCs w:val="24"/>
        </w:rPr>
        <w:t xml:space="preserve"> co-ordinated by </w:t>
      </w:r>
      <w:r>
        <w:rPr>
          <w:rFonts w:ascii="Calibri" w:hAnsi="Calibri" w:cs="Times New Roman"/>
          <w:sz w:val="24"/>
          <w:szCs w:val="24"/>
        </w:rPr>
        <w:t>the Diversity and Equity Unit</w:t>
      </w:r>
      <w:r w:rsidRPr="003C7EA2">
        <w:rPr>
          <w:rFonts w:ascii="Calibri" w:hAnsi="Calibri" w:cs="Times New Roman"/>
          <w:sz w:val="24"/>
          <w:szCs w:val="24"/>
        </w:rPr>
        <w:t xml:space="preserve">, </w:t>
      </w:r>
      <w:r>
        <w:rPr>
          <w:rFonts w:ascii="Calibri" w:hAnsi="Calibri" w:cs="Times New Roman"/>
          <w:sz w:val="24"/>
          <w:szCs w:val="24"/>
        </w:rPr>
        <w:t>which</w:t>
      </w:r>
      <w:r w:rsidRPr="003C7EA2">
        <w:rPr>
          <w:rFonts w:ascii="Calibri" w:hAnsi="Calibri" w:cs="Times New Roman"/>
          <w:sz w:val="24"/>
          <w:szCs w:val="24"/>
        </w:rPr>
        <w:t xml:space="preserve"> compile</w:t>
      </w:r>
      <w:r>
        <w:rPr>
          <w:rFonts w:ascii="Calibri" w:hAnsi="Calibri" w:cs="Times New Roman"/>
          <w:sz w:val="24"/>
          <w:szCs w:val="24"/>
        </w:rPr>
        <w:t>s</w:t>
      </w:r>
      <w:r w:rsidRPr="003C7EA2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the University’s </w:t>
      </w:r>
      <w:r w:rsidRPr="003C7EA2">
        <w:rPr>
          <w:rFonts w:ascii="Calibri" w:hAnsi="Calibri" w:cs="Times New Roman"/>
          <w:sz w:val="24"/>
          <w:szCs w:val="24"/>
        </w:rPr>
        <w:t>Institutional P</w:t>
      </w:r>
      <w:r>
        <w:rPr>
          <w:rFonts w:ascii="Calibri" w:hAnsi="Calibri" w:cs="Times New Roman"/>
          <w:sz w:val="24"/>
          <w:szCs w:val="24"/>
        </w:rPr>
        <w:t>erformance Portfolio and HEPPP R</w:t>
      </w:r>
      <w:r w:rsidRPr="003C7EA2">
        <w:rPr>
          <w:rFonts w:ascii="Calibri" w:hAnsi="Calibri" w:cs="Times New Roman"/>
          <w:sz w:val="24"/>
          <w:szCs w:val="24"/>
        </w:rPr>
        <w:t xml:space="preserve">eports to the Commonwealth, as required. The HEPPP report </w:t>
      </w:r>
      <w:r>
        <w:rPr>
          <w:rFonts w:ascii="Calibri" w:hAnsi="Calibri" w:cs="Times New Roman"/>
          <w:sz w:val="24"/>
          <w:szCs w:val="24"/>
        </w:rPr>
        <w:t xml:space="preserve">is </w:t>
      </w:r>
      <w:r w:rsidRPr="003C7EA2">
        <w:rPr>
          <w:rFonts w:ascii="Calibri" w:hAnsi="Calibri" w:cs="Times New Roman"/>
          <w:sz w:val="24"/>
          <w:szCs w:val="24"/>
        </w:rPr>
        <w:t xml:space="preserve">submitted to </w:t>
      </w:r>
      <w:r>
        <w:rPr>
          <w:rFonts w:ascii="Calibri" w:hAnsi="Calibri" w:cs="Times New Roman"/>
          <w:sz w:val="24"/>
          <w:szCs w:val="24"/>
        </w:rPr>
        <w:t xml:space="preserve">the University’s </w:t>
      </w:r>
      <w:r w:rsidRPr="003C7EA2">
        <w:rPr>
          <w:rFonts w:ascii="Calibri" w:hAnsi="Calibri" w:cs="Times New Roman"/>
          <w:sz w:val="24"/>
          <w:szCs w:val="24"/>
        </w:rPr>
        <w:t xml:space="preserve">Planning and Management Committee and Council for noting each year. </w:t>
      </w:r>
    </w:p>
    <w:p w:rsidR="006F69E9" w:rsidRPr="003C7EA2" w:rsidRDefault="006F69E9" w:rsidP="006F69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Partnerships and C</w:t>
      </w:r>
      <w:r w:rsidRPr="003C7EA2">
        <w:rPr>
          <w:rFonts w:cstheme="minorHAnsi"/>
          <w:b/>
          <w:sz w:val="24"/>
          <w:szCs w:val="24"/>
        </w:rPr>
        <w:t>ollaboration</w:t>
      </w:r>
    </w:p>
    <w:p w:rsidR="006F69E9" w:rsidRDefault="006F69E9" w:rsidP="006F69E9">
      <w:p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Implementation of the </w:t>
      </w:r>
      <w:r w:rsidRPr="00E074F4">
        <w:rPr>
          <w:rFonts w:ascii="Calibri" w:hAnsi="Calibri" w:cs="Times New Roman"/>
          <w:i/>
          <w:sz w:val="24"/>
          <w:szCs w:val="24"/>
        </w:rPr>
        <w:t>Access and Participation Plan 201</w:t>
      </w:r>
      <w:r>
        <w:rPr>
          <w:rFonts w:ascii="Calibri" w:hAnsi="Calibri" w:cs="Times New Roman"/>
          <w:i/>
          <w:sz w:val="24"/>
          <w:szCs w:val="24"/>
        </w:rPr>
        <w:t>9</w:t>
      </w:r>
      <w:r>
        <w:rPr>
          <w:rFonts w:ascii="Calibri" w:hAnsi="Calibri" w:cs="Times New Roman"/>
          <w:sz w:val="24"/>
          <w:szCs w:val="24"/>
        </w:rPr>
        <w:t xml:space="preserve"> involves delivery of a range of </w:t>
      </w:r>
      <w:r w:rsidR="00A11FE1">
        <w:rPr>
          <w:rFonts w:ascii="Calibri" w:hAnsi="Calibri" w:cs="Times New Roman"/>
          <w:sz w:val="24"/>
          <w:szCs w:val="24"/>
        </w:rPr>
        <w:t>programs</w:t>
      </w:r>
      <w:r>
        <w:rPr>
          <w:rFonts w:ascii="Calibri" w:hAnsi="Calibri" w:cs="Times New Roman"/>
          <w:sz w:val="24"/>
          <w:szCs w:val="24"/>
        </w:rPr>
        <w:t xml:space="preserve">, campus </w:t>
      </w:r>
      <w:r w:rsidR="00A11FE1">
        <w:rPr>
          <w:rFonts w:ascii="Calibri" w:hAnsi="Calibri" w:cs="Times New Roman"/>
          <w:sz w:val="24"/>
          <w:szCs w:val="24"/>
        </w:rPr>
        <w:t xml:space="preserve">and regional </w:t>
      </w:r>
      <w:r>
        <w:rPr>
          <w:rFonts w:ascii="Calibri" w:hAnsi="Calibri" w:cs="Times New Roman"/>
          <w:sz w:val="24"/>
          <w:szCs w:val="24"/>
        </w:rPr>
        <w:t xml:space="preserve">visits, mentoring, leadership, learning clubs, and pre-release programs, </w:t>
      </w:r>
      <w:r>
        <w:rPr>
          <w:rFonts w:cstheme="minorHAnsi"/>
          <w:sz w:val="24"/>
          <w:szCs w:val="24"/>
        </w:rPr>
        <w:t xml:space="preserve">in collaboration </w:t>
      </w:r>
      <w:r>
        <w:rPr>
          <w:rFonts w:ascii="Calibri" w:hAnsi="Calibri" w:cs="Times New Roman"/>
          <w:sz w:val="24"/>
          <w:szCs w:val="24"/>
        </w:rPr>
        <w:t>with a range of external partners including:</w:t>
      </w:r>
    </w:p>
    <w:p w:rsidR="006F69E9" w:rsidRPr="00445E42" w:rsidRDefault="006F69E9" w:rsidP="006F69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445E42">
        <w:rPr>
          <w:rFonts w:ascii="Calibri" w:hAnsi="Calibri" w:cs="Times New Roman"/>
          <w:sz w:val="24"/>
          <w:szCs w:val="24"/>
        </w:rPr>
        <w:t xml:space="preserve">Primary </w:t>
      </w:r>
      <w:r w:rsidR="00A11FE1">
        <w:rPr>
          <w:rFonts w:ascii="Calibri" w:hAnsi="Calibri" w:cs="Times New Roman"/>
          <w:sz w:val="24"/>
          <w:szCs w:val="24"/>
        </w:rPr>
        <w:t xml:space="preserve">and Secondary </w:t>
      </w:r>
      <w:r w:rsidRPr="00445E42">
        <w:rPr>
          <w:rFonts w:ascii="Calibri" w:hAnsi="Calibri" w:cs="Times New Roman"/>
          <w:sz w:val="24"/>
          <w:szCs w:val="24"/>
        </w:rPr>
        <w:t>Schools;</w:t>
      </w:r>
      <w:r w:rsidR="00A11FE1" w:rsidRPr="00445E42">
        <w:rPr>
          <w:rFonts w:ascii="Calibri" w:hAnsi="Calibri" w:cs="Times New Roman"/>
          <w:sz w:val="24"/>
          <w:szCs w:val="24"/>
        </w:rPr>
        <w:t xml:space="preserve"> </w:t>
      </w:r>
    </w:p>
    <w:p w:rsidR="006F69E9" w:rsidRPr="00445E42" w:rsidRDefault="006F69E9" w:rsidP="006F69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445E42">
        <w:rPr>
          <w:rFonts w:ascii="Calibri" w:hAnsi="Calibri" w:cs="Times New Roman"/>
          <w:sz w:val="24"/>
          <w:szCs w:val="24"/>
        </w:rPr>
        <w:t>Gover</w:t>
      </w:r>
      <w:r>
        <w:rPr>
          <w:rFonts w:ascii="Calibri" w:hAnsi="Calibri" w:cs="Times New Roman"/>
          <w:sz w:val="24"/>
          <w:szCs w:val="24"/>
        </w:rPr>
        <w:t>nment Departments (such as the D</w:t>
      </w:r>
      <w:r w:rsidRPr="00445E42">
        <w:rPr>
          <w:rFonts w:ascii="Calibri" w:hAnsi="Calibri" w:cs="Times New Roman"/>
          <w:sz w:val="24"/>
          <w:szCs w:val="24"/>
        </w:rPr>
        <w:t>epartment of Corrective Services);</w:t>
      </w:r>
      <w:r>
        <w:rPr>
          <w:rFonts w:ascii="Calibri" w:hAnsi="Calibri" w:cs="Times New Roman"/>
          <w:sz w:val="24"/>
          <w:szCs w:val="24"/>
        </w:rPr>
        <w:t xml:space="preserve"> and</w:t>
      </w:r>
    </w:p>
    <w:p w:rsidR="006F69E9" w:rsidRPr="00445E42" w:rsidRDefault="006F69E9" w:rsidP="006F69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445E42">
        <w:rPr>
          <w:rFonts w:ascii="Calibri" w:hAnsi="Calibri" w:cs="Times New Roman"/>
          <w:sz w:val="24"/>
          <w:szCs w:val="24"/>
        </w:rPr>
        <w:t xml:space="preserve">Community </w:t>
      </w:r>
      <w:r>
        <w:rPr>
          <w:rFonts w:ascii="Calibri" w:hAnsi="Calibri" w:cs="Times New Roman"/>
          <w:sz w:val="24"/>
          <w:szCs w:val="24"/>
        </w:rPr>
        <w:t>O</w:t>
      </w:r>
      <w:r w:rsidRPr="00445E42">
        <w:rPr>
          <w:rFonts w:ascii="Calibri" w:hAnsi="Calibri" w:cs="Times New Roman"/>
          <w:sz w:val="24"/>
          <w:szCs w:val="24"/>
        </w:rPr>
        <w:t>rganisations (such as the Australian Indigen</w:t>
      </w:r>
      <w:r>
        <w:rPr>
          <w:rFonts w:ascii="Calibri" w:hAnsi="Calibri" w:cs="Times New Roman"/>
          <w:sz w:val="24"/>
          <w:szCs w:val="24"/>
        </w:rPr>
        <w:t>ous Mentoring Experi</w:t>
      </w:r>
      <w:r w:rsidR="00A11FE1">
        <w:rPr>
          <w:rFonts w:ascii="Calibri" w:hAnsi="Calibri" w:cs="Times New Roman"/>
          <w:sz w:val="24"/>
          <w:szCs w:val="24"/>
        </w:rPr>
        <w:t>ence (AIME)</w:t>
      </w:r>
      <w:r>
        <w:rPr>
          <w:rFonts w:ascii="Calibri" w:hAnsi="Calibri" w:cs="Times New Roman"/>
          <w:sz w:val="24"/>
          <w:szCs w:val="24"/>
        </w:rPr>
        <w:t>.</w:t>
      </w:r>
    </w:p>
    <w:p w:rsidR="006F69E9" w:rsidRPr="007B4AC7" w:rsidRDefault="006F69E9" w:rsidP="006F69E9">
      <w:pPr>
        <w:spacing w:before="100" w:beforeAutospacing="1" w:after="100" w:afterAutospacing="1" w:line="240" w:lineRule="auto"/>
        <w:rPr>
          <w:rFonts w:ascii="SymbolMT" w:hAnsi="SymbolMT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The University works closely with other Higher Education providers across Western Australia to ensure associated programs are complimentary and reach effectively into regional and isolated areas of the State.</w:t>
      </w:r>
      <w:r w:rsidRPr="005A4CB9">
        <w:rPr>
          <w:rFonts w:ascii="Calibri" w:hAnsi="Calibri" w:cs="Times New Roman"/>
          <w:sz w:val="24"/>
          <w:szCs w:val="24"/>
        </w:rPr>
        <w:t xml:space="preserve"> </w:t>
      </w:r>
    </w:p>
    <w:p w:rsidR="00B43953" w:rsidRDefault="00B43953"/>
    <w:sectPr w:rsidR="00B43953" w:rsidSect="00A11FE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A5" w:rsidRDefault="00213FA5" w:rsidP="006F69E9">
      <w:pPr>
        <w:spacing w:after="0" w:line="240" w:lineRule="auto"/>
      </w:pPr>
      <w:r>
        <w:separator/>
      </w:r>
    </w:p>
  </w:endnote>
  <w:endnote w:type="continuationSeparator" w:id="0">
    <w:p w:rsidR="00213FA5" w:rsidRDefault="00213FA5" w:rsidP="006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A5" w:rsidRDefault="00213FA5" w:rsidP="006F69E9">
      <w:pPr>
        <w:spacing w:after="0" w:line="240" w:lineRule="auto"/>
      </w:pPr>
      <w:r>
        <w:separator/>
      </w:r>
    </w:p>
  </w:footnote>
  <w:footnote w:type="continuationSeparator" w:id="0">
    <w:p w:rsidR="00213FA5" w:rsidRDefault="00213FA5" w:rsidP="006F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E9" w:rsidRPr="00A11FE1" w:rsidRDefault="006F69E9" w:rsidP="00A11FE1">
    <w:pPr>
      <w:pStyle w:val="Header"/>
      <w:spacing w:after="360"/>
      <w:jc w:val="right"/>
      <w:rPr>
        <w:sz w:val="24"/>
        <w:szCs w:val="32"/>
      </w:rPr>
    </w:pPr>
    <w:r w:rsidRPr="00A11FE1">
      <w:rPr>
        <w:sz w:val="24"/>
        <w:szCs w:val="32"/>
      </w:rPr>
      <w:t>Access and Participation Plan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EE643E"/>
    <w:multiLevelType w:val="hybridMultilevel"/>
    <w:tmpl w:val="D1DC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B50F8"/>
    <w:multiLevelType w:val="hybridMultilevel"/>
    <w:tmpl w:val="F6F6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4755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E9"/>
    <w:rsid w:val="00145A40"/>
    <w:rsid w:val="00213FA5"/>
    <w:rsid w:val="006F69E9"/>
    <w:rsid w:val="00733D50"/>
    <w:rsid w:val="007A333C"/>
    <w:rsid w:val="009B6D31"/>
    <w:rsid w:val="00A11FE1"/>
    <w:rsid w:val="00A42050"/>
    <w:rsid w:val="00A64BD2"/>
    <w:rsid w:val="00B33FA9"/>
    <w:rsid w:val="00B43953"/>
    <w:rsid w:val="00E5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9FEF8A"/>
  <w15:chartTrackingRefBased/>
  <w15:docId w15:val="{B57BD329-14E5-4C35-9F88-4C88B752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9E9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9E9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F69E9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6F69E9"/>
    <w:rPr>
      <w:rFonts w:eastAsiaTheme="minorEastAsia"/>
    </w:rPr>
  </w:style>
  <w:style w:type="table" w:styleId="TableGrid">
    <w:name w:val="Table Grid"/>
    <w:basedOn w:val="TableNormal"/>
    <w:uiPriority w:val="59"/>
    <w:rsid w:val="006F69E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6F69E9"/>
    <w:pPr>
      <w:numPr>
        <w:numId w:val="3"/>
      </w:numPr>
      <w:spacing w:after="12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6F69E9"/>
    <w:pPr>
      <w:numPr>
        <w:ilvl w:val="1"/>
        <w:numId w:val="3"/>
      </w:numPr>
      <w:tabs>
        <w:tab w:val="left" w:pos="1134"/>
      </w:tabs>
      <w:spacing w:after="12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6F69E9"/>
    <w:pPr>
      <w:numPr>
        <w:ilvl w:val="2"/>
        <w:numId w:val="3"/>
      </w:numPr>
      <w:spacing w:after="120" w:line="276" w:lineRule="auto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unhideWhenUsed/>
    <w:rsid w:val="006F69E9"/>
    <w:pPr>
      <w:numPr>
        <w:ilvl w:val="3"/>
        <w:numId w:val="3"/>
      </w:numPr>
      <w:spacing w:after="120" w:line="276" w:lineRule="auto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F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E9"/>
  </w:style>
  <w:style w:type="paragraph" w:styleId="Footer">
    <w:name w:val="footer"/>
    <w:basedOn w:val="Normal"/>
    <w:link w:val="FooterChar"/>
    <w:uiPriority w:val="99"/>
    <w:unhideWhenUsed/>
    <w:rsid w:val="006F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Ingram</dc:creator>
  <cp:keywords/>
  <dc:description/>
  <cp:lastModifiedBy>Linda Adnyana</cp:lastModifiedBy>
  <cp:revision>2</cp:revision>
  <dcterms:created xsi:type="dcterms:W3CDTF">2019-03-27T07:37:00Z</dcterms:created>
  <dcterms:modified xsi:type="dcterms:W3CDTF">2019-03-27T07:37:00Z</dcterms:modified>
</cp:coreProperties>
</file>