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1912" w14:textId="59EED4C3" w:rsidR="00E75A27" w:rsidRDefault="00E75A27" w:rsidP="008C3EB9">
      <w:pPr>
        <w:jc w:val="both"/>
        <w:rPr>
          <w:rFonts w:ascii="Calibri" w:eastAsiaTheme="majorEastAsia" w:hAnsi="Calibri" w:cstheme="majorBidi"/>
          <w:b/>
          <w:bCs/>
        </w:rPr>
      </w:pPr>
    </w:p>
    <w:p w14:paraId="6882F7A7" w14:textId="4242C7A3" w:rsidR="00E75A27" w:rsidRDefault="00E75A27" w:rsidP="008C3EB9">
      <w:pPr>
        <w:pStyle w:val="Heading1"/>
        <w:jc w:val="both"/>
      </w:pPr>
      <w:r w:rsidRPr="00E75A27">
        <w:t>AC</w:t>
      </w:r>
      <w:r w:rsidR="00837827">
        <w:t>CESS AND PARTICIPATION PLAN 2019</w:t>
      </w:r>
    </w:p>
    <w:p w14:paraId="6C007826" w14:textId="47E45579" w:rsidR="00E75A27" w:rsidRPr="00E75A27" w:rsidRDefault="00D60736" w:rsidP="008C3EB9">
      <w:pPr>
        <w:pStyle w:val="Heading2"/>
        <w:jc w:val="both"/>
      </w:pPr>
      <w:r>
        <w:t>Charles Darwin University</w:t>
      </w:r>
      <w:bookmarkStart w:id="0" w:name="_GoBack"/>
      <w:bookmarkEnd w:id="0"/>
    </w:p>
    <w:p w14:paraId="690E4489" w14:textId="77777777" w:rsidR="00E75A27" w:rsidRPr="005F20C2" w:rsidRDefault="00E75A27" w:rsidP="008C3EB9">
      <w:pPr>
        <w:spacing w:after="0" w:line="240" w:lineRule="auto"/>
        <w:jc w:val="both"/>
        <w:rPr>
          <w:rFonts w:ascii="Calibri" w:hAnsi="Calibri" w:cstheme="minorHAnsi"/>
        </w:rPr>
      </w:pPr>
    </w:p>
    <w:p w14:paraId="636829FD" w14:textId="53FD0DB5" w:rsidR="00E75A27" w:rsidRPr="009D23FC" w:rsidRDefault="00E75A27" w:rsidP="008C3EB9">
      <w:pPr>
        <w:pStyle w:val="ListNumber"/>
        <w:numPr>
          <w:ilvl w:val="0"/>
          <w:numId w:val="0"/>
        </w:numPr>
        <w:pBdr>
          <w:bottom w:val="single" w:sz="4" w:space="1" w:color="auto"/>
        </w:pBdr>
        <w:spacing w:after="240" w:line="240" w:lineRule="auto"/>
        <w:jc w:val="both"/>
        <w:rPr>
          <w:rFonts w:cstheme="minorHAnsi"/>
        </w:rPr>
      </w:pPr>
      <w:r w:rsidRPr="009D23FC">
        <w:rPr>
          <w:rFonts w:cstheme="minorHAnsi"/>
          <w:b/>
        </w:rPr>
        <w:t>Equity outcomes</w:t>
      </w:r>
      <w:r w:rsidR="00BE4F09" w:rsidRPr="009D23FC">
        <w:rPr>
          <w:rFonts w:cstheme="minorHAnsi"/>
          <w:b/>
        </w:rPr>
        <w:t xml:space="preserve"> and strategies</w:t>
      </w:r>
      <w:r w:rsidRPr="009D23FC">
        <w:rPr>
          <w:rFonts w:cstheme="minorHAnsi"/>
        </w:rPr>
        <w:t xml:space="preserve">: </w:t>
      </w:r>
      <w:r w:rsidR="00BE4F09" w:rsidRPr="009D23FC">
        <w:rPr>
          <w:rFonts w:cstheme="minorHAnsi"/>
        </w:rPr>
        <w:t>for improving outcomes for people from a low SES background</w:t>
      </w:r>
      <w:r w:rsidRPr="009D23FC">
        <w:rPr>
          <w:rFonts w:cstheme="minorHAnsi"/>
        </w:rPr>
        <w:t>.</w:t>
      </w:r>
      <w:r w:rsidR="00E059C9" w:rsidRPr="009D23FC">
        <w:rPr>
          <w:rFonts w:cstheme="minorHAnsi"/>
        </w:rPr>
        <w:t xml:space="preserve"> </w:t>
      </w:r>
    </w:p>
    <w:p w14:paraId="5A47A4F1" w14:textId="0ED83358" w:rsidR="00970619" w:rsidRPr="009D23FC" w:rsidRDefault="00970619" w:rsidP="008C3EB9">
      <w:pPr>
        <w:pStyle w:val="ListNumber2"/>
        <w:numPr>
          <w:ilvl w:val="0"/>
          <w:numId w:val="37"/>
        </w:numPr>
        <w:spacing w:after="0" w:line="240" w:lineRule="auto"/>
        <w:ind w:left="360"/>
        <w:jc w:val="both"/>
        <w:rPr>
          <w:rFonts w:cstheme="minorHAnsi"/>
        </w:rPr>
      </w:pPr>
      <w:r w:rsidRPr="009D23FC">
        <w:rPr>
          <w:rFonts w:cstheme="minorHAnsi"/>
        </w:rPr>
        <w:t>An increase in the number of Indigenous students commencing HE programs to 15% of CDU students by 2025.</w:t>
      </w:r>
    </w:p>
    <w:p w14:paraId="17366DAB" w14:textId="77777777" w:rsidR="00C62B9E" w:rsidRPr="009D23FC" w:rsidRDefault="00C62B9E" w:rsidP="008C3EB9">
      <w:pPr>
        <w:pStyle w:val="ListNumber2"/>
        <w:numPr>
          <w:ilvl w:val="0"/>
          <w:numId w:val="0"/>
        </w:numPr>
        <w:spacing w:after="0" w:line="240" w:lineRule="auto"/>
        <w:ind w:left="-360"/>
        <w:jc w:val="both"/>
        <w:rPr>
          <w:rFonts w:cstheme="minorHAnsi"/>
        </w:rPr>
      </w:pPr>
    </w:p>
    <w:p w14:paraId="098FA4F2" w14:textId="1E1A0387" w:rsidR="00970619" w:rsidRPr="009D23FC" w:rsidRDefault="00970619" w:rsidP="008C3EB9">
      <w:pPr>
        <w:pStyle w:val="ListNumber2"/>
        <w:numPr>
          <w:ilvl w:val="0"/>
          <w:numId w:val="37"/>
        </w:numPr>
        <w:spacing w:after="0" w:line="240" w:lineRule="auto"/>
        <w:ind w:left="360"/>
        <w:jc w:val="both"/>
        <w:rPr>
          <w:rFonts w:cstheme="minorHAnsi"/>
        </w:rPr>
      </w:pPr>
      <w:r w:rsidRPr="009D23FC">
        <w:rPr>
          <w:rFonts w:cstheme="minorHAnsi"/>
        </w:rPr>
        <w:t>A first-year Indigenous student retention rate (post census) of 60% by 2025 with the long term aim to achieve parity.</w:t>
      </w:r>
    </w:p>
    <w:p w14:paraId="670613AE" w14:textId="77777777" w:rsidR="00C62B9E" w:rsidRPr="009D23FC" w:rsidRDefault="00C62B9E" w:rsidP="008C3EB9">
      <w:pPr>
        <w:pStyle w:val="ListNumber2"/>
        <w:numPr>
          <w:ilvl w:val="0"/>
          <w:numId w:val="0"/>
        </w:numPr>
        <w:spacing w:after="0" w:line="240" w:lineRule="auto"/>
        <w:ind w:left="-360"/>
        <w:jc w:val="both"/>
        <w:rPr>
          <w:rFonts w:cstheme="minorHAnsi"/>
        </w:rPr>
      </w:pPr>
    </w:p>
    <w:p w14:paraId="66B780E6" w14:textId="6F2DD88B" w:rsidR="00970619" w:rsidRPr="009D23FC" w:rsidRDefault="00970619" w:rsidP="008C3EB9">
      <w:pPr>
        <w:pStyle w:val="ListNumber2"/>
        <w:numPr>
          <w:ilvl w:val="0"/>
          <w:numId w:val="37"/>
        </w:numPr>
        <w:spacing w:after="0" w:line="240" w:lineRule="auto"/>
        <w:ind w:left="360"/>
        <w:jc w:val="both"/>
        <w:rPr>
          <w:rFonts w:cstheme="minorHAnsi"/>
        </w:rPr>
      </w:pPr>
      <w:r w:rsidRPr="009D23FC">
        <w:rPr>
          <w:rFonts w:cstheme="minorHAnsi"/>
        </w:rPr>
        <w:t xml:space="preserve">A rise in the HE Indigenous student retention rate to 60% by 2025, with a long-term aspiration to reach parity between Indigenous and non-Indigenous student retention. </w:t>
      </w:r>
    </w:p>
    <w:p w14:paraId="4CD940A2" w14:textId="77777777" w:rsidR="00C62B9E" w:rsidRPr="009D23FC" w:rsidRDefault="00C62B9E" w:rsidP="008C3EB9">
      <w:pPr>
        <w:pStyle w:val="ListNumber2"/>
        <w:numPr>
          <w:ilvl w:val="0"/>
          <w:numId w:val="0"/>
        </w:numPr>
        <w:spacing w:after="0" w:line="240" w:lineRule="auto"/>
        <w:ind w:left="-360"/>
        <w:jc w:val="both"/>
        <w:rPr>
          <w:rFonts w:cstheme="minorHAnsi"/>
        </w:rPr>
      </w:pPr>
    </w:p>
    <w:p w14:paraId="28D8DF1B" w14:textId="459175AC" w:rsidR="00970619" w:rsidRPr="009D23FC" w:rsidRDefault="00970619" w:rsidP="008C3EB9">
      <w:pPr>
        <w:pStyle w:val="ListNumber2"/>
        <w:numPr>
          <w:ilvl w:val="0"/>
          <w:numId w:val="37"/>
        </w:numPr>
        <w:spacing w:after="0" w:line="240" w:lineRule="auto"/>
        <w:ind w:left="360"/>
        <w:jc w:val="both"/>
        <w:rPr>
          <w:rFonts w:cstheme="minorHAnsi"/>
        </w:rPr>
      </w:pPr>
      <w:r w:rsidRPr="009D23FC">
        <w:rPr>
          <w:rFonts w:cstheme="minorHAnsi"/>
        </w:rPr>
        <w:t>A first-year all-undergraduate student retention rate (post census) of 75% by 2025</w:t>
      </w:r>
      <w:r w:rsidR="002670C4" w:rsidRPr="009D23FC">
        <w:rPr>
          <w:rFonts w:cstheme="minorHAnsi"/>
        </w:rPr>
        <w:t>.</w:t>
      </w:r>
    </w:p>
    <w:p w14:paraId="785C13C2" w14:textId="77777777" w:rsidR="00C62B9E" w:rsidRPr="009D23FC" w:rsidRDefault="00C62B9E" w:rsidP="008C3EB9">
      <w:pPr>
        <w:pStyle w:val="ListNumber2"/>
        <w:numPr>
          <w:ilvl w:val="0"/>
          <w:numId w:val="0"/>
        </w:numPr>
        <w:spacing w:after="0" w:line="240" w:lineRule="auto"/>
        <w:jc w:val="both"/>
        <w:rPr>
          <w:rFonts w:cstheme="minorHAnsi"/>
        </w:rPr>
      </w:pPr>
    </w:p>
    <w:p w14:paraId="64345928" w14:textId="77777777" w:rsidR="00970619" w:rsidRPr="009D23FC" w:rsidRDefault="00970619" w:rsidP="008C3EB9">
      <w:pPr>
        <w:pStyle w:val="ListNumber"/>
        <w:numPr>
          <w:ilvl w:val="0"/>
          <w:numId w:val="0"/>
        </w:numPr>
        <w:spacing w:after="240" w:line="240" w:lineRule="auto"/>
        <w:jc w:val="both"/>
        <w:rPr>
          <w:rFonts w:cstheme="minorHAnsi"/>
        </w:rPr>
      </w:pPr>
    </w:p>
    <w:p w14:paraId="186F897B" w14:textId="220EC0F2" w:rsidR="00395311" w:rsidRPr="009D23FC" w:rsidRDefault="00E75A27" w:rsidP="008C3EB9">
      <w:pPr>
        <w:pStyle w:val="ListNumber"/>
        <w:numPr>
          <w:ilvl w:val="0"/>
          <w:numId w:val="0"/>
        </w:numPr>
        <w:pBdr>
          <w:bottom w:val="single" w:sz="4" w:space="1" w:color="auto"/>
        </w:pBdr>
        <w:spacing w:after="240" w:line="240" w:lineRule="auto"/>
        <w:jc w:val="both"/>
        <w:rPr>
          <w:rFonts w:cstheme="minorHAnsi"/>
        </w:rPr>
      </w:pPr>
      <w:r w:rsidRPr="009D23FC">
        <w:rPr>
          <w:rFonts w:cstheme="minorHAnsi"/>
          <w:b/>
        </w:rPr>
        <w:t>Key activities</w:t>
      </w:r>
      <w:r w:rsidRPr="009D23FC">
        <w:rPr>
          <w:rFonts w:cstheme="minorHAnsi"/>
        </w:rPr>
        <w:t>: which will deliver an increase in the access, participation and success of people from a low SES background.</w:t>
      </w:r>
    </w:p>
    <w:p w14:paraId="2B0CCEB2" w14:textId="256240C8" w:rsidR="007315FC" w:rsidRPr="009D23FC" w:rsidRDefault="007315FC" w:rsidP="008C3EB9">
      <w:pPr>
        <w:pStyle w:val="ListNumber"/>
        <w:numPr>
          <w:ilvl w:val="0"/>
          <w:numId w:val="0"/>
        </w:numPr>
        <w:spacing w:after="240" w:line="240" w:lineRule="auto"/>
        <w:ind w:left="360" w:hanging="360"/>
        <w:jc w:val="both"/>
        <w:rPr>
          <w:rFonts w:cstheme="minorHAnsi"/>
        </w:rPr>
      </w:pPr>
    </w:p>
    <w:p w14:paraId="760054D8" w14:textId="695E5A77" w:rsidR="007315FC" w:rsidRPr="009D23FC" w:rsidRDefault="007315FC" w:rsidP="008C3EB9">
      <w:pPr>
        <w:pStyle w:val="ListNumber"/>
        <w:numPr>
          <w:ilvl w:val="0"/>
          <w:numId w:val="0"/>
        </w:numPr>
        <w:spacing w:after="240" w:line="240" w:lineRule="auto"/>
        <w:jc w:val="both"/>
        <w:rPr>
          <w:rFonts w:cstheme="minorHAnsi"/>
          <w:i/>
          <w:u w:val="single"/>
        </w:rPr>
      </w:pPr>
      <w:r w:rsidRPr="009D23FC">
        <w:rPr>
          <w:rFonts w:cstheme="minorHAnsi"/>
          <w:i/>
          <w:u w:val="single"/>
        </w:rPr>
        <w:t>Pre-access (outreach to schools and communities)</w:t>
      </w:r>
    </w:p>
    <w:p w14:paraId="63F26FD3" w14:textId="7132F6D0" w:rsidR="004E4392" w:rsidRPr="009D23FC" w:rsidRDefault="004E4392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23FC">
        <w:rPr>
          <w:rFonts w:cstheme="minorHAnsi"/>
          <w:b/>
          <w:bCs/>
          <w:iCs/>
          <w:color w:val="000000"/>
        </w:rPr>
        <w:t>ASPIRE</w:t>
      </w:r>
    </w:p>
    <w:p w14:paraId="66B8CE7D" w14:textId="1A63A8C6" w:rsidR="004E4392" w:rsidRPr="009D23FC" w:rsidRDefault="004E4392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23FC">
        <w:rPr>
          <w:rFonts w:cstheme="minorHAnsi"/>
          <w:iCs/>
          <w:color w:val="000000"/>
        </w:rPr>
        <w:t xml:space="preserve">ASPIRE is CDU’s flagship equity scholarships </w:t>
      </w:r>
      <w:r w:rsidR="006562D1" w:rsidRPr="009D23FC">
        <w:rPr>
          <w:rFonts w:cstheme="minorHAnsi"/>
          <w:iCs/>
          <w:color w:val="000000"/>
        </w:rPr>
        <w:t xml:space="preserve">and low SES pathway </w:t>
      </w:r>
      <w:r w:rsidRPr="009D23FC">
        <w:rPr>
          <w:rFonts w:cstheme="minorHAnsi"/>
          <w:iCs/>
          <w:color w:val="000000"/>
        </w:rPr>
        <w:t>programme. It selects eligible students in Year 9 and supports them financially and through tailored engagement activities in Years 10-12 and, should they progress to CDU</w:t>
      </w:r>
      <w:r w:rsidR="00FE4AA5">
        <w:rPr>
          <w:rFonts w:cstheme="minorHAnsi"/>
          <w:iCs/>
          <w:color w:val="000000"/>
        </w:rPr>
        <w:t xml:space="preserve"> in their</w:t>
      </w:r>
      <w:r w:rsidRPr="009D23FC">
        <w:rPr>
          <w:rFonts w:cstheme="minorHAnsi"/>
          <w:iCs/>
          <w:color w:val="000000"/>
        </w:rPr>
        <w:t xml:space="preserve"> first year of HE </w:t>
      </w:r>
      <w:proofErr w:type="gramStart"/>
      <w:r w:rsidRPr="009D23FC">
        <w:rPr>
          <w:rFonts w:cstheme="minorHAnsi"/>
          <w:iCs/>
          <w:color w:val="000000"/>
        </w:rPr>
        <w:t>stud</w:t>
      </w:r>
      <w:r w:rsidR="00376ED3">
        <w:rPr>
          <w:rFonts w:cstheme="minorHAnsi"/>
          <w:iCs/>
          <w:color w:val="000000"/>
        </w:rPr>
        <w:t>y</w:t>
      </w:r>
      <w:proofErr w:type="gramEnd"/>
      <w:r w:rsidRPr="009D23FC">
        <w:rPr>
          <w:rFonts w:cstheme="minorHAnsi"/>
          <w:iCs/>
          <w:color w:val="000000"/>
        </w:rPr>
        <w:t xml:space="preserve">. </w:t>
      </w:r>
    </w:p>
    <w:p w14:paraId="5AD66D45" w14:textId="77777777" w:rsidR="004E4392" w:rsidRPr="009D23FC" w:rsidRDefault="004E4392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</w:rPr>
      </w:pPr>
    </w:p>
    <w:p w14:paraId="6F2AE46D" w14:textId="77777777" w:rsidR="004E4392" w:rsidRPr="009D23FC" w:rsidRDefault="004E4392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23FC">
        <w:rPr>
          <w:rFonts w:cstheme="minorHAnsi"/>
          <w:b/>
          <w:bCs/>
          <w:iCs/>
          <w:color w:val="000000"/>
        </w:rPr>
        <w:t xml:space="preserve">Children’s University </w:t>
      </w:r>
    </w:p>
    <w:p w14:paraId="5B8A2D2C" w14:textId="672CF309" w:rsidR="004E4392" w:rsidRPr="009D23FC" w:rsidRDefault="004E4392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23FC">
        <w:rPr>
          <w:rFonts w:cstheme="minorHAnsi"/>
          <w:iCs/>
          <w:color w:val="000000"/>
        </w:rPr>
        <w:t xml:space="preserve">This </w:t>
      </w:r>
      <w:r w:rsidR="00EE509D" w:rsidRPr="009D23FC">
        <w:rPr>
          <w:rFonts w:cstheme="minorHAnsi"/>
          <w:iCs/>
          <w:color w:val="000000"/>
        </w:rPr>
        <w:t xml:space="preserve">program </w:t>
      </w:r>
      <w:r w:rsidRPr="009D23FC">
        <w:rPr>
          <w:rFonts w:cstheme="minorHAnsi"/>
          <w:iCs/>
          <w:color w:val="000000"/>
        </w:rPr>
        <w:t>coordinate</w:t>
      </w:r>
      <w:r w:rsidR="00EE509D" w:rsidRPr="009D23FC">
        <w:rPr>
          <w:rFonts w:cstheme="minorHAnsi"/>
          <w:iCs/>
          <w:color w:val="000000"/>
        </w:rPr>
        <w:t>s</w:t>
      </w:r>
      <w:r w:rsidRPr="009D23FC">
        <w:rPr>
          <w:rFonts w:cstheme="minorHAnsi"/>
          <w:iCs/>
          <w:color w:val="000000"/>
        </w:rPr>
        <w:t xml:space="preserve"> and promote</w:t>
      </w:r>
      <w:r w:rsidR="00EE509D" w:rsidRPr="009D23FC">
        <w:rPr>
          <w:rFonts w:cstheme="minorHAnsi"/>
          <w:iCs/>
          <w:color w:val="000000"/>
        </w:rPr>
        <w:t>s</w:t>
      </w:r>
      <w:r w:rsidRPr="009D23FC">
        <w:rPr>
          <w:rFonts w:cstheme="minorHAnsi"/>
          <w:iCs/>
          <w:color w:val="000000"/>
        </w:rPr>
        <w:t xml:space="preserve"> a range of extra-curricular learning activities for school children, thereby enhancing their overall learning </w:t>
      </w:r>
      <w:proofErr w:type="gramStart"/>
      <w:r w:rsidRPr="009D23FC">
        <w:rPr>
          <w:rFonts w:cstheme="minorHAnsi"/>
          <w:iCs/>
          <w:color w:val="000000"/>
        </w:rPr>
        <w:t>and also</w:t>
      </w:r>
      <w:proofErr w:type="gramEnd"/>
      <w:r w:rsidRPr="009D23FC">
        <w:rPr>
          <w:rFonts w:cstheme="minorHAnsi"/>
          <w:iCs/>
          <w:color w:val="000000"/>
        </w:rPr>
        <w:t xml:space="preserve"> encouraging the idea of University as a normal possibility. </w:t>
      </w:r>
    </w:p>
    <w:p w14:paraId="63C17CDE" w14:textId="77777777" w:rsidR="00D2370A" w:rsidRPr="009D23FC" w:rsidRDefault="00D2370A" w:rsidP="008C3EB9">
      <w:pPr>
        <w:pStyle w:val="ListNumber"/>
        <w:numPr>
          <w:ilvl w:val="0"/>
          <w:numId w:val="0"/>
        </w:numPr>
        <w:spacing w:after="240" w:line="240" w:lineRule="auto"/>
        <w:jc w:val="both"/>
        <w:rPr>
          <w:rFonts w:cstheme="minorHAnsi"/>
        </w:rPr>
      </w:pPr>
    </w:p>
    <w:p w14:paraId="05C3DA0F" w14:textId="10E0313C" w:rsidR="007315FC" w:rsidRPr="009D23FC" w:rsidRDefault="007315FC" w:rsidP="008C3EB9">
      <w:pPr>
        <w:pStyle w:val="ListNumber"/>
        <w:numPr>
          <w:ilvl w:val="0"/>
          <w:numId w:val="0"/>
        </w:numPr>
        <w:spacing w:after="240" w:line="240" w:lineRule="auto"/>
        <w:jc w:val="both"/>
        <w:rPr>
          <w:rFonts w:cstheme="minorHAnsi"/>
          <w:i/>
          <w:u w:val="single"/>
        </w:rPr>
      </w:pPr>
      <w:r w:rsidRPr="009D23FC">
        <w:rPr>
          <w:rFonts w:cstheme="minorHAnsi"/>
          <w:i/>
          <w:u w:val="single"/>
        </w:rPr>
        <w:t>Access (pre-entry and admissions)</w:t>
      </w:r>
    </w:p>
    <w:p w14:paraId="049C2CEA" w14:textId="77777777" w:rsidR="00C35868" w:rsidRPr="009D23FC" w:rsidRDefault="00C35868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23FC">
        <w:rPr>
          <w:rFonts w:cstheme="minorHAnsi"/>
          <w:b/>
          <w:bCs/>
          <w:iCs/>
          <w:color w:val="000000"/>
        </w:rPr>
        <w:t xml:space="preserve">Enabling Programmes </w:t>
      </w:r>
    </w:p>
    <w:p w14:paraId="7673B6F7" w14:textId="73561DAF" w:rsidR="00C35868" w:rsidRPr="009D23FC" w:rsidRDefault="00C35868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  <w:r w:rsidRPr="009D23FC">
        <w:rPr>
          <w:rFonts w:cstheme="minorHAnsi"/>
          <w:iCs/>
          <w:color w:val="000000"/>
        </w:rPr>
        <w:t xml:space="preserve">CDU </w:t>
      </w:r>
      <w:r w:rsidR="001C3860" w:rsidRPr="009D23FC">
        <w:rPr>
          <w:rFonts w:cstheme="minorHAnsi"/>
          <w:iCs/>
          <w:color w:val="000000"/>
        </w:rPr>
        <w:t xml:space="preserve">delivers a range of </w:t>
      </w:r>
      <w:r w:rsidRPr="009D23FC">
        <w:rPr>
          <w:rFonts w:cstheme="minorHAnsi"/>
          <w:iCs/>
          <w:color w:val="000000"/>
        </w:rPr>
        <w:t xml:space="preserve">enabling and preparatory courses, </w:t>
      </w:r>
      <w:r w:rsidR="001C3860" w:rsidRPr="009D23FC">
        <w:rPr>
          <w:rFonts w:cstheme="minorHAnsi"/>
          <w:iCs/>
          <w:color w:val="000000"/>
        </w:rPr>
        <w:t xml:space="preserve">designed for </w:t>
      </w:r>
      <w:r w:rsidRPr="009D23FC">
        <w:rPr>
          <w:rFonts w:cstheme="minorHAnsi"/>
          <w:iCs/>
          <w:color w:val="000000"/>
        </w:rPr>
        <w:t xml:space="preserve">improving rates of completion and progression to HE. </w:t>
      </w:r>
    </w:p>
    <w:p w14:paraId="1F67B232" w14:textId="77777777" w:rsidR="00C35868" w:rsidRPr="009D23FC" w:rsidRDefault="00C35868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4F2CCE" w14:textId="77777777" w:rsidR="004E4392" w:rsidRPr="009D23FC" w:rsidRDefault="004E4392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D23FC">
        <w:rPr>
          <w:rFonts w:cstheme="minorHAnsi"/>
          <w:b/>
          <w:bCs/>
          <w:iCs/>
          <w:color w:val="000000" w:themeColor="text1"/>
        </w:rPr>
        <w:t>Indigenous Pre-Law Program</w:t>
      </w:r>
    </w:p>
    <w:p w14:paraId="7F76A0E4" w14:textId="6FCE2230" w:rsidR="004E4392" w:rsidRPr="009D23FC" w:rsidRDefault="004E4392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9D23FC">
        <w:rPr>
          <w:rFonts w:cstheme="minorHAnsi"/>
          <w:iCs/>
          <w:color w:val="000000" w:themeColor="text1"/>
        </w:rPr>
        <w:t>This project provides dedicated staff resources to develop a range of supported HE entry pathways for Indigenous students and those from remote regions. T</w:t>
      </w:r>
      <w:r w:rsidRPr="009D23FC">
        <w:rPr>
          <w:rFonts w:cstheme="minorHAnsi"/>
          <w:iCs/>
        </w:rPr>
        <w:t>he indigenous pre-law program</w:t>
      </w:r>
      <w:r w:rsidR="006F2B89" w:rsidRPr="009D23FC">
        <w:rPr>
          <w:rFonts w:cstheme="minorHAnsi"/>
          <w:iCs/>
        </w:rPr>
        <w:t xml:space="preserve"> is</w:t>
      </w:r>
      <w:r w:rsidRPr="009D23FC">
        <w:rPr>
          <w:rFonts w:cstheme="minorHAnsi"/>
          <w:iCs/>
        </w:rPr>
        <w:t xml:space="preserve"> a collaboration between the University and the </w:t>
      </w:r>
      <w:proofErr w:type="spellStart"/>
      <w:r w:rsidRPr="009D23FC">
        <w:rPr>
          <w:rFonts w:cstheme="minorHAnsi"/>
          <w:iCs/>
        </w:rPr>
        <w:t>Bilata</w:t>
      </w:r>
      <w:proofErr w:type="spellEnd"/>
      <w:r w:rsidRPr="009D23FC">
        <w:rPr>
          <w:rFonts w:cstheme="minorHAnsi"/>
          <w:iCs/>
        </w:rPr>
        <w:t xml:space="preserve"> Legal Pathways Program.</w:t>
      </w:r>
    </w:p>
    <w:p w14:paraId="41D3F6DD" w14:textId="77777777" w:rsidR="00C35868" w:rsidRPr="009D23FC" w:rsidRDefault="00C35868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</w:rPr>
      </w:pPr>
    </w:p>
    <w:p w14:paraId="3FB43C64" w14:textId="77777777" w:rsidR="001C42EE" w:rsidRPr="009D23FC" w:rsidRDefault="001C42EE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</w:rPr>
      </w:pPr>
      <w:r w:rsidRPr="009D23FC">
        <w:rPr>
          <w:rFonts w:cstheme="minorHAnsi"/>
          <w:b/>
          <w:bCs/>
          <w:iCs/>
          <w:color w:val="000000"/>
        </w:rPr>
        <w:t xml:space="preserve">National Disability Coordination Officer (NDCO) Program </w:t>
      </w:r>
    </w:p>
    <w:p w14:paraId="03CD8372" w14:textId="19C68B25" w:rsidR="00D2370A" w:rsidRPr="009D23FC" w:rsidRDefault="001C42EE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</w:rPr>
      </w:pPr>
      <w:r w:rsidRPr="009D23FC">
        <w:rPr>
          <w:rFonts w:cstheme="minorHAnsi"/>
          <w:bCs/>
          <w:iCs/>
          <w:color w:val="000000"/>
        </w:rPr>
        <w:t xml:space="preserve">The National Disability Coordination Officer Program in the Northern Territory is hosted by CDU (Casuarina and Alice Springs Campuses). </w:t>
      </w:r>
      <w:r w:rsidR="007922AF" w:rsidRPr="009D23FC">
        <w:rPr>
          <w:rFonts w:cstheme="minorHAnsi"/>
          <w:bCs/>
          <w:iCs/>
          <w:color w:val="000000"/>
        </w:rPr>
        <w:t>T</w:t>
      </w:r>
      <w:r w:rsidRPr="009D23FC">
        <w:rPr>
          <w:rFonts w:cstheme="minorHAnsi"/>
          <w:bCs/>
          <w:iCs/>
          <w:color w:val="000000"/>
        </w:rPr>
        <w:t xml:space="preserve">he NDCO Program </w:t>
      </w:r>
      <w:r w:rsidR="007922AF" w:rsidRPr="009D23FC">
        <w:rPr>
          <w:rFonts w:cstheme="minorHAnsi"/>
          <w:bCs/>
          <w:iCs/>
          <w:color w:val="000000"/>
        </w:rPr>
        <w:t>works</w:t>
      </w:r>
      <w:r w:rsidRPr="009D23FC">
        <w:rPr>
          <w:rFonts w:cstheme="minorHAnsi"/>
          <w:bCs/>
          <w:iCs/>
          <w:color w:val="000000"/>
        </w:rPr>
        <w:t xml:space="preserve"> strategically to inspire people with disability to participate in tertiary education</w:t>
      </w:r>
      <w:r w:rsidR="007922AF" w:rsidRPr="009D23FC">
        <w:rPr>
          <w:rFonts w:cstheme="minorHAnsi"/>
          <w:bCs/>
          <w:iCs/>
          <w:color w:val="000000"/>
        </w:rPr>
        <w:t xml:space="preserve"> and</w:t>
      </w:r>
      <w:r w:rsidR="009620E0" w:rsidRPr="009D23FC">
        <w:rPr>
          <w:rFonts w:cstheme="minorHAnsi"/>
          <w:bCs/>
          <w:iCs/>
          <w:color w:val="000000"/>
        </w:rPr>
        <w:t xml:space="preserve"> aims to </w:t>
      </w:r>
      <w:r w:rsidRPr="009D23FC">
        <w:rPr>
          <w:rFonts w:cstheme="minorHAnsi"/>
          <w:bCs/>
          <w:iCs/>
          <w:color w:val="000000"/>
        </w:rPr>
        <w:t>ensur</w:t>
      </w:r>
      <w:r w:rsidR="009620E0" w:rsidRPr="009D23FC">
        <w:rPr>
          <w:rFonts w:cstheme="minorHAnsi"/>
          <w:bCs/>
          <w:iCs/>
          <w:color w:val="000000"/>
        </w:rPr>
        <w:t>e</w:t>
      </w:r>
      <w:r w:rsidRPr="009D23FC">
        <w:rPr>
          <w:rFonts w:cstheme="minorHAnsi"/>
          <w:bCs/>
          <w:iCs/>
          <w:color w:val="000000"/>
        </w:rPr>
        <w:t xml:space="preserve"> that people with disability can successfully participate in tertiary education and subsequent employment. </w:t>
      </w:r>
    </w:p>
    <w:p w14:paraId="70D4BEBD" w14:textId="4684AA27" w:rsidR="009620E0" w:rsidRDefault="009620E0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A808131" w14:textId="5EE92BA3" w:rsidR="00616E2B" w:rsidRDefault="00616E2B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3BE934" w14:textId="3F6E3354" w:rsidR="00616E2B" w:rsidRDefault="00616E2B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B3E347" w14:textId="6D22D263" w:rsidR="00616E2B" w:rsidRDefault="00616E2B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BEE17A0" w14:textId="77777777" w:rsidR="00616E2B" w:rsidRPr="009D23FC" w:rsidRDefault="00616E2B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912107" w14:textId="7E386C2D" w:rsidR="007315FC" w:rsidRPr="009D23FC" w:rsidRDefault="007315FC" w:rsidP="008C3EB9">
      <w:pPr>
        <w:pStyle w:val="ListNumber"/>
        <w:numPr>
          <w:ilvl w:val="0"/>
          <w:numId w:val="0"/>
        </w:numPr>
        <w:spacing w:after="240" w:line="240" w:lineRule="auto"/>
        <w:jc w:val="both"/>
        <w:rPr>
          <w:rFonts w:cstheme="minorHAnsi"/>
          <w:i/>
          <w:u w:val="single"/>
        </w:rPr>
      </w:pPr>
      <w:r w:rsidRPr="009D23FC">
        <w:rPr>
          <w:rFonts w:cstheme="minorHAnsi"/>
          <w:i/>
          <w:u w:val="single"/>
        </w:rPr>
        <w:lastRenderedPageBreak/>
        <w:t>Participation (transition and progression during studies)</w:t>
      </w:r>
    </w:p>
    <w:p w14:paraId="54C0039F" w14:textId="77777777" w:rsidR="00617018" w:rsidRPr="009D23FC" w:rsidRDefault="00617018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</w:rPr>
      </w:pPr>
      <w:r w:rsidRPr="009D23FC">
        <w:rPr>
          <w:rFonts w:cstheme="minorHAnsi"/>
          <w:b/>
          <w:bCs/>
          <w:iCs/>
          <w:color w:val="000000"/>
        </w:rPr>
        <w:t xml:space="preserve">Equity Scholarships </w:t>
      </w:r>
    </w:p>
    <w:p w14:paraId="42764D8D" w14:textId="796FFCF6" w:rsidR="00617018" w:rsidRPr="009D23FC" w:rsidRDefault="0037506D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</w:rPr>
      </w:pPr>
      <w:r w:rsidRPr="009D23FC">
        <w:rPr>
          <w:rFonts w:cstheme="minorHAnsi"/>
          <w:bCs/>
          <w:iCs/>
          <w:color w:val="000000"/>
        </w:rPr>
        <w:t>E</w:t>
      </w:r>
      <w:r w:rsidR="00617018" w:rsidRPr="009D23FC">
        <w:rPr>
          <w:rFonts w:cstheme="minorHAnsi"/>
          <w:bCs/>
          <w:iCs/>
          <w:color w:val="000000"/>
        </w:rPr>
        <w:t xml:space="preserve">quity scholarships </w:t>
      </w:r>
      <w:r w:rsidRPr="009D23FC">
        <w:rPr>
          <w:rFonts w:cstheme="minorHAnsi"/>
          <w:bCs/>
          <w:iCs/>
          <w:color w:val="000000"/>
        </w:rPr>
        <w:t xml:space="preserve">as </w:t>
      </w:r>
      <w:r w:rsidR="00617018" w:rsidRPr="009D23FC">
        <w:rPr>
          <w:rFonts w:cstheme="minorHAnsi"/>
          <w:bCs/>
          <w:iCs/>
          <w:color w:val="000000"/>
          <w:u w:val="single"/>
        </w:rPr>
        <w:t>financial support</w:t>
      </w:r>
      <w:r w:rsidR="00617018" w:rsidRPr="009D23FC">
        <w:rPr>
          <w:rFonts w:cstheme="minorHAnsi"/>
          <w:bCs/>
          <w:iCs/>
          <w:color w:val="000000"/>
        </w:rPr>
        <w:t xml:space="preserve"> to students who face challenges completing their studies</w:t>
      </w:r>
      <w:r w:rsidR="009A417C" w:rsidRPr="009D23FC">
        <w:rPr>
          <w:rFonts w:cstheme="minorHAnsi"/>
          <w:bCs/>
          <w:iCs/>
          <w:color w:val="000000"/>
        </w:rPr>
        <w:t>, p</w:t>
      </w:r>
      <w:r w:rsidR="00617018" w:rsidRPr="009D23FC">
        <w:rPr>
          <w:rFonts w:cstheme="minorHAnsi"/>
          <w:bCs/>
          <w:iCs/>
          <w:color w:val="000000"/>
        </w:rPr>
        <w:t xml:space="preserve">ractical </w:t>
      </w:r>
      <w:r w:rsidR="00617018" w:rsidRPr="009D23FC">
        <w:rPr>
          <w:rFonts w:cstheme="minorHAnsi"/>
          <w:bCs/>
          <w:iCs/>
          <w:color w:val="000000"/>
          <w:u w:val="single"/>
        </w:rPr>
        <w:t>placement scholarship</w:t>
      </w:r>
      <w:r w:rsidR="009A417C" w:rsidRPr="009D23FC">
        <w:rPr>
          <w:rFonts w:cstheme="minorHAnsi"/>
          <w:bCs/>
          <w:iCs/>
          <w:color w:val="000000"/>
          <w:u w:val="single"/>
        </w:rPr>
        <w:t>s</w:t>
      </w:r>
      <w:r w:rsidR="00617018" w:rsidRPr="009D23FC">
        <w:rPr>
          <w:rFonts w:cstheme="minorHAnsi"/>
          <w:bCs/>
          <w:iCs/>
          <w:color w:val="000000"/>
        </w:rPr>
        <w:t xml:space="preserve"> for students experiencing financial disadvantage and required to undertake an unpaid practical or work placement as part of their degree</w:t>
      </w:r>
      <w:r w:rsidR="009A417C" w:rsidRPr="009D23FC">
        <w:rPr>
          <w:rFonts w:cstheme="minorHAnsi"/>
          <w:bCs/>
          <w:iCs/>
          <w:color w:val="000000"/>
        </w:rPr>
        <w:t xml:space="preserve">, and </w:t>
      </w:r>
      <w:r w:rsidR="009A417C" w:rsidRPr="009D23FC">
        <w:rPr>
          <w:rFonts w:cstheme="minorHAnsi"/>
          <w:bCs/>
          <w:iCs/>
          <w:color w:val="000000"/>
          <w:u w:val="single"/>
        </w:rPr>
        <w:t>c</w:t>
      </w:r>
      <w:r w:rsidR="00617018" w:rsidRPr="009D23FC">
        <w:rPr>
          <w:rFonts w:cstheme="minorHAnsi"/>
          <w:bCs/>
          <w:iCs/>
          <w:color w:val="000000"/>
          <w:u w:val="single"/>
        </w:rPr>
        <w:t>ompletion scholarships</w:t>
      </w:r>
      <w:r w:rsidR="00617018" w:rsidRPr="009D23FC">
        <w:rPr>
          <w:rFonts w:cstheme="minorHAnsi"/>
          <w:bCs/>
          <w:iCs/>
          <w:color w:val="000000"/>
        </w:rPr>
        <w:t xml:space="preserve"> for students experiencing financial disadvantage and require financial assistance to complete their course.</w:t>
      </w:r>
    </w:p>
    <w:p w14:paraId="4001B493" w14:textId="77777777" w:rsidR="00F15DCF" w:rsidRPr="009D23FC" w:rsidRDefault="00F15DCF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</w:rPr>
      </w:pPr>
    </w:p>
    <w:p w14:paraId="28038261" w14:textId="46BC4722" w:rsidR="00F54A90" w:rsidRPr="009D23FC" w:rsidRDefault="00F54A90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23FC">
        <w:rPr>
          <w:rFonts w:cstheme="minorHAnsi"/>
          <w:b/>
          <w:bCs/>
          <w:iCs/>
          <w:color w:val="000000"/>
        </w:rPr>
        <w:t xml:space="preserve">HE Student Learning Support </w:t>
      </w:r>
    </w:p>
    <w:p w14:paraId="29AD9403" w14:textId="28E227BB" w:rsidR="00F54A90" w:rsidRPr="009D23FC" w:rsidRDefault="00F54A90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  <w:r w:rsidRPr="009D23FC">
        <w:rPr>
          <w:rFonts w:cstheme="minorHAnsi"/>
          <w:iCs/>
          <w:color w:val="000000"/>
        </w:rPr>
        <w:t xml:space="preserve">Given the diversity of CDU’s student cohort, the university uses a range of methods for supporting student learning beyond the formal course engagement. </w:t>
      </w:r>
      <w:r w:rsidR="00117795" w:rsidRPr="009D23FC">
        <w:rPr>
          <w:rFonts w:cstheme="minorHAnsi"/>
          <w:iCs/>
          <w:color w:val="000000"/>
        </w:rPr>
        <w:t xml:space="preserve">A dedicated Academic Learning &amp; Literacy group delivers support to students and </w:t>
      </w:r>
      <w:r w:rsidRPr="009D23FC">
        <w:rPr>
          <w:rFonts w:cstheme="minorHAnsi"/>
          <w:iCs/>
          <w:color w:val="000000"/>
        </w:rPr>
        <w:t xml:space="preserve">CDU </w:t>
      </w:r>
      <w:r w:rsidR="00F15DCF" w:rsidRPr="009D23FC">
        <w:rPr>
          <w:rFonts w:cstheme="minorHAnsi"/>
          <w:iCs/>
          <w:color w:val="000000"/>
        </w:rPr>
        <w:t xml:space="preserve">delivers </w:t>
      </w:r>
      <w:r w:rsidRPr="009D23FC">
        <w:rPr>
          <w:rFonts w:cstheme="minorHAnsi"/>
          <w:iCs/>
          <w:color w:val="000000"/>
        </w:rPr>
        <w:t xml:space="preserve">Peer Assisted Study Scheme (PASS) </w:t>
      </w:r>
      <w:r w:rsidR="00F15DCF" w:rsidRPr="009D23FC">
        <w:rPr>
          <w:rFonts w:cstheme="minorHAnsi"/>
          <w:iCs/>
          <w:color w:val="000000"/>
        </w:rPr>
        <w:t xml:space="preserve">in person and </w:t>
      </w:r>
      <w:r w:rsidRPr="009D23FC">
        <w:rPr>
          <w:rFonts w:cstheme="minorHAnsi"/>
          <w:iCs/>
          <w:color w:val="000000"/>
        </w:rPr>
        <w:t>online. CDU has extended online</w:t>
      </w:r>
      <w:r w:rsidR="002534D7" w:rsidRPr="009D23FC">
        <w:rPr>
          <w:rFonts w:cstheme="minorHAnsi"/>
          <w:iCs/>
          <w:color w:val="000000"/>
        </w:rPr>
        <w:t>,</w:t>
      </w:r>
      <w:r w:rsidRPr="009D23FC">
        <w:rPr>
          <w:rFonts w:cstheme="minorHAnsi"/>
          <w:iCs/>
          <w:color w:val="000000"/>
        </w:rPr>
        <w:t xml:space="preserve"> </w:t>
      </w:r>
      <w:r w:rsidR="002534D7" w:rsidRPr="009D23FC">
        <w:rPr>
          <w:rFonts w:cstheme="minorHAnsi"/>
          <w:iCs/>
          <w:color w:val="000000"/>
        </w:rPr>
        <w:t xml:space="preserve">one to one </w:t>
      </w:r>
      <w:r w:rsidRPr="009D23FC">
        <w:rPr>
          <w:rFonts w:cstheme="minorHAnsi"/>
          <w:iCs/>
          <w:color w:val="000000"/>
        </w:rPr>
        <w:t xml:space="preserve">tutoring to </w:t>
      </w:r>
      <w:r w:rsidR="002534D7" w:rsidRPr="009D23FC">
        <w:rPr>
          <w:rFonts w:cstheme="minorHAnsi"/>
          <w:iCs/>
          <w:color w:val="000000"/>
        </w:rPr>
        <w:t xml:space="preserve">all students and on a 24/7 basis. </w:t>
      </w:r>
    </w:p>
    <w:p w14:paraId="642456C6" w14:textId="77777777" w:rsidR="00F54A90" w:rsidRPr="009D23FC" w:rsidRDefault="00F54A90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B81A559" w14:textId="151D4F5A" w:rsidR="00F54A90" w:rsidRPr="009D23FC" w:rsidRDefault="00F54A90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23FC">
        <w:rPr>
          <w:rFonts w:cstheme="minorHAnsi"/>
          <w:b/>
          <w:bCs/>
          <w:iCs/>
        </w:rPr>
        <w:t xml:space="preserve">Delivering Success </w:t>
      </w:r>
      <w:r w:rsidR="00117795" w:rsidRPr="009D23FC">
        <w:rPr>
          <w:rFonts w:cstheme="minorHAnsi"/>
          <w:b/>
          <w:bCs/>
          <w:iCs/>
        </w:rPr>
        <w:t>Research Project</w:t>
      </w:r>
    </w:p>
    <w:p w14:paraId="57B118B4" w14:textId="77777777" w:rsidR="00F54A90" w:rsidRPr="009D23FC" w:rsidRDefault="00F54A90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23FC">
        <w:rPr>
          <w:rFonts w:cstheme="minorHAnsi"/>
          <w:iCs/>
        </w:rPr>
        <w:t xml:space="preserve">This longitudinal research project monitors the impact of changes to learner engagement strategies, particularly in first year units with traditionally high attrition, and makes consequential recommendations for good practice. </w:t>
      </w:r>
    </w:p>
    <w:p w14:paraId="2AD3834C" w14:textId="77777777" w:rsidR="00D857DD" w:rsidRPr="009D23FC" w:rsidRDefault="00D857DD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</w:rPr>
      </w:pPr>
    </w:p>
    <w:p w14:paraId="6B27F6F1" w14:textId="2AC6E1DC" w:rsidR="001C42EE" w:rsidRPr="009D23FC" w:rsidRDefault="001C42EE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23FC">
        <w:rPr>
          <w:rFonts w:cstheme="minorHAnsi"/>
          <w:b/>
          <w:bCs/>
          <w:iCs/>
          <w:color w:val="000000"/>
        </w:rPr>
        <w:t xml:space="preserve">Office of Indigenous Student Services </w:t>
      </w:r>
    </w:p>
    <w:p w14:paraId="682B1534" w14:textId="77777777" w:rsidR="006944E7" w:rsidRDefault="001C42EE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  <w:r w:rsidRPr="009D23FC">
        <w:rPr>
          <w:rFonts w:cstheme="minorHAnsi"/>
          <w:iCs/>
          <w:color w:val="000000"/>
        </w:rPr>
        <w:t>CDU’s Office of Indigenous Student Services (OISS) provides a wide range of supplementary programs and services targeted at Indigenous VET and HE students including</w:t>
      </w:r>
      <w:r w:rsidR="006944E7">
        <w:rPr>
          <w:rFonts w:cstheme="minorHAnsi"/>
          <w:iCs/>
          <w:color w:val="000000"/>
        </w:rPr>
        <w:t>:</w:t>
      </w:r>
    </w:p>
    <w:p w14:paraId="3D5F3B18" w14:textId="4786765E" w:rsidR="006944E7" w:rsidRDefault="00281C07" w:rsidP="008C3E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D</w:t>
      </w:r>
      <w:r w:rsidR="001C42EE" w:rsidRPr="006944E7">
        <w:rPr>
          <w:rFonts w:cstheme="minorHAnsi"/>
          <w:iCs/>
          <w:color w:val="000000"/>
        </w:rPr>
        <w:t>edicated Indigenous Academic Support staff, facilities and infrastructure across three Campuses (i.e. Casuarina Campus ‘</w:t>
      </w:r>
      <w:proofErr w:type="spellStart"/>
      <w:r w:rsidR="001C42EE" w:rsidRPr="006944E7">
        <w:rPr>
          <w:rFonts w:cstheme="minorHAnsi"/>
          <w:iCs/>
          <w:color w:val="000000"/>
        </w:rPr>
        <w:t>Gurinbey</w:t>
      </w:r>
      <w:proofErr w:type="spellEnd"/>
      <w:r w:rsidR="001C42EE" w:rsidRPr="006944E7">
        <w:rPr>
          <w:rFonts w:cstheme="minorHAnsi"/>
          <w:iCs/>
          <w:color w:val="000000"/>
        </w:rPr>
        <w:t xml:space="preserve"> Centre’; Katherine Rural Campus ‘Yangan-</w:t>
      </w:r>
      <w:proofErr w:type="spellStart"/>
      <w:r w:rsidR="001C42EE" w:rsidRPr="006944E7">
        <w:rPr>
          <w:rFonts w:cstheme="minorHAnsi"/>
          <w:iCs/>
          <w:color w:val="000000"/>
        </w:rPr>
        <w:t>garr</w:t>
      </w:r>
      <w:proofErr w:type="spellEnd"/>
      <w:r w:rsidR="001C42EE" w:rsidRPr="006944E7">
        <w:rPr>
          <w:rFonts w:cstheme="minorHAnsi"/>
          <w:iCs/>
          <w:color w:val="000000"/>
        </w:rPr>
        <w:t xml:space="preserve"> Centre’; and Alice Springs ‘</w:t>
      </w:r>
      <w:proofErr w:type="spellStart"/>
      <w:r w:rsidR="001C42EE" w:rsidRPr="006944E7">
        <w:rPr>
          <w:rFonts w:cstheme="minorHAnsi"/>
          <w:iCs/>
          <w:color w:val="000000"/>
        </w:rPr>
        <w:t>Akaltye</w:t>
      </w:r>
      <w:proofErr w:type="spellEnd"/>
      <w:r w:rsidR="001C42EE" w:rsidRPr="006944E7">
        <w:rPr>
          <w:rFonts w:cstheme="minorHAnsi"/>
          <w:iCs/>
          <w:color w:val="000000"/>
        </w:rPr>
        <w:t xml:space="preserve"> Centre’);</w:t>
      </w:r>
    </w:p>
    <w:p w14:paraId="61879D36" w14:textId="63CEC8C0" w:rsidR="006944E7" w:rsidRDefault="001C42EE" w:rsidP="008C3E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  <w:r w:rsidRPr="006944E7">
        <w:rPr>
          <w:rFonts w:cstheme="minorHAnsi"/>
          <w:iCs/>
          <w:color w:val="000000"/>
        </w:rPr>
        <w:t xml:space="preserve">Tutorial Support to eligible VET and HE students requiring content specific advice and support to ensure success; </w:t>
      </w:r>
    </w:p>
    <w:p w14:paraId="38D39808" w14:textId="096ACEAE" w:rsidR="001C42EE" w:rsidRPr="006944E7" w:rsidRDefault="001C42EE" w:rsidP="008C3E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  <w:r w:rsidRPr="006944E7">
        <w:rPr>
          <w:rFonts w:cstheme="minorHAnsi"/>
          <w:iCs/>
          <w:color w:val="000000"/>
        </w:rPr>
        <w:t xml:space="preserve">Away </w:t>
      </w:r>
      <w:proofErr w:type="gramStart"/>
      <w:r w:rsidRPr="006944E7">
        <w:rPr>
          <w:rFonts w:cstheme="minorHAnsi"/>
          <w:iCs/>
          <w:color w:val="000000"/>
        </w:rPr>
        <w:t>From</w:t>
      </w:r>
      <w:proofErr w:type="gramEnd"/>
      <w:r w:rsidRPr="006944E7">
        <w:rPr>
          <w:rFonts w:cstheme="minorHAnsi"/>
          <w:iCs/>
          <w:color w:val="000000"/>
        </w:rPr>
        <w:t xml:space="preserve"> Base services and support for all meals, travel and accommodation to ABSTUDY approved VET/HE mixed-mode/external Indigenous students; and ongoing rural, regional, remote and very remote Indigenous Academic Support outreach and engagement with new, continuing and prospective students. </w:t>
      </w:r>
    </w:p>
    <w:p w14:paraId="3FD3E2AD" w14:textId="77777777" w:rsidR="001C42EE" w:rsidRPr="009D23FC" w:rsidRDefault="001C42EE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A721603" w14:textId="77777777" w:rsidR="006503F6" w:rsidRPr="009D23FC" w:rsidRDefault="006503F6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23FC">
        <w:rPr>
          <w:rFonts w:cstheme="minorHAnsi"/>
          <w:b/>
          <w:bCs/>
          <w:iCs/>
          <w:color w:val="000000"/>
        </w:rPr>
        <w:t xml:space="preserve">Student Support Services </w:t>
      </w:r>
    </w:p>
    <w:p w14:paraId="25C33234" w14:textId="272FE105" w:rsidR="006503F6" w:rsidRPr="009D23FC" w:rsidRDefault="006503F6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  <w:r w:rsidRPr="009D23FC">
        <w:rPr>
          <w:rFonts w:cstheme="minorHAnsi"/>
          <w:iCs/>
          <w:color w:val="000000"/>
        </w:rPr>
        <w:t xml:space="preserve">CDU will continue to provide specialist support for students with disabilities through the </w:t>
      </w:r>
      <w:r w:rsidR="00207E16" w:rsidRPr="009D23FC">
        <w:rPr>
          <w:rFonts w:cstheme="minorHAnsi"/>
          <w:iCs/>
          <w:color w:val="000000"/>
        </w:rPr>
        <w:t>Access &amp; Inclusion serv</w:t>
      </w:r>
      <w:r w:rsidR="00F47F1F" w:rsidRPr="009D23FC">
        <w:rPr>
          <w:rFonts w:cstheme="minorHAnsi"/>
          <w:iCs/>
          <w:color w:val="000000"/>
        </w:rPr>
        <w:t>ices</w:t>
      </w:r>
      <w:r w:rsidRPr="009D23FC">
        <w:rPr>
          <w:rFonts w:cstheme="minorHAnsi"/>
          <w:iCs/>
          <w:color w:val="000000"/>
        </w:rPr>
        <w:t xml:space="preserve">. Additionally, students from various equity groups </w:t>
      </w:r>
      <w:proofErr w:type="gramStart"/>
      <w:r w:rsidRPr="009D23FC">
        <w:rPr>
          <w:rFonts w:cstheme="minorHAnsi"/>
          <w:iCs/>
          <w:color w:val="000000"/>
        </w:rPr>
        <w:t>are able to</w:t>
      </w:r>
      <w:proofErr w:type="gramEnd"/>
      <w:r w:rsidRPr="009D23FC">
        <w:rPr>
          <w:rFonts w:cstheme="minorHAnsi"/>
          <w:iCs/>
          <w:color w:val="000000"/>
        </w:rPr>
        <w:t xml:space="preserve"> access support services and programs in the areas of: Careers &amp; Employment, Counselling and Off-campus Accommodation. </w:t>
      </w:r>
    </w:p>
    <w:p w14:paraId="114997D3" w14:textId="4F523F56" w:rsidR="006503F6" w:rsidRPr="009D23FC" w:rsidRDefault="006503F6" w:rsidP="008C3E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</w:p>
    <w:p w14:paraId="455C0263" w14:textId="73367B8F" w:rsidR="007315FC" w:rsidRPr="009D23FC" w:rsidRDefault="007315FC" w:rsidP="008C3EB9">
      <w:pPr>
        <w:pStyle w:val="ListNumber"/>
        <w:numPr>
          <w:ilvl w:val="0"/>
          <w:numId w:val="0"/>
        </w:numPr>
        <w:spacing w:after="240" w:line="240" w:lineRule="auto"/>
        <w:jc w:val="both"/>
        <w:rPr>
          <w:rFonts w:cstheme="minorHAnsi"/>
          <w:i/>
          <w:u w:val="single"/>
        </w:rPr>
      </w:pPr>
      <w:r w:rsidRPr="009D23FC">
        <w:rPr>
          <w:rFonts w:cstheme="minorHAnsi"/>
          <w:i/>
          <w:u w:val="single"/>
        </w:rPr>
        <w:t>Progress and attainment (successful completion and preparation for graduate employment).</w:t>
      </w:r>
    </w:p>
    <w:p w14:paraId="45852903" w14:textId="707D31F8" w:rsidR="006F2974" w:rsidRPr="009D23FC" w:rsidRDefault="00B17BB9" w:rsidP="008C3EB9">
      <w:pPr>
        <w:spacing w:line="240" w:lineRule="auto"/>
        <w:jc w:val="both"/>
        <w:rPr>
          <w:rFonts w:cstheme="minorHAnsi"/>
          <w:lang w:val="en-GB"/>
        </w:rPr>
      </w:pPr>
      <w:r w:rsidRPr="009D23FC">
        <w:rPr>
          <w:rFonts w:cstheme="minorHAnsi"/>
          <w:lang w:val="en-GB"/>
        </w:rPr>
        <w:t>Development</w:t>
      </w:r>
      <w:r w:rsidR="00FA667B" w:rsidRPr="009D23FC">
        <w:rPr>
          <w:rFonts w:cstheme="minorHAnsi"/>
          <w:lang w:val="en-GB"/>
        </w:rPr>
        <w:t xml:space="preserve"> of</w:t>
      </w:r>
      <w:r w:rsidR="006F2974" w:rsidRPr="009D23FC">
        <w:rPr>
          <w:rFonts w:cstheme="minorHAnsi"/>
          <w:lang w:val="en-GB"/>
        </w:rPr>
        <w:t xml:space="preserve"> an online tool which </w:t>
      </w:r>
      <w:r w:rsidR="00FA667B" w:rsidRPr="009D23FC">
        <w:rPr>
          <w:rFonts w:cstheme="minorHAnsi"/>
          <w:lang w:val="en-GB"/>
        </w:rPr>
        <w:t xml:space="preserve">to provide </w:t>
      </w:r>
      <w:r w:rsidR="006F2974" w:rsidRPr="009D23FC">
        <w:rPr>
          <w:rFonts w:cstheme="minorHAnsi"/>
          <w:lang w:val="en-GB"/>
        </w:rPr>
        <w:t>a suite of meaningful, contemporary career development learning resource</w:t>
      </w:r>
      <w:r w:rsidR="00FA667B" w:rsidRPr="009D23FC">
        <w:rPr>
          <w:rFonts w:cstheme="minorHAnsi"/>
          <w:lang w:val="en-GB"/>
        </w:rPr>
        <w:t xml:space="preserve">s </w:t>
      </w:r>
      <w:r w:rsidR="006F2974" w:rsidRPr="009D23FC">
        <w:rPr>
          <w:rFonts w:cstheme="minorHAnsi"/>
          <w:lang w:val="en-GB"/>
        </w:rPr>
        <w:t>includ</w:t>
      </w:r>
      <w:r w:rsidR="00FA667B" w:rsidRPr="009D23FC">
        <w:rPr>
          <w:rFonts w:cstheme="minorHAnsi"/>
          <w:lang w:val="en-GB"/>
        </w:rPr>
        <w:t>ing</w:t>
      </w:r>
      <w:r w:rsidR="006F2974" w:rsidRPr="009D23FC">
        <w:rPr>
          <w:rFonts w:cstheme="minorHAnsi"/>
          <w:lang w:val="en-GB"/>
        </w:rPr>
        <w:t xml:space="preserve"> career assessments, aptitude tests, interactive career tools such as a </w:t>
      </w:r>
      <w:r w:rsidR="008B5FB8" w:rsidRPr="009D23FC">
        <w:rPr>
          <w:rFonts w:cstheme="minorHAnsi"/>
          <w:lang w:val="en-GB"/>
        </w:rPr>
        <w:t>r</w:t>
      </w:r>
      <w:r w:rsidR="006F2974" w:rsidRPr="009D23FC">
        <w:rPr>
          <w:rFonts w:cstheme="minorHAnsi"/>
          <w:lang w:val="en-GB"/>
        </w:rPr>
        <w:t xml:space="preserve">esume builder and </w:t>
      </w:r>
      <w:r w:rsidR="008B5FB8" w:rsidRPr="009D23FC">
        <w:rPr>
          <w:rFonts w:cstheme="minorHAnsi"/>
          <w:lang w:val="en-GB"/>
        </w:rPr>
        <w:t>i</w:t>
      </w:r>
      <w:r w:rsidR="006F2974" w:rsidRPr="009D23FC">
        <w:rPr>
          <w:rFonts w:cstheme="minorHAnsi"/>
          <w:lang w:val="en-GB"/>
        </w:rPr>
        <w:t xml:space="preserve">nterview </w:t>
      </w:r>
      <w:r w:rsidR="008B5FB8" w:rsidRPr="009D23FC">
        <w:rPr>
          <w:rFonts w:cstheme="minorHAnsi"/>
          <w:lang w:val="en-GB"/>
        </w:rPr>
        <w:t>s</w:t>
      </w:r>
      <w:r w:rsidR="006F2974" w:rsidRPr="009D23FC">
        <w:rPr>
          <w:rFonts w:cstheme="minorHAnsi"/>
          <w:lang w:val="en-GB"/>
        </w:rPr>
        <w:t xml:space="preserve">imulator, hiring manager advisory </w:t>
      </w:r>
      <w:r w:rsidR="006E126F" w:rsidRPr="009D23FC">
        <w:rPr>
          <w:rFonts w:cstheme="minorHAnsi"/>
          <w:lang w:val="en-GB"/>
        </w:rPr>
        <w:t xml:space="preserve">and </w:t>
      </w:r>
      <w:r w:rsidR="006F2974" w:rsidRPr="009D23FC">
        <w:rPr>
          <w:rFonts w:cstheme="minorHAnsi"/>
          <w:lang w:val="en-GB"/>
        </w:rPr>
        <w:t xml:space="preserve">career coaching </w:t>
      </w:r>
      <w:r w:rsidR="006E126F" w:rsidRPr="009D23FC">
        <w:rPr>
          <w:rFonts w:cstheme="minorHAnsi"/>
          <w:lang w:val="en-GB"/>
        </w:rPr>
        <w:t>resources</w:t>
      </w:r>
      <w:r w:rsidR="006F2974" w:rsidRPr="009D23FC">
        <w:rPr>
          <w:rFonts w:cstheme="minorHAnsi"/>
          <w:lang w:val="en-GB"/>
        </w:rPr>
        <w:t>.</w:t>
      </w:r>
    </w:p>
    <w:p w14:paraId="198A34B9" w14:textId="77777777" w:rsidR="006C726A" w:rsidRPr="009D23FC" w:rsidRDefault="006C726A" w:rsidP="008C3E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</w:p>
    <w:sectPr w:rsidR="006C726A" w:rsidRPr="009D23FC" w:rsidSect="00AB2ABB">
      <w:headerReference w:type="default" r:id="rId11"/>
      <w:footerReference w:type="default" r:id="rId12"/>
      <w:type w:val="continuous"/>
      <w:pgSz w:w="11906" w:h="16838"/>
      <w:pgMar w:top="0" w:right="1440" w:bottom="1440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91FC5" w14:textId="77777777" w:rsidR="00152D18" w:rsidRDefault="00152D18" w:rsidP="00130923">
      <w:pPr>
        <w:spacing w:after="0" w:line="240" w:lineRule="auto"/>
      </w:pPr>
      <w:r>
        <w:separator/>
      </w:r>
    </w:p>
  </w:endnote>
  <w:endnote w:type="continuationSeparator" w:id="0">
    <w:p w14:paraId="4F991FC6" w14:textId="77777777" w:rsidR="00152D18" w:rsidRDefault="00152D18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1FC8" w14:textId="0E213A4C" w:rsidR="00152D18" w:rsidRDefault="008C3EB9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2D18">
          <w:fldChar w:fldCharType="begin"/>
        </w:r>
        <w:r w:rsidR="00152D18">
          <w:instrText xml:space="preserve"> PAGE   \* MERGEFORMAT </w:instrText>
        </w:r>
        <w:r w:rsidR="00152D18">
          <w:fldChar w:fldCharType="separate"/>
        </w:r>
        <w:r w:rsidR="003723BB">
          <w:rPr>
            <w:noProof/>
          </w:rPr>
          <w:t>3</w:t>
        </w:r>
        <w:r w:rsidR="00152D18">
          <w:rPr>
            <w:noProof/>
          </w:rPr>
          <w:fldChar w:fldCharType="end"/>
        </w:r>
      </w:sdtContent>
    </w:sdt>
  </w:p>
  <w:p w14:paraId="0665C891" w14:textId="77777777" w:rsidR="00000000" w:rsidRDefault="008C3E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91FC3" w14:textId="77777777" w:rsidR="00152D18" w:rsidRDefault="00152D18" w:rsidP="00130923">
      <w:pPr>
        <w:spacing w:after="0" w:line="240" w:lineRule="auto"/>
      </w:pPr>
      <w:r>
        <w:separator/>
      </w:r>
    </w:p>
  </w:footnote>
  <w:footnote w:type="continuationSeparator" w:id="0">
    <w:p w14:paraId="4F991FC4" w14:textId="77777777" w:rsidR="00152D18" w:rsidRDefault="00152D18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1FC7" w14:textId="3E883E02" w:rsidR="00152D18" w:rsidRDefault="00152D18" w:rsidP="00A66052">
    <w:pPr>
      <w:pStyle w:val="Header"/>
      <w:spacing w:after="480"/>
      <w:jc w:val="right"/>
    </w:pPr>
    <w:r>
      <w:t>Ac</w:t>
    </w:r>
    <w:r w:rsidR="008E5AC8">
      <w:t>cess and Participation Plan 2019</w:t>
    </w:r>
  </w:p>
  <w:p w14:paraId="77B2299A" w14:textId="77777777" w:rsidR="00000000" w:rsidRDefault="008C3E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91176E"/>
    <w:multiLevelType w:val="hybridMultilevel"/>
    <w:tmpl w:val="4558BC62"/>
    <w:lvl w:ilvl="0" w:tplc="94F2753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CE7B30"/>
    <w:multiLevelType w:val="hybridMultilevel"/>
    <w:tmpl w:val="5D4CAC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B085F"/>
    <w:multiLevelType w:val="hybridMultilevel"/>
    <w:tmpl w:val="8784323C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49276B1"/>
    <w:multiLevelType w:val="hybridMultilevel"/>
    <w:tmpl w:val="8A4AB6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34CA"/>
    <w:multiLevelType w:val="hybridMultilevel"/>
    <w:tmpl w:val="DFA6733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A1E51"/>
    <w:multiLevelType w:val="hybridMultilevel"/>
    <w:tmpl w:val="75F0E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F5E7F"/>
    <w:multiLevelType w:val="hybridMultilevel"/>
    <w:tmpl w:val="FD3C6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5"/>
  </w:num>
  <w:num w:numId="15">
    <w:abstractNumId w:val="11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8"/>
  </w:num>
  <w:num w:numId="22">
    <w:abstractNumId w:val="21"/>
  </w:num>
  <w:num w:numId="23">
    <w:abstractNumId w:val="14"/>
  </w:num>
  <w:num w:numId="24">
    <w:abstractNumId w:val="17"/>
  </w:num>
  <w:num w:numId="25">
    <w:abstractNumId w:val="14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2"/>
  </w:num>
  <w:num w:numId="31">
    <w:abstractNumId w:val="28"/>
  </w:num>
  <w:num w:numId="32">
    <w:abstractNumId w:val="24"/>
  </w:num>
  <w:num w:numId="33">
    <w:abstractNumId w:val="29"/>
  </w:num>
  <w:num w:numId="34">
    <w:abstractNumId w:val="20"/>
  </w:num>
  <w:num w:numId="35">
    <w:abstractNumId w:val="23"/>
  </w:num>
  <w:num w:numId="36">
    <w:abstractNumId w:val="19"/>
  </w:num>
  <w:num w:numId="37">
    <w:abstractNumId w:val="2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4EAA"/>
    <w:rsid w:val="000861A6"/>
    <w:rsid w:val="000A3B16"/>
    <w:rsid w:val="000D49FE"/>
    <w:rsid w:val="000D7FD3"/>
    <w:rsid w:val="000E7E7B"/>
    <w:rsid w:val="000F3BA2"/>
    <w:rsid w:val="00103F8C"/>
    <w:rsid w:val="001175BF"/>
    <w:rsid w:val="00117795"/>
    <w:rsid w:val="001177F6"/>
    <w:rsid w:val="00130923"/>
    <w:rsid w:val="00132B66"/>
    <w:rsid w:val="001414F3"/>
    <w:rsid w:val="00143FCD"/>
    <w:rsid w:val="00152D18"/>
    <w:rsid w:val="001A495D"/>
    <w:rsid w:val="001B6467"/>
    <w:rsid w:val="001C3860"/>
    <w:rsid w:val="001C42EE"/>
    <w:rsid w:val="001C48A7"/>
    <w:rsid w:val="00202EDF"/>
    <w:rsid w:val="002076E6"/>
    <w:rsid w:val="00207E16"/>
    <w:rsid w:val="00222463"/>
    <w:rsid w:val="00223EB1"/>
    <w:rsid w:val="00236917"/>
    <w:rsid w:val="00241465"/>
    <w:rsid w:val="00243D6B"/>
    <w:rsid w:val="002534D7"/>
    <w:rsid w:val="002670C4"/>
    <w:rsid w:val="0026793C"/>
    <w:rsid w:val="002758D7"/>
    <w:rsid w:val="00276954"/>
    <w:rsid w:val="00281C07"/>
    <w:rsid w:val="002822BD"/>
    <w:rsid w:val="002A11FB"/>
    <w:rsid w:val="002B06E6"/>
    <w:rsid w:val="002C3AA1"/>
    <w:rsid w:val="002D271F"/>
    <w:rsid w:val="002D403F"/>
    <w:rsid w:val="002D6386"/>
    <w:rsid w:val="002D7D13"/>
    <w:rsid w:val="002F1999"/>
    <w:rsid w:val="00303892"/>
    <w:rsid w:val="00305B35"/>
    <w:rsid w:val="003155A7"/>
    <w:rsid w:val="003155A8"/>
    <w:rsid w:val="003166C5"/>
    <w:rsid w:val="003242B9"/>
    <w:rsid w:val="0034671D"/>
    <w:rsid w:val="00354452"/>
    <w:rsid w:val="003723BB"/>
    <w:rsid w:val="0037506D"/>
    <w:rsid w:val="003753C7"/>
    <w:rsid w:val="00376582"/>
    <w:rsid w:val="00376ED3"/>
    <w:rsid w:val="0038467B"/>
    <w:rsid w:val="00395311"/>
    <w:rsid w:val="003979FC"/>
    <w:rsid w:val="003D67FC"/>
    <w:rsid w:val="00406E5A"/>
    <w:rsid w:val="0041715E"/>
    <w:rsid w:val="0042619D"/>
    <w:rsid w:val="00443110"/>
    <w:rsid w:val="00455B34"/>
    <w:rsid w:val="00481F02"/>
    <w:rsid w:val="0048762C"/>
    <w:rsid w:val="004A3988"/>
    <w:rsid w:val="004B256F"/>
    <w:rsid w:val="004E4392"/>
    <w:rsid w:val="004F15A7"/>
    <w:rsid w:val="004F72C0"/>
    <w:rsid w:val="005113B6"/>
    <w:rsid w:val="00531817"/>
    <w:rsid w:val="00560CA0"/>
    <w:rsid w:val="005624F3"/>
    <w:rsid w:val="005811EF"/>
    <w:rsid w:val="00585156"/>
    <w:rsid w:val="005B0878"/>
    <w:rsid w:val="005B66CA"/>
    <w:rsid w:val="005C15C0"/>
    <w:rsid w:val="00610654"/>
    <w:rsid w:val="00616E2B"/>
    <w:rsid w:val="00617018"/>
    <w:rsid w:val="0062410D"/>
    <w:rsid w:val="006318B9"/>
    <w:rsid w:val="006410AE"/>
    <w:rsid w:val="00643F19"/>
    <w:rsid w:val="006503F6"/>
    <w:rsid w:val="006562D1"/>
    <w:rsid w:val="0067026C"/>
    <w:rsid w:val="006944E7"/>
    <w:rsid w:val="006C726A"/>
    <w:rsid w:val="006D6C80"/>
    <w:rsid w:val="006E126F"/>
    <w:rsid w:val="006E2D49"/>
    <w:rsid w:val="006F2974"/>
    <w:rsid w:val="006F2B89"/>
    <w:rsid w:val="00712BE3"/>
    <w:rsid w:val="007315FC"/>
    <w:rsid w:val="007468FC"/>
    <w:rsid w:val="00782F1B"/>
    <w:rsid w:val="007922AF"/>
    <w:rsid w:val="00792CA3"/>
    <w:rsid w:val="007B26E2"/>
    <w:rsid w:val="007B2FDD"/>
    <w:rsid w:val="007D58FB"/>
    <w:rsid w:val="007E0574"/>
    <w:rsid w:val="008163BB"/>
    <w:rsid w:val="00832FB2"/>
    <w:rsid w:val="0083468A"/>
    <w:rsid w:val="00837827"/>
    <w:rsid w:val="00842D43"/>
    <w:rsid w:val="00845040"/>
    <w:rsid w:val="00852067"/>
    <w:rsid w:val="00856D1C"/>
    <w:rsid w:val="00876AC0"/>
    <w:rsid w:val="008B5FB8"/>
    <w:rsid w:val="008C3EB9"/>
    <w:rsid w:val="008C4351"/>
    <w:rsid w:val="008E5219"/>
    <w:rsid w:val="008E5AC8"/>
    <w:rsid w:val="008E773B"/>
    <w:rsid w:val="00903408"/>
    <w:rsid w:val="00905AD9"/>
    <w:rsid w:val="009116EA"/>
    <w:rsid w:val="00931E30"/>
    <w:rsid w:val="00933671"/>
    <w:rsid w:val="009620E0"/>
    <w:rsid w:val="00970619"/>
    <w:rsid w:val="00971D09"/>
    <w:rsid w:val="00972BF7"/>
    <w:rsid w:val="00972DD5"/>
    <w:rsid w:val="00984879"/>
    <w:rsid w:val="00985632"/>
    <w:rsid w:val="00991B63"/>
    <w:rsid w:val="009A417C"/>
    <w:rsid w:val="009B2428"/>
    <w:rsid w:val="009B5CB7"/>
    <w:rsid w:val="009C0EA3"/>
    <w:rsid w:val="009D23FC"/>
    <w:rsid w:val="009D3C4D"/>
    <w:rsid w:val="009F3E64"/>
    <w:rsid w:val="00A0490D"/>
    <w:rsid w:val="00A1074C"/>
    <w:rsid w:val="00A145A2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A464D"/>
    <w:rsid w:val="00AB2766"/>
    <w:rsid w:val="00AB2ABB"/>
    <w:rsid w:val="00AC65DA"/>
    <w:rsid w:val="00AD09E4"/>
    <w:rsid w:val="00AD5D0A"/>
    <w:rsid w:val="00AF1737"/>
    <w:rsid w:val="00B00D12"/>
    <w:rsid w:val="00B17BB9"/>
    <w:rsid w:val="00B2722A"/>
    <w:rsid w:val="00B4243F"/>
    <w:rsid w:val="00B4447B"/>
    <w:rsid w:val="00B60E3A"/>
    <w:rsid w:val="00B618BA"/>
    <w:rsid w:val="00B82137"/>
    <w:rsid w:val="00B95503"/>
    <w:rsid w:val="00BA282D"/>
    <w:rsid w:val="00BA4D57"/>
    <w:rsid w:val="00BB6260"/>
    <w:rsid w:val="00BE33B3"/>
    <w:rsid w:val="00BE4F09"/>
    <w:rsid w:val="00BF6463"/>
    <w:rsid w:val="00C03C81"/>
    <w:rsid w:val="00C05E74"/>
    <w:rsid w:val="00C10C19"/>
    <w:rsid w:val="00C143B8"/>
    <w:rsid w:val="00C17D02"/>
    <w:rsid w:val="00C33682"/>
    <w:rsid w:val="00C35868"/>
    <w:rsid w:val="00C52261"/>
    <w:rsid w:val="00C5649C"/>
    <w:rsid w:val="00C62B9E"/>
    <w:rsid w:val="00C66021"/>
    <w:rsid w:val="00C75486"/>
    <w:rsid w:val="00C756AA"/>
    <w:rsid w:val="00C8202C"/>
    <w:rsid w:val="00C91576"/>
    <w:rsid w:val="00C92A5B"/>
    <w:rsid w:val="00CA46EC"/>
    <w:rsid w:val="00CA7C7F"/>
    <w:rsid w:val="00CB6EC3"/>
    <w:rsid w:val="00CD7531"/>
    <w:rsid w:val="00CE2AA2"/>
    <w:rsid w:val="00D05B29"/>
    <w:rsid w:val="00D12BEB"/>
    <w:rsid w:val="00D1394D"/>
    <w:rsid w:val="00D2370A"/>
    <w:rsid w:val="00D27C2D"/>
    <w:rsid w:val="00D47740"/>
    <w:rsid w:val="00D51B3A"/>
    <w:rsid w:val="00D60736"/>
    <w:rsid w:val="00D812B9"/>
    <w:rsid w:val="00D857DD"/>
    <w:rsid w:val="00D903FD"/>
    <w:rsid w:val="00D9236E"/>
    <w:rsid w:val="00D94BC5"/>
    <w:rsid w:val="00D956AC"/>
    <w:rsid w:val="00D96C08"/>
    <w:rsid w:val="00DC3052"/>
    <w:rsid w:val="00DD022D"/>
    <w:rsid w:val="00DE5F75"/>
    <w:rsid w:val="00DF46C4"/>
    <w:rsid w:val="00DF4CA3"/>
    <w:rsid w:val="00E02515"/>
    <w:rsid w:val="00E059C9"/>
    <w:rsid w:val="00E05DEA"/>
    <w:rsid w:val="00E12873"/>
    <w:rsid w:val="00E15C96"/>
    <w:rsid w:val="00E1604B"/>
    <w:rsid w:val="00E2102F"/>
    <w:rsid w:val="00E75A27"/>
    <w:rsid w:val="00E763A6"/>
    <w:rsid w:val="00EC78E7"/>
    <w:rsid w:val="00ED43D2"/>
    <w:rsid w:val="00EE3B8C"/>
    <w:rsid w:val="00EE509D"/>
    <w:rsid w:val="00EF25D6"/>
    <w:rsid w:val="00EF4A38"/>
    <w:rsid w:val="00EF5845"/>
    <w:rsid w:val="00F11B8F"/>
    <w:rsid w:val="00F15DCF"/>
    <w:rsid w:val="00F21BBD"/>
    <w:rsid w:val="00F379D0"/>
    <w:rsid w:val="00F47193"/>
    <w:rsid w:val="00F47F1F"/>
    <w:rsid w:val="00F501B4"/>
    <w:rsid w:val="00F54A90"/>
    <w:rsid w:val="00F74011"/>
    <w:rsid w:val="00F76175"/>
    <w:rsid w:val="00F80CFC"/>
    <w:rsid w:val="00F80DCB"/>
    <w:rsid w:val="00F958AE"/>
    <w:rsid w:val="00F97875"/>
    <w:rsid w:val="00FA667B"/>
    <w:rsid w:val="00FB10CB"/>
    <w:rsid w:val="00FB365C"/>
    <w:rsid w:val="00FC0308"/>
    <w:rsid w:val="00FC11B0"/>
    <w:rsid w:val="00FC5F71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F991F86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B26E2"/>
    <w:rPr>
      <w:color w:val="5227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AAB01-E58C-4841-B922-14ADCC3009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a0bbd5-585e-4472-9791-5df67fe41a90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175AD-4B50-47D6-9BDB-B2A9B5EF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Philip Seltsikas</cp:lastModifiedBy>
  <cp:revision>39</cp:revision>
  <cp:lastPrinted>2018-01-12T00:12:00Z</cp:lastPrinted>
  <dcterms:created xsi:type="dcterms:W3CDTF">2019-04-30T05:35:00Z</dcterms:created>
  <dcterms:modified xsi:type="dcterms:W3CDTF">2019-04-30T06:27:00Z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