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57E3" w14:textId="1C018A11" w:rsidR="00AB2766" w:rsidRPr="00AB2766" w:rsidRDefault="00AB2766" w:rsidP="0078291C">
      <w:pPr>
        <w:ind w:left="8789" w:right="423"/>
        <w:rPr>
          <w:sz w:val="28"/>
          <w:szCs w:val="26"/>
        </w:rPr>
      </w:pPr>
      <w:r w:rsidRPr="00AB2766">
        <w:rPr>
          <w:sz w:val="28"/>
          <w:szCs w:val="26"/>
        </w:rPr>
        <w:t>Appendix A</w:t>
      </w:r>
    </w:p>
    <w:p w14:paraId="6882F7A7" w14:textId="4242C7A3" w:rsidR="00E75A27" w:rsidRDefault="00E75A27" w:rsidP="00032FBD">
      <w:pPr>
        <w:pStyle w:val="Heading1"/>
        <w:ind w:left="1276" w:right="1132"/>
      </w:pPr>
      <w:r w:rsidRPr="00E75A27">
        <w:t>AC</w:t>
      </w:r>
      <w:r w:rsidR="00837827">
        <w:t>CESS AND PARTICIPATION PLAN 2019</w:t>
      </w:r>
    </w:p>
    <w:p w14:paraId="6C007826" w14:textId="4E507155" w:rsidR="00E75A27" w:rsidRPr="00E75A27" w:rsidRDefault="005C141F" w:rsidP="00EE3F99">
      <w:pPr>
        <w:pStyle w:val="Heading2"/>
        <w:ind w:left="1276" w:right="565"/>
      </w:pPr>
      <w:r>
        <w:t>Australian Catholic University</w:t>
      </w:r>
    </w:p>
    <w:p w14:paraId="690E4489" w14:textId="77777777" w:rsidR="00E75A27" w:rsidRPr="005F20C2" w:rsidRDefault="00E75A27" w:rsidP="00EE3F99">
      <w:pPr>
        <w:spacing w:after="0" w:line="240" w:lineRule="auto"/>
        <w:ind w:left="1276" w:right="565"/>
        <w:rPr>
          <w:rFonts w:ascii="Calibri" w:hAnsi="Calibri" w:cstheme="minorHAnsi"/>
        </w:rPr>
      </w:pPr>
    </w:p>
    <w:p w14:paraId="636829FD" w14:textId="57B2BD64" w:rsidR="00E75A27" w:rsidRDefault="00E75A27" w:rsidP="00EE3F99">
      <w:pPr>
        <w:pStyle w:val="ListNumber"/>
        <w:numPr>
          <w:ilvl w:val="0"/>
          <w:numId w:val="27"/>
        </w:numPr>
        <w:tabs>
          <w:tab w:val="left" w:pos="1701"/>
        </w:tabs>
        <w:spacing w:after="240" w:line="240" w:lineRule="auto"/>
        <w:ind w:left="1276" w:right="565" w:firstLine="0"/>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 xml:space="preserve">for improving outcomes for people from a low </w:t>
      </w:r>
      <w:r w:rsidR="00032FBD">
        <w:rPr>
          <w:sz w:val="24"/>
          <w:szCs w:val="24"/>
        </w:rPr>
        <w:t xml:space="preserve">   </w:t>
      </w:r>
      <w:r w:rsidR="00032FBD">
        <w:rPr>
          <w:sz w:val="24"/>
          <w:szCs w:val="24"/>
        </w:rPr>
        <w:tab/>
      </w:r>
      <w:r w:rsidR="00BE4F09" w:rsidRPr="00712BE3">
        <w:rPr>
          <w:sz w:val="24"/>
          <w:szCs w:val="24"/>
        </w:rPr>
        <w:t>SES background</w:t>
      </w:r>
      <w:r w:rsidRPr="00712BE3">
        <w:rPr>
          <w:sz w:val="24"/>
          <w:szCs w:val="24"/>
        </w:rPr>
        <w:t>.</w:t>
      </w:r>
    </w:p>
    <w:p w14:paraId="1103BE8B" w14:textId="49FF1E0C" w:rsidR="00A204B6" w:rsidRDefault="00A204B6" w:rsidP="00EE3F99">
      <w:pPr>
        <w:pStyle w:val="ListNumber"/>
        <w:numPr>
          <w:ilvl w:val="0"/>
          <w:numId w:val="0"/>
        </w:numPr>
        <w:spacing w:after="240" w:line="240" w:lineRule="auto"/>
        <w:ind w:left="1701" w:right="565"/>
        <w:rPr>
          <w:b/>
          <w:sz w:val="24"/>
          <w:szCs w:val="24"/>
        </w:rPr>
      </w:pPr>
    </w:p>
    <w:p w14:paraId="3B829C6B" w14:textId="3AF3C96D" w:rsidR="00A204B6" w:rsidRPr="00A204B6" w:rsidRDefault="00A204B6" w:rsidP="00A40C83">
      <w:pPr>
        <w:pStyle w:val="Heading3"/>
      </w:pPr>
      <w:bookmarkStart w:id="0" w:name="_GoBack"/>
      <w:r>
        <w:t>Equity outcomes:</w:t>
      </w:r>
    </w:p>
    <w:bookmarkEnd w:id="0"/>
    <w:p w14:paraId="7D5450A0" w14:textId="047718A4" w:rsidR="005D76E0" w:rsidRPr="009C60D9" w:rsidRDefault="006C4F5B" w:rsidP="007662F1">
      <w:pPr>
        <w:pStyle w:val="ListParagraph"/>
        <w:numPr>
          <w:ilvl w:val="0"/>
          <w:numId w:val="40"/>
        </w:numPr>
      </w:pPr>
      <w:r>
        <w:t>Increase</w:t>
      </w:r>
      <w:r w:rsidR="005D76E0" w:rsidRPr="005D76E0">
        <w:t xml:space="preserve"> participation </w:t>
      </w:r>
      <w:r w:rsidR="00886704">
        <w:t>rates</w:t>
      </w:r>
      <w:r w:rsidR="005D76E0" w:rsidRPr="005D76E0">
        <w:t xml:space="preserve"> </w:t>
      </w:r>
      <w:r w:rsidR="009C60D9">
        <w:t>for people</w:t>
      </w:r>
      <w:r w:rsidR="00032FBD">
        <w:t xml:space="preserve"> from low socio-economic </w:t>
      </w:r>
      <w:r w:rsidR="005D76E0" w:rsidRPr="009C60D9">
        <w:t>backgrounds</w:t>
      </w:r>
      <w:r w:rsidR="00886704">
        <w:t>,</w:t>
      </w:r>
      <w:r w:rsidR="005D76E0" w:rsidRPr="009C60D9">
        <w:t xml:space="preserve"> including Aboriginal and Torr</w:t>
      </w:r>
      <w:r w:rsidR="009C60D9">
        <w:t xml:space="preserve">es Strait Islander </w:t>
      </w:r>
      <w:r w:rsidR="00886704">
        <w:t>people</w:t>
      </w:r>
      <w:r w:rsidR="009C60D9">
        <w:t xml:space="preserve"> and</w:t>
      </w:r>
      <w:r w:rsidR="005D76E0" w:rsidRPr="009C60D9">
        <w:t xml:space="preserve"> </w:t>
      </w:r>
      <w:r w:rsidR="00886704">
        <w:t>people</w:t>
      </w:r>
      <w:r w:rsidR="005D76E0" w:rsidRPr="009C60D9">
        <w:t xml:space="preserve"> from regional and remote areas</w:t>
      </w:r>
    </w:p>
    <w:p w14:paraId="2274731B" w14:textId="2256EC9F" w:rsidR="005D76E0" w:rsidRDefault="005D76E0" w:rsidP="007662F1">
      <w:pPr>
        <w:pStyle w:val="ListParagraph"/>
        <w:numPr>
          <w:ilvl w:val="0"/>
          <w:numId w:val="40"/>
        </w:numPr>
      </w:pPr>
      <w:r w:rsidRPr="00886704">
        <w:t xml:space="preserve">Increase retention </w:t>
      </w:r>
      <w:r w:rsidR="00886704" w:rsidRPr="00886704">
        <w:t xml:space="preserve">and success </w:t>
      </w:r>
      <w:r w:rsidRPr="00886704">
        <w:t>rates</w:t>
      </w:r>
      <w:r w:rsidR="009C60D9" w:rsidRPr="00886704">
        <w:t xml:space="preserve"> </w:t>
      </w:r>
      <w:r w:rsidR="00886704" w:rsidRPr="00886704">
        <w:t xml:space="preserve">of </w:t>
      </w:r>
      <w:r w:rsidRPr="00886704">
        <w:t xml:space="preserve">students from </w:t>
      </w:r>
      <w:r w:rsidR="00886704">
        <w:t xml:space="preserve">low socio-economic backgrounds to be </w:t>
      </w:r>
      <w:r w:rsidRPr="00886704">
        <w:t>at or above the sector rate.</w:t>
      </w:r>
    </w:p>
    <w:p w14:paraId="7BC06387" w14:textId="5EB803C0" w:rsidR="008B2B54" w:rsidRDefault="008B2B54" w:rsidP="00EE3F99">
      <w:pPr>
        <w:pStyle w:val="ListNumber"/>
        <w:numPr>
          <w:ilvl w:val="0"/>
          <w:numId w:val="0"/>
        </w:numPr>
        <w:spacing w:after="240"/>
        <w:ind w:left="1701" w:right="565"/>
        <w:rPr>
          <w:sz w:val="24"/>
          <w:szCs w:val="24"/>
        </w:rPr>
      </w:pPr>
    </w:p>
    <w:p w14:paraId="5474C38D" w14:textId="2CF3C9D3" w:rsidR="008B01E8" w:rsidRPr="008B01E8" w:rsidRDefault="008B01E8" w:rsidP="00EE3F99">
      <w:pPr>
        <w:pStyle w:val="ListNumber"/>
        <w:numPr>
          <w:ilvl w:val="0"/>
          <w:numId w:val="0"/>
        </w:numPr>
        <w:spacing w:after="240"/>
        <w:ind w:left="1701" w:right="565"/>
        <w:rPr>
          <w:b/>
          <w:sz w:val="24"/>
          <w:szCs w:val="24"/>
        </w:rPr>
      </w:pPr>
      <w:r w:rsidRPr="008B01E8">
        <w:rPr>
          <w:b/>
          <w:sz w:val="24"/>
          <w:szCs w:val="24"/>
        </w:rPr>
        <w:t xml:space="preserve">Equity strategies: </w:t>
      </w:r>
    </w:p>
    <w:p w14:paraId="763C8381" w14:textId="59CAA093" w:rsidR="008B01E8" w:rsidRDefault="008B01E8" w:rsidP="00EE3F99">
      <w:pPr>
        <w:pStyle w:val="ListNumber"/>
        <w:numPr>
          <w:ilvl w:val="0"/>
          <w:numId w:val="0"/>
        </w:numPr>
        <w:ind w:left="1701" w:right="565"/>
        <w:rPr>
          <w:sz w:val="24"/>
          <w:szCs w:val="24"/>
        </w:rPr>
      </w:pPr>
      <w:r>
        <w:rPr>
          <w:sz w:val="24"/>
          <w:szCs w:val="24"/>
        </w:rPr>
        <w:t>B</w:t>
      </w:r>
      <w:r w:rsidR="00E0428E" w:rsidRPr="00E0428E">
        <w:rPr>
          <w:sz w:val="24"/>
          <w:szCs w:val="24"/>
        </w:rPr>
        <w:t>uilding awareness</w:t>
      </w:r>
      <w:r w:rsidR="00E0428E">
        <w:rPr>
          <w:sz w:val="24"/>
          <w:szCs w:val="24"/>
        </w:rPr>
        <w:t xml:space="preserve"> of higher education</w:t>
      </w:r>
      <w:r w:rsidR="00E0428E" w:rsidRPr="00E0428E">
        <w:rPr>
          <w:sz w:val="24"/>
          <w:szCs w:val="24"/>
        </w:rPr>
        <w:t xml:space="preserve">, informing aspirations, providing access and </w:t>
      </w:r>
      <w:r w:rsidR="00E0428E">
        <w:rPr>
          <w:sz w:val="24"/>
          <w:szCs w:val="24"/>
        </w:rPr>
        <w:t xml:space="preserve">enabling </w:t>
      </w:r>
      <w:r>
        <w:rPr>
          <w:sz w:val="24"/>
          <w:szCs w:val="24"/>
        </w:rPr>
        <w:t>successful participation</w:t>
      </w:r>
      <w:r w:rsidR="00180042">
        <w:rPr>
          <w:sz w:val="24"/>
          <w:szCs w:val="24"/>
        </w:rPr>
        <w:t xml:space="preserve"> and attainment</w:t>
      </w:r>
      <w:r>
        <w:rPr>
          <w:sz w:val="24"/>
          <w:szCs w:val="24"/>
        </w:rPr>
        <w:t xml:space="preserve"> </w:t>
      </w:r>
      <w:r w:rsidR="00E0428E" w:rsidRPr="00E0428E">
        <w:rPr>
          <w:sz w:val="24"/>
          <w:szCs w:val="24"/>
        </w:rPr>
        <w:t xml:space="preserve">in higher education is the focus of </w:t>
      </w:r>
      <w:r>
        <w:rPr>
          <w:sz w:val="24"/>
          <w:szCs w:val="24"/>
        </w:rPr>
        <w:t>ACU’s Widening Participation s</w:t>
      </w:r>
      <w:r w:rsidR="00E0428E" w:rsidRPr="00E0428E">
        <w:rPr>
          <w:sz w:val="24"/>
          <w:szCs w:val="24"/>
        </w:rPr>
        <w:t xml:space="preserve">trategy activities. </w:t>
      </w:r>
      <w:r>
        <w:rPr>
          <w:sz w:val="24"/>
          <w:szCs w:val="24"/>
        </w:rPr>
        <w:t xml:space="preserve"> The strategies and activities are embedded throughout the student lifecycle:</w:t>
      </w:r>
    </w:p>
    <w:p w14:paraId="59E10BAF" w14:textId="33CA2340" w:rsidR="00E0428E" w:rsidRPr="00E0428E" w:rsidRDefault="00874388" w:rsidP="00EE3F99">
      <w:pPr>
        <w:pStyle w:val="ListNumber"/>
        <w:numPr>
          <w:ilvl w:val="0"/>
          <w:numId w:val="36"/>
        </w:numPr>
        <w:ind w:left="1985" w:right="565" w:hanging="284"/>
        <w:rPr>
          <w:sz w:val="24"/>
          <w:szCs w:val="24"/>
        </w:rPr>
      </w:pPr>
      <w:r>
        <w:rPr>
          <w:sz w:val="24"/>
          <w:szCs w:val="24"/>
        </w:rPr>
        <w:t>Pre-Access: Partnership with schools and communities to facilitate w</w:t>
      </w:r>
      <w:r w:rsidR="005C6597">
        <w:rPr>
          <w:sz w:val="24"/>
          <w:szCs w:val="24"/>
        </w:rPr>
        <w:t xml:space="preserve">idening participation </w:t>
      </w:r>
      <w:r>
        <w:rPr>
          <w:sz w:val="24"/>
          <w:szCs w:val="24"/>
        </w:rPr>
        <w:t>strategies and programs</w:t>
      </w:r>
    </w:p>
    <w:p w14:paraId="298A24B3" w14:textId="77777777" w:rsidR="00E0428E" w:rsidRPr="00E0428E" w:rsidRDefault="00E0428E" w:rsidP="00EE3F99">
      <w:pPr>
        <w:pStyle w:val="ListNumber"/>
        <w:numPr>
          <w:ilvl w:val="0"/>
          <w:numId w:val="36"/>
        </w:numPr>
        <w:spacing w:after="240"/>
        <w:ind w:left="1985" w:right="565" w:hanging="284"/>
        <w:rPr>
          <w:sz w:val="24"/>
          <w:szCs w:val="24"/>
        </w:rPr>
      </w:pPr>
      <w:r w:rsidRPr="00E0428E">
        <w:rPr>
          <w:sz w:val="24"/>
          <w:szCs w:val="24"/>
        </w:rPr>
        <w:t xml:space="preserve">Access: Pathways and admissions (including enabling pathways) </w:t>
      </w:r>
    </w:p>
    <w:p w14:paraId="33AE9EA0" w14:textId="7B32E453" w:rsidR="00E0428E" w:rsidRPr="00E0428E" w:rsidRDefault="00E0428E" w:rsidP="00EE3F99">
      <w:pPr>
        <w:pStyle w:val="ListNumber"/>
        <w:numPr>
          <w:ilvl w:val="0"/>
          <w:numId w:val="36"/>
        </w:numPr>
        <w:spacing w:after="240"/>
        <w:ind w:left="1985" w:right="565" w:hanging="284"/>
        <w:rPr>
          <w:sz w:val="24"/>
          <w:szCs w:val="24"/>
        </w:rPr>
      </w:pPr>
      <w:r w:rsidRPr="00E0428E">
        <w:rPr>
          <w:sz w:val="24"/>
          <w:szCs w:val="24"/>
        </w:rPr>
        <w:t xml:space="preserve">Participation: Transition, engagement and progression </w:t>
      </w:r>
      <w:r w:rsidR="005C6597">
        <w:rPr>
          <w:sz w:val="24"/>
          <w:szCs w:val="24"/>
        </w:rPr>
        <w:t>programs to improve retention</w:t>
      </w:r>
    </w:p>
    <w:p w14:paraId="7AE4F84E" w14:textId="139270A6" w:rsidR="00A204B6" w:rsidRPr="00F20829" w:rsidRDefault="00E0428E" w:rsidP="00EE3F99">
      <w:pPr>
        <w:pStyle w:val="ListNumber"/>
        <w:numPr>
          <w:ilvl w:val="0"/>
          <w:numId w:val="36"/>
        </w:numPr>
        <w:spacing w:after="240"/>
        <w:ind w:left="1985" w:right="565" w:hanging="284"/>
        <w:rPr>
          <w:sz w:val="24"/>
          <w:szCs w:val="24"/>
        </w:rPr>
      </w:pPr>
      <w:r w:rsidRPr="00E0428E">
        <w:rPr>
          <w:sz w:val="24"/>
          <w:szCs w:val="24"/>
        </w:rPr>
        <w:t>Attainment</w:t>
      </w:r>
      <w:r w:rsidR="005C6597">
        <w:rPr>
          <w:sz w:val="24"/>
          <w:szCs w:val="24"/>
        </w:rPr>
        <w:t>: Inclusive learning and teaching pedagogical development</w:t>
      </w:r>
    </w:p>
    <w:p w14:paraId="2D36270A" w14:textId="58414667" w:rsidR="00395311" w:rsidRPr="00712BE3" w:rsidRDefault="00395311" w:rsidP="00EE3F99">
      <w:pPr>
        <w:pStyle w:val="ListNumber"/>
        <w:numPr>
          <w:ilvl w:val="0"/>
          <w:numId w:val="0"/>
        </w:numPr>
        <w:spacing w:after="240" w:line="240" w:lineRule="auto"/>
        <w:ind w:left="1701" w:right="565"/>
        <w:rPr>
          <w:sz w:val="24"/>
          <w:szCs w:val="24"/>
        </w:rPr>
      </w:pPr>
    </w:p>
    <w:p w14:paraId="186F897B" w14:textId="590E4390" w:rsidR="00395311" w:rsidRDefault="00E75A27" w:rsidP="00EE3F99">
      <w:pPr>
        <w:pStyle w:val="ListNumber"/>
        <w:numPr>
          <w:ilvl w:val="0"/>
          <w:numId w:val="27"/>
        </w:numPr>
        <w:spacing w:after="240" w:line="240" w:lineRule="auto"/>
        <w:ind w:left="1701" w:right="565" w:hanging="425"/>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1342D6B0" w14:textId="21917155" w:rsidR="007F4DC6" w:rsidRDefault="007F4DC6" w:rsidP="00EE3F99">
      <w:pPr>
        <w:pStyle w:val="ListNumber"/>
        <w:numPr>
          <w:ilvl w:val="0"/>
          <w:numId w:val="0"/>
        </w:numPr>
        <w:spacing w:after="240" w:line="240" w:lineRule="auto"/>
        <w:ind w:left="1701" w:right="565"/>
        <w:rPr>
          <w:b/>
          <w:sz w:val="24"/>
          <w:szCs w:val="24"/>
        </w:rPr>
      </w:pPr>
    </w:p>
    <w:p w14:paraId="63B5916F" w14:textId="0B0C0DBF" w:rsidR="007F4DC6" w:rsidRDefault="007F4DC6" w:rsidP="00EE3F99">
      <w:pPr>
        <w:pStyle w:val="ListNumber"/>
        <w:numPr>
          <w:ilvl w:val="0"/>
          <w:numId w:val="0"/>
        </w:numPr>
        <w:spacing w:after="240" w:line="240" w:lineRule="auto"/>
        <w:ind w:left="1701" w:right="565"/>
        <w:rPr>
          <w:b/>
          <w:sz w:val="24"/>
          <w:szCs w:val="24"/>
        </w:rPr>
      </w:pPr>
      <w:r>
        <w:rPr>
          <w:b/>
          <w:sz w:val="24"/>
          <w:szCs w:val="24"/>
        </w:rPr>
        <w:t>Pre-Access &amp; Access:</w:t>
      </w:r>
    </w:p>
    <w:p w14:paraId="687802DE" w14:textId="4EBD6F5F" w:rsidR="007F4DC6" w:rsidRDefault="007F4DC6" w:rsidP="00EE3F99">
      <w:pPr>
        <w:pStyle w:val="ListNumber"/>
        <w:numPr>
          <w:ilvl w:val="0"/>
          <w:numId w:val="0"/>
        </w:numPr>
        <w:spacing w:after="240" w:line="240" w:lineRule="auto"/>
        <w:ind w:left="1701" w:right="565"/>
        <w:rPr>
          <w:b/>
          <w:sz w:val="24"/>
          <w:szCs w:val="24"/>
        </w:rPr>
      </w:pPr>
    </w:p>
    <w:p w14:paraId="54666C46" w14:textId="66193ADE" w:rsidR="007F4DC6" w:rsidRDefault="00F577B8" w:rsidP="00EE3F99">
      <w:pPr>
        <w:pStyle w:val="ListNumber"/>
        <w:numPr>
          <w:ilvl w:val="0"/>
          <w:numId w:val="0"/>
        </w:numPr>
        <w:spacing w:after="240" w:line="240" w:lineRule="auto"/>
        <w:ind w:left="1701" w:right="565"/>
        <w:rPr>
          <w:sz w:val="24"/>
          <w:szCs w:val="24"/>
        </w:rPr>
      </w:pPr>
      <w:r>
        <w:rPr>
          <w:sz w:val="24"/>
          <w:szCs w:val="24"/>
        </w:rPr>
        <w:t>First People’s and Equity Pathways Directorate w</w:t>
      </w:r>
      <w:r w:rsidR="0050756B">
        <w:rPr>
          <w:sz w:val="24"/>
          <w:szCs w:val="24"/>
        </w:rPr>
        <w:t>idening participation programs delivered in collaboration with partner school and community organisations:</w:t>
      </w:r>
    </w:p>
    <w:p w14:paraId="06BF1097" w14:textId="5B508F27" w:rsidR="0050756B" w:rsidRDefault="0050756B" w:rsidP="00EE3F99">
      <w:pPr>
        <w:pStyle w:val="ListNumber"/>
        <w:numPr>
          <w:ilvl w:val="0"/>
          <w:numId w:val="36"/>
        </w:numPr>
        <w:spacing w:after="240" w:line="240" w:lineRule="auto"/>
        <w:ind w:left="1985" w:right="565" w:hanging="284"/>
        <w:rPr>
          <w:sz w:val="24"/>
          <w:szCs w:val="24"/>
        </w:rPr>
      </w:pPr>
      <w:r>
        <w:rPr>
          <w:sz w:val="24"/>
          <w:szCs w:val="24"/>
        </w:rPr>
        <w:t>Explore your Future programs</w:t>
      </w:r>
      <w:r w:rsidR="00AA12B8">
        <w:rPr>
          <w:sz w:val="24"/>
          <w:szCs w:val="24"/>
        </w:rPr>
        <w:t>: High Schools &amp; Primary Schools: in-school and on-campus programs designed to raise awareness of the benefits of higher education and possible career paths; build and inform aspirations for higher education. This is achieved through peer assisted educational activities which promote engagement in learning and demonstrate the links between learning, higher education and career pathways</w:t>
      </w:r>
    </w:p>
    <w:p w14:paraId="323044B1" w14:textId="0D965C12" w:rsidR="00AA12B8" w:rsidRDefault="00AA12B8" w:rsidP="00EE3F99">
      <w:pPr>
        <w:pStyle w:val="ListNumber"/>
        <w:numPr>
          <w:ilvl w:val="0"/>
          <w:numId w:val="36"/>
        </w:numPr>
        <w:spacing w:after="240" w:line="240" w:lineRule="auto"/>
        <w:ind w:left="1985" w:right="565" w:hanging="284"/>
        <w:rPr>
          <w:sz w:val="24"/>
          <w:szCs w:val="24"/>
        </w:rPr>
      </w:pPr>
      <w:r>
        <w:rPr>
          <w:sz w:val="24"/>
          <w:szCs w:val="24"/>
        </w:rPr>
        <w:t>Academic Workshops: High Schools: Year 12 workshops to provide academic enrichment opportunities</w:t>
      </w:r>
    </w:p>
    <w:p w14:paraId="5C56E951" w14:textId="77777777" w:rsidR="00EE3F99" w:rsidRDefault="00EE3F99" w:rsidP="00EE3F99">
      <w:pPr>
        <w:pStyle w:val="ListNumber"/>
        <w:numPr>
          <w:ilvl w:val="0"/>
          <w:numId w:val="0"/>
        </w:numPr>
        <w:spacing w:after="240" w:line="240" w:lineRule="auto"/>
        <w:ind w:left="1985" w:right="565"/>
        <w:rPr>
          <w:sz w:val="24"/>
          <w:szCs w:val="24"/>
        </w:rPr>
      </w:pPr>
    </w:p>
    <w:p w14:paraId="179995F7" w14:textId="6E063948" w:rsidR="00AA12B8" w:rsidRDefault="00AA12B8" w:rsidP="00EE3F99">
      <w:pPr>
        <w:pStyle w:val="ListNumber"/>
        <w:numPr>
          <w:ilvl w:val="0"/>
          <w:numId w:val="36"/>
        </w:numPr>
        <w:spacing w:after="240" w:line="240" w:lineRule="auto"/>
        <w:ind w:left="1985" w:right="565" w:hanging="284"/>
        <w:rPr>
          <w:sz w:val="24"/>
          <w:szCs w:val="24"/>
        </w:rPr>
      </w:pPr>
      <w:r>
        <w:rPr>
          <w:sz w:val="24"/>
          <w:szCs w:val="24"/>
        </w:rPr>
        <w:lastRenderedPageBreak/>
        <w:t>Uni Step Up Programs</w:t>
      </w:r>
      <w:r w:rsidR="009407C6">
        <w:rPr>
          <w:sz w:val="24"/>
          <w:szCs w:val="24"/>
        </w:rPr>
        <w:t xml:space="preserve">: </w:t>
      </w:r>
      <w:r w:rsidR="00FA5981">
        <w:rPr>
          <w:sz w:val="24"/>
          <w:szCs w:val="24"/>
        </w:rPr>
        <w:t>High School students in partner schools can experience university life by studying a first-year undergraduate unit at ACU whilst in year 11 or 12.  Credit points are given towards a related undergraduate degree for the successful completion of the unit.</w:t>
      </w:r>
    </w:p>
    <w:p w14:paraId="15BBE299" w14:textId="28D5E17D" w:rsidR="00AA12B8" w:rsidRDefault="00AA12B8" w:rsidP="00EE3F99">
      <w:pPr>
        <w:pStyle w:val="ListNumber"/>
        <w:numPr>
          <w:ilvl w:val="0"/>
          <w:numId w:val="36"/>
        </w:numPr>
        <w:spacing w:after="240" w:line="240" w:lineRule="auto"/>
        <w:ind w:left="1985" w:right="565" w:hanging="284"/>
        <w:rPr>
          <w:sz w:val="24"/>
          <w:szCs w:val="24"/>
        </w:rPr>
      </w:pPr>
      <w:r>
        <w:rPr>
          <w:sz w:val="24"/>
          <w:szCs w:val="24"/>
        </w:rPr>
        <w:t>Teacher Professional Development: Partner schools can access teacher professional development opportunities at ACU to contribute to building school capacity</w:t>
      </w:r>
    </w:p>
    <w:p w14:paraId="05B88D05" w14:textId="3CD8EA18" w:rsidR="007F4DC6" w:rsidRDefault="00242942" w:rsidP="00EE3F99">
      <w:pPr>
        <w:pStyle w:val="ListNumber"/>
        <w:numPr>
          <w:ilvl w:val="0"/>
          <w:numId w:val="36"/>
        </w:numPr>
        <w:spacing w:after="240" w:line="240" w:lineRule="auto"/>
        <w:ind w:left="1985" w:right="565" w:hanging="284"/>
        <w:rPr>
          <w:sz w:val="24"/>
          <w:szCs w:val="24"/>
        </w:rPr>
      </w:pPr>
      <w:r>
        <w:rPr>
          <w:sz w:val="24"/>
          <w:szCs w:val="24"/>
        </w:rPr>
        <w:t xml:space="preserve">Access programs: ACU Schools Recommendation Program provides access into ACU for students of partner schools; ACU College (articulation of diploma courses and certificate IV courses into undergraduate degree courses); </w:t>
      </w:r>
    </w:p>
    <w:p w14:paraId="4C32B3FC" w14:textId="0186E6BA" w:rsidR="004B24A9" w:rsidRDefault="004B24A9" w:rsidP="00EE3F99">
      <w:pPr>
        <w:pStyle w:val="ListNumber"/>
        <w:numPr>
          <w:ilvl w:val="0"/>
          <w:numId w:val="36"/>
        </w:numPr>
        <w:spacing w:after="240" w:line="240" w:lineRule="auto"/>
        <w:ind w:left="1985" w:right="565" w:hanging="284"/>
        <w:rPr>
          <w:sz w:val="24"/>
          <w:szCs w:val="24"/>
        </w:rPr>
      </w:pPr>
      <w:r>
        <w:rPr>
          <w:sz w:val="24"/>
          <w:szCs w:val="24"/>
        </w:rPr>
        <w:t xml:space="preserve">Engage with Aboriginal and Torres Strait Islander communities in collaboration with ACU’s Indigenous Higher Education Units to increase </w:t>
      </w:r>
      <w:r w:rsidR="00612380">
        <w:rPr>
          <w:sz w:val="24"/>
          <w:szCs w:val="24"/>
        </w:rPr>
        <w:t xml:space="preserve">motivation towards higher education </w:t>
      </w:r>
      <w:r>
        <w:rPr>
          <w:sz w:val="24"/>
          <w:szCs w:val="24"/>
        </w:rPr>
        <w:t>participation for Aboriginal and Torres Strait Islander students from low socio-economic backgrounds</w:t>
      </w:r>
    </w:p>
    <w:p w14:paraId="7EDE19F0" w14:textId="158C8C15" w:rsidR="004B24A9" w:rsidRPr="004B24A9" w:rsidRDefault="004B24A9" w:rsidP="00EE3F99">
      <w:pPr>
        <w:pStyle w:val="ListNumber"/>
        <w:numPr>
          <w:ilvl w:val="0"/>
          <w:numId w:val="36"/>
        </w:numPr>
        <w:spacing w:after="240" w:line="240" w:lineRule="auto"/>
        <w:ind w:left="1985" w:right="565" w:hanging="284"/>
        <w:rPr>
          <w:sz w:val="24"/>
          <w:szCs w:val="24"/>
        </w:rPr>
      </w:pPr>
      <w:r>
        <w:rPr>
          <w:sz w:val="24"/>
          <w:szCs w:val="24"/>
        </w:rPr>
        <w:t>Continued development of practice and research informed widening participation programs</w:t>
      </w:r>
    </w:p>
    <w:p w14:paraId="7B5487EA" w14:textId="4ECF6832" w:rsidR="007F4DC6" w:rsidRDefault="007F4DC6" w:rsidP="00EE3F99">
      <w:pPr>
        <w:pStyle w:val="ListNumber"/>
        <w:numPr>
          <w:ilvl w:val="0"/>
          <w:numId w:val="0"/>
        </w:numPr>
        <w:spacing w:after="240" w:line="240" w:lineRule="auto"/>
        <w:ind w:left="1701" w:right="565"/>
        <w:rPr>
          <w:b/>
          <w:sz w:val="24"/>
          <w:szCs w:val="24"/>
        </w:rPr>
      </w:pPr>
    </w:p>
    <w:p w14:paraId="05DD20D5" w14:textId="269DB13A" w:rsidR="007F4DC6" w:rsidRDefault="007F4DC6" w:rsidP="00EE3F99">
      <w:pPr>
        <w:pStyle w:val="ListNumber"/>
        <w:numPr>
          <w:ilvl w:val="0"/>
          <w:numId w:val="0"/>
        </w:numPr>
        <w:spacing w:after="240" w:line="240" w:lineRule="auto"/>
        <w:ind w:left="1701" w:right="565"/>
        <w:rPr>
          <w:b/>
          <w:sz w:val="24"/>
          <w:szCs w:val="24"/>
        </w:rPr>
      </w:pPr>
      <w:r>
        <w:rPr>
          <w:b/>
          <w:sz w:val="24"/>
          <w:szCs w:val="24"/>
        </w:rPr>
        <w:t>Participation</w:t>
      </w:r>
      <w:r w:rsidR="009407C6">
        <w:rPr>
          <w:b/>
          <w:sz w:val="24"/>
          <w:szCs w:val="24"/>
        </w:rPr>
        <w:t xml:space="preserve"> and Attainment</w:t>
      </w:r>
      <w:r>
        <w:rPr>
          <w:b/>
          <w:sz w:val="24"/>
          <w:szCs w:val="24"/>
        </w:rPr>
        <w:t>:</w:t>
      </w:r>
    </w:p>
    <w:p w14:paraId="18AE7C47" w14:textId="239B3AAA" w:rsidR="007F4DC6" w:rsidRDefault="007F4DC6" w:rsidP="00EE3F99">
      <w:pPr>
        <w:pStyle w:val="ListNumber"/>
        <w:numPr>
          <w:ilvl w:val="0"/>
          <w:numId w:val="0"/>
        </w:numPr>
        <w:spacing w:after="240" w:line="240" w:lineRule="auto"/>
        <w:ind w:left="1701" w:right="565"/>
        <w:rPr>
          <w:b/>
          <w:sz w:val="24"/>
          <w:szCs w:val="24"/>
        </w:rPr>
      </w:pPr>
    </w:p>
    <w:p w14:paraId="15264980" w14:textId="48B265FB" w:rsidR="00F83171" w:rsidRPr="00F83171" w:rsidRDefault="00F83171" w:rsidP="00EE3F99">
      <w:pPr>
        <w:pStyle w:val="ListNumber"/>
        <w:numPr>
          <w:ilvl w:val="0"/>
          <w:numId w:val="0"/>
        </w:numPr>
        <w:spacing w:after="240" w:line="240" w:lineRule="auto"/>
        <w:ind w:left="1701" w:right="565"/>
        <w:rPr>
          <w:sz w:val="24"/>
          <w:szCs w:val="24"/>
        </w:rPr>
      </w:pPr>
      <w:r w:rsidRPr="00F83171">
        <w:rPr>
          <w:sz w:val="24"/>
          <w:szCs w:val="24"/>
        </w:rPr>
        <w:t xml:space="preserve">Transition, retention and success </w:t>
      </w:r>
      <w:r>
        <w:rPr>
          <w:sz w:val="24"/>
          <w:szCs w:val="24"/>
        </w:rPr>
        <w:t xml:space="preserve">strategies </w:t>
      </w:r>
      <w:r w:rsidR="006770A2">
        <w:rPr>
          <w:sz w:val="24"/>
          <w:szCs w:val="24"/>
        </w:rPr>
        <w:t xml:space="preserve">for students from low socio-economic backgrounds </w:t>
      </w:r>
      <w:r w:rsidRPr="00F83171">
        <w:rPr>
          <w:sz w:val="24"/>
          <w:szCs w:val="24"/>
        </w:rPr>
        <w:t xml:space="preserve">are </w:t>
      </w:r>
      <w:r>
        <w:rPr>
          <w:sz w:val="24"/>
          <w:szCs w:val="24"/>
        </w:rPr>
        <w:t xml:space="preserve">developed, embedded and delivered as a </w:t>
      </w:r>
      <w:r w:rsidR="00D86B0D">
        <w:rPr>
          <w:sz w:val="24"/>
          <w:szCs w:val="24"/>
        </w:rPr>
        <w:t xml:space="preserve">central </w:t>
      </w:r>
      <w:r>
        <w:rPr>
          <w:sz w:val="24"/>
          <w:szCs w:val="24"/>
        </w:rPr>
        <w:t xml:space="preserve">focus </w:t>
      </w:r>
      <w:r w:rsidR="00D86B0D">
        <w:rPr>
          <w:sz w:val="24"/>
          <w:szCs w:val="24"/>
        </w:rPr>
        <w:t>throughout the whole of ACU:</w:t>
      </w:r>
    </w:p>
    <w:p w14:paraId="4EEB8D0C" w14:textId="104AC652" w:rsidR="00D86B0D" w:rsidRDefault="00D86B0D" w:rsidP="00EE3F99">
      <w:pPr>
        <w:pStyle w:val="ListNumber"/>
        <w:numPr>
          <w:ilvl w:val="0"/>
          <w:numId w:val="36"/>
        </w:numPr>
        <w:spacing w:after="240" w:line="240" w:lineRule="auto"/>
        <w:ind w:left="1985" w:right="565" w:hanging="284"/>
        <w:rPr>
          <w:sz w:val="24"/>
          <w:szCs w:val="24"/>
        </w:rPr>
      </w:pPr>
      <w:r>
        <w:rPr>
          <w:sz w:val="24"/>
          <w:szCs w:val="24"/>
        </w:rPr>
        <w:t xml:space="preserve">Learning for Life: ACU’s Learning and Teaching Framework assists development of curriculum, educational technology use and teaching methodology to improve retention and success </w:t>
      </w:r>
      <w:r w:rsidR="006770A2">
        <w:rPr>
          <w:sz w:val="24"/>
          <w:szCs w:val="24"/>
        </w:rPr>
        <w:t>for</w:t>
      </w:r>
      <w:r>
        <w:rPr>
          <w:sz w:val="24"/>
          <w:szCs w:val="24"/>
        </w:rPr>
        <w:t xml:space="preserve"> students from low socio-economic backgrounds</w:t>
      </w:r>
    </w:p>
    <w:p w14:paraId="50FE0A2A" w14:textId="77777777" w:rsidR="006770A2" w:rsidRDefault="00D86B0D" w:rsidP="00EE3F99">
      <w:pPr>
        <w:pStyle w:val="ListNumber"/>
        <w:numPr>
          <w:ilvl w:val="0"/>
          <w:numId w:val="36"/>
        </w:numPr>
        <w:spacing w:after="240" w:line="240" w:lineRule="auto"/>
        <w:ind w:left="1985" w:right="565" w:hanging="284"/>
        <w:rPr>
          <w:sz w:val="24"/>
          <w:szCs w:val="24"/>
        </w:rPr>
      </w:pPr>
      <w:r>
        <w:rPr>
          <w:sz w:val="24"/>
          <w:szCs w:val="24"/>
        </w:rPr>
        <w:t xml:space="preserve">Office of Student Success </w:t>
      </w:r>
      <w:r w:rsidR="006770A2">
        <w:rPr>
          <w:sz w:val="24"/>
          <w:szCs w:val="24"/>
        </w:rPr>
        <w:t>services including:</w:t>
      </w:r>
    </w:p>
    <w:p w14:paraId="5741A9D5" w14:textId="1160954E" w:rsidR="007F4DC6" w:rsidRDefault="007F4DC6" w:rsidP="00EE3F99">
      <w:pPr>
        <w:pStyle w:val="ListNumber"/>
        <w:numPr>
          <w:ilvl w:val="0"/>
          <w:numId w:val="39"/>
        </w:numPr>
        <w:spacing w:after="240" w:line="240" w:lineRule="auto"/>
        <w:ind w:left="2268" w:right="565" w:hanging="284"/>
        <w:rPr>
          <w:sz w:val="24"/>
          <w:szCs w:val="24"/>
        </w:rPr>
      </w:pPr>
      <w:r>
        <w:rPr>
          <w:sz w:val="24"/>
          <w:szCs w:val="24"/>
        </w:rPr>
        <w:t xml:space="preserve">Connect2Uni: </w:t>
      </w:r>
      <w:r w:rsidR="009C60D9">
        <w:rPr>
          <w:sz w:val="24"/>
          <w:szCs w:val="24"/>
        </w:rPr>
        <w:t xml:space="preserve"> </w:t>
      </w:r>
      <w:r w:rsidR="00D86B0D">
        <w:rPr>
          <w:sz w:val="24"/>
          <w:szCs w:val="24"/>
        </w:rPr>
        <w:t>a transition program for students from low socio-economic backgrounds</w:t>
      </w:r>
    </w:p>
    <w:p w14:paraId="033BD728" w14:textId="44262432" w:rsidR="00D86B0D" w:rsidRDefault="00D86B0D" w:rsidP="00EE3F99">
      <w:pPr>
        <w:pStyle w:val="ListNumber"/>
        <w:numPr>
          <w:ilvl w:val="0"/>
          <w:numId w:val="39"/>
        </w:numPr>
        <w:spacing w:after="240" w:line="240" w:lineRule="auto"/>
        <w:ind w:left="2268" w:right="565" w:hanging="284"/>
        <w:rPr>
          <w:sz w:val="24"/>
          <w:szCs w:val="24"/>
        </w:rPr>
      </w:pPr>
      <w:r>
        <w:rPr>
          <w:sz w:val="24"/>
          <w:szCs w:val="24"/>
        </w:rPr>
        <w:t>Peer Assisted Student Sessions (PASS) for first year undergraduate units</w:t>
      </w:r>
    </w:p>
    <w:p w14:paraId="60642FE3" w14:textId="3473081D" w:rsidR="00D86B0D" w:rsidRDefault="00D86B0D" w:rsidP="00EE3F99">
      <w:pPr>
        <w:pStyle w:val="ListNumber"/>
        <w:numPr>
          <w:ilvl w:val="0"/>
          <w:numId w:val="39"/>
        </w:numPr>
        <w:spacing w:after="240" w:line="240" w:lineRule="auto"/>
        <w:ind w:left="2268" w:right="565" w:hanging="284"/>
        <w:rPr>
          <w:sz w:val="24"/>
          <w:szCs w:val="24"/>
        </w:rPr>
      </w:pPr>
      <w:r>
        <w:rPr>
          <w:sz w:val="24"/>
          <w:szCs w:val="24"/>
        </w:rPr>
        <w:t>Academic skills support</w:t>
      </w:r>
    </w:p>
    <w:p w14:paraId="3C0B1401" w14:textId="6FADFCDE" w:rsidR="006770A2" w:rsidRDefault="00F577B8" w:rsidP="00EE3F99">
      <w:pPr>
        <w:pStyle w:val="ListNumber"/>
        <w:numPr>
          <w:ilvl w:val="0"/>
          <w:numId w:val="36"/>
        </w:numPr>
        <w:spacing w:after="240" w:line="240" w:lineRule="auto"/>
        <w:ind w:left="1985" w:right="565" w:hanging="284"/>
        <w:rPr>
          <w:sz w:val="24"/>
          <w:szCs w:val="24"/>
        </w:rPr>
      </w:pPr>
      <w:r>
        <w:rPr>
          <w:sz w:val="24"/>
          <w:szCs w:val="24"/>
        </w:rPr>
        <w:t>Faculty</w:t>
      </w:r>
      <w:r w:rsidR="006770A2">
        <w:rPr>
          <w:sz w:val="24"/>
          <w:szCs w:val="24"/>
        </w:rPr>
        <w:t xml:space="preserve"> development and provision of engagement, retention and success strategies including:</w:t>
      </w:r>
    </w:p>
    <w:p w14:paraId="01987201" w14:textId="66F533B7" w:rsidR="006770A2" w:rsidRDefault="00F577B8" w:rsidP="00EE3F99">
      <w:pPr>
        <w:pStyle w:val="ListNumber"/>
        <w:numPr>
          <w:ilvl w:val="0"/>
          <w:numId w:val="39"/>
        </w:numPr>
        <w:spacing w:after="240" w:line="240" w:lineRule="auto"/>
        <w:ind w:left="2268" w:right="565" w:hanging="284"/>
        <w:rPr>
          <w:sz w:val="24"/>
          <w:szCs w:val="24"/>
        </w:rPr>
      </w:pPr>
      <w:r>
        <w:rPr>
          <w:sz w:val="24"/>
          <w:szCs w:val="24"/>
        </w:rPr>
        <w:t>National Educating Teachers</w:t>
      </w:r>
      <w:r w:rsidR="006770A2">
        <w:rPr>
          <w:sz w:val="24"/>
          <w:szCs w:val="24"/>
        </w:rPr>
        <w:t xml:space="preserve"> in Disadvantaged Schools Program</w:t>
      </w:r>
    </w:p>
    <w:p w14:paraId="743B0EC8" w14:textId="6B100B7E" w:rsidR="006770A2" w:rsidRPr="006770A2" w:rsidRDefault="006770A2" w:rsidP="00EE3F99">
      <w:pPr>
        <w:pStyle w:val="ListNumber"/>
        <w:numPr>
          <w:ilvl w:val="0"/>
          <w:numId w:val="39"/>
        </w:numPr>
        <w:spacing w:after="240" w:line="240" w:lineRule="auto"/>
        <w:ind w:left="2268" w:right="565" w:hanging="284"/>
        <w:rPr>
          <w:sz w:val="24"/>
          <w:szCs w:val="24"/>
        </w:rPr>
      </w:pPr>
      <w:r>
        <w:rPr>
          <w:sz w:val="24"/>
          <w:szCs w:val="24"/>
        </w:rPr>
        <w:t>Catholic Teachers Education Consortium</w:t>
      </w:r>
    </w:p>
    <w:p w14:paraId="6A1E68D4" w14:textId="7498761B" w:rsidR="007F4DC6" w:rsidRPr="00F577B8" w:rsidRDefault="006770A2" w:rsidP="00EE3F99">
      <w:pPr>
        <w:pStyle w:val="ListNumber"/>
        <w:numPr>
          <w:ilvl w:val="0"/>
          <w:numId w:val="36"/>
        </w:numPr>
        <w:spacing w:after="240" w:line="240" w:lineRule="auto"/>
        <w:ind w:left="1985" w:right="565" w:hanging="284"/>
        <w:rPr>
          <w:b/>
          <w:sz w:val="24"/>
          <w:szCs w:val="24"/>
        </w:rPr>
      </w:pPr>
      <w:r>
        <w:rPr>
          <w:sz w:val="24"/>
          <w:szCs w:val="24"/>
        </w:rPr>
        <w:t>Transiti</w:t>
      </w:r>
      <w:r w:rsidR="00F577B8">
        <w:rPr>
          <w:sz w:val="24"/>
          <w:szCs w:val="24"/>
        </w:rPr>
        <w:t>on, Success and Retention Unit: Retention coordinator</w:t>
      </w:r>
    </w:p>
    <w:p w14:paraId="64188448" w14:textId="7FAFC696" w:rsidR="00F577B8" w:rsidRPr="00F577B8" w:rsidRDefault="00F577B8" w:rsidP="00EE3F99">
      <w:pPr>
        <w:pStyle w:val="ListNumber"/>
        <w:numPr>
          <w:ilvl w:val="0"/>
          <w:numId w:val="36"/>
        </w:numPr>
        <w:spacing w:after="240" w:line="240" w:lineRule="auto"/>
        <w:ind w:left="1985" w:right="565" w:hanging="284"/>
        <w:rPr>
          <w:b/>
          <w:sz w:val="24"/>
          <w:szCs w:val="24"/>
        </w:rPr>
      </w:pPr>
      <w:r>
        <w:rPr>
          <w:sz w:val="24"/>
          <w:szCs w:val="24"/>
        </w:rPr>
        <w:t>Learning and Teaching Centre: Evaluation unit</w:t>
      </w:r>
    </w:p>
    <w:p w14:paraId="753A5B6D" w14:textId="77777777" w:rsidR="00695894" w:rsidRDefault="00F577B8" w:rsidP="00EE3F99">
      <w:pPr>
        <w:pStyle w:val="ListNumber"/>
        <w:numPr>
          <w:ilvl w:val="0"/>
          <w:numId w:val="36"/>
        </w:numPr>
        <w:spacing w:after="240" w:line="240" w:lineRule="auto"/>
        <w:ind w:left="1985" w:right="565" w:hanging="284"/>
        <w:rPr>
          <w:sz w:val="24"/>
          <w:szCs w:val="24"/>
        </w:rPr>
      </w:pPr>
      <w:r>
        <w:rPr>
          <w:sz w:val="24"/>
          <w:szCs w:val="24"/>
        </w:rPr>
        <w:t xml:space="preserve">First People’s and Equity Pathways Directorate: </w:t>
      </w:r>
    </w:p>
    <w:p w14:paraId="15627835" w14:textId="7B875447" w:rsidR="00F577B8" w:rsidRDefault="00F577B8" w:rsidP="00EE3F99">
      <w:pPr>
        <w:pStyle w:val="ListNumber"/>
        <w:numPr>
          <w:ilvl w:val="0"/>
          <w:numId w:val="39"/>
        </w:numPr>
        <w:spacing w:after="240" w:line="240" w:lineRule="auto"/>
        <w:ind w:left="2268" w:right="565" w:hanging="284"/>
        <w:rPr>
          <w:sz w:val="24"/>
          <w:szCs w:val="24"/>
        </w:rPr>
      </w:pPr>
      <w:r w:rsidRPr="00F577B8">
        <w:rPr>
          <w:sz w:val="24"/>
          <w:szCs w:val="24"/>
        </w:rPr>
        <w:t>Widening Participation Student Ambassador Team</w:t>
      </w:r>
    </w:p>
    <w:p w14:paraId="11B922AE" w14:textId="791DD746" w:rsidR="00695894" w:rsidRDefault="00695894" w:rsidP="00EE3F99">
      <w:pPr>
        <w:pStyle w:val="ListNumber"/>
        <w:numPr>
          <w:ilvl w:val="0"/>
          <w:numId w:val="39"/>
        </w:numPr>
        <w:spacing w:after="240" w:line="240" w:lineRule="auto"/>
        <w:ind w:left="2268" w:right="565" w:hanging="284"/>
        <w:rPr>
          <w:sz w:val="24"/>
          <w:szCs w:val="24"/>
        </w:rPr>
      </w:pPr>
      <w:r>
        <w:rPr>
          <w:sz w:val="24"/>
          <w:szCs w:val="24"/>
        </w:rPr>
        <w:t>Indigenous Higher Education Units</w:t>
      </w:r>
    </w:p>
    <w:p w14:paraId="08D8918E" w14:textId="38AECE11" w:rsidR="00695894" w:rsidRDefault="00695894" w:rsidP="00EE3F99">
      <w:pPr>
        <w:pStyle w:val="ListNumber"/>
        <w:numPr>
          <w:ilvl w:val="0"/>
          <w:numId w:val="39"/>
        </w:numPr>
        <w:spacing w:after="240" w:line="240" w:lineRule="auto"/>
        <w:ind w:left="2268" w:right="565" w:hanging="284"/>
        <w:rPr>
          <w:sz w:val="24"/>
          <w:szCs w:val="24"/>
        </w:rPr>
      </w:pPr>
      <w:r>
        <w:rPr>
          <w:sz w:val="24"/>
          <w:szCs w:val="24"/>
        </w:rPr>
        <w:t>Equity Pathways Teams</w:t>
      </w:r>
    </w:p>
    <w:p w14:paraId="49F8E237" w14:textId="05255186" w:rsidR="00F577B8" w:rsidRPr="00F577B8" w:rsidRDefault="00F577B8" w:rsidP="00EE3F99">
      <w:pPr>
        <w:pStyle w:val="ListNumber"/>
        <w:numPr>
          <w:ilvl w:val="0"/>
          <w:numId w:val="36"/>
        </w:numPr>
        <w:spacing w:after="240" w:line="240" w:lineRule="auto"/>
        <w:ind w:left="1985" w:right="565" w:hanging="284"/>
        <w:rPr>
          <w:sz w:val="24"/>
          <w:szCs w:val="24"/>
        </w:rPr>
      </w:pPr>
      <w:r>
        <w:rPr>
          <w:sz w:val="24"/>
          <w:szCs w:val="24"/>
        </w:rPr>
        <w:t>Equity Scholarships for students from low socio-economic backgrounds</w:t>
      </w:r>
    </w:p>
    <w:p w14:paraId="32EAC881" w14:textId="6D6817D8" w:rsidR="007F4DC6" w:rsidRDefault="007F4DC6" w:rsidP="00EE3F99">
      <w:pPr>
        <w:pStyle w:val="ListNumber"/>
        <w:numPr>
          <w:ilvl w:val="0"/>
          <w:numId w:val="0"/>
        </w:numPr>
        <w:spacing w:after="240" w:line="240" w:lineRule="auto"/>
        <w:ind w:left="1701" w:right="565"/>
        <w:rPr>
          <w:b/>
          <w:sz w:val="24"/>
          <w:szCs w:val="24"/>
        </w:rPr>
      </w:pPr>
    </w:p>
    <w:p w14:paraId="42A40E7E" w14:textId="225FCA25" w:rsidR="00E75A27" w:rsidRDefault="00E75A27" w:rsidP="00EE3F99">
      <w:pPr>
        <w:pStyle w:val="ListNumber"/>
        <w:numPr>
          <w:ilvl w:val="0"/>
          <w:numId w:val="27"/>
        </w:numPr>
        <w:spacing w:after="240" w:line="240" w:lineRule="auto"/>
        <w:ind w:left="1701" w:right="565" w:hanging="425"/>
        <w:rPr>
          <w:sz w:val="24"/>
        </w:rPr>
      </w:pPr>
      <w:r w:rsidRPr="00CB6EC3">
        <w:rPr>
          <w:b/>
          <w:sz w:val="24"/>
        </w:rPr>
        <w:t>Evaluation</w:t>
      </w:r>
      <w:r w:rsidRPr="00CB6EC3">
        <w:rPr>
          <w:sz w:val="24"/>
        </w:rPr>
        <w:t>: how the university plans to evaluate the effectiveness of the equity strategies.</w:t>
      </w:r>
    </w:p>
    <w:p w14:paraId="4FDAA2A4" w14:textId="67BD305E" w:rsidR="00BB223C" w:rsidRPr="000245FA" w:rsidRDefault="00BB223C" w:rsidP="00EE3F99">
      <w:pPr>
        <w:pStyle w:val="ListNumber"/>
        <w:numPr>
          <w:ilvl w:val="0"/>
          <w:numId w:val="36"/>
        </w:numPr>
        <w:spacing w:after="240" w:line="240" w:lineRule="auto"/>
        <w:ind w:left="1985" w:right="565" w:hanging="284"/>
        <w:rPr>
          <w:sz w:val="24"/>
        </w:rPr>
      </w:pPr>
      <w:r w:rsidRPr="000245FA">
        <w:rPr>
          <w:sz w:val="24"/>
        </w:rPr>
        <w:t xml:space="preserve">Quantitative and qualitative evaluation of all programs </w:t>
      </w:r>
    </w:p>
    <w:p w14:paraId="5FF56947" w14:textId="2151BB04" w:rsidR="00BB223C" w:rsidRPr="000245FA" w:rsidRDefault="00BB223C" w:rsidP="00EE3F99">
      <w:pPr>
        <w:pStyle w:val="ListNumber"/>
        <w:numPr>
          <w:ilvl w:val="0"/>
          <w:numId w:val="36"/>
        </w:numPr>
        <w:spacing w:after="240" w:line="240" w:lineRule="auto"/>
        <w:ind w:left="1985" w:right="565" w:hanging="284"/>
        <w:rPr>
          <w:sz w:val="24"/>
        </w:rPr>
      </w:pPr>
      <w:r w:rsidRPr="000245FA">
        <w:rPr>
          <w:sz w:val="24"/>
        </w:rPr>
        <w:t>Regular consultation with key stakeholders</w:t>
      </w:r>
    </w:p>
    <w:p w14:paraId="7A34EFBA" w14:textId="77777777" w:rsidR="00EE3F99" w:rsidRPr="000245FA" w:rsidRDefault="00EE3F99" w:rsidP="00312D6E">
      <w:pPr>
        <w:pStyle w:val="ListNumber"/>
        <w:numPr>
          <w:ilvl w:val="0"/>
          <w:numId w:val="0"/>
        </w:numPr>
        <w:spacing w:after="240" w:line="240" w:lineRule="auto"/>
        <w:ind w:right="565"/>
        <w:rPr>
          <w:sz w:val="24"/>
        </w:rPr>
      </w:pPr>
    </w:p>
    <w:p w14:paraId="0EAC248C" w14:textId="22133D7F" w:rsidR="00E75A27" w:rsidRPr="00CB6EC3" w:rsidRDefault="00E75A27" w:rsidP="00EE3F99">
      <w:pPr>
        <w:pStyle w:val="ListNumber"/>
        <w:numPr>
          <w:ilvl w:val="0"/>
          <w:numId w:val="27"/>
        </w:numPr>
        <w:spacing w:after="240" w:line="240" w:lineRule="auto"/>
        <w:ind w:left="1701" w:right="565" w:hanging="425"/>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4D085585" w14:textId="148740A0" w:rsidR="00E75A27" w:rsidRDefault="00E75A27" w:rsidP="00EE3F99">
      <w:pPr>
        <w:spacing w:after="0" w:line="240" w:lineRule="auto"/>
        <w:ind w:left="1701" w:right="565"/>
        <w:rPr>
          <w:rFonts w:ascii="Calibri" w:hAnsi="Calibri" w:cstheme="minorHAnsi"/>
        </w:rPr>
      </w:pPr>
    </w:p>
    <w:p w14:paraId="23C705E1" w14:textId="1EDAC0B4" w:rsidR="000245FA" w:rsidRDefault="000245FA" w:rsidP="00EE3F99">
      <w:pPr>
        <w:pStyle w:val="ListParagraph"/>
        <w:numPr>
          <w:ilvl w:val="0"/>
          <w:numId w:val="36"/>
        </w:numPr>
        <w:tabs>
          <w:tab w:val="left" w:pos="9639"/>
        </w:tabs>
        <w:spacing w:after="0" w:line="240" w:lineRule="auto"/>
        <w:ind w:left="1985" w:right="565" w:hanging="284"/>
        <w:rPr>
          <w:rFonts w:ascii="Calibri" w:hAnsi="Calibri" w:cstheme="minorHAnsi"/>
        </w:rPr>
      </w:pPr>
      <w:r>
        <w:rPr>
          <w:rFonts w:ascii="Calibri" w:hAnsi="Calibri" w:cstheme="minorHAnsi"/>
        </w:rPr>
        <w:t xml:space="preserve">ACU will continue to build sustainable, strong partnerships with First People’s and Equity Pathways partner schools and </w:t>
      </w:r>
      <w:r w:rsidR="00312FFB">
        <w:rPr>
          <w:rFonts w:ascii="Calibri" w:hAnsi="Calibri" w:cstheme="minorHAnsi"/>
        </w:rPr>
        <w:t>partner community organisations</w:t>
      </w:r>
      <w:r>
        <w:rPr>
          <w:rFonts w:ascii="Calibri" w:hAnsi="Calibri" w:cstheme="minorHAnsi"/>
        </w:rPr>
        <w:t xml:space="preserve"> in VIC, NSW, QLD and ACT</w:t>
      </w:r>
      <w:r w:rsidR="008F4E3F">
        <w:rPr>
          <w:rFonts w:ascii="Calibri" w:hAnsi="Calibri" w:cstheme="minorHAnsi"/>
        </w:rPr>
        <w:t xml:space="preserve"> which enable widening participation work with schools, students, their families and the wider community.</w:t>
      </w:r>
    </w:p>
    <w:p w14:paraId="5F959161" w14:textId="3652491D" w:rsidR="000245FA" w:rsidRDefault="000245FA" w:rsidP="00EE3F99">
      <w:pPr>
        <w:spacing w:after="0" w:line="240" w:lineRule="auto"/>
        <w:ind w:left="1701" w:right="565"/>
        <w:rPr>
          <w:rFonts w:ascii="Calibri" w:hAnsi="Calibri" w:cstheme="minorHAnsi"/>
        </w:rPr>
      </w:pPr>
    </w:p>
    <w:p w14:paraId="0DCBB355" w14:textId="25FCD39A" w:rsidR="008F4E3F" w:rsidRDefault="008F4E3F" w:rsidP="00EE3F99">
      <w:pPr>
        <w:pStyle w:val="ListParagraph"/>
        <w:numPr>
          <w:ilvl w:val="0"/>
          <w:numId w:val="36"/>
        </w:numPr>
        <w:spacing w:after="0" w:line="240" w:lineRule="auto"/>
        <w:ind w:left="1985" w:right="565" w:hanging="284"/>
        <w:rPr>
          <w:rFonts w:ascii="Calibri" w:hAnsi="Calibri" w:cstheme="minorHAnsi"/>
        </w:rPr>
      </w:pPr>
      <w:r>
        <w:rPr>
          <w:rFonts w:ascii="Calibri" w:hAnsi="Calibri" w:cstheme="minorHAnsi"/>
        </w:rPr>
        <w:t xml:space="preserve">ACU will continue to collaborate with other </w:t>
      </w:r>
      <w:r w:rsidR="002B72CE">
        <w:rPr>
          <w:rFonts w:ascii="Calibri" w:hAnsi="Calibri" w:cstheme="minorHAnsi"/>
        </w:rPr>
        <w:t>tertiary education providers</w:t>
      </w:r>
      <w:r>
        <w:rPr>
          <w:rFonts w:ascii="Calibri" w:hAnsi="Calibri" w:cstheme="minorHAnsi"/>
        </w:rPr>
        <w:t xml:space="preserve"> </w:t>
      </w:r>
      <w:r w:rsidR="002B72CE">
        <w:rPr>
          <w:rFonts w:ascii="Calibri" w:hAnsi="Calibri" w:cstheme="minorHAnsi"/>
        </w:rPr>
        <w:t xml:space="preserve">(including universities and TAFE’s) </w:t>
      </w:r>
      <w:r>
        <w:rPr>
          <w:rFonts w:ascii="Calibri" w:hAnsi="Calibri" w:cstheme="minorHAnsi"/>
        </w:rPr>
        <w:t>such as the Widening Participation Forum Queensland; Widening Participation Managers University Consortium NSW and the Widening Participation Network VIC</w:t>
      </w:r>
      <w:r w:rsidR="009A02B1">
        <w:rPr>
          <w:rFonts w:ascii="Calibri" w:hAnsi="Calibri" w:cstheme="minorHAnsi"/>
        </w:rPr>
        <w:t xml:space="preserve"> and</w:t>
      </w:r>
      <w:r w:rsidR="00312FFB">
        <w:rPr>
          <w:rFonts w:ascii="Calibri" w:hAnsi="Calibri" w:cstheme="minorHAnsi"/>
        </w:rPr>
        <w:t xml:space="preserve"> </w:t>
      </w:r>
      <w:r w:rsidR="00032FBD">
        <w:rPr>
          <w:rFonts w:ascii="Calibri" w:hAnsi="Calibri" w:cstheme="minorHAnsi"/>
        </w:rPr>
        <w:t xml:space="preserve">TAFE’s </w:t>
      </w:r>
      <w:r w:rsidR="00B52549">
        <w:rPr>
          <w:rFonts w:ascii="Calibri" w:hAnsi="Calibri" w:cstheme="minorHAnsi"/>
        </w:rPr>
        <w:t>in each state</w:t>
      </w:r>
      <w:r w:rsidR="002B72CE">
        <w:rPr>
          <w:rFonts w:ascii="Calibri" w:hAnsi="Calibri" w:cstheme="minorHAnsi"/>
        </w:rPr>
        <w:t>.</w:t>
      </w:r>
    </w:p>
    <w:sectPr w:rsidR="008F4E3F" w:rsidSect="00032FBD">
      <w:headerReference w:type="default" r:id="rId8"/>
      <w:footerReference w:type="default" r:id="rId9"/>
      <w:headerReference w:type="first" r:id="rId10"/>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5321" w14:textId="77777777" w:rsidR="00F059D3" w:rsidRDefault="00F059D3" w:rsidP="00130923">
      <w:pPr>
        <w:spacing w:after="0" w:line="240" w:lineRule="auto"/>
      </w:pPr>
      <w:r>
        <w:separator/>
      </w:r>
    </w:p>
  </w:endnote>
  <w:endnote w:type="continuationSeparator" w:id="0">
    <w:p w14:paraId="77448503" w14:textId="77777777" w:rsidR="00F059D3" w:rsidRDefault="00F059D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8" w14:textId="718CBA8E" w:rsidR="006770A2" w:rsidRDefault="00A40C83"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6770A2">
          <w:fldChar w:fldCharType="begin"/>
        </w:r>
        <w:r w:rsidR="006770A2">
          <w:instrText xml:space="preserve"> PAGE   \* MERGEFORMAT </w:instrText>
        </w:r>
        <w:r w:rsidR="006770A2">
          <w:fldChar w:fldCharType="separate"/>
        </w:r>
        <w:r w:rsidR="0078291C">
          <w:rPr>
            <w:noProof/>
          </w:rPr>
          <w:t>3</w:t>
        </w:r>
        <w:r w:rsidR="006770A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3D3B" w14:textId="77777777" w:rsidR="00F059D3" w:rsidRDefault="00F059D3" w:rsidP="00130923">
      <w:pPr>
        <w:spacing w:after="0" w:line="240" w:lineRule="auto"/>
      </w:pPr>
      <w:r>
        <w:separator/>
      </w:r>
    </w:p>
  </w:footnote>
  <w:footnote w:type="continuationSeparator" w:id="0">
    <w:p w14:paraId="6A1592B0" w14:textId="77777777" w:rsidR="00F059D3" w:rsidRDefault="00F059D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7" w14:textId="61AF72B6" w:rsidR="006770A2" w:rsidRDefault="006770A2" w:rsidP="00A66052">
    <w:pPr>
      <w:pStyle w:val="Header"/>
      <w:spacing w:after="480"/>
      <w:jc w:val="right"/>
    </w:pPr>
    <w:r>
      <w:t>Access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889F" w14:textId="77777777" w:rsidR="0078291C" w:rsidRDefault="0078291C" w:rsidP="0078291C">
    <w:pPr>
      <w:pStyle w:val="Header"/>
      <w:spacing w:after="480"/>
      <w:ind w:right="706"/>
      <w:jc w:val="right"/>
    </w:pPr>
    <w:r>
      <w:t>Access and Participation Plan 2019</w:t>
    </w:r>
  </w:p>
  <w:p w14:paraId="6D6AC4FD" w14:textId="77777777" w:rsidR="0078291C" w:rsidRDefault="0078291C" w:rsidP="0078291C">
    <w:pPr>
      <w:pStyle w:val="Header"/>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42A67A"/>
    <w:lvl w:ilvl="0">
      <w:start w:val="1"/>
      <w:numFmt w:val="decimal"/>
      <w:pStyle w:val="ListNumber"/>
      <w:lvlText w:val="%1."/>
      <w:lvlJc w:val="left"/>
      <w:pPr>
        <w:tabs>
          <w:tab w:val="num" w:pos="360"/>
        </w:tabs>
        <w:ind w:left="360" w:hanging="360"/>
      </w:pPr>
    </w:lvl>
  </w:abstractNum>
  <w:abstractNum w:abstractNumId="9" w15:restartNumberingAfterBreak="0">
    <w:nsid w:val="07021830"/>
    <w:multiLevelType w:val="hybridMultilevel"/>
    <w:tmpl w:val="16343770"/>
    <w:lvl w:ilvl="0" w:tplc="B7D6082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228FC"/>
    <w:multiLevelType w:val="hybridMultilevel"/>
    <w:tmpl w:val="8E1EA978"/>
    <w:lvl w:ilvl="0" w:tplc="718CA286">
      <w:start w:val="1"/>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7A30E64"/>
    <w:multiLevelType w:val="hybridMultilevel"/>
    <w:tmpl w:val="9686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1464" w:hanging="360"/>
      </w:pPr>
      <w:rPr>
        <w:rFonts w:hint="default"/>
      </w:rPr>
    </w:lvl>
    <w:lvl w:ilvl="1">
      <w:start w:val="1"/>
      <w:numFmt w:val="decimal"/>
      <w:pStyle w:val="ListNumber2"/>
      <w:lvlText w:val="%1.%2"/>
      <w:lvlJc w:val="left"/>
      <w:pPr>
        <w:ind w:left="1955" w:hanging="491"/>
      </w:pPr>
      <w:rPr>
        <w:rFonts w:hint="default"/>
      </w:rPr>
    </w:lvl>
    <w:lvl w:ilvl="2">
      <w:start w:val="1"/>
      <w:numFmt w:val="decimal"/>
      <w:pStyle w:val="ListNumber3"/>
      <w:lvlText w:val="%1.%2.%3"/>
      <w:lvlJc w:val="left"/>
      <w:pPr>
        <w:ind w:left="2578" w:hanging="623"/>
      </w:pPr>
      <w:rPr>
        <w:rFonts w:hint="default"/>
      </w:rPr>
    </w:lvl>
    <w:lvl w:ilvl="3">
      <w:start w:val="1"/>
      <w:numFmt w:val="decimal"/>
      <w:pStyle w:val="ListNumber4"/>
      <w:lvlText w:val="%1.%2.%3.%4"/>
      <w:lvlJc w:val="left"/>
      <w:pPr>
        <w:ind w:left="3372" w:hanging="737"/>
      </w:pPr>
      <w:rPr>
        <w:rFonts w:hint="default"/>
      </w:rPr>
    </w:lvl>
    <w:lvl w:ilvl="4">
      <w:start w:val="1"/>
      <w:numFmt w:val="none"/>
      <w:lvlText w:val=""/>
      <w:lvlJc w:val="left"/>
      <w:pPr>
        <w:ind w:left="2904" w:hanging="360"/>
      </w:pPr>
      <w:rPr>
        <w:rFonts w:hint="default"/>
      </w:rPr>
    </w:lvl>
    <w:lvl w:ilvl="5">
      <w:start w:val="1"/>
      <w:numFmt w:val="none"/>
      <w:lvlText w:val=""/>
      <w:lvlJc w:val="left"/>
      <w:pPr>
        <w:ind w:left="3264" w:hanging="360"/>
      </w:pPr>
      <w:rPr>
        <w:rFonts w:hint="default"/>
      </w:rPr>
    </w:lvl>
    <w:lvl w:ilvl="6">
      <w:start w:val="1"/>
      <w:numFmt w:val="none"/>
      <w:lvlText w:val=""/>
      <w:lvlJc w:val="left"/>
      <w:pPr>
        <w:ind w:left="3624" w:hanging="360"/>
      </w:pPr>
      <w:rPr>
        <w:rFonts w:hint="default"/>
      </w:rPr>
    </w:lvl>
    <w:lvl w:ilvl="7">
      <w:start w:val="1"/>
      <w:numFmt w:val="none"/>
      <w:lvlText w:val=""/>
      <w:lvlJc w:val="left"/>
      <w:pPr>
        <w:ind w:left="3984" w:hanging="360"/>
      </w:pPr>
      <w:rPr>
        <w:rFonts w:hint="default"/>
      </w:rPr>
    </w:lvl>
    <w:lvl w:ilvl="8">
      <w:start w:val="1"/>
      <w:numFmt w:val="none"/>
      <w:lvlText w:val=""/>
      <w:lvlJc w:val="left"/>
      <w:pPr>
        <w:ind w:left="4344"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F300B"/>
    <w:multiLevelType w:val="hybridMultilevel"/>
    <w:tmpl w:val="C95691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09574E7"/>
    <w:multiLevelType w:val="hybridMultilevel"/>
    <w:tmpl w:val="B254A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22A00"/>
    <w:multiLevelType w:val="hybridMultilevel"/>
    <w:tmpl w:val="88C8CF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2F1E8D"/>
    <w:multiLevelType w:val="hybridMultilevel"/>
    <w:tmpl w:val="93103C16"/>
    <w:lvl w:ilvl="0" w:tplc="D1E6DF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8F820F5"/>
    <w:multiLevelType w:val="hybridMultilevel"/>
    <w:tmpl w:val="10969E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60F4A8C"/>
    <w:multiLevelType w:val="hybridMultilevel"/>
    <w:tmpl w:val="0A500CEE"/>
    <w:lvl w:ilvl="0" w:tplc="D6AE54A0">
      <w:numFmt w:val="bullet"/>
      <w:lvlText w:val=""/>
      <w:lvlJc w:val="left"/>
      <w:pPr>
        <w:ind w:left="4980" w:hanging="360"/>
      </w:pPr>
      <w:rPr>
        <w:rFonts w:ascii="Symbol" w:eastAsiaTheme="minorEastAsia" w:hAnsi="Symbol" w:cstheme="minorBidi" w:hint="default"/>
      </w:rPr>
    </w:lvl>
    <w:lvl w:ilvl="1" w:tplc="0C090003" w:tentative="1">
      <w:start w:val="1"/>
      <w:numFmt w:val="bullet"/>
      <w:lvlText w:val="o"/>
      <w:lvlJc w:val="left"/>
      <w:pPr>
        <w:ind w:left="5700" w:hanging="360"/>
      </w:pPr>
      <w:rPr>
        <w:rFonts w:ascii="Courier New" w:hAnsi="Courier New" w:cs="Courier New" w:hint="default"/>
      </w:rPr>
    </w:lvl>
    <w:lvl w:ilvl="2" w:tplc="0C090005" w:tentative="1">
      <w:start w:val="1"/>
      <w:numFmt w:val="bullet"/>
      <w:lvlText w:val=""/>
      <w:lvlJc w:val="left"/>
      <w:pPr>
        <w:ind w:left="6420" w:hanging="360"/>
      </w:pPr>
      <w:rPr>
        <w:rFonts w:ascii="Wingdings" w:hAnsi="Wingdings" w:hint="default"/>
      </w:rPr>
    </w:lvl>
    <w:lvl w:ilvl="3" w:tplc="0C090001" w:tentative="1">
      <w:start w:val="1"/>
      <w:numFmt w:val="bullet"/>
      <w:lvlText w:val=""/>
      <w:lvlJc w:val="left"/>
      <w:pPr>
        <w:ind w:left="7140" w:hanging="360"/>
      </w:pPr>
      <w:rPr>
        <w:rFonts w:ascii="Symbol" w:hAnsi="Symbol" w:hint="default"/>
      </w:rPr>
    </w:lvl>
    <w:lvl w:ilvl="4" w:tplc="0C090003" w:tentative="1">
      <w:start w:val="1"/>
      <w:numFmt w:val="bullet"/>
      <w:lvlText w:val="o"/>
      <w:lvlJc w:val="left"/>
      <w:pPr>
        <w:ind w:left="7860" w:hanging="360"/>
      </w:pPr>
      <w:rPr>
        <w:rFonts w:ascii="Courier New" w:hAnsi="Courier New" w:cs="Courier New" w:hint="default"/>
      </w:rPr>
    </w:lvl>
    <w:lvl w:ilvl="5" w:tplc="0C090005" w:tentative="1">
      <w:start w:val="1"/>
      <w:numFmt w:val="bullet"/>
      <w:lvlText w:val=""/>
      <w:lvlJc w:val="left"/>
      <w:pPr>
        <w:ind w:left="8580" w:hanging="360"/>
      </w:pPr>
      <w:rPr>
        <w:rFonts w:ascii="Wingdings" w:hAnsi="Wingdings" w:hint="default"/>
      </w:rPr>
    </w:lvl>
    <w:lvl w:ilvl="6" w:tplc="0C090001" w:tentative="1">
      <w:start w:val="1"/>
      <w:numFmt w:val="bullet"/>
      <w:lvlText w:val=""/>
      <w:lvlJc w:val="left"/>
      <w:pPr>
        <w:ind w:left="9300" w:hanging="360"/>
      </w:pPr>
      <w:rPr>
        <w:rFonts w:ascii="Symbol" w:hAnsi="Symbol" w:hint="default"/>
      </w:rPr>
    </w:lvl>
    <w:lvl w:ilvl="7" w:tplc="0C090003" w:tentative="1">
      <w:start w:val="1"/>
      <w:numFmt w:val="bullet"/>
      <w:lvlText w:val="o"/>
      <w:lvlJc w:val="left"/>
      <w:pPr>
        <w:ind w:left="10020" w:hanging="360"/>
      </w:pPr>
      <w:rPr>
        <w:rFonts w:ascii="Courier New" w:hAnsi="Courier New" w:cs="Courier New" w:hint="default"/>
      </w:rPr>
    </w:lvl>
    <w:lvl w:ilvl="8" w:tplc="0C090005" w:tentative="1">
      <w:start w:val="1"/>
      <w:numFmt w:val="bullet"/>
      <w:lvlText w:val=""/>
      <w:lvlJc w:val="left"/>
      <w:pPr>
        <w:ind w:left="10740" w:hanging="360"/>
      </w:pPr>
      <w:rPr>
        <w:rFonts w:ascii="Wingdings" w:hAnsi="Wingdings" w:hint="default"/>
      </w:rPr>
    </w:lvl>
  </w:abstractNum>
  <w:abstractNum w:abstractNumId="2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9"/>
  </w:num>
  <w:num w:numId="15">
    <w:abstractNumId w:val="13"/>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21"/>
  </w:num>
  <w:num w:numId="22">
    <w:abstractNumId w:val="26"/>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num>
  <w:num w:numId="31">
    <w:abstractNumId w:val="31"/>
  </w:num>
  <w:num w:numId="32">
    <w:abstractNumId w:val="22"/>
  </w:num>
  <w:num w:numId="33">
    <w:abstractNumId w:val="16"/>
  </w:num>
  <w:num w:numId="34">
    <w:abstractNumId w:val="23"/>
  </w:num>
  <w:num w:numId="35">
    <w:abstractNumId w:val="27"/>
  </w:num>
  <w:num w:numId="36">
    <w:abstractNumId w:val="19"/>
  </w:num>
  <w:num w:numId="37">
    <w:abstractNumId w:val="24"/>
  </w:num>
  <w:num w:numId="38">
    <w:abstractNumId w:val="9"/>
  </w:num>
  <w:num w:numId="39">
    <w:abstractNumId w:val="1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7E0C"/>
    <w:rsid w:val="00013E21"/>
    <w:rsid w:val="000245FA"/>
    <w:rsid w:val="00024E24"/>
    <w:rsid w:val="00032FBD"/>
    <w:rsid w:val="00034EAA"/>
    <w:rsid w:val="00042E22"/>
    <w:rsid w:val="000861A6"/>
    <w:rsid w:val="000D3467"/>
    <w:rsid w:val="000D7FD3"/>
    <w:rsid w:val="000E7E7B"/>
    <w:rsid w:val="000F3BA2"/>
    <w:rsid w:val="00103F8C"/>
    <w:rsid w:val="001175BF"/>
    <w:rsid w:val="00130923"/>
    <w:rsid w:val="00132B66"/>
    <w:rsid w:val="001414F3"/>
    <w:rsid w:val="00143FCD"/>
    <w:rsid w:val="00152D18"/>
    <w:rsid w:val="00180042"/>
    <w:rsid w:val="00184EA6"/>
    <w:rsid w:val="001A495D"/>
    <w:rsid w:val="001B6467"/>
    <w:rsid w:val="001C48A7"/>
    <w:rsid w:val="002076E6"/>
    <w:rsid w:val="00222463"/>
    <w:rsid w:val="00223EB1"/>
    <w:rsid w:val="00236917"/>
    <w:rsid w:val="00241465"/>
    <w:rsid w:val="00242942"/>
    <w:rsid w:val="00243D6B"/>
    <w:rsid w:val="0026793C"/>
    <w:rsid w:val="002758D7"/>
    <w:rsid w:val="00276954"/>
    <w:rsid w:val="002822BD"/>
    <w:rsid w:val="00294967"/>
    <w:rsid w:val="002A11FB"/>
    <w:rsid w:val="002B06E6"/>
    <w:rsid w:val="002B72CE"/>
    <w:rsid w:val="002C3AA1"/>
    <w:rsid w:val="002D271F"/>
    <w:rsid w:val="002D6386"/>
    <w:rsid w:val="002D7D13"/>
    <w:rsid w:val="002F1999"/>
    <w:rsid w:val="00303892"/>
    <w:rsid w:val="00305B35"/>
    <w:rsid w:val="00312D6E"/>
    <w:rsid w:val="00312FFB"/>
    <w:rsid w:val="003155A7"/>
    <w:rsid w:val="003155A8"/>
    <w:rsid w:val="003166C5"/>
    <w:rsid w:val="003242B9"/>
    <w:rsid w:val="0034671D"/>
    <w:rsid w:val="003723BB"/>
    <w:rsid w:val="003753C7"/>
    <w:rsid w:val="00376582"/>
    <w:rsid w:val="0038467B"/>
    <w:rsid w:val="0038565D"/>
    <w:rsid w:val="00395311"/>
    <w:rsid w:val="003979FC"/>
    <w:rsid w:val="003A5516"/>
    <w:rsid w:val="003D67FC"/>
    <w:rsid w:val="004045CA"/>
    <w:rsid w:val="00406E5A"/>
    <w:rsid w:val="0041715E"/>
    <w:rsid w:val="0042619D"/>
    <w:rsid w:val="00443110"/>
    <w:rsid w:val="00455B34"/>
    <w:rsid w:val="00481F02"/>
    <w:rsid w:val="00484FBD"/>
    <w:rsid w:val="0048762C"/>
    <w:rsid w:val="00494904"/>
    <w:rsid w:val="004B24A9"/>
    <w:rsid w:val="004B256F"/>
    <w:rsid w:val="004F15A7"/>
    <w:rsid w:val="0050756B"/>
    <w:rsid w:val="005113B6"/>
    <w:rsid w:val="00531817"/>
    <w:rsid w:val="00560CA0"/>
    <w:rsid w:val="005624F3"/>
    <w:rsid w:val="005811EF"/>
    <w:rsid w:val="00585156"/>
    <w:rsid w:val="005B0878"/>
    <w:rsid w:val="005B2F93"/>
    <w:rsid w:val="005B66CA"/>
    <w:rsid w:val="005C141F"/>
    <w:rsid w:val="005C15C0"/>
    <w:rsid w:val="005C6597"/>
    <w:rsid w:val="005D76E0"/>
    <w:rsid w:val="005E415C"/>
    <w:rsid w:val="00610654"/>
    <w:rsid w:val="00612380"/>
    <w:rsid w:val="006140C8"/>
    <w:rsid w:val="0062410D"/>
    <w:rsid w:val="006318B9"/>
    <w:rsid w:val="0067026C"/>
    <w:rsid w:val="006770A2"/>
    <w:rsid w:val="00695894"/>
    <w:rsid w:val="006C4F5B"/>
    <w:rsid w:val="006E2D49"/>
    <w:rsid w:val="00712BE3"/>
    <w:rsid w:val="0074471E"/>
    <w:rsid w:val="007468FC"/>
    <w:rsid w:val="007662F1"/>
    <w:rsid w:val="0078291C"/>
    <w:rsid w:val="00782F1B"/>
    <w:rsid w:val="00792CA3"/>
    <w:rsid w:val="007B2FDD"/>
    <w:rsid w:val="007D58FB"/>
    <w:rsid w:val="007E0574"/>
    <w:rsid w:val="007F4DC6"/>
    <w:rsid w:val="008163BB"/>
    <w:rsid w:val="00824430"/>
    <w:rsid w:val="00832FB2"/>
    <w:rsid w:val="0083468A"/>
    <w:rsid w:val="00837827"/>
    <w:rsid w:val="00842D43"/>
    <w:rsid w:val="00845040"/>
    <w:rsid w:val="00856D1C"/>
    <w:rsid w:val="00874388"/>
    <w:rsid w:val="00876AC0"/>
    <w:rsid w:val="00886704"/>
    <w:rsid w:val="008B01E8"/>
    <w:rsid w:val="008B2B54"/>
    <w:rsid w:val="008E4E88"/>
    <w:rsid w:val="008E5219"/>
    <w:rsid w:val="008E5AC8"/>
    <w:rsid w:val="008E773B"/>
    <w:rsid w:val="008F4E3F"/>
    <w:rsid w:val="00903408"/>
    <w:rsid w:val="00905AD9"/>
    <w:rsid w:val="009116EA"/>
    <w:rsid w:val="00931E30"/>
    <w:rsid w:val="00933671"/>
    <w:rsid w:val="009407C6"/>
    <w:rsid w:val="00971D09"/>
    <w:rsid w:val="00972BF7"/>
    <w:rsid w:val="00972DD5"/>
    <w:rsid w:val="00984879"/>
    <w:rsid w:val="00985632"/>
    <w:rsid w:val="00991B63"/>
    <w:rsid w:val="009A02B1"/>
    <w:rsid w:val="009B2428"/>
    <w:rsid w:val="009B5CB7"/>
    <w:rsid w:val="009C0EA3"/>
    <w:rsid w:val="009C60D9"/>
    <w:rsid w:val="009D3C4D"/>
    <w:rsid w:val="009F3E64"/>
    <w:rsid w:val="00A0490D"/>
    <w:rsid w:val="00A1074C"/>
    <w:rsid w:val="00A145A2"/>
    <w:rsid w:val="00A204B6"/>
    <w:rsid w:val="00A31242"/>
    <w:rsid w:val="00A40A2D"/>
    <w:rsid w:val="00A40C83"/>
    <w:rsid w:val="00A475CB"/>
    <w:rsid w:val="00A50604"/>
    <w:rsid w:val="00A52530"/>
    <w:rsid w:val="00A551BF"/>
    <w:rsid w:val="00A571DC"/>
    <w:rsid w:val="00A66052"/>
    <w:rsid w:val="00A70524"/>
    <w:rsid w:val="00A71BC4"/>
    <w:rsid w:val="00A73406"/>
    <w:rsid w:val="00AA12B8"/>
    <w:rsid w:val="00AA464D"/>
    <w:rsid w:val="00AB2766"/>
    <w:rsid w:val="00AC65DA"/>
    <w:rsid w:val="00AD09E4"/>
    <w:rsid w:val="00AD5D0A"/>
    <w:rsid w:val="00AF1737"/>
    <w:rsid w:val="00B00D12"/>
    <w:rsid w:val="00B2722A"/>
    <w:rsid w:val="00B4243F"/>
    <w:rsid w:val="00B4447B"/>
    <w:rsid w:val="00B52549"/>
    <w:rsid w:val="00B60E3A"/>
    <w:rsid w:val="00B618BA"/>
    <w:rsid w:val="00B663E0"/>
    <w:rsid w:val="00B82137"/>
    <w:rsid w:val="00B95503"/>
    <w:rsid w:val="00BA282D"/>
    <w:rsid w:val="00BA4D57"/>
    <w:rsid w:val="00BB223C"/>
    <w:rsid w:val="00BB6260"/>
    <w:rsid w:val="00BE4F09"/>
    <w:rsid w:val="00BE698B"/>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A46EC"/>
    <w:rsid w:val="00CA7C7F"/>
    <w:rsid w:val="00CB6EC3"/>
    <w:rsid w:val="00CE2AA2"/>
    <w:rsid w:val="00CF2C22"/>
    <w:rsid w:val="00D05B29"/>
    <w:rsid w:val="00D12BEB"/>
    <w:rsid w:val="00D1394D"/>
    <w:rsid w:val="00D27C2D"/>
    <w:rsid w:val="00D47740"/>
    <w:rsid w:val="00D51B3A"/>
    <w:rsid w:val="00D812B9"/>
    <w:rsid w:val="00D86B0D"/>
    <w:rsid w:val="00D903FD"/>
    <w:rsid w:val="00D94BC5"/>
    <w:rsid w:val="00D96C08"/>
    <w:rsid w:val="00DC3052"/>
    <w:rsid w:val="00DD022D"/>
    <w:rsid w:val="00DE5F75"/>
    <w:rsid w:val="00DF46C4"/>
    <w:rsid w:val="00DF4CA3"/>
    <w:rsid w:val="00E02515"/>
    <w:rsid w:val="00E0428E"/>
    <w:rsid w:val="00E12873"/>
    <w:rsid w:val="00E15C96"/>
    <w:rsid w:val="00E1604B"/>
    <w:rsid w:val="00E2102F"/>
    <w:rsid w:val="00E75A27"/>
    <w:rsid w:val="00E763A6"/>
    <w:rsid w:val="00EC78E7"/>
    <w:rsid w:val="00ED43D2"/>
    <w:rsid w:val="00EE3B8C"/>
    <w:rsid w:val="00EE3F99"/>
    <w:rsid w:val="00EF25D6"/>
    <w:rsid w:val="00EF4A38"/>
    <w:rsid w:val="00EF5845"/>
    <w:rsid w:val="00F059D3"/>
    <w:rsid w:val="00F11B8F"/>
    <w:rsid w:val="00F20829"/>
    <w:rsid w:val="00F21BBD"/>
    <w:rsid w:val="00F379D0"/>
    <w:rsid w:val="00F47193"/>
    <w:rsid w:val="00F501B4"/>
    <w:rsid w:val="00F577B8"/>
    <w:rsid w:val="00F74011"/>
    <w:rsid w:val="00F76175"/>
    <w:rsid w:val="00F80CFC"/>
    <w:rsid w:val="00F80DCB"/>
    <w:rsid w:val="00F83171"/>
    <w:rsid w:val="00F958AE"/>
    <w:rsid w:val="00F97875"/>
    <w:rsid w:val="00FA5981"/>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AE4A-7308-4ED2-9850-9F5B6509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 Australian Catholic University: 2019 Access and Participation Plan</dc:title>
  <dc:creator/>
  <cp:lastModifiedBy/>
  <cp:revision>1</cp:revision>
  <dcterms:created xsi:type="dcterms:W3CDTF">2020-03-01T22:15:00Z</dcterms:created>
  <dcterms:modified xsi:type="dcterms:W3CDTF">2020-03-02T23:37:00Z</dcterms:modified>
</cp:coreProperties>
</file>