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4E4CD" w14:textId="049C0847" w:rsidR="00CA5F91" w:rsidRDefault="006F2ADE" w:rsidP="00CA5F91">
      <w:pPr>
        <w:jc w:val="center"/>
        <w:rPr>
          <w:b/>
          <w:sz w:val="24"/>
          <w:szCs w:val="24"/>
        </w:rPr>
      </w:pPr>
      <w:r>
        <w:rPr>
          <w:b/>
          <w:sz w:val="24"/>
          <w:szCs w:val="24"/>
        </w:rPr>
        <w:t>Stakeholder consultation on p</w:t>
      </w:r>
      <w:r w:rsidR="00CA5F91" w:rsidRPr="001E7EBB">
        <w:rPr>
          <w:b/>
          <w:sz w:val="24"/>
          <w:szCs w:val="24"/>
        </w:rPr>
        <w:t xml:space="preserve">roposed </w:t>
      </w:r>
      <w:r>
        <w:rPr>
          <w:b/>
          <w:sz w:val="24"/>
          <w:szCs w:val="24"/>
        </w:rPr>
        <w:t>free speech a</w:t>
      </w:r>
      <w:r w:rsidR="00CA5F91" w:rsidRPr="001E7EBB">
        <w:rPr>
          <w:b/>
          <w:sz w:val="24"/>
          <w:szCs w:val="24"/>
        </w:rPr>
        <w:t xml:space="preserve">mendments </w:t>
      </w:r>
      <w:r>
        <w:rPr>
          <w:b/>
          <w:sz w:val="24"/>
          <w:szCs w:val="24"/>
        </w:rPr>
        <w:br/>
        <w:t>to</w:t>
      </w:r>
      <w:r w:rsidR="00CA5F91" w:rsidRPr="001E7EBB">
        <w:rPr>
          <w:b/>
          <w:sz w:val="24"/>
          <w:szCs w:val="24"/>
        </w:rPr>
        <w:t xml:space="preserve"> the Higher Education Support Act 2003 (HESA)</w:t>
      </w:r>
    </w:p>
    <w:p w14:paraId="17439205" w14:textId="5A6443C7" w:rsidR="003E36D2" w:rsidRDefault="006F2ADE" w:rsidP="003E36D2">
      <w:proofErr w:type="gramStart"/>
      <w:r>
        <w:t>T</w:t>
      </w:r>
      <w:r w:rsidR="003E36D2" w:rsidRPr="003E36D2">
        <w:t>he Report of the Independent Review of Freedom of Speech in Australian Higher Education Providers (the French Review)</w:t>
      </w:r>
      <w:r>
        <w:t xml:space="preserve"> recommended</w:t>
      </w:r>
      <w:r w:rsidR="003E36D2" w:rsidRPr="003E36D2">
        <w:t xml:space="preserve"> </w:t>
      </w:r>
      <w:r>
        <w:t xml:space="preserve">minor </w:t>
      </w:r>
      <w:r w:rsidR="003E36D2" w:rsidRPr="003E36D2">
        <w:t>amendments to the Higher Education Support Act 2003 (HESA)</w:t>
      </w:r>
      <w:r>
        <w:t xml:space="preserve"> and the Higher Educatio</w:t>
      </w:r>
      <w:bookmarkStart w:id="0" w:name="_GoBack"/>
      <w:bookmarkEnd w:id="0"/>
      <w:r>
        <w:t xml:space="preserve">n Standards Framework, in order to bring their language around freedom of speech and academic freedom into alignment with the Model Code </w:t>
      </w:r>
      <w:r w:rsidR="00A35CF3" w:rsidRPr="00A35CF3">
        <w:t>for the Protection of Freedom of Speech and Academic Freedom in Australian Higher Education Providers</w:t>
      </w:r>
      <w:r>
        <w:t>, which the review proposed</w:t>
      </w:r>
      <w:r w:rsidR="003E36D2" w:rsidRPr="003E36D2">
        <w:t>.</w:t>
      </w:r>
      <w:proofErr w:type="gramEnd"/>
    </w:p>
    <w:p w14:paraId="164586BC" w14:textId="77777777" w:rsidR="006F2ADE" w:rsidRDefault="007F4033" w:rsidP="003E36D2">
      <w:r>
        <w:t xml:space="preserve">The full report is available </w:t>
      </w:r>
      <w:proofErr w:type="gramStart"/>
      <w:r>
        <w:t>at:</w:t>
      </w:r>
      <w:proofErr w:type="gramEnd"/>
      <w:r>
        <w:t xml:space="preserve"> </w:t>
      </w:r>
      <w:hyperlink r:id="rId5" w:history="1">
        <w:r w:rsidRPr="00A53029">
          <w:rPr>
            <w:rStyle w:val="Hyperlink"/>
          </w:rPr>
          <w:t>https://docs.education.gov.au/node/52661</w:t>
        </w:r>
      </w:hyperlink>
      <w:r>
        <w:t xml:space="preserve">. </w:t>
      </w:r>
      <w:r w:rsidR="006F2ADE">
        <w:t>The recommendations relating to HESA are set out on pages 226-227 of the report. Those relating to the Standards are set out on page 228 of the report.</w:t>
      </w:r>
    </w:p>
    <w:p w14:paraId="044EA7A0" w14:textId="77777777" w:rsidR="006F2ADE" w:rsidRDefault="006F2ADE" w:rsidP="003E36D2">
      <w:r>
        <w:t xml:space="preserve">The Higher Education Standards Panel in October 2019 advised the Minister for Education that it supported amending the Standards in line with the recommendation, providing the complementary amendments to HESA </w:t>
      </w:r>
      <w:proofErr w:type="gramStart"/>
      <w:r>
        <w:t>were also made</w:t>
      </w:r>
      <w:proofErr w:type="gramEnd"/>
      <w:r>
        <w:t>, with one minor grammatical change.</w:t>
      </w:r>
    </w:p>
    <w:p w14:paraId="588169FC" w14:textId="77777777" w:rsidR="006F2ADE" w:rsidRPr="003E36D2" w:rsidRDefault="006F2ADE" w:rsidP="003E36D2">
      <w:r>
        <w:t xml:space="preserve">The proposed </w:t>
      </w:r>
      <w:r w:rsidR="007F4033">
        <w:t xml:space="preserve">HESA </w:t>
      </w:r>
      <w:r>
        <w:t xml:space="preserve">amendments </w:t>
      </w:r>
      <w:r w:rsidR="007F4033">
        <w:t>are set out below.</w:t>
      </w:r>
    </w:p>
    <w:p w14:paraId="77CBBF9C" w14:textId="44393110" w:rsidR="003E36D2" w:rsidRPr="003E36D2" w:rsidRDefault="003E36D2" w:rsidP="003E36D2">
      <w:r w:rsidRPr="003E36D2">
        <w:t xml:space="preserve">If you wish to </w:t>
      </w:r>
      <w:r w:rsidR="007F4033">
        <w:t xml:space="preserve">provide comment </w:t>
      </w:r>
      <w:r w:rsidRPr="003E36D2">
        <w:t xml:space="preserve">on the proposed amendments to HESA, </w:t>
      </w:r>
      <w:r w:rsidR="007F4033">
        <w:t>p</w:t>
      </w:r>
      <w:r w:rsidRPr="003E36D2">
        <w:t xml:space="preserve">lease </w:t>
      </w:r>
      <w:r w:rsidRPr="00DC059E">
        <w:rPr>
          <w:b/>
        </w:rPr>
        <w:t>email your feedback</w:t>
      </w:r>
      <w:r w:rsidRPr="003E36D2">
        <w:t xml:space="preserve"> to </w:t>
      </w:r>
      <w:hyperlink r:id="rId6" w:history="1">
        <w:r w:rsidRPr="003E36D2">
          <w:rPr>
            <w:rStyle w:val="Hyperlink"/>
            <w:lang w:val="en"/>
          </w:rPr>
          <w:t>HigherEd@education.gov.au</w:t>
        </w:r>
      </w:hyperlink>
      <w:r w:rsidRPr="003E36D2">
        <w:rPr>
          <w:lang w:val="en"/>
        </w:rPr>
        <w:t xml:space="preserve"> </w:t>
      </w:r>
      <w:r w:rsidRPr="00DC059E">
        <w:rPr>
          <w:b/>
          <w:lang w:val="en"/>
        </w:rPr>
        <w:t xml:space="preserve">by </w:t>
      </w:r>
      <w:r w:rsidR="007F4033" w:rsidRPr="00DC059E">
        <w:rPr>
          <w:b/>
          <w:lang w:val="en"/>
        </w:rPr>
        <w:t xml:space="preserve">close of business </w:t>
      </w:r>
      <w:r w:rsidRPr="00DC059E">
        <w:rPr>
          <w:b/>
          <w:lang w:val="en"/>
        </w:rPr>
        <w:t>Monday 24 February 2020</w:t>
      </w:r>
      <w:r w:rsidRPr="003E36D2">
        <w:rPr>
          <w:lang w:val="en"/>
        </w:rPr>
        <w:t>.</w:t>
      </w:r>
      <w:r w:rsidR="005413C9">
        <w:rPr>
          <w:lang w:val="en"/>
        </w:rPr>
        <w:br/>
      </w:r>
    </w:p>
    <w:p w14:paraId="5A02F5B9" w14:textId="77777777" w:rsidR="007F4033" w:rsidRPr="007F4033" w:rsidRDefault="007F4033" w:rsidP="00DC059E">
      <w:pPr>
        <w:rPr>
          <w:b/>
        </w:rPr>
      </w:pPr>
      <w:r w:rsidRPr="00DC059E">
        <w:rPr>
          <w:b/>
        </w:rPr>
        <w:t>Proposed HES</w:t>
      </w:r>
      <w:r>
        <w:rPr>
          <w:b/>
        </w:rPr>
        <w:t>A</w:t>
      </w:r>
      <w:r w:rsidRPr="00DC059E">
        <w:rPr>
          <w:b/>
        </w:rPr>
        <w:t xml:space="preserve"> </w:t>
      </w:r>
      <w:r w:rsidRPr="007F4033">
        <w:rPr>
          <w:b/>
        </w:rPr>
        <w:t>amendments</w:t>
      </w:r>
    </w:p>
    <w:p w14:paraId="3E99A7E7" w14:textId="77777777" w:rsidR="00CA5F91" w:rsidRPr="003E36D2" w:rsidRDefault="00CA5F91" w:rsidP="00CA5F91">
      <w:pPr>
        <w:pStyle w:val="ListParagraph"/>
        <w:numPr>
          <w:ilvl w:val="0"/>
          <w:numId w:val="2"/>
        </w:numPr>
        <w:spacing w:after="200" w:line="276" w:lineRule="auto"/>
        <w:rPr>
          <w:rFonts w:cstheme="minorHAnsi"/>
        </w:rPr>
      </w:pPr>
      <w:r w:rsidRPr="003E36D2">
        <w:rPr>
          <w:rFonts w:cstheme="minorHAnsi"/>
        </w:rPr>
        <w:t>Section 2-1 (a)(iv) of the HESA be amended to read:</w:t>
      </w:r>
    </w:p>
    <w:p w14:paraId="27CB1FC3" w14:textId="77777777" w:rsidR="007F4033" w:rsidRPr="00DC059E" w:rsidRDefault="00CA5F91" w:rsidP="00CA5F91">
      <w:pPr>
        <w:pStyle w:val="Default"/>
        <w:ind w:firstLine="720"/>
        <w:rPr>
          <w:rFonts w:asciiTheme="minorHAnsi" w:hAnsiTheme="minorHAnsi" w:cstheme="minorHAnsi"/>
          <w:b/>
          <w:bCs/>
          <w:sz w:val="23"/>
          <w:szCs w:val="23"/>
        </w:rPr>
      </w:pPr>
      <w:proofErr w:type="gramStart"/>
      <w:r w:rsidRPr="00DC059E">
        <w:rPr>
          <w:rFonts w:asciiTheme="minorHAnsi" w:hAnsiTheme="minorHAnsi" w:cstheme="minorHAnsi"/>
          <w:b/>
          <w:bCs/>
          <w:sz w:val="23"/>
          <w:szCs w:val="23"/>
        </w:rPr>
        <w:t>2-1</w:t>
      </w:r>
      <w:proofErr w:type="gramEnd"/>
      <w:r w:rsidRPr="00DC059E">
        <w:rPr>
          <w:rFonts w:asciiTheme="minorHAnsi" w:hAnsiTheme="minorHAnsi" w:cstheme="minorHAnsi"/>
          <w:b/>
          <w:bCs/>
          <w:sz w:val="23"/>
          <w:szCs w:val="23"/>
        </w:rPr>
        <w:t xml:space="preserve"> </w:t>
      </w:r>
      <w:r w:rsidR="007F4033" w:rsidRPr="00DC059E">
        <w:rPr>
          <w:rFonts w:asciiTheme="minorHAnsi" w:hAnsiTheme="minorHAnsi" w:cstheme="minorHAnsi"/>
          <w:b/>
          <w:bCs/>
          <w:sz w:val="23"/>
          <w:szCs w:val="23"/>
        </w:rPr>
        <w:t>Objects of this Act</w:t>
      </w:r>
    </w:p>
    <w:p w14:paraId="368E4353" w14:textId="77777777" w:rsidR="00CA5F91" w:rsidRPr="003E36D2" w:rsidRDefault="00CA5F91" w:rsidP="00CA5F91">
      <w:pPr>
        <w:pStyle w:val="Default"/>
        <w:ind w:firstLine="720"/>
        <w:rPr>
          <w:rFonts w:asciiTheme="minorHAnsi" w:hAnsiTheme="minorHAnsi" w:cstheme="minorHAnsi"/>
          <w:bCs/>
          <w:sz w:val="23"/>
          <w:szCs w:val="23"/>
        </w:rPr>
      </w:pPr>
      <w:r w:rsidRPr="003E36D2">
        <w:rPr>
          <w:rFonts w:asciiTheme="minorHAnsi" w:hAnsiTheme="minorHAnsi" w:cstheme="minorHAnsi"/>
          <w:bCs/>
          <w:sz w:val="23"/>
          <w:szCs w:val="23"/>
        </w:rPr>
        <w:t xml:space="preserve">The objects of this Act are: </w:t>
      </w:r>
    </w:p>
    <w:p w14:paraId="0AB98592" w14:textId="77777777" w:rsidR="00CA5F91" w:rsidRPr="003E36D2" w:rsidRDefault="00CA5F91" w:rsidP="00CA5F91">
      <w:pPr>
        <w:pStyle w:val="Default"/>
        <w:ind w:left="720"/>
        <w:rPr>
          <w:rFonts w:asciiTheme="minorHAnsi" w:hAnsiTheme="minorHAnsi" w:cstheme="minorHAnsi"/>
          <w:bCs/>
          <w:sz w:val="23"/>
          <w:szCs w:val="23"/>
        </w:rPr>
      </w:pPr>
      <w:r w:rsidRPr="003E36D2">
        <w:rPr>
          <w:rFonts w:asciiTheme="minorHAnsi" w:hAnsiTheme="minorHAnsi" w:cstheme="minorHAnsi"/>
          <w:sz w:val="22"/>
          <w:szCs w:val="22"/>
        </w:rPr>
        <w:t xml:space="preserve">(a) </w:t>
      </w:r>
      <w:proofErr w:type="gramStart"/>
      <w:r w:rsidRPr="003E36D2">
        <w:rPr>
          <w:rFonts w:asciiTheme="minorHAnsi" w:hAnsiTheme="minorHAnsi" w:cstheme="minorHAnsi"/>
          <w:sz w:val="22"/>
          <w:szCs w:val="22"/>
        </w:rPr>
        <w:t>to</w:t>
      </w:r>
      <w:proofErr w:type="gramEnd"/>
      <w:r w:rsidRPr="003E36D2">
        <w:rPr>
          <w:rFonts w:asciiTheme="minorHAnsi" w:hAnsiTheme="minorHAnsi" w:cstheme="minorHAnsi"/>
          <w:sz w:val="22"/>
          <w:szCs w:val="22"/>
        </w:rPr>
        <w:t xml:space="preserve"> support a higher education system that:</w:t>
      </w:r>
    </w:p>
    <w:p w14:paraId="0A45F148" w14:textId="77777777" w:rsidR="00CA5F91" w:rsidRPr="003E36D2" w:rsidRDefault="00CA5F91" w:rsidP="00CA5F91">
      <w:pPr>
        <w:pStyle w:val="Default"/>
        <w:ind w:left="720"/>
        <w:rPr>
          <w:rFonts w:asciiTheme="minorHAnsi" w:hAnsiTheme="minorHAnsi" w:cstheme="minorHAnsi"/>
          <w:bCs/>
          <w:sz w:val="23"/>
          <w:szCs w:val="23"/>
        </w:rPr>
      </w:pPr>
      <w:r w:rsidRPr="003E36D2">
        <w:rPr>
          <w:rFonts w:asciiTheme="minorHAnsi" w:hAnsiTheme="minorHAnsi" w:cstheme="minorHAnsi"/>
          <w:bCs/>
          <w:sz w:val="23"/>
          <w:szCs w:val="23"/>
        </w:rPr>
        <w:t xml:space="preserve">(iv) </w:t>
      </w:r>
      <w:proofErr w:type="gramStart"/>
      <w:r w:rsidRPr="003E36D2">
        <w:rPr>
          <w:rFonts w:asciiTheme="minorHAnsi" w:hAnsiTheme="minorHAnsi" w:cstheme="minorHAnsi"/>
          <w:bCs/>
          <w:sz w:val="23"/>
          <w:szCs w:val="23"/>
        </w:rPr>
        <w:t>promotes</w:t>
      </w:r>
      <w:proofErr w:type="gramEnd"/>
      <w:r w:rsidRPr="003E36D2">
        <w:rPr>
          <w:rFonts w:asciiTheme="minorHAnsi" w:hAnsiTheme="minorHAnsi" w:cstheme="minorHAnsi"/>
          <w:bCs/>
          <w:sz w:val="23"/>
          <w:szCs w:val="23"/>
        </w:rPr>
        <w:t xml:space="preserve"> and protects </w:t>
      </w:r>
      <w:r w:rsidRPr="003E36D2">
        <w:rPr>
          <w:rFonts w:asciiTheme="minorHAnsi" w:hAnsiTheme="minorHAnsi" w:cstheme="minorHAnsi"/>
          <w:bCs/>
          <w:strike/>
          <w:sz w:val="23"/>
          <w:szCs w:val="23"/>
        </w:rPr>
        <w:t>free intellectual inquiry</w:t>
      </w:r>
      <w:r w:rsidRPr="003E36D2">
        <w:rPr>
          <w:rFonts w:asciiTheme="minorHAnsi" w:hAnsiTheme="minorHAnsi" w:cstheme="minorHAnsi"/>
          <w:bCs/>
          <w:sz w:val="23"/>
          <w:szCs w:val="23"/>
        </w:rPr>
        <w:t xml:space="preserve"> </w:t>
      </w:r>
      <w:r w:rsidRPr="003E36D2">
        <w:rPr>
          <w:rFonts w:asciiTheme="minorHAnsi" w:hAnsiTheme="minorHAnsi" w:cstheme="minorHAnsi"/>
          <w:bCs/>
          <w:color w:val="FF0000"/>
          <w:sz w:val="23"/>
          <w:szCs w:val="23"/>
        </w:rPr>
        <w:t xml:space="preserve">freedom of speech and academic freedom </w:t>
      </w:r>
      <w:r w:rsidRPr="003E36D2">
        <w:rPr>
          <w:rFonts w:asciiTheme="minorHAnsi" w:hAnsiTheme="minorHAnsi" w:cstheme="minorHAnsi"/>
          <w:bCs/>
          <w:sz w:val="23"/>
          <w:szCs w:val="23"/>
        </w:rPr>
        <w:t>in learning, teaching and research.</w:t>
      </w:r>
    </w:p>
    <w:p w14:paraId="38461652" w14:textId="77777777" w:rsidR="00CA5F91" w:rsidRPr="003E36D2" w:rsidRDefault="00CA5F91" w:rsidP="00CA5F91">
      <w:pPr>
        <w:pStyle w:val="ListParagraph"/>
        <w:spacing w:after="200" w:line="276" w:lineRule="auto"/>
        <w:rPr>
          <w:rFonts w:cstheme="minorHAnsi"/>
        </w:rPr>
      </w:pPr>
    </w:p>
    <w:p w14:paraId="73D32659" w14:textId="77777777" w:rsidR="00CA5F91" w:rsidRPr="003E36D2" w:rsidRDefault="00CA5F91" w:rsidP="00CA5F91">
      <w:pPr>
        <w:pStyle w:val="ListParagraph"/>
        <w:numPr>
          <w:ilvl w:val="0"/>
          <w:numId w:val="2"/>
        </w:numPr>
        <w:spacing w:after="200" w:line="276" w:lineRule="auto"/>
        <w:rPr>
          <w:rFonts w:cstheme="minorHAnsi"/>
        </w:rPr>
      </w:pPr>
      <w:r w:rsidRPr="003E36D2">
        <w:rPr>
          <w:rFonts w:cstheme="minorHAnsi"/>
        </w:rPr>
        <w:t xml:space="preserve">Introduction of a definition of ‘academic freedom’ </w:t>
      </w:r>
      <w:r w:rsidR="007F4033">
        <w:rPr>
          <w:rFonts w:cstheme="minorHAnsi"/>
        </w:rPr>
        <w:t xml:space="preserve">in the Dictionary in Schedule 1 </w:t>
      </w:r>
      <w:r w:rsidRPr="003E36D2">
        <w:rPr>
          <w:rFonts w:cstheme="minorHAnsi"/>
        </w:rPr>
        <w:t>as follows:</w:t>
      </w:r>
    </w:p>
    <w:p w14:paraId="06730704" w14:textId="77777777" w:rsidR="00CA5F91" w:rsidRPr="003E36D2" w:rsidRDefault="00CA5F91" w:rsidP="00CA5F91">
      <w:pPr>
        <w:pStyle w:val="ListParagraph"/>
        <w:rPr>
          <w:rFonts w:cstheme="minorHAnsi"/>
        </w:rPr>
      </w:pPr>
      <w:r w:rsidRPr="003E36D2">
        <w:rPr>
          <w:rFonts w:cstheme="minorHAnsi"/>
        </w:rPr>
        <w:t xml:space="preserve">“Academic freedom”, for the purposes of this Act and the </w:t>
      </w:r>
      <w:r w:rsidRPr="003E36D2">
        <w:rPr>
          <w:rFonts w:cstheme="minorHAnsi"/>
          <w:i/>
        </w:rPr>
        <w:t>Tertiary Education Quality and Standards Agency Act</w:t>
      </w:r>
      <w:r w:rsidRPr="003E36D2">
        <w:rPr>
          <w:rFonts w:cstheme="minorHAnsi"/>
        </w:rPr>
        <w:t xml:space="preserve"> (TEQSA Act) and any standards made under that Act, comprises the following elements:</w:t>
      </w:r>
    </w:p>
    <w:p w14:paraId="05E0E079" w14:textId="77777777" w:rsidR="00CA5F91" w:rsidRPr="003E36D2" w:rsidRDefault="00CA5F91" w:rsidP="00CA5F91">
      <w:pPr>
        <w:pStyle w:val="ListParagraph"/>
        <w:numPr>
          <w:ilvl w:val="0"/>
          <w:numId w:val="1"/>
        </w:numPr>
        <w:rPr>
          <w:rFonts w:cstheme="minorHAnsi"/>
        </w:rPr>
      </w:pPr>
      <w:r w:rsidRPr="003E36D2">
        <w:rPr>
          <w:rFonts w:cstheme="minorHAnsi"/>
        </w:rPr>
        <w:t>The freedom of academic staff to teach, discuss, and research and to disseminate and publish the results of their research;</w:t>
      </w:r>
    </w:p>
    <w:p w14:paraId="1F104864" w14:textId="77777777" w:rsidR="00CA5F91" w:rsidRPr="003E36D2" w:rsidRDefault="00CA5F91" w:rsidP="00CA5F91">
      <w:pPr>
        <w:pStyle w:val="ListParagraph"/>
        <w:numPr>
          <w:ilvl w:val="0"/>
          <w:numId w:val="1"/>
        </w:numPr>
        <w:rPr>
          <w:rFonts w:cstheme="minorHAnsi"/>
        </w:rPr>
      </w:pPr>
      <w:r w:rsidRPr="003E36D2">
        <w:rPr>
          <w:rFonts w:cstheme="minorHAnsi"/>
        </w:rPr>
        <w:lastRenderedPageBreak/>
        <w:t>The freedom of academic staff and students to engage in intellectual inquiry, to express their opinions and beliefs, and to contribute to public debate, in relation to their subjects of study and research;</w:t>
      </w:r>
    </w:p>
    <w:p w14:paraId="4EB5F447" w14:textId="77777777" w:rsidR="00CA5F91" w:rsidRPr="003E36D2" w:rsidRDefault="00CA5F91" w:rsidP="00CA5F91">
      <w:pPr>
        <w:pStyle w:val="ListParagraph"/>
        <w:numPr>
          <w:ilvl w:val="0"/>
          <w:numId w:val="1"/>
        </w:numPr>
        <w:rPr>
          <w:rFonts w:cstheme="minorHAnsi"/>
        </w:rPr>
      </w:pPr>
      <w:r w:rsidRPr="003E36D2">
        <w:rPr>
          <w:rFonts w:cstheme="minorHAnsi"/>
        </w:rPr>
        <w:t>The freedom of academic staff and students to express their opinions in relation to the higher education provider in which they work or are enrolled;</w:t>
      </w:r>
    </w:p>
    <w:p w14:paraId="35691A5D" w14:textId="77777777" w:rsidR="00CA5F91" w:rsidRPr="003E36D2" w:rsidRDefault="00CA5F91" w:rsidP="00CA5F91">
      <w:pPr>
        <w:pStyle w:val="ListParagraph"/>
        <w:numPr>
          <w:ilvl w:val="0"/>
          <w:numId w:val="1"/>
        </w:numPr>
        <w:rPr>
          <w:rFonts w:cstheme="minorHAnsi"/>
        </w:rPr>
      </w:pPr>
      <w:r w:rsidRPr="003E36D2">
        <w:rPr>
          <w:rFonts w:cstheme="minorHAnsi"/>
        </w:rPr>
        <w:t xml:space="preserve">The freedom of academic staff, without constraint imposed by reason of their employment by the university, to make lawful public comment on any issue in their personal capacities; </w:t>
      </w:r>
    </w:p>
    <w:p w14:paraId="1C254212" w14:textId="77777777" w:rsidR="00CA5F91" w:rsidRPr="003E36D2" w:rsidRDefault="00CA5F91" w:rsidP="00CA5F91">
      <w:pPr>
        <w:pStyle w:val="ListParagraph"/>
        <w:numPr>
          <w:ilvl w:val="0"/>
          <w:numId w:val="1"/>
        </w:numPr>
        <w:rPr>
          <w:rFonts w:cstheme="minorHAnsi"/>
        </w:rPr>
      </w:pPr>
      <w:r w:rsidRPr="003E36D2">
        <w:rPr>
          <w:rFonts w:cstheme="minorHAnsi"/>
        </w:rPr>
        <w:t>The freedom of academic staff to participate in professional or representative academic bodies;</w:t>
      </w:r>
    </w:p>
    <w:p w14:paraId="5C646FAC" w14:textId="77777777" w:rsidR="00CA5F91" w:rsidRPr="003E36D2" w:rsidRDefault="00CA5F91" w:rsidP="00CA5F91">
      <w:pPr>
        <w:pStyle w:val="ListParagraph"/>
        <w:numPr>
          <w:ilvl w:val="0"/>
          <w:numId w:val="1"/>
        </w:numPr>
        <w:rPr>
          <w:rFonts w:cstheme="minorHAnsi"/>
        </w:rPr>
      </w:pPr>
      <w:r w:rsidRPr="003E36D2">
        <w:rPr>
          <w:rFonts w:cstheme="minorHAnsi"/>
        </w:rPr>
        <w:t>The freedom of students to participate in student societies and associations; and</w:t>
      </w:r>
    </w:p>
    <w:p w14:paraId="141D1019" w14:textId="77777777" w:rsidR="00CA5F91" w:rsidRPr="003E36D2" w:rsidRDefault="00CA5F91" w:rsidP="00CA5F91">
      <w:pPr>
        <w:pStyle w:val="ListParagraph"/>
        <w:numPr>
          <w:ilvl w:val="0"/>
          <w:numId w:val="1"/>
        </w:numPr>
        <w:spacing w:before="240"/>
        <w:rPr>
          <w:rFonts w:cstheme="minorHAnsi"/>
        </w:rPr>
      </w:pPr>
      <w:r w:rsidRPr="003E36D2">
        <w:rPr>
          <w:rFonts w:cstheme="minorHAnsi"/>
        </w:rPr>
        <w:t xml:space="preserve">The autonomy of the higher education provider in relation to the choice of academic courses and offerings, the ways in which they are taught and the choices of research activities and the ways in which they are conducted. </w:t>
      </w:r>
    </w:p>
    <w:p w14:paraId="13BFB60F" w14:textId="77777777" w:rsidR="00CA5F91" w:rsidRPr="003E36D2" w:rsidRDefault="00CA5F91" w:rsidP="00DC059E">
      <w:pPr>
        <w:pStyle w:val="ListParagraph"/>
        <w:keepNext/>
        <w:numPr>
          <w:ilvl w:val="0"/>
          <w:numId w:val="2"/>
        </w:numPr>
        <w:spacing w:after="200" w:line="276" w:lineRule="auto"/>
        <w:rPr>
          <w:rFonts w:cstheme="minorHAnsi"/>
        </w:rPr>
      </w:pPr>
      <w:r w:rsidRPr="003E36D2">
        <w:rPr>
          <w:rFonts w:cstheme="minorHAnsi"/>
        </w:rPr>
        <w:t>Section 19-115 of the HESA be amended  to read:</w:t>
      </w:r>
    </w:p>
    <w:p w14:paraId="3CB82216" w14:textId="77777777" w:rsidR="00CA5F91" w:rsidRPr="00DC059E" w:rsidRDefault="00CA5F91" w:rsidP="00DC059E">
      <w:pPr>
        <w:pStyle w:val="Default"/>
        <w:keepNext/>
        <w:ind w:left="720"/>
        <w:rPr>
          <w:rFonts w:asciiTheme="minorHAnsi" w:hAnsiTheme="minorHAnsi" w:cstheme="minorHAnsi"/>
          <w:b/>
          <w:color w:val="auto"/>
          <w:sz w:val="22"/>
          <w:szCs w:val="22"/>
        </w:rPr>
      </w:pPr>
      <w:r w:rsidRPr="00DC059E">
        <w:rPr>
          <w:rFonts w:asciiTheme="minorHAnsi" w:hAnsiTheme="minorHAnsi" w:cstheme="minorHAnsi"/>
          <w:b/>
          <w:bCs/>
          <w:sz w:val="23"/>
          <w:szCs w:val="23"/>
        </w:rPr>
        <w:t xml:space="preserve">19-115 Provider to have policy upholding </w:t>
      </w:r>
      <w:r w:rsidRPr="00DC059E">
        <w:rPr>
          <w:rFonts w:asciiTheme="minorHAnsi" w:hAnsiTheme="minorHAnsi" w:cstheme="minorHAnsi"/>
          <w:b/>
          <w:bCs/>
          <w:strike/>
          <w:sz w:val="23"/>
          <w:szCs w:val="23"/>
        </w:rPr>
        <w:t>free intellectual inquiry</w:t>
      </w:r>
      <w:r w:rsidRPr="00DC059E">
        <w:rPr>
          <w:rFonts w:asciiTheme="minorHAnsi" w:hAnsiTheme="minorHAnsi" w:cstheme="minorHAnsi"/>
          <w:b/>
          <w:bCs/>
          <w:sz w:val="23"/>
          <w:szCs w:val="23"/>
        </w:rPr>
        <w:t xml:space="preserve"> </w:t>
      </w:r>
      <w:r w:rsidRPr="00DC059E">
        <w:rPr>
          <w:rFonts w:asciiTheme="minorHAnsi" w:hAnsiTheme="minorHAnsi" w:cstheme="minorHAnsi"/>
          <w:b/>
          <w:bCs/>
          <w:color w:val="FF0000"/>
          <w:sz w:val="23"/>
          <w:szCs w:val="23"/>
        </w:rPr>
        <w:t>freedom of speech and academic freedom</w:t>
      </w:r>
      <w:r w:rsidRPr="00DC059E">
        <w:rPr>
          <w:rFonts w:asciiTheme="minorHAnsi" w:hAnsiTheme="minorHAnsi" w:cstheme="minorHAnsi"/>
          <w:b/>
          <w:color w:val="auto"/>
          <w:sz w:val="22"/>
          <w:szCs w:val="22"/>
        </w:rPr>
        <w:t xml:space="preserve"> </w:t>
      </w:r>
    </w:p>
    <w:p w14:paraId="7F006826" w14:textId="77777777" w:rsidR="00CA5F91" w:rsidRPr="003E36D2" w:rsidRDefault="00CA5F91" w:rsidP="00CA5F91">
      <w:pPr>
        <w:pStyle w:val="ListParagraph"/>
        <w:rPr>
          <w:rFonts w:cstheme="minorHAnsi"/>
        </w:rPr>
      </w:pPr>
      <w:r w:rsidRPr="003E36D2">
        <w:rPr>
          <w:rFonts w:cstheme="minorHAnsi"/>
        </w:rPr>
        <w:t xml:space="preserve">A higher education provider that is a Table A provider or a Table B provider must have a policy that upholds </w:t>
      </w:r>
      <w:r w:rsidRPr="003E36D2">
        <w:rPr>
          <w:rFonts w:cstheme="minorHAnsi"/>
          <w:strike/>
        </w:rPr>
        <w:t>free intellectual inquiry</w:t>
      </w:r>
      <w:r w:rsidRPr="003E36D2">
        <w:rPr>
          <w:rFonts w:cstheme="minorHAnsi"/>
        </w:rPr>
        <w:t xml:space="preserve"> </w:t>
      </w:r>
      <w:r w:rsidRPr="003E36D2">
        <w:rPr>
          <w:rFonts w:cstheme="minorHAnsi"/>
          <w:color w:val="FF0000"/>
        </w:rPr>
        <w:t xml:space="preserve">freedom of speech and academic freedom </w:t>
      </w:r>
      <w:r w:rsidRPr="003E36D2">
        <w:rPr>
          <w:rFonts w:cstheme="minorHAnsi"/>
        </w:rPr>
        <w:t>in relation to learning, teaching and research.</w:t>
      </w:r>
    </w:p>
    <w:p w14:paraId="4DA888EB" w14:textId="77777777" w:rsidR="00885319" w:rsidRDefault="00C556CC"/>
    <w:sectPr w:rsidR="00885319" w:rsidSect="00DC059E">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150E0"/>
    <w:multiLevelType w:val="hybridMultilevel"/>
    <w:tmpl w:val="D11A57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73387708"/>
    <w:multiLevelType w:val="hybridMultilevel"/>
    <w:tmpl w:val="DF066FF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F91"/>
    <w:rsid w:val="003E36D2"/>
    <w:rsid w:val="00436CE6"/>
    <w:rsid w:val="0046308A"/>
    <w:rsid w:val="005413C9"/>
    <w:rsid w:val="006171B5"/>
    <w:rsid w:val="00671712"/>
    <w:rsid w:val="006F2ADE"/>
    <w:rsid w:val="007F4033"/>
    <w:rsid w:val="009A666E"/>
    <w:rsid w:val="00A35CF3"/>
    <w:rsid w:val="00C556CC"/>
    <w:rsid w:val="00CA5F91"/>
    <w:rsid w:val="00DC059E"/>
    <w:rsid w:val="00FC26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A5197"/>
  <w15:chartTrackingRefBased/>
  <w15:docId w15:val="{E6219FCA-00A5-481F-A2C9-B84BEFAD9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F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DDM Gen Text,L,List Paragraph - bullets,List Paragraph1,List Paragraph11,NFP GP Bulleted List,Recommendation,bullet point list,F5 List Paragraph,Dot pt,CV text,Table text,List Paragraph111,Medium Grid 1 - Accent 21,FooterText"/>
    <w:basedOn w:val="Normal"/>
    <w:link w:val="ListParagraphChar"/>
    <w:uiPriority w:val="34"/>
    <w:qFormat/>
    <w:rsid w:val="00CA5F91"/>
    <w:pPr>
      <w:ind w:left="720"/>
      <w:contextualSpacing/>
    </w:pPr>
  </w:style>
  <w:style w:type="paragraph" w:customStyle="1" w:styleId="Default">
    <w:name w:val="Default"/>
    <w:rsid w:val="00CA5F9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Bullet point Char,DDM Gen Text Char,L Char,List Paragraph - bullets Char,List Paragraph1 Char,List Paragraph11 Char,NFP GP Bulleted List Char,Recommendation Char,bullet point list Char,F5 List Paragraph Char,Dot pt Char,CV text Char"/>
    <w:link w:val="ListParagraph"/>
    <w:uiPriority w:val="34"/>
    <w:qFormat/>
    <w:locked/>
    <w:rsid w:val="00CA5F91"/>
  </w:style>
  <w:style w:type="character" w:styleId="Hyperlink">
    <w:name w:val="Hyperlink"/>
    <w:basedOn w:val="DefaultParagraphFont"/>
    <w:uiPriority w:val="99"/>
    <w:unhideWhenUsed/>
    <w:rsid w:val="003E36D2"/>
    <w:rPr>
      <w:color w:val="0563C1" w:themeColor="hyperlink"/>
      <w:u w:val="single"/>
    </w:rPr>
  </w:style>
  <w:style w:type="paragraph" w:styleId="BalloonText">
    <w:name w:val="Balloon Text"/>
    <w:basedOn w:val="Normal"/>
    <w:link w:val="BalloonTextChar"/>
    <w:uiPriority w:val="99"/>
    <w:semiHidden/>
    <w:unhideWhenUsed/>
    <w:rsid w:val="006F2A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ADE"/>
    <w:rPr>
      <w:rFonts w:ascii="Segoe UI" w:hAnsi="Segoe UI" w:cs="Segoe UI"/>
      <w:sz w:val="18"/>
      <w:szCs w:val="18"/>
    </w:rPr>
  </w:style>
  <w:style w:type="character" w:styleId="CommentReference">
    <w:name w:val="annotation reference"/>
    <w:basedOn w:val="DefaultParagraphFont"/>
    <w:uiPriority w:val="99"/>
    <w:semiHidden/>
    <w:unhideWhenUsed/>
    <w:rsid w:val="006F2ADE"/>
    <w:rPr>
      <w:sz w:val="16"/>
      <w:szCs w:val="16"/>
    </w:rPr>
  </w:style>
  <w:style w:type="paragraph" w:styleId="CommentText">
    <w:name w:val="annotation text"/>
    <w:basedOn w:val="Normal"/>
    <w:link w:val="CommentTextChar"/>
    <w:uiPriority w:val="99"/>
    <w:semiHidden/>
    <w:unhideWhenUsed/>
    <w:rsid w:val="006F2ADE"/>
    <w:pPr>
      <w:spacing w:line="240" w:lineRule="auto"/>
    </w:pPr>
    <w:rPr>
      <w:sz w:val="20"/>
      <w:szCs w:val="20"/>
    </w:rPr>
  </w:style>
  <w:style w:type="character" w:customStyle="1" w:styleId="CommentTextChar">
    <w:name w:val="Comment Text Char"/>
    <w:basedOn w:val="DefaultParagraphFont"/>
    <w:link w:val="CommentText"/>
    <w:uiPriority w:val="99"/>
    <w:semiHidden/>
    <w:rsid w:val="006F2ADE"/>
    <w:rPr>
      <w:sz w:val="20"/>
      <w:szCs w:val="20"/>
    </w:rPr>
  </w:style>
  <w:style w:type="paragraph" w:styleId="CommentSubject">
    <w:name w:val="annotation subject"/>
    <w:basedOn w:val="CommentText"/>
    <w:next w:val="CommentText"/>
    <w:link w:val="CommentSubjectChar"/>
    <w:uiPriority w:val="99"/>
    <w:semiHidden/>
    <w:unhideWhenUsed/>
    <w:rsid w:val="006F2ADE"/>
    <w:rPr>
      <w:b/>
      <w:bCs/>
    </w:rPr>
  </w:style>
  <w:style w:type="character" w:customStyle="1" w:styleId="CommentSubjectChar">
    <w:name w:val="Comment Subject Char"/>
    <w:basedOn w:val="CommentTextChar"/>
    <w:link w:val="CommentSubject"/>
    <w:uiPriority w:val="99"/>
    <w:semiHidden/>
    <w:rsid w:val="006F2A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igherEd@education.gov.au" TargetMode="External"/><Relationship Id="rId5" Type="http://schemas.openxmlformats.org/officeDocument/2006/relationships/hyperlink" Target="https://docs.education.gov.au/node/5266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600F72D9.dotm</Template>
  <TotalTime>0</TotalTime>
  <Pages>2</Pages>
  <Words>540</Words>
  <Characters>2902</Characters>
  <Application>Microsoft Office Word</Application>
  <DocSecurity>4</DocSecurity>
  <Lines>53</Lines>
  <Paragraphs>29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YU,Ping</dc:creator>
  <cp:keywords/>
  <dc:description/>
  <cp:lastModifiedBy>SHEATHER,Daniel</cp:lastModifiedBy>
  <cp:revision>2</cp:revision>
  <dcterms:created xsi:type="dcterms:W3CDTF">2020-01-08T03:30:00Z</dcterms:created>
  <dcterms:modified xsi:type="dcterms:W3CDTF">2020-01-08T03:30:00Z</dcterms:modified>
</cp:coreProperties>
</file>