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450B8" w14:textId="77777777" w:rsidR="001414F3" w:rsidRDefault="002C4023" w:rsidP="00130923">
      <w:pPr>
        <w:pStyle w:val="BodyText"/>
      </w:pPr>
      <w:bookmarkStart w:id="0" w:name="_GoBack"/>
      <w:bookmarkEnd w:id="0"/>
      <w:r>
        <w:rPr>
          <w:noProof/>
        </w:rPr>
        <w:drawing>
          <wp:inline distT="0" distB="0" distL="0" distR="0" wp14:anchorId="71767D60" wp14:editId="69B4AEEE">
            <wp:extent cx="2252472" cy="560832"/>
            <wp:effectExtent l="0" t="0" r="0" b="0"/>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Education and Training_I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p w14:paraId="1D496755" w14:textId="77777777" w:rsidR="00A107CC" w:rsidRPr="00A107CC" w:rsidRDefault="00A107CC" w:rsidP="00A107CC">
      <w:pPr>
        <w:pStyle w:val="Subtitle"/>
        <w:ind w:left="1276" w:right="-22"/>
        <w:rPr>
          <w:sz w:val="44"/>
          <w:szCs w:val="72"/>
        </w:rPr>
      </w:pPr>
    </w:p>
    <w:p w14:paraId="240DDC1B" w14:textId="77777777" w:rsidR="00A107CC" w:rsidRDefault="00A107CC" w:rsidP="00F5647D">
      <w:pPr>
        <w:pStyle w:val="Subtitle"/>
        <w:ind w:left="1134"/>
        <w:rPr>
          <w:sz w:val="72"/>
          <w:szCs w:val="72"/>
        </w:rPr>
      </w:pPr>
      <w:r>
        <w:rPr>
          <w:sz w:val="72"/>
          <w:szCs w:val="72"/>
        </w:rPr>
        <w:t>Best Practice Guide:</w:t>
      </w:r>
    </w:p>
    <w:p w14:paraId="42C1C270" w14:textId="7D1FB911" w:rsidR="00BA282D" w:rsidRPr="00421837" w:rsidRDefault="00421837" w:rsidP="00F5647D">
      <w:pPr>
        <w:pStyle w:val="Subtitle"/>
        <w:ind w:left="1134"/>
        <w:rPr>
          <w:sz w:val="72"/>
          <w:szCs w:val="56"/>
        </w:rPr>
      </w:pPr>
      <w:r w:rsidRPr="00421837">
        <w:rPr>
          <w:sz w:val="72"/>
          <w:szCs w:val="56"/>
        </w:rPr>
        <w:t>Establish</w:t>
      </w:r>
      <w:r w:rsidR="00A107CC" w:rsidRPr="00421837">
        <w:rPr>
          <w:sz w:val="72"/>
          <w:szCs w:val="56"/>
        </w:rPr>
        <w:t xml:space="preserve"> school-</w:t>
      </w:r>
      <w:r w:rsidR="0093065A" w:rsidRPr="00421837">
        <w:rPr>
          <w:sz w:val="72"/>
          <w:szCs w:val="56"/>
        </w:rPr>
        <w:t xml:space="preserve">industry </w:t>
      </w:r>
      <w:r w:rsidR="00A107CC" w:rsidRPr="00421837">
        <w:rPr>
          <w:sz w:val="72"/>
          <w:szCs w:val="56"/>
        </w:rPr>
        <w:t>STEM partnerships</w:t>
      </w:r>
    </w:p>
    <w:p w14:paraId="1E4D193B" w14:textId="3C7C893C" w:rsidR="00A107CC" w:rsidRPr="00A107CC" w:rsidRDefault="0093065A" w:rsidP="00A107CC">
      <w:pPr>
        <w:pStyle w:val="Subtitle"/>
        <w:ind w:left="1276" w:right="-22"/>
      </w:pPr>
      <w:r>
        <w:t>October</w:t>
      </w:r>
      <w:r w:rsidR="00B9656C">
        <w:t xml:space="preserve"> </w:t>
      </w:r>
      <w:r w:rsidR="00A107CC" w:rsidRPr="00A107CC">
        <w:t>2019</w:t>
      </w:r>
    </w:p>
    <w:p w14:paraId="0ECDBE69" w14:textId="77777777" w:rsidR="00F47193" w:rsidRPr="00A107CC" w:rsidRDefault="00F47193" w:rsidP="00F47193">
      <w:pPr>
        <w:rPr>
          <w:sz w:val="460"/>
          <w:szCs w:val="620"/>
        </w:rPr>
      </w:pPr>
      <w:r w:rsidRPr="00A107CC">
        <w:rPr>
          <w:noProof/>
          <w:sz w:val="6"/>
          <w:lang w:eastAsia="en-AU"/>
        </w:rPr>
        <w:drawing>
          <wp:anchor distT="0" distB="0" distL="114300" distR="114300" simplePos="0" relativeHeight="251658240" behindDoc="1" locked="0" layoutInCell="1" allowOverlap="1" wp14:anchorId="53A7BF65" wp14:editId="656664D9">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2">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p>
    <w:p w14:paraId="721F7950" w14:textId="0FC3F0A2" w:rsidR="00130923" w:rsidRDefault="00F47193" w:rsidP="00E0686B">
      <w:pPr>
        <w:spacing w:after="0"/>
        <w:ind w:left="1276"/>
        <w:sectPr w:rsidR="00130923" w:rsidSect="00AD09E4">
          <w:headerReference w:type="even" r:id="rId13"/>
          <w:headerReference w:type="default" r:id="rId14"/>
          <w:footerReference w:type="even" r:id="rId15"/>
          <w:footerReference w:type="default" r:id="rId16"/>
          <w:headerReference w:type="first" r:id="rId17"/>
          <w:footerReference w:type="first" r:id="rId18"/>
          <w:pgSz w:w="11906" w:h="16838"/>
          <w:pgMar w:top="1418" w:right="1558" w:bottom="567" w:left="1440" w:header="708" w:footer="283" w:gutter="0"/>
          <w:cols w:space="708"/>
          <w:docGrid w:linePitch="360"/>
        </w:sectPr>
      </w:pPr>
      <w:r w:rsidRPr="00E376D2">
        <w:rPr>
          <w:rStyle w:val="Emphasis"/>
          <w:color w:val="FFFFFF" w:themeColor="background1"/>
        </w:rPr>
        <w:t>Opportunity through learning</w:t>
      </w:r>
      <w:r w:rsidR="00130923">
        <w:br w:type="page"/>
      </w:r>
    </w:p>
    <w:p w14:paraId="3C7DE5AD" w14:textId="6D31CB19" w:rsidR="00130923" w:rsidRPr="00E0686B" w:rsidRDefault="00E0686B" w:rsidP="00130923">
      <w:pPr>
        <w:pStyle w:val="numberedpara"/>
        <w:numPr>
          <w:ilvl w:val="0"/>
          <w:numId w:val="0"/>
        </w:numPr>
        <w:tabs>
          <w:tab w:val="left" w:pos="720"/>
        </w:tabs>
        <w:rPr>
          <w:b/>
          <w:szCs w:val="20"/>
        </w:rPr>
      </w:pPr>
      <w:r w:rsidRPr="00E0686B">
        <w:rPr>
          <w:b/>
          <w:szCs w:val="20"/>
        </w:rPr>
        <w:lastRenderedPageBreak/>
        <w:t>Disclaimer</w:t>
      </w:r>
    </w:p>
    <w:p w14:paraId="5F0C42D3" w14:textId="5FB26109" w:rsidR="00E0686B" w:rsidRDefault="00E0686B" w:rsidP="00E0686B">
      <w:pPr>
        <w:rPr>
          <w:rFonts w:cstheme="minorHAnsi"/>
          <w:lang w:val="en-US"/>
        </w:rPr>
      </w:pPr>
      <w:r>
        <w:rPr>
          <w:rFonts w:cstheme="minorHAnsi"/>
          <w:lang w:val="en-US"/>
        </w:rPr>
        <w:t xml:space="preserve">This Best Practice Guide is a summary of elements of the </w:t>
      </w:r>
      <w:r w:rsidRPr="00E0686B">
        <w:rPr>
          <w:rFonts w:cstheme="minorHAnsi"/>
          <w:i/>
          <w:lang w:val="en-US"/>
        </w:rPr>
        <w:t>National STEM School Education Resources Toolkit</w:t>
      </w:r>
      <w:r>
        <w:rPr>
          <w:rFonts w:cstheme="minorHAnsi"/>
          <w:lang w:val="en-US"/>
        </w:rPr>
        <w:t xml:space="preserve">. </w:t>
      </w:r>
      <w:r w:rsidRPr="00052ABA">
        <w:rPr>
          <w:rFonts w:cstheme="minorHAnsi"/>
          <w:lang w:val="en-US"/>
        </w:rPr>
        <w:t xml:space="preserve">The Australian Government </w:t>
      </w:r>
      <w:r>
        <w:rPr>
          <w:rFonts w:cstheme="minorHAnsi"/>
          <w:lang w:val="en-US"/>
        </w:rPr>
        <w:t xml:space="preserve">Department of Education </w:t>
      </w:r>
      <w:r w:rsidRPr="00052ABA">
        <w:rPr>
          <w:rFonts w:cstheme="minorHAnsi"/>
          <w:lang w:val="en-US"/>
        </w:rPr>
        <w:t xml:space="preserve">commissioned Dandolopartners International to develop </w:t>
      </w:r>
      <w:r>
        <w:rPr>
          <w:rFonts w:cstheme="minorHAnsi"/>
          <w:lang w:val="en-US"/>
        </w:rPr>
        <w:t>the Toolkit to</w:t>
      </w:r>
      <w:r w:rsidRPr="00052ABA">
        <w:rPr>
          <w:rFonts w:cstheme="minorHAnsi"/>
          <w:lang w:val="en-US"/>
        </w:rPr>
        <w:t xml:space="preserve"> assist schools and industry </w:t>
      </w:r>
      <w:r>
        <w:rPr>
          <w:rFonts w:cstheme="minorHAnsi"/>
          <w:lang w:val="en-US"/>
        </w:rPr>
        <w:t xml:space="preserve">to </w:t>
      </w:r>
      <w:r w:rsidRPr="00052ABA">
        <w:rPr>
          <w:rFonts w:cstheme="minorHAnsi"/>
          <w:lang w:val="en-US"/>
        </w:rPr>
        <w:t>es</w:t>
      </w:r>
      <w:r>
        <w:rPr>
          <w:rFonts w:cstheme="minorHAnsi"/>
          <w:lang w:val="en-US"/>
        </w:rPr>
        <w:t>tablish new STEM initiatives,</w:t>
      </w:r>
      <w:r w:rsidRPr="00052ABA">
        <w:rPr>
          <w:rFonts w:cstheme="minorHAnsi"/>
          <w:lang w:val="en-US"/>
        </w:rPr>
        <w:t xml:space="preserve"> form school-industry partnerships</w:t>
      </w:r>
      <w:r>
        <w:rPr>
          <w:rFonts w:cstheme="minorHAnsi"/>
          <w:lang w:val="en-US"/>
        </w:rPr>
        <w:t xml:space="preserve">, and </w:t>
      </w:r>
      <w:r w:rsidRPr="00052ABA">
        <w:rPr>
          <w:rFonts w:cstheme="minorHAnsi"/>
          <w:lang w:val="en-US"/>
        </w:rPr>
        <w:t>evaluate existing and future STEM initiatives</w:t>
      </w:r>
      <w:r>
        <w:rPr>
          <w:rFonts w:cstheme="minorHAnsi"/>
          <w:lang w:val="en-US"/>
        </w:rPr>
        <w:t>.</w:t>
      </w:r>
    </w:p>
    <w:p w14:paraId="4FBF9358" w14:textId="563EE042" w:rsidR="00E0686B" w:rsidRDefault="00E0686B" w:rsidP="00E0686B">
      <w:pPr>
        <w:rPr>
          <w:rFonts w:cstheme="minorHAnsi"/>
          <w:lang w:val="en"/>
        </w:rPr>
      </w:pPr>
      <w:r>
        <w:rPr>
          <w:rFonts w:cstheme="minorHAnsi"/>
          <w:lang w:val="en"/>
        </w:rPr>
        <w:t xml:space="preserve">The Toolkit uses real-world examples of </w:t>
      </w:r>
      <w:r w:rsidRPr="00052ABA">
        <w:rPr>
          <w:rFonts w:cstheme="minorHAnsi"/>
          <w:lang w:val="en"/>
        </w:rPr>
        <w:t xml:space="preserve">events and activities offered by education </w:t>
      </w:r>
      <w:r w:rsidR="00D57B07">
        <w:rPr>
          <w:rFonts w:cstheme="minorHAnsi"/>
          <w:lang w:val="en"/>
        </w:rPr>
        <w:t>departments</w:t>
      </w:r>
      <w:r w:rsidRPr="00052ABA">
        <w:rPr>
          <w:rFonts w:cstheme="minorHAnsi"/>
          <w:lang w:val="en"/>
        </w:rPr>
        <w:t>, industry and other providers</w:t>
      </w:r>
      <w:r>
        <w:rPr>
          <w:rFonts w:cstheme="minorHAnsi"/>
          <w:lang w:val="en"/>
        </w:rPr>
        <w:t>. I</w:t>
      </w:r>
      <w:r w:rsidRPr="00052ABA">
        <w:rPr>
          <w:rFonts w:cstheme="minorHAnsi"/>
          <w:lang w:val="en"/>
        </w:rPr>
        <w:t xml:space="preserve">nclusion of </w:t>
      </w:r>
      <w:r>
        <w:rPr>
          <w:rFonts w:cstheme="minorHAnsi"/>
          <w:lang w:val="en"/>
        </w:rPr>
        <w:t>references and links to</w:t>
      </w:r>
      <w:r w:rsidRPr="00052ABA">
        <w:rPr>
          <w:rFonts w:cstheme="minorHAnsi"/>
          <w:lang w:val="en"/>
        </w:rPr>
        <w:t xml:space="preserve"> </w:t>
      </w:r>
      <w:r>
        <w:rPr>
          <w:rFonts w:cstheme="minorHAnsi"/>
          <w:lang w:val="en"/>
        </w:rPr>
        <w:t xml:space="preserve">external sources </w:t>
      </w:r>
      <w:r w:rsidRPr="00052ABA">
        <w:rPr>
          <w:rFonts w:cstheme="minorHAnsi"/>
          <w:lang w:val="en"/>
        </w:rPr>
        <w:t xml:space="preserve">does not imply endorsement of </w:t>
      </w:r>
      <w:r>
        <w:rPr>
          <w:rFonts w:cstheme="minorHAnsi"/>
          <w:lang w:val="en"/>
        </w:rPr>
        <w:t>any company, product or program by the Australian Government.</w:t>
      </w:r>
    </w:p>
    <w:p w14:paraId="6F6E97C7" w14:textId="22DD1EB2" w:rsidR="00E0686B" w:rsidRDefault="00E0686B" w:rsidP="007D58FB">
      <w:r>
        <w:rPr>
          <w:noProof/>
          <w:sz w:val="20"/>
          <w:szCs w:val="20"/>
          <w:lang w:eastAsia="en-AU"/>
        </w:rPr>
        <w:drawing>
          <wp:inline distT="0" distB="0" distL="0" distR="0" wp14:anchorId="17EF4C5D" wp14:editId="52513A04">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9" r:link="rId20"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44E1022D" w14:textId="7000F2C6" w:rsidR="00130923" w:rsidRPr="000462F1" w:rsidRDefault="00130923" w:rsidP="007D58FB">
      <w:r w:rsidRPr="000462F1">
        <w:t xml:space="preserve">With the exception of the Commonwealth Coat of Arms, the Department’s logo, any material protected by a trade mark and where otherwise noted all material presented in this document is provided under a </w:t>
      </w:r>
      <w:hyperlink r:id="rId21" w:history="1">
        <w:r w:rsidR="00C84E0C" w:rsidRPr="004164A2">
          <w:rPr>
            <w:rStyle w:val="Hyperlink"/>
          </w:rPr>
          <w:t>Creative Commons Attribution 4.0 International</w:t>
        </w:r>
      </w:hyperlink>
      <w:r w:rsidR="007D58FB">
        <w:t xml:space="preserve"> </w:t>
      </w:r>
      <w:r w:rsidRPr="000462F1">
        <w:t>(</w:t>
      </w:r>
      <w:r w:rsidR="00773D40" w:rsidRPr="00EC78E7">
        <w:t>http://creativecommons.org/licenses/by/</w:t>
      </w:r>
      <w:r w:rsidR="00773D40">
        <w:t>4</w:t>
      </w:r>
      <w:r w:rsidR="00773D40" w:rsidRPr="00EC78E7">
        <w:t>.0/</w:t>
      </w:r>
      <w:r w:rsidRPr="000462F1">
        <w:t xml:space="preserve">) licence. </w:t>
      </w:r>
    </w:p>
    <w:p w14:paraId="071D5A82" w14:textId="77777777" w:rsidR="00130923" w:rsidRPr="000462F1" w:rsidRDefault="00130923" w:rsidP="007D58FB">
      <w:r w:rsidRPr="000462F1">
        <w:t xml:space="preserve">The details of the relevant licence conditions are available on the Creative Commons website (accessible using the links provided) as is the full legal code for the </w:t>
      </w:r>
      <w:hyperlink r:id="rId22" w:history="1">
        <w:r w:rsidR="00C84E0C" w:rsidRPr="004164A2">
          <w:rPr>
            <w:rStyle w:val="Hyperlink"/>
          </w:rPr>
          <w:t>CC BY 4.0 International</w:t>
        </w:r>
      </w:hyperlink>
      <w:r w:rsidRPr="000462F1">
        <w:t xml:space="preserve"> (</w:t>
      </w:r>
      <w:r w:rsidRPr="00EC78E7">
        <w:t>http://creativecommons.org/licenses/by/</w:t>
      </w:r>
      <w:r w:rsidR="00C84E0C">
        <w:t>4</w:t>
      </w:r>
      <w:r w:rsidRPr="00EC78E7">
        <w:t>.0</w:t>
      </w:r>
      <w:r w:rsidR="00C84E0C">
        <w:t>/</w:t>
      </w:r>
      <w:r w:rsidRPr="00EC78E7">
        <w:t>legalcode</w:t>
      </w:r>
      <w:r w:rsidRPr="000462F1">
        <w:t xml:space="preserve">). </w:t>
      </w:r>
    </w:p>
    <w:p w14:paraId="0C25DEC2" w14:textId="00D22810" w:rsidR="00130923" w:rsidRDefault="00D57B07" w:rsidP="0017361E">
      <w:r>
        <w:t xml:space="preserve">The suggested attribution for this </w:t>
      </w:r>
      <w:r w:rsidRPr="000462F1">
        <w:t xml:space="preserve">document </w:t>
      </w:r>
      <w:r>
        <w:t xml:space="preserve">is </w:t>
      </w:r>
      <w:r w:rsidR="0017361E" w:rsidRPr="00D073E6">
        <w:rPr>
          <w:i/>
        </w:rPr>
        <w:t>Best Practic</w:t>
      </w:r>
      <w:r w:rsidR="00B9656C">
        <w:rPr>
          <w:i/>
        </w:rPr>
        <w:t>e Guide: Establish</w:t>
      </w:r>
      <w:r w:rsidR="0017361E" w:rsidRPr="00D073E6">
        <w:rPr>
          <w:i/>
        </w:rPr>
        <w:t xml:space="preserve"> school-</w:t>
      </w:r>
      <w:r w:rsidR="00B9656C">
        <w:rPr>
          <w:i/>
        </w:rPr>
        <w:t>industry</w:t>
      </w:r>
      <w:r w:rsidR="0017361E" w:rsidRPr="00D073E6">
        <w:rPr>
          <w:i/>
        </w:rPr>
        <w:t xml:space="preserve"> STEM partnerships</w:t>
      </w:r>
      <w:r w:rsidR="00130923" w:rsidRPr="00D073E6">
        <w:rPr>
          <w:i/>
        </w:rPr>
        <w:t>.</w:t>
      </w:r>
    </w:p>
    <w:p w14:paraId="23DF6E6D" w14:textId="77777777" w:rsidR="00130923" w:rsidRDefault="00130923" w:rsidP="00130923">
      <w:pPr>
        <w:pStyle w:val="numberedpara"/>
        <w:numPr>
          <w:ilvl w:val="0"/>
          <w:numId w:val="0"/>
        </w:numPr>
        <w:tabs>
          <w:tab w:val="left" w:pos="720"/>
        </w:tabs>
        <w:spacing w:before="120" w:after="120"/>
        <w:rPr>
          <w:sz w:val="20"/>
          <w:szCs w:val="20"/>
        </w:rPr>
      </w:pPr>
    </w:p>
    <w:p w14:paraId="4D9C1D0B" w14:textId="77777777" w:rsidR="00466D28" w:rsidRDefault="00466D28" w:rsidP="00130923">
      <w:pPr>
        <w:pStyle w:val="numberedpara"/>
        <w:numPr>
          <w:ilvl w:val="0"/>
          <w:numId w:val="0"/>
        </w:numPr>
        <w:tabs>
          <w:tab w:val="left" w:pos="720"/>
        </w:tabs>
        <w:spacing w:before="120" w:after="120"/>
        <w:rPr>
          <w:sz w:val="20"/>
          <w:szCs w:val="20"/>
        </w:rPr>
        <w:sectPr w:rsidR="00466D28" w:rsidSect="00E0686B">
          <w:type w:val="continuous"/>
          <w:pgSz w:w="11906" w:h="16838"/>
          <w:pgMar w:top="7938" w:right="1440" w:bottom="1440" w:left="1440" w:header="709" w:footer="709" w:gutter="0"/>
          <w:cols w:space="708"/>
          <w:docGrid w:linePitch="360"/>
        </w:sectPr>
      </w:pPr>
    </w:p>
    <w:p w14:paraId="01666028" w14:textId="77777777" w:rsidR="00A107CC" w:rsidRPr="00A107CC" w:rsidRDefault="00A107CC" w:rsidP="00466D28">
      <w:pPr>
        <w:pStyle w:val="Heading1"/>
      </w:pPr>
      <w:r w:rsidRPr="00A107CC">
        <w:t>How do I establish a successful school-business STEM partnership?</w:t>
      </w:r>
    </w:p>
    <w:tbl>
      <w:tblPr>
        <w:tblStyle w:val="TableGrid"/>
        <w:tblW w:w="0" w:type="auto"/>
        <w:shd w:val="clear" w:color="auto" w:fill="DBDDE0" w:themeFill="accent6" w:themeFillTint="33"/>
        <w:tblLook w:val="04A0" w:firstRow="1" w:lastRow="0" w:firstColumn="1" w:lastColumn="0" w:noHBand="0" w:noVBand="1"/>
      </w:tblPr>
      <w:tblGrid>
        <w:gridCol w:w="9016"/>
      </w:tblGrid>
      <w:tr w:rsidR="00A107CC" w:rsidRPr="00A107CC" w14:paraId="44161BFE" w14:textId="77777777" w:rsidTr="00E1791B">
        <w:trPr>
          <w:trHeight w:val="1531"/>
        </w:trPr>
        <w:tc>
          <w:tcPr>
            <w:tcW w:w="9508" w:type="dxa"/>
            <w:shd w:val="clear" w:color="auto" w:fill="DBDDE0" w:themeFill="accent6" w:themeFillTint="33"/>
          </w:tcPr>
          <w:p w14:paraId="4F8395C1" w14:textId="77777777" w:rsidR="00A107CC" w:rsidRPr="00A107CC" w:rsidRDefault="00A107CC" w:rsidP="00A107CC">
            <w:pPr>
              <w:spacing w:after="200" w:line="276" w:lineRule="auto"/>
            </w:pPr>
            <w:r w:rsidRPr="00A107CC">
              <w:t>This guide is designed for schools and businesses seeking to form or enhanc</w:t>
            </w:r>
            <w:r w:rsidR="00466D28">
              <w:t xml:space="preserve">e STEM education partnerships. </w:t>
            </w:r>
            <w:r w:rsidRPr="00A107CC">
              <w:t>Use this guide to:</w:t>
            </w:r>
          </w:p>
          <w:p w14:paraId="0614E1F0" w14:textId="77777777" w:rsidR="00A107CC" w:rsidRPr="00A107CC" w:rsidRDefault="00A107CC" w:rsidP="00A107CC">
            <w:pPr>
              <w:numPr>
                <w:ilvl w:val="0"/>
                <w:numId w:val="19"/>
              </w:numPr>
              <w:spacing w:after="200" w:line="276" w:lineRule="auto"/>
            </w:pPr>
            <w:r w:rsidRPr="00A107CC">
              <w:t>Understand the value of school-business partnerships</w:t>
            </w:r>
          </w:p>
          <w:p w14:paraId="6A2C6470" w14:textId="77777777" w:rsidR="00A107CC" w:rsidRPr="00A107CC" w:rsidRDefault="00A107CC" w:rsidP="00A107CC">
            <w:pPr>
              <w:numPr>
                <w:ilvl w:val="0"/>
                <w:numId w:val="19"/>
              </w:numPr>
              <w:spacing w:after="200" w:line="276" w:lineRule="auto"/>
            </w:pPr>
            <w:r w:rsidRPr="00A107CC">
              <w:t>Learn about common characteristics of successful school-business partnership</w:t>
            </w:r>
          </w:p>
        </w:tc>
      </w:tr>
    </w:tbl>
    <w:p w14:paraId="1F3CAA0E" w14:textId="77777777" w:rsidR="00A107CC" w:rsidRPr="00A107CC" w:rsidRDefault="00A107CC" w:rsidP="00466D28">
      <w:pPr>
        <w:pStyle w:val="Heading2"/>
      </w:pPr>
      <w:r w:rsidRPr="00A107CC">
        <w:t>Why are school-business STEM relationships important?</w:t>
      </w:r>
    </w:p>
    <w:p w14:paraId="75549933" w14:textId="77777777" w:rsidR="00A107CC" w:rsidRPr="00A107CC" w:rsidRDefault="00A107CC" w:rsidP="00A107CC">
      <w:r w:rsidRPr="00A107CC">
        <w:t xml:space="preserve">Businesses and schools working together for STEM education is a win-win-win for students, business and schools. </w:t>
      </w:r>
    </w:p>
    <w:p w14:paraId="4986299F" w14:textId="77777777" w:rsidR="00A107CC" w:rsidRPr="00A107CC" w:rsidRDefault="00110531" w:rsidP="00110531">
      <w:pPr>
        <w:pStyle w:val="Heading3"/>
      </w:pPr>
      <w:r w:rsidRPr="00110531">
        <w:rPr>
          <w:b w:val="0"/>
        </w:rPr>
        <w:t>Partnerships</w:t>
      </w:r>
      <w:r w:rsidRPr="00A107CC">
        <w:t xml:space="preserve"> </w:t>
      </w:r>
      <w:r w:rsidR="00A107CC" w:rsidRPr="00A107CC">
        <w:t xml:space="preserve">benefit students </w:t>
      </w:r>
      <w:r w:rsidR="00A107CC" w:rsidRPr="00110531">
        <w:rPr>
          <w:b w:val="0"/>
        </w:rPr>
        <w:t>by:</w:t>
      </w:r>
      <w:r w:rsidR="00A107CC" w:rsidRPr="00A107CC">
        <w:t xml:space="preserve"> </w:t>
      </w:r>
    </w:p>
    <w:p w14:paraId="3AF78869" w14:textId="77777777" w:rsidR="00A107CC" w:rsidRPr="00A107CC" w:rsidRDefault="00A107CC" w:rsidP="00110531">
      <w:pPr>
        <w:pStyle w:val="ListBullet"/>
        <w:spacing w:before="120"/>
        <w:ind w:left="369" w:hanging="369"/>
        <w:contextualSpacing w:val="0"/>
      </w:pPr>
      <w:r w:rsidRPr="00A107CC">
        <w:t>Promoting an understanding of the real world of work.</w:t>
      </w:r>
    </w:p>
    <w:p w14:paraId="45390135" w14:textId="77777777" w:rsidR="00A107CC" w:rsidRPr="00A107CC" w:rsidRDefault="00A107CC" w:rsidP="00110531">
      <w:pPr>
        <w:pStyle w:val="ListBullet"/>
        <w:contextualSpacing w:val="0"/>
      </w:pPr>
      <w:r w:rsidRPr="00A107CC">
        <w:t xml:space="preserve">Inspiring excitement and motivation about STEM. </w:t>
      </w:r>
    </w:p>
    <w:p w14:paraId="36F018A9" w14:textId="77777777" w:rsidR="00A107CC" w:rsidRPr="00A107CC" w:rsidRDefault="00A107CC" w:rsidP="00310A04">
      <w:pPr>
        <w:numPr>
          <w:ilvl w:val="0"/>
          <w:numId w:val="19"/>
        </w:numPr>
      </w:pPr>
      <w:r w:rsidRPr="00A107CC">
        <w:t>Creating a link between the relevance of their education and life after school.</w:t>
      </w:r>
    </w:p>
    <w:p w14:paraId="33EECD08" w14:textId="77777777" w:rsidR="00A107CC" w:rsidRPr="00A107CC" w:rsidRDefault="00A107CC" w:rsidP="00110531">
      <w:pPr>
        <w:pStyle w:val="ListBullet"/>
        <w:contextualSpacing w:val="0"/>
      </w:pPr>
      <w:r w:rsidRPr="00A107CC">
        <w:t>Equipping students with skills they need to succeed in life and work e.g. 21st century skills.</w:t>
      </w:r>
    </w:p>
    <w:p w14:paraId="6B3C8A3D" w14:textId="77777777" w:rsidR="00A107CC" w:rsidRPr="00A107CC" w:rsidRDefault="00A107CC" w:rsidP="00110531">
      <w:pPr>
        <w:pStyle w:val="ListBullet"/>
        <w:contextualSpacing w:val="0"/>
      </w:pPr>
      <w:r w:rsidRPr="00A107CC">
        <w:t xml:space="preserve">Raising awareness of diverse career / further education opportunities. </w:t>
      </w:r>
    </w:p>
    <w:p w14:paraId="0C903A4D" w14:textId="77777777" w:rsidR="00A107CC" w:rsidRPr="00A107CC" w:rsidRDefault="00A107CC" w:rsidP="00110531">
      <w:pPr>
        <w:pStyle w:val="Heading3"/>
      </w:pPr>
      <w:r w:rsidRPr="00110531">
        <w:rPr>
          <w:b w:val="0"/>
        </w:rPr>
        <w:t>Partnerships</w:t>
      </w:r>
      <w:r w:rsidRPr="00A107CC">
        <w:t xml:space="preserve"> benefit schools </w:t>
      </w:r>
      <w:r w:rsidRPr="00110531">
        <w:rPr>
          <w:b w:val="0"/>
        </w:rPr>
        <w:t>by:</w:t>
      </w:r>
    </w:p>
    <w:p w14:paraId="1419646E" w14:textId="77777777" w:rsidR="00A107CC" w:rsidRPr="00A107CC" w:rsidRDefault="00A107CC" w:rsidP="00110531">
      <w:pPr>
        <w:pStyle w:val="ListBullet"/>
        <w:contextualSpacing w:val="0"/>
      </w:pPr>
      <w:r w:rsidRPr="00A107CC">
        <w:t>Enhancing and complementing curriculum content e.g. applying theory to real-world contexts.</w:t>
      </w:r>
    </w:p>
    <w:p w14:paraId="2D2E9C3D" w14:textId="77777777" w:rsidR="00A107CC" w:rsidRPr="00A107CC" w:rsidRDefault="00A107CC" w:rsidP="00110531">
      <w:pPr>
        <w:pStyle w:val="ListBullet"/>
        <w:contextualSpacing w:val="0"/>
      </w:pPr>
      <w:r w:rsidRPr="00A107CC">
        <w:t>Providing opportunities for students to access the real world of work.</w:t>
      </w:r>
    </w:p>
    <w:p w14:paraId="702CA68D" w14:textId="77777777" w:rsidR="00A107CC" w:rsidRPr="00A107CC" w:rsidRDefault="00A107CC" w:rsidP="00110531">
      <w:pPr>
        <w:pStyle w:val="ListBullet"/>
        <w:contextualSpacing w:val="0"/>
      </w:pPr>
      <w:r w:rsidRPr="00A107CC">
        <w:t xml:space="preserve">Increasing access to internal / external resources. </w:t>
      </w:r>
    </w:p>
    <w:p w14:paraId="7BFE599E" w14:textId="77777777" w:rsidR="00A107CC" w:rsidRPr="00A107CC" w:rsidRDefault="00A107CC" w:rsidP="00110531">
      <w:pPr>
        <w:pStyle w:val="ListBullet"/>
        <w:contextualSpacing w:val="0"/>
      </w:pPr>
      <w:r w:rsidRPr="00A107CC">
        <w:t xml:space="preserve">Building capability of school leaders and teachers in STEM / business. </w:t>
      </w:r>
    </w:p>
    <w:p w14:paraId="67C0FFE7" w14:textId="77777777" w:rsidR="00A107CC" w:rsidRPr="00A107CC" w:rsidRDefault="00A107CC" w:rsidP="00110531">
      <w:pPr>
        <w:pStyle w:val="Heading3"/>
      </w:pPr>
      <w:r w:rsidRPr="00110531">
        <w:rPr>
          <w:b w:val="0"/>
        </w:rPr>
        <w:t>Partnerships</w:t>
      </w:r>
      <w:r w:rsidRPr="00A107CC">
        <w:t xml:space="preserve"> benefit businesses </w:t>
      </w:r>
      <w:r w:rsidRPr="00110531">
        <w:rPr>
          <w:b w:val="0"/>
        </w:rPr>
        <w:t>by:</w:t>
      </w:r>
    </w:p>
    <w:p w14:paraId="72262458" w14:textId="77777777" w:rsidR="00A107CC" w:rsidRPr="00A107CC" w:rsidRDefault="00A107CC" w:rsidP="00110531">
      <w:pPr>
        <w:pStyle w:val="ListBullet"/>
        <w:spacing w:after="0"/>
        <w:ind w:left="357" w:hanging="357"/>
        <w:contextualSpacing w:val="0"/>
      </w:pPr>
      <w:r w:rsidRPr="00A107CC">
        <w:t>Actively addressing industry skill shortages / pipeline:</w:t>
      </w:r>
    </w:p>
    <w:p w14:paraId="3C4D4598" w14:textId="77777777" w:rsidR="00A107CC" w:rsidRPr="00A107CC" w:rsidRDefault="00A107CC" w:rsidP="00110531">
      <w:pPr>
        <w:pStyle w:val="ListBullet2"/>
        <w:ind w:left="766" w:hanging="369"/>
      </w:pPr>
      <w:r w:rsidRPr="00A107CC">
        <w:t>Inspire students to select subjects that reflect skill needs / gaps.</w:t>
      </w:r>
    </w:p>
    <w:p w14:paraId="7B73BB58" w14:textId="77777777" w:rsidR="00A107CC" w:rsidRPr="00A107CC" w:rsidRDefault="00A107CC" w:rsidP="00466D28">
      <w:pPr>
        <w:pStyle w:val="ListBullet2"/>
        <w:spacing w:before="120"/>
        <w:ind w:left="766" w:hanging="369"/>
      </w:pPr>
      <w:r w:rsidRPr="00A107CC">
        <w:t xml:space="preserve">Promote need for wide range of capabilities </w:t>
      </w:r>
      <w:r w:rsidR="00110531">
        <w:t>including</w:t>
      </w:r>
      <w:r w:rsidRPr="00A107CC">
        <w:t xml:space="preserve"> subject matter </w:t>
      </w:r>
      <w:r w:rsidR="00110531">
        <w:t>and</w:t>
      </w:r>
      <w:r w:rsidRPr="00A107CC">
        <w:t xml:space="preserve"> 21st century skills. </w:t>
      </w:r>
    </w:p>
    <w:p w14:paraId="21E72B16" w14:textId="77777777" w:rsidR="00A107CC" w:rsidRPr="00A107CC" w:rsidRDefault="00A107CC" w:rsidP="00110531">
      <w:pPr>
        <w:pStyle w:val="ListBullet"/>
        <w:ind w:left="357" w:hanging="357"/>
        <w:contextualSpacing w:val="0"/>
      </w:pPr>
      <w:r w:rsidRPr="00A107CC">
        <w:t>Promoting importance and relevance of STEM opportunities / pathways.</w:t>
      </w:r>
    </w:p>
    <w:p w14:paraId="3C6CB83E" w14:textId="77777777" w:rsidR="00A107CC" w:rsidRPr="00A107CC" w:rsidRDefault="00A107CC" w:rsidP="00110531">
      <w:pPr>
        <w:pStyle w:val="ListBullet"/>
        <w:ind w:left="357" w:hanging="357"/>
        <w:contextualSpacing w:val="0"/>
      </w:pPr>
      <w:r w:rsidRPr="00A107CC">
        <w:t>Creating positive exposure for businesses / brand.</w:t>
      </w:r>
    </w:p>
    <w:p w14:paraId="31E506C7" w14:textId="77777777" w:rsidR="00A107CC" w:rsidRPr="00A107CC" w:rsidRDefault="00A107CC" w:rsidP="00110531">
      <w:pPr>
        <w:pStyle w:val="ListBullet"/>
        <w:ind w:left="357" w:hanging="357"/>
        <w:contextualSpacing w:val="0"/>
      </w:pPr>
      <w:r w:rsidRPr="00A107CC">
        <w:t>Contributing to development of young people.</w:t>
      </w:r>
    </w:p>
    <w:p w14:paraId="3A41DB7B" w14:textId="77777777" w:rsidR="00A107CC" w:rsidRPr="00A107CC" w:rsidRDefault="00A107CC" w:rsidP="00110531">
      <w:pPr>
        <w:pStyle w:val="ListBullet"/>
        <w:ind w:left="357" w:hanging="357"/>
        <w:contextualSpacing w:val="0"/>
      </w:pPr>
      <w:r w:rsidRPr="00A107CC">
        <w:t>Adding value to local business.</w:t>
      </w:r>
    </w:p>
    <w:p w14:paraId="0B8DD9B3" w14:textId="77777777" w:rsidR="00A107CC" w:rsidRPr="00A107CC" w:rsidRDefault="00A107CC" w:rsidP="00110531">
      <w:pPr>
        <w:pStyle w:val="ListBullet"/>
        <w:ind w:left="357" w:hanging="357"/>
        <w:contextualSpacing w:val="0"/>
      </w:pPr>
      <w:r w:rsidRPr="00A107CC">
        <w:t>Improving community reputation of industry / individual business.</w:t>
      </w:r>
    </w:p>
    <w:p w14:paraId="5BE55D9A" w14:textId="5134EFAE" w:rsidR="00EC2F37" w:rsidRDefault="00A107CC" w:rsidP="00110531">
      <w:pPr>
        <w:pStyle w:val="ListBullet"/>
        <w:ind w:left="357" w:hanging="357"/>
        <w:contextualSpacing w:val="0"/>
      </w:pPr>
      <w:r w:rsidRPr="00A107CC">
        <w:t>Learning about and understanding education sector.</w:t>
      </w:r>
    </w:p>
    <w:p w14:paraId="76DBC3DE" w14:textId="77777777" w:rsidR="00A107CC" w:rsidRPr="00EC2F37" w:rsidRDefault="00A107CC" w:rsidP="00EC2F37">
      <w:pPr>
        <w:jc w:val="right"/>
      </w:pPr>
    </w:p>
    <w:p w14:paraId="0944B1EB" w14:textId="77777777" w:rsidR="00A107CC" w:rsidRPr="00A107CC" w:rsidRDefault="00A107CC" w:rsidP="00A107CC">
      <w:r w:rsidRPr="00A107CC">
        <w:t>When schools and businesses realise shared opportunities, both sectors can make unique contributions to the partnership:</w:t>
      </w:r>
    </w:p>
    <w:tbl>
      <w:tblPr>
        <w:tblStyle w:val="TableGrid"/>
        <w:tblW w:w="0" w:type="auto"/>
        <w:tblLook w:val="04A0" w:firstRow="1" w:lastRow="0" w:firstColumn="1" w:lastColumn="0" w:noHBand="0" w:noVBand="1"/>
      </w:tblPr>
      <w:tblGrid>
        <w:gridCol w:w="4028"/>
        <w:gridCol w:w="4988"/>
      </w:tblGrid>
      <w:tr w:rsidR="00466D28" w:rsidRPr="00466D28" w14:paraId="709C7858" w14:textId="77777777" w:rsidTr="00466D28">
        <w:tc>
          <w:tcPr>
            <w:tcW w:w="4248" w:type="dxa"/>
            <w:shd w:val="clear" w:color="auto" w:fill="3D1D48" w:themeFill="accent4" w:themeFillShade="BF"/>
          </w:tcPr>
          <w:p w14:paraId="2B6A3719" w14:textId="77777777" w:rsidR="00A107CC" w:rsidRPr="00466D28" w:rsidRDefault="00A107CC" w:rsidP="00466D28">
            <w:pPr>
              <w:spacing w:before="120" w:after="120"/>
              <w:jc w:val="center"/>
              <w:rPr>
                <w:b/>
                <w:color w:val="FFFFFF" w:themeColor="background1"/>
              </w:rPr>
            </w:pPr>
            <w:r w:rsidRPr="00466D28">
              <w:rPr>
                <w:b/>
                <w:color w:val="FFFFFF" w:themeColor="background1"/>
              </w:rPr>
              <w:t>What schools bring</w:t>
            </w:r>
          </w:p>
        </w:tc>
        <w:tc>
          <w:tcPr>
            <w:tcW w:w="5260" w:type="dxa"/>
            <w:shd w:val="clear" w:color="auto" w:fill="3D1D48" w:themeFill="accent4" w:themeFillShade="BF"/>
          </w:tcPr>
          <w:p w14:paraId="24D092CD" w14:textId="77777777" w:rsidR="00A107CC" w:rsidRPr="00466D28" w:rsidRDefault="00A107CC" w:rsidP="00466D28">
            <w:pPr>
              <w:spacing w:before="120" w:after="120"/>
              <w:jc w:val="center"/>
              <w:rPr>
                <w:b/>
                <w:color w:val="FFFFFF" w:themeColor="background1"/>
              </w:rPr>
            </w:pPr>
            <w:r w:rsidRPr="00466D28">
              <w:rPr>
                <w:b/>
                <w:color w:val="FFFFFF" w:themeColor="background1"/>
              </w:rPr>
              <w:t>What businesses bring</w:t>
            </w:r>
          </w:p>
        </w:tc>
      </w:tr>
      <w:tr w:rsidR="00A107CC" w:rsidRPr="00A107CC" w14:paraId="5A7A52F1" w14:textId="77777777" w:rsidTr="00466D28">
        <w:tc>
          <w:tcPr>
            <w:tcW w:w="4248" w:type="dxa"/>
            <w:tcBorders>
              <w:bottom w:val="single" w:sz="4" w:space="0" w:color="auto"/>
            </w:tcBorders>
          </w:tcPr>
          <w:p w14:paraId="3DC1B8D0" w14:textId="77777777" w:rsidR="00A107CC" w:rsidRPr="00A107CC" w:rsidRDefault="00A107CC" w:rsidP="00110531">
            <w:pPr>
              <w:spacing w:after="120" w:line="276" w:lineRule="auto"/>
            </w:pPr>
            <w:r w:rsidRPr="00A107CC">
              <w:t>Education and teaching expertise</w:t>
            </w:r>
          </w:p>
          <w:p w14:paraId="4BDBCC51" w14:textId="77777777" w:rsidR="00A107CC" w:rsidRPr="00A107CC" w:rsidRDefault="00A107CC" w:rsidP="00110531">
            <w:pPr>
              <w:spacing w:after="120" w:line="276" w:lineRule="auto"/>
            </w:pPr>
            <w:r w:rsidRPr="00A107CC">
              <w:t>Access to students</w:t>
            </w:r>
          </w:p>
          <w:p w14:paraId="4A3A2793" w14:textId="77777777" w:rsidR="00A107CC" w:rsidRPr="00A107CC" w:rsidRDefault="00A107CC" w:rsidP="00110531">
            <w:pPr>
              <w:spacing w:after="120" w:line="276" w:lineRule="auto"/>
            </w:pPr>
            <w:r w:rsidRPr="00A107CC">
              <w:t>Links to wider community</w:t>
            </w:r>
          </w:p>
          <w:p w14:paraId="340D1EAD" w14:textId="77777777" w:rsidR="00A107CC" w:rsidRPr="00A107CC" w:rsidRDefault="00A107CC" w:rsidP="00110531">
            <w:pPr>
              <w:spacing w:after="120" w:line="276" w:lineRule="auto"/>
            </w:pPr>
            <w:r w:rsidRPr="00A107CC">
              <w:t>Curious and engaged teachers and students</w:t>
            </w:r>
          </w:p>
        </w:tc>
        <w:tc>
          <w:tcPr>
            <w:tcW w:w="5260" w:type="dxa"/>
            <w:tcBorders>
              <w:bottom w:val="single" w:sz="4" w:space="0" w:color="auto"/>
            </w:tcBorders>
          </w:tcPr>
          <w:p w14:paraId="765E9861" w14:textId="77777777" w:rsidR="00A107CC" w:rsidRPr="00A107CC" w:rsidRDefault="00A107CC" w:rsidP="00110531">
            <w:pPr>
              <w:spacing w:after="120" w:line="276" w:lineRule="auto"/>
            </w:pPr>
            <w:r w:rsidRPr="00A107CC">
              <w:t>Venues and resources to support novel experiences</w:t>
            </w:r>
          </w:p>
          <w:p w14:paraId="2608B0A9" w14:textId="77777777" w:rsidR="00A107CC" w:rsidRPr="00A107CC" w:rsidRDefault="00A107CC" w:rsidP="00110531">
            <w:pPr>
              <w:spacing w:after="120" w:line="276" w:lineRule="auto"/>
            </w:pPr>
            <w:r w:rsidRPr="00A107CC">
              <w:t>Real world challenges and context for students</w:t>
            </w:r>
          </w:p>
          <w:p w14:paraId="366DFAC4" w14:textId="77777777" w:rsidR="00A107CC" w:rsidRPr="00A107CC" w:rsidRDefault="00A107CC" w:rsidP="00110531">
            <w:pPr>
              <w:spacing w:after="120" w:line="276" w:lineRule="auto"/>
            </w:pPr>
            <w:r w:rsidRPr="00A107CC">
              <w:t>STEM professionals who can act as mentors/role models</w:t>
            </w:r>
          </w:p>
          <w:p w14:paraId="343A13F6" w14:textId="77777777" w:rsidR="00A107CC" w:rsidRPr="00A107CC" w:rsidRDefault="00A107CC" w:rsidP="00110531">
            <w:pPr>
              <w:spacing w:after="120" w:line="276" w:lineRule="auto"/>
            </w:pPr>
            <w:r w:rsidRPr="00A107CC">
              <w:t>Access to cutting edge technology</w:t>
            </w:r>
          </w:p>
          <w:p w14:paraId="331C8747" w14:textId="77777777" w:rsidR="00A107CC" w:rsidRPr="00A107CC" w:rsidRDefault="00A107CC" w:rsidP="00110531">
            <w:pPr>
              <w:spacing w:after="120" w:line="276" w:lineRule="auto"/>
            </w:pPr>
            <w:r w:rsidRPr="00A107CC">
              <w:t>Capacity to fund initiatives of value</w:t>
            </w:r>
          </w:p>
          <w:p w14:paraId="687E907F" w14:textId="77777777" w:rsidR="00A107CC" w:rsidRPr="00A107CC" w:rsidRDefault="00A107CC" w:rsidP="00110531">
            <w:pPr>
              <w:spacing w:after="120" w:line="276" w:lineRule="auto"/>
            </w:pPr>
            <w:r w:rsidRPr="00A107CC">
              <w:t>Knowledge of career opportunities/ networks</w:t>
            </w:r>
          </w:p>
        </w:tc>
      </w:tr>
      <w:tr w:rsidR="00466D28" w:rsidRPr="00466D28" w14:paraId="4B375C0E" w14:textId="77777777" w:rsidTr="00466D28">
        <w:tc>
          <w:tcPr>
            <w:tcW w:w="9508" w:type="dxa"/>
            <w:gridSpan w:val="2"/>
            <w:shd w:val="clear" w:color="auto" w:fill="3D1D48" w:themeFill="accent4" w:themeFillShade="BF"/>
          </w:tcPr>
          <w:p w14:paraId="21CCDC97" w14:textId="77777777" w:rsidR="00A107CC" w:rsidRPr="00466D28" w:rsidRDefault="00A107CC" w:rsidP="00466D28">
            <w:pPr>
              <w:spacing w:before="120" w:after="120"/>
              <w:jc w:val="center"/>
              <w:rPr>
                <w:b/>
                <w:color w:val="FFFFFF" w:themeColor="background1"/>
              </w:rPr>
            </w:pPr>
            <w:r w:rsidRPr="00466D28">
              <w:rPr>
                <w:b/>
                <w:color w:val="FFFFFF" w:themeColor="background1"/>
              </w:rPr>
              <w:t>Shared interests</w:t>
            </w:r>
          </w:p>
        </w:tc>
      </w:tr>
      <w:tr w:rsidR="00A107CC" w:rsidRPr="00A107CC" w14:paraId="74A419B1" w14:textId="77777777" w:rsidTr="004A5E64">
        <w:tc>
          <w:tcPr>
            <w:tcW w:w="9508" w:type="dxa"/>
            <w:gridSpan w:val="2"/>
          </w:tcPr>
          <w:p w14:paraId="25D35EB4" w14:textId="77777777" w:rsidR="00A107CC" w:rsidRPr="00A107CC" w:rsidRDefault="00A107CC" w:rsidP="00110531">
            <w:pPr>
              <w:spacing w:after="120" w:line="276" w:lineRule="auto"/>
            </w:pPr>
            <w:r w:rsidRPr="00A107CC">
              <w:t>Helping students understand STEM’s role in work and life</w:t>
            </w:r>
          </w:p>
          <w:p w14:paraId="38E4DC29" w14:textId="77777777" w:rsidR="00A107CC" w:rsidRPr="00A107CC" w:rsidRDefault="00A107CC" w:rsidP="00110531">
            <w:pPr>
              <w:spacing w:after="120" w:line="276" w:lineRule="auto"/>
            </w:pPr>
            <w:r w:rsidRPr="00A107CC">
              <w:t>Increasing Australia’s capabilities and skills for the future</w:t>
            </w:r>
          </w:p>
          <w:p w14:paraId="3EDED049" w14:textId="77777777" w:rsidR="00A107CC" w:rsidRPr="00A107CC" w:rsidRDefault="00A107CC" w:rsidP="00110531">
            <w:pPr>
              <w:spacing w:after="120" w:line="276" w:lineRule="auto"/>
            </w:pPr>
            <w:r w:rsidRPr="00A107CC">
              <w:t>Effective and valuable partnerships</w:t>
            </w:r>
          </w:p>
          <w:p w14:paraId="04E94DA0" w14:textId="77777777" w:rsidR="00A107CC" w:rsidRPr="00A107CC" w:rsidRDefault="00A107CC" w:rsidP="00110531">
            <w:pPr>
              <w:spacing w:after="120" w:line="276" w:lineRule="auto"/>
            </w:pPr>
            <w:r w:rsidRPr="00A107CC">
              <w:t>Connecting STEM knowledge and experience</w:t>
            </w:r>
          </w:p>
          <w:p w14:paraId="0553A315" w14:textId="77777777" w:rsidR="00A107CC" w:rsidRPr="00A107CC" w:rsidRDefault="00A107CC" w:rsidP="00110531">
            <w:pPr>
              <w:spacing w:after="120" w:line="276" w:lineRule="auto"/>
            </w:pPr>
            <w:r w:rsidRPr="00A107CC">
              <w:t>Improving student STEM engagement and achievement</w:t>
            </w:r>
          </w:p>
        </w:tc>
      </w:tr>
    </w:tbl>
    <w:p w14:paraId="567A9CED" w14:textId="77777777" w:rsidR="00A107CC" w:rsidRPr="00A107CC" w:rsidRDefault="00A107CC" w:rsidP="00A107CC"/>
    <w:p w14:paraId="38E3133B" w14:textId="77777777" w:rsidR="00A107CC" w:rsidRPr="00A107CC" w:rsidRDefault="00FC36A4" w:rsidP="00466D28">
      <w:pPr>
        <w:pStyle w:val="Heading2"/>
      </w:pPr>
      <w:bookmarkStart w:id="1" w:name="_Toc508716660"/>
      <w:bookmarkStart w:id="2" w:name="_Toc508810123"/>
      <w:bookmarkStart w:id="3" w:name="_Toc508812693"/>
      <w:bookmarkStart w:id="4" w:name="_Toc509236556"/>
      <w:bookmarkStart w:id="5" w:name="_Toc509243528"/>
      <w:r>
        <w:t>Different</w:t>
      </w:r>
      <w:r w:rsidR="00A107CC" w:rsidRPr="00A107CC">
        <w:t xml:space="preserve"> kinds of school-business partnerships</w:t>
      </w:r>
      <w:bookmarkEnd w:id="1"/>
      <w:bookmarkEnd w:id="2"/>
      <w:bookmarkEnd w:id="3"/>
      <w:bookmarkEnd w:id="4"/>
      <w:bookmarkEnd w:id="5"/>
      <w:r w:rsidR="00A107CC" w:rsidRPr="00A107CC">
        <w:t xml:space="preserve"> </w:t>
      </w:r>
    </w:p>
    <w:p w14:paraId="7A657DD2" w14:textId="77777777" w:rsidR="00A107CC" w:rsidRPr="00A107CC" w:rsidRDefault="00A107CC" w:rsidP="00A107CC">
      <w:r w:rsidRPr="00A107CC">
        <w:t>School-business partnerships take many forms. There is no one-size-fits-all approach. They can:</w:t>
      </w:r>
    </w:p>
    <w:p w14:paraId="2298D4C1" w14:textId="77777777" w:rsidR="00A107CC" w:rsidRPr="00A107CC" w:rsidRDefault="00A107CC" w:rsidP="00A107CC">
      <w:pPr>
        <w:numPr>
          <w:ilvl w:val="0"/>
          <w:numId w:val="22"/>
        </w:numPr>
      </w:pPr>
      <w:r w:rsidRPr="00A107CC">
        <w:rPr>
          <w:b/>
        </w:rPr>
        <w:t>Differ in length:</w:t>
      </w:r>
      <w:r w:rsidRPr="00A107CC">
        <w:t xml:space="preserve"> Long-term e.g. over one year, medium-term e.g. a few months, or short-term e.g. one day.</w:t>
      </w:r>
    </w:p>
    <w:p w14:paraId="5C26C681" w14:textId="77777777" w:rsidR="00A107CC" w:rsidRPr="00A107CC" w:rsidRDefault="00A107CC" w:rsidP="00A107CC">
      <w:pPr>
        <w:numPr>
          <w:ilvl w:val="0"/>
          <w:numId w:val="22"/>
        </w:numPr>
      </w:pPr>
      <w:r w:rsidRPr="00A107CC">
        <w:rPr>
          <w:b/>
        </w:rPr>
        <w:t>Differ in number of partners:</w:t>
      </w:r>
      <w:r w:rsidRPr="00A107CC">
        <w:t xml:space="preserve"> There may be multiple schools involved, or multiple businesses.</w:t>
      </w:r>
    </w:p>
    <w:p w14:paraId="569A2D43" w14:textId="77777777" w:rsidR="00A107CC" w:rsidRPr="00A107CC" w:rsidRDefault="00A107CC" w:rsidP="00A107CC">
      <w:pPr>
        <w:numPr>
          <w:ilvl w:val="0"/>
          <w:numId w:val="22"/>
        </w:numPr>
      </w:pPr>
      <w:r w:rsidRPr="00A107CC">
        <w:rPr>
          <w:b/>
        </w:rPr>
        <w:t>Differ in types of partners</w:t>
      </w:r>
      <w:r w:rsidRPr="00A107CC">
        <w:t>: Businesses may be a global firm or a local firm, schools may be big, small, regional or metro.</w:t>
      </w:r>
    </w:p>
    <w:p w14:paraId="73C73A7B" w14:textId="77777777" w:rsidR="00A107CC" w:rsidRPr="00A107CC" w:rsidRDefault="00A107CC" w:rsidP="00A107CC">
      <w:pPr>
        <w:numPr>
          <w:ilvl w:val="0"/>
          <w:numId w:val="22"/>
        </w:numPr>
      </w:pPr>
      <w:r w:rsidRPr="00A107CC">
        <w:rPr>
          <w:b/>
        </w:rPr>
        <w:t>Differ in activities / programs:</w:t>
      </w:r>
      <w:r w:rsidRPr="00A107CC">
        <w:t xml:space="preserve"> Not all partnerships will do the same activities, or have the same outcomes.</w:t>
      </w:r>
    </w:p>
    <w:p w14:paraId="5ED9A813" w14:textId="77777777" w:rsidR="00FC36A4" w:rsidRDefault="00FC36A4" w:rsidP="00FC36A4">
      <w:pPr>
        <w:pStyle w:val="Heading2"/>
      </w:pPr>
      <w:r>
        <w:t>Roles for business in school STEM partnerships</w:t>
      </w:r>
    </w:p>
    <w:p w14:paraId="5F11D5F0" w14:textId="77777777" w:rsidR="00A107CC" w:rsidRPr="00A107CC" w:rsidRDefault="00A107CC" w:rsidP="00A107CC">
      <w:r w:rsidRPr="00A107CC">
        <w:t xml:space="preserve">There are many roles businesses can play in school-business STEM partnerships. </w:t>
      </w:r>
      <w:r w:rsidR="00FC36A4" w:rsidRPr="00FC36A4">
        <w:t>They can do one or more of the following:</w:t>
      </w:r>
    </w:p>
    <w:tbl>
      <w:tblPr>
        <w:tblStyle w:val="TableGrid"/>
        <w:tblW w:w="9654" w:type="dxa"/>
        <w:tblLook w:val="04A0" w:firstRow="1" w:lastRow="0" w:firstColumn="1" w:lastColumn="0" w:noHBand="0" w:noVBand="1"/>
      </w:tblPr>
      <w:tblGrid>
        <w:gridCol w:w="1555"/>
        <w:gridCol w:w="2268"/>
        <w:gridCol w:w="5831"/>
      </w:tblGrid>
      <w:tr w:rsidR="00110531" w:rsidRPr="00110531" w14:paraId="4CC198D6" w14:textId="77777777" w:rsidTr="00E370A3">
        <w:trPr>
          <w:tblHeader/>
        </w:trPr>
        <w:tc>
          <w:tcPr>
            <w:tcW w:w="1555" w:type="dxa"/>
            <w:shd w:val="clear" w:color="auto" w:fill="3D1D48" w:themeFill="accent4" w:themeFillShade="BF"/>
          </w:tcPr>
          <w:p w14:paraId="4A494DC0" w14:textId="77777777" w:rsidR="00A107CC" w:rsidRPr="00110531" w:rsidRDefault="00A107CC" w:rsidP="00110531">
            <w:pPr>
              <w:spacing w:before="120" w:after="120"/>
              <w:rPr>
                <w:b/>
                <w:color w:val="FFFFFF" w:themeColor="background1"/>
              </w:rPr>
            </w:pPr>
            <w:r w:rsidRPr="00110531">
              <w:rPr>
                <w:b/>
                <w:color w:val="FFFFFF" w:themeColor="background1"/>
              </w:rPr>
              <w:t>Role for business</w:t>
            </w:r>
          </w:p>
        </w:tc>
        <w:tc>
          <w:tcPr>
            <w:tcW w:w="2268" w:type="dxa"/>
            <w:shd w:val="clear" w:color="auto" w:fill="3D1D48" w:themeFill="accent4" w:themeFillShade="BF"/>
          </w:tcPr>
          <w:p w14:paraId="7938985C" w14:textId="77777777" w:rsidR="00A107CC" w:rsidRPr="00110531" w:rsidRDefault="00A107CC" w:rsidP="00110531">
            <w:pPr>
              <w:spacing w:before="120" w:after="120"/>
              <w:rPr>
                <w:b/>
                <w:color w:val="FFFFFF" w:themeColor="background1"/>
              </w:rPr>
            </w:pPr>
            <w:r w:rsidRPr="00110531">
              <w:rPr>
                <w:b/>
                <w:color w:val="FFFFFF" w:themeColor="background1"/>
              </w:rPr>
              <w:t>What does it look like?</w:t>
            </w:r>
          </w:p>
        </w:tc>
        <w:tc>
          <w:tcPr>
            <w:tcW w:w="5831" w:type="dxa"/>
            <w:tcBorders>
              <w:bottom w:val="single" w:sz="4" w:space="0" w:color="auto"/>
            </w:tcBorders>
            <w:shd w:val="clear" w:color="auto" w:fill="3D1D48" w:themeFill="accent4" w:themeFillShade="BF"/>
          </w:tcPr>
          <w:p w14:paraId="0B3A0AEB" w14:textId="77777777" w:rsidR="00A107CC" w:rsidRPr="00110531" w:rsidRDefault="00A107CC" w:rsidP="00110531">
            <w:pPr>
              <w:spacing w:before="120" w:after="120"/>
              <w:rPr>
                <w:b/>
                <w:color w:val="FFFFFF" w:themeColor="background1"/>
              </w:rPr>
            </w:pPr>
            <w:r w:rsidRPr="00110531">
              <w:rPr>
                <w:b/>
                <w:color w:val="FFFFFF" w:themeColor="background1"/>
              </w:rPr>
              <w:t>Case study</w:t>
            </w:r>
          </w:p>
        </w:tc>
      </w:tr>
      <w:tr w:rsidR="00A107CC" w:rsidRPr="00A107CC" w14:paraId="7793C5E6" w14:textId="77777777" w:rsidTr="00E370A3">
        <w:tc>
          <w:tcPr>
            <w:tcW w:w="1555" w:type="dxa"/>
          </w:tcPr>
          <w:p w14:paraId="3A111DD0" w14:textId="77777777" w:rsidR="00A107CC" w:rsidRPr="00A107CC" w:rsidRDefault="00A107CC" w:rsidP="00A107CC">
            <w:pPr>
              <w:spacing w:after="200" w:line="276" w:lineRule="auto"/>
            </w:pPr>
            <w:r w:rsidRPr="00A107CC">
              <w:t>Venue</w:t>
            </w:r>
          </w:p>
        </w:tc>
        <w:tc>
          <w:tcPr>
            <w:tcW w:w="2268" w:type="dxa"/>
          </w:tcPr>
          <w:p w14:paraId="3DB186C2" w14:textId="77777777" w:rsidR="00A107CC" w:rsidRPr="00A107CC" w:rsidRDefault="00A107CC" w:rsidP="00110531">
            <w:pPr>
              <w:pStyle w:val="ListBullet"/>
              <w:ind w:left="357" w:hanging="357"/>
              <w:contextualSpacing w:val="0"/>
            </w:pPr>
            <w:r w:rsidRPr="00A107CC">
              <w:t>Show students what ‘real-world’ business / facilities look like</w:t>
            </w:r>
          </w:p>
          <w:p w14:paraId="5E8BA448" w14:textId="77777777" w:rsidR="00A107CC" w:rsidRPr="00A107CC" w:rsidRDefault="00A107CC" w:rsidP="00110531">
            <w:pPr>
              <w:pStyle w:val="ListBullet"/>
              <w:ind w:left="357" w:hanging="357"/>
              <w:contextualSpacing w:val="0"/>
            </w:pPr>
            <w:r w:rsidRPr="00A107CC">
              <w:t>Provide a space for students to work / host activities and programs</w:t>
            </w:r>
          </w:p>
          <w:p w14:paraId="2E2A35E6" w14:textId="77777777" w:rsidR="00A107CC" w:rsidRPr="00A107CC" w:rsidRDefault="00A107CC" w:rsidP="00110531">
            <w:pPr>
              <w:pStyle w:val="ListBullet"/>
              <w:ind w:left="357" w:hanging="357"/>
              <w:contextualSpacing w:val="0"/>
            </w:pPr>
            <w:r w:rsidRPr="00A107CC">
              <w:t xml:space="preserve">Show students specialist equipment or rooms </w:t>
            </w:r>
          </w:p>
        </w:tc>
        <w:tc>
          <w:tcPr>
            <w:tcW w:w="5831" w:type="dxa"/>
            <w:tcBorders>
              <w:bottom w:val="single" w:sz="4" w:space="0" w:color="auto"/>
            </w:tcBorders>
            <w:shd w:val="clear" w:color="auto" w:fill="F2F2F2" w:themeFill="background1" w:themeFillShade="F2"/>
          </w:tcPr>
          <w:p w14:paraId="246286EF" w14:textId="77777777" w:rsidR="00A107CC" w:rsidRPr="00A107CC" w:rsidRDefault="00A107CC" w:rsidP="00A107CC">
            <w:pPr>
              <w:spacing w:after="200" w:line="276" w:lineRule="auto"/>
              <w:rPr>
                <w:b/>
              </w:rPr>
            </w:pPr>
            <w:r w:rsidRPr="00A107CC">
              <w:rPr>
                <w:b/>
              </w:rPr>
              <w:t>Make it Now Engineering Challenges, Queensland Minerals and Energy Academy</w:t>
            </w:r>
          </w:p>
          <w:p w14:paraId="72DF3226" w14:textId="77777777" w:rsidR="00A107CC" w:rsidRPr="00A107CC" w:rsidRDefault="00A107CC" w:rsidP="00E1791B">
            <w:pPr>
              <w:spacing w:after="360" w:line="276" w:lineRule="auto"/>
            </w:pPr>
            <w:r w:rsidRPr="00A107CC">
              <w:t xml:space="preserve">Make it Now in Engineering (MINE) Challenges are an initiative of the </w:t>
            </w:r>
            <w:hyperlink r:id="rId23" w:history="1">
              <w:r w:rsidRPr="00A107CC">
                <w:rPr>
                  <w:rStyle w:val="Hyperlink"/>
                </w:rPr>
                <w:t>Queensland Minerals and Energy Academy</w:t>
              </w:r>
            </w:hyperlink>
            <w:r w:rsidRPr="00A107CC">
              <w:rPr>
                <w:lang w:val="en-US"/>
              </w:rPr>
              <w:sym w:font="Wingdings" w:char="F0E4"/>
            </w:r>
            <w:r w:rsidRPr="00A107CC">
              <w:t xml:space="preserve"> (QMEA), a partnership between the Queensland Resources Council and Queensland Government. These five-day programs are held annually at Glencore’s Mount Isa Mines and BHP Billiton Mitsubishi Alliance’s mines near Moranbah. Students </w:t>
            </w:r>
            <w:r w:rsidR="00FC36A4">
              <w:t xml:space="preserve">see </w:t>
            </w:r>
            <w:r w:rsidRPr="00A107CC">
              <w:t xml:space="preserve">real-world working environments and join business mentors on site to solve real engineering problems. At the end of the week they present their findings to management. Around 15 Queensland secondary students attend each camp.  </w:t>
            </w:r>
          </w:p>
        </w:tc>
      </w:tr>
      <w:tr w:rsidR="00A107CC" w:rsidRPr="00A107CC" w14:paraId="7038FDBB" w14:textId="77777777" w:rsidTr="00E370A3">
        <w:tc>
          <w:tcPr>
            <w:tcW w:w="1555" w:type="dxa"/>
          </w:tcPr>
          <w:p w14:paraId="7B1C108C" w14:textId="77777777" w:rsidR="00A107CC" w:rsidRPr="00A107CC" w:rsidRDefault="00A107CC" w:rsidP="00A107CC">
            <w:pPr>
              <w:spacing w:after="200" w:line="276" w:lineRule="auto"/>
            </w:pPr>
            <w:r w:rsidRPr="00A107CC">
              <w:t>Provide real-world learning experiences</w:t>
            </w:r>
          </w:p>
        </w:tc>
        <w:tc>
          <w:tcPr>
            <w:tcW w:w="2268" w:type="dxa"/>
          </w:tcPr>
          <w:p w14:paraId="7EB3BEC5" w14:textId="77777777" w:rsidR="00A107CC" w:rsidRPr="00A107CC" w:rsidRDefault="00A107CC" w:rsidP="00110531">
            <w:pPr>
              <w:numPr>
                <w:ilvl w:val="0"/>
                <w:numId w:val="23"/>
              </w:numPr>
              <w:spacing w:after="120"/>
              <w:ind w:left="357" w:hanging="357"/>
            </w:pPr>
            <w:r w:rsidRPr="00A107CC">
              <w:t>Base activities or programs around real world contexts and challenges</w:t>
            </w:r>
          </w:p>
          <w:p w14:paraId="50AA8BC5" w14:textId="77777777" w:rsidR="00A107CC" w:rsidRPr="00A107CC" w:rsidRDefault="00FC36A4" w:rsidP="00110531">
            <w:pPr>
              <w:numPr>
                <w:ilvl w:val="0"/>
                <w:numId w:val="23"/>
              </w:numPr>
              <w:spacing w:after="120"/>
              <w:ind w:left="357" w:hanging="357"/>
            </w:pPr>
            <w:r>
              <w:t>Show</w:t>
            </w:r>
            <w:r w:rsidR="00A107CC" w:rsidRPr="00A107CC">
              <w:t xml:space="preserve"> students business environments and facilities</w:t>
            </w:r>
          </w:p>
          <w:p w14:paraId="39C0D650" w14:textId="77777777" w:rsidR="00A107CC" w:rsidRPr="00A107CC" w:rsidRDefault="00FC36A4" w:rsidP="00FC36A4">
            <w:pPr>
              <w:numPr>
                <w:ilvl w:val="0"/>
                <w:numId w:val="23"/>
              </w:numPr>
              <w:spacing w:after="120"/>
              <w:ind w:left="357" w:hanging="357"/>
            </w:pPr>
            <w:r>
              <w:t xml:space="preserve">Role-play with students, e.g. </w:t>
            </w:r>
            <w:r w:rsidR="00A107CC" w:rsidRPr="00A107CC">
              <w:t xml:space="preserve">as team members / co-workers </w:t>
            </w:r>
          </w:p>
        </w:tc>
        <w:tc>
          <w:tcPr>
            <w:tcW w:w="5831" w:type="dxa"/>
            <w:tcBorders>
              <w:bottom w:val="single" w:sz="4" w:space="0" w:color="auto"/>
            </w:tcBorders>
            <w:shd w:val="clear" w:color="auto" w:fill="F2F2F2" w:themeFill="background1" w:themeFillShade="F2"/>
          </w:tcPr>
          <w:p w14:paraId="35EA9B6C" w14:textId="77777777" w:rsidR="00A107CC" w:rsidRPr="00A107CC" w:rsidRDefault="00A107CC" w:rsidP="00A107CC">
            <w:pPr>
              <w:spacing w:after="200" w:line="276" w:lineRule="auto"/>
              <w:rPr>
                <w:b/>
              </w:rPr>
            </w:pPr>
            <w:r w:rsidRPr="00A107CC">
              <w:rPr>
                <w:b/>
              </w:rPr>
              <w:t>Banksia Park International High School and BTG Australasia</w:t>
            </w:r>
          </w:p>
          <w:p w14:paraId="04594858" w14:textId="77777777" w:rsidR="00A107CC" w:rsidRPr="00A107CC" w:rsidRDefault="00A107CC" w:rsidP="00E1791B">
            <w:pPr>
              <w:spacing w:after="360" w:line="276" w:lineRule="auto"/>
            </w:pPr>
            <w:r w:rsidRPr="00A107CC">
              <w:t xml:space="preserve">Banksia Park International High School in South Australia partnered with BTG Australasia to facilitate an extended real-world STEM </w:t>
            </w:r>
            <w:hyperlink r:id="rId24" w:anchor="page=40" w:history="1">
              <w:r w:rsidRPr="00A107CC">
                <w:rPr>
                  <w:rStyle w:val="Hyperlink"/>
                </w:rPr>
                <w:t>project</w:t>
              </w:r>
            </w:hyperlink>
            <w:r w:rsidRPr="00A107CC">
              <w:rPr>
                <w:lang w:val="en-US"/>
              </w:rPr>
              <w:sym w:font="Wingdings" w:char="F0E4"/>
            </w:r>
            <w:r w:rsidRPr="00A107CC">
              <w:t xml:space="preserve"> for Year 8 students. This i</w:t>
            </w:r>
            <w:r w:rsidR="00FC36A4">
              <w:t>nvolved a student visit to BTG</w:t>
            </w:r>
            <w:r w:rsidRPr="00A107CC">
              <w:t xml:space="preserve"> laboratorie</w:t>
            </w:r>
            <w:r w:rsidR="00FC36A4">
              <w:t>s, a four-week group project</w:t>
            </w:r>
            <w:r w:rsidR="00715780" w:rsidRPr="00715780">
              <w:rPr>
                <w:rFonts w:ascii="Century Gothic" w:eastAsia="Times New Roman" w:hAnsi="Century Gothic" w:cs="Times New Roman"/>
                <w:sz w:val="24"/>
                <w:szCs w:val="24"/>
                <w:lang w:eastAsia="en-AU"/>
              </w:rPr>
              <w:t xml:space="preserve"> </w:t>
            </w:r>
            <w:r w:rsidR="00715780" w:rsidRPr="00715780">
              <w:t>on contamination avoidance</w:t>
            </w:r>
            <w:r w:rsidR="00FC36A4">
              <w:t xml:space="preserve"> </w:t>
            </w:r>
            <w:r w:rsidRPr="00A107CC">
              <w:t xml:space="preserve">in BTG labs, and presentations to a panel of BTG employees and other external panellists. The project </w:t>
            </w:r>
            <w:r w:rsidR="00FC36A4">
              <w:t xml:space="preserve">showed students </w:t>
            </w:r>
            <w:r w:rsidRPr="00A107CC">
              <w:t>how</w:t>
            </w:r>
            <w:r w:rsidR="00FC36A4">
              <w:t xml:space="preserve"> STEM skills can be applied</w:t>
            </w:r>
            <w:r w:rsidRPr="00A107CC">
              <w:t xml:space="preserve"> a real-world industry problem</w:t>
            </w:r>
            <w:r w:rsidR="00FC36A4">
              <w:t>s</w:t>
            </w:r>
            <w:r w:rsidRPr="00A107CC">
              <w:t>. Both the school and BTG were impressed with the enthusiasm and growth of students and were eager to further the partnership.</w:t>
            </w:r>
          </w:p>
        </w:tc>
      </w:tr>
      <w:tr w:rsidR="00A107CC" w:rsidRPr="00A107CC" w14:paraId="2C441544" w14:textId="77777777" w:rsidTr="00E370A3">
        <w:tc>
          <w:tcPr>
            <w:tcW w:w="1555" w:type="dxa"/>
          </w:tcPr>
          <w:p w14:paraId="556ADDC0" w14:textId="77777777" w:rsidR="00A107CC" w:rsidRPr="00A107CC" w:rsidRDefault="00A107CC" w:rsidP="00A107CC">
            <w:pPr>
              <w:spacing w:after="200" w:line="276" w:lineRule="auto"/>
            </w:pPr>
            <w:r w:rsidRPr="00A107CC">
              <w:t xml:space="preserve">Connect with students as role models </w:t>
            </w:r>
          </w:p>
        </w:tc>
        <w:tc>
          <w:tcPr>
            <w:tcW w:w="2268" w:type="dxa"/>
          </w:tcPr>
          <w:p w14:paraId="7FCA0176" w14:textId="77777777" w:rsidR="00A107CC" w:rsidRPr="00A107CC" w:rsidRDefault="00A107CC" w:rsidP="00110531">
            <w:pPr>
              <w:numPr>
                <w:ilvl w:val="0"/>
                <w:numId w:val="24"/>
              </w:numPr>
              <w:spacing w:after="120"/>
              <w:ind w:left="357" w:hanging="357"/>
            </w:pPr>
            <w:r w:rsidRPr="00A107CC">
              <w:t xml:space="preserve">Host talks / Q&amp;As / events / activities to connect STEM professionals with students </w:t>
            </w:r>
          </w:p>
          <w:p w14:paraId="03A70F98" w14:textId="77777777" w:rsidR="00A107CC" w:rsidRPr="00A107CC" w:rsidRDefault="00A107CC" w:rsidP="00110531">
            <w:pPr>
              <w:numPr>
                <w:ilvl w:val="0"/>
                <w:numId w:val="24"/>
              </w:numPr>
              <w:spacing w:after="120"/>
              <w:ind w:left="357" w:hanging="357"/>
              <w:rPr>
                <w:b/>
              </w:rPr>
            </w:pPr>
            <w:r w:rsidRPr="00A107CC">
              <w:t>Mentor students about STEM opportunities / pathways</w:t>
            </w:r>
          </w:p>
        </w:tc>
        <w:tc>
          <w:tcPr>
            <w:tcW w:w="5831" w:type="dxa"/>
            <w:tcBorders>
              <w:bottom w:val="single" w:sz="4" w:space="0" w:color="auto"/>
            </w:tcBorders>
            <w:shd w:val="clear" w:color="auto" w:fill="F2F2F2" w:themeFill="background1" w:themeFillShade="F2"/>
          </w:tcPr>
          <w:p w14:paraId="3B0DFA48" w14:textId="77777777" w:rsidR="00A107CC" w:rsidRPr="00A107CC" w:rsidRDefault="00A107CC" w:rsidP="00715780">
            <w:pPr>
              <w:spacing w:after="120" w:line="276" w:lineRule="auto"/>
              <w:rPr>
                <w:b/>
              </w:rPr>
            </w:pPr>
            <w:r w:rsidRPr="00A107CC">
              <w:rPr>
                <w:b/>
              </w:rPr>
              <w:t>MyRoad, Beacon Foundation</w:t>
            </w:r>
          </w:p>
          <w:p w14:paraId="2247819C" w14:textId="4CA91520" w:rsidR="00E1791B" w:rsidRPr="00A107CC" w:rsidRDefault="00884487" w:rsidP="00E1791B">
            <w:pPr>
              <w:spacing w:after="360" w:line="276" w:lineRule="auto"/>
            </w:pPr>
            <w:hyperlink r:id="rId25" w:history="1">
              <w:r w:rsidR="00A107CC" w:rsidRPr="00A107CC">
                <w:rPr>
                  <w:rStyle w:val="Hyperlink"/>
                </w:rPr>
                <w:t>MyRoad</w:t>
              </w:r>
            </w:hyperlink>
            <w:r w:rsidR="00A107CC" w:rsidRPr="00A107CC">
              <w:rPr>
                <w:lang w:val="en-US"/>
              </w:rPr>
              <w:sym w:font="Wingdings" w:char="F0E4"/>
            </w:r>
            <w:r w:rsidR="00A107CC" w:rsidRPr="00A107CC">
              <w:t xml:space="preserve"> is an online mentoring </w:t>
            </w:r>
            <w:r w:rsidR="00715780">
              <w:t>program connecting</w:t>
            </w:r>
            <w:r w:rsidR="00A107CC" w:rsidRPr="00A107CC">
              <w:t xml:space="preserve"> female secondary students to business mentors across Australia. During a two-hour online session, mentors support students to understand and develop 21</w:t>
            </w:r>
            <w:r w:rsidR="00A107CC" w:rsidRPr="00A107CC">
              <w:rPr>
                <w:vertAlign w:val="superscript"/>
              </w:rPr>
              <w:t>st</w:t>
            </w:r>
            <w:r w:rsidR="00A107CC" w:rsidRPr="00A107CC">
              <w:t xml:space="preserve"> century skills required for the changing world of work. Mentors share their career experiences, many in STEM-related industries, and encourage students to picture their futures. Sessions also feature videos of diverse industry role models. MyRoad offic</w:t>
            </w:r>
            <w:r w:rsidR="00FC36A4">
              <w:t xml:space="preserve">ially launched in 2017 after a </w:t>
            </w:r>
            <w:r w:rsidR="00715780">
              <w:t xml:space="preserve">2016 </w:t>
            </w:r>
            <w:r w:rsidR="00A107CC" w:rsidRPr="00A107CC">
              <w:t>pilot connected 982 s</w:t>
            </w:r>
            <w:r w:rsidR="00715780">
              <w:t>tudents with 118 mentors</w:t>
            </w:r>
            <w:r w:rsidR="00A107CC" w:rsidRPr="00A107CC">
              <w:t>.</w:t>
            </w:r>
          </w:p>
        </w:tc>
      </w:tr>
      <w:tr w:rsidR="00A107CC" w:rsidRPr="00A107CC" w14:paraId="6F714475" w14:textId="77777777" w:rsidTr="00E370A3">
        <w:tc>
          <w:tcPr>
            <w:tcW w:w="1555" w:type="dxa"/>
          </w:tcPr>
          <w:p w14:paraId="4AF09224" w14:textId="77777777" w:rsidR="00A107CC" w:rsidRPr="00A107CC" w:rsidRDefault="00A107CC" w:rsidP="00A107CC">
            <w:pPr>
              <w:spacing w:after="200" w:line="276" w:lineRule="auto"/>
            </w:pPr>
            <w:r w:rsidRPr="00A107CC">
              <w:t>Support teacher development</w:t>
            </w:r>
          </w:p>
        </w:tc>
        <w:tc>
          <w:tcPr>
            <w:tcW w:w="2268" w:type="dxa"/>
          </w:tcPr>
          <w:p w14:paraId="0A235103" w14:textId="77777777" w:rsidR="00A107CC" w:rsidRPr="00A107CC" w:rsidRDefault="00A107CC" w:rsidP="00110531">
            <w:pPr>
              <w:numPr>
                <w:ilvl w:val="0"/>
                <w:numId w:val="25"/>
              </w:numPr>
              <w:spacing w:after="120"/>
              <w:ind w:left="357" w:hanging="357"/>
            </w:pPr>
            <w:r w:rsidRPr="00A107CC">
              <w:t xml:space="preserve">Seek opportunities to mentor teachers </w:t>
            </w:r>
          </w:p>
          <w:p w14:paraId="07E7A314" w14:textId="77777777" w:rsidR="00A107CC" w:rsidRPr="00A107CC" w:rsidRDefault="00A107CC" w:rsidP="00110531">
            <w:pPr>
              <w:numPr>
                <w:ilvl w:val="0"/>
                <w:numId w:val="25"/>
              </w:numPr>
              <w:spacing w:after="120"/>
              <w:ind w:left="357" w:hanging="357"/>
            </w:pPr>
            <w:r w:rsidRPr="00A107CC">
              <w:t xml:space="preserve">Provide teachers with access to real-world scenarios / challenges </w:t>
            </w:r>
          </w:p>
          <w:p w14:paraId="5C67F893" w14:textId="77777777" w:rsidR="00A107CC" w:rsidRPr="00A107CC" w:rsidRDefault="00A107CC" w:rsidP="00110531">
            <w:pPr>
              <w:numPr>
                <w:ilvl w:val="0"/>
                <w:numId w:val="25"/>
              </w:numPr>
              <w:spacing w:after="120"/>
              <w:ind w:left="357" w:hanging="357"/>
            </w:pPr>
            <w:r w:rsidRPr="00A107CC">
              <w:t>Co-design aspects of the curriculum</w:t>
            </w:r>
          </w:p>
        </w:tc>
        <w:tc>
          <w:tcPr>
            <w:tcW w:w="5831" w:type="dxa"/>
            <w:tcBorders>
              <w:bottom w:val="single" w:sz="4" w:space="0" w:color="auto"/>
            </w:tcBorders>
            <w:shd w:val="clear" w:color="auto" w:fill="F2F2F2" w:themeFill="background1" w:themeFillShade="F2"/>
          </w:tcPr>
          <w:p w14:paraId="1BB81617" w14:textId="77777777" w:rsidR="00A107CC" w:rsidRPr="00A107CC" w:rsidRDefault="00A107CC" w:rsidP="00A107CC">
            <w:pPr>
              <w:spacing w:after="200" w:line="276" w:lineRule="auto"/>
              <w:rPr>
                <w:b/>
              </w:rPr>
            </w:pPr>
            <w:r w:rsidRPr="00A107CC">
              <w:rPr>
                <w:b/>
              </w:rPr>
              <w:t xml:space="preserve">CSIRO STEM Professionals in Schools </w:t>
            </w:r>
          </w:p>
          <w:p w14:paraId="00343F69" w14:textId="503DE3E1" w:rsidR="00A107CC" w:rsidRPr="00A107CC" w:rsidRDefault="00884487" w:rsidP="0093065A">
            <w:pPr>
              <w:spacing w:after="200" w:line="276" w:lineRule="auto"/>
              <w:rPr>
                <w:b/>
              </w:rPr>
            </w:pPr>
            <w:hyperlink r:id="rId26" w:history="1">
              <w:r w:rsidR="00A107CC" w:rsidRPr="00A107CC">
                <w:rPr>
                  <w:rStyle w:val="Hyperlink"/>
                </w:rPr>
                <w:t>CSIRO STEM Professionals in Schools</w:t>
              </w:r>
            </w:hyperlink>
            <w:r w:rsidR="00A107CC" w:rsidRPr="00A107CC">
              <w:rPr>
                <w:lang w:val="en-US"/>
              </w:rPr>
              <w:sym w:font="Wingdings" w:char="F0E4"/>
            </w:r>
            <w:r w:rsidR="00A107CC" w:rsidRPr="00A107CC">
              <w:t xml:space="preserve"> is a national program that links teachers and STEM professionals. Drawing on the STEM professional’s expertise, partners work together to bring real-world STEM into the classroom. Partnerships often incorporate teacher development, mentoring, one-on-one tutoring, site visits, career talks and hands-on learning. The program reaches more than 60,000 students per year. </w:t>
            </w:r>
          </w:p>
        </w:tc>
      </w:tr>
      <w:tr w:rsidR="00A107CC" w:rsidRPr="00A107CC" w14:paraId="6290CAF2" w14:textId="77777777" w:rsidTr="00E370A3">
        <w:tc>
          <w:tcPr>
            <w:tcW w:w="1555" w:type="dxa"/>
          </w:tcPr>
          <w:p w14:paraId="675C27E0" w14:textId="77777777" w:rsidR="00A107CC" w:rsidRPr="00A107CC" w:rsidRDefault="00A107CC" w:rsidP="00A107CC">
            <w:pPr>
              <w:spacing w:after="200" w:line="276" w:lineRule="auto"/>
            </w:pPr>
            <w:r w:rsidRPr="00A107CC">
              <w:t>Scale-up partner</w:t>
            </w:r>
          </w:p>
        </w:tc>
        <w:tc>
          <w:tcPr>
            <w:tcW w:w="2268" w:type="dxa"/>
          </w:tcPr>
          <w:p w14:paraId="5572AFD7" w14:textId="77777777" w:rsidR="00A107CC" w:rsidRPr="00A107CC" w:rsidRDefault="00A107CC" w:rsidP="00110531">
            <w:pPr>
              <w:numPr>
                <w:ilvl w:val="0"/>
                <w:numId w:val="26"/>
              </w:numPr>
              <w:spacing w:after="120"/>
              <w:ind w:left="357" w:hanging="357"/>
            </w:pPr>
            <w:r w:rsidRPr="00A107CC">
              <w:t>Increase scope of an initiative (e.g. increase opportunities available to existing students / extending to new schools / increasing program duration)</w:t>
            </w:r>
          </w:p>
          <w:p w14:paraId="2BD0A16D" w14:textId="77777777" w:rsidR="00A107CC" w:rsidRPr="00A107CC" w:rsidRDefault="00A107CC" w:rsidP="00110531">
            <w:pPr>
              <w:numPr>
                <w:ilvl w:val="0"/>
                <w:numId w:val="26"/>
              </w:numPr>
              <w:spacing w:after="120"/>
              <w:ind w:left="357" w:hanging="357"/>
            </w:pPr>
            <w:r w:rsidRPr="00A107CC">
              <w:t xml:space="preserve">Provide additional resources </w:t>
            </w:r>
          </w:p>
        </w:tc>
        <w:tc>
          <w:tcPr>
            <w:tcW w:w="5831" w:type="dxa"/>
            <w:shd w:val="clear" w:color="auto" w:fill="F2F2F2" w:themeFill="background1" w:themeFillShade="F2"/>
          </w:tcPr>
          <w:p w14:paraId="7DCD8FA9" w14:textId="77777777" w:rsidR="00A107CC" w:rsidRPr="00A107CC" w:rsidRDefault="00A107CC" w:rsidP="00A107CC">
            <w:pPr>
              <w:spacing w:after="200" w:line="276" w:lineRule="auto"/>
              <w:rPr>
                <w:b/>
              </w:rPr>
            </w:pPr>
            <w:r w:rsidRPr="00A107CC">
              <w:rPr>
                <w:b/>
              </w:rPr>
              <w:t xml:space="preserve">STELR and Orica </w:t>
            </w:r>
          </w:p>
          <w:p w14:paraId="520D4805" w14:textId="77777777" w:rsidR="00A107CC" w:rsidRPr="00A107CC" w:rsidRDefault="00884487" w:rsidP="00A107CC">
            <w:pPr>
              <w:spacing w:after="200" w:line="276" w:lineRule="auto"/>
            </w:pPr>
            <w:hyperlink r:id="rId27" w:history="1">
              <w:r w:rsidR="00A107CC" w:rsidRPr="00A107CC">
                <w:rPr>
                  <w:rStyle w:val="Hyperlink"/>
                  <w:b/>
                </w:rPr>
                <w:t>STELR</w:t>
              </w:r>
            </w:hyperlink>
            <w:r w:rsidR="00A107CC" w:rsidRPr="00A107CC">
              <w:rPr>
                <w:lang w:val="en-US"/>
              </w:rPr>
              <w:sym w:font="Wingdings" w:char="F0E4"/>
            </w:r>
            <w:r w:rsidR="00A107CC" w:rsidRPr="00A107CC">
              <w:rPr>
                <w:b/>
              </w:rPr>
              <w:t xml:space="preserve"> </w:t>
            </w:r>
            <w:r w:rsidR="00A107CC" w:rsidRPr="00A107CC">
              <w:t xml:space="preserve">(Science and Technology Education Leveraging Relevance) is a national initiative of the Australian Academy of Technology and Engineering. STELR supplies schools with equipment packs and professional learning workshops to support hands-on, inquiry-based STEM learning. As STELR’s principal sponsor, </w:t>
            </w:r>
            <w:hyperlink r:id="rId28" w:history="1">
              <w:r w:rsidR="00A107CC" w:rsidRPr="00A107CC">
                <w:rPr>
                  <w:rStyle w:val="Hyperlink"/>
                </w:rPr>
                <w:t>Orica</w:t>
              </w:r>
            </w:hyperlink>
            <w:r w:rsidR="00A107CC" w:rsidRPr="00A107CC">
              <w:rPr>
                <w:lang w:val="en-US"/>
              </w:rPr>
              <w:sym w:font="Wingdings" w:char="F0E4"/>
            </w:r>
            <w:r w:rsidR="00A107CC" w:rsidRPr="00A107CC">
              <w:t xml:space="preserve"> has supported STELR’s growth and helped subsidise the costs for participating schools. STELR has been implemented in more than 600 Australian schools. In a 2013 survey of STELR schools, more than 80% reported increased student science literacy and understanding.</w:t>
            </w:r>
          </w:p>
        </w:tc>
      </w:tr>
    </w:tbl>
    <w:p w14:paraId="67C68BAA" w14:textId="77777777" w:rsidR="00466D28" w:rsidRDefault="00466D28" w:rsidP="00466D28"/>
    <w:p w14:paraId="46E8EC39" w14:textId="77777777" w:rsidR="00E52E39" w:rsidRDefault="00E52E39">
      <w:pPr>
        <w:rPr>
          <w:rFonts w:ascii="Calibri" w:eastAsiaTheme="majorEastAsia" w:hAnsi="Calibri" w:cstheme="majorBidi"/>
          <w:b/>
          <w:bCs/>
          <w:color w:val="522761"/>
          <w:sz w:val="36"/>
          <w:szCs w:val="28"/>
        </w:rPr>
      </w:pPr>
      <w:r>
        <w:br w:type="page"/>
      </w:r>
    </w:p>
    <w:p w14:paraId="70BB1D06" w14:textId="77777777" w:rsidR="00A107CC" w:rsidRPr="00A107CC" w:rsidRDefault="00A107CC" w:rsidP="00466D28">
      <w:pPr>
        <w:pStyle w:val="Heading1"/>
      </w:pPr>
      <w:r w:rsidRPr="00A107CC">
        <w:t xml:space="preserve">Successful school-business partnerships share seven common principles </w:t>
      </w:r>
    </w:p>
    <w:p w14:paraId="5555529C" w14:textId="77777777" w:rsidR="00A107CC" w:rsidRPr="00A107CC" w:rsidRDefault="00A107CC" w:rsidP="00A107CC">
      <w:r w:rsidRPr="00A107CC">
        <w:t xml:space="preserve">Even though all school-business partnerships are different, successful partnerships share similar characteristics. Seven key principles are described below. </w:t>
      </w:r>
    </w:p>
    <w:tbl>
      <w:tblPr>
        <w:tblStyle w:val="TableGrid"/>
        <w:tblW w:w="9634" w:type="dxa"/>
        <w:tblLook w:val="04A0" w:firstRow="1" w:lastRow="0" w:firstColumn="1" w:lastColumn="0" w:noHBand="0" w:noVBand="1"/>
      </w:tblPr>
      <w:tblGrid>
        <w:gridCol w:w="846"/>
        <w:gridCol w:w="8788"/>
      </w:tblGrid>
      <w:tr w:rsidR="00A107CC" w:rsidRPr="00A107CC" w14:paraId="03A664AE" w14:textId="77777777" w:rsidTr="00466D28">
        <w:tc>
          <w:tcPr>
            <w:tcW w:w="9634" w:type="dxa"/>
            <w:gridSpan w:val="2"/>
            <w:shd w:val="clear" w:color="auto" w:fill="DBDDE0" w:themeFill="accent6" w:themeFillTint="33"/>
          </w:tcPr>
          <w:p w14:paraId="454F0602" w14:textId="77777777" w:rsidR="00A107CC" w:rsidRPr="00A107CC" w:rsidRDefault="00A107CC" w:rsidP="00FC36A4">
            <w:pPr>
              <w:numPr>
                <w:ilvl w:val="0"/>
                <w:numId w:val="28"/>
              </w:numPr>
              <w:spacing w:before="120" w:after="120"/>
              <w:ind w:left="714" w:hanging="357"/>
              <w:rPr>
                <w:i/>
              </w:rPr>
            </w:pPr>
            <w:r w:rsidRPr="00A107CC">
              <w:rPr>
                <w:i/>
              </w:rPr>
              <w:t>Partnerships should enhance student STEM and 21</w:t>
            </w:r>
            <w:r w:rsidRPr="00A107CC">
              <w:rPr>
                <w:i/>
                <w:vertAlign w:val="superscript"/>
              </w:rPr>
              <w:t>st</w:t>
            </w:r>
            <w:r w:rsidRPr="00A107CC">
              <w:rPr>
                <w:i/>
              </w:rPr>
              <w:t xml:space="preserve"> century skills learning and outcomes </w:t>
            </w:r>
          </w:p>
        </w:tc>
      </w:tr>
      <w:tr w:rsidR="00A107CC" w:rsidRPr="00A107CC" w14:paraId="1F188607" w14:textId="77777777" w:rsidTr="00FC36A4">
        <w:tc>
          <w:tcPr>
            <w:tcW w:w="846" w:type="dxa"/>
            <w:shd w:val="clear" w:color="auto" w:fill="auto"/>
          </w:tcPr>
          <w:p w14:paraId="2171148B" w14:textId="77777777" w:rsidR="00A107CC" w:rsidRPr="00A107CC" w:rsidRDefault="00A107CC" w:rsidP="00E52E39">
            <w:pPr>
              <w:spacing w:before="120" w:after="120" w:line="276" w:lineRule="auto"/>
            </w:pPr>
            <w:r w:rsidRPr="00A107CC">
              <w:t>What</w:t>
            </w:r>
          </w:p>
        </w:tc>
        <w:tc>
          <w:tcPr>
            <w:tcW w:w="8788" w:type="dxa"/>
          </w:tcPr>
          <w:p w14:paraId="0A2DEE38" w14:textId="77777777" w:rsidR="00A107CC" w:rsidRPr="00A107CC" w:rsidRDefault="00A107CC" w:rsidP="00E52E39">
            <w:pPr>
              <w:spacing w:before="120" w:after="120"/>
            </w:pPr>
            <w:r w:rsidRPr="00A107CC">
              <w:t>Student STEM and 21</w:t>
            </w:r>
            <w:r w:rsidRPr="00A107CC">
              <w:rPr>
                <w:vertAlign w:val="superscript"/>
              </w:rPr>
              <w:t>st</w:t>
            </w:r>
            <w:r w:rsidRPr="00A107CC">
              <w:t xml:space="preserve"> century skills</w:t>
            </w:r>
            <w:r w:rsidR="00FC36A4">
              <w:t>,</w:t>
            </w:r>
            <w:r w:rsidRPr="00A107CC">
              <w:t xml:space="preserve"> learning, and outcomes are identified as the priority in the partnership.</w:t>
            </w:r>
          </w:p>
        </w:tc>
      </w:tr>
      <w:tr w:rsidR="00A107CC" w:rsidRPr="00A107CC" w14:paraId="0A6CAA65" w14:textId="77777777" w:rsidTr="00FC36A4">
        <w:tc>
          <w:tcPr>
            <w:tcW w:w="846" w:type="dxa"/>
            <w:tcBorders>
              <w:bottom w:val="single" w:sz="4" w:space="0" w:color="auto"/>
            </w:tcBorders>
            <w:shd w:val="clear" w:color="auto" w:fill="auto"/>
          </w:tcPr>
          <w:p w14:paraId="0ADA906A" w14:textId="77777777" w:rsidR="00A107CC" w:rsidRPr="00A107CC" w:rsidRDefault="00A107CC" w:rsidP="00A107CC">
            <w:pPr>
              <w:spacing w:after="200" w:line="276" w:lineRule="auto"/>
            </w:pPr>
            <w:r w:rsidRPr="00A107CC">
              <w:t>How</w:t>
            </w:r>
          </w:p>
        </w:tc>
        <w:tc>
          <w:tcPr>
            <w:tcW w:w="8788" w:type="dxa"/>
            <w:tcBorders>
              <w:bottom w:val="single" w:sz="4" w:space="0" w:color="auto"/>
            </w:tcBorders>
          </w:tcPr>
          <w:p w14:paraId="7DE2EC20" w14:textId="77777777" w:rsidR="00A107CC" w:rsidRPr="00A107CC" w:rsidRDefault="00A107CC" w:rsidP="00466D28">
            <w:pPr>
              <w:pStyle w:val="ListBullet"/>
              <w:ind w:left="357" w:hanging="357"/>
              <w:contextualSpacing w:val="0"/>
              <w:rPr>
                <w:i/>
              </w:rPr>
            </w:pPr>
            <w:r w:rsidRPr="00A107CC">
              <w:t>Make student outcomes a clear objective in written agreements.</w:t>
            </w:r>
          </w:p>
          <w:p w14:paraId="05897B9E" w14:textId="77777777" w:rsidR="00A107CC" w:rsidRPr="00A107CC" w:rsidRDefault="00A107CC" w:rsidP="00466D28">
            <w:pPr>
              <w:pStyle w:val="ListBullet"/>
              <w:ind w:left="357" w:hanging="357"/>
              <w:contextualSpacing w:val="0"/>
              <w:rPr>
                <w:i/>
              </w:rPr>
            </w:pPr>
            <w:r w:rsidRPr="00A107CC">
              <w:t>Recognise and include STEM best practice in activities.</w:t>
            </w:r>
          </w:p>
          <w:p w14:paraId="065816C5" w14:textId="77777777" w:rsidR="00A107CC" w:rsidRPr="00A107CC" w:rsidRDefault="00A107CC" w:rsidP="00466D28">
            <w:pPr>
              <w:pStyle w:val="ListBullet"/>
              <w:ind w:left="357" w:hanging="357"/>
              <w:contextualSpacing w:val="0"/>
              <w:rPr>
                <w:i/>
              </w:rPr>
            </w:pPr>
            <w:r w:rsidRPr="00A107CC">
              <w:t>Include student objectives in all monitoring and evaluation plans.</w:t>
            </w:r>
          </w:p>
          <w:p w14:paraId="7C6E4A25" w14:textId="77777777" w:rsidR="00A107CC" w:rsidRPr="00A107CC" w:rsidRDefault="00A107CC" w:rsidP="00466D28">
            <w:pPr>
              <w:pStyle w:val="ListBullet"/>
              <w:ind w:left="357" w:hanging="357"/>
              <w:contextualSpacing w:val="0"/>
              <w:rPr>
                <w:i/>
              </w:rPr>
            </w:pPr>
            <w:r w:rsidRPr="00A107CC">
              <w:t>Create activities with planned student learning / outcome objectives.</w:t>
            </w:r>
          </w:p>
          <w:p w14:paraId="2E1F71B1" w14:textId="77777777" w:rsidR="00A107CC" w:rsidRPr="00A107CC" w:rsidRDefault="00A107CC" w:rsidP="00466D28">
            <w:pPr>
              <w:pStyle w:val="ListBullet"/>
              <w:ind w:left="357" w:hanging="357"/>
              <w:contextualSpacing w:val="0"/>
              <w:rPr>
                <w:i/>
              </w:rPr>
            </w:pPr>
            <w:r w:rsidRPr="00A107CC">
              <w:t>Build capabilities of partners in STEM education through mentoring or professional learning.</w:t>
            </w:r>
          </w:p>
          <w:p w14:paraId="07595DB5" w14:textId="77777777" w:rsidR="00A107CC" w:rsidRPr="00A107CC" w:rsidRDefault="00A107CC" w:rsidP="00466D28">
            <w:pPr>
              <w:pStyle w:val="ListBullet"/>
              <w:ind w:left="357" w:hanging="357"/>
              <w:contextualSpacing w:val="0"/>
              <w:rPr>
                <w:i/>
              </w:rPr>
            </w:pPr>
            <w:r w:rsidRPr="00A107CC">
              <w:t>Co-design classroom content.</w:t>
            </w:r>
          </w:p>
        </w:tc>
      </w:tr>
      <w:tr w:rsidR="00A107CC" w:rsidRPr="00A107CC" w14:paraId="5573F388" w14:textId="77777777" w:rsidTr="00466D28">
        <w:tc>
          <w:tcPr>
            <w:tcW w:w="9634" w:type="dxa"/>
            <w:gridSpan w:val="2"/>
            <w:shd w:val="clear" w:color="auto" w:fill="DBDDE0" w:themeFill="accent6" w:themeFillTint="33"/>
          </w:tcPr>
          <w:p w14:paraId="05D19CAB" w14:textId="77777777" w:rsidR="00A107CC" w:rsidRPr="00A107CC" w:rsidRDefault="00A107CC" w:rsidP="00FC36A4">
            <w:pPr>
              <w:numPr>
                <w:ilvl w:val="0"/>
                <w:numId w:val="28"/>
              </w:numPr>
              <w:spacing w:before="120" w:after="120"/>
              <w:ind w:left="714" w:hanging="357"/>
            </w:pPr>
            <w:r w:rsidRPr="00A107CC">
              <w:rPr>
                <w:i/>
              </w:rPr>
              <w:t>Partnerships should benefit schools and business</w:t>
            </w:r>
          </w:p>
        </w:tc>
      </w:tr>
      <w:tr w:rsidR="00A107CC" w:rsidRPr="00A107CC" w14:paraId="653D50F1" w14:textId="77777777" w:rsidTr="00FC36A4">
        <w:tc>
          <w:tcPr>
            <w:tcW w:w="846" w:type="dxa"/>
            <w:shd w:val="clear" w:color="auto" w:fill="auto"/>
          </w:tcPr>
          <w:p w14:paraId="5C529713" w14:textId="77777777" w:rsidR="00A107CC" w:rsidRPr="00A107CC" w:rsidRDefault="00A107CC" w:rsidP="00E52E39">
            <w:pPr>
              <w:spacing w:before="120" w:after="120" w:line="276" w:lineRule="auto"/>
            </w:pPr>
            <w:r w:rsidRPr="00A107CC">
              <w:t>What</w:t>
            </w:r>
          </w:p>
        </w:tc>
        <w:tc>
          <w:tcPr>
            <w:tcW w:w="8788" w:type="dxa"/>
          </w:tcPr>
          <w:p w14:paraId="677A989B" w14:textId="77777777" w:rsidR="00A107CC" w:rsidRPr="00A107CC" w:rsidRDefault="00A107CC" w:rsidP="00E52E39">
            <w:pPr>
              <w:spacing w:before="120" w:after="120"/>
            </w:pPr>
            <w:r w:rsidRPr="00A107CC">
              <w:t xml:space="preserve">Understand and work towards benefits for each partner. </w:t>
            </w:r>
          </w:p>
        </w:tc>
      </w:tr>
      <w:tr w:rsidR="00A107CC" w:rsidRPr="00A107CC" w14:paraId="7CE8B20B" w14:textId="77777777" w:rsidTr="00FC36A4">
        <w:tc>
          <w:tcPr>
            <w:tcW w:w="846" w:type="dxa"/>
            <w:tcBorders>
              <w:bottom w:val="single" w:sz="4" w:space="0" w:color="auto"/>
            </w:tcBorders>
            <w:shd w:val="clear" w:color="auto" w:fill="auto"/>
          </w:tcPr>
          <w:p w14:paraId="7C571732" w14:textId="77777777" w:rsidR="00A107CC" w:rsidRPr="00A107CC" w:rsidRDefault="00A107CC" w:rsidP="00A107CC">
            <w:pPr>
              <w:spacing w:after="200" w:line="276" w:lineRule="auto"/>
            </w:pPr>
            <w:r w:rsidRPr="00A107CC">
              <w:t>How</w:t>
            </w:r>
          </w:p>
        </w:tc>
        <w:tc>
          <w:tcPr>
            <w:tcW w:w="8788" w:type="dxa"/>
            <w:tcBorders>
              <w:bottom w:val="single" w:sz="4" w:space="0" w:color="auto"/>
            </w:tcBorders>
          </w:tcPr>
          <w:p w14:paraId="3421DDB7" w14:textId="77777777" w:rsidR="00A107CC" w:rsidRPr="00A107CC" w:rsidRDefault="00A107CC" w:rsidP="00466D28">
            <w:pPr>
              <w:pStyle w:val="ListBullet"/>
              <w:ind w:left="357" w:hanging="357"/>
              <w:contextualSpacing w:val="0"/>
              <w:rPr>
                <w:i/>
              </w:rPr>
            </w:pPr>
            <w:r w:rsidRPr="00A107CC">
              <w:t>Clearly set out expected benefits in agreements.</w:t>
            </w:r>
          </w:p>
          <w:p w14:paraId="12437566" w14:textId="77777777" w:rsidR="00A107CC" w:rsidRPr="00A107CC" w:rsidRDefault="00A107CC" w:rsidP="00466D28">
            <w:pPr>
              <w:pStyle w:val="ListBullet"/>
              <w:ind w:left="357" w:hanging="357"/>
              <w:contextualSpacing w:val="0"/>
              <w:rPr>
                <w:i/>
              </w:rPr>
            </w:pPr>
            <w:r w:rsidRPr="00A107CC">
              <w:t xml:space="preserve">Enable transparent communication about intended benefits. </w:t>
            </w:r>
          </w:p>
          <w:p w14:paraId="40FB7B35" w14:textId="77777777" w:rsidR="00A107CC" w:rsidRPr="00A107CC" w:rsidRDefault="00A107CC" w:rsidP="00466D28">
            <w:pPr>
              <w:pStyle w:val="ListBullet"/>
              <w:ind w:left="357" w:hanging="357"/>
              <w:contextualSpacing w:val="0"/>
              <w:rPr>
                <w:i/>
              </w:rPr>
            </w:pPr>
            <w:r w:rsidRPr="00A107CC">
              <w:t>Run initial workshops / discussions about benefits and expectations.</w:t>
            </w:r>
          </w:p>
          <w:p w14:paraId="0AB28017" w14:textId="77777777" w:rsidR="00A107CC" w:rsidRPr="00A107CC" w:rsidRDefault="00A107CC" w:rsidP="00466D28">
            <w:pPr>
              <w:pStyle w:val="ListBullet"/>
              <w:ind w:left="357" w:hanging="357"/>
              <w:contextualSpacing w:val="0"/>
            </w:pPr>
            <w:r w:rsidRPr="00A107CC">
              <w:t xml:space="preserve">Aim for activities that include the opportunity to maximise school and business benefits. </w:t>
            </w:r>
          </w:p>
        </w:tc>
      </w:tr>
      <w:tr w:rsidR="00A107CC" w:rsidRPr="00A107CC" w14:paraId="44AD6E5D" w14:textId="77777777" w:rsidTr="00466D28">
        <w:tc>
          <w:tcPr>
            <w:tcW w:w="9634" w:type="dxa"/>
            <w:gridSpan w:val="2"/>
            <w:shd w:val="clear" w:color="auto" w:fill="DBDDE0" w:themeFill="accent6" w:themeFillTint="33"/>
          </w:tcPr>
          <w:p w14:paraId="060338F9" w14:textId="77777777" w:rsidR="00A107CC" w:rsidRPr="00A107CC" w:rsidRDefault="00A107CC" w:rsidP="00FC36A4">
            <w:pPr>
              <w:numPr>
                <w:ilvl w:val="0"/>
                <w:numId w:val="28"/>
              </w:numPr>
              <w:spacing w:before="120" w:after="120"/>
              <w:ind w:left="714" w:hanging="357"/>
            </w:pPr>
            <w:r w:rsidRPr="00A107CC">
              <w:rPr>
                <w:i/>
              </w:rPr>
              <w:t>Partnerships should be built on strong foundations with a shared vision and objectives</w:t>
            </w:r>
          </w:p>
        </w:tc>
      </w:tr>
      <w:tr w:rsidR="00A107CC" w:rsidRPr="00A107CC" w14:paraId="2DC87ABE" w14:textId="77777777" w:rsidTr="00FC36A4">
        <w:tc>
          <w:tcPr>
            <w:tcW w:w="846" w:type="dxa"/>
            <w:shd w:val="clear" w:color="auto" w:fill="auto"/>
          </w:tcPr>
          <w:p w14:paraId="4C6FD1AE" w14:textId="77777777" w:rsidR="00A107CC" w:rsidRPr="00A107CC" w:rsidRDefault="00A107CC" w:rsidP="00E52E39">
            <w:pPr>
              <w:spacing w:before="120" w:after="120" w:line="276" w:lineRule="auto"/>
            </w:pPr>
            <w:r w:rsidRPr="00A107CC">
              <w:t>What</w:t>
            </w:r>
          </w:p>
        </w:tc>
        <w:tc>
          <w:tcPr>
            <w:tcW w:w="8788" w:type="dxa"/>
          </w:tcPr>
          <w:p w14:paraId="78CBEFA0" w14:textId="77777777" w:rsidR="00FC36A4" w:rsidRDefault="00A107CC" w:rsidP="00E52E39">
            <w:pPr>
              <w:spacing w:before="120" w:after="120"/>
            </w:pPr>
            <w:r w:rsidRPr="00A107CC">
              <w:t xml:space="preserve">Partners have a strong sense of what they are trying to achieve, e.g. through goals, accountability and evaluation. </w:t>
            </w:r>
          </w:p>
          <w:p w14:paraId="42B4D126" w14:textId="77777777" w:rsidR="00A107CC" w:rsidRPr="00A107CC" w:rsidRDefault="00A107CC" w:rsidP="00E52E39">
            <w:pPr>
              <w:spacing w:before="120" w:after="120"/>
            </w:pPr>
            <w:r w:rsidRPr="00A107CC">
              <w:t xml:space="preserve">Partnerships are sustainable and strong enough to overcome barriers. </w:t>
            </w:r>
          </w:p>
        </w:tc>
      </w:tr>
      <w:tr w:rsidR="00A107CC" w:rsidRPr="00A107CC" w14:paraId="7474BF27" w14:textId="77777777" w:rsidTr="00FC36A4">
        <w:tc>
          <w:tcPr>
            <w:tcW w:w="846" w:type="dxa"/>
            <w:tcBorders>
              <w:bottom w:val="single" w:sz="4" w:space="0" w:color="auto"/>
            </w:tcBorders>
            <w:shd w:val="clear" w:color="auto" w:fill="auto"/>
          </w:tcPr>
          <w:p w14:paraId="7F199FFD" w14:textId="77777777" w:rsidR="00A107CC" w:rsidRPr="00A107CC" w:rsidRDefault="00A107CC" w:rsidP="00A107CC">
            <w:pPr>
              <w:spacing w:after="200" w:line="276" w:lineRule="auto"/>
            </w:pPr>
            <w:r w:rsidRPr="00A107CC">
              <w:t>How</w:t>
            </w:r>
          </w:p>
        </w:tc>
        <w:tc>
          <w:tcPr>
            <w:tcW w:w="8788" w:type="dxa"/>
            <w:tcBorders>
              <w:bottom w:val="single" w:sz="4" w:space="0" w:color="auto"/>
            </w:tcBorders>
          </w:tcPr>
          <w:p w14:paraId="151BAC5E" w14:textId="77777777" w:rsidR="00A107CC" w:rsidRPr="00A107CC" w:rsidRDefault="00A107CC" w:rsidP="00466D28">
            <w:pPr>
              <w:pStyle w:val="ListBullet"/>
              <w:ind w:left="357" w:hanging="357"/>
              <w:contextualSpacing w:val="0"/>
              <w:rPr>
                <w:i/>
              </w:rPr>
            </w:pPr>
            <w:r w:rsidRPr="00A107CC">
              <w:t>Create joint strategy that includes processes around decision-making, immediate to long-term goals, roles and responsibilities.</w:t>
            </w:r>
          </w:p>
          <w:p w14:paraId="61B04493" w14:textId="77777777" w:rsidR="00A107CC" w:rsidRPr="00A107CC" w:rsidRDefault="00A107CC" w:rsidP="00466D28">
            <w:pPr>
              <w:pStyle w:val="ListBullet"/>
              <w:ind w:left="357" w:hanging="357"/>
              <w:contextualSpacing w:val="0"/>
              <w:rPr>
                <w:i/>
              </w:rPr>
            </w:pPr>
            <w:r w:rsidRPr="00A107CC">
              <w:t>Design evaluation frameworks to measure student / partnership outcomes.</w:t>
            </w:r>
          </w:p>
          <w:p w14:paraId="42439E9C" w14:textId="77777777" w:rsidR="00A107CC" w:rsidRPr="00A107CC" w:rsidRDefault="00A107CC" w:rsidP="00466D28">
            <w:pPr>
              <w:pStyle w:val="ListBullet"/>
              <w:ind w:left="357" w:hanging="357"/>
              <w:contextualSpacing w:val="0"/>
              <w:rPr>
                <w:i/>
              </w:rPr>
            </w:pPr>
            <w:r w:rsidRPr="00A107CC">
              <w:t>Document benefits / outcomes of partnership.</w:t>
            </w:r>
          </w:p>
          <w:p w14:paraId="37288D08" w14:textId="77777777" w:rsidR="00A107CC" w:rsidRPr="00A107CC" w:rsidRDefault="00A107CC" w:rsidP="00466D28">
            <w:pPr>
              <w:pStyle w:val="ListBullet"/>
              <w:ind w:left="357" w:hanging="357"/>
              <w:contextualSpacing w:val="0"/>
              <w:rPr>
                <w:i/>
              </w:rPr>
            </w:pPr>
            <w:r w:rsidRPr="00A107CC">
              <w:t>Set achievable and flexible guidelines for the partnership.</w:t>
            </w:r>
          </w:p>
          <w:p w14:paraId="29B734E3" w14:textId="77777777" w:rsidR="00715780" w:rsidRPr="00A107CC" w:rsidRDefault="00A107CC" w:rsidP="00715780">
            <w:pPr>
              <w:pStyle w:val="ListBullet"/>
              <w:ind w:left="357" w:hanging="357"/>
              <w:contextualSpacing w:val="0"/>
            </w:pPr>
            <w:r w:rsidRPr="00A107CC">
              <w:t>Celebrate partnership achievements.</w:t>
            </w:r>
          </w:p>
        </w:tc>
      </w:tr>
    </w:tbl>
    <w:p w14:paraId="3DD64171" w14:textId="77777777" w:rsidR="00715780" w:rsidRDefault="00715780" w:rsidP="00715780">
      <w:pPr>
        <w:spacing w:after="0"/>
        <w:rPr>
          <w:sz w:val="16"/>
        </w:rPr>
      </w:pPr>
    </w:p>
    <w:p w14:paraId="5F9952B5" w14:textId="77777777" w:rsidR="00715780" w:rsidRDefault="00715780">
      <w:pPr>
        <w:rPr>
          <w:sz w:val="16"/>
        </w:rPr>
      </w:pPr>
      <w:r>
        <w:rPr>
          <w:sz w:val="16"/>
        </w:rPr>
        <w:br w:type="page"/>
      </w:r>
    </w:p>
    <w:p w14:paraId="1806CE9C" w14:textId="77777777" w:rsidR="00715780" w:rsidRPr="00DA1333" w:rsidRDefault="00715780" w:rsidP="00715780">
      <w:pPr>
        <w:spacing w:after="0"/>
        <w:rPr>
          <w:sz w:val="16"/>
        </w:rPr>
      </w:pPr>
    </w:p>
    <w:tbl>
      <w:tblPr>
        <w:tblStyle w:val="TableGrid"/>
        <w:tblW w:w="9634" w:type="dxa"/>
        <w:tblLook w:val="04A0" w:firstRow="1" w:lastRow="0" w:firstColumn="1" w:lastColumn="0" w:noHBand="0" w:noVBand="1"/>
      </w:tblPr>
      <w:tblGrid>
        <w:gridCol w:w="846"/>
        <w:gridCol w:w="8788"/>
      </w:tblGrid>
      <w:tr w:rsidR="00715780" w:rsidRPr="00A107CC" w14:paraId="6A622525" w14:textId="77777777" w:rsidTr="004A5E64">
        <w:tc>
          <w:tcPr>
            <w:tcW w:w="9634" w:type="dxa"/>
            <w:gridSpan w:val="2"/>
            <w:shd w:val="clear" w:color="auto" w:fill="DBDDE0" w:themeFill="accent6" w:themeFillTint="33"/>
          </w:tcPr>
          <w:p w14:paraId="5830FCE1" w14:textId="77777777" w:rsidR="00715780" w:rsidRPr="00A107CC" w:rsidRDefault="00715780" w:rsidP="004A5E64">
            <w:pPr>
              <w:numPr>
                <w:ilvl w:val="0"/>
                <w:numId w:val="28"/>
              </w:numPr>
              <w:spacing w:before="120" w:after="120"/>
              <w:ind w:left="714" w:hanging="357"/>
            </w:pPr>
            <w:r w:rsidRPr="00A107CC">
              <w:rPr>
                <w:i/>
              </w:rPr>
              <w:t>Partnerships should have the support of the school community</w:t>
            </w:r>
          </w:p>
        </w:tc>
      </w:tr>
      <w:tr w:rsidR="00715780" w:rsidRPr="00A107CC" w14:paraId="2F4B13F9" w14:textId="77777777" w:rsidTr="004A5E64">
        <w:tc>
          <w:tcPr>
            <w:tcW w:w="846" w:type="dxa"/>
            <w:shd w:val="clear" w:color="auto" w:fill="auto"/>
          </w:tcPr>
          <w:p w14:paraId="5237DB60" w14:textId="77777777" w:rsidR="00715780" w:rsidRPr="00A107CC" w:rsidRDefault="00715780" w:rsidP="004A5E64">
            <w:pPr>
              <w:spacing w:before="120" w:after="120" w:line="276" w:lineRule="auto"/>
            </w:pPr>
            <w:r w:rsidRPr="00A107CC">
              <w:t>What</w:t>
            </w:r>
          </w:p>
        </w:tc>
        <w:tc>
          <w:tcPr>
            <w:tcW w:w="8788" w:type="dxa"/>
          </w:tcPr>
          <w:p w14:paraId="43E7D109" w14:textId="77777777" w:rsidR="00715780" w:rsidRPr="00A107CC" w:rsidRDefault="00715780" w:rsidP="004A5E64">
            <w:pPr>
              <w:spacing w:before="120" w:after="120"/>
            </w:pPr>
            <w:r w:rsidRPr="00A107CC">
              <w:t>Effective partnerships have clear support / endorsement from school leaders, teachers, parents and students. The school community understands the purpose and value of the partnership.</w:t>
            </w:r>
          </w:p>
        </w:tc>
      </w:tr>
      <w:tr w:rsidR="00715780" w:rsidRPr="00A107CC" w14:paraId="5E1551F9" w14:textId="77777777" w:rsidTr="004A5E64">
        <w:tc>
          <w:tcPr>
            <w:tcW w:w="846" w:type="dxa"/>
            <w:tcBorders>
              <w:bottom w:val="single" w:sz="4" w:space="0" w:color="auto"/>
            </w:tcBorders>
            <w:shd w:val="clear" w:color="auto" w:fill="auto"/>
          </w:tcPr>
          <w:p w14:paraId="6E49F8CB" w14:textId="77777777" w:rsidR="00715780" w:rsidRPr="00A107CC" w:rsidRDefault="00715780" w:rsidP="004A5E64">
            <w:pPr>
              <w:spacing w:after="200" w:line="276" w:lineRule="auto"/>
            </w:pPr>
            <w:r w:rsidRPr="00A107CC">
              <w:t>How</w:t>
            </w:r>
          </w:p>
        </w:tc>
        <w:tc>
          <w:tcPr>
            <w:tcW w:w="8788" w:type="dxa"/>
            <w:tcBorders>
              <w:bottom w:val="single" w:sz="4" w:space="0" w:color="auto"/>
            </w:tcBorders>
          </w:tcPr>
          <w:p w14:paraId="26DA6C93" w14:textId="77777777" w:rsidR="00715780" w:rsidRPr="00A107CC" w:rsidRDefault="00715780" w:rsidP="004A5E64">
            <w:pPr>
              <w:pStyle w:val="ListBullet"/>
              <w:ind w:left="357" w:hanging="357"/>
              <w:contextualSpacing w:val="0"/>
              <w:rPr>
                <w:i/>
              </w:rPr>
            </w:pPr>
            <w:r w:rsidRPr="00A107CC">
              <w:t xml:space="preserve">Promote partnership and its benefits within the school community e.g. create literature for parents that describes the benefits and importance of STEM and STEM careers. </w:t>
            </w:r>
          </w:p>
          <w:p w14:paraId="2483FB60" w14:textId="77777777" w:rsidR="00715780" w:rsidRPr="00A107CC" w:rsidRDefault="00715780" w:rsidP="004A5E64">
            <w:pPr>
              <w:pStyle w:val="ListBullet"/>
              <w:ind w:left="357" w:hanging="357"/>
              <w:contextualSpacing w:val="0"/>
              <w:rPr>
                <w:i/>
              </w:rPr>
            </w:pPr>
            <w:r w:rsidRPr="00A107CC">
              <w:t xml:space="preserve">Maintain communication with school community about student </w:t>
            </w:r>
            <w:r>
              <w:t xml:space="preserve">activities and outcomes.  </w:t>
            </w:r>
          </w:p>
          <w:p w14:paraId="764F5FA6" w14:textId="77777777" w:rsidR="00715780" w:rsidRPr="00A107CC" w:rsidRDefault="00715780" w:rsidP="004A5E64">
            <w:pPr>
              <w:pStyle w:val="ListBullet"/>
              <w:ind w:left="357" w:hanging="357"/>
              <w:contextualSpacing w:val="0"/>
            </w:pPr>
            <w:r w:rsidRPr="00A107CC">
              <w:t>Consider opportunities to involve the school community, e.g. exhibition days.</w:t>
            </w:r>
          </w:p>
        </w:tc>
      </w:tr>
      <w:tr w:rsidR="00715780" w:rsidRPr="00A107CC" w14:paraId="7ABABD65" w14:textId="77777777" w:rsidTr="004A5E64">
        <w:tc>
          <w:tcPr>
            <w:tcW w:w="9634" w:type="dxa"/>
            <w:gridSpan w:val="2"/>
            <w:shd w:val="clear" w:color="auto" w:fill="DBDDE0" w:themeFill="accent6" w:themeFillTint="33"/>
          </w:tcPr>
          <w:p w14:paraId="72F6A23C" w14:textId="77777777" w:rsidR="00715780" w:rsidRPr="00A107CC" w:rsidRDefault="00715780" w:rsidP="004A5E64">
            <w:pPr>
              <w:numPr>
                <w:ilvl w:val="0"/>
                <w:numId w:val="28"/>
              </w:numPr>
              <w:spacing w:before="120" w:after="120"/>
              <w:ind w:left="714" w:hanging="357"/>
            </w:pPr>
            <w:r w:rsidRPr="00A107CC">
              <w:rPr>
                <w:i/>
              </w:rPr>
              <w:t>Partnerships should be embedded in school and business cultures</w:t>
            </w:r>
          </w:p>
        </w:tc>
      </w:tr>
      <w:tr w:rsidR="00715780" w:rsidRPr="00A107CC" w14:paraId="29C31B7E" w14:textId="77777777" w:rsidTr="004A5E64">
        <w:tc>
          <w:tcPr>
            <w:tcW w:w="846" w:type="dxa"/>
            <w:shd w:val="clear" w:color="auto" w:fill="auto"/>
          </w:tcPr>
          <w:p w14:paraId="6900D795" w14:textId="77777777" w:rsidR="00715780" w:rsidRPr="00A107CC" w:rsidRDefault="00715780" w:rsidP="004A5E64">
            <w:pPr>
              <w:spacing w:before="120" w:after="120" w:line="276" w:lineRule="auto"/>
            </w:pPr>
            <w:r w:rsidRPr="00A107CC">
              <w:t>What</w:t>
            </w:r>
          </w:p>
        </w:tc>
        <w:tc>
          <w:tcPr>
            <w:tcW w:w="8788" w:type="dxa"/>
          </w:tcPr>
          <w:p w14:paraId="605B4DC3" w14:textId="77777777" w:rsidR="00715780" w:rsidRPr="00A107CC" w:rsidRDefault="00715780" w:rsidP="004A5E64">
            <w:pPr>
              <w:spacing w:before="120" w:after="120"/>
            </w:pPr>
            <w:r w:rsidRPr="00A107CC">
              <w:t xml:space="preserve">Partnerships are embedded in organisational cultures to ensure they succeed over time. </w:t>
            </w:r>
          </w:p>
        </w:tc>
      </w:tr>
      <w:tr w:rsidR="00715780" w:rsidRPr="00A107CC" w14:paraId="799F5431" w14:textId="77777777" w:rsidTr="004A5E64">
        <w:tc>
          <w:tcPr>
            <w:tcW w:w="846" w:type="dxa"/>
            <w:tcBorders>
              <w:bottom w:val="single" w:sz="4" w:space="0" w:color="auto"/>
            </w:tcBorders>
            <w:shd w:val="clear" w:color="auto" w:fill="auto"/>
          </w:tcPr>
          <w:p w14:paraId="3D026898" w14:textId="77777777" w:rsidR="00715780" w:rsidRPr="00A107CC" w:rsidRDefault="00715780" w:rsidP="004A5E64">
            <w:pPr>
              <w:spacing w:after="200" w:line="276" w:lineRule="auto"/>
            </w:pPr>
            <w:r w:rsidRPr="00A107CC">
              <w:t>How</w:t>
            </w:r>
          </w:p>
        </w:tc>
        <w:tc>
          <w:tcPr>
            <w:tcW w:w="8788" w:type="dxa"/>
            <w:tcBorders>
              <w:bottom w:val="single" w:sz="4" w:space="0" w:color="auto"/>
            </w:tcBorders>
          </w:tcPr>
          <w:p w14:paraId="2073756C" w14:textId="77777777" w:rsidR="00715780" w:rsidRPr="00A107CC" w:rsidRDefault="00715780" w:rsidP="004A5E64">
            <w:pPr>
              <w:pStyle w:val="ListBullet"/>
              <w:ind w:left="357" w:hanging="357"/>
              <w:contextualSpacing w:val="0"/>
              <w:rPr>
                <w:i/>
              </w:rPr>
            </w:pPr>
            <w:r w:rsidRPr="00A107CC">
              <w:t>Include the partnership in standard operational structures and processes.</w:t>
            </w:r>
          </w:p>
          <w:p w14:paraId="086C80C9" w14:textId="77777777" w:rsidR="00715780" w:rsidRPr="00A107CC" w:rsidRDefault="00715780" w:rsidP="004A5E64">
            <w:pPr>
              <w:pStyle w:val="ListBullet"/>
              <w:ind w:left="357" w:hanging="357"/>
              <w:contextualSpacing w:val="0"/>
              <w:rPr>
                <w:i/>
              </w:rPr>
            </w:pPr>
            <w:r w:rsidRPr="00A107CC">
              <w:t>Have communication protocols / processes e.g. who key contacts are, process for letting partners know about key personnel changes.</w:t>
            </w:r>
          </w:p>
          <w:p w14:paraId="45955C9C" w14:textId="77777777" w:rsidR="00715780" w:rsidRPr="00A107CC" w:rsidRDefault="00715780" w:rsidP="004A5E64">
            <w:pPr>
              <w:pStyle w:val="ListBullet"/>
              <w:ind w:left="357" w:hanging="357"/>
              <w:contextualSpacing w:val="0"/>
              <w:rPr>
                <w:i/>
              </w:rPr>
            </w:pPr>
            <w:r w:rsidRPr="00A107CC">
              <w:t>Meet frequently to build trust, mutual respect and understanding of each other’s culture.</w:t>
            </w:r>
          </w:p>
          <w:p w14:paraId="0E0EB25A" w14:textId="77777777" w:rsidR="00715780" w:rsidRPr="00A107CC" w:rsidRDefault="00715780" w:rsidP="004A5E64">
            <w:pPr>
              <w:pStyle w:val="ListBullet"/>
              <w:ind w:left="357" w:hanging="357"/>
              <w:contextualSpacing w:val="0"/>
              <w:rPr>
                <w:i/>
              </w:rPr>
            </w:pPr>
            <w:r w:rsidRPr="00A107CC">
              <w:t>Ensure roles and responsibilities are clear.</w:t>
            </w:r>
          </w:p>
          <w:p w14:paraId="64DCECD4" w14:textId="77777777" w:rsidR="00715780" w:rsidRPr="00A107CC" w:rsidRDefault="00715780" w:rsidP="004A5E64">
            <w:pPr>
              <w:pStyle w:val="ListBullet"/>
              <w:ind w:left="357" w:hanging="357"/>
              <w:contextualSpacing w:val="0"/>
              <w:rPr>
                <w:i/>
              </w:rPr>
            </w:pPr>
            <w:r w:rsidRPr="00A107CC">
              <w:t>If appropriate, embed partnership through formal documentation e.g. partnership agreements or memorandum of understanding.</w:t>
            </w:r>
          </w:p>
          <w:p w14:paraId="0A765B75" w14:textId="77777777" w:rsidR="00715780" w:rsidRPr="00A107CC" w:rsidRDefault="00715780" w:rsidP="004A5E64">
            <w:pPr>
              <w:pStyle w:val="ListBullet"/>
              <w:ind w:left="357" w:hanging="357"/>
              <w:contextualSpacing w:val="0"/>
            </w:pPr>
            <w:r w:rsidRPr="00A107CC">
              <w:t>Ensure partnership activities are integrated into the school curriculum / business calendar</w:t>
            </w:r>
          </w:p>
        </w:tc>
      </w:tr>
      <w:tr w:rsidR="00715780" w:rsidRPr="00A107CC" w14:paraId="425B9B93" w14:textId="77777777" w:rsidTr="004A5E64">
        <w:tc>
          <w:tcPr>
            <w:tcW w:w="9634" w:type="dxa"/>
            <w:gridSpan w:val="2"/>
            <w:shd w:val="clear" w:color="auto" w:fill="DBDDE0" w:themeFill="accent6" w:themeFillTint="33"/>
          </w:tcPr>
          <w:p w14:paraId="706DE0F2" w14:textId="77777777" w:rsidR="00715780" w:rsidRPr="00A107CC" w:rsidRDefault="00715780" w:rsidP="004A5E64">
            <w:pPr>
              <w:numPr>
                <w:ilvl w:val="0"/>
                <w:numId w:val="28"/>
              </w:numPr>
              <w:spacing w:before="120" w:after="120"/>
              <w:ind w:left="714" w:hanging="357"/>
            </w:pPr>
            <w:r w:rsidRPr="00A107CC">
              <w:rPr>
                <w:i/>
              </w:rPr>
              <w:t>Partnerships should have the support of school and business leadership</w:t>
            </w:r>
          </w:p>
        </w:tc>
      </w:tr>
      <w:tr w:rsidR="00715780" w:rsidRPr="00A107CC" w14:paraId="5D3392F6" w14:textId="77777777" w:rsidTr="004A5E64">
        <w:tc>
          <w:tcPr>
            <w:tcW w:w="846" w:type="dxa"/>
            <w:shd w:val="clear" w:color="auto" w:fill="auto"/>
          </w:tcPr>
          <w:p w14:paraId="4F6C3363" w14:textId="77777777" w:rsidR="00715780" w:rsidRPr="00A107CC" w:rsidRDefault="00715780" w:rsidP="004A5E64">
            <w:pPr>
              <w:spacing w:before="120" w:after="120" w:line="276" w:lineRule="auto"/>
            </w:pPr>
            <w:r w:rsidRPr="00A107CC">
              <w:t>What</w:t>
            </w:r>
          </w:p>
        </w:tc>
        <w:tc>
          <w:tcPr>
            <w:tcW w:w="8788" w:type="dxa"/>
          </w:tcPr>
          <w:p w14:paraId="04FC46C4" w14:textId="77777777" w:rsidR="00715780" w:rsidRPr="00A107CC" w:rsidRDefault="00715780" w:rsidP="004A5E64">
            <w:pPr>
              <w:spacing w:before="120" w:after="120"/>
            </w:pPr>
            <w:r w:rsidRPr="00A107CC">
              <w:t>Partnerships have commitment from all levels of senior leadership across both organisations e.g. business CEO / school lead</w:t>
            </w:r>
            <w:r>
              <w:t>ership. I</w:t>
            </w:r>
            <w:r w:rsidRPr="00A107CC">
              <w:t>nclude support from other key levels e.g. department managers, human resource areas, executive staff and teachers.</w:t>
            </w:r>
          </w:p>
        </w:tc>
      </w:tr>
      <w:tr w:rsidR="00715780" w:rsidRPr="00A107CC" w14:paraId="23D5FEA9" w14:textId="77777777" w:rsidTr="004A5E64">
        <w:tc>
          <w:tcPr>
            <w:tcW w:w="846" w:type="dxa"/>
            <w:tcBorders>
              <w:bottom w:val="single" w:sz="4" w:space="0" w:color="auto"/>
            </w:tcBorders>
            <w:shd w:val="clear" w:color="auto" w:fill="auto"/>
          </w:tcPr>
          <w:p w14:paraId="1E99C554" w14:textId="77777777" w:rsidR="00715780" w:rsidRPr="00A107CC" w:rsidRDefault="00715780" w:rsidP="004A5E64">
            <w:pPr>
              <w:spacing w:after="200" w:line="276" w:lineRule="auto"/>
            </w:pPr>
            <w:r w:rsidRPr="00A107CC">
              <w:t>How</w:t>
            </w:r>
          </w:p>
        </w:tc>
        <w:tc>
          <w:tcPr>
            <w:tcW w:w="8788" w:type="dxa"/>
            <w:tcBorders>
              <w:bottom w:val="single" w:sz="4" w:space="0" w:color="auto"/>
            </w:tcBorders>
          </w:tcPr>
          <w:p w14:paraId="0C33F8D1" w14:textId="77777777" w:rsidR="00715780" w:rsidRPr="00A107CC" w:rsidRDefault="00715780" w:rsidP="004A5E64">
            <w:pPr>
              <w:pStyle w:val="ListBullet"/>
              <w:ind w:left="357" w:hanging="357"/>
              <w:contextualSpacing w:val="0"/>
              <w:rPr>
                <w:i/>
              </w:rPr>
            </w:pPr>
            <w:r>
              <w:t>I</w:t>
            </w:r>
            <w:r w:rsidRPr="00A107CC">
              <w:t>nvolve senior leadership in discussions in select meetings about partnership.</w:t>
            </w:r>
          </w:p>
          <w:p w14:paraId="40DD2079" w14:textId="77777777" w:rsidR="00715780" w:rsidRPr="00A107CC" w:rsidRDefault="00715780" w:rsidP="004A5E64">
            <w:pPr>
              <w:pStyle w:val="ListBullet"/>
              <w:ind w:left="357" w:hanging="357"/>
              <w:contextualSpacing w:val="0"/>
              <w:rPr>
                <w:i/>
              </w:rPr>
            </w:pPr>
            <w:r w:rsidRPr="00A107CC">
              <w:t>Confirm commitment and support from principal and department heads / parent organisations in written agreements.</w:t>
            </w:r>
          </w:p>
          <w:p w14:paraId="7E33A4C9" w14:textId="77777777" w:rsidR="00715780" w:rsidRPr="00A107CC" w:rsidRDefault="00715780" w:rsidP="004A5E64">
            <w:pPr>
              <w:pStyle w:val="ListBullet"/>
              <w:ind w:left="357" w:hanging="357"/>
              <w:contextualSpacing w:val="0"/>
              <w:rPr>
                <w:i/>
              </w:rPr>
            </w:pPr>
            <w:r w:rsidRPr="00A107CC">
              <w:t xml:space="preserve">Ensure senior leaders are aware of commitments required e.g. shared resources. </w:t>
            </w:r>
          </w:p>
          <w:p w14:paraId="1E45A344" w14:textId="77777777" w:rsidR="00715780" w:rsidRPr="00A107CC" w:rsidRDefault="00715780" w:rsidP="004A5E64">
            <w:pPr>
              <w:pStyle w:val="ListBullet"/>
              <w:ind w:left="357" w:hanging="357"/>
              <w:contextualSpacing w:val="0"/>
              <w:rPr>
                <w:i/>
              </w:rPr>
            </w:pPr>
            <w:r w:rsidRPr="00A107CC">
              <w:t>Where possible, involve senior leaders in key milestone events.</w:t>
            </w:r>
            <w:r w:rsidRPr="00A107CC">
              <w:rPr>
                <w:i/>
              </w:rPr>
              <w:t xml:space="preserve"> </w:t>
            </w:r>
            <w:r w:rsidRPr="00A107CC">
              <w:t xml:space="preserve"> </w:t>
            </w:r>
          </w:p>
          <w:p w14:paraId="70951F13" w14:textId="77777777" w:rsidR="00715780" w:rsidRPr="00A107CC" w:rsidRDefault="00715780" w:rsidP="004A5E64">
            <w:pPr>
              <w:pStyle w:val="ListBullet"/>
              <w:ind w:left="357" w:hanging="357"/>
              <w:contextualSpacing w:val="0"/>
            </w:pPr>
            <w:r w:rsidRPr="00A107CC">
              <w:t>Ensure contingency planning for changes of leadership.</w:t>
            </w:r>
          </w:p>
        </w:tc>
      </w:tr>
      <w:tr w:rsidR="00715780" w:rsidRPr="00A107CC" w14:paraId="40C2BDC9" w14:textId="77777777" w:rsidTr="004A5E64">
        <w:tc>
          <w:tcPr>
            <w:tcW w:w="9634" w:type="dxa"/>
            <w:gridSpan w:val="2"/>
            <w:shd w:val="clear" w:color="auto" w:fill="DBDDE0" w:themeFill="accent6" w:themeFillTint="33"/>
          </w:tcPr>
          <w:p w14:paraId="63975C74" w14:textId="77777777" w:rsidR="00715780" w:rsidRPr="00A107CC" w:rsidRDefault="00715780" w:rsidP="004A5E64">
            <w:pPr>
              <w:numPr>
                <w:ilvl w:val="0"/>
                <w:numId w:val="28"/>
              </w:numPr>
              <w:spacing w:before="120" w:after="120"/>
              <w:ind w:left="714" w:hanging="357"/>
            </w:pPr>
            <w:r w:rsidRPr="00A107CC">
              <w:rPr>
                <w:i/>
              </w:rPr>
              <w:t>Partnerships should be adequately resourced by both schools and businesses</w:t>
            </w:r>
          </w:p>
        </w:tc>
      </w:tr>
      <w:tr w:rsidR="00715780" w:rsidRPr="00A107CC" w14:paraId="24D6C682" w14:textId="77777777" w:rsidTr="004A5E64">
        <w:tc>
          <w:tcPr>
            <w:tcW w:w="846" w:type="dxa"/>
            <w:shd w:val="clear" w:color="auto" w:fill="auto"/>
          </w:tcPr>
          <w:p w14:paraId="09F7943A" w14:textId="77777777" w:rsidR="00715780" w:rsidRPr="00A107CC" w:rsidRDefault="00715780" w:rsidP="004A5E64">
            <w:pPr>
              <w:spacing w:before="120" w:after="120" w:line="276" w:lineRule="auto"/>
            </w:pPr>
            <w:r w:rsidRPr="00A107CC">
              <w:t>What</w:t>
            </w:r>
          </w:p>
        </w:tc>
        <w:tc>
          <w:tcPr>
            <w:tcW w:w="8788" w:type="dxa"/>
          </w:tcPr>
          <w:p w14:paraId="79FE1E21" w14:textId="77777777" w:rsidR="00715780" w:rsidRPr="00A107CC" w:rsidRDefault="00715780" w:rsidP="004A5E64">
            <w:pPr>
              <w:spacing w:before="120" w:after="120"/>
            </w:pPr>
            <w:r w:rsidRPr="00A107CC">
              <w:t xml:space="preserve">Both partners contribute resources to </w:t>
            </w:r>
            <w:r>
              <w:t xml:space="preserve">the </w:t>
            </w:r>
            <w:r w:rsidRPr="00A107CC">
              <w:t>partnership. Resources may be tangible or intangible and include money, facilities, staffing, time, energy, skills and expertise.</w:t>
            </w:r>
          </w:p>
        </w:tc>
      </w:tr>
      <w:tr w:rsidR="00715780" w:rsidRPr="00A107CC" w14:paraId="425C4AE6" w14:textId="77777777" w:rsidTr="004A5E64">
        <w:tc>
          <w:tcPr>
            <w:tcW w:w="846" w:type="dxa"/>
            <w:shd w:val="clear" w:color="auto" w:fill="auto"/>
          </w:tcPr>
          <w:p w14:paraId="5E8A4011" w14:textId="77777777" w:rsidR="00715780" w:rsidRPr="00A107CC" w:rsidRDefault="00715780" w:rsidP="004A5E64">
            <w:pPr>
              <w:spacing w:after="200" w:line="276" w:lineRule="auto"/>
            </w:pPr>
            <w:r w:rsidRPr="00A107CC">
              <w:t>How</w:t>
            </w:r>
          </w:p>
        </w:tc>
        <w:tc>
          <w:tcPr>
            <w:tcW w:w="8788" w:type="dxa"/>
          </w:tcPr>
          <w:p w14:paraId="78C8BA04" w14:textId="77777777" w:rsidR="00715780" w:rsidRPr="00A107CC" w:rsidRDefault="00715780" w:rsidP="004A5E64">
            <w:pPr>
              <w:pStyle w:val="ListBullet"/>
              <w:ind w:left="357" w:hanging="357"/>
              <w:contextualSpacing w:val="0"/>
              <w:rPr>
                <w:i/>
              </w:rPr>
            </w:pPr>
            <w:r w:rsidRPr="00A107CC">
              <w:t>Identify expected resource contribution early and assess availability / capacity for partners to contribute.</w:t>
            </w:r>
          </w:p>
          <w:p w14:paraId="47953698" w14:textId="77777777" w:rsidR="00715780" w:rsidRPr="00A107CC" w:rsidRDefault="00715780" w:rsidP="004A5E64">
            <w:pPr>
              <w:pStyle w:val="ListBullet"/>
              <w:ind w:left="357" w:hanging="357"/>
              <w:contextualSpacing w:val="0"/>
            </w:pPr>
            <w:r w:rsidRPr="00A107CC">
              <w:t>Include expectations and understandings in written agreements / joint strategies.</w:t>
            </w:r>
          </w:p>
        </w:tc>
      </w:tr>
    </w:tbl>
    <w:p w14:paraId="69B21FAF" w14:textId="77777777" w:rsidR="00715780" w:rsidRPr="00DA1333" w:rsidRDefault="00715780" w:rsidP="00715780">
      <w:pPr>
        <w:spacing w:after="0"/>
        <w:rPr>
          <w:sz w:val="16"/>
        </w:rPr>
      </w:pPr>
    </w:p>
    <w:sectPr w:rsidR="00715780" w:rsidRPr="00DA1333" w:rsidSect="00EC2F37">
      <w:headerReference w:type="default" r:id="rId29"/>
      <w:footerReference w:type="default" r:id="rId30"/>
      <w:type w:val="continuous"/>
      <w:pgSz w:w="11906" w:h="16838"/>
      <w:pgMar w:top="1701" w:right="1440" w:bottom="1134" w:left="1440" w:header="709" w:footer="10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C410D" w14:textId="77777777" w:rsidR="00474F00" w:rsidRDefault="00474F00" w:rsidP="00130923">
      <w:pPr>
        <w:spacing w:after="0" w:line="240" w:lineRule="auto"/>
      </w:pPr>
      <w:r>
        <w:separator/>
      </w:r>
    </w:p>
  </w:endnote>
  <w:endnote w:type="continuationSeparator" w:id="0">
    <w:p w14:paraId="1D245755" w14:textId="77777777" w:rsidR="00474F00" w:rsidRDefault="00474F00"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CB170" w14:textId="77777777" w:rsidR="00EC2F37" w:rsidRDefault="00EC2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D143" w14:textId="77777777" w:rsidR="003242B9" w:rsidRDefault="003242B9" w:rsidP="003242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4D9F6" w14:textId="77777777" w:rsidR="00EC2F37" w:rsidRDefault="00EC2F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C3F4" w14:textId="6A40202D" w:rsidR="003242B9" w:rsidRDefault="00884487"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6</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A277E" w14:textId="77777777" w:rsidR="00474F00" w:rsidRDefault="00474F00" w:rsidP="00130923">
      <w:pPr>
        <w:spacing w:after="0" w:line="240" w:lineRule="auto"/>
      </w:pPr>
      <w:r>
        <w:separator/>
      </w:r>
    </w:p>
  </w:footnote>
  <w:footnote w:type="continuationSeparator" w:id="0">
    <w:p w14:paraId="0413549B" w14:textId="77777777" w:rsidR="00474F00" w:rsidRDefault="00474F00"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38093" w14:textId="77777777" w:rsidR="00EC2F37" w:rsidRDefault="00EC2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8669" w14:textId="77777777" w:rsidR="00560CA0" w:rsidRDefault="00560CA0" w:rsidP="00560CA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07A28" w14:textId="77777777" w:rsidR="00EC2F37" w:rsidRDefault="00EC2F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379D" w14:textId="4BCE12FA" w:rsidR="00560CA0" w:rsidRPr="00466D28" w:rsidRDefault="00466D28" w:rsidP="00466D28">
    <w:pPr>
      <w:pStyle w:val="Header"/>
      <w:jc w:val="right"/>
    </w:pPr>
    <w:r>
      <w:t>Be</w:t>
    </w:r>
    <w:r w:rsidR="00B9656C">
      <w:t xml:space="preserve">st Practice Guide: Establish </w:t>
    </w:r>
    <w:r>
      <w:t>school-</w:t>
    </w:r>
    <w:r w:rsidR="00B9656C">
      <w:t>industry</w:t>
    </w:r>
    <w:r>
      <w:t xml:space="preserve"> STEM partnerships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A82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E05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24F34BE"/>
    <w:multiLevelType w:val="hybridMultilevel"/>
    <w:tmpl w:val="3732FD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4241F4"/>
    <w:multiLevelType w:val="hybridMultilevel"/>
    <w:tmpl w:val="4C98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CB5751"/>
    <w:multiLevelType w:val="hybridMultilevel"/>
    <w:tmpl w:val="0EC05186"/>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3" w15:restartNumberingAfterBreak="0">
    <w:nsid w:val="0E841D8A"/>
    <w:multiLevelType w:val="hybridMultilevel"/>
    <w:tmpl w:val="D7162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D85CE5"/>
    <w:multiLevelType w:val="hybridMultilevel"/>
    <w:tmpl w:val="F53CA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1D4232DE"/>
    <w:multiLevelType w:val="hybridMultilevel"/>
    <w:tmpl w:val="CEDA2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EB02929"/>
    <w:multiLevelType w:val="hybridMultilevel"/>
    <w:tmpl w:val="A010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2676D77"/>
    <w:multiLevelType w:val="hybridMultilevel"/>
    <w:tmpl w:val="6BDEA3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5A181980"/>
    <w:multiLevelType w:val="hybridMultilevel"/>
    <w:tmpl w:val="01986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28576C"/>
    <w:multiLevelType w:val="hybridMultilevel"/>
    <w:tmpl w:val="3B3AA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BB068C"/>
    <w:multiLevelType w:val="hybridMultilevel"/>
    <w:tmpl w:val="9D36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654D87"/>
    <w:multiLevelType w:val="hybridMultilevel"/>
    <w:tmpl w:val="1766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803E73"/>
    <w:multiLevelType w:val="hybridMultilevel"/>
    <w:tmpl w:val="25BCE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8"/>
  </w:num>
  <w:num w:numId="15">
    <w:abstractNumId w:val="15"/>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17"/>
  </w:num>
  <w:num w:numId="22">
    <w:abstractNumId w:val="14"/>
  </w:num>
  <w:num w:numId="23">
    <w:abstractNumId w:val="19"/>
  </w:num>
  <w:num w:numId="24">
    <w:abstractNumId w:val="23"/>
  </w:num>
  <w:num w:numId="25">
    <w:abstractNumId w:val="26"/>
  </w:num>
  <w:num w:numId="26">
    <w:abstractNumId w:val="25"/>
  </w:num>
  <w:num w:numId="27">
    <w:abstractNumId w:val="13"/>
  </w:num>
  <w:num w:numId="28">
    <w:abstractNumId w:val="9"/>
  </w:num>
  <w:num w:numId="29">
    <w:abstractNumId w:val="21"/>
  </w:num>
  <w:num w:numId="30">
    <w:abstractNumId w:val="24"/>
  </w:num>
  <w:num w:numId="31">
    <w:abstractNumId w:val="27"/>
  </w:num>
  <w:num w:numId="32">
    <w:abstractNumId w:val="20"/>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474F00"/>
    <w:rsid w:val="00002721"/>
    <w:rsid w:val="00007E0C"/>
    <w:rsid w:val="00024E24"/>
    <w:rsid w:val="00034EAA"/>
    <w:rsid w:val="000861A6"/>
    <w:rsid w:val="000D7FD3"/>
    <w:rsid w:val="000E7E7B"/>
    <w:rsid w:val="000F3BA2"/>
    <w:rsid w:val="00110531"/>
    <w:rsid w:val="001175BF"/>
    <w:rsid w:val="00130923"/>
    <w:rsid w:val="001414F3"/>
    <w:rsid w:val="00143FCD"/>
    <w:rsid w:val="00172327"/>
    <w:rsid w:val="0017361E"/>
    <w:rsid w:val="001B6467"/>
    <w:rsid w:val="00223EB1"/>
    <w:rsid w:val="00236917"/>
    <w:rsid w:val="00243D6B"/>
    <w:rsid w:val="002532CE"/>
    <w:rsid w:val="002B06E6"/>
    <w:rsid w:val="002C3AA1"/>
    <w:rsid w:val="002C4023"/>
    <w:rsid w:val="002D2121"/>
    <w:rsid w:val="002D271F"/>
    <w:rsid w:val="002D6386"/>
    <w:rsid w:val="002F1999"/>
    <w:rsid w:val="00305B35"/>
    <w:rsid w:val="00310A04"/>
    <w:rsid w:val="003155A7"/>
    <w:rsid w:val="003166C5"/>
    <w:rsid w:val="003242B9"/>
    <w:rsid w:val="003979FC"/>
    <w:rsid w:val="003D67FC"/>
    <w:rsid w:val="003E273C"/>
    <w:rsid w:val="00406E5A"/>
    <w:rsid w:val="00421837"/>
    <w:rsid w:val="00455B34"/>
    <w:rsid w:val="00466D28"/>
    <w:rsid w:val="00474F00"/>
    <w:rsid w:val="00481F02"/>
    <w:rsid w:val="0048762C"/>
    <w:rsid w:val="004B256F"/>
    <w:rsid w:val="005113B6"/>
    <w:rsid w:val="00531817"/>
    <w:rsid w:val="00560CA0"/>
    <w:rsid w:val="005624F3"/>
    <w:rsid w:val="005811EF"/>
    <w:rsid w:val="005B0878"/>
    <w:rsid w:val="005C15C0"/>
    <w:rsid w:val="00610654"/>
    <w:rsid w:val="006318B9"/>
    <w:rsid w:val="0067026C"/>
    <w:rsid w:val="006E2D49"/>
    <w:rsid w:val="00715780"/>
    <w:rsid w:val="007468FC"/>
    <w:rsid w:val="00773D40"/>
    <w:rsid w:val="00792CA3"/>
    <w:rsid w:val="007B2FDD"/>
    <w:rsid w:val="007C49AB"/>
    <w:rsid w:val="007D58FB"/>
    <w:rsid w:val="0083468A"/>
    <w:rsid w:val="00842D43"/>
    <w:rsid w:val="00856D1C"/>
    <w:rsid w:val="00876AC0"/>
    <w:rsid w:val="00884487"/>
    <w:rsid w:val="00903408"/>
    <w:rsid w:val="009116EA"/>
    <w:rsid w:val="0093065A"/>
    <w:rsid w:val="00933671"/>
    <w:rsid w:val="00972BF7"/>
    <w:rsid w:val="00972DD5"/>
    <w:rsid w:val="00984879"/>
    <w:rsid w:val="00985632"/>
    <w:rsid w:val="00991B63"/>
    <w:rsid w:val="009B2428"/>
    <w:rsid w:val="009B5CB7"/>
    <w:rsid w:val="00A107CC"/>
    <w:rsid w:val="00A31242"/>
    <w:rsid w:val="00A475CB"/>
    <w:rsid w:val="00A52530"/>
    <w:rsid w:val="00A551BF"/>
    <w:rsid w:val="00A70524"/>
    <w:rsid w:val="00A73406"/>
    <w:rsid w:val="00A751A4"/>
    <w:rsid w:val="00AC65DA"/>
    <w:rsid w:val="00AD09E4"/>
    <w:rsid w:val="00AF1737"/>
    <w:rsid w:val="00AF6F19"/>
    <w:rsid w:val="00B2722A"/>
    <w:rsid w:val="00B32DC9"/>
    <w:rsid w:val="00B56D61"/>
    <w:rsid w:val="00B5777E"/>
    <w:rsid w:val="00B618BA"/>
    <w:rsid w:val="00B7008B"/>
    <w:rsid w:val="00B9656C"/>
    <w:rsid w:val="00BA282D"/>
    <w:rsid w:val="00BA4D57"/>
    <w:rsid w:val="00BB6260"/>
    <w:rsid w:val="00C05E74"/>
    <w:rsid w:val="00C0720C"/>
    <w:rsid w:val="00C10C19"/>
    <w:rsid w:val="00C143B8"/>
    <w:rsid w:val="00C17D02"/>
    <w:rsid w:val="00C41B1B"/>
    <w:rsid w:val="00C5649C"/>
    <w:rsid w:val="00C607B1"/>
    <w:rsid w:val="00C75486"/>
    <w:rsid w:val="00C8202C"/>
    <w:rsid w:val="00C84E0C"/>
    <w:rsid w:val="00C92A5B"/>
    <w:rsid w:val="00CA46EC"/>
    <w:rsid w:val="00D05B29"/>
    <w:rsid w:val="00D073E6"/>
    <w:rsid w:val="00D1394D"/>
    <w:rsid w:val="00D47740"/>
    <w:rsid w:val="00D57B07"/>
    <w:rsid w:val="00D812B9"/>
    <w:rsid w:val="00D903FD"/>
    <w:rsid w:val="00D94BC5"/>
    <w:rsid w:val="00D96C08"/>
    <w:rsid w:val="00DA1333"/>
    <w:rsid w:val="00DC3052"/>
    <w:rsid w:val="00DE3D2D"/>
    <w:rsid w:val="00DF46C4"/>
    <w:rsid w:val="00DF4CA3"/>
    <w:rsid w:val="00E0686B"/>
    <w:rsid w:val="00E1791B"/>
    <w:rsid w:val="00E370A3"/>
    <w:rsid w:val="00E376D2"/>
    <w:rsid w:val="00E52E39"/>
    <w:rsid w:val="00EC2F37"/>
    <w:rsid w:val="00EC78E7"/>
    <w:rsid w:val="00ED43D2"/>
    <w:rsid w:val="00EE3B8C"/>
    <w:rsid w:val="00EF4A38"/>
    <w:rsid w:val="00EF5845"/>
    <w:rsid w:val="00F11B8F"/>
    <w:rsid w:val="00F47193"/>
    <w:rsid w:val="00F5647D"/>
    <w:rsid w:val="00F74011"/>
    <w:rsid w:val="00F80CFC"/>
    <w:rsid w:val="00FB10CB"/>
    <w:rsid w:val="00FC36A4"/>
    <w:rsid w:val="00FD0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0C4848"/>
  <w15:docId w15:val="{DA0CB225-A126-4331-9BD3-EBC27865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E376D2"/>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qFormat/>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semiHidden/>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E273C"/>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E376D2"/>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54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3C54A5"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3C54A5"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3C54A5"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3C54A5"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3C54A5"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3C54A5"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semiHidden/>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376D2"/>
    <w:rPr>
      <w:color w:val="522761" w:themeColor="accent4"/>
      <w:u w:val="single"/>
    </w:rPr>
  </w:style>
  <w:style w:type="table" w:customStyle="1" w:styleId="EducationTable">
    <w:name w:val="Education Table"/>
    <w:basedOn w:val="TableNormal"/>
    <w:uiPriority w:val="99"/>
    <w:rsid w:val="00A751A4"/>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character" w:styleId="CommentReference">
    <w:name w:val="annotation reference"/>
    <w:basedOn w:val="DefaultParagraphFont"/>
    <w:uiPriority w:val="99"/>
    <w:semiHidden/>
    <w:unhideWhenUsed/>
    <w:rsid w:val="002D2121"/>
    <w:rPr>
      <w:sz w:val="16"/>
      <w:szCs w:val="16"/>
    </w:rPr>
  </w:style>
  <w:style w:type="paragraph" w:styleId="CommentText">
    <w:name w:val="annotation text"/>
    <w:basedOn w:val="Normal"/>
    <w:link w:val="CommentTextChar"/>
    <w:uiPriority w:val="99"/>
    <w:semiHidden/>
    <w:unhideWhenUsed/>
    <w:rsid w:val="002D2121"/>
    <w:pPr>
      <w:spacing w:line="240" w:lineRule="auto"/>
    </w:pPr>
    <w:rPr>
      <w:sz w:val="20"/>
      <w:szCs w:val="20"/>
    </w:rPr>
  </w:style>
  <w:style w:type="character" w:customStyle="1" w:styleId="CommentTextChar">
    <w:name w:val="Comment Text Char"/>
    <w:basedOn w:val="DefaultParagraphFont"/>
    <w:link w:val="CommentText"/>
    <w:uiPriority w:val="99"/>
    <w:semiHidden/>
    <w:rsid w:val="002D2121"/>
    <w:rPr>
      <w:sz w:val="20"/>
      <w:szCs w:val="20"/>
    </w:rPr>
  </w:style>
  <w:style w:type="paragraph" w:styleId="CommentSubject">
    <w:name w:val="annotation subject"/>
    <w:basedOn w:val="CommentText"/>
    <w:next w:val="CommentText"/>
    <w:link w:val="CommentSubjectChar"/>
    <w:uiPriority w:val="99"/>
    <w:semiHidden/>
    <w:unhideWhenUsed/>
    <w:rsid w:val="002D2121"/>
    <w:rPr>
      <w:b/>
      <w:bCs/>
    </w:rPr>
  </w:style>
  <w:style w:type="character" w:customStyle="1" w:styleId="CommentSubjectChar">
    <w:name w:val="Comment Subject Char"/>
    <w:basedOn w:val="CommentTextChar"/>
    <w:link w:val="CommentSubject"/>
    <w:uiPriority w:val="99"/>
    <w:semiHidden/>
    <w:rsid w:val="002D21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siro.au/en/Education/Programs/STEM-Professionals-in-Schools" TargetMode="External"/><Relationship Id="rId3" Type="http://schemas.openxmlformats.org/officeDocument/2006/relationships/customXml" Target="../customXml/item3.xml"/><Relationship Id="rId21" Type="http://schemas.openxmlformats.org/officeDocument/2006/relationships/hyperlink" Target="http://dnet.hosts.network/education/Resources/Documents/Creative%20Commons%20Attribution%204.0%20International"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ebeacon.net.au/myroad_registe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1.png@01CC5B5E.C6C8499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dn.aigroup.com.au/Reports/2017/AiGroup_OCS_STEM_Report_2017.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qmea.org.au/" TargetMode="External"/><Relationship Id="rId28" Type="http://schemas.openxmlformats.org/officeDocument/2006/relationships/hyperlink" Target="http://www.orica.com/"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dnet.hosts.network/education/Resources/Documents/CC%20BY%204.0%20International" TargetMode="External"/><Relationship Id="rId27" Type="http://schemas.openxmlformats.org/officeDocument/2006/relationships/hyperlink" Target="http://www.stelr.org.au/"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a79020c4b25e25e8f7900ec03033250c">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3fd1cb83386e3e96473aa3ea0fcee1b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Minute"/>
          <xsd:enumeration value="Meeting"/>
          <xsd:enumeration value="Letter"/>
          <xsd:enumeration value="Additional Secretary templates"/>
          <xsd:enumeration value="Departmental templates"/>
          <xsd:enumeration value="Organisational Chart"/>
          <xsd:enumeration value="Email"/>
          <xsd:enumeration value="Fax"/>
        </xsd:restriction>
      </xsd:simpleType>
    </xsd:element>
    <xsd:element name="Security_x0020_DLM" ma:index="11" nillable="true" ma:displayName="Security DLM" ma:format="Dropdown" ma:internalName="Security_x0020_DLM">
      <xsd:simpleType>
        <xsd:restriction base="dms:Choice">
          <xsd:enumeration value="Personal privacy"/>
          <xsd:enumeration value="Legislative secrecy"/>
          <xsd:enumeration value="Legal privilege"/>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OFFICIAL"/>
          <xsd:enumeration value="OFFICIAL: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Departmental templates</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C45F-5108-4DFB-9409-93A12F348B98}">
  <ds:schemaRefs>
    <ds:schemaRef ds:uri="http://schemas.microsoft.com/sharepoint/v3/contenttype/forms"/>
  </ds:schemaRefs>
</ds:datastoreItem>
</file>

<file path=customXml/itemProps2.xml><?xml version="1.0" encoding="utf-8"?>
<ds:datastoreItem xmlns:ds="http://schemas.openxmlformats.org/officeDocument/2006/customXml" ds:itemID="{1545247E-3B4D-4BCA-A6FB-A77B8398E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B4C30-6D86-487A-8B5B-3A5DEC448181}">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5a0bbd5-585e-4472-9791-5df67fe41a90"/>
    <ds:schemaRef ds:uri="http://www.w3.org/XML/1998/namespace"/>
    <ds:schemaRef ds:uri="http://purl.org/dc/dcmitype/"/>
  </ds:schemaRefs>
</ds:datastoreItem>
</file>

<file path=customXml/itemProps4.xml><?xml version="1.0" encoding="utf-8"?>
<ds:datastoreItem xmlns:ds="http://schemas.openxmlformats.org/officeDocument/2006/customXml" ds:itemID="{63FCC248-0F1B-4B8B-87D1-E805C7B5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B3B8E793.dotm</Template>
  <TotalTime>0</TotalTime>
  <Pages>8</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Education Word Template Report</vt:lpstr>
    </vt:vector>
  </TitlesOfParts>
  <Company>Australian Government</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Word Template Report</dc:title>
  <dc:creator>ATCHISON,Luke</dc:creator>
  <cp:lastModifiedBy>MANNIE,Ryan</cp:lastModifiedBy>
  <cp:revision>2</cp:revision>
  <cp:lastPrinted>2019-10-23T22:53:00Z</cp:lastPrinted>
  <dcterms:created xsi:type="dcterms:W3CDTF">2019-10-30T23:42:00Z</dcterms:created>
  <dcterms:modified xsi:type="dcterms:W3CDTF">2019-10-30T23:42:00Z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