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59D5" w14:textId="77777777" w:rsidR="002F0DEE" w:rsidRDefault="002F0DEE" w:rsidP="000475C8">
      <w:pPr>
        <w:pStyle w:val="heading-allcaps"/>
        <w:spacing w:before="240"/>
        <w:rPr>
          <w:rFonts w:ascii="Arial Narrow" w:hAnsi="Arial Narrow"/>
          <w:bCs/>
          <w:caps w:val="0"/>
          <w:sz w:val="32"/>
          <w:szCs w:val="32"/>
        </w:rPr>
      </w:pPr>
    </w:p>
    <w:p w14:paraId="56637197" w14:textId="335EA2B2" w:rsidR="000475C8" w:rsidRDefault="00FB0A77" w:rsidP="000475C8">
      <w:pPr>
        <w:pStyle w:val="heading-allcaps"/>
        <w:spacing w:before="240"/>
        <w:rPr>
          <w:rFonts w:ascii="Arial Narrow" w:hAnsi="Arial Narrow"/>
          <w:bCs/>
          <w:caps w:val="0"/>
          <w:sz w:val="32"/>
          <w:szCs w:val="32"/>
        </w:rPr>
      </w:pPr>
      <w:r>
        <w:rPr>
          <w:rFonts w:ascii="Arial Narrow" w:hAnsi="Arial Narrow"/>
          <w:bCs/>
          <w:caps w:val="0"/>
          <w:sz w:val="32"/>
          <w:szCs w:val="32"/>
        </w:rPr>
        <w:t>Terms of R</w:t>
      </w:r>
      <w:r w:rsidR="000475C8">
        <w:rPr>
          <w:rFonts w:ascii="Arial Narrow" w:hAnsi="Arial Narrow"/>
          <w:bCs/>
          <w:caps w:val="0"/>
          <w:sz w:val="32"/>
          <w:szCs w:val="32"/>
        </w:rPr>
        <w:t>eference</w:t>
      </w:r>
    </w:p>
    <w:p w14:paraId="400995B5" w14:textId="77777777" w:rsidR="000475C8" w:rsidRDefault="000475C8" w:rsidP="000475C8">
      <w:pPr>
        <w:rPr>
          <w:rFonts w:ascii="Arial Narrow" w:hAnsi="Arial Narrow"/>
          <w:b/>
          <w:bCs/>
          <w:iCs/>
          <w:sz w:val="28"/>
          <w:szCs w:val="28"/>
        </w:rPr>
      </w:pPr>
      <w:r>
        <w:rPr>
          <w:rFonts w:ascii="Arial Narrow" w:hAnsi="Arial Narrow"/>
          <w:b/>
          <w:bCs/>
          <w:iCs/>
          <w:sz w:val="28"/>
          <w:szCs w:val="28"/>
        </w:rPr>
        <w:t xml:space="preserve">Annual review of state and territory compliance with section 22A of the </w:t>
      </w:r>
      <w:r>
        <w:rPr>
          <w:rFonts w:ascii="Arial Narrow" w:hAnsi="Arial Narrow"/>
          <w:b/>
          <w:bCs/>
          <w:i/>
          <w:iCs/>
          <w:sz w:val="28"/>
          <w:szCs w:val="28"/>
        </w:rPr>
        <w:t>Australian Education Act 2013</w:t>
      </w:r>
    </w:p>
    <w:p w14:paraId="4AC11127" w14:textId="77777777" w:rsidR="000475C8" w:rsidRDefault="000475C8" w:rsidP="000475C8">
      <w:pPr>
        <w:spacing w:before="120"/>
        <w:rPr>
          <w:rFonts w:ascii="Arial Narrow" w:eastAsia="Calibri" w:hAnsi="Arial Narrow" w:cs="Calibri"/>
          <w:szCs w:val="24"/>
        </w:rPr>
      </w:pPr>
      <w:r>
        <w:rPr>
          <w:rFonts w:ascii="Arial Narrow" w:eastAsia="Calibri" w:hAnsi="Arial Narrow" w:cs="Calibri"/>
          <w:szCs w:val="24"/>
        </w:rPr>
        <w:t xml:space="preserve">The </w:t>
      </w:r>
      <w:r>
        <w:rPr>
          <w:rFonts w:ascii="Arial Narrow" w:eastAsia="Calibri" w:hAnsi="Arial Narrow" w:cs="Calibri"/>
          <w:i/>
          <w:szCs w:val="24"/>
        </w:rPr>
        <w:t>Australian Education Act 2013</w:t>
      </w:r>
      <w:r>
        <w:rPr>
          <w:rFonts w:ascii="Arial Narrow" w:eastAsia="Calibri" w:hAnsi="Arial Narrow" w:cs="Calibri"/>
          <w:szCs w:val="24"/>
        </w:rPr>
        <w:t xml:space="preserve"> (the Act) sets out conditions of financial assistance for state and territories (states) to receive Commonwealth financial assistance for government and non-government schools in that state or territory. This includes default requirements for minimum state funding contributions for the government and non-government sectors under section 22A of the Act.</w:t>
      </w:r>
    </w:p>
    <w:p w14:paraId="6BBBDB2F" w14:textId="77777777" w:rsidR="000475C8" w:rsidRDefault="000475C8" w:rsidP="000475C8">
      <w:pPr>
        <w:spacing w:before="120"/>
        <w:rPr>
          <w:rFonts w:ascii="Arial Narrow" w:eastAsia="Calibri" w:hAnsi="Arial Narrow" w:cs="Calibri"/>
          <w:szCs w:val="24"/>
        </w:rPr>
      </w:pPr>
      <w:r>
        <w:rPr>
          <w:rFonts w:ascii="Arial Narrow" w:hAnsi="Arial Narrow"/>
        </w:rPr>
        <w:t>Section 22A of the Act provides that a payment of financial assistance under the Act to a state is subject to the total amount of funding provided by the state for a year for:</w:t>
      </w:r>
    </w:p>
    <w:p w14:paraId="20D487FF" w14:textId="77777777" w:rsidR="000475C8" w:rsidRDefault="000475C8" w:rsidP="000475C8">
      <w:pPr>
        <w:pStyle w:val="ListParagraph"/>
        <w:numPr>
          <w:ilvl w:val="0"/>
          <w:numId w:val="1"/>
        </w:numPr>
        <w:spacing w:before="120"/>
        <w:rPr>
          <w:rFonts w:ascii="Arial Narrow" w:eastAsia="Calibri" w:hAnsi="Arial Narrow" w:cs="Calibri"/>
          <w:szCs w:val="24"/>
        </w:rPr>
      </w:pPr>
      <w:r>
        <w:rPr>
          <w:rFonts w:ascii="Arial Narrow" w:hAnsi="Arial Narrow"/>
        </w:rPr>
        <w:t>government schools located in the state equalling or exceeding the state contribution amount for government schools in the state for the year.</w:t>
      </w:r>
    </w:p>
    <w:p w14:paraId="14720719" w14:textId="77777777" w:rsidR="000475C8" w:rsidRDefault="000475C8" w:rsidP="000475C8">
      <w:pPr>
        <w:pStyle w:val="ListParagraph"/>
        <w:numPr>
          <w:ilvl w:val="0"/>
          <w:numId w:val="1"/>
        </w:numPr>
        <w:spacing w:before="120"/>
        <w:rPr>
          <w:rFonts w:ascii="Arial Narrow" w:eastAsia="Calibri" w:hAnsi="Arial Narrow" w:cs="Calibri"/>
          <w:szCs w:val="24"/>
        </w:rPr>
      </w:pPr>
      <w:r>
        <w:rPr>
          <w:rFonts w:ascii="Arial Narrow" w:hAnsi="Arial Narrow"/>
        </w:rPr>
        <w:t>non</w:t>
      </w:r>
      <w:r>
        <w:rPr>
          <w:rFonts w:ascii="Cambria Math" w:hAnsi="Cambria Math" w:cs="Cambria Math"/>
        </w:rPr>
        <w:noBreakHyphen/>
      </w:r>
      <w:r>
        <w:rPr>
          <w:rFonts w:ascii="Arial Narrow" w:hAnsi="Arial Narrow"/>
        </w:rPr>
        <w:t>government schools located in the state equalling or exceeding the state contribution amount for non</w:t>
      </w:r>
      <w:r>
        <w:rPr>
          <w:rFonts w:ascii="Cambria Math" w:hAnsi="Cambria Math" w:cs="Cambria Math"/>
        </w:rPr>
        <w:noBreakHyphen/>
      </w:r>
      <w:r>
        <w:rPr>
          <w:rFonts w:ascii="Arial Narrow" w:hAnsi="Arial Narrow"/>
        </w:rPr>
        <w:t>government schools in the state for the year.</w:t>
      </w:r>
    </w:p>
    <w:p w14:paraId="75870C2A" w14:textId="564A7AD1" w:rsidR="000475C8" w:rsidRDefault="000475C8" w:rsidP="000475C8">
      <w:pPr>
        <w:spacing w:before="120"/>
        <w:rPr>
          <w:rFonts w:ascii="Arial Narrow" w:eastAsia="Calibri" w:hAnsi="Arial Narrow" w:cs="Calibri"/>
          <w:szCs w:val="24"/>
        </w:rPr>
      </w:pPr>
      <w:r>
        <w:rPr>
          <w:rFonts w:ascii="Arial Narrow" w:eastAsia="Calibri" w:hAnsi="Arial Narrow" w:cs="Calibri"/>
          <w:szCs w:val="24"/>
        </w:rPr>
        <w:t>Bilateral school education reform agreements (bilateral agreements) have been agreed as part of the new national schooling reform arrangements. Bilateral agreements take account of states’ individual circumstances, and each bilateral agreement outlines the state’s commitments to the implementation of reforms. The agreements include agreed minimum state funding contributions, as well as the agreed approach to measuring these contributions</w:t>
      </w:r>
      <w:r w:rsidR="00C1319B">
        <w:rPr>
          <w:rFonts w:ascii="Arial Narrow" w:eastAsia="Calibri" w:hAnsi="Arial Narrow" w:cs="Calibri"/>
          <w:szCs w:val="24"/>
        </w:rPr>
        <w:t xml:space="preserve"> and treatment for immaterial shortfall</w:t>
      </w:r>
      <w:r>
        <w:rPr>
          <w:rFonts w:ascii="Arial Narrow" w:eastAsia="Calibri" w:hAnsi="Arial Narrow" w:cs="Calibri"/>
          <w:szCs w:val="24"/>
        </w:rPr>
        <w:t xml:space="preserve">, for the government and non-government sectors where arrangements vary from the default calculations set out in section 22A of the Act. </w:t>
      </w:r>
    </w:p>
    <w:p w14:paraId="58EAAF67" w14:textId="77777777" w:rsidR="000475C8" w:rsidRDefault="000475C8" w:rsidP="000475C8">
      <w:pPr>
        <w:spacing w:before="120"/>
        <w:rPr>
          <w:rFonts w:ascii="Arial Narrow" w:hAnsi="Arial Narrow"/>
        </w:rPr>
      </w:pPr>
      <w:r>
        <w:rPr>
          <w:rFonts w:ascii="Arial Narrow" w:hAnsi="Arial Narrow"/>
        </w:rPr>
        <w:t>The total amount of funding provided by the state for a year will be calculated in accordance with the methodology set out in a state’s bilateral agreement.</w:t>
      </w:r>
    </w:p>
    <w:p w14:paraId="3E57DDE8" w14:textId="77777777" w:rsidR="000475C8" w:rsidRDefault="000475C8" w:rsidP="000475C8">
      <w:pPr>
        <w:spacing w:before="120"/>
        <w:rPr>
          <w:rFonts w:ascii="Arial Narrow" w:eastAsia="Calibri" w:hAnsi="Arial Narrow" w:cs="Calibri"/>
          <w:szCs w:val="24"/>
        </w:rPr>
      </w:pPr>
      <w:r>
        <w:rPr>
          <w:rFonts w:ascii="Arial Narrow" w:eastAsia="Calibri" w:hAnsi="Arial Narrow" w:cs="Calibri"/>
          <w:szCs w:val="24"/>
        </w:rPr>
        <w:t>The National School Resourcing Board (the Board) has been established under section 128 of the Act. Subsection 128(7) requires an annual independent review of compliance by states with section 22A of the Act.</w:t>
      </w:r>
    </w:p>
    <w:p w14:paraId="4BE8DECE" w14:textId="77777777" w:rsidR="000475C8" w:rsidRDefault="000475C8" w:rsidP="000475C8">
      <w:pPr>
        <w:spacing w:before="120"/>
        <w:rPr>
          <w:rFonts w:ascii="Arial Narrow" w:eastAsia="Calibri" w:hAnsi="Arial Narrow" w:cs="Calibri"/>
          <w:szCs w:val="24"/>
        </w:rPr>
      </w:pPr>
      <w:r>
        <w:rPr>
          <w:rFonts w:ascii="Arial Narrow" w:eastAsia="Calibri" w:hAnsi="Arial Narrow" w:cs="Calibri"/>
          <w:szCs w:val="24"/>
        </w:rPr>
        <w:t>Consistent with the Act, the annual review will assess total funding for the government and non-government at the sector level, not school level. States will continue to have the discretion to allocate funding to schools according to their own funding distribution models.</w:t>
      </w:r>
    </w:p>
    <w:p w14:paraId="3FB8504A" w14:textId="77777777" w:rsidR="000475C8" w:rsidRDefault="000475C8" w:rsidP="000475C8">
      <w:pPr>
        <w:spacing w:before="120"/>
        <w:rPr>
          <w:rFonts w:ascii="Arial Narrow" w:eastAsia="Calibri" w:hAnsi="Arial Narrow" w:cs="Calibri"/>
          <w:szCs w:val="24"/>
          <w:u w:val="single"/>
        </w:rPr>
      </w:pPr>
      <w:r>
        <w:rPr>
          <w:rFonts w:ascii="Arial Narrow" w:eastAsia="Calibri" w:hAnsi="Arial Narrow" w:cs="Calibri"/>
          <w:b/>
          <w:szCs w:val="24"/>
        </w:rPr>
        <w:t>Scope</w:t>
      </w:r>
    </w:p>
    <w:p w14:paraId="1CECFD5A" w14:textId="77777777" w:rsidR="000475C8" w:rsidRDefault="000475C8" w:rsidP="000475C8">
      <w:pPr>
        <w:spacing w:before="120"/>
        <w:rPr>
          <w:rFonts w:ascii="Arial Narrow" w:eastAsia="Calibri" w:hAnsi="Arial Narrow"/>
          <w:szCs w:val="24"/>
        </w:rPr>
      </w:pPr>
      <w:r w:rsidRPr="000475C8">
        <w:rPr>
          <w:rFonts w:ascii="Arial Narrow" w:eastAsia="Calibri" w:hAnsi="Arial Narrow" w:cs="Calibri"/>
          <w:szCs w:val="24"/>
        </w:rPr>
        <w:t>The Board will consider and provide its assessment relating to c</w:t>
      </w:r>
      <w:r w:rsidRPr="000475C8">
        <w:rPr>
          <w:rFonts w:ascii="Arial Narrow" w:eastAsia="Calibri" w:hAnsi="Arial Narrow"/>
          <w:szCs w:val="24"/>
        </w:rPr>
        <w:t>ompliance by a state</w:t>
      </w:r>
      <w:r w:rsidR="00CB0A99">
        <w:rPr>
          <w:rFonts w:ascii="Arial Narrow" w:eastAsia="Calibri" w:hAnsi="Arial Narrow"/>
          <w:szCs w:val="24"/>
        </w:rPr>
        <w:t xml:space="preserve"> subject to the terms of its bilateral agreement</w:t>
      </w:r>
      <w:r w:rsidRPr="000475C8">
        <w:rPr>
          <w:rFonts w:ascii="Arial Narrow" w:eastAsia="Calibri" w:hAnsi="Arial Narrow"/>
          <w:szCs w:val="24"/>
        </w:rPr>
        <w:t>, including:</w:t>
      </w:r>
    </w:p>
    <w:p w14:paraId="4AC030B3" w14:textId="53EEE4D2" w:rsidR="000475C8" w:rsidRDefault="000475C8" w:rsidP="000475C8">
      <w:pPr>
        <w:pStyle w:val="ListParagraph"/>
        <w:numPr>
          <w:ilvl w:val="0"/>
          <w:numId w:val="2"/>
        </w:numPr>
        <w:spacing w:before="120"/>
        <w:rPr>
          <w:rFonts w:ascii="Arial Narrow" w:eastAsia="Calibri" w:hAnsi="Arial Narrow" w:cs="Calibri"/>
          <w:szCs w:val="24"/>
        </w:rPr>
      </w:pPr>
      <w:r>
        <w:rPr>
          <w:rFonts w:ascii="Arial Narrow" w:eastAsia="Calibri" w:hAnsi="Arial Narrow"/>
          <w:szCs w:val="24"/>
        </w:rPr>
        <w:t>Whether the reported state funding for the given year equals or exceeds the minimum funding contribution requirements under section 22A of the Act for both government and non</w:t>
      </w:r>
      <w:r>
        <w:rPr>
          <w:rFonts w:ascii="Arial Narrow" w:eastAsia="Calibri" w:hAnsi="Arial Narrow"/>
          <w:szCs w:val="24"/>
        </w:rPr>
        <w:noBreakHyphen/>
        <w:t xml:space="preserve">government </w:t>
      </w:r>
      <w:proofErr w:type="gramStart"/>
      <w:r>
        <w:rPr>
          <w:rFonts w:ascii="Arial Narrow" w:eastAsia="Calibri" w:hAnsi="Arial Narrow"/>
          <w:szCs w:val="24"/>
        </w:rPr>
        <w:t>sectors;</w:t>
      </w:r>
      <w:proofErr w:type="gramEnd"/>
      <w:r>
        <w:rPr>
          <w:rFonts w:ascii="Arial Narrow" w:eastAsia="Calibri" w:hAnsi="Arial Narrow"/>
          <w:szCs w:val="24"/>
        </w:rPr>
        <w:t xml:space="preserve"> </w:t>
      </w:r>
    </w:p>
    <w:p w14:paraId="4A19160C" w14:textId="77777777" w:rsidR="00FD57E2" w:rsidRPr="00FD57E2" w:rsidRDefault="000475C8" w:rsidP="000475C8">
      <w:pPr>
        <w:pStyle w:val="ListParagraph"/>
        <w:numPr>
          <w:ilvl w:val="0"/>
          <w:numId w:val="2"/>
        </w:numPr>
        <w:spacing w:before="120"/>
        <w:rPr>
          <w:rFonts w:ascii="Arial Narrow" w:eastAsia="Calibri" w:hAnsi="Arial Narrow" w:cs="Calibri"/>
          <w:szCs w:val="24"/>
        </w:rPr>
      </w:pPr>
      <w:r>
        <w:rPr>
          <w:rFonts w:ascii="Arial Narrow" w:eastAsia="Calibri" w:hAnsi="Arial Narrow"/>
          <w:szCs w:val="24"/>
        </w:rPr>
        <w:t xml:space="preserve">Contributing or mitigating </w:t>
      </w:r>
      <w:proofErr w:type="gramStart"/>
      <w:r>
        <w:rPr>
          <w:rFonts w:ascii="Arial Narrow" w:eastAsia="Calibri" w:hAnsi="Arial Narrow"/>
          <w:szCs w:val="24"/>
        </w:rPr>
        <w:t>circumstances</w:t>
      </w:r>
      <w:r w:rsidR="00FD57E2">
        <w:rPr>
          <w:rFonts w:ascii="Arial Narrow" w:eastAsia="Calibri" w:hAnsi="Arial Narrow"/>
          <w:szCs w:val="24"/>
        </w:rPr>
        <w:t>;</w:t>
      </w:r>
      <w:proofErr w:type="gramEnd"/>
    </w:p>
    <w:p w14:paraId="3F6FAE17" w14:textId="0B0A73E8" w:rsidR="00A238B3" w:rsidRDefault="00A238B3" w:rsidP="001F3CB4">
      <w:pPr>
        <w:pStyle w:val="ListParagraph"/>
        <w:numPr>
          <w:ilvl w:val="0"/>
          <w:numId w:val="2"/>
        </w:numPr>
        <w:rPr>
          <w:rFonts w:ascii="Arial Narrow" w:eastAsia="Calibri" w:hAnsi="Arial Narrow" w:cs="Calibri"/>
          <w:szCs w:val="24"/>
        </w:rPr>
      </w:pPr>
      <w:r w:rsidRPr="00A24B67">
        <w:rPr>
          <w:rFonts w:ascii="Arial Narrow" w:eastAsia="Calibri" w:hAnsi="Arial Narrow" w:cs="Calibri"/>
          <w:szCs w:val="24"/>
        </w:rPr>
        <w:t>Suggestions for adjustments to current reporting processes that impact the ability of states to comply with the requirements under section 22A of the Act.</w:t>
      </w:r>
    </w:p>
    <w:p w14:paraId="0E8EF7E8" w14:textId="77777777" w:rsidR="00A24B67" w:rsidRDefault="00A24B67" w:rsidP="00A24B67">
      <w:pPr>
        <w:ind w:left="405"/>
        <w:rPr>
          <w:rFonts w:ascii="Arial Narrow" w:eastAsia="Calibri" w:hAnsi="Arial Narrow" w:cs="Calibri"/>
          <w:szCs w:val="24"/>
        </w:rPr>
        <w:sectPr w:rsidR="00A24B67">
          <w:headerReference w:type="default" r:id="rId11"/>
          <w:footerReference w:type="default" r:id="rId12"/>
          <w:pgSz w:w="11906" w:h="16838"/>
          <w:pgMar w:top="1440" w:right="1440" w:bottom="1440" w:left="1440" w:header="708" w:footer="708" w:gutter="0"/>
          <w:cols w:space="708"/>
          <w:docGrid w:linePitch="360"/>
        </w:sectPr>
      </w:pPr>
    </w:p>
    <w:p w14:paraId="3A767921" w14:textId="1823839A" w:rsidR="000475C8" w:rsidRPr="000475C8" w:rsidRDefault="000475C8" w:rsidP="000475C8">
      <w:pPr>
        <w:keepNext/>
        <w:keepLines/>
        <w:spacing w:before="240"/>
        <w:rPr>
          <w:rFonts w:ascii="Arial Narrow" w:eastAsia="Calibri" w:hAnsi="Arial Narrow"/>
          <w:b/>
          <w:szCs w:val="24"/>
        </w:rPr>
      </w:pPr>
      <w:r w:rsidRPr="000475C8">
        <w:rPr>
          <w:rFonts w:ascii="Arial Narrow" w:eastAsia="Calibri" w:hAnsi="Arial Narrow"/>
          <w:b/>
          <w:szCs w:val="24"/>
        </w:rPr>
        <w:lastRenderedPageBreak/>
        <w:t xml:space="preserve">Contributing or mitigating circumstances  </w:t>
      </w:r>
    </w:p>
    <w:p w14:paraId="6E11B97B" w14:textId="77777777" w:rsidR="000475C8" w:rsidRDefault="000475C8" w:rsidP="000475C8">
      <w:pPr>
        <w:spacing w:before="240"/>
        <w:rPr>
          <w:rFonts w:ascii="Arial Narrow" w:eastAsia="Calibri" w:hAnsi="Arial Narrow"/>
          <w:i/>
          <w:szCs w:val="24"/>
        </w:rPr>
      </w:pPr>
      <w:r>
        <w:rPr>
          <w:rFonts w:ascii="Arial Narrow" w:eastAsia="Calibri" w:hAnsi="Arial Narrow"/>
          <w:szCs w:val="24"/>
        </w:rPr>
        <w:t xml:space="preserve">The Board </w:t>
      </w:r>
      <w:r w:rsidRPr="003B11BA">
        <w:rPr>
          <w:rFonts w:ascii="Arial Narrow" w:eastAsia="Calibri" w:hAnsi="Arial Narrow"/>
          <w:szCs w:val="24"/>
        </w:rPr>
        <w:t xml:space="preserve">is to </w:t>
      </w:r>
      <w:proofErr w:type="gramStart"/>
      <w:r w:rsidRPr="003B11BA">
        <w:rPr>
          <w:rFonts w:ascii="Arial Narrow" w:eastAsia="Calibri" w:hAnsi="Arial Narrow"/>
          <w:szCs w:val="24"/>
        </w:rPr>
        <w:t>take into account</w:t>
      </w:r>
      <w:proofErr w:type="gramEnd"/>
      <w:r>
        <w:rPr>
          <w:rFonts w:ascii="Arial Narrow" w:eastAsia="Calibri" w:hAnsi="Arial Narrow"/>
          <w:szCs w:val="24"/>
        </w:rPr>
        <w:t xml:space="preserve"> mitigating factors that have contributed to non-compliance. This may include, but </w:t>
      </w:r>
      <w:proofErr w:type="gramStart"/>
      <w:r>
        <w:rPr>
          <w:rFonts w:ascii="Arial Narrow" w:eastAsia="Calibri" w:hAnsi="Arial Narrow"/>
          <w:szCs w:val="24"/>
        </w:rPr>
        <w:t>is not be</w:t>
      </w:r>
      <w:proofErr w:type="gramEnd"/>
      <w:r>
        <w:rPr>
          <w:rFonts w:ascii="Arial Narrow" w:eastAsia="Calibri" w:hAnsi="Arial Narrow"/>
          <w:szCs w:val="24"/>
        </w:rPr>
        <w:t xml:space="preserve"> limited to, the following:</w:t>
      </w:r>
    </w:p>
    <w:p w14:paraId="3905A35D" w14:textId="77777777" w:rsidR="000475C8" w:rsidRDefault="000475C8" w:rsidP="000475C8">
      <w:pPr>
        <w:pStyle w:val="ListParagraph"/>
        <w:numPr>
          <w:ilvl w:val="0"/>
          <w:numId w:val="1"/>
        </w:numPr>
        <w:spacing w:before="120"/>
        <w:rPr>
          <w:rFonts w:ascii="Arial Narrow" w:eastAsia="Calibri" w:hAnsi="Arial Narrow"/>
          <w:szCs w:val="24"/>
        </w:rPr>
      </w:pPr>
      <w:r>
        <w:rPr>
          <w:rFonts w:ascii="Arial Narrow" w:eastAsia="Calibri" w:hAnsi="Arial Narrow"/>
          <w:szCs w:val="24"/>
        </w:rPr>
        <w:t xml:space="preserve">fluctuations from year-to-year in funding which could be assessed through, for example, the application of a </w:t>
      </w:r>
      <w:proofErr w:type="gramStart"/>
      <w:r>
        <w:rPr>
          <w:rFonts w:ascii="Arial Narrow" w:eastAsia="Calibri" w:hAnsi="Arial Narrow"/>
          <w:szCs w:val="24"/>
        </w:rPr>
        <w:t>three year</w:t>
      </w:r>
      <w:proofErr w:type="gramEnd"/>
      <w:r>
        <w:rPr>
          <w:rFonts w:ascii="Arial Narrow" w:eastAsia="Calibri" w:hAnsi="Arial Narrow"/>
          <w:szCs w:val="24"/>
        </w:rPr>
        <w:t xml:space="preserve"> rolling average if funding has fallen below the required amount</w:t>
      </w:r>
      <w:r w:rsidR="00752AA2">
        <w:rPr>
          <w:rFonts w:ascii="Arial Narrow" w:eastAsia="Calibri" w:hAnsi="Arial Narrow"/>
          <w:szCs w:val="24"/>
        </w:rPr>
        <w:t xml:space="preserve">. This may include consideration of funding in the previous </w:t>
      </w:r>
      <w:r w:rsidR="00655253">
        <w:rPr>
          <w:rFonts w:ascii="Arial Narrow" w:eastAsia="Calibri" w:hAnsi="Arial Narrow"/>
          <w:szCs w:val="24"/>
        </w:rPr>
        <w:t xml:space="preserve">or subsequent </w:t>
      </w:r>
      <w:r w:rsidR="00752AA2">
        <w:rPr>
          <w:rFonts w:ascii="Arial Narrow" w:eastAsia="Calibri" w:hAnsi="Arial Narrow"/>
          <w:szCs w:val="24"/>
        </w:rPr>
        <w:t>year, to the assessment year, where funding provided</w:t>
      </w:r>
      <w:r w:rsidR="00655253">
        <w:rPr>
          <w:rFonts w:ascii="Arial Narrow" w:eastAsia="Calibri" w:hAnsi="Arial Narrow"/>
          <w:szCs w:val="24"/>
        </w:rPr>
        <w:t xml:space="preserve"> or budgeted </w:t>
      </w:r>
      <w:r w:rsidR="00752AA2">
        <w:rPr>
          <w:rFonts w:ascii="Arial Narrow" w:eastAsia="Calibri" w:hAnsi="Arial Narrow"/>
          <w:szCs w:val="24"/>
        </w:rPr>
        <w:t>for schools is above minimum requirements. The additional funding provided in the previous years could be considered a mitigating/contributing circumstance for the shortfall experienced in the assessment year</w:t>
      </w:r>
      <w:r w:rsidR="00655253">
        <w:rPr>
          <w:rFonts w:ascii="Arial Narrow" w:eastAsia="Calibri" w:hAnsi="Arial Narrow"/>
          <w:szCs w:val="24"/>
        </w:rPr>
        <w:t>. Evidence of future Budgets could also assist the Board in assessing compliance</w:t>
      </w:r>
      <w:r w:rsidR="00752AA2">
        <w:rPr>
          <w:rFonts w:ascii="Arial Narrow" w:eastAsia="Calibri" w:hAnsi="Arial Narrow"/>
          <w:szCs w:val="24"/>
        </w:rPr>
        <w:t>.</w:t>
      </w:r>
    </w:p>
    <w:p w14:paraId="2858EE0B" w14:textId="77777777" w:rsidR="000475C8" w:rsidRDefault="000475C8" w:rsidP="000475C8">
      <w:pPr>
        <w:pStyle w:val="ListParagraph"/>
        <w:numPr>
          <w:ilvl w:val="0"/>
          <w:numId w:val="1"/>
        </w:numPr>
        <w:spacing w:before="120"/>
        <w:rPr>
          <w:rFonts w:ascii="Arial Narrow" w:eastAsia="Calibri" w:hAnsi="Arial Narrow"/>
          <w:szCs w:val="24"/>
        </w:rPr>
      </w:pPr>
      <w:r>
        <w:rPr>
          <w:rFonts w:ascii="Arial Narrow" w:eastAsia="Calibri" w:hAnsi="Arial Narrow"/>
          <w:szCs w:val="24"/>
        </w:rPr>
        <w:t>unintended and unforeseeable budget pressures in the state budget process</w:t>
      </w:r>
    </w:p>
    <w:p w14:paraId="76B0EBDE" w14:textId="77777777" w:rsidR="000475C8" w:rsidRDefault="000475C8" w:rsidP="000475C8">
      <w:pPr>
        <w:pStyle w:val="ListParagraph"/>
        <w:numPr>
          <w:ilvl w:val="0"/>
          <w:numId w:val="1"/>
        </w:numPr>
        <w:spacing w:before="120"/>
        <w:rPr>
          <w:rFonts w:ascii="Arial Narrow" w:eastAsia="Calibri" w:hAnsi="Arial Narrow"/>
          <w:szCs w:val="24"/>
        </w:rPr>
      </w:pPr>
      <w:r>
        <w:rPr>
          <w:rFonts w:ascii="Arial Narrow" w:eastAsia="Calibri" w:hAnsi="Arial Narrow"/>
          <w:szCs w:val="24"/>
        </w:rPr>
        <w:t>other unforeseeable circumstances (</w:t>
      </w:r>
      <w:proofErr w:type="gramStart"/>
      <w:r>
        <w:rPr>
          <w:rFonts w:ascii="Arial Narrow" w:eastAsia="Calibri" w:hAnsi="Arial Narrow"/>
          <w:szCs w:val="24"/>
        </w:rPr>
        <w:t>e.g.</w:t>
      </w:r>
      <w:proofErr w:type="gramEnd"/>
      <w:r>
        <w:rPr>
          <w:rFonts w:ascii="Arial Narrow" w:eastAsia="Calibri" w:hAnsi="Arial Narrow"/>
          <w:szCs w:val="24"/>
        </w:rPr>
        <w:t xml:space="preserve"> such as natural disasters)</w:t>
      </w:r>
    </w:p>
    <w:p w14:paraId="7C55959C" w14:textId="77777777" w:rsidR="000475C8" w:rsidRDefault="000475C8" w:rsidP="000475C8">
      <w:pPr>
        <w:pStyle w:val="ListParagraph"/>
        <w:numPr>
          <w:ilvl w:val="0"/>
          <w:numId w:val="1"/>
        </w:numPr>
        <w:spacing w:before="120"/>
        <w:rPr>
          <w:rFonts w:ascii="Arial Narrow" w:eastAsia="Calibri" w:hAnsi="Arial Narrow"/>
          <w:szCs w:val="24"/>
        </w:rPr>
      </w:pPr>
      <w:r>
        <w:rPr>
          <w:rFonts w:ascii="Arial Narrow" w:eastAsia="Calibri" w:hAnsi="Arial Narrow"/>
          <w:szCs w:val="24"/>
        </w:rPr>
        <w:t xml:space="preserve">fluctuations in enrolment numbers or student characteristics that exceed what could have been reasonably </w:t>
      </w:r>
      <w:proofErr w:type="gramStart"/>
      <w:r>
        <w:rPr>
          <w:rFonts w:ascii="Arial Narrow" w:eastAsia="Calibri" w:hAnsi="Arial Narrow"/>
          <w:szCs w:val="24"/>
        </w:rPr>
        <w:t>anticipated</w:t>
      </w:r>
      <w:proofErr w:type="gramEnd"/>
    </w:p>
    <w:p w14:paraId="7A598C83" w14:textId="77777777" w:rsidR="000475C8" w:rsidRDefault="000475C8" w:rsidP="000475C8">
      <w:pPr>
        <w:pStyle w:val="ListParagraph"/>
        <w:numPr>
          <w:ilvl w:val="0"/>
          <w:numId w:val="1"/>
        </w:numPr>
        <w:spacing w:before="120"/>
        <w:rPr>
          <w:rFonts w:ascii="Arial Narrow" w:eastAsia="Calibri" w:hAnsi="Arial Narrow"/>
          <w:szCs w:val="24"/>
        </w:rPr>
      </w:pPr>
      <w:r>
        <w:rPr>
          <w:rFonts w:ascii="Arial Narrow" w:eastAsia="Calibri" w:hAnsi="Arial Narrow"/>
          <w:szCs w:val="24"/>
        </w:rPr>
        <w:t xml:space="preserve">significant differences in funding provided to schools compared to actual school allocation or school expenditure, that is outside the control of state </w:t>
      </w:r>
      <w:proofErr w:type="gramStart"/>
      <w:r>
        <w:rPr>
          <w:rFonts w:ascii="Arial Narrow" w:eastAsia="Calibri" w:hAnsi="Arial Narrow"/>
          <w:szCs w:val="24"/>
        </w:rPr>
        <w:t>governments</w:t>
      </w:r>
      <w:proofErr w:type="gramEnd"/>
    </w:p>
    <w:p w14:paraId="58706DC2" w14:textId="77777777" w:rsidR="000475C8" w:rsidRPr="003B11BA" w:rsidRDefault="000475C8" w:rsidP="000475C8">
      <w:pPr>
        <w:pStyle w:val="ListParagraph"/>
        <w:numPr>
          <w:ilvl w:val="0"/>
          <w:numId w:val="1"/>
        </w:numPr>
        <w:spacing w:before="120"/>
        <w:rPr>
          <w:rFonts w:ascii="Arial Narrow" w:eastAsia="Calibri" w:hAnsi="Arial Narrow"/>
          <w:szCs w:val="24"/>
        </w:rPr>
      </w:pPr>
      <w:r w:rsidRPr="003B11BA">
        <w:rPr>
          <w:rFonts w:ascii="Arial Narrow" w:eastAsia="Calibri" w:hAnsi="Arial Narrow"/>
          <w:szCs w:val="24"/>
        </w:rPr>
        <w:t>financial accounting impacts (</w:t>
      </w:r>
      <w:proofErr w:type="gramStart"/>
      <w:r w:rsidRPr="003B11BA">
        <w:rPr>
          <w:rFonts w:ascii="Arial Narrow" w:eastAsia="Calibri" w:hAnsi="Arial Narrow"/>
          <w:szCs w:val="24"/>
        </w:rPr>
        <w:t>e.g.</w:t>
      </w:r>
      <w:proofErr w:type="gramEnd"/>
      <w:r w:rsidRPr="003B11BA">
        <w:rPr>
          <w:rFonts w:ascii="Arial Narrow" w:eastAsia="Calibri" w:hAnsi="Arial Narrow"/>
          <w:szCs w:val="24"/>
        </w:rPr>
        <w:t xml:space="preserve"> actuarial assessment and timing of expenditure due to reporting dates)</w:t>
      </w:r>
    </w:p>
    <w:p w14:paraId="6C2F822B" w14:textId="77777777" w:rsidR="00C1319B" w:rsidRDefault="00C1319B" w:rsidP="000475C8">
      <w:pPr>
        <w:pStyle w:val="ListParagraph"/>
        <w:numPr>
          <w:ilvl w:val="0"/>
          <w:numId w:val="1"/>
        </w:numPr>
        <w:spacing w:before="120"/>
        <w:rPr>
          <w:rFonts w:ascii="Arial Narrow" w:eastAsia="Calibri" w:hAnsi="Arial Narrow"/>
          <w:szCs w:val="24"/>
        </w:rPr>
      </w:pPr>
      <w:r>
        <w:rPr>
          <w:rFonts w:ascii="Arial Narrow" w:eastAsia="Calibri" w:hAnsi="Arial Narrow"/>
          <w:szCs w:val="24"/>
        </w:rPr>
        <w:t xml:space="preserve">mitigation or rectification processes proposed by the state or </w:t>
      </w:r>
      <w:proofErr w:type="gramStart"/>
      <w:r>
        <w:rPr>
          <w:rFonts w:ascii="Arial Narrow" w:eastAsia="Calibri" w:hAnsi="Arial Narrow"/>
          <w:szCs w:val="24"/>
        </w:rPr>
        <w:t>territory</w:t>
      </w:r>
      <w:proofErr w:type="gramEnd"/>
      <w:r>
        <w:rPr>
          <w:rFonts w:ascii="Arial Narrow" w:eastAsia="Calibri" w:hAnsi="Arial Narrow"/>
          <w:szCs w:val="24"/>
        </w:rPr>
        <w:t xml:space="preserve"> </w:t>
      </w:r>
    </w:p>
    <w:p w14:paraId="75A18B87" w14:textId="77777777" w:rsidR="000475C8" w:rsidRDefault="000475C8" w:rsidP="000475C8">
      <w:pPr>
        <w:pStyle w:val="ListParagraph"/>
        <w:numPr>
          <w:ilvl w:val="0"/>
          <w:numId w:val="1"/>
        </w:numPr>
        <w:spacing w:before="120"/>
        <w:rPr>
          <w:rFonts w:ascii="Arial Narrow" w:eastAsia="Calibri" w:hAnsi="Arial Narrow"/>
          <w:szCs w:val="24"/>
        </w:rPr>
      </w:pPr>
      <w:r w:rsidRPr="003B11BA">
        <w:rPr>
          <w:rFonts w:ascii="Arial Narrow" w:eastAsia="Calibri" w:hAnsi="Arial Narrow"/>
          <w:szCs w:val="24"/>
        </w:rPr>
        <w:t>other relevant circumstances</w:t>
      </w:r>
      <w:r>
        <w:rPr>
          <w:rFonts w:ascii="Arial Narrow" w:eastAsia="Calibri" w:hAnsi="Arial Narrow"/>
          <w:szCs w:val="24"/>
        </w:rPr>
        <w:t>, supported by data and information from the relevant jurisdiction.</w:t>
      </w:r>
    </w:p>
    <w:p w14:paraId="5172A710"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 xml:space="preserve">The Board should also have regard to the timing of state budget processes and recognise jurisdictions may set budget appropriations for schools in advance of the state funding contribution amount being finalised based on actual data for the year. </w:t>
      </w:r>
    </w:p>
    <w:p w14:paraId="367FF5BE"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The Board may make a finding of compliant</w:t>
      </w:r>
      <w:r w:rsidR="00C1319B">
        <w:rPr>
          <w:rFonts w:ascii="Arial Narrow" w:eastAsia="Calibri" w:hAnsi="Arial Narrow" w:cs="Calibri"/>
          <w:szCs w:val="24"/>
        </w:rPr>
        <w:t xml:space="preserve"> or</w:t>
      </w:r>
      <w:r>
        <w:rPr>
          <w:rFonts w:ascii="Arial Narrow" w:eastAsia="Calibri" w:hAnsi="Arial Narrow" w:cs="Calibri"/>
          <w:szCs w:val="24"/>
        </w:rPr>
        <w:t xml:space="preserve"> non-compliant</w:t>
      </w:r>
      <w:r w:rsidR="00C1319B">
        <w:rPr>
          <w:rFonts w:ascii="Arial Narrow" w:eastAsia="Calibri" w:hAnsi="Arial Narrow" w:cs="Calibri"/>
          <w:szCs w:val="24"/>
        </w:rPr>
        <w:t xml:space="preserve"> </w:t>
      </w:r>
      <w:proofErr w:type="gramStart"/>
      <w:r w:rsidR="00C1319B">
        <w:rPr>
          <w:rFonts w:ascii="Arial Narrow" w:eastAsia="Calibri" w:hAnsi="Arial Narrow" w:cs="Calibri"/>
          <w:szCs w:val="24"/>
        </w:rPr>
        <w:t>taking into account</w:t>
      </w:r>
      <w:proofErr w:type="gramEnd"/>
      <w:r w:rsidR="00C1319B">
        <w:rPr>
          <w:rFonts w:ascii="Arial Narrow" w:eastAsia="Calibri" w:hAnsi="Arial Narrow" w:cs="Calibri"/>
          <w:szCs w:val="24"/>
        </w:rPr>
        <w:t xml:space="preserve"> </w:t>
      </w:r>
      <w:r w:rsidR="00823787">
        <w:rPr>
          <w:rFonts w:ascii="Arial Narrow" w:eastAsia="Calibri" w:hAnsi="Arial Narrow" w:cs="Calibri"/>
          <w:szCs w:val="24"/>
        </w:rPr>
        <w:t xml:space="preserve">immaterial shortfalls and </w:t>
      </w:r>
      <w:r w:rsidR="00C1319B">
        <w:rPr>
          <w:rFonts w:ascii="Arial Narrow" w:eastAsia="Calibri" w:hAnsi="Arial Narrow" w:cs="Calibri"/>
          <w:szCs w:val="24"/>
        </w:rPr>
        <w:t xml:space="preserve">mitigating factors. </w:t>
      </w:r>
    </w:p>
    <w:p w14:paraId="66034733"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The Board does not have a role in providing recommendations on potential compliance action by the Minister. Under Section 110 of the Act, the Minister has discretion to determine compliance and any sanction action.</w:t>
      </w:r>
    </w:p>
    <w:p w14:paraId="26CF4CD1"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 xml:space="preserve">Consistent with the terms of reference, the Board will produce a final report containing assessments of overall compliance for each state. </w:t>
      </w:r>
    </w:p>
    <w:p w14:paraId="79C2A6DE" w14:textId="77777777" w:rsidR="000475C8" w:rsidRDefault="000475C8" w:rsidP="000475C8">
      <w:pPr>
        <w:spacing w:before="200"/>
        <w:rPr>
          <w:rFonts w:ascii="Arial Narrow" w:eastAsia="Calibri" w:hAnsi="Arial Narrow" w:cs="Calibri"/>
          <w:b/>
          <w:szCs w:val="24"/>
        </w:rPr>
      </w:pPr>
      <w:r>
        <w:rPr>
          <w:rFonts w:ascii="Arial Narrow" w:eastAsia="Calibri" w:hAnsi="Arial Narrow" w:cs="Calibri"/>
          <w:b/>
          <w:szCs w:val="24"/>
        </w:rPr>
        <w:t xml:space="preserve">Information to support the </w:t>
      </w:r>
      <w:proofErr w:type="gramStart"/>
      <w:r>
        <w:rPr>
          <w:rFonts w:ascii="Arial Narrow" w:eastAsia="Calibri" w:hAnsi="Arial Narrow" w:cs="Calibri"/>
          <w:b/>
          <w:szCs w:val="24"/>
        </w:rPr>
        <w:t>reviews</w:t>
      </w:r>
      <w:proofErr w:type="gramEnd"/>
    </w:p>
    <w:p w14:paraId="3B8894A6" w14:textId="0AD980E0"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 xml:space="preserve">The bilateral agreements require states to provide the Australian Government Department of Education with annual reports demonstrating their compliance with section 22A of the Act for a year for the government and non-government sector by </w:t>
      </w:r>
      <w:r w:rsidR="005E22D4">
        <w:rPr>
          <w:rFonts w:ascii="Arial Narrow" w:eastAsia="Calibri" w:hAnsi="Arial Narrow" w:cs="Calibri"/>
          <w:szCs w:val="24"/>
        </w:rPr>
        <w:t xml:space="preserve">30 November </w:t>
      </w:r>
      <w:r>
        <w:rPr>
          <w:rFonts w:ascii="Arial Narrow" w:eastAsia="Calibri" w:hAnsi="Arial Narrow" w:cs="Calibri"/>
          <w:szCs w:val="24"/>
        </w:rPr>
        <w:t xml:space="preserve">of the following year (unless otherwise set out in the bilateral agreement). </w:t>
      </w:r>
    </w:p>
    <w:p w14:paraId="01BB83D8"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 xml:space="preserve">States may also provide any additional information they wish to have considered in the assessment of compliance. </w:t>
      </w:r>
    </w:p>
    <w:p w14:paraId="11BD994A"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 xml:space="preserve">This information will be provided to the Board along with any additional information </w:t>
      </w:r>
      <w:r w:rsidR="00FE7E61">
        <w:rPr>
          <w:rFonts w:ascii="Arial Narrow" w:eastAsia="Calibri" w:hAnsi="Arial Narrow" w:cs="Calibri"/>
          <w:szCs w:val="24"/>
        </w:rPr>
        <w:t xml:space="preserve">on context and mitigating factors that </w:t>
      </w:r>
      <w:r>
        <w:rPr>
          <w:rFonts w:ascii="Arial Narrow" w:eastAsia="Calibri" w:hAnsi="Arial Narrow" w:cs="Calibri"/>
          <w:szCs w:val="24"/>
        </w:rPr>
        <w:t>the Board requests to support its deliberations.</w:t>
      </w:r>
    </w:p>
    <w:p w14:paraId="4BE642E9" w14:textId="77777777" w:rsidR="002F0DEE" w:rsidRDefault="002F0DEE" w:rsidP="000475C8">
      <w:pPr>
        <w:spacing w:before="200"/>
        <w:rPr>
          <w:rFonts w:ascii="Arial Narrow" w:eastAsia="Calibri" w:hAnsi="Arial Narrow" w:cs="Calibri"/>
          <w:szCs w:val="24"/>
        </w:rPr>
      </w:pPr>
    </w:p>
    <w:p w14:paraId="31AE589E" w14:textId="5531CE24" w:rsidR="000475C8" w:rsidRDefault="00A732A0" w:rsidP="000475C8">
      <w:pPr>
        <w:spacing w:before="200"/>
        <w:rPr>
          <w:rFonts w:ascii="Arial Narrow" w:eastAsia="Calibri" w:hAnsi="Arial Narrow" w:cs="Calibri"/>
          <w:szCs w:val="24"/>
        </w:rPr>
      </w:pPr>
      <w:r>
        <w:rPr>
          <w:rFonts w:ascii="Arial Narrow" w:eastAsia="Calibri" w:hAnsi="Arial Narrow" w:cs="Calibri"/>
          <w:szCs w:val="24"/>
        </w:rPr>
        <w:lastRenderedPageBreak/>
        <w:t>S</w:t>
      </w:r>
      <w:r w:rsidR="000475C8">
        <w:rPr>
          <w:rFonts w:ascii="Arial Narrow" w:eastAsia="Calibri" w:hAnsi="Arial Narrow" w:cs="Calibri"/>
          <w:szCs w:val="24"/>
        </w:rPr>
        <w:t>tates will not usually be required to report separately to the Board. If the Board seeks additional information from states, a formal request will be made by the Australian Government Department of Education, consistent with the arrangements outlined in section 65 (</w:t>
      </w:r>
      <w:proofErr w:type="gramStart"/>
      <w:r w:rsidR="000475C8">
        <w:rPr>
          <w:rFonts w:ascii="Arial Narrow" w:eastAsia="Calibri" w:hAnsi="Arial Narrow" w:cs="Calibri"/>
          <w:szCs w:val="24"/>
        </w:rPr>
        <w:t>1)(</w:t>
      </w:r>
      <w:proofErr w:type="gramEnd"/>
      <w:r w:rsidR="000475C8">
        <w:rPr>
          <w:rFonts w:ascii="Arial Narrow" w:eastAsia="Calibri" w:hAnsi="Arial Narrow" w:cs="Calibri"/>
          <w:szCs w:val="24"/>
        </w:rPr>
        <w:t>aa) of the Australian Education Regulation</w:t>
      </w:r>
      <w:r w:rsidR="00E87298">
        <w:rPr>
          <w:rFonts w:ascii="Arial Narrow" w:eastAsia="Calibri" w:hAnsi="Arial Narrow" w:cs="Calibri"/>
          <w:szCs w:val="24"/>
        </w:rPr>
        <w:t>s</w:t>
      </w:r>
      <w:r w:rsidR="000475C8">
        <w:rPr>
          <w:rFonts w:ascii="Arial Narrow" w:eastAsia="Calibri" w:hAnsi="Arial Narrow" w:cs="Calibri"/>
          <w:szCs w:val="24"/>
        </w:rPr>
        <w:t xml:space="preserve"> 20</w:t>
      </w:r>
      <w:r w:rsidR="00E87298">
        <w:rPr>
          <w:rFonts w:ascii="Arial Narrow" w:eastAsia="Calibri" w:hAnsi="Arial Narrow" w:cs="Calibri"/>
          <w:szCs w:val="24"/>
        </w:rPr>
        <w:t>23</w:t>
      </w:r>
      <w:r w:rsidR="000475C8">
        <w:rPr>
          <w:rFonts w:ascii="Arial Narrow" w:eastAsia="Calibri" w:hAnsi="Arial Narrow" w:cs="Calibri"/>
          <w:szCs w:val="24"/>
        </w:rPr>
        <w:t xml:space="preserve">. </w:t>
      </w:r>
    </w:p>
    <w:p w14:paraId="0785C296" w14:textId="77777777" w:rsidR="000475C8" w:rsidRDefault="000475C8" w:rsidP="000475C8">
      <w:pPr>
        <w:spacing w:before="200"/>
        <w:rPr>
          <w:rFonts w:ascii="Arial Narrow" w:eastAsia="Calibri" w:hAnsi="Arial Narrow"/>
          <w:b/>
          <w:sz w:val="22"/>
        </w:rPr>
      </w:pPr>
      <w:r>
        <w:rPr>
          <w:rFonts w:ascii="Arial Narrow" w:eastAsia="Calibri" w:hAnsi="Arial Narrow"/>
          <w:b/>
          <w:sz w:val="22"/>
        </w:rPr>
        <w:t xml:space="preserve">Consultation </w:t>
      </w:r>
    </w:p>
    <w:p w14:paraId="3186A3D9"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The Board will consult with states and territories in undertaking its review, including consultation with the Education Council, and may also consult with other parties as required.</w:t>
      </w:r>
    </w:p>
    <w:p w14:paraId="15488DE2" w14:textId="77777777" w:rsidR="000475C8" w:rsidRDefault="000475C8" w:rsidP="000475C8">
      <w:pPr>
        <w:spacing w:before="200"/>
        <w:rPr>
          <w:rFonts w:ascii="Arial Narrow" w:eastAsia="Calibri" w:hAnsi="Arial Narrow" w:cs="Calibri"/>
          <w:sz w:val="28"/>
          <w:szCs w:val="24"/>
        </w:rPr>
      </w:pPr>
      <w:r>
        <w:rPr>
          <w:rFonts w:ascii="Arial Narrow" w:eastAsia="Calibri" w:hAnsi="Arial Narrow"/>
        </w:rPr>
        <w:t xml:space="preserve">The Board will provide relevant sections of the draft review report to each state and territory, who will have the opportunity to provide further information for the Board’s consideration. States and territories may request that their response, if any, is included as an annexure to the final report. </w:t>
      </w:r>
    </w:p>
    <w:p w14:paraId="1B77C69C" w14:textId="77777777" w:rsidR="000475C8" w:rsidRDefault="000475C8" w:rsidP="000475C8">
      <w:pPr>
        <w:spacing w:before="200"/>
        <w:rPr>
          <w:rFonts w:ascii="Arial Narrow" w:eastAsia="Calibri" w:hAnsi="Arial Narrow" w:cs="Calibri"/>
          <w:b/>
          <w:szCs w:val="24"/>
        </w:rPr>
      </w:pPr>
      <w:r>
        <w:rPr>
          <w:rFonts w:ascii="Arial Narrow" w:eastAsia="Calibri" w:hAnsi="Arial Narrow" w:cs="Calibri"/>
          <w:b/>
          <w:szCs w:val="24"/>
        </w:rPr>
        <w:t>Timing</w:t>
      </w:r>
    </w:p>
    <w:p w14:paraId="5D0B084A" w14:textId="77777777" w:rsidR="000475C8" w:rsidRDefault="000475C8" w:rsidP="000475C8">
      <w:pPr>
        <w:spacing w:before="200"/>
        <w:rPr>
          <w:rFonts w:ascii="Arial Narrow" w:eastAsia="Calibri" w:hAnsi="Arial Narrow" w:cs="Calibri"/>
          <w:szCs w:val="24"/>
        </w:rPr>
      </w:pPr>
      <w:r>
        <w:rPr>
          <w:rFonts w:ascii="Arial Narrow" w:eastAsia="Calibri" w:hAnsi="Arial Narrow" w:cs="Calibri"/>
          <w:szCs w:val="24"/>
        </w:rPr>
        <w:t xml:space="preserve">The Board is expected to provide its final report to the Australian Government Minister for Education by April two years following the reported year. </w:t>
      </w:r>
    </w:p>
    <w:p w14:paraId="0B49F2E0" w14:textId="0FB11D10" w:rsidR="000475C8" w:rsidRPr="002C3D95" w:rsidRDefault="000475C8" w:rsidP="000475C8">
      <w:pPr>
        <w:spacing w:before="200"/>
        <w:rPr>
          <w:rFonts w:ascii="Arial Narrow" w:eastAsia="Calibri" w:hAnsi="Arial Narrow"/>
        </w:rPr>
      </w:pPr>
      <w:r w:rsidRPr="002C3D95">
        <w:rPr>
          <w:rFonts w:ascii="Arial Narrow" w:eastAsia="Calibri" w:hAnsi="Arial Narrow"/>
        </w:rPr>
        <w:t xml:space="preserve">The Minister will invite the Chair of </w:t>
      </w:r>
      <w:r>
        <w:rPr>
          <w:rFonts w:ascii="Arial Narrow" w:eastAsia="Calibri" w:hAnsi="Arial Narrow"/>
        </w:rPr>
        <w:t xml:space="preserve">the </w:t>
      </w:r>
      <w:r w:rsidRPr="002C3D95">
        <w:rPr>
          <w:rFonts w:ascii="Arial Narrow" w:eastAsia="Calibri" w:hAnsi="Arial Narrow"/>
        </w:rPr>
        <w:t>Board to present the report to the Education Council.</w:t>
      </w:r>
    </w:p>
    <w:p w14:paraId="2EF735BF" w14:textId="77777777" w:rsidR="006F49CB" w:rsidRDefault="006F49CB"/>
    <w:sectPr w:rsidR="006F49C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076A" w14:textId="77777777" w:rsidR="004C6AB8" w:rsidRDefault="004C6AB8" w:rsidP="00D40B73">
      <w:r>
        <w:separator/>
      </w:r>
    </w:p>
  </w:endnote>
  <w:endnote w:type="continuationSeparator" w:id="0">
    <w:p w14:paraId="40A6DE85" w14:textId="77777777" w:rsidR="004C6AB8" w:rsidRDefault="004C6AB8" w:rsidP="00D4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34180"/>
      <w:docPartObj>
        <w:docPartGallery w:val="Page Numbers (Bottom of Page)"/>
        <w:docPartUnique/>
      </w:docPartObj>
    </w:sdtPr>
    <w:sdtEndPr/>
    <w:sdtContent>
      <w:sdt>
        <w:sdtPr>
          <w:id w:val="1728636285"/>
          <w:docPartObj>
            <w:docPartGallery w:val="Page Numbers (Top of Page)"/>
            <w:docPartUnique/>
          </w:docPartObj>
        </w:sdtPr>
        <w:sdtEndPr/>
        <w:sdtContent>
          <w:p w14:paraId="11318B73" w14:textId="537DD577" w:rsidR="002F0DEE" w:rsidRDefault="002F0DEE">
            <w:pPr>
              <w:pStyle w:val="Footer"/>
              <w:jc w:val="center"/>
            </w:pPr>
            <w:r w:rsidRPr="002F0DEE">
              <w:rPr>
                <w:rFonts w:ascii="Arial Narrow" w:hAnsi="Arial Narrow"/>
              </w:rPr>
              <w:t xml:space="preserve">Page </w:t>
            </w:r>
            <w:r w:rsidRPr="002F0DEE">
              <w:rPr>
                <w:rFonts w:ascii="Arial Narrow" w:hAnsi="Arial Narrow"/>
                <w:b/>
                <w:bCs/>
                <w:szCs w:val="24"/>
              </w:rPr>
              <w:fldChar w:fldCharType="begin"/>
            </w:r>
            <w:r w:rsidRPr="002F0DEE">
              <w:rPr>
                <w:rFonts w:ascii="Arial Narrow" w:hAnsi="Arial Narrow"/>
                <w:b/>
                <w:bCs/>
              </w:rPr>
              <w:instrText xml:space="preserve"> PAGE </w:instrText>
            </w:r>
            <w:r w:rsidRPr="002F0DEE">
              <w:rPr>
                <w:rFonts w:ascii="Arial Narrow" w:hAnsi="Arial Narrow"/>
                <w:b/>
                <w:bCs/>
                <w:szCs w:val="24"/>
              </w:rPr>
              <w:fldChar w:fldCharType="separate"/>
            </w:r>
            <w:r w:rsidR="00847923">
              <w:rPr>
                <w:rFonts w:ascii="Arial Narrow" w:hAnsi="Arial Narrow"/>
                <w:b/>
                <w:bCs/>
                <w:noProof/>
              </w:rPr>
              <w:t>3</w:t>
            </w:r>
            <w:r w:rsidRPr="002F0DEE">
              <w:rPr>
                <w:rFonts w:ascii="Arial Narrow" w:hAnsi="Arial Narrow"/>
                <w:b/>
                <w:bCs/>
                <w:szCs w:val="24"/>
              </w:rPr>
              <w:fldChar w:fldCharType="end"/>
            </w:r>
            <w:r w:rsidRPr="002F0DEE">
              <w:rPr>
                <w:rFonts w:ascii="Arial Narrow" w:hAnsi="Arial Narrow"/>
              </w:rPr>
              <w:t xml:space="preserve"> of </w:t>
            </w:r>
            <w:r w:rsidRPr="002F0DEE">
              <w:rPr>
                <w:rFonts w:ascii="Arial Narrow" w:hAnsi="Arial Narrow"/>
                <w:b/>
                <w:bCs/>
                <w:szCs w:val="24"/>
              </w:rPr>
              <w:fldChar w:fldCharType="begin"/>
            </w:r>
            <w:r w:rsidRPr="002F0DEE">
              <w:rPr>
                <w:rFonts w:ascii="Arial Narrow" w:hAnsi="Arial Narrow"/>
                <w:b/>
                <w:bCs/>
              </w:rPr>
              <w:instrText xml:space="preserve"> NUMPAGES  </w:instrText>
            </w:r>
            <w:r w:rsidRPr="002F0DEE">
              <w:rPr>
                <w:rFonts w:ascii="Arial Narrow" w:hAnsi="Arial Narrow"/>
                <w:b/>
                <w:bCs/>
                <w:szCs w:val="24"/>
              </w:rPr>
              <w:fldChar w:fldCharType="separate"/>
            </w:r>
            <w:r w:rsidR="00847923">
              <w:rPr>
                <w:rFonts w:ascii="Arial Narrow" w:hAnsi="Arial Narrow"/>
                <w:b/>
                <w:bCs/>
                <w:noProof/>
              </w:rPr>
              <w:t>3</w:t>
            </w:r>
            <w:r w:rsidRPr="002F0DEE">
              <w:rPr>
                <w:rFonts w:ascii="Arial Narrow" w:hAnsi="Arial Narrow"/>
                <w:b/>
                <w:bCs/>
                <w:szCs w:val="24"/>
              </w:rPr>
              <w:fldChar w:fldCharType="end"/>
            </w:r>
          </w:p>
        </w:sdtContent>
      </w:sdt>
    </w:sdtContent>
  </w:sdt>
  <w:p w14:paraId="3C645B07" w14:textId="77777777" w:rsidR="002F0DEE" w:rsidRDefault="002F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17E7" w14:textId="77777777" w:rsidR="004C6AB8" w:rsidRDefault="004C6AB8" w:rsidP="00D40B73">
      <w:r>
        <w:separator/>
      </w:r>
    </w:p>
  </w:footnote>
  <w:footnote w:type="continuationSeparator" w:id="0">
    <w:p w14:paraId="22E6B0CB" w14:textId="77777777" w:rsidR="004C6AB8" w:rsidRDefault="004C6AB8" w:rsidP="00D4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44D" w14:textId="4852D0B2" w:rsidR="00A24B67" w:rsidRDefault="00A24B67">
    <w:pPr>
      <w:pStyle w:val="Header"/>
    </w:pPr>
    <w:r>
      <w:rPr>
        <w:noProof/>
        <w:lang w:eastAsia="en-AU"/>
      </w:rPr>
      <w:drawing>
        <wp:anchor distT="0" distB="0" distL="114300" distR="114300" simplePos="0" relativeHeight="251659264" behindDoc="1" locked="0" layoutInCell="1" allowOverlap="1" wp14:anchorId="2C1D2916" wp14:editId="48625455">
          <wp:simplePos x="0" y="0"/>
          <wp:positionH relativeFrom="page">
            <wp:align>right</wp:align>
          </wp:positionH>
          <wp:positionV relativeFrom="paragraph">
            <wp:posOffset>-448310</wp:posOffset>
          </wp:positionV>
          <wp:extent cx="7736205" cy="11766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11766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82A6" w14:textId="580FA650" w:rsidR="00A24B67" w:rsidRDefault="00A24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0BDC"/>
    <w:multiLevelType w:val="hybridMultilevel"/>
    <w:tmpl w:val="2B327004"/>
    <w:lvl w:ilvl="0" w:tplc="98F0D548">
      <w:start w:val="1"/>
      <w:numFmt w:val="decimal"/>
      <w:lvlText w:val="%1."/>
      <w:lvlJc w:val="left"/>
      <w:pPr>
        <w:ind w:left="765" w:hanging="360"/>
      </w:pPr>
    </w:lvl>
    <w:lvl w:ilvl="1" w:tplc="CCA8BCCE">
      <w:start w:val="1"/>
      <w:numFmt w:val="lowerLetter"/>
      <w:lvlText w:val="%2."/>
      <w:lvlJc w:val="left"/>
      <w:pPr>
        <w:ind w:left="1485" w:hanging="360"/>
      </w:pPr>
    </w:lvl>
    <w:lvl w:ilvl="2" w:tplc="C7F44E3A">
      <w:start w:val="1"/>
      <w:numFmt w:val="lowerRoman"/>
      <w:lvlText w:val="%3."/>
      <w:lvlJc w:val="right"/>
      <w:pPr>
        <w:ind w:left="2205" w:hanging="180"/>
      </w:pPr>
    </w:lvl>
    <w:lvl w:ilvl="3" w:tplc="5C161558">
      <w:start w:val="1"/>
      <w:numFmt w:val="decimal"/>
      <w:lvlText w:val="%4."/>
      <w:lvlJc w:val="left"/>
      <w:pPr>
        <w:ind w:left="2925" w:hanging="360"/>
      </w:pPr>
    </w:lvl>
    <w:lvl w:ilvl="4" w:tplc="479EE8D2">
      <w:start w:val="1"/>
      <w:numFmt w:val="lowerLetter"/>
      <w:lvlText w:val="%5."/>
      <w:lvlJc w:val="left"/>
      <w:pPr>
        <w:ind w:left="3645" w:hanging="360"/>
      </w:pPr>
    </w:lvl>
    <w:lvl w:ilvl="5" w:tplc="7CD68FF0">
      <w:start w:val="1"/>
      <w:numFmt w:val="lowerRoman"/>
      <w:lvlText w:val="%6."/>
      <w:lvlJc w:val="right"/>
      <w:pPr>
        <w:ind w:left="4365" w:hanging="180"/>
      </w:pPr>
    </w:lvl>
    <w:lvl w:ilvl="6" w:tplc="6BAAE044">
      <w:start w:val="1"/>
      <w:numFmt w:val="decimal"/>
      <w:lvlText w:val="%7."/>
      <w:lvlJc w:val="left"/>
      <w:pPr>
        <w:ind w:left="5085" w:hanging="360"/>
      </w:pPr>
    </w:lvl>
    <w:lvl w:ilvl="7" w:tplc="3A2AB1C8">
      <w:start w:val="1"/>
      <w:numFmt w:val="lowerLetter"/>
      <w:lvlText w:val="%8."/>
      <w:lvlJc w:val="left"/>
      <w:pPr>
        <w:ind w:left="5805" w:hanging="360"/>
      </w:pPr>
    </w:lvl>
    <w:lvl w:ilvl="8" w:tplc="B5CCEB82">
      <w:start w:val="1"/>
      <w:numFmt w:val="lowerRoman"/>
      <w:lvlText w:val="%9."/>
      <w:lvlJc w:val="right"/>
      <w:pPr>
        <w:ind w:left="6525" w:hanging="180"/>
      </w:pPr>
    </w:lvl>
  </w:abstractNum>
  <w:abstractNum w:abstractNumId="1" w15:restartNumberingAfterBreak="0">
    <w:nsid w:val="36DA074F"/>
    <w:multiLevelType w:val="hybridMultilevel"/>
    <w:tmpl w:val="1910EF40"/>
    <w:lvl w:ilvl="0" w:tplc="6B6C69A2">
      <w:start w:val="1"/>
      <w:numFmt w:val="bullet"/>
      <w:lvlText w:val=""/>
      <w:lvlJc w:val="left"/>
      <w:pPr>
        <w:ind w:left="720" w:hanging="360"/>
      </w:pPr>
      <w:rPr>
        <w:rFonts w:ascii="Symbol" w:hAnsi="Symbol" w:hint="default"/>
      </w:rPr>
    </w:lvl>
    <w:lvl w:ilvl="1" w:tplc="EAAC6442">
      <w:start w:val="1"/>
      <w:numFmt w:val="bullet"/>
      <w:lvlText w:val="o"/>
      <w:lvlJc w:val="left"/>
      <w:pPr>
        <w:ind w:left="1440" w:hanging="360"/>
      </w:pPr>
      <w:rPr>
        <w:rFonts w:ascii="Courier New" w:hAnsi="Courier New" w:cs="Courier New" w:hint="default"/>
      </w:rPr>
    </w:lvl>
    <w:lvl w:ilvl="2" w:tplc="9EE2E688">
      <w:start w:val="1"/>
      <w:numFmt w:val="bullet"/>
      <w:lvlText w:val=""/>
      <w:lvlJc w:val="left"/>
      <w:pPr>
        <w:ind w:left="2160" w:hanging="360"/>
      </w:pPr>
      <w:rPr>
        <w:rFonts w:ascii="Wingdings" w:hAnsi="Wingdings" w:hint="default"/>
      </w:rPr>
    </w:lvl>
    <w:lvl w:ilvl="3" w:tplc="8F9E0C30">
      <w:start w:val="1"/>
      <w:numFmt w:val="bullet"/>
      <w:lvlText w:val=""/>
      <w:lvlJc w:val="left"/>
      <w:pPr>
        <w:ind w:left="2880" w:hanging="360"/>
      </w:pPr>
      <w:rPr>
        <w:rFonts w:ascii="Symbol" w:hAnsi="Symbol" w:hint="default"/>
      </w:rPr>
    </w:lvl>
    <w:lvl w:ilvl="4" w:tplc="D1E24DF2">
      <w:start w:val="1"/>
      <w:numFmt w:val="bullet"/>
      <w:lvlText w:val="o"/>
      <w:lvlJc w:val="left"/>
      <w:pPr>
        <w:ind w:left="3600" w:hanging="360"/>
      </w:pPr>
      <w:rPr>
        <w:rFonts w:ascii="Courier New" w:hAnsi="Courier New" w:cs="Courier New" w:hint="default"/>
      </w:rPr>
    </w:lvl>
    <w:lvl w:ilvl="5" w:tplc="8CA4F8DC">
      <w:start w:val="1"/>
      <w:numFmt w:val="bullet"/>
      <w:lvlText w:val=""/>
      <w:lvlJc w:val="left"/>
      <w:pPr>
        <w:ind w:left="4320" w:hanging="360"/>
      </w:pPr>
      <w:rPr>
        <w:rFonts w:ascii="Wingdings" w:hAnsi="Wingdings" w:hint="default"/>
      </w:rPr>
    </w:lvl>
    <w:lvl w:ilvl="6" w:tplc="C0EA7484">
      <w:start w:val="1"/>
      <w:numFmt w:val="bullet"/>
      <w:lvlText w:val=""/>
      <w:lvlJc w:val="left"/>
      <w:pPr>
        <w:ind w:left="5040" w:hanging="360"/>
      </w:pPr>
      <w:rPr>
        <w:rFonts w:ascii="Symbol" w:hAnsi="Symbol" w:hint="default"/>
      </w:rPr>
    </w:lvl>
    <w:lvl w:ilvl="7" w:tplc="78000EA0">
      <w:start w:val="1"/>
      <w:numFmt w:val="bullet"/>
      <w:lvlText w:val="o"/>
      <w:lvlJc w:val="left"/>
      <w:pPr>
        <w:ind w:left="5760" w:hanging="360"/>
      </w:pPr>
      <w:rPr>
        <w:rFonts w:ascii="Courier New" w:hAnsi="Courier New" w:cs="Courier New" w:hint="default"/>
      </w:rPr>
    </w:lvl>
    <w:lvl w:ilvl="8" w:tplc="4ECEC50A">
      <w:start w:val="1"/>
      <w:numFmt w:val="bullet"/>
      <w:lvlText w:val=""/>
      <w:lvlJc w:val="left"/>
      <w:pPr>
        <w:ind w:left="6480" w:hanging="360"/>
      </w:pPr>
      <w:rPr>
        <w:rFonts w:ascii="Wingdings" w:hAnsi="Wingdings" w:hint="default"/>
      </w:rPr>
    </w:lvl>
  </w:abstractNum>
  <w:abstractNum w:abstractNumId="2" w15:restartNumberingAfterBreak="0">
    <w:nsid w:val="688B67AE"/>
    <w:multiLevelType w:val="hybridMultilevel"/>
    <w:tmpl w:val="9446D38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701513911">
    <w:abstractNumId w:val="1"/>
  </w:num>
  <w:num w:numId="2" w16cid:durableId="667488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53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C8"/>
    <w:rsid w:val="0002414D"/>
    <w:rsid w:val="000475C8"/>
    <w:rsid w:val="00101E4A"/>
    <w:rsid w:val="001C28A4"/>
    <w:rsid w:val="001E2EB1"/>
    <w:rsid w:val="001F6E8A"/>
    <w:rsid w:val="00274262"/>
    <w:rsid w:val="002C0E7E"/>
    <w:rsid w:val="002D5912"/>
    <w:rsid w:val="002E3E39"/>
    <w:rsid w:val="002E71B7"/>
    <w:rsid w:val="002F0DEE"/>
    <w:rsid w:val="0037386E"/>
    <w:rsid w:val="004B42B1"/>
    <w:rsid w:val="004C6AB8"/>
    <w:rsid w:val="0050711E"/>
    <w:rsid w:val="005411AA"/>
    <w:rsid w:val="005E22D4"/>
    <w:rsid w:val="005F0E4F"/>
    <w:rsid w:val="00655253"/>
    <w:rsid w:val="006806BF"/>
    <w:rsid w:val="006C10A5"/>
    <w:rsid w:val="006D4A6F"/>
    <w:rsid w:val="006F4991"/>
    <w:rsid w:val="006F49CB"/>
    <w:rsid w:val="00752AA2"/>
    <w:rsid w:val="007B6492"/>
    <w:rsid w:val="00806204"/>
    <w:rsid w:val="00806265"/>
    <w:rsid w:val="0081509E"/>
    <w:rsid w:val="00823787"/>
    <w:rsid w:val="00847923"/>
    <w:rsid w:val="009A4992"/>
    <w:rsid w:val="009D299D"/>
    <w:rsid w:val="00A16D9A"/>
    <w:rsid w:val="00A238B3"/>
    <w:rsid w:val="00A24B67"/>
    <w:rsid w:val="00A60070"/>
    <w:rsid w:val="00A732A0"/>
    <w:rsid w:val="00A75186"/>
    <w:rsid w:val="00B12E63"/>
    <w:rsid w:val="00B56A71"/>
    <w:rsid w:val="00BA48B9"/>
    <w:rsid w:val="00BE1DB2"/>
    <w:rsid w:val="00C1319B"/>
    <w:rsid w:val="00CB0A99"/>
    <w:rsid w:val="00D22890"/>
    <w:rsid w:val="00D40B73"/>
    <w:rsid w:val="00D50462"/>
    <w:rsid w:val="00E175A2"/>
    <w:rsid w:val="00E87298"/>
    <w:rsid w:val="00ED3A1F"/>
    <w:rsid w:val="00F02DDE"/>
    <w:rsid w:val="00F06FEC"/>
    <w:rsid w:val="00F22B8B"/>
    <w:rsid w:val="00F568A6"/>
    <w:rsid w:val="00F673A4"/>
    <w:rsid w:val="00FB0A77"/>
    <w:rsid w:val="00FB6A07"/>
    <w:rsid w:val="00FD57E2"/>
    <w:rsid w:val="00FE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0C883"/>
  <w15:chartTrackingRefBased/>
  <w15:docId w15:val="{54120CB2-35F9-4FEF-A3E4-C047FB29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75C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0475C8"/>
    <w:pPr>
      <w:ind w:left="720"/>
      <w:contextualSpacing/>
    </w:p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0475C8"/>
    <w:rPr>
      <w:rFonts w:ascii="Times New Roman" w:eastAsia="Times New Roman" w:hAnsi="Times New Roman" w:cs="Times New Roman"/>
      <w:sz w:val="24"/>
      <w:szCs w:val="20"/>
    </w:rPr>
  </w:style>
  <w:style w:type="paragraph" w:customStyle="1" w:styleId="heading-allcaps">
    <w:name w:val="heading-all caps"/>
    <w:aliases w:val="hc"/>
    <w:basedOn w:val="Normal"/>
    <w:next w:val="Normal"/>
    <w:rsid w:val="000475C8"/>
    <w:pPr>
      <w:keepNext/>
      <w:tabs>
        <w:tab w:val="left" w:pos="851"/>
      </w:tabs>
      <w:spacing w:before="120" w:after="240"/>
      <w:ind w:left="1701" w:hanging="1701"/>
      <w:jc w:val="center"/>
    </w:pPr>
    <w:rPr>
      <w:rFonts w:ascii="Arial" w:hAnsi="Arial"/>
      <w:b/>
      <w:caps/>
    </w:rPr>
  </w:style>
  <w:style w:type="character" w:styleId="CommentReference">
    <w:name w:val="annotation reference"/>
    <w:basedOn w:val="DefaultParagraphFont"/>
    <w:uiPriority w:val="99"/>
    <w:semiHidden/>
    <w:unhideWhenUsed/>
    <w:rsid w:val="00C1319B"/>
    <w:rPr>
      <w:sz w:val="16"/>
      <w:szCs w:val="16"/>
    </w:rPr>
  </w:style>
  <w:style w:type="paragraph" w:styleId="CommentText">
    <w:name w:val="annotation text"/>
    <w:basedOn w:val="Normal"/>
    <w:link w:val="CommentTextChar"/>
    <w:uiPriority w:val="99"/>
    <w:unhideWhenUsed/>
    <w:rsid w:val="00C1319B"/>
    <w:rPr>
      <w:sz w:val="20"/>
    </w:rPr>
  </w:style>
  <w:style w:type="character" w:customStyle="1" w:styleId="CommentTextChar">
    <w:name w:val="Comment Text Char"/>
    <w:basedOn w:val="DefaultParagraphFont"/>
    <w:link w:val="CommentText"/>
    <w:uiPriority w:val="99"/>
    <w:rsid w:val="00C131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319B"/>
    <w:rPr>
      <w:b/>
      <w:bCs/>
    </w:rPr>
  </w:style>
  <w:style w:type="character" w:customStyle="1" w:styleId="CommentSubjectChar">
    <w:name w:val="Comment Subject Char"/>
    <w:basedOn w:val="CommentTextChar"/>
    <w:link w:val="CommentSubject"/>
    <w:uiPriority w:val="99"/>
    <w:semiHidden/>
    <w:rsid w:val="00C131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19B"/>
    <w:rPr>
      <w:rFonts w:ascii="Segoe UI" w:eastAsia="Times New Roman" w:hAnsi="Segoe UI" w:cs="Segoe UI"/>
      <w:sz w:val="18"/>
      <w:szCs w:val="18"/>
    </w:rPr>
  </w:style>
  <w:style w:type="paragraph" w:styleId="Header">
    <w:name w:val="header"/>
    <w:basedOn w:val="Normal"/>
    <w:link w:val="HeaderChar"/>
    <w:uiPriority w:val="99"/>
    <w:unhideWhenUsed/>
    <w:rsid w:val="00D40B73"/>
    <w:pPr>
      <w:tabs>
        <w:tab w:val="center" w:pos="4513"/>
        <w:tab w:val="right" w:pos="9026"/>
      </w:tabs>
    </w:pPr>
  </w:style>
  <w:style w:type="character" w:customStyle="1" w:styleId="HeaderChar">
    <w:name w:val="Header Char"/>
    <w:basedOn w:val="DefaultParagraphFont"/>
    <w:link w:val="Header"/>
    <w:uiPriority w:val="99"/>
    <w:rsid w:val="00D40B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40B73"/>
    <w:pPr>
      <w:tabs>
        <w:tab w:val="center" w:pos="4513"/>
        <w:tab w:val="right" w:pos="9026"/>
      </w:tabs>
    </w:pPr>
  </w:style>
  <w:style w:type="character" w:customStyle="1" w:styleId="FooterChar">
    <w:name w:val="Footer Char"/>
    <w:basedOn w:val="DefaultParagraphFont"/>
    <w:link w:val="Footer"/>
    <w:uiPriority w:val="99"/>
    <w:rsid w:val="00D40B73"/>
    <w:rPr>
      <w:rFonts w:ascii="Times New Roman" w:eastAsia="Times New Roman" w:hAnsi="Times New Roman" w:cs="Times New Roman"/>
      <w:sz w:val="24"/>
      <w:szCs w:val="20"/>
    </w:rPr>
  </w:style>
  <w:style w:type="paragraph" w:styleId="Revision">
    <w:name w:val="Revision"/>
    <w:hidden/>
    <w:uiPriority w:val="99"/>
    <w:semiHidden/>
    <w:rsid w:val="006806B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FDFF6-59BE-41CF-9BDC-A85699EA3209}">
  <ds:schemaRefs>
    <ds:schemaRef ds:uri="http://schemas.microsoft.com/sharepoint/v3/contenttype/forms"/>
  </ds:schemaRefs>
</ds:datastoreItem>
</file>

<file path=customXml/itemProps2.xml><?xml version="1.0" encoding="utf-8"?>
<ds:datastoreItem xmlns:ds="http://schemas.openxmlformats.org/officeDocument/2006/customXml" ds:itemID="{3E7F4D04-9F3C-4308-9FA8-99D678FB9D59}">
  <ds:schemaRefs>
    <ds:schemaRef ds:uri="http://schemas.openxmlformats.org/officeDocument/2006/bibliography"/>
  </ds:schemaRefs>
</ds:datastoreItem>
</file>

<file path=customXml/itemProps3.xml><?xml version="1.0" encoding="utf-8"?>
<ds:datastoreItem xmlns:ds="http://schemas.openxmlformats.org/officeDocument/2006/customXml" ds:itemID="{355707BA-AD85-48CA-9048-E48BA4C1A122}">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98DC259-F43D-4156-8F26-44EBBEFE304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2AF17D-D487-4134-8D21-93EF608B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5738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AGUIRRE,Kathleen</dc:creator>
  <cp:keywords/>
  <dc:description/>
  <cp:lastModifiedBy>PAN,Wendy</cp:lastModifiedBy>
  <cp:revision>2</cp:revision>
  <cp:lastPrinted>2019-10-23T22:46:00Z</cp:lastPrinted>
  <dcterms:created xsi:type="dcterms:W3CDTF">2023-10-26T01:18:00Z</dcterms:created>
  <dcterms:modified xsi:type="dcterms:W3CDTF">2023-10-26T01:18:00Z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0x010100266966F133664895A6EE3632470D45F500090E2534C65B5C4F90F8B0C0619646BC</vt:lpwstr>
  </property>
  <property fmtid="{D5CDD505-2E9C-101B-9397-08002B2CF9AE}" pid="3" name="MSIP_Label_79d889eb-932f-4752-8739-64d25806ef64_Enabled">
    <vt:lpwstr>true</vt:lpwstr>
  </property>
  <property fmtid="{D5CDD505-2E9C-101B-9397-08002B2CF9AE}" pid="4" name="MSIP_Label_79d889eb-932f-4752-8739-64d25806ef64_SetDate">
    <vt:lpwstr>2023-10-05T04:02:56Z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6d80649a-64ec-4c3b-82c5-c457e7ccd8bc</vt:lpwstr>
  </property>
  <property fmtid="{D5CDD505-2E9C-101B-9397-08002B2CF9AE}" pid="9" name="MSIP_Label_79d889eb-932f-4752-8739-64d25806ef64_ContentBits">
    <vt:lpwstr>0</vt:lpwstr>
  </property>
</Properties>
</file>