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0302" w14:textId="463BE272" w:rsidR="00EB7B6B" w:rsidRDefault="004B7C6D" w:rsidP="00EB7B6B">
      <w:pPr>
        <w:pStyle w:val="NoSpacing"/>
        <w:spacing w:before="0"/>
        <w:ind w:left="-1134"/>
        <w:sectPr w:rsidR="00EB7B6B" w:rsidSect="007930A6">
          <w:headerReference w:type="even" r:id="rId11"/>
          <w:headerReference w:type="default" r:id="rId12"/>
          <w:footerReference w:type="even" r:id="rId13"/>
          <w:footerReference w:type="default" r:id="rId14"/>
          <w:headerReference w:type="first" r:id="rId15"/>
          <w:footerReference w:type="first" r:id="rId16"/>
          <w:pgSz w:w="11906" w:h="16838"/>
          <w:pgMar w:top="0" w:right="1134" w:bottom="1134" w:left="1134" w:header="0" w:footer="567" w:gutter="0"/>
          <w:cols w:space="708"/>
          <w:titlePg/>
          <w:docGrid w:linePitch="360"/>
        </w:sectPr>
      </w:pPr>
      <w:r>
        <w:rPr>
          <w:noProof/>
          <w:lang w:eastAsia="en-AU"/>
        </w:rPr>
        <w:drawing>
          <wp:anchor distT="0" distB="0" distL="114300" distR="114300" simplePos="0" relativeHeight="251658752" behindDoc="1" locked="1" layoutInCell="1" allowOverlap="1" wp14:anchorId="0B14B37E" wp14:editId="00DB8F54">
            <wp:simplePos x="0" y="0"/>
            <wp:positionH relativeFrom="page">
              <wp:align>left</wp:align>
            </wp:positionH>
            <wp:positionV relativeFrom="margin">
              <wp:align>top</wp:align>
            </wp:positionV>
            <wp:extent cx="7543800" cy="2306955"/>
            <wp:effectExtent l="0" t="0" r="0" b="0"/>
            <wp:wrapNone/>
            <wp:docPr id="3" name="Picture 3"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43800" cy="2306955"/>
                    </a:xfrm>
                    <a:prstGeom prst="rect">
                      <a:avLst/>
                    </a:prstGeom>
                  </pic:spPr>
                </pic:pic>
              </a:graphicData>
            </a:graphic>
            <wp14:sizeRelH relativeFrom="margin">
              <wp14:pctWidth>0</wp14:pctWidth>
            </wp14:sizeRelH>
            <wp14:sizeRelV relativeFrom="margin">
              <wp14:pctHeight>0</wp14:pctHeight>
            </wp14:sizeRelV>
          </wp:anchor>
        </w:drawing>
      </w:r>
    </w:p>
    <w:p w14:paraId="4BE2CAD5" w14:textId="77777777" w:rsidR="007930A6" w:rsidRDefault="007930A6" w:rsidP="00AA15F2">
      <w:pPr>
        <w:pStyle w:val="Title"/>
        <w:spacing w:before="120"/>
        <w:ind w:right="-23"/>
        <w:rPr>
          <w:rFonts w:cs="Calibri"/>
        </w:rPr>
      </w:pPr>
      <w:bookmarkStart w:id="0" w:name="_GoBack"/>
    </w:p>
    <w:p w14:paraId="76B6A95E" w14:textId="77777777" w:rsidR="007930A6" w:rsidRDefault="007930A6" w:rsidP="00AA15F2">
      <w:pPr>
        <w:pStyle w:val="Title"/>
        <w:spacing w:before="120"/>
        <w:ind w:right="-23"/>
        <w:rPr>
          <w:rFonts w:cs="Calibri"/>
        </w:rPr>
      </w:pPr>
    </w:p>
    <w:p w14:paraId="62B29158" w14:textId="77777777" w:rsidR="007930A6" w:rsidRDefault="007930A6" w:rsidP="00AA15F2">
      <w:pPr>
        <w:pStyle w:val="Title"/>
        <w:spacing w:before="120"/>
        <w:ind w:right="-23"/>
        <w:rPr>
          <w:rFonts w:cs="Calibri"/>
        </w:rPr>
      </w:pPr>
    </w:p>
    <w:p w14:paraId="2A3F5418" w14:textId="77777777" w:rsidR="007930A6" w:rsidRDefault="007930A6" w:rsidP="00AA15F2">
      <w:pPr>
        <w:pStyle w:val="Title"/>
        <w:spacing w:before="120"/>
        <w:ind w:right="-23"/>
        <w:rPr>
          <w:rFonts w:cs="Calibri"/>
        </w:rPr>
      </w:pPr>
    </w:p>
    <w:bookmarkEnd w:id="0" w:displacedByCustomXml="next"/>
    <w:sdt>
      <w:sdtPr>
        <w:rPr>
          <w:rFonts w:cs="Calibri"/>
        </w:rPr>
        <w:alias w:val="Title"/>
        <w:tag w:val=""/>
        <w:id w:val="-19171197"/>
        <w:placeholder>
          <w:docPart w:val="5885BB0FF17440BC9E9237FEC82FA546"/>
        </w:placeholder>
        <w:dataBinding w:prefixMappings="xmlns:ns0='http://purl.org/dc/elements/1.1/' xmlns:ns1='http://schemas.openxmlformats.org/package/2006/metadata/core-properties' " w:xpath="/ns1:coreProperties[1]/ns0:title[1]" w:storeItemID="{6C3C8BC8-F283-45AE-878A-BAB7291924A1}"/>
        <w:text/>
      </w:sdtPr>
      <w:sdtEndPr/>
      <w:sdtContent>
        <w:p w14:paraId="4EC42FC7" w14:textId="6B36A405" w:rsidR="00EB7B6B" w:rsidRPr="00D27C2D" w:rsidRDefault="00AC1E6A" w:rsidP="001D6DC5">
          <w:pPr>
            <w:pStyle w:val="Title"/>
            <w:spacing w:before="240"/>
            <w:ind w:right="-23"/>
          </w:pPr>
          <w:r w:rsidRPr="003311FD">
            <w:rPr>
              <w:rFonts w:cs="Calibri"/>
            </w:rPr>
            <w:t xml:space="preserve">Direct </w:t>
          </w:r>
          <w:r>
            <w:rPr>
              <w:rFonts w:cs="Calibri"/>
            </w:rPr>
            <w:t xml:space="preserve">Income </w:t>
          </w:r>
          <w:r w:rsidRPr="003311FD">
            <w:rPr>
              <w:rFonts w:cs="Calibri"/>
            </w:rPr>
            <w:t xml:space="preserve">Measure of Capacity to Contribute </w:t>
          </w:r>
          <w:r>
            <w:rPr>
              <w:rFonts w:cs="Calibri"/>
            </w:rPr>
            <w:t xml:space="preserve">Technical </w:t>
          </w:r>
          <w:r w:rsidRPr="003311FD">
            <w:rPr>
              <w:rFonts w:cs="Calibri"/>
            </w:rPr>
            <w:t>Working Group</w:t>
          </w:r>
        </w:p>
      </w:sdtContent>
    </w:sdt>
    <w:p w14:paraId="5769CD24" w14:textId="00817D16" w:rsidR="0003327F" w:rsidRDefault="006E0D7A" w:rsidP="006E0D7A">
      <w:r>
        <w:t xml:space="preserve">The </w:t>
      </w:r>
      <w:r w:rsidR="00650756">
        <w:t>Department</w:t>
      </w:r>
      <w:r>
        <w:t xml:space="preserve"> of Education </w:t>
      </w:r>
      <w:r w:rsidR="0074728D">
        <w:t xml:space="preserve">has </w:t>
      </w:r>
      <w:r>
        <w:t xml:space="preserve">established the </w:t>
      </w:r>
      <w:r w:rsidR="00AC5096">
        <w:t xml:space="preserve">Technical </w:t>
      </w:r>
      <w:r>
        <w:t xml:space="preserve">Working Group to undertake further work on the implementation of the direct </w:t>
      </w:r>
      <w:r w:rsidR="00C33F68">
        <w:t xml:space="preserve">income </w:t>
      </w:r>
      <w:r>
        <w:t xml:space="preserve">measure of capacity </w:t>
      </w:r>
      <w:r w:rsidR="0074728D">
        <w:t xml:space="preserve">of a school community </w:t>
      </w:r>
      <w:r>
        <w:t>to contribute</w:t>
      </w:r>
      <w:r w:rsidR="0074728D">
        <w:t xml:space="preserve"> to the cost of schooling</w:t>
      </w:r>
      <w:r>
        <w:t xml:space="preserve">. The </w:t>
      </w:r>
      <w:r w:rsidR="003F399F">
        <w:t xml:space="preserve">Technical </w:t>
      </w:r>
      <w:r>
        <w:t xml:space="preserve">Working Group will </w:t>
      </w:r>
      <w:r w:rsidR="003F399F">
        <w:t xml:space="preserve">also </w:t>
      </w:r>
      <w:r>
        <w:t>provide advice on refinement</w:t>
      </w:r>
      <w:r w:rsidR="0074728D">
        <w:t xml:space="preserve">s </w:t>
      </w:r>
      <w:r w:rsidR="00E24466">
        <w:t xml:space="preserve">to </w:t>
      </w:r>
      <w:r w:rsidR="003F399F">
        <w:t xml:space="preserve">the measure for further </w:t>
      </w:r>
      <w:r w:rsidR="0074728D">
        <w:t>consultation</w:t>
      </w:r>
      <w:r>
        <w:t xml:space="preserve"> and </w:t>
      </w:r>
      <w:r w:rsidR="0074728D">
        <w:t>feedback</w:t>
      </w:r>
      <w:r w:rsidR="003F399F">
        <w:t>,</w:t>
      </w:r>
      <w:r w:rsidR="0074728D">
        <w:t xml:space="preserve"> </w:t>
      </w:r>
      <w:r>
        <w:t xml:space="preserve">to support the development of a high quality, reliable and robust methodology for use in the Schooling Resource Standard funding model. </w:t>
      </w:r>
    </w:p>
    <w:p w14:paraId="10EFD4D8" w14:textId="5DE50A10" w:rsidR="006E0D7A" w:rsidRDefault="006E0D7A" w:rsidP="006E0D7A">
      <w:r>
        <w:t xml:space="preserve">The </w:t>
      </w:r>
      <w:r w:rsidR="00043A3B">
        <w:t xml:space="preserve">Technical </w:t>
      </w:r>
      <w:r>
        <w:t xml:space="preserve">Working Group will meet on a regular basis and consists of representatives from the </w:t>
      </w:r>
      <w:r w:rsidR="00043A3B">
        <w:t>non</w:t>
      </w:r>
      <w:r w:rsidR="00043A3B">
        <w:noBreakHyphen/>
      </w:r>
      <w:r w:rsidR="00AC5096">
        <w:t xml:space="preserve">government schools sector, the </w:t>
      </w:r>
      <w:r>
        <w:t>Australian Government, state and territory governments.</w:t>
      </w:r>
    </w:p>
    <w:p w14:paraId="5BC5121F" w14:textId="2704CEBD" w:rsidR="00D27FE4" w:rsidRDefault="009E6618" w:rsidP="00043A3B">
      <w:pPr>
        <w:pStyle w:val="Subtitle"/>
        <w:spacing w:after="120"/>
      </w:pPr>
      <w:r>
        <w:t>M</w:t>
      </w:r>
      <w:r w:rsidR="002F254F">
        <w:t>e</w:t>
      </w:r>
      <w:r w:rsidR="003F30DB">
        <w:t>eting 7</w:t>
      </w:r>
      <w:r w:rsidR="00D27FE4">
        <w:t xml:space="preserve"> – </w:t>
      </w:r>
      <w:r w:rsidR="003F30DB">
        <w:t>6 August</w:t>
      </w:r>
      <w:r>
        <w:t xml:space="preserve"> 2019</w:t>
      </w:r>
      <w:r w:rsidR="00D27FE4">
        <w:t xml:space="preserve"> | </w:t>
      </w:r>
      <w:r w:rsidR="006D6820">
        <w:t>Communiqué</w:t>
      </w:r>
    </w:p>
    <w:p w14:paraId="1D16FCD0" w14:textId="304F4C5C" w:rsidR="00505AC3" w:rsidRPr="00427313" w:rsidRDefault="00505AC3" w:rsidP="00427313">
      <w:pPr>
        <w:rPr>
          <w:rFonts w:eastAsiaTheme="majorEastAsia"/>
          <w:b/>
        </w:rPr>
      </w:pPr>
      <w:r>
        <w:t>The Techni</w:t>
      </w:r>
      <w:r w:rsidR="003F30DB">
        <w:t>cal Working Group held its seventh</w:t>
      </w:r>
      <w:r>
        <w:t xml:space="preserve"> meeting in Canberra on </w:t>
      </w:r>
      <w:r w:rsidR="002F254F">
        <w:t xml:space="preserve">Tuesday </w:t>
      </w:r>
      <w:r w:rsidR="003F30DB">
        <w:t>6 August 2019.</w:t>
      </w:r>
      <w:r>
        <w:t xml:space="preserve"> </w:t>
      </w:r>
      <w:r w:rsidR="002F254F">
        <w:t>The Technical Working Group</w:t>
      </w:r>
      <w:r>
        <w:t xml:space="preserve"> discussed a range of issues including</w:t>
      </w:r>
      <w:r w:rsidR="00130D44">
        <w:t xml:space="preserve"> </w:t>
      </w:r>
      <w:r w:rsidR="003F30DB">
        <w:rPr>
          <w:rFonts w:eastAsiaTheme="majorEastAsia"/>
        </w:rPr>
        <w:t>Standardisation</w:t>
      </w:r>
      <w:r w:rsidR="00130D44">
        <w:rPr>
          <w:rFonts w:eastAsiaTheme="majorEastAsia"/>
        </w:rPr>
        <w:t xml:space="preserve">, </w:t>
      </w:r>
      <w:r w:rsidR="003F30DB">
        <w:rPr>
          <w:rFonts w:eastAsiaTheme="majorEastAsia"/>
        </w:rPr>
        <w:t>Methodology options</w:t>
      </w:r>
      <w:r w:rsidR="00130D44">
        <w:rPr>
          <w:rFonts w:eastAsiaTheme="majorEastAsia"/>
        </w:rPr>
        <w:t xml:space="preserve"> and the data quality framework. </w:t>
      </w:r>
    </w:p>
    <w:p w14:paraId="31C1F9EE" w14:textId="3B2B8EE7" w:rsidR="006A67FE" w:rsidRDefault="00130D44" w:rsidP="001D6DC5">
      <w:pPr>
        <w:pStyle w:val="Heading2"/>
        <w:keepNext/>
        <w:keepLines/>
      </w:pPr>
      <w:r>
        <w:t>Standardisation, m</w:t>
      </w:r>
      <w:r w:rsidR="002F6B46">
        <w:t>ethodology options</w:t>
      </w:r>
      <w:r w:rsidR="001F7508">
        <w:t xml:space="preserve"> and analysis of data</w:t>
      </w:r>
    </w:p>
    <w:p w14:paraId="3A69C755" w14:textId="77777777" w:rsidR="00130D44" w:rsidRDefault="00130D44" w:rsidP="00130D44">
      <w:r>
        <w:t xml:space="preserve">The Department and Members welcomed Dr Stephen Farish to the Technical Working Group. Dr Farish developed the previous socio-economic status score methodology, and is an expert in data transformations. Dr Farish outlined his views on the different possible approaches for standardisation. </w:t>
      </w:r>
    </w:p>
    <w:p w14:paraId="792B10AF" w14:textId="7C726BB5" w:rsidR="002F254F" w:rsidRPr="00A11FD7" w:rsidRDefault="00A11FD7" w:rsidP="001D6DC5">
      <w:pPr>
        <w:keepNext/>
        <w:keepLines/>
      </w:pPr>
      <w:r w:rsidRPr="007930A6">
        <w:t xml:space="preserve">The Department presented a </w:t>
      </w:r>
      <w:r w:rsidR="00D913A8" w:rsidRPr="007930A6">
        <w:t>paper</w:t>
      </w:r>
      <w:r w:rsidR="00D913A8">
        <w:t xml:space="preserve"> that provided a summary of the technical issues discussed in previous meetings</w:t>
      </w:r>
      <w:r w:rsidRPr="007930A6">
        <w:t xml:space="preserve"> on </w:t>
      </w:r>
      <w:r w:rsidR="001F7508">
        <w:t xml:space="preserve">the components of the methodology </w:t>
      </w:r>
      <w:r w:rsidRPr="007930A6">
        <w:t xml:space="preserve">to calculate a </w:t>
      </w:r>
      <w:r w:rsidR="00FC7CC9">
        <w:t>capacity to contribute</w:t>
      </w:r>
      <w:r w:rsidRPr="007930A6">
        <w:t xml:space="preserve"> score for schools</w:t>
      </w:r>
      <w:r w:rsidR="002F6B46">
        <w:t xml:space="preserve">. </w:t>
      </w:r>
      <w:r w:rsidR="0042437B">
        <w:t>Members discussed the importance of</w:t>
      </w:r>
      <w:r w:rsidR="001F7508">
        <w:t xml:space="preserve"> a measure and a methodology that was representative of the school community. Members asked the department to consider this when </w:t>
      </w:r>
      <w:r w:rsidR="0042437B">
        <w:t xml:space="preserve">determining the viability of different methodological elements. </w:t>
      </w:r>
    </w:p>
    <w:p w14:paraId="6E0923E5" w14:textId="5749A9A4" w:rsidR="002F254F" w:rsidRDefault="009C44E6" w:rsidP="00FC7CC9">
      <w:r>
        <w:t>The Department presented a paper on volatility across tax years, not</w:t>
      </w:r>
      <w:r w:rsidR="001F7508">
        <w:t>i</w:t>
      </w:r>
      <w:r>
        <w:t xml:space="preserve">ng that this was only one dimension of volatility. The analysis indicates that CTC scores </w:t>
      </w:r>
      <w:r w:rsidR="001F7508">
        <w:t xml:space="preserve">are stable across tax years </w:t>
      </w:r>
      <w:r>
        <w:t>for the vast majority of schools except very small schools</w:t>
      </w:r>
      <w:r w:rsidR="001F7508">
        <w:t>.</w:t>
      </w:r>
    </w:p>
    <w:p w14:paraId="70242A58" w14:textId="22FF7803" w:rsidR="009C44E6" w:rsidRDefault="009C44E6" w:rsidP="00FC7CC9">
      <w:r>
        <w:t xml:space="preserve">Members discussed </w:t>
      </w:r>
      <w:r w:rsidR="001F7508">
        <w:t>an</w:t>
      </w:r>
      <w:r>
        <w:t xml:space="preserve"> analysis </w:t>
      </w:r>
      <w:r w:rsidR="001F7508">
        <w:t xml:space="preserve">provide by the Department of </w:t>
      </w:r>
      <w:r>
        <w:t xml:space="preserve">the proportion of students/families with concession cards compared </w:t>
      </w:r>
      <w:r w:rsidR="001F7508">
        <w:t xml:space="preserve">by </w:t>
      </w:r>
      <w:r>
        <w:t xml:space="preserve">school median income. </w:t>
      </w:r>
      <w:r w:rsidR="001F7508">
        <w:t>M</w:t>
      </w:r>
      <w:r>
        <w:t>embers noted that schools with the same median income can have different distributions of family income within the school.</w:t>
      </w:r>
    </w:p>
    <w:p w14:paraId="094DD602" w14:textId="767A7E0D" w:rsidR="002F254F" w:rsidRDefault="009C44E6" w:rsidP="00427313">
      <w:pPr>
        <w:pStyle w:val="Heading2"/>
        <w:keepNext/>
        <w:keepLines/>
      </w:pPr>
      <w:r>
        <w:lastRenderedPageBreak/>
        <w:t>Data Quality Framework Project</w:t>
      </w:r>
    </w:p>
    <w:p w14:paraId="06DE4653" w14:textId="12742012" w:rsidR="009C44E6" w:rsidRPr="00427313" w:rsidRDefault="009C44E6" w:rsidP="00427313">
      <w:r w:rsidRPr="00427313">
        <w:t xml:space="preserve">The ABS provided an update on the data quality framework project. </w:t>
      </w:r>
      <w:r w:rsidR="001F7508" w:rsidRPr="00427313">
        <w:t xml:space="preserve">The quality framework will incorporate the seven different aspects of quality </w:t>
      </w:r>
      <w:r w:rsidR="00130D44" w:rsidRPr="00427313">
        <w:t xml:space="preserve">including: institutional environment, relevance, timeliness, accuracy, coherence, interpretability and accessibility. ABS notes that will all seven dimensions will be used in quality assessment and reporting the seven dimensions are not equally weighted as they are also dependent on the data source and context. </w:t>
      </w:r>
      <w:r w:rsidRPr="00427313">
        <w:t xml:space="preserve">The presentation explained concepts including understanding the quality at each stage of the process, the linkage strategy and quality indicators, income coverage of tax data and the address collection. </w:t>
      </w:r>
      <w:r w:rsidR="001F7508" w:rsidRPr="00427313">
        <w:t>The</w:t>
      </w:r>
      <w:r w:rsidRPr="00427313">
        <w:t xml:space="preserve"> framework will inform the appeals process. </w:t>
      </w:r>
    </w:p>
    <w:p w14:paraId="726B43C4" w14:textId="23B8E2B7" w:rsidR="006E0D7A" w:rsidRDefault="006E0D7A" w:rsidP="006E0D7A">
      <w:pPr>
        <w:pStyle w:val="Heading2"/>
      </w:pPr>
      <w:r>
        <w:t>Background</w:t>
      </w:r>
    </w:p>
    <w:p w14:paraId="181399A3" w14:textId="77777777" w:rsidR="006E0D7A" w:rsidRDefault="006E0D7A" w:rsidP="006E0D7A">
      <w:r>
        <w:t xml:space="preserve">The National School Resourcing Board (the Board) </w:t>
      </w:r>
      <w:r w:rsidRPr="00AE5B58">
        <w:t xml:space="preserve">undertook an independent review of the methodology used to calculate capacity </w:t>
      </w:r>
      <w:r w:rsidR="0074728D">
        <w:t xml:space="preserve">of a non-government school community </w:t>
      </w:r>
      <w:r w:rsidRPr="00AE5B58">
        <w:t xml:space="preserve">to contribute </w:t>
      </w:r>
      <w:r w:rsidR="0074728D">
        <w:t>to the cost of schooling</w:t>
      </w:r>
      <w:r w:rsidRPr="00AE5B58">
        <w:t xml:space="preserve"> to ensure it is the fairest, most effective, accurate and transparent model available. The Board’s final report made six recommendations, including that the capacity to contribute for a school be determined based on a direct measure of income of parents and/or guardians of the students at the school.</w:t>
      </w:r>
    </w:p>
    <w:p w14:paraId="4E30DE4A" w14:textId="4248A27D" w:rsidR="00F328E7" w:rsidRDefault="006E0D7A">
      <w:r w:rsidRPr="00AE5B58">
        <w:t xml:space="preserve">The Government has accepted all of the Board’s recommendations and will use a direct income measure </w:t>
      </w:r>
      <w:r w:rsidR="0003327F">
        <w:t xml:space="preserve">of capacity to contribute </w:t>
      </w:r>
      <w:r w:rsidRPr="00AE5B58">
        <w:t>from 2020</w:t>
      </w:r>
      <w:r w:rsidR="0003327F">
        <w:t xml:space="preserve"> </w:t>
      </w:r>
      <w:r w:rsidRPr="00AE5B58">
        <w:t>based on the income of parents and/or guardians of students at a school. This more targeted, more accurate measure will ensure funding flows to the schools that need it the most.</w:t>
      </w:r>
    </w:p>
    <w:sectPr w:rsidR="00F328E7" w:rsidSect="003311FD">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C816" w14:textId="77777777" w:rsidR="00232F9B" w:rsidRDefault="00232F9B" w:rsidP="003311FD">
      <w:pPr>
        <w:spacing w:before="0" w:after="0" w:line="240" w:lineRule="auto"/>
      </w:pPr>
      <w:r>
        <w:separator/>
      </w:r>
    </w:p>
  </w:endnote>
  <w:endnote w:type="continuationSeparator" w:id="0">
    <w:p w14:paraId="59B04CED" w14:textId="77777777" w:rsidR="00232F9B" w:rsidRDefault="00232F9B" w:rsidP="0033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7FFB" w14:textId="77777777" w:rsidR="002F6B46" w:rsidRDefault="002F6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CE9F" w14:textId="6453F175" w:rsidR="00782F1B" w:rsidRDefault="00CD62AF" w:rsidP="00A73406">
    <w:pPr>
      <w:pStyle w:val="Footer"/>
      <w:tabs>
        <w:tab w:val="clear" w:pos="9026"/>
        <w:tab w:val="right" w:pos="8647"/>
      </w:tabs>
      <w:ind w:firstLine="720"/>
      <w:jc w:val="right"/>
    </w:pPr>
    <w:sdt>
      <w:sdtPr>
        <w:id w:val="675850659"/>
        <w:docPartObj>
          <w:docPartGallery w:val="Page Numbers (Bottom of Page)"/>
          <w:docPartUnique/>
        </w:docPartObj>
      </w:sdtPr>
      <w:sdtEndPr>
        <w:rPr>
          <w:noProof/>
        </w:rPr>
      </w:sdtEndPr>
      <w:sdtContent>
        <w:r w:rsidR="009104DA">
          <w:fldChar w:fldCharType="begin"/>
        </w:r>
        <w:r w:rsidR="009104DA">
          <w:instrText xml:space="preserve"> PAGE   \* MERGEFORMAT </w:instrText>
        </w:r>
        <w:r w:rsidR="009104DA">
          <w:fldChar w:fldCharType="separate"/>
        </w:r>
        <w:r>
          <w:rPr>
            <w:noProof/>
          </w:rPr>
          <w:t>2</w:t>
        </w:r>
        <w:r w:rsidR="009104D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2670" w14:textId="77777777" w:rsidR="00782F1B" w:rsidRDefault="009104DA"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C5137" w14:textId="77777777" w:rsidR="00232F9B" w:rsidRDefault="00232F9B" w:rsidP="003311FD">
      <w:pPr>
        <w:spacing w:before="0" w:after="0" w:line="240" w:lineRule="auto"/>
      </w:pPr>
      <w:r>
        <w:separator/>
      </w:r>
    </w:p>
  </w:footnote>
  <w:footnote w:type="continuationSeparator" w:id="0">
    <w:p w14:paraId="676B23FB" w14:textId="77777777" w:rsidR="00232F9B" w:rsidRDefault="00232F9B" w:rsidP="003311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D623" w14:textId="33338803" w:rsidR="00545D8A" w:rsidRDefault="0054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14D8" w14:textId="7847D670" w:rsidR="00AE5B58" w:rsidRDefault="009104DA" w:rsidP="00AE5B58">
    <w:pPr>
      <w:pStyle w:val="Header"/>
      <w:spacing w:after="480"/>
      <w:jc w:val="right"/>
    </w:pPr>
    <w:r>
      <w:t xml:space="preserve">Direct </w:t>
    </w:r>
    <w:r w:rsidR="00AC1E6A">
      <w:t xml:space="preserve">Income </w:t>
    </w:r>
    <w:r>
      <w:t xml:space="preserve">Measure of Capacity to Contribute </w:t>
    </w:r>
    <w:r w:rsidR="0016732B">
      <w:t>Tec</w:t>
    </w:r>
    <w:r w:rsidR="00581AE1">
      <w:t xml:space="preserve">hnical Working Group – Meeting </w:t>
    </w:r>
    <w:r w:rsidR="002F6B46">
      <w:t>7</w:t>
    </w:r>
    <w:r>
      <w:t xml:space="preserve"> | Communiqu</w:t>
    </w:r>
    <w:r w:rsidR="00B43EE0" w:rsidRPr="00B43EE0">
      <w:t>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72EF" w14:textId="0FA7CB6B" w:rsidR="00545D8A" w:rsidRDefault="00545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FE6642F"/>
    <w:multiLevelType w:val="hybridMultilevel"/>
    <w:tmpl w:val="6C0EC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4EB140D"/>
    <w:multiLevelType w:val="hybridMultilevel"/>
    <w:tmpl w:val="BAD4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02028"/>
    <w:multiLevelType w:val="hybridMultilevel"/>
    <w:tmpl w:val="BB16ED3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DE39C4"/>
    <w:multiLevelType w:val="hybridMultilevel"/>
    <w:tmpl w:val="8866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6B"/>
    <w:rsid w:val="0000507F"/>
    <w:rsid w:val="00006ACB"/>
    <w:rsid w:val="00027B49"/>
    <w:rsid w:val="00031E56"/>
    <w:rsid w:val="0003327F"/>
    <w:rsid w:val="0004146D"/>
    <w:rsid w:val="00043A3B"/>
    <w:rsid w:val="00063600"/>
    <w:rsid w:val="000678C7"/>
    <w:rsid w:val="00072B71"/>
    <w:rsid w:val="00080CA5"/>
    <w:rsid w:val="00093765"/>
    <w:rsid w:val="000A12AA"/>
    <w:rsid w:val="000B7F0C"/>
    <w:rsid w:val="000E1274"/>
    <w:rsid w:val="000F2525"/>
    <w:rsid w:val="001036CF"/>
    <w:rsid w:val="001064BE"/>
    <w:rsid w:val="0010746A"/>
    <w:rsid w:val="001140F7"/>
    <w:rsid w:val="00130D44"/>
    <w:rsid w:val="00146536"/>
    <w:rsid w:val="0016732B"/>
    <w:rsid w:val="001C69E3"/>
    <w:rsid w:val="001D6DC5"/>
    <w:rsid w:val="001F5A80"/>
    <w:rsid w:val="001F7508"/>
    <w:rsid w:val="00214692"/>
    <w:rsid w:val="00220D08"/>
    <w:rsid w:val="00232F9B"/>
    <w:rsid w:val="002418AD"/>
    <w:rsid w:val="00245C28"/>
    <w:rsid w:val="00265C9F"/>
    <w:rsid w:val="00267CF5"/>
    <w:rsid w:val="00271302"/>
    <w:rsid w:val="0028168A"/>
    <w:rsid w:val="0028264B"/>
    <w:rsid w:val="00284D3E"/>
    <w:rsid w:val="002C5A3D"/>
    <w:rsid w:val="002D01E9"/>
    <w:rsid w:val="002D08CB"/>
    <w:rsid w:val="002E0A06"/>
    <w:rsid w:val="002F254F"/>
    <w:rsid w:val="002F6B46"/>
    <w:rsid w:val="00304A6B"/>
    <w:rsid w:val="00330CCF"/>
    <w:rsid w:val="003311FD"/>
    <w:rsid w:val="00361605"/>
    <w:rsid w:val="00371AD8"/>
    <w:rsid w:val="00382499"/>
    <w:rsid w:val="003F30DB"/>
    <w:rsid w:val="003F399F"/>
    <w:rsid w:val="003F5472"/>
    <w:rsid w:val="003F5D41"/>
    <w:rsid w:val="0042437B"/>
    <w:rsid w:val="00427313"/>
    <w:rsid w:val="004A0613"/>
    <w:rsid w:val="004A289D"/>
    <w:rsid w:val="004A7474"/>
    <w:rsid w:val="004B7C6D"/>
    <w:rsid w:val="004C162F"/>
    <w:rsid w:val="00500977"/>
    <w:rsid w:val="00505AC3"/>
    <w:rsid w:val="00524BA4"/>
    <w:rsid w:val="00536839"/>
    <w:rsid w:val="00545D8A"/>
    <w:rsid w:val="00550261"/>
    <w:rsid w:val="00561BC8"/>
    <w:rsid w:val="00581AE1"/>
    <w:rsid w:val="005D263E"/>
    <w:rsid w:val="005D6721"/>
    <w:rsid w:val="00604933"/>
    <w:rsid w:val="00612EC9"/>
    <w:rsid w:val="00643BB9"/>
    <w:rsid w:val="00650756"/>
    <w:rsid w:val="006A1432"/>
    <w:rsid w:val="006A1FA5"/>
    <w:rsid w:val="006A67FE"/>
    <w:rsid w:val="006B36CC"/>
    <w:rsid w:val="006C2EC3"/>
    <w:rsid w:val="006D6820"/>
    <w:rsid w:val="006E0D7A"/>
    <w:rsid w:val="006E7707"/>
    <w:rsid w:val="00705302"/>
    <w:rsid w:val="00717F8E"/>
    <w:rsid w:val="0074728D"/>
    <w:rsid w:val="00790E9B"/>
    <w:rsid w:val="007930A6"/>
    <w:rsid w:val="007A0851"/>
    <w:rsid w:val="007C59EF"/>
    <w:rsid w:val="007E6146"/>
    <w:rsid w:val="00867ED7"/>
    <w:rsid w:val="008727B2"/>
    <w:rsid w:val="0089209B"/>
    <w:rsid w:val="008A1858"/>
    <w:rsid w:val="008E5371"/>
    <w:rsid w:val="009104DA"/>
    <w:rsid w:val="00910A41"/>
    <w:rsid w:val="00917FA5"/>
    <w:rsid w:val="009312D7"/>
    <w:rsid w:val="009513C5"/>
    <w:rsid w:val="009A41FF"/>
    <w:rsid w:val="009B2E87"/>
    <w:rsid w:val="009C44E6"/>
    <w:rsid w:val="009E4FB7"/>
    <w:rsid w:val="009E6618"/>
    <w:rsid w:val="009F5840"/>
    <w:rsid w:val="00A11FD7"/>
    <w:rsid w:val="00A25F27"/>
    <w:rsid w:val="00A332DD"/>
    <w:rsid w:val="00A444DC"/>
    <w:rsid w:val="00A64F4B"/>
    <w:rsid w:val="00AA15F2"/>
    <w:rsid w:val="00AA3D38"/>
    <w:rsid w:val="00AC1E6A"/>
    <w:rsid w:val="00AC5096"/>
    <w:rsid w:val="00AC7A03"/>
    <w:rsid w:val="00AF3283"/>
    <w:rsid w:val="00AF6DF9"/>
    <w:rsid w:val="00B43EE0"/>
    <w:rsid w:val="00B4622E"/>
    <w:rsid w:val="00B46AC5"/>
    <w:rsid w:val="00B512E4"/>
    <w:rsid w:val="00B5238C"/>
    <w:rsid w:val="00B942E0"/>
    <w:rsid w:val="00BA257D"/>
    <w:rsid w:val="00C03FD6"/>
    <w:rsid w:val="00C10AEC"/>
    <w:rsid w:val="00C33F68"/>
    <w:rsid w:val="00C550AC"/>
    <w:rsid w:val="00CA1A3F"/>
    <w:rsid w:val="00CD62AF"/>
    <w:rsid w:val="00CE208C"/>
    <w:rsid w:val="00CE65AF"/>
    <w:rsid w:val="00D27FE4"/>
    <w:rsid w:val="00D35502"/>
    <w:rsid w:val="00D35B2D"/>
    <w:rsid w:val="00D44428"/>
    <w:rsid w:val="00D628E0"/>
    <w:rsid w:val="00D913A8"/>
    <w:rsid w:val="00DB266C"/>
    <w:rsid w:val="00DD5798"/>
    <w:rsid w:val="00DF5777"/>
    <w:rsid w:val="00E03AB9"/>
    <w:rsid w:val="00E03CC2"/>
    <w:rsid w:val="00E15AC7"/>
    <w:rsid w:val="00E24466"/>
    <w:rsid w:val="00E41F05"/>
    <w:rsid w:val="00E5470B"/>
    <w:rsid w:val="00E65FB5"/>
    <w:rsid w:val="00E71ED1"/>
    <w:rsid w:val="00E839EF"/>
    <w:rsid w:val="00E953D5"/>
    <w:rsid w:val="00EB7B6B"/>
    <w:rsid w:val="00ED1F7C"/>
    <w:rsid w:val="00EE4F43"/>
    <w:rsid w:val="00F0276B"/>
    <w:rsid w:val="00F24542"/>
    <w:rsid w:val="00F328E7"/>
    <w:rsid w:val="00F64A81"/>
    <w:rsid w:val="00F976E0"/>
    <w:rsid w:val="00FB52B3"/>
    <w:rsid w:val="00FB564F"/>
    <w:rsid w:val="00FC515D"/>
    <w:rsid w:val="00FC7CC9"/>
    <w:rsid w:val="00FF3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8B04C"/>
  <w15:chartTrackingRefBased/>
  <w15:docId w15:val="{004442AA-59A8-48E6-A1A2-13D1214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6B"/>
    <w:pPr>
      <w:spacing w:before="120" w:after="120" w:line="276" w:lineRule="auto"/>
    </w:pPr>
    <w:rPr>
      <w:rFonts w:eastAsiaTheme="minorEastAsia"/>
    </w:rPr>
  </w:style>
  <w:style w:type="paragraph" w:styleId="Heading1">
    <w:name w:val="heading 1"/>
    <w:basedOn w:val="Normal"/>
    <w:next w:val="Normal"/>
    <w:link w:val="Heading1Char"/>
    <w:uiPriority w:val="9"/>
    <w:qFormat/>
    <w:rsid w:val="00EB7B6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B7B6B"/>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EB7B6B"/>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EB7B6B"/>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EB7B6B"/>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EB7B6B"/>
    <w:pPr>
      <w:spacing w:before="200" w:after="0"/>
      <w:outlineLvl w:val="5"/>
    </w:pPr>
    <w:rPr>
      <w:rFonts w:ascii="Calibri" w:eastAsiaTheme="majorEastAsia" w:hAnsi="Calibri" w:cstheme="majorBidi"/>
      <w:b/>
      <w:bCs/>
      <w:i/>
      <w:iCs/>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6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B7B6B"/>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B7B6B"/>
    <w:rPr>
      <w:rFonts w:ascii="Calibri" w:eastAsiaTheme="majorEastAsia" w:hAnsi="Calibri" w:cstheme="majorBidi"/>
      <w:b/>
      <w:bCs/>
    </w:rPr>
  </w:style>
  <w:style w:type="character" w:customStyle="1" w:styleId="Heading4Char">
    <w:name w:val="Heading 4 Char"/>
    <w:basedOn w:val="DefaultParagraphFont"/>
    <w:link w:val="Heading4"/>
    <w:uiPriority w:val="9"/>
    <w:rsid w:val="00EB7B6B"/>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B7B6B"/>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B7B6B"/>
    <w:rPr>
      <w:rFonts w:ascii="Calibri" w:eastAsiaTheme="majorEastAsia" w:hAnsi="Calibri" w:cstheme="majorBidi"/>
      <w:b/>
      <w:bCs/>
      <w:i/>
      <w:iCs/>
      <w:color w:val="757575"/>
    </w:rPr>
  </w:style>
  <w:style w:type="character" w:styleId="Strong">
    <w:name w:val="Strong"/>
    <w:uiPriority w:val="22"/>
    <w:qFormat/>
    <w:rsid w:val="00EB7B6B"/>
    <w:rPr>
      <w:b/>
      <w:bCs/>
    </w:rPr>
  </w:style>
  <w:style w:type="character" w:styleId="Emphasis">
    <w:name w:val="Emphasis"/>
    <w:uiPriority w:val="20"/>
    <w:qFormat/>
    <w:rsid w:val="00EB7B6B"/>
    <w:rPr>
      <w:b w:val="0"/>
      <w:bCs/>
      <w:i/>
      <w:iCs/>
      <w:spacing w:val="10"/>
      <w:bdr w:val="none" w:sz="0" w:space="0" w:color="auto"/>
      <w:shd w:val="clear" w:color="auto" w:fill="auto"/>
    </w:rPr>
  </w:style>
  <w:style w:type="character" w:styleId="Hyperlink">
    <w:name w:val="Hyperlink"/>
    <w:basedOn w:val="DefaultParagraphFont"/>
    <w:uiPriority w:val="99"/>
    <w:unhideWhenUsed/>
    <w:rsid w:val="00EB7B6B"/>
    <w:rPr>
      <w:color w:val="44546A" w:themeColor="text2"/>
      <w:u w:val="single"/>
    </w:rPr>
  </w:style>
  <w:style w:type="paragraph" w:styleId="Title">
    <w:name w:val="Title"/>
    <w:basedOn w:val="Normal"/>
    <w:next w:val="Normal"/>
    <w:link w:val="TitleChar"/>
    <w:uiPriority w:val="10"/>
    <w:rsid w:val="00EB7B6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B7B6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EB7B6B"/>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EB7B6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EB7B6B"/>
    <w:pPr>
      <w:spacing w:after="0" w:line="240" w:lineRule="auto"/>
    </w:pPr>
  </w:style>
  <w:style w:type="paragraph" w:styleId="ListNumber">
    <w:name w:val="List Number"/>
    <w:basedOn w:val="Normal"/>
    <w:uiPriority w:val="99"/>
    <w:unhideWhenUsed/>
    <w:qFormat/>
    <w:rsid w:val="00EB7B6B"/>
    <w:pPr>
      <w:numPr>
        <w:numId w:val="1"/>
      </w:numPr>
      <w:ind w:left="369" w:hanging="369"/>
      <w:contextualSpacing/>
    </w:pPr>
  </w:style>
  <w:style w:type="paragraph" w:styleId="ListNumber2">
    <w:name w:val="List Number 2"/>
    <w:basedOn w:val="Normal"/>
    <w:uiPriority w:val="99"/>
    <w:unhideWhenUsed/>
    <w:rsid w:val="00EB7B6B"/>
    <w:pPr>
      <w:numPr>
        <w:ilvl w:val="1"/>
        <w:numId w:val="1"/>
      </w:numPr>
      <w:tabs>
        <w:tab w:val="left" w:pos="1134"/>
      </w:tabs>
      <w:ind w:left="936" w:hanging="567"/>
      <w:contextualSpacing/>
    </w:pPr>
  </w:style>
  <w:style w:type="paragraph" w:styleId="ListNumber3">
    <w:name w:val="List Number 3"/>
    <w:basedOn w:val="Normal"/>
    <w:uiPriority w:val="99"/>
    <w:unhideWhenUsed/>
    <w:rsid w:val="00EB7B6B"/>
    <w:pPr>
      <w:numPr>
        <w:ilvl w:val="2"/>
        <w:numId w:val="1"/>
      </w:numPr>
      <w:ind w:left="1701" w:hanging="765"/>
      <w:contextualSpacing/>
    </w:pPr>
  </w:style>
  <w:style w:type="paragraph" w:styleId="ListNumber4">
    <w:name w:val="List Number 4"/>
    <w:basedOn w:val="Normal"/>
    <w:uiPriority w:val="99"/>
    <w:unhideWhenUsed/>
    <w:rsid w:val="00EB7B6B"/>
    <w:pPr>
      <w:numPr>
        <w:ilvl w:val="3"/>
        <w:numId w:val="1"/>
      </w:numPr>
      <w:ind w:left="2637" w:hanging="936"/>
      <w:contextualSpacing/>
    </w:pPr>
  </w:style>
  <w:style w:type="paragraph" w:styleId="ListBullet">
    <w:name w:val="List Bullet"/>
    <w:basedOn w:val="Normal"/>
    <w:uiPriority w:val="99"/>
    <w:unhideWhenUsed/>
    <w:qFormat/>
    <w:rsid w:val="00EB7B6B"/>
    <w:pPr>
      <w:numPr>
        <w:numId w:val="2"/>
      </w:numPr>
      <w:ind w:left="369" w:hanging="369"/>
      <w:contextualSpacing/>
    </w:pPr>
  </w:style>
  <w:style w:type="paragraph" w:styleId="ListBullet2">
    <w:name w:val="List Bullet 2"/>
    <w:basedOn w:val="Normal"/>
    <w:uiPriority w:val="99"/>
    <w:unhideWhenUsed/>
    <w:rsid w:val="00EB7B6B"/>
    <w:pPr>
      <w:numPr>
        <w:ilvl w:val="1"/>
        <w:numId w:val="2"/>
      </w:numPr>
      <w:ind w:left="766" w:hanging="369"/>
      <w:contextualSpacing/>
    </w:pPr>
  </w:style>
  <w:style w:type="paragraph" w:styleId="ListBullet3">
    <w:name w:val="List Bullet 3"/>
    <w:basedOn w:val="Normal"/>
    <w:uiPriority w:val="99"/>
    <w:unhideWhenUsed/>
    <w:rsid w:val="00EB7B6B"/>
    <w:pPr>
      <w:numPr>
        <w:ilvl w:val="2"/>
        <w:numId w:val="2"/>
      </w:numPr>
      <w:ind w:left="1163" w:hanging="369"/>
      <w:contextualSpacing/>
    </w:pPr>
  </w:style>
  <w:style w:type="paragraph" w:styleId="ListBullet4">
    <w:name w:val="List Bullet 4"/>
    <w:basedOn w:val="Normal"/>
    <w:uiPriority w:val="99"/>
    <w:unhideWhenUsed/>
    <w:rsid w:val="00EB7B6B"/>
    <w:pPr>
      <w:numPr>
        <w:ilvl w:val="3"/>
        <w:numId w:val="2"/>
      </w:numPr>
      <w:ind w:left="1503" w:hanging="369"/>
      <w:contextualSpacing/>
    </w:pPr>
  </w:style>
  <w:style w:type="table" w:customStyle="1" w:styleId="DEEWRTable">
    <w:name w:val="DEEWR Table"/>
    <w:basedOn w:val="TableNormal"/>
    <w:uiPriority w:val="99"/>
    <w:rsid w:val="00EB7B6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NoSpacingChar">
    <w:name w:val="No Spacing Char"/>
    <w:basedOn w:val="DefaultParagraphFont"/>
    <w:link w:val="NoSpacing"/>
    <w:uiPriority w:val="1"/>
    <w:rsid w:val="00EB7B6B"/>
    <w:rPr>
      <w:rFonts w:eastAsiaTheme="minorEastAsia"/>
    </w:rPr>
  </w:style>
  <w:style w:type="paragraph" w:styleId="Header">
    <w:name w:val="header"/>
    <w:basedOn w:val="Normal"/>
    <w:link w:val="HeaderChar"/>
    <w:uiPriority w:val="99"/>
    <w:unhideWhenUsed/>
    <w:rsid w:val="00EB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6B"/>
    <w:rPr>
      <w:rFonts w:eastAsiaTheme="minorEastAsia"/>
    </w:rPr>
  </w:style>
  <w:style w:type="paragraph" w:styleId="Footer">
    <w:name w:val="footer"/>
    <w:basedOn w:val="Normal"/>
    <w:link w:val="FooterChar"/>
    <w:uiPriority w:val="99"/>
    <w:unhideWhenUsed/>
    <w:rsid w:val="00EB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6B"/>
    <w:rPr>
      <w:rFonts w:eastAsiaTheme="minorEastAsia"/>
    </w:rPr>
  </w:style>
  <w:style w:type="paragraph" w:styleId="Caption">
    <w:name w:val="caption"/>
    <w:basedOn w:val="Heading4"/>
    <w:next w:val="Normal"/>
    <w:uiPriority w:val="35"/>
    <w:unhideWhenUsed/>
    <w:rsid w:val="00EB7B6B"/>
    <w:rPr>
      <w:i w:val="0"/>
    </w:rPr>
  </w:style>
  <w:style w:type="character" w:styleId="PlaceholderText">
    <w:name w:val="Placeholder Text"/>
    <w:basedOn w:val="DefaultParagraphFont"/>
    <w:uiPriority w:val="99"/>
    <w:semiHidden/>
    <w:rsid w:val="00EB7B6B"/>
    <w:rPr>
      <w:color w:val="808080"/>
    </w:rPr>
  </w:style>
  <w:style w:type="paragraph" w:styleId="Revision">
    <w:name w:val="Revision"/>
    <w:hidden/>
    <w:uiPriority w:val="99"/>
    <w:semiHidden/>
    <w:rsid w:val="003311FD"/>
    <w:pPr>
      <w:spacing w:after="0" w:line="240" w:lineRule="auto"/>
    </w:pPr>
    <w:rPr>
      <w:rFonts w:eastAsiaTheme="minorEastAsia"/>
    </w:rPr>
  </w:style>
  <w:style w:type="paragraph" w:styleId="ListParagraph">
    <w:name w:val="List Paragraph"/>
    <w:basedOn w:val="Normal"/>
    <w:uiPriority w:val="34"/>
    <w:qFormat/>
    <w:rsid w:val="00271302"/>
    <w:pPr>
      <w:ind w:left="720"/>
      <w:contextualSpacing/>
    </w:pPr>
  </w:style>
  <w:style w:type="paragraph" w:styleId="BalloonText">
    <w:name w:val="Balloon Text"/>
    <w:basedOn w:val="Normal"/>
    <w:link w:val="BalloonTextChar"/>
    <w:uiPriority w:val="99"/>
    <w:semiHidden/>
    <w:unhideWhenUsed/>
    <w:rsid w:val="00C1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E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7FE4"/>
    <w:rPr>
      <w:sz w:val="16"/>
      <w:szCs w:val="16"/>
    </w:rPr>
  </w:style>
  <w:style w:type="paragraph" w:styleId="CommentText">
    <w:name w:val="annotation text"/>
    <w:basedOn w:val="Normal"/>
    <w:link w:val="CommentTextChar"/>
    <w:uiPriority w:val="99"/>
    <w:semiHidden/>
    <w:unhideWhenUsed/>
    <w:rsid w:val="00D27FE4"/>
    <w:pPr>
      <w:spacing w:line="240" w:lineRule="auto"/>
    </w:pPr>
    <w:rPr>
      <w:sz w:val="20"/>
      <w:szCs w:val="20"/>
    </w:rPr>
  </w:style>
  <w:style w:type="character" w:customStyle="1" w:styleId="CommentTextChar">
    <w:name w:val="Comment Text Char"/>
    <w:basedOn w:val="DefaultParagraphFont"/>
    <w:link w:val="CommentText"/>
    <w:uiPriority w:val="99"/>
    <w:semiHidden/>
    <w:rsid w:val="00D27F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7FE4"/>
    <w:rPr>
      <w:b/>
      <w:bCs/>
    </w:rPr>
  </w:style>
  <w:style w:type="character" w:customStyle="1" w:styleId="CommentSubjectChar">
    <w:name w:val="Comment Subject Char"/>
    <w:basedOn w:val="CommentTextChar"/>
    <w:link w:val="CommentSubject"/>
    <w:uiPriority w:val="99"/>
    <w:semiHidden/>
    <w:rsid w:val="00D27F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5BB0FF17440BC9E9237FEC82FA546"/>
        <w:category>
          <w:name w:val="General"/>
          <w:gallery w:val="placeholder"/>
        </w:category>
        <w:types>
          <w:type w:val="bbPlcHdr"/>
        </w:types>
        <w:behaviors>
          <w:behavior w:val="content"/>
        </w:behaviors>
        <w:guid w:val="{0297993D-ABE7-488D-BA8B-0FE04415E959}"/>
      </w:docPartPr>
      <w:docPartBody>
        <w:p w:rsidR="002305BD" w:rsidRDefault="00E3638A" w:rsidP="00E3638A">
          <w:pPr>
            <w:pStyle w:val="5885BB0FF17440BC9E9237FEC82FA54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A"/>
    <w:rsid w:val="001A61D4"/>
    <w:rsid w:val="002305BD"/>
    <w:rsid w:val="009A37A6"/>
    <w:rsid w:val="00E3638A"/>
    <w:rsid w:val="00E3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38A"/>
    <w:rPr>
      <w:color w:val="808080"/>
    </w:rPr>
  </w:style>
  <w:style w:type="paragraph" w:customStyle="1" w:styleId="5885BB0FF17440BC9E9237FEC82FA546">
    <w:name w:val="5885BB0FF17440BC9E9237FEC82FA546"/>
    <w:rsid w:val="00E36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DEF4-48B3-4698-B7E5-AEBEAAE1EA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465EF7E-BF2E-47B3-960F-3771B78E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BB7F65-E39F-4711-956B-FC961520AA6E}">
  <ds:schemaRefs>
    <ds:schemaRef ds:uri="http://schemas.microsoft.com/sharepoint/v3/contenttype/forms"/>
  </ds:schemaRefs>
</ds:datastoreItem>
</file>

<file path=customXml/itemProps4.xml><?xml version="1.0" encoding="utf-8"?>
<ds:datastoreItem xmlns:ds="http://schemas.openxmlformats.org/officeDocument/2006/customXml" ds:itemID="{200D47B3-8423-4814-BF6F-241830B7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6AA205FE.dotm</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Direct Income Measure of Capacity to Contribute Technical Working Group</vt:lpstr>
    </vt:vector>
  </TitlesOfParts>
  <Company>Australian Government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Income Measure of Capacity to Contribute Technical Working Group</dc:title>
  <dc:subject/>
  <dc:creator>PHELAN,Jessica</dc:creator>
  <cp:keywords/>
  <dc:description/>
  <cp:lastModifiedBy>MANNIE,Ryan</cp:lastModifiedBy>
  <cp:revision>2</cp:revision>
  <dcterms:created xsi:type="dcterms:W3CDTF">2019-10-23T03:59:00Z</dcterms:created>
  <dcterms:modified xsi:type="dcterms:W3CDTF">2019-10-23T03:59:00Z</dcterms:modified>
</cp:coreProperties>
</file>