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185F6A" w14:textId="15BA4762" w:rsidR="00CD7C81" w:rsidRPr="00730C0D" w:rsidRDefault="00DA27E0" w:rsidP="000A04F0">
      <w:pPr>
        <w:pStyle w:val="Title"/>
        <w:spacing w:before="0" w:line="259" w:lineRule="auto"/>
        <w:jc w:val="center"/>
        <w:rPr>
          <w:rFonts w:ascii="Century Gothic" w:hAnsi="Century Gothic"/>
          <w:b/>
          <w:sz w:val="20"/>
          <w:szCs w:val="20"/>
        </w:rPr>
      </w:pPr>
      <w:bookmarkStart w:id="0" w:name="_GoBack"/>
      <w:bookmarkEnd w:id="0"/>
      <w:r w:rsidRPr="00730C0D">
        <w:rPr>
          <w:rFonts w:ascii="Century Gothic" w:hAnsi="Century Gothic" w:cs="Arial"/>
          <w:b/>
          <w:noProof/>
          <w:szCs w:val="52"/>
          <w:lang w:eastAsia="en-AU"/>
        </w:rPr>
        <w:drawing>
          <wp:anchor distT="0" distB="0" distL="114300" distR="114300" simplePos="0" relativeHeight="251659264" behindDoc="1" locked="0" layoutInCell="1" allowOverlap="1" wp14:anchorId="1D487B9C" wp14:editId="6A92C2D9">
            <wp:simplePos x="0" y="0"/>
            <wp:positionH relativeFrom="page">
              <wp:posOffset>-515</wp:posOffset>
            </wp:positionH>
            <wp:positionV relativeFrom="page">
              <wp:posOffset>86</wp:posOffset>
            </wp:positionV>
            <wp:extent cx="7555230" cy="10687050"/>
            <wp:effectExtent l="0" t="0" r="7620" b="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18-0084 - SCH - NSRB SES Score Review_Report Template - Cover_01.jpg"/>
                    <pic:cNvPicPr/>
                  </pic:nvPicPr>
                  <pic:blipFill>
                    <a:blip r:embed="rId11" cstate="print">
                      <a:extLst>
                        <a:ext uri="{28A0092B-C50C-407E-A947-70E740481C1C}">
                          <a14:useLocalDpi xmlns:a14="http://schemas.microsoft.com/office/drawing/2010/main"/>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p>
    <w:p w14:paraId="48114BEF" w14:textId="77777777" w:rsidR="00CD7C81" w:rsidRPr="00730C0D" w:rsidRDefault="00CD7C81" w:rsidP="00D31B9A">
      <w:pPr>
        <w:pStyle w:val="Title"/>
        <w:spacing w:before="0" w:line="259" w:lineRule="auto"/>
        <w:rPr>
          <w:rFonts w:ascii="Century Gothic" w:hAnsi="Century Gothic"/>
          <w:b/>
          <w:sz w:val="20"/>
          <w:szCs w:val="20"/>
        </w:rPr>
      </w:pPr>
    </w:p>
    <w:p w14:paraId="5A9AF547" w14:textId="507AE544" w:rsidR="0014126D" w:rsidRPr="00730C0D" w:rsidRDefault="00AA2658" w:rsidP="00D31B9A">
      <w:pPr>
        <w:pStyle w:val="Title"/>
        <w:spacing w:before="0" w:line="259" w:lineRule="auto"/>
        <w:rPr>
          <w:rFonts w:ascii="Century Gothic" w:hAnsi="Century Gothic" w:cs="Arial"/>
          <w:sz w:val="48"/>
          <w:szCs w:val="48"/>
        </w:rPr>
      </w:pPr>
      <w:r w:rsidRPr="00730C0D">
        <w:rPr>
          <w:rFonts w:ascii="Century Gothic" w:hAnsi="Century Gothic" w:cs="Arial"/>
          <w:b/>
          <w:szCs w:val="52"/>
        </w:rPr>
        <w:t xml:space="preserve">What’s in a </w:t>
      </w:r>
      <w:r w:rsidR="007F3D98" w:rsidRPr="00730C0D">
        <w:rPr>
          <w:rFonts w:ascii="Century Gothic" w:hAnsi="Century Gothic" w:cs="Arial"/>
          <w:b/>
          <w:szCs w:val="52"/>
        </w:rPr>
        <w:t>N</w:t>
      </w:r>
      <w:r w:rsidRPr="00730C0D">
        <w:rPr>
          <w:rFonts w:ascii="Century Gothic" w:hAnsi="Century Gothic" w:cs="Arial"/>
          <w:b/>
          <w:szCs w:val="52"/>
        </w:rPr>
        <w:t>ame</w:t>
      </w:r>
      <w:r w:rsidR="0014126D" w:rsidRPr="00730C0D">
        <w:rPr>
          <w:rFonts w:ascii="Century Gothic" w:hAnsi="Century Gothic" w:cs="Arial"/>
          <w:b/>
          <w:szCs w:val="52"/>
        </w:rPr>
        <w:t>?</w:t>
      </w:r>
      <w:r w:rsidR="0014126D" w:rsidRPr="00730C0D">
        <w:rPr>
          <w:rFonts w:ascii="Century Gothic" w:hAnsi="Century Gothic" w:cs="Arial"/>
          <w:szCs w:val="52"/>
        </w:rPr>
        <w:t xml:space="preserve"> </w:t>
      </w:r>
      <w:r w:rsidR="0014126D" w:rsidRPr="00730C0D">
        <w:rPr>
          <w:rFonts w:ascii="Century Gothic" w:hAnsi="Century Gothic" w:cs="Arial"/>
          <w:szCs w:val="52"/>
        </w:rPr>
        <w:br/>
      </w:r>
      <w:r w:rsidR="0014126D" w:rsidRPr="00730C0D">
        <w:rPr>
          <w:rFonts w:ascii="Century Gothic" w:hAnsi="Century Gothic" w:cs="Arial"/>
          <w:sz w:val="48"/>
          <w:szCs w:val="48"/>
        </w:rPr>
        <w:t xml:space="preserve">Review of the </w:t>
      </w:r>
    </w:p>
    <w:p w14:paraId="05C07C63" w14:textId="77777777" w:rsidR="0014126D" w:rsidRPr="00730C0D" w:rsidRDefault="0014126D" w:rsidP="00D31B9A">
      <w:pPr>
        <w:pStyle w:val="Title"/>
        <w:spacing w:before="0" w:line="259" w:lineRule="auto"/>
        <w:rPr>
          <w:rFonts w:ascii="Century Gothic" w:hAnsi="Century Gothic" w:cs="Arial"/>
          <w:sz w:val="48"/>
          <w:szCs w:val="48"/>
        </w:rPr>
      </w:pPr>
      <w:r w:rsidRPr="00730C0D">
        <w:rPr>
          <w:rFonts w:ascii="Century Gothic" w:hAnsi="Century Gothic" w:cs="Arial"/>
          <w:sz w:val="48"/>
          <w:szCs w:val="48"/>
        </w:rPr>
        <w:t xml:space="preserve">Higher Education Provider </w:t>
      </w:r>
    </w:p>
    <w:p w14:paraId="4470A267" w14:textId="77777777" w:rsidR="0014126D" w:rsidRPr="00730C0D" w:rsidRDefault="0014126D" w:rsidP="00D31B9A">
      <w:pPr>
        <w:pStyle w:val="Title"/>
        <w:spacing w:before="0" w:line="259" w:lineRule="auto"/>
        <w:rPr>
          <w:rFonts w:ascii="Century Gothic" w:hAnsi="Century Gothic" w:cs="Arial"/>
          <w:sz w:val="48"/>
          <w:szCs w:val="48"/>
        </w:rPr>
      </w:pPr>
      <w:r w:rsidRPr="00730C0D">
        <w:rPr>
          <w:rFonts w:ascii="Century Gothic" w:hAnsi="Century Gothic" w:cs="Arial"/>
          <w:sz w:val="48"/>
          <w:szCs w:val="48"/>
        </w:rPr>
        <w:t xml:space="preserve">Category Standards </w:t>
      </w:r>
    </w:p>
    <w:p w14:paraId="30132B5A" w14:textId="77777777" w:rsidR="00CD7C81" w:rsidRPr="00730C0D" w:rsidRDefault="00CD7C81" w:rsidP="00D31B9A">
      <w:pPr>
        <w:pStyle w:val="Subtitle"/>
        <w:spacing w:before="0" w:after="0" w:line="259" w:lineRule="auto"/>
        <w:rPr>
          <w:rFonts w:ascii="Century Gothic" w:hAnsi="Century Gothic" w:cs="Arial"/>
          <w:sz w:val="20"/>
          <w:szCs w:val="20"/>
        </w:rPr>
      </w:pPr>
    </w:p>
    <w:p w14:paraId="1B2A29B9" w14:textId="77777777" w:rsidR="003A178A" w:rsidRPr="00730C0D" w:rsidRDefault="003A178A" w:rsidP="00D31B9A">
      <w:pPr>
        <w:pStyle w:val="Subtitle"/>
        <w:spacing w:before="0" w:after="0" w:line="259" w:lineRule="auto"/>
        <w:rPr>
          <w:rFonts w:ascii="Century Gothic" w:hAnsi="Century Gothic" w:cs="Arial"/>
          <w:sz w:val="40"/>
          <w:szCs w:val="40"/>
        </w:rPr>
      </w:pPr>
    </w:p>
    <w:p w14:paraId="6A72DEAE" w14:textId="4292F768" w:rsidR="0014126D" w:rsidRPr="00730C0D" w:rsidRDefault="0014126D" w:rsidP="00D31B9A">
      <w:pPr>
        <w:pStyle w:val="Subtitle"/>
        <w:spacing w:before="0" w:after="0" w:line="259" w:lineRule="auto"/>
        <w:rPr>
          <w:rFonts w:ascii="Century Gothic" w:hAnsi="Century Gothic" w:cs="Arial"/>
          <w:sz w:val="38"/>
          <w:szCs w:val="38"/>
        </w:rPr>
      </w:pPr>
      <w:r w:rsidRPr="00730C0D">
        <w:rPr>
          <w:rFonts w:ascii="Century Gothic" w:hAnsi="Century Gothic" w:cs="Arial"/>
          <w:sz w:val="38"/>
          <w:szCs w:val="38"/>
        </w:rPr>
        <w:t>final report</w:t>
      </w:r>
    </w:p>
    <w:p w14:paraId="45B051CA" w14:textId="5F1C338E" w:rsidR="0014126D" w:rsidRPr="00730C0D" w:rsidRDefault="00DA27E0" w:rsidP="003A178A">
      <w:pPr>
        <w:pStyle w:val="Subtitle"/>
        <w:spacing w:before="0" w:after="0" w:line="259" w:lineRule="auto"/>
        <w:ind w:left="6480"/>
        <w:rPr>
          <w:rFonts w:ascii="Century Gothic" w:hAnsi="Century Gothic" w:cs="Arial"/>
          <w:sz w:val="26"/>
          <w:szCs w:val="26"/>
        </w:rPr>
      </w:pPr>
      <w:r w:rsidRPr="00730C0D">
        <w:rPr>
          <w:rFonts w:ascii="Century Gothic" w:hAnsi="Century Gothic" w:cs="Arial"/>
          <w:sz w:val="26"/>
          <w:szCs w:val="26"/>
        </w:rPr>
        <w:t xml:space="preserve">September </w:t>
      </w:r>
      <w:r w:rsidR="0014126D" w:rsidRPr="00730C0D">
        <w:rPr>
          <w:rFonts w:ascii="Century Gothic" w:hAnsi="Century Gothic" w:cs="Arial"/>
          <w:sz w:val="26"/>
          <w:szCs w:val="26"/>
        </w:rPr>
        <w:t>2019</w:t>
      </w:r>
    </w:p>
    <w:p w14:paraId="183E816F" w14:textId="77777777" w:rsidR="00CD7C81" w:rsidRPr="00730C0D" w:rsidRDefault="00CD7C81" w:rsidP="00D31B9A">
      <w:pPr>
        <w:pStyle w:val="Subtitle"/>
        <w:spacing w:before="0" w:after="0" w:line="259" w:lineRule="auto"/>
        <w:rPr>
          <w:rFonts w:ascii="Century Gothic" w:hAnsi="Century Gothic" w:cs="Arial"/>
          <w:sz w:val="28"/>
          <w:szCs w:val="28"/>
        </w:rPr>
      </w:pPr>
    </w:p>
    <w:p w14:paraId="30F84B01" w14:textId="77777777" w:rsidR="0014126D" w:rsidRPr="00730C0D" w:rsidRDefault="0014126D" w:rsidP="00D31B9A">
      <w:pPr>
        <w:pStyle w:val="Subtitle"/>
        <w:spacing w:before="0" w:after="0" w:line="259" w:lineRule="auto"/>
        <w:rPr>
          <w:rFonts w:ascii="Century Gothic" w:hAnsi="Century Gothic"/>
          <w:sz w:val="20"/>
          <w:szCs w:val="20"/>
        </w:rPr>
      </w:pPr>
      <w:r w:rsidRPr="00730C0D">
        <w:rPr>
          <w:rFonts w:ascii="Century Gothic" w:hAnsi="Century Gothic" w:cs="Arial"/>
          <w:sz w:val="26"/>
          <w:szCs w:val="26"/>
        </w:rPr>
        <w:t>EMERITUS Professor Peter Coaldrake</w:t>
      </w:r>
      <w:r w:rsidRPr="00730C0D">
        <w:rPr>
          <w:rFonts w:ascii="Century Gothic" w:hAnsi="Century Gothic" w:cs="Arial"/>
          <w:sz w:val="28"/>
          <w:szCs w:val="28"/>
        </w:rPr>
        <w:t xml:space="preserve"> </w:t>
      </w:r>
      <w:r w:rsidRPr="00730C0D">
        <w:rPr>
          <w:rFonts w:ascii="Century Gothic" w:hAnsi="Century Gothic" w:cs="Arial"/>
          <w:sz w:val="22"/>
        </w:rPr>
        <w:t>AO</w:t>
      </w:r>
    </w:p>
    <w:p w14:paraId="40622A5F" w14:textId="77777777" w:rsidR="0014126D" w:rsidRPr="00730C0D" w:rsidRDefault="0014126D" w:rsidP="00D31B9A">
      <w:pPr>
        <w:tabs>
          <w:tab w:val="left" w:pos="5130"/>
        </w:tabs>
        <w:spacing w:before="0" w:after="0"/>
        <w:rPr>
          <w:rFonts w:ascii="Century Gothic" w:hAnsi="Century Gothic" w:cstheme="minorHAnsi"/>
          <w:b/>
          <w:sz w:val="20"/>
          <w:szCs w:val="20"/>
        </w:rPr>
      </w:pPr>
      <w:r w:rsidRPr="00730C0D">
        <w:rPr>
          <w:rFonts w:ascii="Century Gothic" w:hAnsi="Century Gothic" w:cstheme="minorHAnsi"/>
          <w:b/>
          <w:sz w:val="20"/>
          <w:szCs w:val="20"/>
        </w:rPr>
        <w:br w:type="page"/>
      </w:r>
    </w:p>
    <w:p w14:paraId="11006385" w14:textId="45B78F07" w:rsidR="0014126D" w:rsidRPr="00730C0D" w:rsidRDefault="0014126D" w:rsidP="00D31B9A">
      <w:pPr>
        <w:tabs>
          <w:tab w:val="left" w:pos="5130"/>
        </w:tabs>
        <w:spacing w:before="0" w:after="0"/>
        <w:rPr>
          <w:rFonts w:ascii="Century Gothic" w:hAnsi="Century Gothic" w:cstheme="minorHAnsi"/>
          <w:b/>
          <w:sz w:val="20"/>
          <w:szCs w:val="20"/>
        </w:rPr>
      </w:pPr>
      <w:r w:rsidRPr="00730C0D">
        <w:rPr>
          <w:rFonts w:ascii="Century Gothic" w:hAnsi="Century Gothic" w:cstheme="minorHAnsi"/>
          <w:b/>
          <w:sz w:val="20"/>
          <w:szCs w:val="20"/>
        </w:rPr>
        <w:lastRenderedPageBreak/>
        <w:t xml:space="preserve">Final </w:t>
      </w:r>
      <w:r w:rsidR="004978DA" w:rsidRPr="00730C0D">
        <w:rPr>
          <w:rFonts w:ascii="Century Gothic" w:hAnsi="Century Gothic" w:cstheme="minorHAnsi"/>
          <w:b/>
          <w:sz w:val="20"/>
          <w:szCs w:val="20"/>
        </w:rPr>
        <w:t>R</w:t>
      </w:r>
      <w:r w:rsidRPr="00730C0D">
        <w:rPr>
          <w:rFonts w:ascii="Century Gothic" w:hAnsi="Century Gothic" w:cstheme="minorHAnsi"/>
          <w:b/>
          <w:sz w:val="20"/>
          <w:szCs w:val="20"/>
        </w:rPr>
        <w:t>eport</w:t>
      </w:r>
    </w:p>
    <w:p w14:paraId="56F69319" w14:textId="77777777" w:rsidR="0014126D" w:rsidRPr="00730C0D" w:rsidRDefault="0014126D" w:rsidP="00D31B9A">
      <w:pPr>
        <w:pStyle w:val="NormalWeb"/>
        <w:keepNext/>
        <w:spacing w:before="0" w:line="259" w:lineRule="auto"/>
        <w:jc w:val="both"/>
        <w:rPr>
          <w:rFonts w:ascii="Century Gothic" w:hAnsi="Century Gothic" w:cstheme="minorHAnsi"/>
          <w:sz w:val="20"/>
          <w:szCs w:val="20"/>
        </w:rPr>
      </w:pPr>
      <w:r w:rsidRPr="00730C0D">
        <w:rPr>
          <w:rFonts w:ascii="Century Gothic" w:hAnsi="Century Gothic" w:cstheme="minorHAnsi"/>
          <w:color w:val="000000"/>
          <w:sz w:val="20"/>
          <w:szCs w:val="20"/>
        </w:rPr>
        <w:t xml:space="preserve">© Commonwealth of Australia </w:t>
      </w:r>
      <w:r w:rsidRPr="00730C0D">
        <w:rPr>
          <w:rFonts w:ascii="Century Gothic" w:hAnsi="Century Gothic" w:cstheme="minorHAnsi"/>
          <w:sz w:val="20"/>
          <w:szCs w:val="20"/>
        </w:rPr>
        <w:t>2019</w:t>
      </w:r>
    </w:p>
    <w:p w14:paraId="4C75FF3F" w14:textId="57F2C57F" w:rsidR="0014126D" w:rsidRPr="00730C0D" w:rsidRDefault="0014126D" w:rsidP="00D31B9A">
      <w:pPr>
        <w:pStyle w:val="NormalWeb"/>
        <w:keepNext/>
        <w:spacing w:before="0" w:line="259" w:lineRule="auto"/>
        <w:jc w:val="both"/>
        <w:rPr>
          <w:rFonts w:ascii="Century Gothic" w:hAnsi="Century Gothic" w:cstheme="minorHAnsi"/>
          <w:sz w:val="20"/>
          <w:szCs w:val="20"/>
          <w:lang w:eastAsia="en-AU"/>
        </w:rPr>
      </w:pPr>
      <w:r w:rsidRPr="00730C0D">
        <w:rPr>
          <w:rFonts w:ascii="Century Gothic" w:hAnsi="Century Gothic" w:cstheme="minorHAnsi"/>
          <w:b/>
          <w:sz w:val="20"/>
          <w:szCs w:val="20"/>
        </w:rPr>
        <w:t xml:space="preserve">ISBN </w:t>
      </w:r>
      <w:r w:rsidR="001D7F4D" w:rsidRPr="00730C0D">
        <w:rPr>
          <w:rFonts w:ascii="Century Gothic" w:hAnsi="Century Gothic" w:cstheme="minorHAnsi"/>
          <w:b/>
          <w:sz w:val="20"/>
          <w:szCs w:val="20"/>
        </w:rPr>
        <w:t>978-1-76051-816-5</w:t>
      </w:r>
      <w:r w:rsidRPr="00730C0D">
        <w:rPr>
          <w:rFonts w:ascii="Century Gothic" w:hAnsi="Century Gothic" w:cstheme="minorHAnsi"/>
          <w:b/>
          <w:sz w:val="20"/>
          <w:szCs w:val="20"/>
        </w:rPr>
        <w:t xml:space="preserve"> </w:t>
      </w:r>
      <w:r w:rsidRPr="00730C0D">
        <w:rPr>
          <w:rFonts w:ascii="Century Gothic" w:hAnsi="Century Gothic" w:cstheme="minorHAnsi"/>
          <w:color w:val="000000"/>
          <w:sz w:val="20"/>
          <w:szCs w:val="20"/>
        </w:rPr>
        <w:t>(PDF)</w:t>
      </w:r>
    </w:p>
    <w:p w14:paraId="65CDF391" w14:textId="76BEC108" w:rsidR="0014126D" w:rsidRPr="00730C0D" w:rsidRDefault="0014126D" w:rsidP="00D31B9A">
      <w:pPr>
        <w:pStyle w:val="NormalWeb"/>
        <w:keepNext/>
        <w:spacing w:before="0" w:line="259" w:lineRule="auto"/>
        <w:jc w:val="both"/>
        <w:rPr>
          <w:rFonts w:ascii="Century Gothic" w:hAnsi="Century Gothic" w:cstheme="minorHAnsi"/>
          <w:color w:val="000000"/>
          <w:sz w:val="20"/>
          <w:szCs w:val="20"/>
        </w:rPr>
      </w:pPr>
      <w:r w:rsidRPr="00730C0D">
        <w:rPr>
          <w:rFonts w:ascii="Century Gothic" w:hAnsi="Century Gothic" w:cstheme="minorHAnsi"/>
          <w:b/>
          <w:sz w:val="20"/>
          <w:szCs w:val="20"/>
        </w:rPr>
        <w:t xml:space="preserve">ISBN </w:t>
      </w:r>
      <w:r w:rsidR="001D7F4D" w:rsidRPr="00730C0D">
        <w:rPr>
          <w:rFonts w:ascii="Century Gothic" w:hAnsi="Century Gothic" w:cstheme="minorHAnsi"/>
          <w:b/>
          <w:sz w:val="20"/>
          <w:szCs w:val="20"/>
        </w:rPr>
        <w:t>978-1-76051-817-2</w:t>
      </w:r>
      <w:r w:rsidR="00DA27E0" w:rsidRPr="00730C0D">
        <w:rPr>
          <w:rFonts w:ascii="Century Gothic" w:hAnsi="Century Gothic" w:cstheme="minorHAnsi"/>
          <w:b/>
          <w:sz w:val="20"/>
          <w:szCs w:val="20"/>
        </w:rPr>
        <w:t xml:space="preserve"> </w:t>
      </w:r>
      <w:r w:rsidRPr="00730C0D">
        <w:rPr>
          <w:rFonts w:ascii="Century Gothic" w:hAnsi="Century Gothic" w:cstheme="minorHAnsi"/>
          <w:color w:val="000000"/>
          <w:sz w:val="20"/>
          <w:szCs w:val="20"/>
        </w:rPr>
        <w:t>(DOCX)</w:t>
      </w:r>
    </w:p>
    <w:p w14:paraId="29060028" w14:textId="77777777" w:rsidR="0014126D" w:rsidRPr="00730C0D" w:rsidRDefault="0014126D" w:rsidP="00D31B9A">
      <w:pPr>
        <w:pStyle w:val="numberedpara"/>
        <w:keepNext/>
        <w:numPr>
          <w:ilvl w:val="0"/>
          <w:numId w:val="0"/>
        </w:numPr>
        <w:tabs>
          <w:tab w:val="left" w:pos="720"/>
        </w:tabs>
        <w:spacing w:line="259" w:lineRule="auto"/>
        <w:jc w:val="both"/>
        <w:rPr>
          <w:rFonts w:ascii="Century Gothic" w:hAnsi="Century Gothic" w:cstheme="minorHAnsi"/>
          <w:sz w:val="20"/>
          <w:szCs w:val="20"/>
        </w:rPr>
      </w:pPr>
      <w:r w:rsidRPr="00730C0D">
        <w:rPr>
          <w:rFonts w:ascii="Century Gothic" w:hAnsi="Century Gothic" w:cstheme="minorHAnsi"/>
          <w:noProof/>
          <w:sz w:val="20"/>
          <w:szCs w:val="20"/>
        </w:rPr>
        <w:drawing>
          <wp:inline distT="0" distB="0" distL="0" distR="0" wp14:anchorId="17701F65" wp14:editId="43711BDE">
            <wp:extent cx="847725" cy="285750"/>
            <wp:effectExtent l="0" t="0" r="9525" b="0"/>
            <wp:docPr id="6" name="Picture 6" descr="cid:image003.jpg@01D31CB3.AC4B5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31CB3.AC4B5C2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847725" cy="285750"/>
                    </a:xfrm>
                    <a:prstGeom prst="rect">
                      <a:avLst/>
                    </a:prstGeom>
                    <a:noFill/>
                    <a:ln>
                      <a:noFill/>
                    </a:ln>
                  </pic:spPr>
                </pic:pic>
              </a:graphicData>
            </a:graphic>
          </wp:inline>
        </w:drawing>
      </w:r>
    </w:p>
    <w:p w14:paraId="6640C962" w14:textId="77777777" w:rsidR="0014126D" w:rsidRPr="00730C0D" w:rsidRDefault="0014126D" w:rsidP="00D31B9A">
      <w:pPr>
        <w:spacing w:before="0" w:after="0"/>
        <w:rPr>
          <w:rFonts w:ascii="Century Gothic" w:hAnsi="Century Gothic" w:cstheme="minorHAnsi"/>
          <w:sz w:val="20"/>
          <w:szCs w:val="20"/>
        </w:rPr>
      </w:pPr>
    </w:p>
    <w:p w14:paraId="5E7AA00C" w14:textId="77777777" w:rsidR="0014126D" w:rsidRPr="00730C0D" w:rsidRDefault="0014126D" w:rsidP="00D31B9A">
      <w:pPr>
        <w:spacing w:before="0" w:after="0"/>
        <w:rPr>
          <w:rFonts w:ascii="Century Gothic" w:hAnsi="Century Gothic" w:cstheme="minorHAnsi"/>
          <w:color w:val="000000"/>
          <w:sz w:val="20"/>
          <w:szCs w:val="20"/>
        </w:rPr>
      </w:pPr>
      <w:r w:rsidRPr="00730C0D">
        <w:rPr>
          <w:rFonts w:ascii="Century Gothic" w:hAnsi="Century Gothic" w:cstheme="minorHAnsi"/>
          <w:sz w:val="20"/>
          <w:szCs w:val="20"/>
        </w:rPr>
        <w:t xml:space="preserve">Any material protected by a trademark and where otherwise noted all material presented in this document is provided under a Creative Commons Attribution 4.0 International licence. </w:t>
      </w:r>
    </w:p>
    <w:p w14:paraId="215AD855" w14:textId="03745F79" w:rsidR="0014126D" w:rsidRPr="00730C0D" w:rsidRDefault="0014126D" w:rsidP="00D31B9A">
      <w:pPr>
        <w:spacing w:before="0" w:after="0"/>
        <w:rPr>
          <w:rFonts w:ascii="Century Gothic" w:hAnsi="Century Gothic" w:cstheme="minorHAnsi"/>
          <w:sz w:val="20"/>
          <w:szCs w:val="20"/>
        </w:rPr>
      </w:pPr>
      <w:r w:rsidRPr="00730C0D">
        <w:rPr>
          <w:rFonts w:ascii="Century Gothic" w:hAnsi="Century Gothic" w:cstheme="minorHAnsi"/>
          <w:sz w:val="20"/>
          <w:szCs w:val="20"/>
        </w:rPr>
        <w:t>The details of the relevant licence conditions are available on the Creative Commons website (</w:t>
      </w:r>
      <w:hyperlink r:id="rId14" w:tooltip="web link to creative commons licencing conditions" w:history="1">
        <w:r w:rsidRPr="00730C0D">
          <w:rPr>
            <w:rStyle w:val="Hyperlink"/>
            <w:rFonts w:ascii="Century Gothic" w:hAnsi="Century Gothic" w:cstheme="minorHAnsi"/>
            <w:sz w:val="20"/>
            <w:szCs w:val="20"/>
          </w:rPr>
          <w:t>https://creativecommons.org/licenses/by/4.0/</w:t>
        </w:r>
      </w:hyperlink>
      <w:r w:rsidRPr="00730C0D">
        <w:rPr>
          <w:rFonts w:ascii="Century Gothic" w:hAnsi="Century Gothic" w:cstheme="minorHAnsi"/>
          <w:sz w:val="20"/>
          <w:szCs w:val="20"/>
        </w:rPr>
        <w:t>) as is the full legal code (</w:t>
      </w:r>
      <w:hyperlink r:id="rId15" w:tooltip="web link to creative commons legal code" w:history="1">
        <w:r w:rsidRPr="00730C0D">
          <w:rPr>
            <w:rStyle w:val="Hyperlink"/>
            <w:rFonts w:ascii="Century Gothic" w:hAnsi="Century Gothic" w:cstheme="minorHAnsi"/>
            <w:sz w:val="20"/>
            <w:szCs w:val="20"/>
          </w:rPr>
          <w:t>https://creativecommons.org/licenses/by/4.0/legalcode</w:t>
        </w:r>
      </w:hyperlink>
      <w:r w:rsidRPr="00730C0D">
        <w:rPr>
          <w:rFonts w:ascii="Century Gothic" w:hAnsi="Century Gothic" w:cstheme="minorHAnsi"/>
          <w:sz w:val="20"/>
          <w:szCs w:val="20"/>
        </w:rPr>
        <w:t>)</w:t>
      </w:r>
      <w:r w:rsidR="00DA27E0" w:rsidRPr="00730C0D">
        <w:rPr>
          <w:rFonts w:ascii="Century Gothic" w:hAnsi="Century Gothic" w:cstheme="minorHAnsi"/>
          <w:sz w:val="20"/>
          <w:szCs w:val="20"/>
        </w:rPr>
        <w:t>.</w:t>
      </w:r>
    </w:p>
    <w:p w14:paraId="352A04E7" w14:textId="77777777" w:rsidR="0014126D" w:rsidRPr="00730C0D" w:rsidRDefault="0014126D" w:rsidP="00D31B9A">
      <w:pPr>
        <w:spacing w:before="0" w:after="0"/>
        <w:rPr>
          <w:rFonts w:ascii="Century Gothic" w:hAnsi="Century Gothic" w:cstheme="minorHAnsi"/>
          <w:sz w:val="20"/>
          <w:szCs w:val="20"/>
        </w:rPr>
      </w:pPr>
    </w:p>
    <w:p w14:paraId="280AEB76" w14:textId="77777777" w:rsidR="0014126D" w:rsidRPr="00730C0D" w:rsidRDefault="0014126D" w:rsidP="00D31B9A">
      <w:pPr>
        <w:spacing w:before="0" w:after="0"/>
        <w:rPr>
          <w:rFonts w:ascii="Century Gothic" w:hAnsi="Century Gothic" w:cstheme="minorHAnsi"/>
          <w:sz w:val="20"/>
          <w:szCs w:val="20"/>
        </w:rPr>
      </w:pPr>
      <w:r w:rsidRPr="00730C0D">
        <w:rPr>
          <w:rFonts w:ascii="Century Gothic" w:hAnsi="Century Gothic" w:cstheme="minorHAnsi"/>
          <w:sz w:val="20"/>
          <w:szCs w:val="20"/>
        </w:rPr>
        <w:t>As far as practicable, material for which the copyright is owned by a third party will be clearly labelled. All reasonable efforts have been made to ensure that this material has been reproduced in this document with the full consent of the copyright owners.</w:t>
      </w:r>
    </w:p>
    <w:p w14:paraId="45F7C3AA" w14:textId="77777777" w:rsidR="0014126D" w:rsidRPr="00730C0D" w:rsidRDefault="0014126D" w:rsidP="00D31B9A">
      <w:pPr>
        <w:spacing w:before="0" w:after="0"/>
        <w:rPr>
          <w:rFonts w:ascii="Century Gothic" w:hAnsi="Century Gothic" w:cstheme="minorHAnsi"/>
          <w:sz w:val="20"/>
          <w:szCs w:val="20"/>
        </w:rPr>
      </w:pPr>
    </w:p>
    <w:p w14:paraId="4D1A3AA2" w14:textId="77777777" w:rsidR="0014126D" w:rsidRPr="00730C0D" w:rsidRDefault="0014126D" w:rsidP="00D31B9A">
      <w:pPr>
        <w:spacing w:before="0" w:after="0"/>
        <w:rPr>
          <w:rFonts w:ascii="Century Gothic" w:hAnsi="Century Gothic" w:cstheme="minorHAnsi"/>
          <w:sz w:val="20"/>
          <w:szCs w:val="20"/>
        </w:rPr>
      </w:pPr>
      <w:r w:rsidRPr="00730C0D">
        <w:rPr>
          <w:rFonts w:ascii="Century Gothic" w:hAnsi="Century Gothic" w:cstheme="minorHAnsi"/>
          <w:sz w:val="20"/>
          <w:szCs w:val="20"/>
        </w:rPr>
        <w:t>Copyright requests and enquiries concerning further authorisation should be addressed to:</w:t>
      </w:r>
    </w:p>
    <w:p w14:paraId="02482595" w14:textId="650F127F" w:rsidR="0014126D" w:rsidRPr="00730C0D" w:rsidRDefault="0014126D" w:rsidP="00D31B9A">
      <w:pPr>
        <w:spacing w:before="0" w:after="0"/>
        <w:ind w:left="720"/>
        <w:rPr>
          <w:rFonts w:ascii="Century Gothic" w:hAnsi="Century Gothic" w:cstheme="minorHAnsi"/>
          <w:color w:val="000000"/>
          <w:sz w:val="20"/>
          <w:szCs w:val="20"/>
        </w:rPr>
      </w:pPr>
      <w:r w:rsidRPr="00730C0D">
        <w:rPr>
          <w:rFonts w:ascii="Century Gothic" w:hAnsi="Century Gothic" w:cstheme="minorHAnsi"/>
          <w:sz w:val="20"/>
          <w:szCs w:val="20"/>
          <w:lang w:eastAsia="en-AU"/>
        </w:rPr>
        <w:t xml:space="preserve">The Copyright Officer, Department of Education, Location code C50MA10 </w:t>
      </w:r>
      <w:r w:rsidRPr="00730C0D">
        <w:rPr>
          <w:rFonts w:ascii="Century Gothic" w:hAnsi="Century Gothic" w:cstheme="minorHAnsi"/>
          <w:sz w:val="20"/>
          <w:szCs w:val="20"/>
          <w:lang w:eastAsia="en-AU"/>
        </w:rPr>
        <w:br/>
        <w:t xml:space="preserve">GPO Box 9880 Canberra ACT 2601 or emailed to </w:t>
      </w:r>
      <w:hyperlink r:id="rId16" w:history="1">
        <w:r w:rsidRPr="00730C0D">
          <w:rPr>
            <w:rStyle w:val="Hyperlink"/>
            <w:rFonts w:ascii="Century Gothic" w:hAnsi="Century Gothic" w:cstheme="minorHAnsi"/>
            <w:sz w:val="20"/>
            <w:szCs w:val="20"/>
          </w:rPr>
          <w:t>copyright@education.gov.au</w:t>
        </w:r>
      </w:hyperlink>
      <w:r w:rsidRPr="00730C0D">
        <w:rPr>
          <w:rFonts w:ascii="Century Gothic" w:hAnsi="Century Gothic" w:cstheme="minorHAnsi"/>
          <w:color w:val="000000"/>
          <w:sz w:val="20"/>
          <w:szCs w:val="20"/>
        </w:rPr>
        <w:t>.</w:t>
      </w:r>
    </w:p>
    <w:p w14:paraId="24D6789B" w14:textId="77777777" w:rsidR="0014126D" w:rsidRPr="00730C0D" w:rsidRDefault="0014126D" w:rsidP="00D31B9A">
      <w:pPr>
        <w:spacing w:before="0" w:after="0"/>
        <w:rPr>
          <w:rFonts w:ascii="Century Gothic" w:hAnsi="Century Gothic" w:cstheme="minorHAnsi"/>
          <w:color w:val="000000"/>
          <w:sz w:val="20"/>
          <w:szCs w:val="20"/>
        </w:rPr>
      </w:pPr>
    </w:p>
    <w:p w14:paraId="52DDA3FB" w14:textId="3A897DD0" w:rsidR="0014126D" w:rsidRPr="00730C0D" w:rsidRDefault="0014126D" w:rsidP="00D31B9A">
      <w:pPr>
        <w:spacing w:before="0" w:after="0"/>
        <w:rPr>
          <w:rFonts w:ascii="Century Gothic" w:hAnsi="Century Gothic" w:cstheme="minorHAnsi"/>
          <w:sz w:val="20"/>
          <w:szCs w:val="20"/>
          <w:lang w:eastAsia="en-AU"/>
        </w:rPr>
      </w:pPr>
      <w:r w:rsidRPr="00730C0D">
        <w:rPr>
          <w:rFonts w:ascii="Century Gothic" w:hAnsi="Century Gothic" w:cstheme="minorHAnsi"/>
          <w:color w:val="000000"/>
          <w:sz w:val="20"/>
          <w:szCs w:val="20"/>
        </w:rPr>
        <w:t>Where a copyright owner other than the Commonwealth is identified with respect to this material, please contact that third party copyright owner directly to seek permission.</w:t>
      </w:r>
    </w:p>
    <w:p w14:paraId="1BE8C494" w14:textId="77777777" w:rsidR="0014126D" w:rsidRPr="00730C0D" w:rsidRDefault="0014126D" w:rsidP="00D31B9A">
      <w:pPr>
        <w:spacing w:before="0" w:after="0"/>
        <w:rPr>
          <w:rFonts w:ascii="Century Gothic" w:hAnsi="Century Gothic" w:cstheme="minorHAnsi"/>
          <w:sz w:val="20"/>
          <w:szCs w:val="20"/>
          <w:lang w:eastAsia="en-AU"/>
        </w:rPr>
      </w:pPr>
    </w:p>
    <w:p w14:paraId="4BCA26ED" w14:textId="77777777" w:rsidR="0014126D" w:rsidRPr="00730C0D" w:rsidRDefault="0014126D" w:rsidP="00D31B9A">
      <w:pPr>
        <w:spacing w:before="0" w:after="0"/>
        <w:rPr>
          <w:rFonts w:ascii="Century Gothic" w:hAnsi="Century Gothic" w:cstheme="minorHAnsi"/>
          <w:b/>
          <w:sz w:val="20"/>
          <w:szCs w:val="20"/>
          <w:lang w:eastAsia="en-AU"/>
        </w:rPr>
      </w:pPr>
      <w:r w:rsidRPr="00730C0D">
        <w:rPr>
          <w:rFonts w:ascii="Century Gothic" w:hAnsi="Century Gothic" w:cstheme="minorHAnsi"/>
          <w:b/>
          <w:sz w:val="20"/>
          <w:szCs w:val="20"/>
          <w:lang w:eastAsia="en-AU"/>
        </w:rPr>
        <w:t>Disclaimer</w:t>
      </w:r>
    </w:p>
    <w:p w14:paraId="25441EAD" w14:textId="3D96629D" w:rsidR="0014126D" w:rsidRPr="00730C0D" w:rsidRDefault="0014126D" w:rsidP="00D31B9A">
      <w:pPr>
        <w:spacing w:before="0" w:after="0"/>
        <w:rPr>
          <w:rFonts w:ascii="Century Gothic" w:hAnsi="Century Gothic"/>
          <w:sz w:val="20"/>
          <w:szCs w:val="20"/>
          <w:lang w:eastAsia="en-AU"/>
        </w:rPr>
      </w:pPr>
      <w:r w:rsidRPr="00730C0D">
        <w:rPr>
          <w:rFonts w:ascii="Century Gothic" w:hAnsi="Century Gothic"/>
          <w:sz w:val="20"/>
          <w:szCs w:val="20"/>
          <w:lang w:eastAsia="en-AU"/>
        </w:rPr>
        <w:t xml:space="preserve">As this is an independent review, the </w:t>
      </w:r>
      <w:r w:rsidR="00620445" w:rsidRPr="00730C0D">
        <w:rPr>
          <w:rFonts w:ascii="Century Gothic" w:hAnsi="Century Gothic"/>
          <w:sz w:val="20"/>
          <w:szCs w:val="20"/>
          <w:lang w:eastAsia="en-AU"/>
        </w:rPr>
        <w:t>F</w:t>
      </w:r>
      <w:r w:rsidR="000458A8" w:rsidRPr="00730C0D">
        <w:rPr>
          <w:rFonts w:ascii="Century Gothic" w:hAnsi="Century Gothic"/>
          <w:sz w:val="20"/>
          <w:szCs w:val="20"/>
          <w:lang w:eastAsia="en-AU"/>
        </w:rPr>
        <w:t xml:space="preserve">inal </w:t>
      </w:r>
      <w:r w:rsidR="00620445" w:rsidRPr="00730C0D">
        <w:rPr>
          <w:rFonts w:ascii="Century Gothic" w:hAnsi="Century Gothic"/>
          <w:sz w:val="20"/>
          <w:szCs w:val="20"/>
          <w:lang w:eastAsia="en-AU"/>
        </w:rPr>
        <w:t>R</w:t>
      </w:r>
      <w:r w:rsidR="000458A8" w:rsidRPr="00730C0D">
        <w:rPr>
          <w:rFonts w:ascii="Century Gothic" w:hAnsi="Century Gothic"/>
          <w:sz w:val="20"/>
          <w:szCs w:val="20"/>
          <w:lang w:eastAsia="en-AU"/>
        </w:rPr>
        <w:t>eport</w:t>
      </w:r>
      <w:r w:rsidRPr="00730C0D">
        <w:rPr>
          <w:rFonts w:ascii="Century Gothic" w:hAnsi="Century Gothic"/>
          <w:sz w:val="20"/>
          <w:szCs w:val="20"/>
          <w:lang w:eastAsia="en-AU"/>
        </w:rPr>
        <w:t xml:space="preserve"> does not necessarily reflect the views of the Australian Government.</w:t>
      </w:r>
    </w:p>
    <w:p w14:paraId="41599EC0" w14:textId="77777777" w:rsidR="0014126D" w:rsidRPr="00730C0D" w:rsidRDefault="0014126D" w:rsidP="00D31B9A">
      <w:pPr>
        <w:spacing w:before="0" w:after="0"/>
        <w:rPr>
          <w:rFonts w:ascii="Century Gothic" w:hAnsi="Century Gothic"/>
          <w:sz w:val="20"/>
          <w:szCs w:val="20"/>
          <w:lang w:eastAsia="en-AU"/>
        </w:rPr>
      </w:pPr>
    </w:p>
    <w:p w14:paraId="262C05AA" w14:textId="33CC6879" w:rsidR="0014126D" w:rsidRPr="00730C0D" w:rsidRDefault="0014126D" w:rsidP="00D31B9A">
      <w:pPr>
        <w:spacing w:before="0" w:after="0"/>
        <w:rPr>
          <w:rFonts w:ascii="Century Gothic" w:hAnsi="Century Gothic"/>
          <w:sz w:val="20"/>
          <w:szCs w:val="20"/>
        </w:rPr>
      </w:pPr>
      <w:r w:rsidRPr="00730C0D">
        <w:rPr>
          <w:rFonts w:ascii="Century Gothic" w:hAnsi="Century Gothic"/>
          <w:sz w:val="20"/>
          <w:szCs w:val="20"/>
        </w:rPr>
        <w:t>This do</w:t>
      </w:r>
      <w:r w:rsidR="00151C74" w:rsidRPr="00730C0D">
        <w:rPr>
          <w:rFonts w:ascii="Century Gothic" w:hAnsi="Century Gothic"/>
          <w:sz w:val="20"/>
          <w:szCs w:val="20"/>
        </w:rPr>
        <w:t>cument must be attributed as:</w:t>
      </w:r>
      <w:r w:rsidRPr="00730C0D">
        <w:rPr>
          <w:rFonts w:ascii="Century Gothic" w:hAnsi="Century Gothic"/>
          <w:sz w:val="20"/>
          <w:szCs w:val="20"/>
        </w:rPr>
        <w:t xml:space="preserve"> </w:t>
      </w:r>
      <w:r w:rsidR="00151C74" w:rsidRPr="00730C0D">
        <w:rPr>
          <w:rFonts w:ascii="Century Gothic" w:hAnsi="Century Gothic"/>
          <w:i/>
          <w:sz w:val="20"/>
          <w:szCs w:val="20"/>
        </w:rPr>
        <w:t xml:space="preserve">What’s in a Name? </w:t>
      </w:r>
      <w:r w:rsidRPr="00730C0D">
        <w:rPr>
          <w:rFonts w:ascii="Century Gothic" w:hAnsi="Century Gothic"/>
          <w:i/>
          <w:sz w:val="20"/>
          <w:szCs w:val="20"/>
        </w:rPr>
        <w:t>Review of the Higher Education Provider Category Standards – Final Report</w:t>
      </w:r>
      <w:r w:rsidRPr="00730C0D">
        <w:rPr>
          <w:rFonts w:ascii="Century Gothic" w:hAnsi="Century Gothic"/>
          <w:sz w:val="20"/>
          <w:szCs w:val="20"/>
        </w:rPr>
        <w:t>.</w:t>
      </w:r>
    </w:p>
    <w:p w14:paraId="01E22367" w14:textId="77777777" w:rsidR="0014126D" w:rsidRPr="00730C0D" w:rsidRDefault="0014126D" w:rsidP="00D31B9A">
      <w:pPr>
        <w:spacing w:before="0" w:after="0"/>
        <w:rPr>
          <w:rFonts w:ascii="Century Gothic" w:hAnsi="Century Gothic"/>
          <w:sz w:val="20"/>
          <w:szCs w:val="20"/>
        </w:rPr>
      </w:pPr>
    </w:p>
    <w:p w14:paraId="5B74D552" w14:textId="77777777" w:rsidR="0014126D" w:rsidRPr="00730C0D" w:rsidRDefault="0014126D" w:rsidP="00D31B9A">
      <w:pPr>
        <w:spacing w:before="0" w:after="0"/>
        <w:rPr>
          <w:rFonts w:ascii="Century Gothic" w:hAnsi="Century Gothic" w:cstheme="minorHAnsi"/>
          <w:b/>
          <w:sz w:val="20"/>
          <w:szCs w:val="20"/>
        </w:rPr>
      </w:pPr>
      <w:r w:rsidRPr="00730C0D">
        <w:rPr>
          <w:rFonts w:ascii="Century Gothic" w:hAnsi="Century Gothic" w:cstheme="minorHAnsi"/>
          <w:b/>
          <w:sz w:val="20"/>
          <w:szCs w:val="20"/>
        </w:rPr>
        <w:t>Reviewer</w:t>
      </w:r>
    </w:p>
    <w:p w14:paraId="2C289FC2" w14:textId="77777777" w:rsidR="0014126D" w:rsidRPr="00730C0D" w:rsidRDefault="0014126D" w:rsidP="00D31B9A">
      <w:pPr>
        <w:spacing w:before="0" w:after="0"/>
        <w:contextualSpacing/>
        <w:rPr>
          <w:rFonts w:ascii="Century Gothic" w:hAnsi="Century Gothic" w:cstheme="minorHAnsi"/>
          <w:sz w:val="14"/>
          <w:szCs w:val="14"/>
        </w:rPr>
      </w:pPr>
      <w:r w:rsidRPr="00730C0D">
        <w:rPr>
          <w:rFonts w:ascii="Century Gothic" w:hAnsi="Century Gothic" w:cstheme="minorHAnsi"/>
          <w:sz w:val="20"/>
          <w:szCs w:val="20"/>
        </w:rPr>
        <w:t xml:space="preserve">Emeritus Professor Peter Coaldrake </w:t>
      </w:r>
      <w:r w:rsidRPr="00730C0D">
        <w:rPr>
          <w:rFonts w:ascii="Century Gothic" w:hAnsi="Century Gothic" w:cstheme="minorHAnsi"/>
          <w:sz w:val="16"/>
          <w:szCs w:val="16"/>
        </w:rPr>
        <w:t>AO</w:t>
      </w:r>
    </w:p>
    <w:p w14:paraId="2D858E59" w14:textId="77777777" w:rsidR="0014126D" w:rsidRPr="00730C0D" w:rsidRDefault="0014126D" w:rsidP="00D31B9A">
      <w:pPr>
        <w:spacing w:before="0" w:after="0"/>
        <w:contextualSpacing/>
        <w:rPr>
          <w:rFonts w:ascii="Century Gothic" w:hAnsi="Century Gothic" w:cstheme="minorHAnsi"/>
          <w:sz w:val="20"/>
          <w:szCs w:val="20"/>
        </w:rPr>
      </w:pPr>
    </w:p>
    <w:p w14:paraId="77B2C0FF" w14:textId="0F003C68" w:rsidR="0014126D" w:rsidRPr="00730C0D" w:rsidRDefault="0014126D" w:rsidP="00D31B9A">
      <w:pPr>
        <w:spacing w:before="0" w:after="0"/>
        <w:rPr>
          <w:rFonts w:ascii="Century Gothic" w:hAnsi="Century Gothic" w:cstheme="minorHAnsi"/>
          <w:b/>
          <w:sz w:val="20"/>
          <w:szCs w:val="20"/>
        </w:rPr>
      </w:pPr>
      <w:r w:rsidRPr="00730C0D">
        <w:rPr>
          <w:rFonts w:ascii="Century Gothic" w:hAnsi="Century Gothic" w:cstheme="minorHAnsi"/>
          <w:b/>
          <w:sz w:val="20"/>
          <w:szCs w:val="20"/>
        </w:rPr>
        <w:t>Higher Education Standards Panel</w:t>
      </w:r>
    </w:p>
    <w:p w14:paraId="1FA30095"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Professor Ian O'Connor </w:t>
      </w:r>
      <w:r w:rsidRPr="00730C0D">
        <w:rPr>
          <w:rFonts w:ascii="Century Gothic" w:hAnsi="Century Gothic" w:cstheme="minorHAnsi"/>
          <w:sz w:val="16"/>
          <w:szCs w:val="16"/>
        </w:rPr>
        <w:t>AC</w:t>
      </w:r>
      <w:r w:rsidRPr="00730C0D">
        <w:rPr>
          <w:rFonts w:ascii="Century Gothic" w:hAnsi="Century Gothic" w:cstheme="minorHAnsi"/>
          <w:sz w:val="14"/>
          <w:szCs w:val="14"/>
        </w:rPr>
        <w:t xml:space="preserve"> </w:t>
      </w:r>
      <w:r w:rsidRPr="00730C0D">
        <w:rPr>
          <w:rFonts w:ascii="Century Gothic" w:hAnsi="Century Gothic" w:cstheme="minorHAnsi"/>
          <w:sz w:val="20"/>
          <w:szCs w:val="20"/>
        </w:rPr>
        <w:t>(Chair)</w:t>
      </w:r>
    </w:p>
    <w:p w14:paraId="4B5A170A"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Professor Kerri-Lee Krause (Deputy Chair)</w:t>
      </w:r>
    </w:p>
    <w:p w14:paraId="5A32BC57"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The Hon Phil Honeywood</w:t>
      </w:r>
    </w:p>
    <w:p w14:paraId="67702A0C"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Dr Krystal Evans</w:t>
      </w:r>
    </w:p>
    <w:p w14:paraId="550A0365"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Dr Don Owers </w:t>
      </w:r>
      <w:r w:rsidRPr="00730C0D">
        <w:rPr>
          <w:rFonts w:ascii="Century Gothic" w:hAnsi="Century Gothic" w:cstheme="minorHAnsi"/>
          <w:sz w:val="16"/>
          <w:szCs w:val="16"/>
        </w:rPr>
        <w:t>AM</w:t>
      </w:r>
    </w:p>
    <w:p w14:paraId="7C312F40"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Dr Sadie Heckenberg</w:t>
      </w:r>
    </w:p>
    <w:p w14:paraId="05EEAA3B"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Ms Adrienne Nieuwenhuis</w:t>
      </w:r>
    </w:p>
    <w:p w14:paraId="30055634" w14:textId="77777777" w:rsidR="0014126D" w:rsidRPr="00730C0D" w:rsidRDefault="0014126D" w:rsidP="00D31B9A">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Professor Kent Anderson</w:t>
      </w:r>
    </w:p>
    <w:p w14:paraId="57C8C847"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sz w:val="20"/>
          <w:szCs w:val="20"/>
        </w:rPr>
        <w:br w:type="page"/>
      </w:r>
    </w:p>
    <w:p w14:paraId="69DBDB1E" w14:textId="77777777" w:rsidR="00196E7B" w:rsidRPr="00730C0D" w:rsidRDefault="00196E7B" w:rsidP="000D5028">
      <w:pPr>
        <w:spacing w:before="0" w:after="0"/>
        <w:rPr>
          <w:rFonts w:ascii="Century Gothic" w:hAnsi="Century Gothic"/>
          <w:color w:val="2763AC"/>
          <w:sz w:val="20"/>
          <w:szCs w:val="20"/>
        </w:rPr>
        <w:sectPr w:rsidR="00196E7B" w:rsidRPr="00730C0D" w:rsidSect="000A04F0">
          <w:headerReference w:type="even" r:id="rId17"/>
          <w:headerReference w:type="default" r:id="rId18"/>
          <w:footerReference w:type="even" r:id="rId19"/>
          <w:footerReference w:type="default" r:id="rId20"/>
          <w:footerReference w:type="first" r:id="rId21"/>
          <w:endnotePr>
            <w:numFmt w:val="decimal"/>
          </w:endnotePr>
          <w:pgSz w:w="11906" w:h="16838"/>
          <w:pgMar w:top="1440" w:right="1440" w:bottom="1440" w:left="1440" w:header="708" w:footer="708" w:gutter="0"/>
          <w:cols w:space="708"/>
          <w:titlePg/>
          <w:docGrid w:linePitch="360"/>
        </w:sectPr>
      </w:pPr>
      <w:bookmarkStart w:id="1" w:name="_Toc12615316"/>
    </w:p>
    <w:p w14:paraId="4CB83F42" w14:textId="1E8C121D" w:rsidR="000D5028" w:rsidRPr="00730C0D" w:rsidRDefault="003A178A" w:rsidP="000D5028">
      <w:pPr>
        <w:spacing w:before="0" w:after="0"/>
        <w:rPr>
          <w:rFonts w:ascii="Century Gothic" w:hAnsi="Century Gothic"/>
          <w:b/>
          <w:color w:val="2763AC"/>
          <w:sz w:val="46"/>
          <w:szCs w:val="46"/>
        </w:rPr>
      </w:pPr>
      <w:r w:rsidRPr="00730C0D">
        <w:rPr>
          <w:rFonts w:ascii="Century Gothic" w:hAnsi="Century Gothic"/>
          <w:noProof/>
          <w:color w:val="2763AC"/>
          <w:sz w:val="46"/>
          <w:szCs w:val="46"/>
          <w:lang w:eastAsia="en-AU"/>
        </w:rPr>
        <mc:AlternateContent>
          <mc:Choice Requires="wps">
            <w:drawing>
              <wp:anchor distT="0" distB="0" distL="114300" distR="114300" simplePos="0" relativeHeight="251667456" behindDoc="0" locked="0" layoutInCell="1" allowOverlap="1" wp14:anchorId="5533F363" wp14:editId="40B3456E">
                <wp:simplePos x="0" y="0"/>
                <wp:positionH relativeFrom="column">
                  <wp:posOffset>-1905000</wp:posOffset>
                </wp:positionH>
                <wp:positionV relativeFrom="paragraph">
                  <wp:posOffset>409575</wp:posOffset>
                </wp:positionV>
                <wp:extent cx="76200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76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0D1E7" id="Straight Connector 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0pt,32.25pt" to="450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" strokecolor="black [3213]" strokeweight=".5pt">
                <v:stroke joinstyle="miter"/>
              </v:line>
            </w:pict>
          </mc:Fallback>
        </mc:AlternateContent>
      </w:r>
      <w:r w:rsidRPr="00730C0D">
        <w:rPr>
          <w:rFonts w:ascii="Century Gothic" w:hAnsi="Century Gothic"/>
          <w:color w:val="2763AC"/>
          <w:sz w:val="46"/>
          <w:szCs w:val="46"/>
        </w:rPr>
        <w:t xml:space="preserve">Table of </w:t>
      </w:r>
      <w:r w:rsidR="000D5028" w:rsidRPr="00730C0D">
        <w:rPr>
          <w:rFonts w:ascii="Century Gothic" w:hAnsi="Century Gothic"/>
          <w:color w:val="2763AC"/>
          <w:sz w:val="46"/>
          <w:szCs w:val="46"/>
        </w:rPr>
        <w:t>Contents</w:t>
      </w:r>
      <w:r w:rsidR="000D5028" w:rsidRPr="00730C0D">
        <w:rPr>
          <w:rFonts w:ascii="Century Gothic" w:hAnsi="Century Gothic"/>
          <w:b/>
          <w:color w:val="2763AC"/>
          <w:sz w:val="46"/>
          <w:szCs w:val="46"/>
        </w:rPr>
        <w:t xml:space="preserve"> </w:t>
      </w:r>
    </w:p>
    <w:bookmarkEnd w:id="1"/>
    <w:p w14:paraId="6DF57794" w14:textId="77777777" w:rsidR="003A178A" w:rsidRPr="00730C0D" w:rsidRDefault="003A178A" w:rsidP="00D87B23">
      <w:pPr>
        <w:pStyle w:val="TOC1"/>
      </w:pPr>
    </w:p>
    <w:p w14:paraId="73012CFA" w14:textId="78BA3F43" w:rsidR="0059728A" w:rsidRDefault="004978DA" w:rsidP="00D87B23">
      <w:pPr>
        <w:pStyle w:val="TOC1"/>
        <w:rPr>
          <w:rFonts w:asciiTheme="minorHAnsi" w:eastAsiaTheme="minorEastAsia" w:hAnsiTheme="minorHAnsi"/>
          <w:color w:val="auto"/>
          <w:sz w:val="22"/>
          <w:szCs w:val="22"/>
          <w:lang w:eastAsia="en-AU"/>
        </w:rPr>
      </w:pPr>
      <w:r w:rsidRPr="00730C0D">
        <w:rPr>
          <w:sz w:val="20"/>
          <w:szCs w:val="20"/>
        </w:rPr>
        <w:fldChar w:fldCharType="begin"/>
      </w:r>
      <w:r w:rsidRPr="00730C0D">
        <w:rPr>
          <w:sz w:val="20"/>
          <w:szCs w:val="20"/>
        </w:rPr>
        <w:instrText xml:space="preserve"> TOC \o "1-3" \h \z \u </w:instrText>
      </w:r>
      <w:r w:rsidRPr="00730C0D">
        <w:rPr>
          <w:sz w:val="20"/>
          <w:szCs w:val="20"/>
        </w:rPr>
        <w:fldChar w:fldCharType="separate"/>
      </w:r>
      <w:hyperlink w:anchor="_Toc18592306" w:history="1">
        <w:r w:rsidR="0059728A" w:rsidRPr="00504743">
          <w:rPr>
            <w:rStyle w:val="Hyperlink"/>
          </w:rPr>
          <w:t>List of Acronyms and Abbreviations</w:t>
        </w:r>
        <w:r w:rsidR="0059728A">
          <w:rPr>
            <w:webHidden/>
          </w:rPr>
          <w:tab/>
        </w:r>
        <w:r w:rsidR="0059728A">
          <w:rPr>
            <w:webHidden/>
          </w:rPr>
          <w:fldChar w:fldCharType="begin"/>
        </w:r>
        <w:r w:rsidR="0059728A">
          <w:rPr>
            <w:webHidden/>
          </w:rPr>
          <w:instrText xml:space="preserve"> PAGEREF _Toc18592306 \h </w:instrText>
        </w:r>
        <w:r w:rsidR="0059728A">
          <w:rPr>
            <w:webHidden/>
          </w:rPr>
        </w:r>
        <w:r w:rsidR="0059728A">
          <w:rPr>
            <w:webHidden/>
          </w:rPr>
          <w:fldChar w:fldCharType="separate"/>
        </w:r>
        <w:r w:rsidR="00F732D2">
          <w:rPr>
            <w:webHidden/>
          </w:rPr>
          <w:t>iii</w:t>
        </w:r>
        <w:r w:rsidR="0059728A">
          <w:rPr>
            <w:webHidden/>
          </w:rPr>
          <w:fldChar w:fldCharType="end"/>
        </w:r>
      </w:hyperlink>
    </w:p>
    <w:p w14:paraId="0F2765C4" w14:textId="7BAF4D9E" w:rsidR="0059728A" w:rsidRDefault="00DB40B2" w:rsidP="00D87B23">
      <w:pPr>
        <w:pStyle w:val="TOC1"/>
      </w:pPr>
      <w:hyperlink w:anchor="_Toc18592307" w:history="1">
        <w:r w:rsidR="0059728A" w:rsidRPr="00504743">
          <w:rPr>
            <w:rStyle w:val="Hyperlink"/>
          </w:rPr>
          <w:t>List of Tables and Figures</w:t>
        </w:r>
        <w:r w:rsidR="0059728A">
          <w:rPr>
            <w:webHidden/>
          </w:rPr>
          <w:tab/>
        </w:r>
        <w:r w:rsidR="0059728A">
          <w:rPr>
            <w:webHidden/>
          </w:rPr>
          <w:fldChar w:fldCharType="begin"/>
        </w:r>
        <w:r w:rsidR="0059728A">
          <w:rPr>
            <w:webHidden/>
          </w:rPr>
          <w:instrText xml:space="preserve"> PAGEREF _Toc18592307 \h </w:instrText>
        </w:r>
        <w:r w:rsidR="0059728A">
          <w:rPr>
            <w:webHidden/>
          </w:rPr>
        </w:r>
        <w:r w:rsidR="0059728A">
          <w:rPr>
            <w:webHidden/>
          </w:rPr>
          <w:fldChar w:fldCharType="separate"/>
        </w:r>
        <w:r w:rsidR="00F732D2">
          <w:rPr>
            <w:webHidden/>
          </w:rPr>
          <w:t>iv</w:t>
        </w:r>
        <w:r w:rsidR="0059728A">
          <w:rPr>
            <w:webHidden/>
          </w:rPr>
          <w:fldChar w:fldCharType="end"/>
        </w:r>
      </w:hyperlink>
    </w:p>
    <w:p w14:paraId="634D93F0" w14:textId="6D20D3F6" w:rsidR="00D87B23" w:rsidRPr="00D87B23" w:rsidRDefault="00D87B23" w:rsidP="00D87B23">
      <w:pPr>
        <w:pStyle w:val="TOC1"/>
        <w:rPr>
          <w:rStyle w:val="Hyperlink"/>
          <w:u w:val="none"/>
        </w:rPr>
      </w:pPr>
      <w:r w:rsidRPr="00D87B23">
        <w:rPr>
          <w:rStyle w:val="Hyperlink"/>
          <w:u w:val="none"/>
        </w:rPr>
        <w:t>Letter to the Minister</w:t>
      </w:r>
      <w:r>
        <w:rPr>
          <w:rStyle w:val="Hyperlink"/>
          <w:u w:val="none"/>
        </w:rPr>
        <w:tab/>
        <w:t>v</w:t>
      </w:r>
    </w:p>
    <w:p w14:paraId="7577C387" w14:textId="651FAE00" w:rsidR="0059728A" w:rsidRDefault="00DB40B2" w:rsidP="00D87B23">
      <w:pPr>
        <w:pStyle w:val="TOC1"/>
        <w:rPr>
          <w:rFonts w:asciiTheme="minorHAnsi" w:eastAsiaTheme="minorEastAsia" w:hAnsiTheme="minorHAnsi"/>
          <w:color w:val="auto"/>
          <w:sz w:val="22"/>
          <w:szCs w:val="22"/>
          <w:lang w:eastAsia="en-AU"/>
        </w:rPr>
      </w:pPr>
      <w:hyperlink w:anchor="_Toc18592308" w:history="1">
        <w:r w:rsidR="0059728A" w:rsidRPr="00504743">
          <w:rPr>
            <w:rStyle w:val="Hyperlink"/>
          </w:rPr>
          <w:t>Executive Summary</w:t>
        </w:r>
        <w:r w:rsidR="0059728A">
          <w:rPr>
            <w:webHidden/>
          </w:rPr>
          <w:tab/>
        </w:r>
        <w:r w:rsidR="0059728A">
          <w:rPr>
            <w:webHidden/>
          </w:rPr>
          <w:fldChar w:fldCharType="begin"/>
        </w:r>
        <w:r w:rsidR="0059728A">
          <w:rPr>
            <w:webHidden/>
          </w:rPr>
          <w:instrText xml:space="preserve"> PAGEREF _Toc18592308 \h </w:instrText>
        </w:r>
        <w:r w:rsidR="0059728A">
          <w:rPr>
            <w:webHidden/>
          </w:rPr>
        </w:r>
        <w:r w:rsidR="0059728A">
          <w:rPr>
            <w:webHidden/>
          </w:rPr>
          <w:fldChar w:fldCharType="separate"/>
        </w:r>
        <w:r w:rsidR="00F732D2">
          <w:rPr>
            <w:webHidden/>
          </w:rPr>
          <w:t>vi</w:t>
        </w:r>
        <w:r w:rsidR="0059728A">
          <w:rPr>
            <w:webHidden/>
          </w:rPr>
          <w:fldChar w:fldCharType="end"/>
        </w:r>
      </w:hyperlink>
    </w:p>
    <w:p w14:paraId="0E94FC25" w14:textId="74EFFF6B" w:rsidR="0059728A" w:rsidRDefault="00DB40B2" w:rsidP="00D87B23">
      <w:pPr>
        <w:pStyle w:val="TOC1"/>
        <w:rPr>
          <w:rStyle w:val="Hyperlink"/>
        </w:rPr>
      </w:pPr>
      <w:hyperlink w:anchor="_Toc18592309" w:history="1">
        <w:r w:rsidR="0059728A" w:rsidRPr="00504743">
          <w:rPr>
            <w:rStyle w:val="Hyperlink"/>
          </w:rPr>
          <w:t>Recommendations</w:t>
        </w:r>
        <w:r w:rsidR="0059728A">
          <w:rPr>
            <w:webHidden/>
          </w:rPr>
          <w:tab/>
        </w:r>
        <w:r w:rsidR="0059728A">
          <w:rPr>
            <w:webHidden/>
          </w:rPr>
          <w:fldChar w:fldCharType="begin"/>
        </w:r>
        <w:r w:rsidR="0059728A">
          <w:rPr>
            <w:webHidden/>
          </w:rPr>
          <w:instrText xml:space="preserve"> PAGEREF _Toc18592309 \h </w:instrText>
        </w:r>
        <w:r w:rsidR="0059728A">
          <w:rPr>
            <w:webHidden/>
          </w:rPr>
        </w:r>
        <w:r w:rsidR="0059728A">
          <w:rPr>
            <w:webHidden/>
          </w:rPr>
          <w:fldChar w:fldCharType="separate"/>
        </w:r>
        <w:r w:rsidR="00F732D2">
          <w:rPr>
            <w:webHidden/>
          </w:rPr>
          <w:t>vii</w:t>
        </w:r>
        <w:r w:rsidR="0059728A">
          <w:rPr>
            <w:webHidden/>
          </w:rPr>
          <w:fldChar w:fldCharType="end"/>
        </w:r>
      </w:hyperlink>
    </w:p>
    <w:p w14:paraId="5836B28B" w14:textId="77777777" w:rsidR="0059728A" w:rsidRPr="0059728A" w:rsidRDefault="0059728A" w:rsidP="0059728A">
      <w:pPr>
        <w:rPr>
          <w:sz w:val="16"/>
          <w:szCs w:val="16"/>
        </w:rPr>
      </w:pPr>
    </w:p>
    <w:p w14:paraId="0499D2B7" w14:textId="025CA0D5" w:rsidR="0059728A" w:rsidRDefault="00DB40B2" w:rsidP="00D87B23">
      <w:pPr>
        <w:pStyle w:val="TOC1"/>
        <w:rPr>
          <w:rFonts w:asciiTheme="minorHAnsi" w:eastAsiaTheme="minorEastAsia" w:hAnsiTheme="minorHAnsi"/>
          <w:color w:val="auto"/>
          <w:sz w:val="22"/>
          <w:szCs w:val="22"/>
          <w:lang w:eastAsia="en-AU"/>
        </w:rPr>
      </w:pPr>
      <w:hyperlink w:anchor="_Toc18592310" w:history="1">
        <w:r w:rsidR="0059728A" w:rsidRPr="00504743">
          <w:rPr>
            <w:rStyle w:val="Hyperlink"/>
          </w:rPr>
          <w:t xml:space="preserve">Chapter 1 </w:t>
        </w:r>
        <w:r w:rsidR="0059728A">
          <w:rPr>
            <w:rStyle w:val="Hyperlink"/>
          </w:rPr>
          <w:t>–</w:t>
        </w:r>
        <w:r w:rsidR="0059728A" w:rsidRPr="00504743">
          <w:rPr>
            <w:rStyle w:val="Hyperlink"/>
          </w:rPr>
          <w:t xml:space="preserve"> Context</w:t>
        </w:r>
        <w:r w:rsidR="0059728A">
          <w:rPr>
            <w:rStyle w:val="Hyperlink"/>
          </w:rPr>
          <w:t xml:space="preserve"> </w:t>
        </w:r>
        <w:r w:rsidR="0059728A" w:rsidRPr="00504743">
          <w:rPr>
            <w:rStyle w:val="Hyperlink"/>
          </w:rPr>
          <w:t>and Changing Landscape</w:t>
        </w:r>
        <w:r w:rsidR="0059728A">
          <w:rPr>
            <w:webHidden/>
          </w:rPr>
          <w:tab/>
        </w:r>
        <w:r w:rsidR="0059728A">
          <w:rPr>
            <w:webHidden/>
          </w:rPr>
          <w:fldChar w:fldCharType="begin"/>
        </w:r>
        <w:r w:rsidR="0059728A">
          <w:rPr>
            <w:webHidden/>
          </w:rPr>
          <w:instrText xml:space="preserve"> PAGEREF _Toc18592310 \h </w:instrText>
        </w:r>
        <w:r w:rsidR="0059728A">
          <w:rPr>
            <w:webHidden/>
          </w:rPr>
        </w:r>
        <w:r w:rsidR="0059728A">
          <w:rPr>
            <w:webHidden/>
          </w:rPr>
          <w:fldChar w:fldCharType="separate"/>
        </w:r>
        <w:r w:rsidR="00F732D2">
          <w:rPr>
            <w:webHidden/>
          </w:rPr>
          <w:t>1</w:t>
        </w:r>
        <w:r w:rsidR="0059728A">
          <w:rPr>
            <w:webHidden/>
          </w:rPr>
          <w:fldChar w:fldCharType="end"/>
        </w:r>
      </w:hyperlink>
    </w:p>
    <w:p w14:paraId="46546304" w14:textId="3582D6D0" w:rsidR="0059728A" w:rsidRDefault="00DB40B2" w:rsidP="0059728A">
      <w:pPr>
        <w:pStyle w:val="TOC2"/>
        <w:rPr>
          <w:rFonts w:asciiTheme="minorHAnsi" w:eastAsiaTheme="minorEastAsia" w:hAnsiTheme="minorHAnsi"/>
          <w:b/>
          <w:color w:val="auto"/>
          <w:lang w:eastAsia="en-AU"/>
        </w:rPr>
      </w:pPr>
      <w:hyperlink w:anchor="_Toc18592312" w:history="1">
        <w:r w:rsidR="0059728A" w:rsidRPr="00504743">
          <w:rPr>
            <w:rStyle w:val="Hyperlink"/>
          </w:rPr>
          <w:t>1.1</w:t>
        </w:r>
        <w:r w:rsidR="0059728A">
          <w:rPr>
            <w:rFonts w:asciiTheme="minorHAnsi" w:eastAsiaTheme="minorEastAsia" w:hAnsiTheme="minorHAnsi"/>
            <w:b/>
            <w:color w:val="auto"/>
            <w:lang w:eastAsia="en-AU"/>
          </w:rPr>
          <w:tab/>
        </w:r>
        <w:r w:rsidR="0059728A" w:rsidRPr="00504743">
          <w:rPr>
            <w:rStyle w:val="Hyperlink"/>
          </w:rPr>
          <w:t>Context</w:t>
        </w:r>
        <w:r w:rsidR="0059728A">
          <w:rPr>
            <w:webHidden/>
          </w:rPr>
          <w:tab/>
        </w:r>
        <w:r w:rsidR="0059728A">
          <w:rPr>
            <w:webHidden/>
          </w:rPr>
          <w:fldChar w:fldCharType="begin"/>
        </w:r>
        <w:r w:rsidR="0059728A">
          <w:rPr>
            <w:webHidden/>
          </w:rPr>
          <w:instrText xml:space="preserve"> PAGEREF _Toc18592312 \h </w:instrText>
        </w:r>
        <w:r w:rsidR="0059728A">
          <w:rPr>
            <w:webHidden/>
          </w:rPr>
        </w:r>
        <w:r w:rsidR="0059728A">
          <w:rPr>
            <w:webHidden/>
          </w:rPr>
          <w:fldChar w:fldCharType="separate"/>
        </w:r>
        <w:r w:rsidR="00F732D2">
          <w:rPr>
            <w:webHidden/>
          </w:rPr>
          <w:t>1</w:t>
        </w:r>
        <w:r w:rsidR="0059728A">
          <w:rPr>
            <w:webHidden/>
          </w:rPr>
          <w:fldChar w:fldCharType="end"/>
        </w:r>
      </w:hyperlink>
    </w:p>
    <w:p w14:paraId="2E675F47" w14:textId="47CCA0E2" w:rsidR="0059728A" w:rsidRDefault="00DB40B2">
      <w:pPr>
        <w:pStyle w:val="TOC3"/>
        <w:rPr>
          <w:rFonts w:asciiTheme="minorHAnsi" w:eastAsiaTheme="minorEastAsia" w:hAnsiTheme="minorHAnsi"/>
          <w:sz w:val="22"/>
          <w:lang w:eastAsia="en-AU"/>
        </w:rPr>
      </w:pPr>
      <w:hyperlink w:anchor="_Toc18592313" w:history="1">
        <w:r w:rsidR="0059728A" w:rsidRPr="00504743">
          <w:rPr>
            <w:rStyle w:val="Hyperlink"/>
          </w:rPr>
          <w:t>1.1.1</w:t>
        </w:r>
        <w:r w:rsidR="0059728A">
          <w:rPr>
            <w:rFonts w:asciiTheme="minorHAnsi" w:eastAsiaTheme="minorEastAsia" w:hAnsiTheme="minorHAnsi"/>
            <w:sz w:val="22"/>
            <w:lang w:eastAsia="en-AU"/>
          </w:rPr>
          <w:tab/>
        </w:r>
        <w:r w:rsidR="0059728A" w:rsidRPr="00504743">
          <w:rPr>
            <w:rStyle w:val="Hyperlink"/>
          </w:rPr>
          <w:t>Australia’s Higher Education Quality Assurance Framework</w:t>
        </w:r>
        <w:r w:rsidR="0059728A">
          <w:rPr>
            <w:webHidden/>
          </w:rPr>
          <w:tab/>
        </w:r>
        <w:r w:rsidR="0059728A" w:rsidRPr="0059728A">
          <w:rPr>
            <w:b/>
            <w:webHidden/>
          </w:rPr>
          <w:fldChar w:fldCharType="begin"/>
        </w:r>
        <w:r w:rsidR="0059728A" w:rsidRPr="0059728A">
          <w:rPr>
            <w:b/>
            <w:webHidden/>
          </w:rPr>
          <w:instrText xml:space="preserve"> PAGEREF _Toc18592313 \h </w:instrText>
        </w:r>
        <w:r w:rsidR="0059728A" w:rsidRPr="0059728A">
          <w:rPr>
            <w:b/>
            <w:webHidden/>
          </w:rPr>
        </w:r>
        <w:r w:rsidR="0059728A" w:rsidRPr="0059728A">
          <w:rPr>
            <w:b/>
            <w:webHidden/>
          </w:rPr>
          <w:fldChar w:fldCharType="separate"/>
        </w:r>
        <w:r w:rsidR="00F732D2">
          <w:rPr>
            <w:b/>
            <w:webHidden/>
          </w:rPr>
          <w:t>1</w:t>
        </w:r>
        <w:r w:rsidR="0059728A" w:rsidRPr="0059728A">
          <w:rPr>
            <w:b/>
            <w:webHidden/>
          </w:rPr>
          <w:fldChar w:fldCharType="end"/>
        </w:r>
      </w:hyperlink>
    </w:p>
    <w:p w14:paraId="4EBF03EE" w14:textId="3DD1F691" w:rsidR="0059728A" w:rsidRDefault="00DB40B2">
      <w:pPr>
        <w:pStyle w:val="TOC3"/>
        <w:rPr>
          <w:rFonts w:asciiTheme="minorHAnsi" w:eastAsiaTheme="minorEastAsia" w:hAnsiTheme="minorHAnsi"/>
          <w:sz w:val="22"/>
          <w:lang w:eastAsia="en-AU"/>
        </w:rPr>
      </w:pPr>
      <w:hyperlink w:anchor="_Toc18592314" w:history="1">
        <w:r w:rsidR="0059728A" w:rsidRPr="00504743">
          <w:rPr>
            <w:rStyle w:val="Hyperlink"/>
          </w:rPr>
          <w:t>1.1.2</w:t>
        </w:r>
        <w:r w:rsidR="0059728A">
          <w:rPr>
            <w:rFonts w:asciiTheme="minorHAnsi" w:eastAsiaTheme="minorEastAsia" w:hAnsiTheme="minorHAnsi"/>
            <w:sz w:val="22"/>
            <w:lang w:eastAsia="en-AU"/>
          </w:rPr>
          <w:tab/>
        </w:r>
        <w:r w:rsidR="0059728A" w:rsidRPr="00504743">
          <w:rPr>
            <w:rStyle w:val="Hyperlink"/>
          </w:rPr>
          <w:t>Original Purpose of the PCS and this Review</w:t>
        </w:r>
        <w:r w:rsidR="0059728A">
          <w:rPr>
            <w:webHidden/>
          </w:rPr>
          <w:tab/>
        </w:r>
        <w:r w:rsidR="0059728A" w:rsidRPr="0059728A">
          <w:rPr>
            <w:b/>
            <w:webHidden/>
          </w:rPr>
          <w:fldChar w:fldCharType="begin"/>
        </w:r>
        <w:r w:rsidR="0059728A" w:rsidRPr="0059728A">
          <w:rPr>
            <w:b/>
            <w:webHidden/>
          </w:rPr>
          <w:instrText xml:space="preserve"> PAGEREF _Toc18592314 \h </w:instrText>
        </w:r>
        <w:r w:rsidR="0059728A" w:rsidRPr="0059728A">
          <w:rPr>
            <w:b/>
            <w:webHidden/>
          </w:rPr>
        </w:r>
        <w:r w:rsidR="0059728A" w:rsidRPr="0059728A">
          <w:rPr>
            <w:b/>
            <w:webHidden/>
          </w:rPr>
          <w:fldChar w:fldCharType="separate"/>
        </w:r>
        <w:r w:rsidR="00F732D2">
          <w:rPr>
            <w:b/>
            <w:webHidden/>
          </w:rPr>
          <w:t>2</w:t>
        </w:r>
        <w:r w:rsidR="0059728A" w:rsidRPr="0059728A">
          <w:rPr>
            <w:b/>
            <w:webHidden/>
          </w:rPr>
          <w:fldChar w:fldCharType="end"/>
        </w:r>
      </w:hyperlink>
    </w:p>
    <w:p w14:paraId="110692D6" w14:textId="2D2C5A21" w:rsidR="0059728A" w:rsidRDefault="00DB40B2">
      <w:pPr>
        <w:pStyle w:val="TOC3"/>
        <w:rPr>
          <w:rFonts w:asciiTheme="minorHAnsi" w:eastAsiaTheme="minorEastAsia" w:hAnsiTheme="minorHAnsi"/>
          <w:sz w:val="22"/>
          <w:lang w:eastAsia="en-AU"/>
        </w:rPr>
      </w:pPr>
      <w:hyperlink w:anchor="_Toc18592315" w:history="1">
        <w:r w:rsidR="0059728A" w:rsidRPr="00504743">
          <w:rPr>
            <w:rStyle w:val="Hyperlink"/>
          </w:rPr>
          <w:t>1.1.3</w:t>
        </w:r>
        <w:r w:rsidR="0059728A">
          <w:rPr>
            <w:rFonts w:asciiTheme="minorHAnsi" w:eastAsiaTheme="minorEastAsia" w:hAnsiTheme="minorHAnsi"/>
            <w:sz w:val="22"/>
            <w:lang w:eastAsia="en-AU"/>
          </w:rPr>
          <w:tab/>
        </w:r>
        <w:r w:rsidR="0059728A" w:rsidRPr="00504743">
          <w:rPr>
            <w:rStyle w:val="Hyperlink"/>
          </w:rPr>
          <w:t>Current Role of the PCS</w:t>
        </w:r>
        <w:r w:rsidR="0059728A">
          <w:rPr>
            <w:webHidden/>
          </w:rPr>
          <w:tab/>
        </w:r>
        <w:r w:rsidR="0059728A" w:rsidRPr="0059728A">
          <w:rPr>
            <w:b/>
            <w:webHidden/>
          </w:rPr>
          <w:fldChar w:fldCharType="begin"/>
        </w:r>
        <w:r w:rsidR="0059728A" w:rsidRPr="0059728A">
          <w:rPr>
            <w:b/>
            <w:webHidden/>
          </w:rPr>
          <w:instrText xml:space="preserve"> PAGEREF _Toc18592315 \h </w:instrText>
        </w:r>
        <w:r w:rsidR="0059728A" w:rsidRPr="0059728A">
          <w:rPr>
            <w:b/>
            <w:webHidden/>
          </w:rPr>
        </w:r>
        <w:r w:rsidR="0059728A" w:rsidRPr="0059728A">
          <w:rPr>
            <w:b/>
            <w:webHidden/>
          </w:rPr>
          <w:fldChar w:fldCharType="separate"/>
        </w:r>
        <w:r w:rsidR="00F732D2">
          <w:rPr>
            <w:b/>
            <w:webHidden/>
          </w:rPr>
          <w:t>4</w:t>
        </w:r>
        <w:r w:rsidR="0059728A" w:rsidRPr="0059728A">
          <w:rPr>
            <w:b/>
            <w:webHidden/>
          </w:rPr>
          <w:fldChar w:fldCharType="end"/>
        </w:r>
      </w:hyperlink>
    </w:p>
    <w:p w14:paraId="443BD942" w14:textId="6F3294E5" w:rsidR="0059728A" w:rsidRDefault="00DB40B2">
      <w:pPr>
        <w:pStyle w:val="TOC3"/>
        <w:rPr>
          <w:rFonts w:asciiTheme="minorHAnsi" w:eastAsiaTheme="minorEastAsia" w:hAnsiTheme="minorHAnsi"/>
          <w:sz w:val="22"/>
          <w:lang w:eastAsia="en-AU"/>
        </w:rPr>
      </w:pPr>
      <w:hyperlink w:anchor="_Toc18592316" w:history="1">
        <w:r w:rsidR="0059728A" w:rsidRPr="00504743">
          <w:rPr>
            <w:rStyle w:val="Hyperlink"/>
          </w:rPr>
          <w:t>1.1.4</w:t>
        </w:r>
        <w:r w:rsidR="0059728A">
          <w:rPr>
            <w:rFonts w:asciiTheme="minorHAnsi" w:eastAsiaTheme="minorEastAsia" w:hAnsiTheme="minorHAnsi"/>
            <w:sz w:val="22"/>
            <w:lang w:eastAsia="en-AU"/>
          </w:rPr>
          <w:tab/>
        </w:r>
        <w:r w:rsidR="0059728A" w:rsidRPr="00504743">
          <w:rPr>
            <w:rStyle w:val="Hyperlink"/>
          </w:rPr>
          <w:t>Shape of the Current System</w:t>
        </w:r>
        <w:r w:rsidR="0059728A">
          <w:rPr>
            <w:webHidden/>
          </w:rPr>
          <w:tab/>
        </w:r>
        <w:r w:rsidR="0059728A" w:rsidRPr="0059728A">
          <w:rPr>
            <w:b/>
            <w:webHidden/>
          </w:rPr>
          <w:fldChar w:fldCharType="begin"/>
        </w:r>
        <w:r w:rsidR="0059728A" w:rsidRPr="0059728A">
          <w:rPr>
            <w:b/>
            <w:webHidden/>
          </w:rPr>
          <w:instrText xml:space="preserve"> PAGEREF _Toc18592316 \h </w:instrText>
        </w:r>
        <w:r w:rsidR="0059728A" w:rsidRPr="0059728A">
          <w:rPr>
            <w:b/>
            <w:webHidden/>
          </w:rPr>
        </w:r>
        <w:r w:rsidR="0059728A" w:rsidRPr="0059728A">
          <w:rPr>
            <w:b/>
            <w:webHidden/>
          </w:rPr>
          <w:fldChar w:fldCharType="separate"/>
        </w:r>
        <w:r w:rsidR="00F732D2">
          <w:rPr>
            <w:b/>
            <w:webHidden/>
          </w:rPr>
          <w:t>5</w:t>
        </w:r>
        <w:r w:rsidR="0059728A" w:rsidRPr="0059728A">
          <w:rPr>
            <w:b/>
            <w:webHidden/>
          </w:rPr>
          <w:fldChar w:fldCharType="end"/>
        </w:r>
      </w:hyperlink>
    </w:p>
    <w:p w14:paraId="470A97B0" w14:textId="1107EF91" w:rsidR="0059728A" w:rsidRDefault="00DB40B2">
      <w:pPr>
        <w:pStyle w:val="TOC3"/>
        <w:rPr>
          <w:rFonts w:asciiTheme="minorHAnsi" w:eastAsiaTheme="minorEastAsia" w:hAnsiTheme="minorHAnsi"/>
          <w:sz w:val="22"/>
          <w:lang w:eastAsia="en-AU"/>
        </w:rPr>
      </w:pPr>
      <w:hyperlink w:anchor="_Toc18592317" w:history="1">
        <w:r w:rsidR="0059728A" w:rsidRPr="00504743">
          <w:rPr>
            <w:rStyle w:val="Hyperlink"/>
          </w:rPr>
          <w:t>1.1.5</w:t>
        </w:r>
        <w:r w:rsidR="0059728A">
          <w:rPr>
            <w:rFonts w:asciiTheme="minorHAnsi" w:eastAsiaTheme="minorEastAsia" w:hAnsiTheme="minorHAnsi"/>
            <w:sz w:val="22"/>
            <w:lang w:eastAsia="en-AU"/>
          </w:rPr>
          <w:tab/>
        </w:r>
        <w:r w:rsidR="0059728A" w:rsidRPr="00504743">
          <w:rPr>
            <w:rStyle w:val="Hyperlink"/>
          </w:rPr>
          <w:t>International Comparison of Regulatory Categories</w:t>
        </w:r>
        <w:r w:rsidR="0059728A">
          <w:rPr>
            <w:webHidden/>
          </w:rPr>
          <w:tab/>
        </w:r>
        <w:r w:rsidR="0059728A" w:rsidRPr="0059728A">
          <w:rPr>
            <w:b/>
            <w:webHidden/>
          </w:rPr>
          <w:fldChar w:fldCharType="begin"/>
        </w:r>
        <w:r w:rsidR="0059728A" w:rsidRPr="0059728A">
          <w:rPr>
            <w:b/>
            <w:webHidden/>
          </w:rPr>
          <w:instrText xml:space="preserve"> PAGEREF _Toc18592317 \h </w:instrText>
        </w:r>
        <w:r w:rsidR="0059728A" w:rsidRPr="0059728A">
          <w:rPr>
            <w:b/>
            <w:webHidden/>
          </w:rPr>
        </w:r>
        <w:r w:rsidR="0059728A" w:rsidRPr="0059728A">
          <w:rPr>
            <w:b/>
            <w:webHidden/>
          </w:rPr>
          <w:fldChar w:fldCharType="separate"/>
        </w:r>
        <w:r w:rsidR="00F732D2">
          <w:rPr>
            <w:b/>
            <w:webHidden/>
          </w:rPr>
          <w:t>7</w:t>
        </w:r>
        <w:r w:rsidR="0059728A" w:rsidRPr="0059728A">
          <w:rPr>
            <w:b/>
            <w:webHidden/>
          </w:rPr>
          <w:fldChar w:fldCharType="end"/>
        </w:r>
      </w:hyperlink>
    </w:p>
    <w:p w14:paraId="7C6A0530" w14:textId="1DD5C683" w:rsidR="0059728A" w:rsidRDefault="00DB40B2">
      <w:pPr>
        <w:pStyle w:val="TOC3"/>
        <w:rPr>
          <w:rFonts w:asciiTheme="minorHAnsi" w:eastAsiaTheme="minorEastAsia" w:hAnsiTheme="minorHAnsi"/>
          <w:sz w:val="22"/>
          <w:lang w:eastAsia="en-AU"/>
        </w:rPr>
      </w:pPr>
      <w:hyperlink w:anchor="_Toc18592318" w:history="1">
        <w:r w:rsidR="0059728A" w:rsidRPr="00504743">
          <w:rPr>
            <w:rStyle w:val="Hyperlink"/>
          </w:rPr>
          <w:t>1.1.6</w:t>
        </w:r>
        <w:r w:rsidR="0059728A">
          <w:rPr>
            <w:rFonts w:asciiTheme="minorHAnsi" w:eastAsiaTheme="minorEastAsia" w:hAnsiTheme="minorHAnsi"/>
            <w:sz w:val="22"/>
            <w:lang w:eastAsia="en-AU"/>
          </w:rPr>
          <w:tab/>
        </w:r>
        <w:r w:rsidR="0059728A" w:rsidRPr="00504743">
          <w:rPr>
            <w:rStyle w:val="Hyperlink"/>
          </w:rPr>
          <w:t>Current Funding Arrangements</w:t>
        </w:r>
        <w:r w:rsidR="0059728A">
          <w:rPr>
            <w:webHidden/>
          </w:rPr>
          <w:tab/>
        </w:r>
        <w:r w:rsidR="0059728A" w:rsidRPr="0059728A">
          <w:rPr>
            <w:b/>
            <w:webHidden/>
          </w:rPr>
          <w:fldChar w:fldCharType="begin"/>
        </w:r>
        <w:r w:rsidR="0059728A" w:rsidRPr="0059728A">
          <w:rPr>
            <w:b/>
            <w:webHidden/>
          </w:rPr>
          <w:instrText xml:space="preserve"> PAGEREF _Toc18592318 \h </w:instrText>
        </w:r>
        <w:r w:rsidR="0059728A" w:rsidRPr="0059728A">
          <w:rPr>
            <w:b/>
            <w:webHidden/>
          </w:rPr>
        </w:r>
        <w:r w:rsidR="0059728A" w:rsidRPr="0059728A">
          <w:rPr>
            <w:b/>
            <w:webHidden/>
          </w:rPr>
          <w:fldChar w:fldCharType="separate"/>
        </w:r>
        <w:r w:rsidR="00F732D2">
          <w:rPr>
            <w:b/>
            <w:webHidden/>
          </w:rPr>
          <w:t>7</w:t>
        </w:r>
        <w:r w:rsidR="0059728A" w:rsidRPr="0059728A">
          <w:rPr>
            <w:b/>
            <w:webHidden/>
          </w:rPr>
          <w:fldChar w:fldCharType="end"/>
        </w:r>
      </w:hyperlink>
    </w:p>
    <w:p w14:paraId="0A5602DE" w14:textId="3C2DB7F4" w:rsidR="0059728A" w:rsidRDefault="00DB40B2" w:rsidP="0059728A">
      <w:pPr>
        <w:pStyle w:val="TOC2"/>
        <w:rPr>
          <w:rFonts w:asciiTheme="minorHAnsi" w:eastAsiaTheme="minorEastAsia" w:hAnsiTheme="minorHAnsi"/>
          <w:b/>
          <w:color w:val="auto"/>
          <w:lang w:eastAsia="en-AU"/>
        </w:rPr>
      </w:pPr>
      <w:hyperlink w:anchor="_Toc18592319" w:history="1">
        <w:r w:rsidR="0059728A" w:rsidRPr="00504743">
          <w:rPr>
            <w:rStyle w:val="Hyperlink"/>
          </w:rPr>
          <w:t>1.2</w:t>
        </w:r>
        <w:r w:rsidR="0059728A">
          <w:rPr>
            <w:rFonts w:asciiTheme="minorHAnsi" w:eastAsiaTheme="minorEastAsia" w:hAnsiTheme="minorHAnsi"/>
            <w:b/>
            <w:color w:val="auto"/>
            <w:lang w:eastAsia="en-AU"/>
          </w:rPr>
          <w:tab/>
        </w:r>
        <w:r w:rsidR="0059728A" w:rsidRPr="00504743">
          <w:rPr>
            <w:rStyle w:val="Hyperlink"/>
          </w:rPr>
          <w:t>Changing Landscape</w:t>
        </w:r>
        <w:r w:rsidR="0059728A">
          <w:rPr>
            <w:webHidden/>
          </w:rPr>
          <w:tab/>
        </w:r>
        <w:r w:rsidR="0059728A">
          <w:rPr>
            <w:webHidden/>
          </w:rPr>
          <w:fldChar w:fldCharType="begin"/>
        </w:r>
        <w:r w:rsidR="0059728A">
          <w:rPr>
            <w:webHidden/>
          </w:rPr>
          <w:instrText xml:space="preserve"> PAGEREF _Toc18592319 \h </w:instrText>
        </w:r>
        <w:r w:rsidR="0059728A">
          <w:rPr>
            <w:webHidden/>
          </w:rPr>
        </w:r>
        <w:r w:rsidR="0059728A">
          <w:rPr>
            <w:webHidden/>
          </w:rPr>
          <w:fldChar w:fldCharType="separate"/>
        </w:r>
        <w:r w:rsidR="00F732D2">
          <w:rPr>
            <w:webHidden/>
          </w:rPr>
          <w:t>8</w:t>
        </w:r>
        <w:r w:rsidR="0059728A">
          <w:rPr>
            <w:webHidden/>
          </w:rPr>
          <w:fldChar w:fldCharType="end"/>
        </w:r>
      </w:hyperlink>
    </w:p>
    <w:p w14:paraId="20B8BF04" w14:textId="58504E11" w:rsidR="0059728A" w:rsidRDefault="00DB40B2">
      <w:pPr>
        <w:pStyle w:val="TOC3"/>
        <w:rPr>
          <w:rFonts w:asciiTheme="minorHAnsi" w:eastAsiaTheme="minorEastAsia" w:hAnsiTheme="minorHAnsi"/>
          <w:sz w:val="22"/>
          <w:lang w:eastAsia="en-AU"/>
        </w:rPr>
      </w:pPr>
      <w:hyperlink w:anchor="_Toc18592320" w:history="1">
        <w:r w:rsidR="0059728A" w:rsidRPr="00504743">
          <w:rPr>
            <w:rStyle w:val="Hyperlink"/>
          </w:rPr>
          <w:t>1.2.1</w:t>
        </w:r>
        <w:r w:rsidR="0059728A">
          <w:rPr>
            <w:rFonts w:asciiTheme="minorHAnsi" w:eastAsiaTheme="minorEastAsia" w:hAnsiTheme="minorHAnsi"/>
            <w:sz w:val="22"/>
            <w:lang w:eastAsia="en-AU"/>
          </w:rPr>
          <w:tab/>
        </w:r>
        <w:r w:rsidR="0059728A" w:rsidRPr="00504743">
          <w:rPr>
            <w:rStyle w:val="Hyperlink"/>
          </w:rPr>
          <w:t>Student Pathways</w:t>
        </w:r>
        <w:r w:rsidR="0059728A">
          <w:rPr>
            <w:webHidden/>
          </w:rPr>
          <w:tab/>
        </w:r>
        <w:r w:rsidR="0059728A" w:rsidRPr="0059728A">
          <w:rPr>
            <w:b/>
            <w:webHidden/>
          </w:rPr>
          <w:fldChar w:fldCharType="begin"/>
        </w:r>
        <w:r w:rsidR="0059728A" w:rsidRPr="0059728A">
          <w:rPr>
            <w:b/>
            <w:webHidden/>
          </w:rPr>
          <w:instrText xml:space="preserve"> PAGEREF _Toc18592320 \h </w:instrText>
        </w:r>
        <w:r w:rsidR="0059728A" w:rsidRPr="0059728A">
          <w:rPr>
            <w:b/>
            <w:webHidden/>
          </w:rPr>
        </w:r>
        <w:r w:rsidR="0059728A" w:rsidRPr="0059728A">
          <w:rPr>
            <w:b/>
            <w:webHidden/>
          </w:rPr>
          <w:fldChar w:fldCharType="separate"/>
        </w:r>
        <w:r w:rsidR="00F732D2">
          <w:rPr>
            <w:b/>
            <w:webHidden/>
          </w:rPr>
          <w:t>10</w:t>
        </w:r>
        <w:r w:rsidR="0059728A" w:rsidRPr="0059728A">
          <w:rPr>
            <w:b/>
            <w:webHidden/>
          </w:rPr>
          <w:fldChar w:fldCharType="end"/>
        </w:r>
      </w:hyperlink>
    </w:p>
    <w:p w14:paraId="6A84B10D" w14:textId="0A7B41FE" w:rsidR="0059728A" w:rsidRDefault="00DB40B2" w:rsidP="0059728A">
      <w:pPr>
        <w:pStyle w:val="TOC2"/>
        <w:rPr>
          <w:rStyle w:val="Hyperlink"/>
        </w:rPr>
      </w:pPr>
      <w:hyperlink w:anchor="_Toc18592321" w:history="1">
        <w:r w:rsidR="0059728A" w:rsidRPr="00504743">
          <w:rPr>
            <w:rStyle w:val="Hyperlink"/>
          </w:rPr>
          <w:t>1.3</w:t>
        </w:r>
        <w:r w:rsidR="0059728A">
          <w:rPr>
            <w:rFonts w:asciiTheme="minorHAnsi" w:eastAsiaTheme="minorEastAsia" w:hAnsiTheme="minorHAnsi"/>
            <w:b/>
            <w:color w:val="auto"/>
            <w:lang w:eastAsia="en-AU"/>
          </w:rPr>
          <w:tab/>
        </w:r>
        <w:r w:rsidR="0059728A" w:rsidRPr="00504743">
          <w:rPr>
            <w:rStyle w:val="Hyperlink"/>
          </w:rPr>
          <w:t>Relationship with Other Reviews</w:t>
        </w:r>
        <w:r w:rsidR="0059728A">
          <w:rPr>
            <w:webHidden/>
          </w:rPr>
          <w:tab/>
        </w:r>
        <w:r w:rsidR="0059728A">
          <w:rPr>
            <w:webHidden/>
          </w:rPr>
          <w:fldChar w:fldCharType="begin"/>
        </w:r>
        <w:r w:rsidR="0059728A">
          <w:rPr>
            <w:webHidden/>
          </w:rPr>
          <w:instrText xml:space="preserve"> PAGEREF _Toc18592321 \h </w:instrText>
        </w:r>
        <w:r w:rsidR="0059728A">
          <w:rPr>
            <w:webHidden/>
          </w:rPr>
        </w:r>
        <w:r w:rsidR="0059728A">
          <w:rPr>
            <w:webHidden/>
          </w:rPr>
          <w:fldChar w:fldCharType="separate"/>
        </w:r>
        <w:r w:rsidR="00F732D2">
          <w:rPr>
            <w:webHidden/>
          </w:rPr>
          <w:t>11</w:t>
        </w:r>
        <w:r w:rsidR="0059728A">
          <w:rPr>
            <w:webHidden/>
          </w:rPr>
          <w:fldChar w:fldCharType="end"/>
        </w:r>
      </w:hyperlink>
    </w:p>
    <w:p w14:paraId="1041DF3B" w14:textId="77777777" w:rsidR="0059728A" w:rsidRPr="0059728A" w:rsidRDefault="0059728A" w:rsidP="0059728A"/>
    <w:p w14:paraId="7F892D30" w14:textId="3E60B6A5" w:rsidR="0059728A" w:rsidRDefault="00DB40B2" w:rsidP="00D87B23">
      <w:pPr>
        <w:pStyle w:val="TOC1"/>
        <w:rPr>
          <w:rFonts w:asciiTheme="minorHAnsi" w:eastAsiaTheme="minorEastAsia" w:hAnsiTheme="minorHAnsi"/>
          <w:color w:val="auto"/>
          <w:sz w:val="22"/>
          <w:szCs w:val="22"/>
          <w:lang w:eastAsia="en-AU"/>
        </w:rPr>
      </w:pPr>
      <w:hyperlink w:anchor="_Toc18592322" w:history="1">
        <w:r w:rsidR="0059728A" w:rsidRPr="00504743">
          <w:rPr>
            <w:rStyle w:val="Hyperlink"/>
          </w:rPr>
          <w:t>Chapter 2</w:t>
        </w:r>
        <w:r w:rsidR="0059728A">
          <w:rPr>
            <w:webHidden/>
          </w:rPr>
          <w:t xml:space="preserve"> – Key Issues </w:t>
        </w:r>
        <w:r w:rsidR="0059728A">
          <w:rPr>
            <w:webHidden/>
          </w:rPr>
          <w:tab/>
        </w:r>
        <w:r w:rsidR="0059728A">
          <w:rPr>
            <w:webHidden/>
          </w:rPr>
          <w:fldChar w:fldCharType="begin"/>
        </w:r>
        <w:r w:rsidR="0059728A">
          <w:rPr>
            <w:webHidden/>
          </w:rPr>
          <w:instrText xml:space="preserve"> PAGEREF _Toc18592322 \h </w:instrText>
        </w:r>
        <w:r w:rsidR="0059728A">
          <w:rPr>
            <w:webHidden/>
          </w:rPr>
        </w:r>
        <w:r w:rsidR="0059728A">
          <w:rPr>
            <w:webHidden/>
          </w:rPr>
          <w:fldChar w:fldCharType="separate"/>
        </w:r>
        <w:r w:rsidR="00F732D2">
          <w:rPr>
            <w:webHidden/>
          </w:rPr>
          <w:t>12</w:t>
        </w:r>
        <w:r w:rsidR="0059728A">
          <w:rPr>
            <w:webHidden/>
          </w:rPr>
          <w:fldChar w:fldCharType="end"/>
        </w:r>
      </w:hyperlink>
    </w:p>
    <w:p w14:paraId="6ED94E4A" w14:textId="37EA0091" w:rsidR="0059728A" w:rsidRDefault="00DB40B2" w:rsidP="0059728A">
      <w:pPr>
        <w:pStyle w:val="TOC2"/>
        <w:rPr>
          <w:rFonts w:asciiTheme="minorHAnsi" w:eastAsiaTheme="minorEastAsia" w:hAnsiTheme="minorHAnsi"/>
          <w:color w:val="auto"/>
          <w:lang w:eastAsia="en-AU"/>
        </w:rPr>
      </w:pPr>
      <w:hyperlink w:anchor="_Toc18592324" w:history="1">
        <w:r w:rsidR="0059728A" w:rsidRPr="0059728A">
          <w:rPr>
            <w:rStyle w:val="Hyperlink"/>
          </w:rPr>
          <w:t>2.1</w:t>
        </w:r>
        <w:r w:rsidR="0059728A" w:rsidRPr="0059728A">
          <w:rPr>
            <w:rFonts w:asciiTheme="minorHAnsi" w:eastAsiaTheme="minorEastAsia" w:hAnsiTheme="minorHAnsi"/>
            <w:color w:val="auto"/>
            <w:lang w:eastAsia="en-AU"/>
          </w:rPr>
          <w:tab/>
        </w:r>
        <w:r w:rsidR="0059728A" w:rsidRPr="0059728A">
          <w:rPr>
            <w:rStyle w:val="Hyperlink"/>
          </w:rPr>
          <w:t>Simplification of the PCS</w:t>
        </w:r>
        <w:r w:rsidR="0059728A">
          <w:rPr>
            <w:webHidden/>
          </w:rPr>
          <w:tab/>
        </w:r>
        <w:r w:rsidR="0059728A" w:rsidRPr="0059728A">
          <w:rPr>
            <w:webHidden/>
          </w:rPr>
          <w:fldChar w:fldCharType="begin"/>
        </w:r>
        <w:r w:rsidR="0059728A" w:rsidRPr="0059728A">
          <w:rPr>
            <w:webHidden/>
          </w:rPr>
          <w:instrText xml:space="preserve"> PAGEREF _Toc18592324 \h </w:instrText>
        </w:r>
        <w:r w:rsidR="0059728A" w:rsidRPr="0059728A">
          <w:rPr>
            <w:webHidden/>
          </w:rPr>
        </w:r>
        <w:r w:rsidR="0059728A" w:rsidRPr="0059728A">
          <w:rPr>
            <w:webHidden/>
          </w:rPr>
          <w:fldChar w:fldCharType="separate"/>
        </w:r>
        <w:r w:rsidR="00F732D2">
          <w:rPr>
            <w:webHidden/>
          </w:rPr>
          <w:t>12</w:t>
        </w:r>
        <w:r w:rsidR="0059728A" w:rsidRPr="0059728A">
          <w:rPr>
            <w:webHidden/>
          </w:rPr>
          <w:fldChar w:fldCharType="end"/>
        </w:r>
      </w:hyperlink>
    </w:p>
    <w:p w14:paraId="219D508A" w14:textId="41DB1832" w:rsidR="0059728A" w:rsidRDefault="00DB40B2">
      <w:pPr>
        <w:pStyle w:val="TOC3"/>
        <w:rPr>
          <w:rFonts w:asciiTheme="minorHAnsi" w:eastAsiaTheme="minorEastAsia" w:hAnsiTheme="minorHAnsi"/>
          <w:sz w:val="22"/>
          <w:lang w:eastAsia="en-AU"/>
        </w:rPr>
      </w:pPr>
      <w:hyperlink w:anchor="_Toc18592325" w:history="1">
        <w:r w:rsidR="0059728A" w:rsidRPr="00504743">
          <w:rPr>
            <w:rStyle w:val="Hyperlink"/>
          </w:rPr>
          <w:t>2.1.1</w:t>
        </w:r>
        <w:r w:rsidR="0059728A">
          <w:rPr>
            <w:rFonts w:asciiTheme="minorHAnsi" w:eastAsiaTheme="minorEastAsia" w:hAnsiTheme="minorHAnsi"/>
            <w:sz w:val="22"/>
            <w:lang w:eastAsia="en-AU"/>
          </w:rPr>
          <w:tab/>
        </w:r>
        <w:r w:rsidR="0059728A" w:rsidRPr="00504743">
          <w:rPr>
            <w:rStyle w:val="Hyperlink"/>
          </w:rPr>
          <w:t>‘Australian University College’ Category</w:t>
        </w:r>
        <w:r w:rsidR="0059728A">
          <w:rPr>
            <w:webHidden/>
          </w:rPr>
          <w:tab/>
        </w:r>
        <w:r w:rsidR="0059728A" w:rsidRPr="0059728A">
          <w:rPr>
            <w:b/>
            <w:webHidden/>
          </w:rPr>
          <w:fldChar w:fldCharType="begin"/>
        </w:r>
        <w:r w:rsidR="0059728A" w:rsidRPr="0059728A">
          <w:rPr>
            <w:b/>
            <w:webHidden/>
          </w:rPr>
          <w:instrText xml:space="preserve"> PAGEREF _Toc18592325 \h </w:instrText>
        </w:r>
        <w:r w:rsidR="0059728A" w:rsidRPr="0059728A">
          <w:rPr>
            <w:b/>
            <w:webHidden/>
          </w:rPr>
        </w:r>
        <w:r w:rsidR="0059728A" w:rsidRPr="0059728A">
          <w:rPr>
            <w:b/>
            <w:webHidden/>
          </w:rPr>
          <w:fldChar w:fldCharType="separate"/>
        </w:r>
        <w:r w:rsidR="00F732D2">
          <w:rPr>
            <w:b/>
            <w:webHidden/>
          </w:rPr>
          <w:t>13</w:t>
        </w:r>
        <w:r w:rsidR="0059728A" w:rsidRPr="0059728A">
          <w:rPr>
            <w:b/>
            <w:webHidden/>
          </w:rPr>
          <w:fldChar w:fldCharType="end"/>
        </w:r>
      </w:hyperlink>
    </w:p>
    <w:p w14:paraId="2B278817" w14:textId="513C6AB2" w:rsidR="0059728A" w:rsidRDefault="00DB40B2">
      <w:pPr>
        <w:pStyle w:val="TOC3"/>
        <w:rPr>
          <w:rFonts w:asciiTheme="minorHAnsi" w:eastAsiaTheme="minorEastAsia" w:hAnsiTheme="minorHAnsi"/>
          <w:sz w:val="22"/>
          <w:lang w:eastAsia="en-AU"/>
        </w:rPr>
      </w:pPr>
      <w:hyperlink w:anchor="_Toc18592326" w:history="1">
        <w:r w:rsidR="0059728A" w:rsidRPr="00504743">
          <w:rPr>
            <w:rStyle w:val="Hyperlink"/>
          </w:rPr>
          <w:t>2.1.2</w:t>
        </w:r>
        <w:r w:rsidR="0059728A">
          <w:rPr>
            <w:rFonts w:asciiTheme="minorHAnsi" w:eastAsiaTheme="minorEastAsia" w:hAnsiTheme="minorHAnsi"/>
            <w:sz w:val="22"/>
            <w:lang w:eastAsia="en-AU"/>
          </w:rPr>
          <w:tab/>
        </w:r>
        <w:r w:rsidR="0059728A" w:rsidRPr="00504743">
          <w:rPr>
            <w:rStyle w:val="Hyperlink"/>
          </w:rPr>
          <w:t>‘Australian University of Specialisation’ Category</w:t>
        </w:r>
        <w:r w:rsidR="0059728A">
          <w:rPr>
            <w:webHidden/>
          </w:rPr>
          <w:tab/>
        </w:r>
        <w:r w:rsidR="0059728A" w:rsidRPr="0059728A">
          <w:rPr>
            <w:b/>
            <w:webHidden/>
          </w:rPr>
          <w:fldChar w:fldCharType="begin"/>
        </w:r>
        <w:r w:rsidR="0059728A" w:rsidRPr="0059728A">
          <w:rPr>
            <w:b/>
            <w:webHidden/>
          </w:rPr>
          <w:instrText xml:space="preserve"> PAGEREF _Toc18592326 \h </w:instrText>
        </w:r>
        <w:r w:rsidR="0059728A" w:rsidRPr="0059728A">
          <w:rPr>
            <w:b/>
            <w:webHidden/>
          </w:rPr>
        </w:r>
        <w:r w:rsidR="0059728A" w:rsidRPr="0059728A">
          <w:rPr>
            <w:b/>
            <w:webHidden/>
          </w:rPr>
          <w:fldChar w:fldCharType="separate"/>
        </w:r>
        <w:r w:rsidR="00F732D2">
          <w:rPr>
            <w:b/>
            <w:webHidden/>
          </w:rPr>
          <w:t>15</w:t>
        </w:r>
        <w:r w:rsidR="0059728A" w:rsidRPr="0059728A">
          <w:rPr>
            <w:b/>
            <w:webHidden/>
          </w:rPr>
          <w:fldChar w:fldCharType="end"/>
        </w:r>
      </w:hyperlink>
    </w:p>
    <w:p w14:paraId="269C988C" w14:textId="4DC95D47" w:rsidR="0059728A" w:rsidRDefault="00DB40B2">
      <w:pPr>
        <w:pStyle w:val="TOC3"/>
        <w:rPr>
          <w:rFonts w:asciiTheme="minorHAnsi" w:eastAsiaTheme="minorEastAsia" w:hAnsiTheme="minorHAnsi"/>
          <w:sz w:val="22"/>
          <w:lang w:eastAsia="en-AU"/>
        </w:rPr>
      </w:pPr>
      <w:hyperlink w:anchor="_Toc18592327" w:history="1">
        <w:r w:rsidR="0059728A" w:rsidRPr="00504743">
          <w:rPr>
            <w:rStyle w:val="Hyperlink"/>
          </w:rPr>
          <w:t>2.1.3</w:t>
        </w:r>
        <w:r w:rsidR="0059728A">
          <w:rPr>
            <w:rFonts w:asciiTheme="minorHAnsi" w:eastAsiaTheme="minorEastAsia" w:hAnsiTheme="minorHAnsi"/>
            <w:sz w:val="22"/>
            <w:lang w:eastAsia="en-AU"/>
          </w:rPr>
          <w:tab/>
        </w:r>
        <w:r w:rsidR="0059728A" w:rsidRPr="00504743">
          <w:rPr>
            <w:rStyle w:val="Hyperlink"/>
          </w:rPr>
          <w:t>‘Overseas University’ and ‘Overseas University of Specialisation’ Categories</w:t>
        </w:r>
        <w:r w:rsidR="0059728A">
          <w:rPr>
            <w:webHidden/>
          </w:rPr>
          <w:tab/>
        </w:r>
        <w:r w:rsidR="0059728A" w:rsidRPr="0059728A">
          <w:rPr>
            <w:b/>
            <w:webHidden/>
          </w:rPr>
          <w:fldChar w:fldCharType="begin"/>
        </w:r>
        <w:r w:rsidR="0059728A" w:rsidRPr="0059728A">
          <w:rPr>
            <w:b/>
            <w:webHidden/>
          </w:rPr>
          <w:instrText xml:space="preserve"> PAGEREF _Toc18592327 \h </w:instrText>
        </w:r>
        <w:r w:rsidR="0059728A" w:rsidRPr="0059728A">
          <w:rPr>
            <w:b/>
            <w:webHidden/>
          </w:rPr>
        </w:r>
        <w:r w:rsidR="0059728A" w:rsidRPr="0059728A">
          <w:rPr>
            <w:b/>
            <w:webHidden/>
          </w:rPr>
          <w:fldChar w:fldCharType="separate"/>
        </w:r>
        <w:r w:rsidR="00F732D2">
          <w:rPr>
            <w:b/>
            <w:webHidden/>
          </w:rPr>
          <w:t>16</w:t>
        </w:r>
        <w:r w:rsidR="0059728A" w:rsidRPr="0059728A">
          <w:rPr>
            <w:b/>
            <w:webHidden/>
          </w:rPr>
          <w:fldChar w:fldCharType="end"/>
        </w:r>
      </w:hyperlink>
    </w:p>
    <w:p w14:paraId="6095038E" w14:textId="10577702" w:rsidR="0059728A" w:rsidRPr="0059728A" w:rsidRDefault="00DB40B2" w:rsidP="0059728A">
      <w:pPr>
        <w:pStyle w:val="TOC2"/>
        <w:rPr>
          <w:rFonts w:asciiTheme="minorHAnsi" w:eastAsiaTheme="minorEastAsia" w:hAnsiTheme="minorHAnsi"/>
          <w:color w:val="auto"/>
          <w:lang w:eastAsia="en-AU"/>
        </w:rPr>
      </w:pPr>
      <w:hyperlink w:anchor="_Toc18592328" w:history="1">
        <w:r w:rsidR="0059728A" w:rsidRPr="0059728A">
          <w:rPr>
            <w:rStyle w:val="Hyperlink"/>
          </w:rPr>
          <w:t xml:space="preserve">2.2 </w:t>
        </w:r>
        <w:r w:rsidR="0059728A" w:rsidRPr="0059728A">
          <w:rPr>
            <w:rFonts w:asciiTheme="minorHAnsi" w:eastAsiaTheme="minorEastAsia" w:hAnsiTheme="minorHAnsi"/>
            <w:color w:val="auto"/>
            <w:lang w:eastAsia="en-AU"/>
          </w:rPr>
          <w:tab/>
        </w:r>
        <w:r w:rsidR="0059728A" w:rsidRPr="0059728A">
          <w:rPr>
            <w:rStyle w:val="Hyperlink"/>
          </w:rPr>
          <w:t xml:space="preserve">The Undifferentiated Nature of the Current  </w:t>
        </w:r>
        <w:r w:rsidR="0059728A" w:rsidRPr="0059728A">
          <w:rPr>
            <w:rStyle w:val="Hyperlink"/>
          </w:rPr>
          <w:br/>
          <w:t>‘Higher Education Provider’ Category</w:t>
        </w:r>
        <w:r w:rsidR="0059728A" w:rsidRPr="0059728A">
          <w:rPr>
            <w:webHidden/>
          </w:rPr>
          <w:tab/>
        </w:r>
        <w:r w:rsidR="0059728A" w:rsidRPr="0059728A">
          <w:rPr>
            <w:webHidden/>
          </w:rPr>
          <w:fldChar w:fldCharType="begin"/>
        </w:r>
        <w:r w:rsidR="0059728A" w:rsidRPr="0059728A">
          <w:rPr>
            <w:webHidden/>
          </w:rPr>
          <w:instrText xml:space="preserve"> PAGEREF _Toc18592328 \h </w:instrText>
        </w:r>
        <w:r w:rsidR="0059728A" w:rsidRPr="0059728A">
          <w:rPr>
            <w:webHidden/>
          </w:rPr>
        </w:r>
        <w:r w:rsidR="0059728A" w:rsidRPr="0059728A">
          <w:rPr>
            <w:webHidden/>
          </w:rPr>
          <w:fldChar w:fldCharType="separate"/>
        </w:r>
        <w:r w:rsidR="00F732D2">
          <w:rPr>
            <w:webHidden/>
          </w:rPr>
          <w:t>18</w:t>
        </w:r>
        <w:r w:rsidR="0059728A" w:rsidRPr="0059728A">
          <w:rPr>
            <w:webHidden/>
          </w:rPr>
          <w:fldChar w:fldCharType="end"/>
        </w:r>
      </w:hyperlink>
    </w:p>
    <w:p w14:paraId="4FB6507A" w14:textId="0DE4C519" w:rsidR="0059728A" w:rsidRDefault="00DB40B2">
      <w:pPr>
        <w:pStyle w:val="TOC3"/>
        <w:rPr>
          <w:rFonts w:asciiTheme="minorHAnsi" w:eastAsiaTheme="minorEastAsia" w:hAnsiTheme="minorHAnsi"/>
          <w:sz w:val="22"/>
          <w:lang w:eastAsia="en-AU"/>
        </w:rPr>
      </w:pPr>
      <w:hyperlink w:anchor="_Toc18592329" w:history="1">
        <w:r w:rsidR="0059728A" w:rsidRPr="00504743">
          <w:rPr>
            <w:rStyle w:val="Hyperlink"/>
          </w:rPr>
          <w:t>2.2.1</w:t>
        </w:r>
        <w:r w:rsidR="0059728A">
          <w:rPr>
            <w:rFonts w:asciiTheme="minorHAnsi" w:eastAsiaTheme="minorEastAsia" w:hAnsiTheme="minorHAnsi"/>
            <w:sz w:val="22"/>
            <w:lang w:eastAsia="en-AU"/>
          </w:rPr>
          <w:tab/>
        </w:r>
        <w:r w:rsidR="0059728A" w:rsidRPr="00504743">
          <w:rPr>
            <w:rStyle w:val="Hyperlink"/>
          </w:rPr>
          <w:t>Access to Commonwealth Supported Places (CSPs)</w:t>
        </w:r>
        <w:r w:rsidR="0059728A">
          <w:rPr>
            <w:webHidden/>
          </w:rPr>
          <w:tab/>
        </w:r>
        <w:r w:rsidR="0059728A" w:rsidRPr="0059728A">
          <w:rPr>
            <w:b/>
            <w:webHidden/>
          </w:rPr>
          <w:fldChar w:fldCharType="begin"/>
        </w:r>
        <w:r w:rsidR="0059728A" w:rsidRPr="0059728A">
          <w:rPr>
            <w:b/>
            <w:webHidden/>
          </w:rPr>
          <w:instrText xml:space="preserve"> PAGEREF _Toc18592329 \h </w:instrText>
        </w:r>
        <w:r w:rsidR="0059728A" w:rsidRPr="0059728A">
          <w:rPr>
            <w:b/>
            <w:webHidden/>
          </w:rPr>
        </w:r>
        <w:r w:rsidR="0059728A" w:rsidRPr="0059728A">
          <w:rPr>
            <w:b/>
            <w:webHidden/>
          </w:rPr>
          <w:fldChar w:fldCharType="separate"/>
        </w:r>
        <w:r w:rsidR="00F732D2">
          <w:rPr>
            <w:b/>
            <w:webHidden/>
          </w:rPr>
          <w:t>19</w:t>
        </w:r>
        <w:r w:rsidR="0059728A" w:rsidRPr="0059728A">
          <w:rPr>
            <w:b/>
            <w:webHidden/>
          </w:rPr>
          <w:fldChar w:fldCharType="end"/>
        </w:r>
      </w:hyperlink>
    </w:p>
    <w:p w14:paraId="203A35C2" w14:textId="2DA3ADC1" w:rsidR="0059728A" w:rsidRDefault="00DB40B2">
      <w:pPr>
        <w:pStyle w:val="TOC3"/>
        <w:rPr>
          <w:rFonts w:asciiTheme="minorHAnsi" w:eastAsiaTheme="minorEastAsia" w:hAnsiTheme="minorHAnsi"/>
          <w:sz w:val="22"/>
          <w:lang w:eastAsia="en-AU"/>
        </w:rPr>
      </w:pPr>
      <w:hyperlink w:anchor="_Toc18592330" w:history="1">
        <w:r w:rsidR="0059728A" w:rsidRPr="00504743">
          <w:rPr>
            <w:rStyle w:val="Hyperlink"/>
          </w:rPr>
          <w:t>2.2.2</w:t>
        </w:r>
        <w:r w:rsidR="0059728A">
          <w:rPr>
            <w:rFonts w:asciiTheme="minorHAnsi" w:eastAsiaTheme="minorEastAsia" w:hAnsiTheme="minorHAnsi"/>
            <w:sz w:val="22"/>
            <w:lang w:eastAsia="en-AU"/>
          </w:rPr>
          <w:tab/>
        </w:r>
        <w:r w:rsidR="0059728A" w:rsidRPr="00504743">
          <w:rPr>
            <w:rStyle w:val="Hyperlink"/>
          </w:rPr>
          <w:t>FEE-HELP Loan Fee</w:t>
        </w:r>
        <w:r w:rsidR="0059728A">
          <w:rPr>
            <w:webHidden/>
          </w:rPr>
          <w:tab/>
        </w:r>
        <w:r w:rsidR="0059728A" w:rsidRPr="0059728A">
          <w:rPr>
            <w:b/>
            <w:webHidden/>
          </w:rPr>
          <w:fldChar w:fldCharType="begin"/>
        </w:r>
        <w:r w:rsidR="0059728A" w:rsidRPr="0059728A">
          <w:rPr>
            <w:b/>
            <w:webHidden/>
          </w:rPr>
          <w:instrText xml:space="preserve"> PAGEREF _Toc18592330 \h </w:instrText>
        </w:r>
        <w:r w:rsidR="0059728A" w:rsidRPr="0059728A">
          <w:rPr>
            <w:b/>
            <w:webHidden/>
          </w:rPr>
        </w:r>
        <w:r w:rsidR="0059728A" w:rsidRPr="0059728A">
          <w:rPr>
            <w:b/>
            <w:webHidden/>
          </w:rPr>
          <w:fldChar w:fldCharType="separate"/>
        </w:r>
        <w:r w:rsidR="00F732D2">
          <w:rPr>
            <w:b/>
            <w:webHidden/>
          </w:rPr>
          <w:t>20</w:t>
        </w:r>
        <w:r w:rsidR="0059728A" w:rsidRPr="0059728A">
          <w:rPr>
            <w:b/>
            <w:webHidden/>
          </w:rPr>
          <w:fldChar w:fldCharType="end"/>
        </w:r>
      </w:hyperlink>
    </w:p>
    <w:p w14:paraId="742D1A5B" w14:textId="6C170577" w:rsidR="0059728A" w:rsidRDefault="00DB40B2">
      <w:pPr>
        <w:pStyle w:val="TOC3"/>
        <w:rPr>
          <w:rFonts w:asciiTheme="minorHAnsi" w:eastAsiaTheme="minorEastAsia" w:hAnsiTheme="minorHAnsi"/>
          <w:sz w:val="22"/>
          <w:lang w:eastAsia="en-AU"/>
        </w:rPr>
      </w:pPr>
      <w:hyperlink w:anchor="_Toc18592331" w:history="1">
        <w:r w:rsidR="0059728A" w:rsidRPr="00504743">
          <w:rPr>
            <w:rStyle w:val="Hyperlink"/>
          </w:rPr>
          <w:t>2.2.3</w:t>
        </w:r>
        <w:r w:rsidR="0059728A">
          <w:rPr>
            <w:rFonts w:asciiTheme="minorHAnsi" w:eastAsiaTheme="minorEastAsia" w:hAnsiTheme="minorHAnsi"/>
            <w:sz w:val="22"/>
            <w:lang w:eastAsia="en-AU"/>
          </w:rPr>
          <w:tab/>
        </w:r>
        <w:r w:rsidR="0059728A" w:rsidRPr="00504743">
          <w:rPr>
            <w:rStyle w:val="Hyperlink"/>
          </w:rPr>
          <w:t>Nomenclature</w:t>
        </w:r>
        <w:r w:rsidR="0059728A">
          <w:rPr>
            <w:webHidden/>
          </w:rPr>
          <w:tab/>
        </w:r>
        <w:r w:rsidR="0059728A" w:rsidRPr="0059728A">
          <w:rPr>
            <w:b/>
            <w:webHidden/>
          </w:rPr>
          <w:fldChar w:fldCharType="begin"/>
        </w:r>
        <w:r w:rsidR="0059728A" w:rsidRPr="0059728A">
          <w:rPr>
            <w:b/>
            <w:webHidden/>
          </w:rPr>
          <w:instrText xml:space="preserve"> PAGEREF _Toc18592331 \h </w:instrText>
        </w:r>
        <w:r w:rsidR="0059728A" w:rsidRPr="0059728A">
          <w:rPr>
            <w:b/>
            <w:webHidden/>
          </w:rPr>
        </w:r>
        <w:r w:rsidR="0059728A" w:rsidRPr="0059728A">
          <w:rPr>
            <w:b/>
            <w:webHidden/>
          </w:rPr>
          <w:fldChar w:fldCharType="separate"/>
        </w:r>
        <w:r w:rsidR="00F732D2">
          <w:rPr>
            <w:b/>
            <w:webHidden/>
          </w:rPr>
          <w:t>21</w:t>
        </w:r>
        <w:r w:rsidR="0059728A" w:rsidRPr="0059728A">
          <w:rPr>
            <w:b/>
            <w:webHidden/>
          </w:rPr>
          <w:fldChar w:fldCharType="end"/>
        </w:r>
      </w:hyperlink>
    </w:p>
    <w:p w14:paraId="01590ED2" w14:textId="1E8ADAE7" w:rsidR="0059728A" w:rsidRDefault="00DB40B2">
      <w:pPr>
        <w:pStyle w:val="TOC3"/>
        <w:rPr>
          <w:rFonts w:asciiTheme="minorHAnsi" w:eastAsiaTheme="minorEastAsia" w:hAnsiTheme="minorHAnsi"/>
          <w:sz w:val="22"/>
          <w:lang w:eastAsia="en-AU"/>
        </w:rPr>
      </w:pPr>
      <w:hyperlink w:anchor="_Toc18592332" w:history="1">
        <w:r w:rsidR="0059728A" w:rsidRPr="00504743">
          <w:rPr>
            <w:rStyle w:val="Hyperlink"/>
          </w:rPr>
          <w:t>2.2.4</w:t>
        </w:r>
        <w:r w:rsidR="0059728A">
          <w:rPr>
            <w:rFonts w:asciiTheme="minorHAnsi" w:eastAsiaTheme="minorEastAsia" w:hAnsiTheme="minorHAnsi"/>
            <w:sz w:val="22"/>
            <w:lang w:eastAsia="en-AU"/>
          </w:rPr>
          <w:tab/>
        </w:r>
        <w:r w:rsidR="0059728A" w:rsidRPr="00504743">
          <w:rPr>
            <w:rStyle w:val="Hyperlink"/>
          </w:rPr>
          <w:t>Differentiation</w:t>
        </w:r>
        <w:r w:rsidR="0059728A">
          <w:rPr>
            <w:webHidden/>
          </w:rPr>
          <w:tab/>
        </w:r>
        <w:r w:rsidR="0059728A" w:rsidRPr="0059728A">
          <w:rPr>
            <w:b/>
            <w:webHidden/>
          </w:rPr>
          <w:fldChar w:fldCharType="begin"/>
        </w:r>
        <w:r w:rsidR="0059728A" w:rsidRPr="0059728A">
          <w:rPr>
            <w:b/>
            <w:webHidden/>
          </w:rPr>
          <w:instrText xml:space="preserve"> PAGEREF _Toc18592332 \h </w:instrText>
        </w:r>
        <w:r w:rsidR="0059728A" w:rsidRPr="0059728A">
          <w:rPr>
            <w:b/>
            <w:webHidden/>
          </w:rPr>
        </w:r>
        <w:r w:rsidR="0059728A" w:rsidRPr="0059728A">
          <w:rPr>
            <w:b/>
            <w:webHidden/>
          </w:rPr>
          <w:fldChar w:fldCharType="separate"/>
        </w:r>
        <w:r w:rsidR="00F732D2">
          <w:rPr>
            <w:b/>
            <w:webHidden/>
          </w:rPr>
          <w:t>22</w:t>
        </w:r>
        <w:r w:rsidR="0059728A" w:rsidRPr="0059728A">
          <w:rPr>
            <w:b/>
            <w:webHidden/>
          </w:rPr>
          <w:fldChar w:fldCharType="end"/>
        </w:r>
      </w:hyperlink>
    </w:p>
    <w:p w14:paraId="509A4835" w14:textId="29DB76BB" w:rsidR="0059728A" w:rsidRDefault="00DB40B2">
      <w:pPr>
        <w:pStyle w:val="TOC3"/>
        <w:rPr>
          <w:rFonts w:asciiTheme="minorHAnsi" w:eastAsiaTheme="minorEastAsia" w:hAnsiTheme="minorHAnsi"/>
          <w:sz w:val="22"/>
          <w:lang w:eastAsia="en-AU"/>
        </w:rPr>
      </w:pPr>
      <w:hyperlink w:anchor="_Toc18592333" w:history="1">
        <w:r w:rsidR="0059728A" w:rsidRPr="00504743">
          <w:rPr>
            <w:rStyle w:val="Hyperlink"/>
          </w:rPr>
          <w:t>2.2.5</w:t>
        </w:r>
        <w:r w:rsidR="0059728A">
          <w:rPr>
            <w:rFonts w:asciiTheme="minorHAnsi" w:eastAsiaTheme="minorEastAsia" w:hAnsiTheme="minorHAnsi"/>
            <w:sz w:val="22"/>
            <w:lang w:eastAsia="en-AU"/>
          </w:rPr>
          <w:tab/>
        </w:r>
        <w:r w:rsidR="0059728A" w:rsidRPr="00504743">
          <w:rPr>
            <w:rStyle w:val="Hyperlink"/>
          </w:rPr>
          <w:t>A New Provider Category Reflecting Standing and Excellence</w:t>
        </w:r>
        <w:r w:rsidR="0059728A">
          <w:rPr>
            <w:webHidden/>
          </w:rPr>
          <w:tab/>
        </w:r>
        <w:r w:rsidR="0059728A" w:rsidRPr="0059728A">
          <w:rPr>
            <w:b/>
            <w:webHidden/>
          </w:rPr>
          <w:fldChar w:fldCharType="begin"/>
        </w:r>
        <w:r w:rsidR="0059728A" w:rsidRPr="0059728A">
          <w:rPr>
            <w:b/>
            <w:webHidden/>
          </w:rPr>
          <w:instrText xml:space="preserve"> PAGEREF _Toc18592333 \h </w:instrText>
        </w:r>
        <w:r w:rsidR="0059728A" w:rsidRPr="0059728A">
          <w:rPr>
            <w:b/>
            <w:webHidden/>
          </w:rPr>
        </w:r>
        <w:r w:rsidR="0059728A" w:rsidRPr="0059728A">
          <w:rPr>
            <w:b/>
            <w:webHidden/>
          </w:rPr>
          <w:fldChar w:fldCharType="separate"/>
        </w:r>
        <w:r w:rsidR="00F732D2">
          <w:rPr>
            <w:b/>
            <w:webHidden/>
          </w:rPr>
          <w:t>25</w:t>
        </w:r>
        <w:r w:rsidR="0059728A" w:rsidRPr="0059728A">
          <w:rPr>
            <w:b/>
            <w:webHidden/>
          </w:rPr>
          <w:fldChar w:fldCharType="end"/>
        </w:r>
      </w:hyperlink>
    </w:p>
    <w:p w14:paraId="49D102C1" w14:textId="73553719" w:rsidR="0059728A" w:rsidRDefault="00DB40B2" w:rsidP="0059728A">
      <w:pPr>
        <w:pStyle w:val="TOC2"/>
        <w:rPr>
          <w:rStyle w:val="Hyperlink"/>
        </w:rPr>
      </w:pPr>
      <w:hyperlink w:anchor="_Toc18592334" w:history="1">
        <w:r w:rsidR="0059728A" w:rsidRPr="00504743">
          <w:rPr>
            <w:rStyle w:val="Hyperlink"/>
          </w:rPr>
          <w:t>2.3</w:t>
        </w:r>
        <w:r w:rsidR="0059728A">
          <w:rPr>
            <w:rFonts w:asciiTheme="minorHAnsi" w:eastAsiaTheme="minorEastAsia" w:hAnsiTheme="minorHAnsi"/>
            <w:b/>
            <w:color w:val="auto"/>
            <w:lang w:eastAsia="en-AU"/>
          </w:rPr>
          <w:tab/>
        </w:r>
        <w:r w:rsidR="0059728A" w:rsidRPr="00504743">
          <w:rPr>
            <w:rStyle w:val="Hyperlink"/>
          </w:rPr>
          <w:t>Diversity and Expansion of the Higher Education Sector</w:t>
        </w:r>
        <w:r w:rsidR="0059728A">
          <w:rPr>
            <w:webHidden/>
          </w:rPr>
          <w:tab/>
        </w:r>
        <w:r w:rsidR="0059728A">
          <w:rPr>
            <w:webHidden/>
          </w:rPr>
          <w:fldChar w:fldCharType="begin"/>
        </w:r>
        <w:r w:rsidR="0059728A">
          <w:rPr>
            <w:webHidden/>
          </w:rPr>
          <w:instrText xml:space="preserve"> PAGEREF _Toc18592334 \h </w:instrText>
        </w:r>
        <w:r w:rsidR="0059728A">
          <w:rPr>
            <w:webHidden/>
          </w:rPr>
        </w:r>
        <w:r w:rsidR="0059728A">
          <w:rPr>
            <w:webHidden/>
          </w:rPr>
          <w:fldChar w:fldCharType="separate"/>
        </w:r>
        <w:r w:rsidR="00F732D2">
          <w:rPr>
            <w:webHidden/>
          </w:rPr>
          <w:t>28</w:t>
        </w:r>
        <w:r w:rsidR="0059728A">
          <w:rPr>
            <w:webHidden/>
          </w:rPr>
          <w:fldChar w:fldCharType="end"/>
        </w:r>
      </w:hyperlink>
    </w:p>
    <w:p w14:paraId="16ED14E0" w14:textId="1F4F38BC" w:rsidR="0059728A" w:rsidRDefault="0059728A">
      <w:pPr>
        <w:spacing w:before="0" w:after="160"/>
      </w:pPr>
      <w:r>
        <w:br w:type="page"/>
      </w:r>
    </w:p>
    <w:p w14:paraId="726381D3" w14:textId="68DA2494" w:rsidR="0059728A" w:rsidRDefault="00DB40B2" w:rsidP="0059728A">
      <w:pPr>
        <w:pStyle w:val="TOC2"/>
        <w:rPr>
          <w:rFonts w:asciiTheme="minorHAnsi" w:eastAsiaTheme="minorEastAsia" w:hAnsiTheme="minorHAnsi"/>
          <w:b/>
          <w:color w:val="auto"/>
          <w:lang w:eastAsia="en-AU"/>
        </w:rPr>
      </w:pPr>
      <w:hyperlink w:anchor="_Toc18592335" w:history="1">
        <w:r w:rsidR="0059728A" w:rsidRPr="00504743">
          <w:rPr>
            <w:rStyle w:val="Hyperlink"/>
          </w:rPr>
          <w:t>2.4</w:t>
        </w:r>
        <w:r w:rsidR="0059728A">
          <w:rPr>
            <w:rFonts w:asciiTheme="minorHAnsi" w:eastAsiaTheme="minorEastAsia" w:hAnsiTheme="minorHAnsi"/>
            <w:b/>
            <w:color w:val="auto"/>
            <w:lang w:eastAsia="en-AU"/>
          </w:rPr>
          <w:tab/>
        </w:r>
        <w:r w:rsidR="0059728A" w:rsidRPr="00504743">
          <w:rPr>
            <w:rStyle w:val="Hyperlink"/>
          </w:rPr>
          <w:t>‘Australian University’ Category</w:t>
        </w:r>
        <w:r w:rsidR="0059728A">
          <w:rPr>
            <w:webHidden/>
          </w:rPr>
          <w:tab/>
        </w:r>
        <w:r w:rsidR="0059728A">
          <w:rPr>
            <w:webHidden/>
          </w:rPr>
          <w:fldChar w:fldCharType="begin"/>
        </w:r>
        <w:r w:rsidR="0059728A">
          <w:rPr>
            <w:webHidden/>
          </w:rPr>
          <w:instrText xml:space="preserve"> PAGEREF _Toc18592335 \h </w:instrText>
        </w:r>
        <w:r w:rsidR="0059728A">
          <w:rPr>
            <w:webHidden/>
          </w:rPr>
        </w:r>
        <w:r w:rsidR="0059728A">
          <w:rPr>
            <w:webHidden/>
          </w:rPr>
          <w:fldChar w:fldCharType="separate"/>
        </w:r>
        <w:r w:rsidR="00F732D2">
          <w:rPr>
            <w:webHidden/>
          </w:rPr>
          <w:t>29</w:t>
        </w:r>
        <w:r w:rsidR="0059728A">
          <w:rPr>
            <w:webHidden/>
          </w:rPr>
          <w:fldChar w:fldCharType="end"/>
        </w:r>
      </w:hyperlink>
    </w:p>
    <w:p w14:paraId="6E786214" w14:textId="682BDF2C" w:rsidR="0059728A" w:rsidRDefault="00DB40B2">
      <w:pPr>
        <w:pStyle w:val="TOC3"/>
        <w:rPr>
          <w:rFonts w:asciiTheme="minorHAnsi" w:eastAsiaTheme="minorEastAsia" w:hAnsiTheme="minorHAnsi"/>
          <w:sz w:val="22"/>
          <w:lang w:eastAsia="en-AU"/>
        </w:rPr>
      </w:pPr>
      <w:hyperlink w:anchor="_Toc18592336" w:history="1">
        <w:r w:rsidR="0059728A" w:rsidRPr="00504743">
          <w:rPr>
            <w:rStyle w:val="Hyperlink"/>
          </w:rPr>
          <w:t>2.4.1</w:t>
        </w:r>
        <w:r w:rsidR="0059728A">
          <w:rPr>
            <w:rFonts w:asciiTheme="minorHAnsi" w:eastAsiaTheme="minorEastAsia" w:hAnsiTheme="minorHAnsi"/>
            <w:sz w:val="22"/>
            <w:lang w:eastAsia="en-AU"/>
          </w:rPr>
          <w:tab/>
        </w:r>
        <w:r w:rsidR="0059728A" w:rsidRPr="00504743">
          <w:rPr>
            <w:rStyle w:val="Hyperlink"/>
          </w:rPr>
          <w:t>The ‘University’ Title</w:t>
        </w:r>
        <w:r w:rsidR="0059728A">
          <w:rPr>
            <w:webHidden/>
          </w:rPr>
          <w:tab/>
        </w:r>
        <w:r w:rsidR="0059728A" w:rsidRPr="0059728A">
          <w:rPr>
            <w:b/>
            <w:webHidden/>
          </w:rPr>
          <w:fldChar w:fldCharType="begin"/>
        </w:r>
        <w:r w:rsidR="0059728A" w:rsidRPr="0059728A">
          <w:rPr>
            <w:b/>
            <w:webHidden/>
          </w:rPr>
          <w:instrText xml:space="preserve"> PAGEREF _Toc18592336 \h </w:instrText>
        </w:r>
        <w:r w:rsidR="0059728A" w:rsidRPr="0059728A">
          <w:rPr>
            <w:b/>
            <w:webHidden/>
          </w:rPr>
        </w:r>
        <w:r w:rsidR="0059728A" w:rsidRPr="0059728A">
          <w:rPr>
            <w:b/>
            <w:webHidden/>
          </w:rPr>
          <w:fldChar w:fldCharType="separate"/>
        </w:r>
        <w:r w:rsidR="00F732D2">
          <w:rPr>
            <w:b/>
            <w:webHidden/>
          </w:rPr>
          <w:t>30</w:t>
        </w:r>
        <w:r w:rsidR="0059728A" w:rsidRPr="0059728A">
          <w:rPr>
            <w:b/>
            <w:webHidden/>
          </w:rPr>
          <w:fldChar w:fldCharType="end"/>
        </w:r>
      </w:hyperlink>
    </w:p>
    <w:p w14:paraId="1B577ECC" w14:textId="68393938" w:rsidR="0059728A" w:rsidRDefault="00DB40B2">
      <w:pPr>
        <w:pStyle w:val="TOC3"/>
        <w:rPr>
          <w:rFonts w:asciiTheme="minorHAnsi" w:eastAsiaTheme="minorEastAsia" w:hAnsiTheme="minorHAnsi"/>
          <w:sz w:val="22"/>
          <w:lang w:eastAsia="en-AU"/>
        </w:rPr>
      </w:pPr>
      <w:hyperlink w:anchor="_Toc18592337" w:history="1">
        <w:r w:rsidR="0059728A" w:rsidRPr="00504743">
          <w:rPr>
            <w:rStyle w:val="Hyperlink"/>
          </w:rPr>
          <w:t>2.4.2</w:t>
        </w:r>
        <w:r w:rsidR="0059728A">
          <w:rPr>
            <w:rFonts w:asciiTheme="minorHAnsi" w:eastAsiaTheme="minorEastAsia" w:hAnsiTheme="minorHAnsi"/>
            <w:sz w:val="22"/>
            <w:lang w:eastAsia="en-AU"/>
          </w:rPr>
          <w:tab/>
        </w:r>
        <w:r w:rsidR="0059728A" w:rsidRPr="00504743">
          <w:rPr>
            <w:rStyle w:val="Hyperlink"/>
          </w:rPr>
          <w:t>Teaching and Research in Universities</w:t>
        </w:r>
        <w:r w:rsidR="0059728A">
          <w:rPr>
            <w:webHidden/>
          </w:rPr>
          <w:tab/>
        </w:r>
        <w:r w:rsidR="0059728A" w:rsidRPr="0059728A">
          <w:rPr>
            <w:b/>
            <w:webHidden/>
          </w:rPr>
          <w:fldChar w:fldCharType="begin"/>
        </w:r>
        <w:r w:rsidR="0059728A" w:rsidRPr="0059728A">
          <w:rPr>
            <w:b/>
            <w:webHidden/>
          </w:rPr>
          <w:instrText xml:space="preserve"> PAGEREF _Toc18592337 \h </w:instrText>
        </w:r>
        <w:r w:rsidR="0059728A" w:rsidRPr="0059728A">
          <w:rPr>
            <w:b/>
            <w:webHidden/>
          </w:rPr>
        </w:r>
        <w:r w:rsidR="0059728A" w:rsidRPr="0059728A">
          <w:rPr>
            <w:b/>
            <w:webHidden/>
          </w:rPr>
          <w:fldChar w:fldCharType="separate"/>
        </w:r>
        <w:r w:rsidR="00F732D2">
          <w:rPr>
            <w:b/>
            <w:webHidden/>
          </w:rPr>
          <w:t>30</w:t>
        </w:r>
        <w:r w:rsidR="0059728A" w:rsidRPr="0059728A">
          <w:rPr>
            <w:b/>
            <w:webHidden/>
          </w:rPr>
          <w:fldChar w:fldCharType="end"/>
        </w:r>
      </w:hyperlink>
    </w:p>
    <w:p w14:paraId="06A81062" w14:textId="392C6842" w:rsidR="0059728A" w:rsidRDefault="00DB40B2">
      <w:pPr>
        <w:pStyle w:val="TOC3"/>
        <w:rPr>
          <w:rFonts w:asciiTheme="minorHAnsi" w:eastAsiaTheme="minorEastAsia" w:hAnsiTheme="minorHAnsi"/>
          <w:sz w:val="22"/>
          <w:lang w:eastAsia="en-AU"/>
        </w:rPr>
      </w:pPr>
      <w:hyperlink w:anchor="_Toc18592338" w:history="1">
        <w:r w:rsidR="0059728A" w:rsidRPr="00504743">
          <w:rPr>
            <w:rStyle w:val="Hyperlink"/>
          </w:rPr>
          <w:t>2.4.3</w:t>
        </w:r>
        <w:r w:rsidR="0059728A">
          <w:rPr>
            <w:rFonts w:asciiTheme="minorHAnsi" w:eastAsiaTheme="minorEastAsia" w:hAnsiTheme="minorHAnsi"/>
            <w:sz w:val="22"/>
            <w:lang w:eastAsia="en-AU"/>
          </w:rPr>
          <w:tab/>
        </w:r>
        <w:r w:rsidR="0059728A" w:rsidRPr="00504743">
          <w:rPr>
            <w:rStyle w:val="Hyperlink"/>
          </w:rPr>
          <w:t>Research Requirements</w:t>
        </w:r>
        <w:r w:rsidR="0059728A">
          <w:rPr>
            <w:webHidden/>
          </w:rPr>
          <w:tab/>
        </w:r>
        <w:r w:rsidR="0059728A" w:rsidRPr="0059728A">
          <w:rPr>
            <w:b/>
            <w:webHidden/>
          </w:rPr>
          <w:fldChar w:fldCharType="begin"/>
        </w:r>
        <w:r w:rsidR="0059728A" w:rsidRPr="0059728A">
          <w:rPr>
            <w:b/>
            <w:webHidden/>
          </w:rPr>
          <w:instrText xml:space="preserve"> PAGEREF _Toc18592338 \h </w:instrText>
        </w:r>
        <w:r w:rsidR="0059728A" w:rsidRPr="0059728A">
          <w:rPr>
            <w:b/>
            <w:webHidden/>
          </w:rPr>
        </w:r>
        <w:r w:rsidR="0059728A" w:rsidRPr="0059728A">
          <w:rPr>
            <w:b/>
            <w:webHidden/>
          </w:rPr>
          <w:fldChar w:fldCharType="separate"/>
        </w:r>
        <w:r w:rsidR="00F732D2">
          <w:rPr>
            <w:b/>
            <w:webHidden/>
          </w:rPr>
          <w:t>32</w:t>
        </w:r>
        <w:r w:rsidR="0059728A" w:rsidRPr="0059728A">
          <w:rPr>
            <w:b/>
            <w:webHidden/>
          </w:rPr>
          <w:fldChar w:fldCharType="end"/>
        </w:r>
      </w:hyperlink>
    </w:p>
    <w:p w14:paraId="788942E2" w14:textId="14B59089" w:rsidR="0059728A" w:rsidRDefault="00DB40B2">
      <w:pPr>
        <w:pStyle w:val="TOC3"/>
        <w:rPr>
          <w:rFonts w:asciiTheme="minorHAnsi" w:eastAsiaTheme="minorEastAsia" w:hAnsiTheme="minorHAnsi"/>
          <w:sz w:val="22"/>
          <w:lang w:eastAsia="en-AU"/>
        </w:rPr>
      </w:pPr>
      <w:hyperlink w:anchor="_Toc18592339" w:history="1">
        <w:r w:rsidR="0059728A" w:rsidRPr="00504743">
          <w:rPr>
            <w:rStyle w:val="Hyperlink"/>
          </w:rPr>
          <w:t>2.4.4</w:t>
        </w:r>
        <w:r w:rsidR="0059728A">
          <w:rPr>
            <w:rFonts w:asciiTheme="minorHAnsi" w:eastAsiaTheme="minorEastAsia" w:hAnsiTheme="minorHAnsi"/>
            <w:sz w:val="22"/>
            <w:lang w:eastAsia="en-AU"/>
          </w:rPr>
          <w:tab/>
        </w:r>
        <w:r w:rsidR="0059728A" w:rsidRPr="00504743">
          <w:rPr>
            <w:rStyle w:val="Hyperlink"/>
          </w:rPr>
          <w:t>Scholarship</w:t>
        </w:r>
        <w:r w:rsidR="0059728A">
          <w:rPr>
            <w:webHidden/>
          </w:rPr>
          <w:tab/>
        </w:r>
        <w:r w:rsidR="0059728A" w:rsidRPr="0059728A">
          <w:rPr>
            <w:b/>
            <w:webHidden/>
          </w:rPr>
          <w:fldChar w:fldCharType="begin"/>
        </w:r>
        <w:r w:rsidR="0059728A" w:rsidRPr="0059728A">
          <w:rPr>
            <w:b/>
            <w:webHidden/>
          </w:rPr>
          <w:instrText xml:space="preserve"> PAGEREF _Toc18592339 \h </w:instrText>
        </w:r>
        <w:r w:rsidR="0059728A" w:rsidRPr="0059728A">
          <w:rPr>
            <w:b/>
            <w:webHidden/>
          </w:rPr>
        </w:r>
        <w:r w:rsidR="0059728A" w:rsidRPr="0059728A">
          <w:rPr>
            <w:b/>
            <w:webHidden/>
          </w:rPr>
          <w:fldChar w:fldCharType="separate"/>
        </w:r>
        <w:r w:rsidR="00F732D2">
          <w:rPr>
            <w:b/>
            <w:webHidden/>
          </w:rPr>
          <w:t>37</w:t>
        </w:r>
        <w:r w:rsidR="0059728A" w:rsidRPr="0059728A">
          <w:rPr>
            <w:b/>
            <w:webHidden/>
          </w:rPr>
          <w:fldChar w:fldCharType="end"/>
        </w:r>
      </w:hyperlink>
    </w:p>
    <w:p w14:paraId="44D7DCA6" w14:textId="23E834A1" w:rsidR="0059728A" w:rsidRDefault="00DB40B2">
      <w:pPr>
        <w:pStyle w:val="TOC3"/>
        <w:rPr>
          <w:rFonts w:asciiTheme="minorHAnsi" w:eastAsiaTheme="minorEastAsia" w:hAnsiTheme="minorHAnsi"/>
          <w:sz w:val="22"/>
          <w:lang w:eastAsia="en-AU"/>
        </w:rPr>
      </w:pPr>
      <w:hyperlink w:anchor="_Toc18592340" w:history="1">
        <w:r w:rsidR="0059728A" w:rsidRPr="00504743">
          <w:rPr>
            <w:rStyle w:val="Hyperlink"/>
          </w:rPr>
          <w:t>2.4.5</w:t>
        </w:r>
        <w:r w:rsidR="0059728A">
          <w:rPr>
            <w:rFonts w:asciiTheme="minorHAnsi" w:eastAsiaTheme="minorEastAsia" w:hAnsiTheme="minorHAnsi"/>
            <w:sz w:val="22"/>
            <w:lang w:eastAsia="en-AU"/>
          </w:rPr>
          <w:tab/>
        </w:r>
        <w:r w:rsidR="0059728A" w:rsidRPr="00504743">
          <w:rPr>
            <w:rStyle w:val="Hyperlink"/>
          </w:rPr>
          <w:t>Student Experience</w:t>
        </w:r>
        <w:r w:rsidR="0059728A">
          <w:rPr>
            <w:webHidden/>
          </w:rPr>
          <w:tab/>
        </w:r>
        <w:r w:rsidR="0059728A" w:rsidRPr="0059728A">
          <w:rPr>
            <w:b/>
            <w:webHidden/>
          </w:rPr>
          <w:fldChar w:fldCharType="begin"/>
        </w:r>
        <w:r w:rsidR="0059728A" w:rsidRPr="0059728A">
          <w:rPr>
            <w:b/>
            <w:webHidden/>
          </w:rPr>
          <w:instrText xml:space="preserve"> PAGEREF _Toc18592340 \h </w:instrText>
        </w:r>
        <w:r w:rsidR="0059728A" w:rsidRPr="0059728A">
          <w:rPr>
            <w:b/>
            <w:webHidden/>
          </w:rPr>
        </w:r>
        <w:r w:rsidR="0059728A" w:rsidRPr="0059728A">
          <w:rPr>
            <w:b/>
            <w:webHidden/>
          </w:rPr>
          <w:fldChar w:fldCharType="separate"/>
        </w:r>
        <w:r w:rsidR="00F732D2">
          <w:rPr>
            <w:b/>
            <w:webHidden/>
          </w:rPr>
          <w:t>38</w:t>
        </w:r>
        <w:r w:rsidR="0059728A" w:rsidRPr="0059728A">
          <w:rPr>
            <w:b/>
            <w:webHidden/>
          </w:rPr>
          <w:fldChar w:fldCharType="end"/>
        </w:r>
      </w:hyperlink>
    </w:p>
    <w:p w14:paraId="2838B295" w14:textId="5C03801B" w:rsidR="0059728A" w:rsidRDefault="00DB40B2">
      <w:pPr>
        <w:pStyle w:val="TOC3"/>
        <w:rPr>
          <w:rFonts w:asciiTheme="minorHAnsi" w:eastAsiaTheme="minorEastAsia" w:hAnsiTheme="minorHAnsi"/>
          <w:sz w:val="22"/>
          <w:lang w:eastAsia="en-AU"/>
        </w:rPr>
      </w:pPr>
      <w:hyperlink w:anchor="_Toc18592341" w:history="1">
        <w:r w:rsidR="0059728A" w:rsidRPr="00504743">
          <w:rPr>
            <w:rStyle w:val="Hyperlink"/>
          </w:rPr>
          <w:t>2.4.6</w:t>
        </w:r>
        <w:r w:rsidR="0059728A">
          <w:rPr>
            <w:rFonts w:asciiTheme="minorHAnsi" w:eastAsiaTheme="minorEastAsia" w:hAnsiTheme="minorHAnsi"/>
            <w:sz w:val="22"/>
            <w:lang w:eastAsia="en-AU"/>
          </w:rPr>
          <w:tab/>
        </w:r>
        <w:r w:rsidR="0059728A" w:rsidRPr="00504743">
          <w:rPr>
            <w:rStyle w:val="Hyperlink"/>
          </w:rPr>
          <w:t>Industry Engagement, Civic Leadership</w:t>
        </w:r>
        <w:r w:rsidR="00B725F6">
          <w:rPr>
            <w:rStyle w:val="Hyperlink"/>
          </w:rPr>
          <w:t>,</w:t>
        </w:r>
        <w:r w:rsidR="0059728A" w:rsidRPr="00504743">
          <w:rPr>
            <w:rStyle w:val="Hyperlink"/>
          </w:rPr>
          <w:t xml:space="preserve"> and Community Engagement</w:t>
        </w:r>
        <w:r w:rsidR="0059728A">
          <w:rPr>
            <w:webHidden/>
          </w:rPr>
          <w:tab/>
        </w:r>
        <w:r w:rsidR="0059728A" w:rsidRPr="0059728A">
          <w:rPr>
            <w:b/>
            <w:webHidden/>
          </w:rPr>
          <w:fldChar w:fldCharType="begin"/>
        </w:r>
        <w:r w:rsidR="0059728A" w:rsidRPr="0059728A">
          <w:rPr>
            <w:b/>
            <w:webHidden/>
          </w:rPr>
          <w:instrText xml:space="preserve"> PAGEREF _Toc18592341 \h </w:instrText>
        </w:r>
        <w:r w:rsidR="0059728A" w:rsidRPr="0059728A">
          <w:rPr>
            <w:b/>
            <w:webHidden/>
          </w:rPr>
        </w:r>
        <w:r w:rsidR="0059728A" w:rsidRPr="0059728A">
          <w:rPr>
            <w:b/>
            <w:webHidden/>
          </w:rPr>
          <w:fldChar w:fldCharType="separate"/>
        </w:r>
        <w:r w:rsidR="00F732D2">
          <w:rPr>
            <w:b/>
            <w:webHidden/>
          </w:rPr>
          <w:t>39</w:t>
        </w:r>
        <w:r w:rsidR="0059728A" w:rsidRPr="0059728A">
          <w:rPr>
            <w:b/>
            <w:webHidden/>
          </w:rPr>
          <w:fldChar w:fldCharType="end"/>
        </w:r>
      </w:hyperlink>
    </w:p>
    <w:p w14:paraId="2227D5A6" w14:textId="492144F9" w:rsidR="0059728A" w:rsidRDefault="00DB40B2" w:rsidP="0059728A">
      <w:pPr>
        <w:pStyle w:val="TOC2"/>
        <w:rPr>
          <w:rFonts w:asciiTheme="minorHAnsi" w:eastAsiaTheme="minorEastAsia" w:hAnsiTheme="minorHAnsi"/>
          <w:b/>
          <w:color w:val="auto"/>
          <w:lang w:eastAsia="en-AU"/>
        </w:rPr>
      </w:pPr>
      <w:hyperlink w:anchor="_Toc18592342" w:history="1">
        <w:r w:rsidR="0059728A" w:rsidRPr="00504743">
          <w:rPr>
            <w:rStyle w:val="Hyperlink"/>
          </w:rPr>
          <w:t>2.5</w:t>
        </w:r>
        <w:r w:rsidR="0059728A">
          <w:rPr>
            <w:rFonts w:asciiTheme="minorHAnsi" w:eastAsiaTheme="minorEastAsia" w:hAnsiTheme="minorHAnsi"/>
            <w:b/>
            <w:color w:val="auto"/>
            <w:lang w:eastAsia="en-AU"/>
          </w:rPr>
          <w:tab/>
        </w:r>
        <w:r w:rsidR="00103282">
          <w:rPr>
            <w:rStyle w:val="Hyperlink"/>
          </w:rPr>
          <w:t xml:space="preserve">‘Greenfield’ Universities </w:t>
        </w:r>
        <w:r w:rsidR="0059728A">
          <w:rPr>
            <w:webHidden/>
          </w:rPr>
          <w:tab/>
        </w:r>
        <w:r w:rsidR="0059728A">
          <w:rPr>
            <w:webHidden/>
          </w:rPr>
          <w:fldChar w:fldCharType="begin"/>
        </w:r>
        <w:r w:rsidR="0059728A">
          <w:rPr>
            <w:webHidden/>
          </w:rPr>
          <w:instrText xml:space="preserve"> PAGEREF _Toc18592342 \h </w:instrText>
        </w:r>
        <w:r w:rsidR="0059728A">
          <w:rPr>
            <w:webHidden/>
          </w:rPr>
        </w:r>
        <w:r w:rsidR="0059728A">
          <w:rPr>
            <w:webHidden/>
          </w:rPr>
          <w:fldChar w:fldCharType="separate"/>
        </w:r>
        <w:r w:rsidR="00F732D2">
          <w:rPr>
            <w:webHidden/>
          </w:rPr>
          <w:t>41</w:t>
        </w:r>
        <w:r w:rsidR="0059728A">
          <w:rPr>
            <w:webHidden/>
          </w:rPr>
          <w:fldChar w:fldCharType="end"/>
        </w:r>
      </w:hyperlink>
    </w:p>
    <w:p w14:paraId="6D3BFAC6" w14:textId="254196E3" w:rsidR="0059728A" w:rsidRDefault="00DB40B2" w:rsidP="0059728A">
      <w:pPr>
        <w:pStyle w:val="TOC2"/>
        <w:rPr>
          <w:rFonts w:asciiTheme="minorHAnsi" w:eastAsiaTheme="minorEastAsia" w:hAnsiTheme="minorHAnsi"/>
          <w:b/>
          <w:color w:val="auto"/>
          <w:lang w:eastAsia="en-AU"/>
        </w:rPr>
      </w:pPr>
      <w:hyperlink w:anchor="_Toc18592343" w:history="1">
        <w:r w:rsidR="0059728A" w:rsidRPr="00504743">
          <w:rPr>
            <w:rStyle w:val="Hyperlink"/>
          </w:rPr>
          <w:t>2.6</w:t>
        </w:r>
        <w:r w:rsidR="0059728A">
          <w:rPr>
            <w:rFonts w:asciiTheme="minorHAnsi" w:eastAsiaTheme="minorEastAsia" w:hAnsiTheme="minorHAnsi"/>
            <w:b/>
            <w:color w:val="auto"/>
            <w:lang w:eastAsia="en-AU"/>
          </w:rPr>
          <w:tab/>
        </w:r>
        <w:r w:rsidR="0059728A" w:rsidRPr="00504743">
          <w:rPr>
            <w:rStyle w:val="Hyperlink"/>
          </w:rPr>
          <w:t>Self-Accrediting Authority Criteria</w:t>
        </w:r>
        <w:r w:rsidR="0059728A">
          <w:rPr>
            <w:webHidden/>
          </w:rPr>
          <w:tab/>
        </w:r>
        <w:r w:rsidR="0059728A">
          <w:rPr>
            <w:webHidden/>
          </w:rPr>
          <w:fldChar w:fldCharType="begin"/>
        </w:r>
        <w:r w:rsidR="0059728A">
          <w:rPr>
            <w:webHidden/>
          </w:rPr>
          <w:instrText xml:space="preserve"> PAGEREF _Toc18592343 \h </w:instrText>
        </w:r>
        <w:r w:rsidR="0059728A">
          <w:rPr>
            <w:webHidden/>
          </w:rPr>
        </w:r>
        <w:r w:rsidR="0059728A">
          <w:rPr>
            <w:webHidden/>
          </w:rPr>
          <w:fldChar w:fldCharType="separate"/>
        </w:r>
        <w:r w:rsidR="00F732D2">
          <w:rPr>
            <w:webHidden/>
          </w:rPr>
          <w:t>42</w:t>
        </w:r>
        <w:r w:rsidR="0059728A">
          <w:rPr>
            <w:webHidden/>
          </w:rPr>
          <w:fldChar w:fldCharType="end"/>
        </w:r>
      </w:hyperlink>
    </w:p>
    <w:p w14:paraId="311063FC" w14:textId="027E99FC" w:rsidR="0059728A" w:rsidRDefault="00DB40B2" w:rsidP="0059728A">
      <w:pPr>
        <w:pStyle w:val="TOC2"/>
        <w:rPr>
          <w:rFonts w:asciiTheme="minorHAnsi" w:eastAsiaTheme="minorEastAsia" w:hAnsiTheme="minorHAnsi"/>
          <w:b/>
          <w:color w:val="auto"/>
          <w:lang w:eastAsia="en-AU"/>
        </w:rPr>
      </w:pPr>
      <w:hyperlink w:anchor="_Toc18592344" w:history="1">
        <w:r w:rsidR="0059728A" w:rsidRPr="00504743">
          <w:rPr>
            <w:rStyle w:val="Hyperlink"/>
          </w:rPr>
          <w:t>2.7</w:t>
        </w:r>
        <w:r w:rsidR="0059728A">
          <w:rPr>
            <w:rFonts w:asciiTheme="minorHAnsi" w:eastAsiaTheme="minorEastAsia" w:hAnsiTheme="minorHAnsi"/>
            <w:b/>
            <w:color w:val="auto"/>
            <w:lang w:eastAsia="en-AU"/>
          </w:rPr>
          <w:tab/>
        </w:r>
        <w:r w:rsidR="0059728A" w:rsidRPr="00504743">
          <w:rPr>
            <w:rStyle w:val="Hyperlink"/>
          </w:rPr>
          <w:t>Awareness and Transparency of the PCS</w:t>
        </w:r>
        <w:r w:rsidR="0059728A">
          <w:rPr>
            <w:webHidden/>
          </w:rPr>
          <w:tab/>
        </w:r>
        <w:r w:rsidR="0059728A">
          <w:rPr>
            <w:webHidden/>
          </w:rPr>
          <w:fldChar w:fldCharType="begin"/>
        </w:r>
        <w:r w:rsidR="0059728A">
          <w:rPr>
            <w:webHidden/>
          </w:rPr>
          <w:instrText xml:space="preserve"> PAGEREF _Toc18592344 \h </w:instrText>
        </w:r>
        <w:r w:rsidR="0059728A">
          <w:rPr>
            <w:webHidden/>
          </w:rPr>
        </w:r>
        <w:r w:rsidR="0059728A">
          <w:rPr>
            <w:webHidden/>
          </w:rPr>
          <w:fldChar w:fldCharType="separate"/>
        </w:r>
        <w:r w:rsidR="00F732D2">
          <w:rPr>
            <w:webHidden/>
          </w:rPr>
          <w:t>44</w:t>
        </w:r>
        <w:r w:rsidR="0059728A">
          <w:rPr>
            <w:webHidden/>
          </w:rPr>
          <w:fldChar w:fldCharType="end"/>
        </w:r>
      </w:hyperlink>
    </w:p>
    <w:p w14:paraId="5CD87D4E" w14:textId="0A997430" w:rsidR="0059728A" w:rsidRDefault="00DB40B2">
      <w:pPr>
        <w:pStyle w:val="TOC3"/>
        <w:rPr>
          <w:rFonts w:asciiTheme="minorHAnsi" w:eastAsiaTheme="minorEastAsia" w:hAnsiTheme="minorHAnsi"/>
          <w:sz w:val="22"/>
          <w:lang w:eastAsia="en-AU"/>
        </w:rPr>
      </w:pPr>
      <w:hyperlink w:anchor="_Toc18592345" w:history="1">
        <w:r w:rsidR="0059728A" w:rsidRPr="00504743">
          <w:rPr>
            <w:rStyle w:val="Hyperlink"/>
          </w:rPr>
          <w:t>2.7.1</w:t>
        </w:r>
        <w:r w:rsidR="0059728A">
          <w:rPr>
            <w:rFonts w:asciiTheme="minorHAnsi" w:eastAsiaTheme="minorEastAsia" w:hAnsiTheme="minorHAnsi"/>
            <w:sz w:val="22"/>
            <w:lang w:eastAsia="en-AU"/>
          </w:rPr>
          <w:tab/>
        </w:r>
        <w:r w:rsidR="0059728A" w:rsidRPr="00504743">
          <w:rPr>
            <w:rStyle w:val="Hyperlink"/>
          </w:rPr>
          <w:t>TEQSA National Register</w:t>
        </w:r>
        <w:r w:rsidR="0059728A">
          <w:rPr>
            <w:webHidden/>
          </w:rPr>
          <w:tab/>
        </w:r>
        <w:r w:rsidR="0059728A" w:rsidRPr="0059728A">
          <w:rPr>
            <w:b/>
            <w:webHidden/>
          </w:rPr>
          <w:fldChar w:fldCharType="begin"/>
        </w:r>
        <w:r w:rsidR="0059728A" w:rsidRPr="0059728A">
          <w:rPr>
            <w:b/>
            <w:webHidden/>
          </w:rPr>
          <w:instrText xml:space="preserve"> PAGEREF _Toc18592345 \h </w:instrText>
        </w:r>
        <w:r w:rsidR="0059728A" w:rsidRPr="0059728A">
          <w:rPr>
            <w:b/>
            <w:webHidden/>
          </w:rPr>
        </w:r>
        <w:r w:rsidR="0059728A" w:rsidRPr="0059728A">
          <w:rPr>
            <w:b/>
            <w:webHidden/>
          </w:rPr>
          <w:fldChar w:fldCharType="separate"/>
        </w:r>
        <w:r w:rsidR="00F732D2">
          <w:rPr>
            <w:b/>
            <w:webHidden/>
          </w:rPr>
          <w:t>44</w:t>
        </w:r>
        <w:r w:rsidR="0059728A" w:rsidRPr="0059728A">
          <w:rPr>
            <w:b/>
            <w:webHidden/>
          </w:rPr>
          <w:fldChar w:fldCharType="end"/>
        </w:r>
      </w:hyperlink>
    </w:p>
    <w:p w14:paraId="784C1377" w14:textId="10EE4D53" w:rsidR="0059728A" w:rsidRDefault="00DB40B2">
      <w:pPr>
        <w:pStyle w:val="TOC3"/>
        <w:rPr>
          <w:rFonts w:asciiTheme="minorHAnsi" w:eastAsiaTheme="minorEastAsia" w:hAnsiTheme="minorHAnsi"/>
          <w:sz w:val="22"/>
          <w:lang w:eastAsia="en-AU"/>
        </w:rPr>
      </w:pPr>
      <w:hyperlink w:anchor="_Toc18592346" w:history="1">
        <w:r w:rsidR="0059728A" w:rsidRPr="00504743">
          <w:rPr>
            <w:rStyle w:val="Hyperlink"/>
          </w:rPr>
          <w:t>2.7.2</w:t>
        </w:r>
        <w:r w:rsidR="0059728A">
          <w:rPr>
            <w:rFonts w:asciiTheme="minorHAnsi" w:eastAsiaTheme="minorEastAsia" w:hAnsiTheme="minorHAnsi"/>
            <w:sz w:val="22"/>
            <w:lang w:eastAsia="en-AU"/>
          </w:rPr>
          <w:tab/>
        </w:r>
        <w:r w:rsidR="0059728A" w:rsidRPr="00504743">
          <w:rPr>
            <w:rStyle w:val="Hyperlink"/>
          </w:rPr>
          <w:t>TEQSA Provider ID and Provider Category</w:t>
        </w:r>
        <w:r w:rsidR="0059728A">
          <w:rPr>
            <w:webHidden/>
          </w:rPr>
          <w:tab/>
        </w:r>
        <w:r w:rsidR="0059728A" w:rsidRPr="0059728A">
          <w:rPr>
            <w:b/>
            <w:webHidden/>
          </w:rPr>
          <w:fldChar w:fldCharType="begin"/>
        </w:r>
        <w:r w:rsidR="0059728A" w:rsidRPr="0059728A">
          <w:rPr>
            <w:b/>
            <w:webHidden/>
          </w:rPr>
          <w:instrText xml:space="preserve"> PAGEREF _Toc18592346 \h </w:instrText>
        </w:r>
        <w:r w:rsidR="0059728A" w:rsidRPr="0059728A">
          <w:rPr>
            <w:b/>
            <w:webHidden/>
          </w:rPr>
        </w:r>
        <w:r w:rsidR="0059728A" w:rsidRPr="0059728A">
          <w:rPr>
            <w:b/>
            <w:webHidden/>
          </w:rPr>
          <w:fldChar w:fldCharType="separate"/>
        </w:r>
        <w:r w:rsidR="00F732D2">
          <w:rPr>
            <w:b/>
            <w:webHidden/>
          </w:rPr>
          <w:t>45</w:t>
        </w:r>
        <w:r w:rsidR="0059728A" w:rsidRPr="0059728A">
          <w:rPr>
            <w:b/>
            <w:webHidden/>
          </w:rPr>
          <w:fldChar w:fldCharType="end"/>
        </w:r>
      </w:hyperlink>
    </w:p>
    <w:p w14:paraId="1993BF48" w14:textId="5EE45632" w:rsidR="0059728A" w:rsidRDefault="00DB40B2">
      <w:pPr>
        <w:pStyle w:val="TOC3"/>
        <w:rPr>
          <w:rStyle w:val="Hyperlink"/>
        </w:rPr>
      </w:pPr>
      <w:hyperlink w:anchor="_Toc18592347" w:history="1">
        <w:r w:rsidR="0059728A" w:rsidRPr="00504743">
          <w:rPr>
            <w:rStyle w:val="Hyperlink"/>
          </w:rPr>
          <w:t>2.7.3</w:t>
        </w:r>
        <w:r w:rsidR="0059728A">
          <w:rPr>
            <w:rFonts w:asciiTheme="minorHAnsi" w:eastAsiaTheme="minorEastAsia" w:hAnsiTheme="minorHAnsi"/>
            <w:sz w:val="22"/>
            <w:lang w:eastAsia="en-AU"/>
          </w:rPr>
          <w:tab/>
        </w:r>
        <w:r w:rsidR="0059728A" w:rsidRPr="00504743">
          <w:rPr>
            <w:rStyle w:val="Hyperlink"/>
          </w:rPr>
          <w:t>Communications Strategy</w:t>
        </w:r>
        <w:r w:rsidR="0059728A">
          <w:rPr>
            <w:webHidden/>
          </w:rPr>
          <w:tab/>
        </w:r>
        <w:r w:rsidR="0059728A" w:rsidRPr="0059728A">
          <w:rPr>
            <w:b/>
            <w:webHidden/>
          </w:rPr>
          <w:fldChar w:fldCharType="begin"/>
        </w:r>
        <w:r w:rsidR="0059728A" w:rsidRPr="0059728A">
          <w:rPr>
            <w:b/>
            <w:webHidden/>
          </w:rPr>
          <w:instrText xml:space="preserve"> PAGEREF _Toc18592347 \h </w:instrText>
        </w:r>
        <w:r w:rsidR="0059728A" w:rsidRPr="0059728A">
          <w:rPr>
            <w:b/>
            <w:webHidden/>
          </w:rPr>
        </w:r>
        <w:r w:rsidR="0059728A" w:rsidRPr="0059728A">
          <w:rPr>
            <w:b/>
            <w:webHidden/>
          </w:rPr>
          <w:fldChar w:fldCharType="separate"/>
        </w:r>
        <w:r w:rsidR="00F732D2">
          <w:rPr>
            <w:b/>
            <w:webHidden/>
          </w:rPr>
          <w:t>45</w:t>
        </w:r>
        <w:r w:rsidR="0059728A" w:rsidRPr="0059728A">
          <w:rPr>
            <w:b/>
            <w:webHidden/>
          </w:rPr>
          <w:fldChar w:fldCharType="end"/>
        </w:r>
      </w:hyperlink>
    </w:p>
    <w:p w14:paraId="49CC7579" w14:textId="77777777" w:rsidR="0059728A" w:rsidRPr="0059728A" w:rsidRDefault="0059728A" w:rsidP="0059728A"/>
    <w:p w14:paraId="541DFB28" w14:textId="39D86166" w:rsidR="0059728A" w:rsidRDefault="00DB40B2" w:rsidP="00D87B23">
      <w:pPr>
        <w:pStyle w:val="TOC1"/>
        <w:rPr>
          <w:rFonts w:asciiTheme="minorHAnsi" w:eastAsiaTheme="minorEastAsia" w:hAnsiTheme="minorHAnsi"/>
          <w:color w:val="auto"/>
          <w:sz w:val="22"/>
          <w:szCs w:val="22"/>
          <w:lang w:eastAsia="en-AU"/>
        </w:rPr>
      </w:pPr>
      <w:hyperlink w:anchor="_Toc18592348" w:history="1">
        <w:r w:rsidR="0059728A" w:rsidRPr="00504743">
          <w:rPr>
            <w:rStyle w:val="Hyperlink"/>
          </w:rPr>
          <w:t>Chapter 3</w:t>
        </w:r>
        <w:r w:rsidR="0059728A">
          <w:rPr>
            <w:webHidden/>
          </w:rPr>
          <w:t xml:space="preserve"> – A Revised PCS Model</w:t>
        </w:r>
        <w:r w:rsidR="0059728A">
          <w:rPr>
            <w:webHidden/>
          </w:rPr>
          <w:tab/>
        </w:r>
        <w:r w:rsidR="0059728A">
          <w:rPr>
            <w:webHidden/>
          </w:rPr>
          <w:fldChar w:fldCharType="begin"/>
        </w:r>
        <w:r w:rsidR="0059728A">
          <w:rPr>
            <w:webHidden/>
          </w:rPr>
          <w:instrText xml:space="preserve"> PAGEREF _Toc18592348 \h </w:instrText>
        </w:r>
        <w:r w:rsidR="0059728A">
          <w:rPr>
            <w:webHidden/>
          </w:rPr>
        </w:r>
        <w:r w:rsidR="0059728A">
          <w:rPr>
            <w:webHidden/>
          </w:rPr>
          <w:fldChar w:fldCharType="separate"/>
        </w:r>
        <w:r w:rsidR="00F732D2">
          <w:rPr>
            <w:webHidden/>
          </w:rPr>
          <w:t>47</w:t>
        </w:r>
        <w:r w:rsidR="0059728A">
          <w:rPr>
            <w:webHidden/>
          </w:rPr>
          <w:fldChar w:fldCharType="end"/>
        </w:r>
      </w:hyperlink>
    </w:p>
    <w:p w14:paraId="305DF35D" w14:textId="2C815405" w:rsidR="0059728A" w:rsidRDefault="00DB40B2" w:rsidP="0059728A">
      <w:pPr>
        <w:pStyle w:val="TOC2"/>
        <w:rPr>
          <w:rFonts w:asciiTheme="minorHAnsi" w:eastAsiaTheme="minorEastAsia" w:hAnsiTheme="minorHAnsi"/>
          <w:b/>
          <w:color w:val="auto"/>
          <w:lang w:eastAsia="en-AU"/>
        </w:rPr>
      </w:pPr>
      <w:hyperlink w:anchor="_Toc18592350" w:history="1">
        <w:r w:rsidR="0059728A" w:rsidRPr="00504743">
          <w:rPr>
            <w:rStyle w:val="Hyperlink"/>
            <w:rFonts w:eastAsia="Times New Roman"/>
          </w:rPr>
          <w:t>3.1</w:t>
        </w:r>
        <w:r w:rsidR="0059728A">
          <w:rPr>
            <w:rFonts w:asciiTheme="minorHAnsi" w:eastAsiaTheme="minorEastAsia" w:hAnsiTheme="minorHAnsi"/>
            <w:b/>
            <w:color w:val="auto"/>
            <w:lang w:eastAsia="en-AU"/>
          </w:rPr>
          <w:tab/>
        </w:r>
        <w:r w:rsidR="0059728A" w:rsidRPr="00504743">
          <w:rPr>
            <w:rStyle w:val="Hyperlink"/>
            <w:rFonts w:eastAsia="Times New Roman"/>
          </w:rPr>
          <w:t xml:space="preserve">Revised </w:t>
        </w:r>
        <w:r w:rsidR="0059728A" w:rsidRPr="00504743">
          <w:rPr>
            <w:rStyle w:val="Hyperlink"/>
          </w:rPr>
          <w:t>Categories</w:t>
        </w:r>
        <w:r w:rsidR="0059728A">
          <w:rPr>
            <w:webHidden/>
          </w:rPr>
          <w:tab/>
        </w:r>
        <w:r w:rsidR="0059728A">
          <w:rPr>
            <w:webHidden/>
          </w:rPr>
          <w:fldChar w:fldCharType="begin"/>
        </w:r>
        <w:r w:rsidR="0059728A">
          <w:rPr>
            <w:webHidden/>
          </w:rPr>
          <w:instrText xml:space="preserve"> PAGEREF _Toc18592350 \h </w:instrText>
        </w:r>
        <w:r w:rsidR="0059728A">
          <w:rPr>
            <w:webHidden/>
          </w:rPr>
        </w:r>
        <w:r w:rsidR="0059728A">
          <w:rPr>
            <w:webHidden/>
          </w:rPr>
          <w:fldChar w:fldCharType="separate"/>
        </w:r>
        <w:r w:rsidR="00F732D2">
          <w:rPr>
            <w:webHidden/>
          </w:rPr>
          <w:t>47</w:t>
        </w:r>
        <w:r w:rsidR="0059728A">
          <w:rPr>
            <w:webHidden/>
          </w:rPr>
          <w:fldChar w:fldCharType="end"/>
        </w:r>
      </w:hyperlink>
    </w:p>
    <w:p w14:paraId="1F4E168C" w14:textId="078D3F0F" w:rsidR="0059728A" w:rsidRDefault="00DB40B2" w:rsidP="0059728A">
      <w:pPr>
        <w:pStyle w:val="TOC2"/>
        <w:rPr>
          <w:rFonts w:asciiTheme="minorHAnsi" w:eastAsiaTheme="minorEastAsia" w:hAnsiTheme="minorHAnsi"/>
          <w:b/>
          <w:color w:val="auto"/>
          <w:lang w:eastAsia="en-AU"/>
        </w:rPr>
      </w:pPr>
      <w:hyperlink w:anchor="_Toc18592351" w:history="1">
        <w:r w:rsidR="0059728A" w:rsidRPr="00504743">
          <w:rPr>
            <w:rStyle w:val="Hyperlink"/>
            <w:rFonts w:eastAsia="Times New Roman"/>
          </w:rPr>
          <w:t>3.2</w:t>
        </w:r>
        <w:r w:rsidR="0059728A">
          <w:rPr>
            <w:rFonts w:asciiTheme="minorHAnsi" w:eastAsiaTheme="minorEastAsia" w:hAnsiTheme="minorHAnsi"/>
            <w:b/>
            <w:color w:val="auto"/>
            <w:lang w:eastAsia="en-AU"/>
          </w:rPr>
          <w:tab/>
        </w:r>
        <w:r w:rsidR="0059728A" w:rsidRPr="00504743">
          <w:rPr>
            <w:rStyle w:val="Hyperlink"/>
            <w:rFonts w:eastAsia="Times New Roman"/>
          </w:rPr>
          <w:t>Key Changes</w:t>
        </w:r>
        <w:r w:rsidR="0059728A">
          <w:rPr>
            <w:webHidden/>
          </w:rPr>
          <w:tab/>
        </w:r>
        <w:r w:rsidR="0059728A">
          <w:rPr>
            <w:webHidden/>
          </w:rPr>
          <w:fldChar w:fldCharType="begin"/>
        </w:r>
        <w:r w:rsidR="0059728A">
          <w:rPr>
            <w:webHidden/>
          </w:rPr>
          <w:instrText xml:space="preserve"> PAGEREF _Toc18592351 \h </w:instrText>
        </w:r>
        <w:r w:rsidR="0059728A">
          <w:rPr>
            <w:webHidden/>
          </w:rPr>
        </w:r>
        <w:r w:rsidR="0059728A">
          <w:rPr>
            <w:webHidden/>
          </w:rPr>
          <w:fldChar w:fldCharType="separate"/>
        </w:r>
        <w:r w:rsidR="00F732D2">
          <w:rPr>
            <w:webHidden/>
          </w:rPr>
          <w:t>49</w:t>
        </w:r>
        <w:r w:rsidR="0059728A">
          <w:rPr>
            <w:webHidden/>
          </w:rPr>
          <w:fldChar w:fldCharType="end"/>
        </w:r>
      </w:hyperlink>
    </w:p>
    <w:p w14:paraId="11C3B195" w14:textId="5DC5B8D6" w:rsidR="0059728A" w:rsidRDefault="00DB40B2">
      <w:pPr>
        <w:pStyle w:val="TOC3"/>
        <w:rPr>
          <w:rFonts w:asciiTheme="minorHAnsi" w:eastAsiaTheme="minorEastAsia" w:hAnsiTheme="minorHAnsi"/>
          <w:sz w:val="22"/>
          <w:lang w:eastAsia="en-AU"/>
        </w:rPr>
      </w:pPr>
      <w:hyperlink w:anchor="_Toc18592352" w:history="1">
        <w:r w:rsidR="0059728A" w:rsidRPr="00504743">
          <w:rPr>
            <w:rStyle w:val="Hyperlink"/>
          </w:rPr>
          <w:t>3.2.1</w:t>
        </w:r>
        <w:r w:rsidR="0059728A">
          <w:rPr>
            <w:rFonts w:asciiTheme="minorHAnsi" w:eastAsiaTheme="minorEastAsia" w:hAnsiTheme="minorHAnsi"/>
            <w:sz w:val="22"/>
            <w:lang w:eastAsia="en-AU"/>
          </w:rPr>
          <w:tab/>
        </w:r>
        <w:r w:rsidR="0059728A" w:rsidRPr="00504743">
          <w:rPr>
            <w:rStyle w:val="Hyperlink"/>
          </w:rPr>
          <w:t>Criteria for Higher Education Provider Categories – Preamble</w:t>
        </w:r>
        <w:r w:rsidR="0059728A">
          <w:rPr>
            <w:webHidden/>
          </w:rPr>
          <w:tab/>
        </w:r>
        <w:r w:rsidR="0059728A" w:rsidRPr="0059728A">
          <w:rPr>
            <w:b/>
            <w:webHidden/>
          </w:rPr>
          <w:fldChar w:fldCharType="begin"/>
        </w:r>
        <w:r w:rsidR="0059728A" w:rsidRPr="0059728A">
          <w:rPr>
            <w:b/>
            <w:webHidden/>
          </w:rPr>
          <w:instrText xml:space="preserve"> PAGEREF _Toc18592352 \h </w:instrText>
        </w:r>
        <w:r w:rsidR="0059728A" w:rsidRPr="0059728A">
          <w:rPr>
            <w:b/>
            <w:webHidden/>
          </w:rPr>
        </w:r>
        <w:r w:rsidR="0059728A" w:rsidRPr="0059728A">
          <w:rPr>
            <w:b/>
            <w:webHidden/>
          </w:rPr>
          <w:fldChar w:fldCharType="separate"/>
        </w:r>
        <w:r w:rsidR="00F732D2">
          <w:rPr>
            <w:b/>
            <w:webHidden/>
          </w:rPr>
          <w:t>49</w:t>
        </w:r>
        <w:r w:rsidR="0059728A" w:rsidRPr="0059728A">
          <w:rPr>
            <w:b/>
            <w:webHidden/>
          </w:rPr>
          <w:fldChar w:fldCharType="end"/>
        </w:r>
      </w:hyperlink>
    </w:p>
    <w:p w14:paraId="1B8067DD" w14:textId="0A7C8DFD" w:rsidR="0059728A" w:rsidRDefault="00DB40B2">
      <w:pPr>
        <w:pStyle w:val="TOC3"/>
        <w:rPr>
          <w:rFonts w:asciiTheme="minorHAnsi" w:eastAsiaTheme="minorEastAsia" w:hAnsiTheme="minorHAnsi"/>
          <w:sz w:val="22"/>
          <w:lang w:eastAsia="en-AU"/>
        </w:rPr>
      </w:pPr>
      <w:hyperlink w:anchor="_Toc18592353" w:history="1">
        <w:r w:rsidR="0059728A" w:rsidRPr="00504743">
          <w:rPr>
            <w:rStyle w:val="Hyperlink"/>
          </w:rPr>
          <w:t>3.2.2</w:t>
        </w:r>
        <w:r w:rsidR="0059728A">
          <w:rPr>
            <w:rFonts w:asciiTheme="minorHAnsi" w:eastAsiaTheme="minorEastAsia" w:hAnsiTheme="minorHAnsi"/>
            <w:sz w:val="22"/>
            <w:lang w:eastAsia="en-AU"/>
          </w:rPr>
          <w:tab/>
        </w:r>
        <w:r w:rsidR="0059728A" w:rsidRPr="00504743">
          <w:rPr>
            <w:rStyle w:val="Hyperlink"/>
          </w:rPr>
          <w:t>‘Institute of Higher Education’ Category</w:t>
        </w:r>
        <w:r w:rsidR="0059728A">
          <w:rPr>
            <w:webHidden/>
          </w:rPr>
          <w:tab/>
        </w:r>
        <w:r w:rsidR="0059728A" w:rsidRPr="0059728A">
          <w:rPr>
            <w:b/>
            <w:webHidden/>
          </w:rPr>
          <w:fldChar w:fldCharType="begin"/>
        </w:r>
        <w:r w:rsidR="0059728A" w:rsidRPr="0059728A">
          <w:rPr>
            <w:b/>
            <w:webHidden/>
          </w:rPr>
          <w:instrText xml:space="preserve"> PAGEREF _Toc18592353 \h </w:instrText>
        </w:r>
        <w:r w:rsidR="0059728A" w:rsidRPr="0059728A">
          <w:rPr>
            <w:b/>
            <w:webHidden/>
          </w:rPr>
        </w:r>
        <w:r w:rsidR="0059728A" w:rsidRPr="0059728A">
          <w:rPr>
            <w:b/>
            <w:webHidden/>
          </w:rPr>
          <w:fldChar w:fldCharType="separate"/>
        </w:r>
        <w:r w:rsidR="00F732D2">
          <w:rPr>
            <w:b/>
            <w:webHidden/>
          </w:rPr>
          <w:t>49</w:t>
        </w:r>
        <w:r w:rsidR="0059728A" w:rsidRPr="0059728A">
          <w:rPr>
            <w:b/>
            <w:webHidden/>
          </w:rPr>
          <w:fldChar w:fldCharType="end"/>
        </w:r>
      </w:hyperlink>
    </w:p>
    <w:p w14:paraId="281D4EBF" w14:textId="6345DEE9" w:rsidR="0059728A" w:rsidRDefault="00DB40B2">
      <w:pPr>
        <w:pStyle w:val="TOC3"/>
        <w:rPr>
          <w:rFonts w:asciiTheme="minorHAnsi" w:eastAsiaTheme="minorEastAsia" w:hAnsiTheme="minorHAnsi"/>
          <w:sz w:val="22"/>
          <w:lang w:eastAsia="en-AU"/>
        </w:rPr>
      </w:pPr>
      <w:hyperlink w:anchor="_Toc18592354" w:history="1">
        <w:r w:rsidR="0059728A" w:rsidRPr="00504743">
          <w:rPr>
            <w:rStyle w:val="Hyperlink"/>
          </w:rPr>
          <w:t>3.2.3</w:t>
        </w:r>
        <w:r w:rsidR="0059728A">
          <w:rPr>
            <w:rFonts w:asciiTheme="minorHAnsi" w:eastAsiaTheme="minorEastAsia" w:hAnsiTheme="minorHAnsi"/>
            <w:sz w:val="22"/>
            <w:lang w:eastAsia="en-AU"/>
          </w:rPr>
          <w:tab/>
        </w:r>
        <w:r w:rsidR="0059728A" w:rsidRPr="00504743">
          <w:rPr>
            <w:rStyle w:val="Hyperlink"/>
          </w:rPr>
          <w:t>‘National Institute of Higher Education’ Category</w:t>
        </w:r>
        <w:r w:rsidR="0059728A">
          <w:rPr>
            <w:webHidden/>
          </w:rPr>
          <w:tab/>
        </w:r>
        <w:r w:rsidR="0059728A" w:rsidRPr="0059728A">
          <w:rPr>
            <w:b/>
            <w:webHidden/>
          </w:rPr>
          <w:fldChar w:fldCharType="begin"/>
        </w:r>
        <w:r w:rsidR="0059728A" w:rsidRPr="0059728A">
          <w:rPr>
            <w:b/>
            <w:webHidden/>
          </w:rPr>
          <w:instrText xml:space="preserve"> PAGEREF _Toc18592354 \h </w:instrText>
        </w:r>
        <w:r w:rsidR="0059728A" w:rsidRPr="0059728A">
          <w:rPr>
            <w:b/>
            <w:webHidden/>
          </w:rPr>
        </w:r>
        <w:r w:rsidR="0059728A" w:rsidRPr="0059728A">
          <w:rPr>
            <w:b/>
            <w:webHidden/>
          </w:rPr>
          <w:fldChar w:fldCharType="separate"/>
        </w:r>
        <w:r w:rsidR="00F732D2">
          <w:rPr>
            <w:b/>
            <w:webHidden/>
          </w:rPr>
          <w:t>49</w:t>
        </w:r>
        <w:r w:rsidR="0059728A" w:rsidRPr="0059728A">
          <w:rPr>
            <w:b/>
            <w:webHidden/>
          </w:rPr>
          <w:fldChar w:fldCharType="end"/>
        </w:r>
      </w:hyperlink>
    </w:p>
    <w:p w14:paraId="0762B77A" w14:textId="3DA30E14" w:rsidR="0059728A" w:rsidRDefault="00DB40B2">
      <w:pPr>
        <w:pStyle w:val="TOC3"/>
        <w:rPr>
          <w:rFonts w:asciiTheme="minorHAnsi" w:eastAsiaTheme="minorEastAsia" w:hAnsiTheme="minorHAnsi"/>
          <w:sz w:val="22"/>
          <w:lang w:eastAsia="en-AU"/>
        </w:rPr>
      </w:pPr>
      <w:hyperlink w:anchor="_Toc18592355" w:history="1">
        <w:r w:rsidR="0059728A" w:rsidRPr="00504743">
          <w:rPr>
            <w:rStyle w:val="Hyperlink"/>
          </w:rPr>
          <w:t>3.2.4</w:t>
        </w:r>
        <w:r w:rsidR="0059728A">
          <w:rPr>
            <w:rFonts w:asciiTheme="minorHAnsi" w:eastAsiaTheme="minorEastAsia" w:hAnsiTheme="minorHAnsi"/>
            <w:sz w:val="22"/>
            <w:lang w:eastAsia="en-AU"/>
          </w:rPr>
          <w:tab/>
        </w:r>
        <w:r w:rsidR="0059728A" w:rsidRPr="00504743">
          <w:rPr>
            <w:rStyle w:val="Hyperlink"/>
          </w:rPr>
          <w:t>‘Australian University’ Category</w:t>
        </w:r>
        <w:r w:rsidR="0059728A">
          <w:rPr>
            <w:webHidden/>
          </w:rPr>
          <w:tab/>
        </w:r>
        <w:r w:rsidR="0059728A" w:rsidRPr="0059728A">
          <w:rPr>
            <w:b/>
            <w:webHidden/>
          </w:rPr>
          <w:fldChar w:fldCharType="begin"/>
        </w:r>
        <w:r w:rsidR="0059728A" w:rsidRPr="0059728A">
          <w:rPr>
            <w:b/>
            <w:webHidden/>
          </w:rPr>
          <w:instrText xml:space="preserve"> PAGEREF _Toc18592355 \h </w:instrText>
        </w:r>
        <w:r w:rsidR="0059728A" w:rsidRPr="0059728A">
          <w:rPr>
            <w:b/>
            <w:webHidden/>
          </w:rPr>
        </w:r>
        <w:r w:rsidR="0059728A" w:rsidRPr="0059728A">
          <w:rPr>
            <w:b/>
            <w:webHidden/>
          </w:rPr>
          <w:fldChar w:fldCharType="separate"/>
        </w:r>
        <w:r w:rsidR="00F732D2">
          <w:rPr>
            <w:b/>
            <w:webHidden/>
          </w:rPr>
          <w:t>50</w:t>
        </w:r>
        <w:r w:rsidR="0059728A" w:rsidRPr="0059728A">
          <w:rPr>
            <w:b/>
            <w:webHidden/>
          </w:rPr>
          <w:fldChar w:fldCharType="end"/>
        </w:r>
      </w:hyperlink>
    </w:p>
    <w:p w14:paraId="71257EBC" w14:textId="0195B9CC" w:rsidR="0059728A" w:rsidRDefault="00DB40B2">
      <w:pPr>
        <w:pStyle w:val="TOC3"/>
        <w:rPr>
          <w:rFonts w:asciiTheme="minorHAnsi" w:eastAsiaTheme="minorEastAsia" w:hAnsiTheme="minorHAnsi"/>
          <w:sz w:val="22"/>
          <w:lang w:eastAsia="en-AU"/>
        </w:rPr>
      </w:pPr>
      <w:hyperlink w:anchor="_Toc18592356" w:history="1">
        <w:r w:rsidR="0059728A" w:rsidRPr="00504743">
          <w:rPr>
            <w:rStyle w:val="Hyperlink"/>
          </w:rPr>
          <w:t>3.2.5</w:t>
        </w:r>
        <w:r w:rsidR="0059728A">
          <w:rPr>
            <w:rFonts w:asciiTheme="minorHAnsi" w:eastAsiaTheme="minorEastAsia" w:hAnsiTheme="minorHAnsi"/>
            <w:sz w:val="22"/>
            <w:lang w:eastAsia="en-AU"/>
          </w:rPr>
          <w:tab/>
        </w:r>
        <w:r w:rsidR="0059728A" w:rsidRPr="00504743">
          <w:rPr>
            <w:rStyle w:val="Hyperlink"/>
          </w:rPr>
          <w:t>‘Overseas University in Australia’ Category</w:t>
        </w:r>
        <w:r w:rsidR="0059728A">
          <w:rPr>
            <w:webHidden/>
          </w:rPr>
          <w:tab/>
        </w:r>
        <w:r w:rsidR="0059728A" w:rsidRPr="0059728A">
          <w:rPr>
            <w:b/>
            <w:webHidden/>
          </w:rPr>
          <w:fldChar w:fldCharType="begin"/>
        </w:r>
        <w:r w:rsidR="0059728A" w:rsidRPr="0059728A">
          <w:rPr>
            <w:b/>
            <w:webHidden/>
          </w:rPr>
          <w:instrText xml:space="preserve"> PAGEREF _Toc18592356 \h </w:instrText>
        </w:r>
        <w:r w:rsidR="0059728A" w:rsidRPr="0059728A">
          <w:rPr>
            <w:b/>
            <w:webHidden/>
          </w:rPr>
        </w:r>
        <w:r w:rsidR="0059728A" w:rsidRPr="0059728A">
          <w:rPr>
            <w:b/>
            <w:webHidden/>
          </w:rPr>
          <w:fldChar w:fldCharType="separate"/>
        </w:r>
        <w:r w:rsidR="00F732D2">
          <w:rPr>
            <w:b/>
            <w:webHidden/>
          </w:rPr>
          <w:t>51</w:t>
        </w:r>
        <w:r w:rsidR="0059728A" w:rsidRPr="0059728A">
          <w:rPr>
            <w:b/>
            <w:webHidden/>
          </w:rPr>
          <w:fldChar w:fldCharType="end"/>
        </w:r>
      </w:hyperlink>
    </w:p>
    <w:p w14:paraId="467BF413" w14:textId="33A47088" w:rsidR="0059728A" w:rsidRDefault="00DB40B2">
      <w:pPr>
        <w:pStyle w:val="TOC3"/>
        <w:rPr>
          <w:rFonts w:asciiTheme="minorHAnsi" w:eastAsiaTheme="minorEastAsia" w:hAnsiTheme="minorHAnsi"/>
          <w:sz w:val="22"/>
          <w:lang w:eastAsia="en-AU"/>
        </w:rPr>
      </w:pPr>
      <w:hyperlink w:anchor="_Toc18592357" w:history="1">
        <w:r w:rsidR="0059728A" w:rsidRPr="00504743">
          <w:rPr>
            <w:rStyle w:val="Hyperlink"/>
          </w:rPr>
          <w:t>3.2.6</w:t>
        </w:r>
        <w:r w:rsidR="0059728A">
          <w:rPr>
            <w:rFonts w:asciiTheme="minorHAnsi" w:eastAsiaTheme="minorEastAsia" w:hAnsiTheme="minorHAnsi"/>
            <w:sz w:val="22"/>
            <w:lang w:eastAsia="en-AU"/>
          </w:rPr>
          <w:tab/>
        </w:r>
        <w:r w:rsidR="0059728A" w:rsidRPr="00504743">
          <w:rPr>
            <w:rStyle w:val="Hyperlink"/>
          </w:rPr>
          <w:t>Criteria for Seeking Self-Accrediting Authority</w:t>
        </w:r>
        <w:r w:rsidR="0059728A">
          <w:rPr>
            <w:webHidden/>
          </w:rPr>
          <w:tab/>
        </w:r>
        <w:r w:rsidR="0059728A" w:rsidRPr="0059728A">
          <w:rPr>
            <w:b/>
            <w:webHidden/>
          </w:rPr>
          <w:fldChar w:fldCharType="begin"/>
        </w:r>
        <w:r w:rsidR="0059728A" w:rsidRPr="0059728A">
          <w:rPr>
            <w:b/>
            <w:webHidden/>
          </w:rPr>
          <w:instrText xml:space="preserve"> PAGEREF _Toc18592357 \h </w:instrText>
        </w:r>
        <w:r w:rsidR="0059728A" w:rsidRPr="0059728A">
          <w:rPr>
            <w:b/>
            <w:webHidden/>
          </w:rPr>
        </w:r>
        <w:r w:rsidR="0059728A" w:rsidRPr="0059728A">
          <w:rPr>
            <w:b/>
            <w:webHidden/>
          </w:rPr>
          <w:fldChar w:fldCharType="separate"/>
        </w:r>
        <w:r w:rsidR="00F732D2">
          <w:rPr>
            <w:b/>
            <w:webHidden/>
          </w:rPr>
          <w:t>51</w:t>
        </w:r>
        <w:r w:rsidR="0059728A" w:rsidRPr="0059728A">
          <w:rPr>
            <w:b/>
            <w:webHidden/>
          </w:rPr>
          <w:fldChar w:fldCharType="end"/>
        </w:r>
      </w:hyperlink>
    </w:p>
    <w:p w14:paraId="1C4F4775" w14:textId="65131FF3" w:rsidR="0059728A" w:rsidRDefault="00DB40B2" w:rsidP="0059728A">
      <w:pPr>
        <w:pStyle w:val="TOC2"/>
        <w:rPr>
          <w:rFonts w:asciiTheme="minorHAnsi" w:eastAsiaTheme="minorEastAsia" w:hAnsiTheme="minorHAnsi"/>
          <w:b/>
          <w:color w:val="auto"/>
          <w:lang w:eastAsia="en-AU"/>
        </w:rPr>
      </w:pPr>
      <w:hyperlink w:anchor="_Toc18592358" w:history="1">
        <w:r w:rsidR="0059728A" w:rsidRPr="00504743">
          <w:rPr>
            <w:rStyle w:val="Hyperlink"/>
            <w:rFonts w:eastAsia="Times New Roman"/>
          </w:rPr>
          <w:t>3.3</w:t>
        </w:r>
        <w:r w:rsidR="0059728A">
          <w:rPr>
            <w:rFonts w:asciiTheme="minorHAnsi" w:eastAsiaTheme="minorEastAsia" w:hAnsiTheme="minorHAnsi"/>
            <w:b/>
            <w:color w:val="auto"/>
            <w:lang w:eastAsia="en-AU"/>
          </w:rPr>
          <w:tab/>
        </w:r>
        <w:r w:rsidR="0059728A" w:rsidRPr="00504743">
          <w:rPr>
            <w:rStyle w:val="Hyperlink"/>
            <w:rFonts w:eastAsia="Times New Roman"/>
          </w:rPr>
          <w:t>Benefits of the Revised PCS Framework for Stakeholders</w:t>
        </w:r>
        <w:r w:rsidR="0059728A">
          <w:rPr>
            <w:webHidden/>
          </w:rPr>
          <w:tab/>
        </w:r>
        <w:r w:rsidR="0059728A">
          <w:rPr>
            <w:webHidden/>
          </w:rPr>
          <w:fldChar w:fldCharType="begin"/>
        </w:r>
        <w:r w:rsidR="0059728A">
          <w:rPr>
            <w:webHidden/>
          </w:rPr>
          <w:instrText xml:space="preserve"> PAGEREF _Toc18592358 \h </w:instrText>
        </w:r>
        <w:r w:rsidR="0059728A">
          <w:rPr>
            <w:webHidden/>
          </w:rPr>
        </w:r>
        <w:r w:rsidR="0059728A">
          <w:rPr>
            <w:webHidden/>
          </w:rPr>
          <w:fldChar w:fldCharType="separate"/>
        </w:r>
        <w:r w:rsidR="00F732D2">
          <w:rPr>
            <w:webHidden/>
          </w:rPr>
          <w:t>52</w:t>
        </w:r>
        <w:r w:rsidR="0059728A">
          <w:rPr>
            <w:webHidden/>
          </w:rPr>
          <w:fldChar w:fldCharType="end"/>
        </w:r>
      </w:hyperlink>
    </w:p>
    <w:p w14:paraId="28752314" w14:textId="684B6C2E" w:rsidR="0059728A" w:rsidRDefault="00DB40B2" w:rsidP="0059728A">
      <w:pPr>
        <w:pStyle w:val="TOC2"/>
        <w:rPr>
          <w:rStyle w:val="Hyperlink"/>
        </w:rPr>
      </w:pPr>
      <w:hyperlink w:anchor="_Toc18592359" w:history="1">
        <w:r w:rsidR="0059728A" w:rsidRPr="00504743">
          <w:rPr>
            <w:rStyle w:val="Hyperlink"/>
            <w:rFonts w:eastAsia="Times New Roman"/>
          </w:rPr>
          <w:t>3.4</w:t>
        </w:r>
        <w:r w:rsidR="0059728A">
          <w:rPr>
            <w:rFonts w:asciiTheme="minorHAnsi" w:eastAsiaTheme="minorEastAsia" w:hAnsiTheme="minorHAnsi"/>
            <w:b/>
            <w:color w:val="auto"/>
            <w:lang w:eastAsia="en-AU"/>
          </w:rPr>
          <w:tab/>
        </w:r>
        <w:r w:rsidR="0059728A" w:rsidRPr="00504743">
          <w:rPr>
            <w:rStyle w:val="Hyperlink"/>
            <w:rFonts w:eastAsia="Times New Roman"/>
          </w:rPr>
          <w:t>Implementation Considerations</w:t>
        </w:r>
        <w:r w:rsidR="0059728A">
          <w:rPr>
            <w:webHidden/>
          </w:rPr>
          <w:tab/>
        </w:r>
        <w:r w:rsidR="0059728A">
          <w:rPr>
            <w:webHidden/>
          </w:rPr>
          <w:fldChar w:fldCharType="begin"/>
        </w:r>
        <w:r w:rsidR="0059728A">
          <w:rPr>
            <w:webHidden/>
          </w:rPr>
          <w:instrText xml:space="preserve"> PAGEREF _Toc18592359 \h </w:instrText>
        </w:r>
        <w:r w:rsidR="0059728A">
          <w:rPr>
            <w:webHidden/>
          </w:rPr>
        </w:r>
        <w:r w:rsidR="0059728A">
          <w:rPr>
            <w:webHidden/>
          </w:rPr>
          <w:fldChar w:fldCharType="separate"/>
        </w:r>
        <w:r w:rsidR="00F732D2">
          <w:rPr>
            <w:webHidden/>
          </w:rPr>
          <w:t>53</w:t>
        </w:r>
        <w:r w:rsidR="0059728A">
          <w:rPr>
            <w:webHidden/>
          </w:rPr>
          <w:fldChar w:fldCharType="end"/>
        </w:r>
      </w:hyperlink>
    </w:p>
    <w:p w14:paraId="07AE69BF" w14:textId="77777777" w:rsidR="0059728A" w:rsidRPr="0059728A" w:rsidRDefault="0059728A" w:rsidP="0059728A">
      <w:pPr>
        <w:rPr>
          <w:sz w:val="16"/>
          <w:szCs w:val="16"/>
        </w:rPr>
      </w:pPr>
    </w:p>
    <w:p w14:paraId="30CF8C5C" w14:textId="06A39752" w:rsidR="0059728A" w:rsidRPr="00D87B23" w:rsidRDefault="00DB40B2" w:rsidP="00D87B23">
      <w:pPr>
        <w:pStyle w:val="TOC1"/>
        <w:rPr>
          <w:rFonts w:asciiTheme="minorHAnsi" w:eastAsiaTheme="minorEastAsia" w:hAnsiTheme="minorHAnsi"/>
          <w:color w:val="auto"/>
          <w:sz w:val="22"/>
          <w:szCs w:val="22"/>
          <w:lang w:eastAsia="en-AU"/>
        </w:rPr>
      </w:pPr>
      <w:hyperlink w:anchor="_Toc18592360" w:history="1">
        <w:r w:rsidR="0059728A" w:rsidRPr="00D87B23">
          <w:rPr>
            <w:rStyle w:val="Hyperlink"/>
            <w:sz w:val="22"/>
            <w:szCs w:val="22"/>
          </w:rPr>
          <w:t>Glossary and Definitions</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_Toc18592360 \h </w:instrText>
        </w:r>
        <w:r w:rsidR="0059728A" w:rsidRPr="00D87B23">
          <w:rPr>
            <w:webHidden/>
            <w:sz w:val="22"/>
            <w:szCs w:val="22"/>
          </w:rPr>
        </w:r>
        <w:r w:rsidR="0059728A" w:rsidRPr="00D87B23">
          <w:rPr>
            <w:webHidden/>
            <w:sz w:val="22"/>
            <w:szCs w:val="22"/>
          </w:rPr>
          <w:fldChar w:fldCharType="separate"/>
        </w:r>
        <w:r w:rsidR="00F732D2">
          <w:rPr>
            <w:webHidden/>
            <w:sz w:val="22"/>
            <w:szCs w:val="22"/>
          </w:rPr>
          <w:t>54</w:t>
        </w:r>
        <w:r w:rsidR="0059728A" w:rsidRPr="00D87B23">
          <w:rPr>
            <w:webHidden/>
            <w:sz w:val="22"/>
            <w:szCs w:val="22"/>
          </w:rPr>
          <w:fldChar w:fldCharType="end"/>
        </w:r>
      </w:hyperlink>
    </w:p>
    <w:p w14:paraId="254873F3" w14:textId="4CF92DA5" w:rsidR="0059728A" w:rsidRPr="00D87B23" w:rsidRDefault="00DB40B2" w:rsidP="00D87B23">
      <w:pPr>
        <w:pStyle w:val="TOC1"/>
        <w:rPr>
          <w:rFonts w:asciiTheme="minorHAnsi" w:eastAsiaTheme="minorEastAsia" w:hAnsiTheme="minorHAnsi"/>
          <w:color w:val="auto"/>
          <w:sz w:val="22"/>
          <w:szCs w:val="22"/>
          <w:lang w:eastAsia="en-AU"/>
        </w:rPr>
      </w:pPr>
      <w:hyperlink w:anchor="_Toc18592361" w:history="1">
        <w:r w:rsidR="0059728A" w:rsidRPr="00D87B23">
          <w:rPr>
            <w:rStyle w:val="Hyperlink"/>
            <w:sz w:val="22"/>
            <w:szCs w:val="22"/>
          </w:rPr>
          <w:t xml:space="preserve">Appendix A.   </w:t>
        </w:r>
        <w:r w:rsidR="0059728A" w:rsidRPr="00D87B23">
          <w:rPr>
            <w:rStyle w:val="Hyperlink"/>
            <w:b w:val="0"/>
            <w:sz w:val="22"/>
            <w:szCs w:val="22"/>
          </w:rPr>
          <w:t>Terms of Reference</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_Toc18592361 \h </w:instrText>
        </w:r>
        <w:r w:rsidR="0059728A" w:rsidRPr="00D87B23">
          <w:rPr>
            <w:webHidden/>
            <w:sz w:val="22"/>
            <w:szCs w:val="22"/>
          </w:rPr>
        </w:r>
        <w:r w:rsidR="0059728A" w:rsidRPr="00D87B23">
          <w:rPr>
            <w:webHidden/>
            <w:sz w:val="22"/>
            <w:szCs w:val="22"/>
          </w:rPr>
          <w:fldChar w:fldCharType="separate"/>
        </w:r>
        <w:r w:rsidR="00F732D2">
          <w:rPr>
            <w:webHidden/>
            <w:sz w:val="22"/>
            <w:szCs w:val="22"/>
          </w:rPr>
          <w:t>59</w:t>
        </w:r>
        <w:r w:rsidR="0059728A" w:rsidRPr="00D87B23">
          <w:rPr>
            <w:webHidden/>
            <w:sz w:val="22"/>
            <w:szCs w:val="22"/>
          </w:rPr>
          <w:fldChar w:fldCharType="end"/>
        </w:r>
      </w:hyperlink>
    </w:p>
    <w:p w14:paraId="582979FD" w14:textId="0477E6B8" w:rsidR="0059728A" w:rsidRPr="00D87B23" w:rsidRDefault="00DB40B2" w:rsidP="00D87B23">
      <w:pPr>
        <w:pStyle w:val="TOC1"/>
        <w:rPr>
          <w:rFonts w:asciiTheme="minorHAnsi" w:eastAsiaTheme="minorEastAsia" w:hAnsiTheme="minorHAnsi"/>
          <w:color w:val="auto"/>
          <w:sz w:val="22"/>
          <w:szCs w:val="22"/>
          <w:lang w:eastAsia="en-AU"/>
        </w:rPr>
      </w:pPr>
      <w:hyperlink w:anchor="_Toc18592363" w:history="1">
        <w:r w:rsidR="0059728A" w:rsidRPr="00D87B23">
          <w:rPr>
            <w:rStyle w:val="Hyperlink"/>
            <w:sz w:val="22"/>
            <w:szCs w:val="22"/>
          </w:rPr>
          <w:t>Appendix B.</w:t>
        </w:r>
        <w:r w:rsidR="0059728A" w:rsidRPr="00D87B23">
          <w:rPr>
            <w:webHidden/>
            <w:sz w:val="22"/>
            <w:szCs w:val="22"/>
          </w:rPr>
          <w:tab/>
          <w:t xml:space="preserve">  </w:t>
        </w:r>
        <w:r w:rsidR="0059728A" w:rsidRPr="00D87B23">
          <w:rPr>
            <w:b w:val="0"/>
            <w:webHidden/>
            <w:sz w:val="22"/>
            <w:szCs w:val="22"/>
          </w:rPr>
          <w:t>Review Process</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_Toc18592363 \h </w:instrText>
        </w:r>
        <w:r w:rsidR="0059728A" w:rsidRPr="00D87B23">
          <w:rPr>
            <w:webHidden/>
            <w:sz w:val="22"/>
            <w:szCs w:val="22"/>
          </w:rPr>
        </w:r>
        <w:r w:rsidR="0059728A" w:rsidRPr="00D87B23">
          <w:rPr>
            <w:webHidden/>
            <w:sz w:val="22"/>
            <w:szCs w:val="22"/>
          </w:rPr>
          <w:fldChar w:fldCharType="separate"/>
        </w:r>
        <w:r w:rsidR="00F732D2">
          <w:rPr>
            <w:webHidden/>
            <w:sz w:val="22"/>
            <w:szCs w:val="22"/>
          </w:rPr>
          <w:t>60</w:t>
        </w:r>
        <w:r w:rsidR="0059728A" w:rsidRPr="00D87B23">
          <w:rPr>
            <w:webHidden/>
            <w:sz w:val="22"/>
            <w:szCs w:val="22"/>
          </w:rPr>
          <w:fldChar w:fldCharType="end"/>
        </w:r>
      </w:hyperlink>
    </w:p>
    <w:p w14:paraId="1FDF8E78" w14:textId="15D92AE7" w:rsidR="0059728A" w:rsidRPr="00D87B23" w:rsidRDefault="00DB40B2" w:rsidP="00D87B23">
      <w:pPr>
        <w:pStyle w:val="TOC1"/>
        <w:rPr>
          <w:rFonts w:asciiTheme="minorHAnsi" w:eastAsiaTheme="minorEastAsia" w:hAnsiTheme="minorHAnsi"/>
          <w:color w:val="auto"/>
          <w:sz w:val="22"/>
          <w:szCs w:val="22"/>
          <w:lang w:eastAsia="en-AU"/>
        </w:rPr>
      </w:pPr>
      <w:hyperlink w:anchor="_Toc18592367" w:history="1">
        <w:r w:rsidR="0059728A" w:rsidRPr="00D87B23">
          <w:rPr>
            <w:rStyle w:val="Hyperlink"/>
            <w:sz w:val="22"/>
            <w:szCs w:val="22"/>
          </w:rPr>
          <w:t xml:space="preserve">Appendix C.   </w:t>
        </w:r>
        <w:r w:rsidR="0059728A" w:rsidRPr="00D87B23">
          <w:rPr>
            <w:rStyle w:val="Hyperlink"/>
            <w:b w:val="0"/>
            <w:sz w:val="22"/>
            <w:szCs w:val="22"/>
          </w:rPr>
          <w:t xml:space="preserve">Existing Higher Education Standards Framework, Part B: </w:t>
        </w:r>
        <w:r w:rsidR="0059728A" w:rsidRPr="00D87B23">
          <w:rPr>
            <w:rStyle w:val="Hyperlink"/>
            <w:b w:val="0"/>
            <w:sz w:val="22"/>
            <w:szCs w:val="22"/>
          </w:rPr>
          <w:br/>
          <w:t xml:space="preserve">  Criteria for Higher Education Providers</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_Toc18592367 \h </w:instrText>
        </w:r>
        <w:r w:rsidR="0059728A" w:rsidRPr="00D87B23">
          <w:rPr>
            <w:webHidden/>
            <w:sz w:val="22"/>
            <w:szCs w:val="22"/>
          </w:rPr>
        </w:r>
        <w:r w:rsidR="0059728A" w:rsidRPr="00D87B23">
          <w:rPr>
            <w:webHidden/>
            <w:sz w:val="22"/>
            <w:szCs w:val="22"/>
          </w:rPr>
          <w:fldChar w:fldCharType="separate"/>
        </w:r>
        <w:r w:rsidR="00F732D2">
          <w:rPr>
            <w:webHidden/>
            <w:sz w:val="22"/>
            <w:szCs w:val="22"/>
          </w:rPr>
          <w:t>68</w:t>
        </w:r>
        <w:r w:rsidR="0059728A" w:rsidRPr="00D87B23">
          <w:rPr>
            <w:webHidden/>
            <w:sz w:val="22"/>
            <w:szCs w:val="22"/>
          </w:rPr>
          <w:fldChar w:fldCharType="end"/>
        </w:r>
      </w:hyperlink>
    </w:p>
    <w:p w14:paraId="088889D5" w14:textId="524F4171" w:rsidR="0059728A" w:rsidRPr="00D87B23" w:rsidRDefault="00DB40B2" w:rsidP="00D87B23">
      <w:pPr>
        <w:pStyle w:val="TOC1"/>
        <w:rPr>
          <w:rFonts w:asciiTheme="minorHAnsi" w:eastAsiaTheme="minorEastAsia" w:hAnsiTheme="minorHAnsi"/>
          <w:color w:val="auto"/>
          <w:sz w:val="22"/>
          <w:szCs w:val="22"/>
          <w:lang w:eastAsia="en-AU"/>
        </w:rPr>
      </w:pPr>
      <w:hyperlink w:anchor="_Toc18592369" w:history="1">
        <w:r w:rsidR="0059728A" w:rsidRPr="00D87B23">
          <w:rPr>
            <w:rStyle w:val="Hyperlink"/>
            <w:sz w:val="22"/>
            <w:szCs w:val="22"/>
          </w:rPr>
          <w:t xml:space="preserve">Appendix D.   </w:t>
        </w:r>
        <w:r w:rsidR="0059728A" w:rsidRPr="00D87B23">
          <w:rPr>
            <w:rStyle w:val="Hyperlink"/>
            <w:b w:val="0"/>
            <w:sz w:val="22"/>
            <w:szCs w:val="22"/>
          </w:rPr>
          <w:t xml:space="preserve">Recommended Categorisation and Criteria for Higher    </w:t>
        </w:r>
        <w:r w:rsidR="0059728A" w:rsidRPr="00D87B23">
          <w:rPr>
            <w:rStyle w:val="Hyperlink"/>
            <w:b w:val="0"/>
            <w:sz w:val="22"/>
            <w:szCs w:val="22"/>
          </w:rPr>
          <w:br/>
          <w:t xml:space="preserve">  Education Providers</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_Toc18592369 \h </w:instrText>
        </w:r>
        <w:r w:rsidR="0059728A" w:rsidRPr="00D87B23">
          <w:rPr>
            <w:webHidden/>
            <w:sz w:val="22"/>
            <w:szCs w:val="22"/>
          </w:rPr>
        </w:r>
        <w:r w:rsidR="0059728A" w:rsidRPr="00D87B23">
          <w:rPr>
            <w:webHidden/>
            <w:sz w:val="22"/>
            <w:szCs w:val="22"/>
          </w:rPr>
          <w:fldChar w:fldCharType="separate"/>
        </w:r>
        <w:r w:rsidR="00F732D2">
          <w:rPr>
            <w:webHidden/>
            <w:sz w:val="22"/>
            <w:szCs w:val="22"/>
          </w:rPr>
          <w:t>73</w:t>
        </w:r>
        <w:r w:rsidR="0059728A" w:rsidRPr="00D87B23">
          <w:rPr>
            <w:webHidden/>
            <w:sz w:val="22"/>
            <w:szCs w:val="22"/>
          </w:rPr>
          <w:fldChar w:fldCharType="end"/>
        </w:r>
      </w:hyperlink>
    </w:p>
    <w:p w14:paraId="544336CB" w14:textId="031E4B0C" w:rsidR="0059728A" w:rsidRPr="00D87B23" w:rsidRDefault="00DB40B2" w:rsidP="00D87B23">
      <w:pPr>
        <w:pStyle w:val="TOC1"/>
        <w:rPr>
          <w:rFonts w:asciiTheme="minorHAnsi" w:eastAsiaTheme="minorEastAsia" w:hAnsiTheme="minorHAnsi"/>
          <w:color w:val="auto"/>
          <w:sz w:val="22"/>
          <w:szCs w:val="22"/>
          <w:lang w:eastAsia="en-AU"/>
        </w:rPr>
      </w:pPr>
      <w:hyperlink w:anchor="_Toc18592371" w:history="1">
        <w:r w:rsidR="0059728A" w:rsidRPr="00D87B23">
          <w:rPr>
            <w:rStyle w:val="Hyperlink"/>
            <w:sz w:val="22"/>
            <w:szCs w:val="22"/>
          </w:rPr>
          <w:t>Appendix E.</w:t>
        </w:r>
        <w:r w:rsidR="0059728A" w:rsidRPr="00D87B23">
          <w:rPr>
            <w:webHidden/>
            <w:sz w:val="22"/>
            <w:szCs w:val="22"/>
          </w:rPr>
          <w:tab/>
        </w:r>
        <w:r w:rsidR="0059728A" w:rsidRPr="00D87B23">
          <w:rPr>
            <w:b w:val="0"/>
            <w:webHidden/>
            <w:sz w:val="22"/>
            <w:szCs w:val="22"/>
          </w:rPr>
          <w:t xml:space="preserve">  </w:t>
        </w:r>
        <w:r w:rsidR="0059728A" w:rsidRPr="00D87B23">
          <w:rPr>
            <w:b w:val="0"/>
            <w:sz w:val="22"/>
            <w:szCs w:val="22"/>
          </w:rPr>
          <w:t xml:space="preserve">Higher Education Provider Access to Australian Government </w:t>
        </w:r>
        <w:r w:rsidR="0059728A" w:rsidRPr="00D87B23">
          <w:rPr>
            <w:b w:val="0"/>
            <w:sz w:val="22"/>
            <w:szCs w:val="22"/>
          </w:rPr>
          <w:br/>
          <w:t xml:space="preserve">  Funding and Self</w:t>
        </w:r>
        <w:r w:rsidR="0059728A" w:rsidRPr="00D87B23">
          <w:rPr>
            <w:b w:val="0"/>
            <w:sz w:val="22"/>
            <w:szCs w:val="22"/>
          </w:rPr>
          <w:noBreakHyphen/>
          <w:t>Accrediting Authority Status</w:t>
        </w:r>
        <w:r w:rsidR="0059728A" w:rsidRPr="00D87B23">
          <w:rPr>
            <w:b w:val="0"/>
            <w:webHidden/>
            <w:sz w:val="22"/>
            <w:szCs w:val="22"/>
          </w:rPr>
          <w:t xml:space="preserve"> </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_Toc18592371 \h </w:instrText>
        </w:r>
        <w:r w:rsidR="0059728A" w:rsidRPr="00D87B23">
          <w:rPr>
            <w:webHidden/>
            <w:sz w:val="22"/>
            <w:szCs w:val="22"/>
          </w:rPr>
        </w:r>
        <w:r w:rsidR="0059728A" w:rsidRPr="00D87B23">
          <w:rPr>
            <w:webHidden/>
            <w:sz w:val="22"/>
            <w:szCs w:val="22"/>
          </w:rPr>
          <w:fldChar w:fldCharType="separate"/>
        </w:r>
        <w:r w:rsidR="00F732D2">
          <w:rPr>
            <w:webHidden/>
            <w:sz w:val="22"/>
            <w:szCs w:val="22"/>
          </w:rPr>
          <w:t>78</w:t>
        </w:r>
        <w:r w:rsidR="0059728A" w:rsidRPr="00D87B23">
          <w:rPr>
            <w:webHidden/>
            <w:sz w:val="22"/>
            <w:szCs w:val="22"/>
          </w:rPr>
          <w:fldChar w:fldCharType="end"/>
        </w:r>
      </w:hyperlink>
    </w:p>
    <w:p w14:paraId="7AED1E6F" w14:textId="5B254CE8" w:rsidR="0059728A" w:rsidRPr="00D87B23" w:rsidRDefault="00DB40B2" w:rsidP="00D87B23">
      <w:pPr>
        <w:pStyle w:val="TOC1"/>
        <w:rPr>
          <w:rFonts w:asciiTheme="minorHAnsi" w:eastAsiaTheme="minorEastAsia" w:hAnsiTheme="minorHAnsi"/>
          <w:color w:val="auto"/>
          <w:sz w:val="22"/>
          <w:szCs w:val="22"/>
          <w:lang w:eastAsia="en-AU"/>
        </w:rPr>
      </w:pPr>
      <w:hyperlink w:anchor="_Toc18592373" w:history="1">
        <w:r w:rsidR="0059728A" w:rsidRPr="00D87B23">
          <w:rPr>
            <w:rStyle w:val="Hyperlink"/>
            <w:sz w:val="22"/>
            <w:szCs w:val="22"/>
          </w:rPr>
          <w:t>Appendix F.</w:t>
        </w:r>
        <w:r w:rsidR="0059728A" w:rsidRPr="00D87B23">
          <w:rPr>
            <w:webHidden/>
            <w:sz w:val="22"/>
            <w:szCs w:val="22"/>
          </w:rPr>
          <w:tab/>
          <w:t xml:space="preserve">  </w:t>
        </w:r>
        <w:r w:rsidR="0059728A" w:rsidRPr="00D87B23">
          <w:rPr>
            <w:b w:val="0"/>
            <w:sz w:val="22"/>
            <w:szCs w:val="22"/>
          </w:rPr>
          <w:t>Selected Comparison of International Higher Education Systems</w:t>
        </w:r>
        <w:r w:rsidR="0059728A" w:rsidRPr="00D87B23">
          <w:rPr>
            <w:webHidden/>
            <w:sz w:val="22"/>
            <w:szCs w:val="22"/>
          </w:rPr>
          <w:t xml:space="preserve"> </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_Toc18592373 \h </w:instrText>
        </w:r>
        <w:r w:rsidR="0059728A" w:rsidRPr="00D87B23">
          <w:rPr>
            <w:webHidden/>
            <w:sz w:val="22"/>
            <w:szCs w:val="22"/>
          </w:rPr>
        </w:r>
        <w:r w:rsidR="0059728A" w:rsidRPr="00D87B23">
          <w:rPr>
            <w:webHidden/>
            <w:sz w:val="22"/>
            <w:szCs w:val="22"/>
          </w:rPr>
          <w:fldChar w:fldCharType="separate"/>
        </w:r>
        <w:r w:rsidR="00F732D2">
          <w:rPr>
            <w:webHidden/>
            <w:sz w:val="22"/>
            <w:szCs w:val="22"/>
          </w:rPr>
          <w:t>83</w:t>
        </w:r>
        <w:r w:rsidR="0059728A" w:rsidRPr="00D87B23">
          <w:rPr>
            <w:webHidden/>
            <w:sz w:val="22"/>
            <w:szCs w:val="22"/>
          </w:rPr>
          <w:fldChar w:fldCharType="end"/>
        </w:r>
      </w:hyperlink>
    </w:p>
    <w:p w14:paraId="7D96F4B8" w14:textId="5D05289A" w:rsidR="0014126D" w:rsidRPr="0059728A" w:rsidRDefault="00DB40B2" w:rsidP="00D87B23">
      <w:pPr>
        <w:pStyle w:val="TOC1"/>
        <w:rPr>
          <w:rFonts w:asciiTheme="minorHAnsi" w:eastAsiaTheme="minorEastAsia" w:hAnsiTheme="minorHAnsi"/>
          <w:color w:val="auto"/>
          <w:lang w:eastAsia="en-AU"/>
        </w:rPr>
      </w:pPr>
      <w:hyperlink w:anchor="_Toc18592375" w:history="1">
        <w:r w:rsidR="0059728A" w:rsidRPr="00D87B23">
          <w:rPr>
            <w:rStyle w:val="Hyperlink"/>
            <w:sz w:val="22"/>
            <w:szCs w:val="22"/>
          </w:rPr>
          <w:t xml:space="preserve">Appendix G.   </w:t>
        </w:r>
        <w:r w:rsidR="0059728A" w:rsidRPr="00D87B23">
          <w:rPr>
            <w:rStyle w:val="Hyperlink"/>
            <w:b w:val="0"/>
            <w:sz w:val="22"/>
            <w:szCs w:val="22"/>
          </w:rPr>
          <w:t>Interaction with Other Reviews</w:t>
        </w:r>
        <w:r w:rsidR="0059728A" w:rsidRPr="00D87B23">
          <w:rPr>
            <w:webHidden/>
            <w:sz w:val="22"/>
            <w:szCs w:val="22"/>
          </w:rPr>
          <w:tab/>
        </w:r>
        <w:r w:rsidR="0059728A" w:rsidRPr="00D87B23">
          <w:rPr>
            <w:webHidden/>
            <w:sz w:val="22"/>
            <w:szCs w:val="22"/>
          </w:rPr>
          <w:fldChar w:fldCharType="begin"/>
        </w:r>
        <w:r w:rsidR="0059728A" w:rsidRPr="00D87B23">
          <w:rPr>
            <w:webHidden/>
            <w:sz w:val="22"/>
            <w:szCs w:val="22"/>
          </w:rPr>
          <w:instrText xml:space="preserve"> PAGEREF _Toc18592375 \h </w:instrText>
        </w:r>
        <w:r w:rsidR="0059728A" w:rsidRPr="00D87B23">
          <w:rPr>
            <w:webHidden/>
            <w:sz w:val="22"/>
            <w:szCs w:val="22"/>
          </w:rPr>
        </w:r>
        <w:r w:rsidR="0059728A" w:rsidRPr="00D87B23">
          <w:rPr>
            <w:webHidden/>
            <w:sz w:val="22"/>
            <w:szCs w:val="22"/>
          </w:rPr>
          <w:fldChar w:fldCharType="separate"/>
        </w:r>
        <w:r w:rsidR="00F732D2">
          <w:rPr>
            <w:webHidden/>
            <w:sz w:val="22"/>
            <w:szCs w:val="22"/>
          </w:rPr>
          <w:t>94</w:t>
        </w:r>
        <w:r w:rsidR="0059728A" w:rsidRPr="00D87B23">
          <w:rPr>
            <w:webHidden/>
            <w:sz w:val="22"/>
            <w:szCs w:val="22"/>
          </w:rPr>
          <w:fldChar w:fldCharType="end"/>
        </w:r>
      </w:hyperlink>
      <w:r w:rsidR="004978DA" w:rsidRPr="00730C0D">
        <w:rPr>
          <w:sz w:val="20"/>
          <w:szCs w:val="20"/>
        </w:rPr>
        <w:fldChar w:fldCharType="end"/>
      </w:r>
      <w:r w:rsidR="000B5B94" w:rsidRPr="000305C5">
        <w:rPr>
          <w:sz w:val="22"/>
          <w:szCs w:val="22"/>
        </w:rPr>
        <w:t>4</w:t>
      </w:r>
      <w:r w:rsidR="0014126D" w:rsidRPr="00730C0D">
        <w:rPr>
          <w:sz w:val="20"/>
          <w:szCs w:val="20"/>
        </w:rPr>
        <w:br w:type="page"/>
      </w:r>
    </w:p>
    <w:p w14:paraId="233729DC" w14:textId="0BD34294" w:rsidR="0014126D" w:rsidRPr="00730C0D" w:rsidRDefault="00302912" w:rsidP="003A178A">
      <w:pPr>
        <w:pStyle w:val="Heading1"/>
      </w:pPr>
      <w:bookmarkStart w:id="2" w:name="_Toc12615317"/>
      <w:bookmarkStart w:id="3" w:name="_Toc18592306"/>
      <w:r w:rsidRPr="00730C0D">
        <w:rPr>
          <w:noProof/>
          <w:sz w:val="48"/>
          <w:szCs w:val="48"/>
          <w:lang w:eastAsia="en-AU"/>
        </w:rPr>
        <mc:AlternateContent>
          <mc:Choice Requires="wps">
            <w:drawing>
              <wp:anchor distT="0" distB="0" distL="114300" distR="114300" simplePos="0" relativeHeight="251669504" behindDoc="0" locked="0" layoutInCell="1" allowOverlap="1" wp14:anchorId="07B779A1" wp14:editId="68780FAC">
                <wp:simplePos x="0" y="0"/>
                <wp:positionH relativeFrom="column">
                  <wp:posOffset>-1770434</wp:posOffset>
                </wp:positionH>
                <wp:positionV relativeFrom="paragraph">
                  <wp:posOffset>419100</wp:posOffset>
                </wp:positionV>
                <wp:extent cx="762000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762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008DB" id="Straight Connector 3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39.4pt,33pt" to="460.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" strokecolor="black [3213]" strokeweight=".5pt">
                <v:stroke joinstyle="miter"/>
              </v:line>
            </w:pict>
          </mc:Fallback>
        </mc:AlternateContent>
      </w:r>
      <w:r w:rsidR="0014126D" w:rsidRPr="00730C0D">
        <w:t>List of Acronyms and Abbreviations</w:t>
      </w:r>
      <w:bookmarkEnd w:id="2"/>
      <w:bookmarkEnd w:id="3"/>
    </w:p>
    <w:p w14:paraId="164DAFDF" w14:textId="23BC59F1" w:rsidR="003559AE" w:rsidRPr="00730C0D" w:rsidRDefault="003559AE" w:rsidP="00D31B9A">
      <w:pPr>
        <w:spacing w:before="0" w:after="0"/>
        <w:rPr>
          <w:rFonts w:ascii="Century Gothic" w:hAnsi="Century Gothic"/>
          <w:b/>
          <w:sz w:val="20"/>
          <w:szCs w:val="20"/>
        </w:rPr>
      </w:pPr>
    </w:p>
    <w:p w14:paraId="7EE40280" w14:textId="77777777" w:rsidR="003A178A" w:rsidRPr="00730C0D" w:rsidRDefault="003A178A" w:rsidP="00D31B9A">
      <w:pPr>
        <w:spacing w:before="0" w:after="0"/>
        <w:rPr>
          <w:rFonts w:ascii="Century Gothic" w:hAnsi="Century Gothic"/>
          <w:b/>
          <w:sz w:val="20"/>
          <w:szCs w:val="20"/>
        </w:rPr>
      </w:pPr>
    </w:p>
    <w:p w14:paraId="3D60B469" w14:textId="74FBE744" w:rsidR="0014126D" w:rsidRPr="00730C0D" w:rsidRDefault="0014126D" w:rsidP="00D31B9A">
      <w:pPr>
        <w:spacing w:before="0" w:after="0"/>
        <w:rPr>
          <w:rFonts w:ascii="Century Gothic" w:hAnsi="Century Gothic"/>
          <w:b/>
          <w:sz w:val="20"/>
          <w:szCs w:val="20"/>
        </w:rPr>
      </w:pPr>
      <w:r w:rsidRPr="00730C0D">
        <w:rPr>
          <w:rFonts w:ascii="Century Gothic" w:hAnsi="Century Gothic"/>
          <w:b/>
          <w:sz w:val="20"/>
          <w:szCs w:val="20"/>
        </w:rPr>
        <w:t>ABS</w:t>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sz w:val="20"/>
          <w:szCs w:val="20"/>
        </w:rPr>
        <w:t>Australian Bureau of Statistics</w:t>
      </w:r>
      <w:r w:rsidRPr="00730C0D">
        <w:rPr>
          <w:rFonts w:ascii="Century Gothic" w:hAnsi="Century Gothic"/>
          <w:b/>
          <w:sz w:val="20"/>
          <w:szCs w:val="20"/>
        </w:rPr>
        <w:t xml:space="preserve"> </w:t>
      </w:r>
    </w:p>
    <w:p w14:paraId="41F5F50A" w14:textId="77777777" w:rsidR="0014126D" w:rsidRPr="00730C0D" w:rsidRDefault="0014126D" w:rsidP="00D31B9A">
      <w:pPr>
        <w:spacing w:before="0" w:after="0"/>
        <w:rPr>
          <w:rFonts w:ascii="Century Gothic" w:hAnsi="Century Gothic"/>
          <w:b/>
          <w:sz w:val="20"/>
          <w:szCs w:val="20"/>
        </w:rPr>
      </w:pPr>
      <w:r w:rsidRPr="00730C0D">
        <w:rPr>
          <w:rFonts w:ascii="Century Gothic" w:hAnsi="Century Gothic"/>
          <w:b/>
          <w:sz w:val="20"/>
          <w:szCs w:val="20"/>
        </w:rPr>
        <w:t>ANZSRC</w:t>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sz w:val="20"/>
          <w:szCs w:val="20"/>
        </w:rPr>
        <w:t>Australia and New Zealand Standard Research Classification</w:t>
      </w:r>
    </w:p>
    <w:p w14:paraId="13C652C2"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AQF</w:t>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sz w:val="20"/>
          <w:szCs w:val="20"/>
        </w:rPr>
        <w:t>Australian Qualifications Framework</w:t>
      </w:r>
    </w:p>
    <w:p w14:paraId="3A6192F3" w14:textId="13859886" w:rsidR="0014126D" w:rsidRDefault="0014126D" w:rsidP="00D31B9A">
      <w:pPr>
        <w:spacing w:before="0" w:after="0"/>
        <w:rPr>
          <w:rFonts w:ascii="Century Gothic" w:hAnsi="Century Gothic"/>
          <w:b/>
          <w:sz w:val="20"/>
          <w:szCs w:val="20"/>
        </w:rPr>
      </w:pPr>
      <w:r w:rsidRPr="00730C0D">
        <w:rPr>
          <w:rFonts w:ascii="Century Gothic" w:hAnsi="Century Gothic"/>
          <w:b/>
          <w:sz w:val="20"/>
          <w:szCs w:val="20"/>
        </w:rPr>
        <w:t>ASCED</w:t>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b/>
          <w:sz w:val="20"/>
          <w:szCs w:val="20"/>
        </w:rPr>
        <w:tab/>
      </w:r>
      <w:r w:rsidRPr="00730C0D">
        <w:rPr>
          <w:rFonts w:ascii="Century Gothic" w:hAnsi="Century Gothic"/>
          <w:sz w:val="20"/>
          <w:szCs w:val="20"/>
        </w:rPr>
        <w:t>Australian Standard Classification of Education</w:t>
      </w:r>
      <w:r w:rsidRPr="00730C0D">
        <w:rPr>
          <w:rFonts w:ascii="Century Gothic" w:hAnsi="Century Gothic"/>
          <w:b/>
          <w:sz w:val="20"/>
          <w:szCs w:val="20"/>
        </w:rPr>
        <w:t xml:space="preserve"> </w:t>
      </w:r>
    </w:p>
    <w:p w14:paraId="07390A93" w14:textId="24B67D56" w:rsidR="00665E5C" w:rsidRPr="00730C0D" w:rsidRDefault="00665E5C" w:rsidP="00D31B9A">
      <w:pPr>
        <w:spacing w:before="0" w:after="0"/>
        <w:rPr>
          <w:rFonts w:ascii="Century Gothic" w:hAnsi="Century Gothic"/>
          <w:b/>
          <w:sz w:val="20"/>
          <w:szCs w:val="20"/>
        </w:rPr>
      </w:pPr>
      <w:r>
        <w:rPr>
          <w:rFonts w:ascii="Century Gothic" w:hAnsi="Century Gothic"/>
          <w:b/>
          <w:sz w:val="20"/>
          <w:szCs w:val="20"/>
        </w:rPr>
        <w:t>ASIC</w:t>
      </w:r>
      <w:r>
        <w:rPr>
          <w:rFonts w:ascii="Century Gothic" w:hAnsi="Century Gothic"/>
          <w:b/>
          <w:sz w:val="20"/>
          <w:szCs w:val="20"/>
        </w:rPr>
        <w:tab/>
      </w:r>
      <w:r>
        <w:rPr>
          <w:rFonts w:ascii="Century Gothic" w:hAnsi="Century Gothic"/>
          <w:b/>
          <w:sz w:val="20"/>
          <w:szCs w:val="20"/>
        </w:rPr>
        <w:tab/>
      </w:r>
      <w:r>
        <w:rPr>
          <w:rFonts w:ascii="Century Gothic" w:hAnsi="Century Gothic"/>
          <w:b/>
          <w:sz w:val="20"/>
          <w:szCs w:val="20"/>
        </w:rPr>
        <w:tab/>
      </w:r>
      <w:r w:rsidRPr="00730C0D">
        <w:rPr>
          <w:rFonts w:ascii="Century Gothic" w:hAnsi="Century Gothic"/>
          <w:sz w:val="20"/>
          <w:szCs w:val="20"/>
        </w:rPr>
        <w:t>Australian Securities a</w:t>
      </w:r>
      <w:r>
        <w:rPr>
          <w:rFonts w:ascii="Century Gothic" w:hAnsi="Century Gothic"/>
          <w:sz w:val="20"/>
          <w:szCs w:val="20"/>
        </w:rPr>
        <w:t>nd Investments Commission</w:t>
      </w:r>
    </w:p>
    <w:p w14:paraId="4C4F5024"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ASQA</w:t>
      </w:r>
      <w:r w:rsidRPr="00730C0D">
        <w:rPr>
          <w:rFonts w:ascii="Century Gothic" w:hAnsi="Century Gothic"/>
          <w:b/>
          <w:sz w:val="20"/>
          <w:szCs w:val="20"/>
        </w:rPr>
        <w:tab/>
      </w:r>
      <w:r w:rsidRPr="00730C0D">
        <w:rPr>
          <w:rFonts w:ascii="Century Gothic" w:hAnsi="Century Gothic"/>
          <w:sz w:val="20"/>
          <w:szCs w:val="20"/>
        </w:rPr>
        <w:tab/>
      </w:r>
      <w:r w:rsidRPr="00730C0D">
        <w:rPr>
          <w:rFonts w:ascii="Century Gothic" w:hAnsi="Century Gothic"/>
          <w:sz w:val="20"/>
          <w:szCs w:val="20"/>
        </w:rPr>
        <w:tab/>
        <w:t xml:space="preserve">Australian Skills Quality Authority </w:t>
      </w:r>
    </w:p>
    <w:p w14:paraId="19C24315" w14:textId="6C936163" w:rsidR="0014126D" w:rsidRPr="00730C0D" w:rsidRDefault="003A178A" w:rsidP="00D31B9A">
      <w:pPr>
        <w:spacing w:before="0" w:after="0"/>
        <w:rPr>
          <w:rFonts w:ascii="Century Gothic" w:hAnsi="Century Gothic"/>
          <w:sz w:val="20"/>
          <w:szCs w:val="20"/>
        </w:rPr>
      </w:pPr>
      <w:r w:rsidRPr="00730C0D">
        <w:rPr>
          <w:rFonts w:ascii="Century Gothic" w:hAnsi="Century Gothic"/>
          <w:b/>
          <w:sz w:val="20"/>
          <w:szCs w:val="20"/>
        </w:rPr>
        <w:t>Bradley Review</w:t>
      </w:r>
      <w:r w:rsidRPr="00730C0D">
        <w:rPr>
          <w:rFonts w:ascii="Century Gothic" w:hAnsi="Century Gothic"/>
          <w:b/>
          <w:sz w:val="20"/>
          <w:szCs w:val="20"/>
        </w:rPr>
        <w:tab/>
      </w:r>
      <w:r w:rsidR="0014126D" w:rsidRPr="00730C0D">
        <w:rPr>
          <w:rFonts w:ascii="Century Gothic" w:hAnsi="Century Gothic"/>
          <w:sz w:val="20"/>
          <w:szCs w:val="20"/>
        </w:rPr>
        <w:t>Review of Australian Higher Education 2008</w:t>
      </w:r>
    </w:p>
    <w:p w14:paraId="4C94337A" w14:textId="77777777" w:rsidR="0014126D" w:rsidRPr="00730C0D" w:rsidRDefault="0014126D" w:rsidP="00D31B9A">
      <w:pPr>
        <w:spacing w:before="0" w:after="0"/>
        <w:rPr>
          <w:rFonts w:ascii="Century Gothic" w:hAnsi="Century Gothic" w:cstheme="minorHAnsi"/>
          <w:sz w:val="20"/>
          <w:szCs w:val="20"/>
        </w:rPr>
      </w:pPr>
      <w:r w:rsidRPr="00730C0D">
        <w:rPr>
          <w:rFonts w:ascii="Century Gothic" w:hAnsi="Century Gothic"/>
          <w:b/>
          <w:sz w:val="20"/>
          <w:szCs w:val="20"/>
        </w:rPr>
        <w:t>CGS</w:t>
      </w:r>
      <w:r w:rsidRPr="00730C0D">
        <w:rPr>
          <w:rFonts w:ascii="Century Gothic" w:hAnsi="Century Gothic"/>
          <w:b/>
          <w:sz w:val="20"/>
          <w:szCs w:val="20"/>
        </w:rPr>
        <w:tab/>
      </w:r>
      <w:r w:rsidRPr="00730C0D">
        <w:rPr>
          <w:rFonts w:ascii="Century Gothic" w:hAnsi="Century Gothic"/>
          <w:sz w:val="20"/>
          <w:szCs w:val="20"/>
        </w:rPr>
        <w:tab/>
      </w:r>
      <w:r w:rsidRPr="00730C0D">
        <w:rPr>
          <w:rFonts w:ascii="Century Gothic" w:hAnsi="Century Gothic"/>
          <w:sz w:val="20"/>
          <w:szCs w:val="20"/>
        </w:rPr>
        <w:tab/>
      </w:r>
      <w:r w:rsidRPr="00730C0D">
        <w:rPr>
          <w:rFonts w:ascii="Century Gothic" w:hAnsi="Century Gothic" w:cstheme="minorHAnsi"/>
          <w:sz w:val="20"/>
          <w:szCs w:val="20"/>
        </w:rPr>
        <w:t>Commonwealth Grant Scheme</w:t>
      </w:r>
    </w:p>
    <w:p w14:paraId="6C87A7A9" w14:textId="3B32F76E" w:rsidR="0014126D" w:rsidRPr="00730C0D" w:rsidRDefault="0014126D" w:rsidP="003A178A">
      <w:pPr>
        <w:spacing w:before="0" w:after="0"/>
        <w:ind w:right="-472"/>
        <w:rPr>
          <w:rFonts w:ascii="Century Gothic" w:hAnsi="Century Gothic" w:cstheme="minorHAnsi"/>
          <w:sz w:val="20"/>
          <w:szCs w:val="20"/>
        </w:rPr>
      </w:pPr>
      <w:r w:rsidRPr="00730C0D">
        <w:rPr>
          <w:rFonts w:ascii="Century Gothic" w:hAnsi="Century Gothic" w:cstheme="minorHAnsi"/>
          <w:b/>
          <w:sz w:val="20"/>
          <w:szCs w:val="20"/>
        </w:rPr>
        <w:t>CRICOS</w:t>
      </w:r>
      <w:r w:rsidRPr="00730C0D">
        <w:rPr>
          <w:rFonts w:ascii="Century Gothic" w:hAnsi="Century Gothic" w:cstheme="minorHAnsi"/>
          <w:b/>
          <w:sz w:val="20"/>
          <w:szCs w:val="20"/>
        </w:rPr>
        <w:tab/>
      </w:r>
      <w:r w:rsidR="003A178A" w:rsidRPr="00730C0D">
        <w:rPr>
          <w:rFonts w:ascii="Century Gothic" w:hAnsi="Century Gothic" w:cstheme="minorHAnsi"/>
          <w:sz w:val="20"/>
          <w:szCs w:val="20"/>
        </w:rPr>
        <w:tab/>
      </w:r>
      <w:r w:rsidRPr="00730C0D">
        <w:rPr>
          <w:rFonts w:ascii="Century Gothic" w:hAnsi="Century Gothic" w:cstheme="minorHAnsi"/>
          <w:sz w:val="20"/>
          <w:szCs w:val="20"/>
        </w:rPr>
        <w:t>Commonwealth Register of Institutions and Courses for Overseas Students</w:t>
      </w:r>
    </w:p>
    <w:p w14:paraId="2B37DE28" w14:textId="77777777" w:rsidR="0014126D" w:rsidRPr="00730C0D" w:rsidRDefault="0014126D" w:rsidP="00D31B9A">
      <w:pPr>
        <w:spacing w:before="0" w:after="0"/>
        <w:rPr>
          <w:rFonts w:ascii="Century Gothic" w:hAnsi="Century Gothic"/>
          <w:b/>
          <w:sz w:val="20"/>
          <w:szCs w:val="20"/>
        </w:rPr>
      </w:pPr>
      <w:r w:rsidRPr="00730C0D">
        <w:rPr>
          <w:rFonts w:ascii="Century Gothic" w:hAnsi="Century Gothic"/>
          <w:b/>
          <w:sz w:val="20"/>
          <w:szCs w:val="20"/>
        </w:rPr>
        <w:t>CSP</w:t>
      </w:r>
      <w:r w:rsidRPr="00730C0D">
        <w:rPr>
          <w:rFonts w:ascii="Century Gothic" w:hAnsi="Century Gothic"/>
          <w:sz w:val="20"/>
          <w:szCs w:val="20"/>
        </w:rPr>
        <w:tab/>
      </w:r>
      <w:r w:rsidRPr="00730C0D">
        <w:rPr>
          <w:rFonts w:ascii="Century Gothic" w:hAnsi="Century Gothic"/>
          <w:sz w:val="20"/>
          <w:szCs w:val="20"/>
        </w:rPr>
        <w:tab/>
      </w:r>
      <w:r w:rsidRPr="00730C0D">
        <w:rPr>
          <w:rFonts w:ascii="Century Gothic" w:hAnsi="Century Gothic"/>
          <w:sz w:val="20"/>
          <w:szCs w:val="20"/>
        </w:rPr>
        <w:tab/>
        <w:t>Commonwealth Supported Place</w:t>
      </w:r>
    </w:p>
    <w:p w14:paraId="19525D68" w14:textId="7999F15F" w:rsidR="0014126D" w:rsidRPr="00730C0D" w:rsidRDefault="0014126D" w:rsidP="00D31B9A">
      <w:pPr>
        <w:spacing w:before="0" w:after="0"/>
        <w:rPr>
          <w:rFonts w:ascii="Century Gothic" w:hAnsi="Century Gothic" w:cstheme="minorHAnsi"/>
          <w:sz w:val="20"/>
          <w:szCs w:val="20"/>
        </w:rPr>
      </w:pPr>
      <w:r w:rsidRPr="00730C0D">
        <w:rPr>
          <w:rFonts w:ascii="Century Gothic" w:hAnsi="Century Gothic" w:cstheme="minorHAnsi"/>
          <w:b/>
          <w:sz w:val="20"/>
          <w:szCs w:val="20"/>
        </w:rPr>
        <w:t>ERA</w:t>
      </w:r>
      <w:r w:rsidRPr="00730C0D">
        <w:rPr>
          <w:rFonts w:ascii="Century Gothic" w:hAnsi="Century Gothic" w:cstheme="minorHAnsi"/>
          <w:sz w:val="20"/>
          <w:szCs w:val="20"/>
        </w:rPr>
        <w:tab/>
      </w:r>
      <w:r w:rsidRPr="00730C0D">
        <w:rPr>
          <w:rFonts w:ascii="Century Gothic" w:hAnsi="Century Gothic" w:cstheme="minorHAnsi"/>
          <w:sz w:val="20"/>
          <w:szCs w:val="20"/>
        </w:rPr>
        <w:tab/>
      </w:r>
      <w:r w:rsidRPr="00730C0D">
        <w:rPr>
          <w:rFonts w:ascii="Century Gothic" w:hAnsi="Century Gothic" w:cstheme="minorHAnsi"/>
          <w:sz w:val="20"/>
          <w:szCs w:val="20"/>
        </w:rPr>
        <w:tab/>
        <w:t xml:space="preserve">Excellence in Research </w:t>
      </w:r>
      <w:r w:rsidR="00505E84" w:rsidRPr="00730C0D">
        <w:rPr>
          <w:rFonts w:ascii="Century Gothic" w:hAnsi="Century Gothic" w:cstheme="minorHAnsi"/>
          <w:sz w:val="20"/>
          <w:szCs w:val="20"/>
        </w:rPr>
        <w:t xml:space="preserve">for </w:t>
      </w:r>
      <w:r w:rsidRPr="00730C0D">
        <w:rPr>
          <w:rFonts w:ascii="Century Gothic" w:hAnsi="Century Gothic" w:cstheme="minorHAnsi"/>
          <w:sz w:val="20"/>
          <w:szCs w:val="20"/>
        </w:rPr>
        <w:t xml:space="preserve">Australia </w:t>
      </w:r>
    </w:p>
    <w:p w14:paraId="1B783867" w14:textId="77777777" w:rsidR="0068429E" w:rsidRPr="00730C0D" w:rsidRDefault="0014126D">
      <w:pPr>
        <w:spacing w:before="0" w:after="0"/>
        <w:rPr>
          <w:rFonts w:ascii="Century Gothic" w:hAnsi="Century Gothic" w:cstheme="minorHAnsi"/>
          <w:sz w:val="20"/>
          <w:szCs w:val="20"/>
        </w:rPr>
      </w:pPr>
      <w:r w:rsidRPr="00730C0D">
        <w:rPr>
          <w:rFonts w:ascii="Century Gothic" w:hAnsi="Century Gothic" w:cstheme="minorHAnsi"/>
          <w:b/>
          <w:sz w:val="20"/>
          <w:szCs w:val="20"/>
        </w:rPr>
        <w:t xml:space="preserve">HELP </w:t>
      </w:r>
      <w:r w:rsidRPr="00730C0D">
        <w:rPr>
          <w:rFonts w:ascii="Century Gothic" w:hAnsi="Century Gothic" w:cstheme="minorHAnsi"/>
          <w:sz w:val="20"/>
          <w:szCs w:val="20"/>
        </w:rPr>
        <w:tab/>
      </w:r>
      <w:r w:rsidRPr="00730C0D">
        <w:rPr>
          <w:rFonts w:ascii="Century Gothic" w:hAnsi="Century Gothic" w:cstheme="minorHAnsi"/>
          <w:sz w:val="20"/>
          <w:szCs w:val="20"/>
        </w:rPr>
        <w:tab/>
      </w:r>
      <w:r w:rsidRPr="00730C0D">
        <w:rPr>
          <w:rFonts w:ascii="Century Gothic" w:hAnsi="Century Gothic" w:cstheme="minorHAnsi"/>
          <w:sz w:val="20"/>
          <w:szCs w:val="20"/>
        </w:rPr>
        <w:tab/>
        <w:t>Higher Education Loan Program</w:t>
      </w:r>
    </w:p>
    <w:p w14:paraId="0A7FE82D" w14:textId="1F9B5D35" w:rsidR="0068429E" w:rsidRPr="00730C0D" w:rsidRDefault="0068429E">
      <w:pPr>
        <w:spacing w:before="0" w:after="0"/>
        <w:rPr>
          <w:rFonts w:ascii="Century Gothic" w:hAnsi="Century Gothic" w:cstheme="minorHAnsi"/>
          <w:sz w:val="20"/>
          <w:szCs w:val="20"/>
        </w:rPr>
      </w:pPr>
      <w:r w:rsidRPr="00730C0D">
        <w:rPr>
          <w:rFonts w:ascii="Century Gothic" w:hAnsi="Century Gothic" w:cstheme="minorHAnsi"/>
          <w:b/>
          <w:sz w:val="20"/>
          <w:szCs w:val="20"/>
        </w:rPr>
        <w:t>HERDC</w:t>
      </w:r>
      <w:r w:rsidRPr="00730C0D">
        <w:rPr>
          <w:rFonts w:ascii="Century Gothic" w:hAnsi="Century Gothic" w:cstheme="minorHAnsi"/>
          <w:sz w:val="20"/>
          <w:szCs w:val="20"/>
        </w:rPr>
        <w:tab/>
      </w:r>
      <w:r w:rsidRPr="00730C0D">
        <w:rPr>
          <w:rFonts w:ascii="Century Gothic" w:hAnsi="Century Gothic" w:cstheme="minorHAnsi"/>
          <w:sz w:val="20"/>
          <w:szCs w:val="20"/>
        </w:rPr>
        <w:tab/>
      </w:r>
      <w:r w:rsidRPr="00730C0D">
        <w:rPr>
          <w:rFonts w:ascii="Century Gothic" w:hAnsi="Century Gothic" w:cstheme="minorHAnsi"/>
          <w:sz w:val="20"/>
          <w:szCs w:val="20"/>
        </w:rPr>
        <w:tab/>
      </w:r>
      <w:r w:rsidRPr="00730C0D">
        <w:rPr>
          <w:rFonts w:ascii="Century Gothic" w:hAnsi="Century Gothic"/>
          <w:sz w:val="20"/>
          <w:szCs w:val="20"/>
          <w:lang w:val="en"/>
        </w:rPr>
        <w:t xml:space="preserve">Higher Education Research Data Collection </w:t>
      </w:r>
    </w:p>
    <w:p w14:paraId="39C0E893" w14:textId="77777777" w:rsidR="0014126D" w:rsidRPr="00730C0D" w:rsidRDefault="0014126D" w:rsidP="00D31B9A">
      <w:pPr>
        <w:spacing w:before="0" w:after="0"/>
        <w:rPr>
          <w:rFonts w:ascii="Century Gothic" w:hAnsi="Century Gothic" w:cstheme="minorHAnsi"/>
          <w:sz w:val="20"/>
          <w:szCs w:val="20"/>
        </w:rPr>
      </w:pPr>
      <w:r w:rsidRPr="00730C0D">
        <w:rPr>
          <w:rFonts w:ascii="Century Gothic" w:hAnsi="Century Gothic" w:cstheme="minorHAnsi"/>
          <w:b/>
          <w:sz w:val="20"/>
          <w:szCs w:val="20"/>
        </w:rPr>
        <w:t xml:space="preserve">HESA </w:t>
      </w:r>
      <w:r w:rsidRPr="00730C0D">
        <w:rPr>
          <w:rFonts w:ascii="Century Gothic" w:hAnsi="Century Gothic" w:cstheme="minorHAnsi"/>
          <w:b/>
          <w:sz w:val="20"/>
          <w:szCs w:val="20"/>
        </w:rPr>
        <w:tab/>
      </w:r>
      <w:r w:rsidRPr="00730C0D">
        <w:rPr>
          <w:rFonts w:ascii="Century Gothic" w:hAnsi="Century Gothic" w:cstheme="minorHAnsi"/>
          <w:sz w:val="20"/>
          <w:szCs w:val="20"/>
        </w:rPr>
        <w:tab/>
      </w:r>
      <w:r w:rsidRPr="00730C0D">
        <w:rPr>
          <w:rFonts w:ascii="Century Gothic" w:hAnsi="Century Gothic" w:cstheme="minorHAnsi"/>
          <w:sz w:val="20"/>
          <w:szCs w:val="20"/>
        </w:rPr>
        <w:tab/>
      </w:r>
      <w:r w:rsidRPr="00730C0D">
        <w:rPr>
          <w:rFonts w:ascii="Century Gothic" w:hAnsi="Century Gothic" w:cstheme="minorHAnsi"/>
          <w:i/>
          <w:sz w:val="20"/>
          <w:szCs w:val="20"/>
        </w:rPr>
        <w:t>Higher Education Support Act 2003</w:t>
      </w:r>
    </w:p>
    <w:p w14:paraId="38A7123D"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 xml:space="preserve">HESP </w:t>
      </w:r>
      <w:r w:rsidRPr="00730C0D">
        <w:rPr>
          <w:rFonts w:ascii="Century Gothic" w:hAnsi="Century Gothic"/>
          <w:b/>
          <w:sz w:val="20"/>
          <w:szCs w:val="20"/>
        </w:rPr>
        <w:tab/>
      </w:r>
      <w:r w:rsidRPr="00730C0D">
        <w:rPr>
          <w:rFonts w:ascii="Century Gothic" w:hAnsi="Century Gothic"/>
          <w:sz w:val="20"/>
          <w:szCs w:val="20"/>
        </w:rPr>
        <w:tab/>
      </w:r>
      <w:r w:rsidRPr="00730C0D">
        <w:rPr>
          <w:rFonts w:ascii="Century Gothic" w:hAnsi="Century Gothic"/>
          <w:sz w:val="20"/>
          <w:szCs w:val="20"/>
        </w:rPr>
        <w:tab/>
        <w:t>Higher Education Standards Panel</w:t>
      </w:r>
    </w:p>
    <w:p w14:paraId="5D264F86" w14:textId="1B00E854" w:rsidR="005A46B6" w:rsidRPr="00730C0D" w:rsidRDefault="0014126D" w:rsidP="00AC4B4C">
      <w:pPr>
        <w:spacing w:before="0" w:after="0"/>
        <w:ind w:left="2160" w:hanging="2160"/>
        <w:rPr>
          <w:rFonts w:ascii="Century Gothic" w:hAnsi="Century Gothic"/>
          <w:sz w:val="20"/>
          <w:szCs w:val="20"/>
        </w:rPr>
      </w:pPr>
      <w:r w:rsidRPr="00730C0D">
        <w:rPr>
          <w:rFonts w:ascii="Century Gothic" w:hAnsi="Century Gothic"/>
          <w:b/>
          <w:sz w:val="20"/>
          <w:szCs w:val="20"/>
        </w:rPr>
        <w:t>IHEA</w:t>
      </w:r>
      <w:r w:rsidRPr="00730C0D">
        <w:rPr>
          <w:rFonts w:ascii="Century Gothic" w:hAnsi="Century Gothic"/>
          <w:sz w:val="20"/>
          <w:szCs w:val="20"/>
        </w:rPr>
        <w:tab/>
        <w:t>Independent Higher Education Australia</w:t>
      </w:r>
      <w:r w:rsidR="00AA3315" w:rsidRPr="00730C0D">
        <w:rPr>
          <w:rFonts w:ascii="Century Gothic" w:hAnsi="Century Gothic"/>
          <w:sz w:val="20"/>
          <w:szCs w:val="20"/>
        </w:rPr>
        <w:t xml:space="preserve"> </w:t>
      </w:r>
      <w:r w:rsidR="00AA3315" w:rsidRPr="00730C0D">
        <w:rPr>
          <w:rFonts w:ascii="Century Gothic" w:hAnsi="Century Gothic"/>
          <w:sz w:val="20"/>
          <w:szCs w:val="20"/>
        </w:rPr>
        <w:br/>
        <w:t>(form</w:t>
      </w:r>
      <w:r w:rsidR="00F638DB" w:rsidRPr="00730C0D">
        <w:rPr>
          <w:rFonts w:ascii="Century Gothic" w:hAnsi="Century Gothic"/>
          <w:sz w:val="20"/>
          <w:szCs w:val="20"/>
        </w:rPr>
        <w:t>erly</w:t>
      </w:r>
      <w:r w:rsidR="00AA3315" w:rsidRPr="00730C0D">
        <w:rPr>
          <w:rFonts w:ascii="Century Gothic" w:hAnsi="Century Gothic"/>
          <w:sz w:val="20"/>
          <w:szCs w:val="20"/>
        </w:rPr>
        <w:t xml:space="preserve"> Council </w:t>
      </w:r>
      <w:r w:rsidR="00A57337" w:rsidRPr="00730C0D">
        <w:rPr>
          <w:rFonts w:ascii="Century Gothic" w:hAnsi="Century Gothic"/>
          <w:sz w:val="20"/>
          <w:szCs w:val="20"/>
        </w:rPr>
        <w:t>of</w:t>
      </w:r>
      <w:r w:rsidR="00AA3315" w:rsidRPr="00730C0D">
        <w:rPr>
          <w:rFonts w:ascii="Century Gothic" w:hAnsi="Century Gothic"/>
          <w:sz w:val="20"/>
          <w:szCs w:val="20"/>
        </w:rPr>
        <w:t xml:space="preserve"> Private Higher Education (COPHE))</w:t>
      </w:r>
    </w:p>
    <w:p w14:paraId="4D48739B" w14:textId="77777777" w:rsidR="00AA3315"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ITECA</w:t>
      </w:r>
      <w:r w:rsidRPr="00730C0D">
        <w:rPr>
          <w:rFonts w:ascii="Century Gothic" w:hAnsi="Century Gothic"/>
          <w:sz w:val="20"/>
          <w:szCs w:val="20"/>
        </w:rPr>
        <w:tab/>
      </w:r>
      <w:r w:rsidRPr="00730C0D">
        <w:rPr>
          <w:rFonts w:ascii="Century Gothic" w:hAnsi="Century Gothic"/>
          <w:sz w:val="20"/>
          <w:szCs w:val="20"/>
        </w:rPr>
        <w:tab/>
      </w:r>
      <w:r w:rsidRPr="00730C0D">
        <w:rPr>
          <w:rFonts w:ascii="Century Gothic" w:hAnsi="Century Gothic"/>
          <w:sz w:val="20"/>
          <w:szCs w:val="20"/>
        </w:rPr>
        <w:tab/>
        <w:t xml:space="preserve">Independent Tertiary Education Council Australia </w:t>
      </w:r>
    </w:p>
    <w:p w14:paraId="7757B81E" w14:textId="30E31C2C" w:rsidR="0014126D" w:rsidRPr="00730C0D" w:rsidRDefault="00F638DB" w:rsidP="003A178A">
      <w:pPr>
        <w:spacing w:before="0" w:after="0"/>
        <w:ind w:left="1440" w:right="-188" w:firstLine="720"/>
        <w:rPr>
          <w:rFonts w:ascii="Century Gothic" w:hAnsi="Century Gothic"/>
          <w:sz w:val="20"/>
          <w:szCs w:val="20"/>
        </w:rPr>
      </w:pPr>
      <w:r w:rsidRPr="00730C0D">
        <w:rPr>
          <w:rFonts w:ascii="Century Gothic" w:hAnsi="Century Gothic"/>
          <w:sz w:val="20"/>
          <w:szCs w:val="20"/>
        </w:rPr>
        <w:t>(formerly</w:t>
      </w:r>
      <w:r w:rsidR="00AA3315" w:rsidRPr="00730C0D">
        <w:rPr>
          <w:rFonts w:ascii="Century Gothic" w:hAnsi="Century Gothic"/>
          <w:sz w:val="20"/>
          <w:szCs w:val="20"/>
        </w:rPr>
        <w:t xml:space="preserve"> Australian Council for Pr</w:t>
      </w:r>
      <w:r w:rsidR="003A178A" w:rsidRPr="00730C0D">
        <w:rPr>
          <w:rFonts w:ascii="Century Gothic" w:hAnsi="Century Gothic"/>
          <w:sz w:val="20"/>
          <w:szCs w:val="20"/>
        </w:rPr>
        <w:t xml:space="preserve">ivate Education and Training </w:t>
      </w:r>
      <w:r w:rsidR="00AA3315" w:rsidRPr="00730C0D">
        <w:rPr>
          <w:rFonts w:ascii="Century Gothic" w:hAnsi="Century Gothic"/>
          <w:sz w:val="20"/>
          <w:szCs w:val="20"/>
        </w:rPr>
        <w:t>(ACPET))</w:t>
      </w:r>
    </w:p>
    <w:p w14:paraId="7B3F4BB5" w14:textId="44DE090E" w:rsidR="0014126D" w:rsidRPr="00730C0D" w:rsidRDefault="0014126D" w:rsidP="00D31B9A">
      <w:pPr>
        <w:spacing w:before="0" w:after="0"/>
        <w:rPr>
          <w:rFonts w:ascii="Century Gothic" w:hAnsi="Century Gothic"/>
          <w:i/>
          <w:sz w:val="20"/>
          <w:szCs w:val="20"/>
        </w:rPr>
      </w:pPr>
      <w:r w:rsidRPr="00730C0D">
        <w:rPr>
          <w:rFonts w:ascii="Century Gothic" w:hAnsi="Century Gothic"/>
          <w:b/>
          <w:sz w:val="20"/>
          <w:szCs w:val="20"/>
        </w:rPr>
        <w:t>National Protocols</w:t>
      </w:r>
      <w:r w:rsidRPr="00730C0D">
        <w:rPr>
          <w:rFonts w:ascii="Century Gothic" w:hAnsi="Century Gothic"/>
          <w:sz w:val="20"/>
          <w:szCs w:val="20"/>
        </w:rPr>
        <w:tab/>
      </w:r>
      <w:r w:rsidRPr="00730C0D">
        <w:rPr>
          <w:rFonts w:ascii="Century Gothic" w:hAnsi="Century Gothic"/>
          <w:i/>
          <w:sz w:val="20"/>
          <w:szCs w:val="20"/>
        </w:rPr>
        <w:t>National Protocols for Higher Education Approval Processes</w:t>
      </w:r>
    </w:p>
    <w:p w14:paraId="627822DA" w14:textId="2610FF79"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 xml:space="preserve">PCS </w:t>
      </w:r>
      <w:r w:rsidRPr="00730C0D">
        <w:rPr>
          <w:rFonts w:ascii="Century Gothic" w:hAnsi="Century Gothic"/>
          <w:sz w:val="20"/>
          <w:szCs w:val="20"/>
        </w:rPr>
        <w:tab/>
      </w:r>
      <w:r w:rsidRPr="00730C0D">
        <w:rPr>
          <w:rFonts w:ascii="Century Gothic" w:hAnsi="Century Gothic"/>
          <w:sz w:val="20"/>
          <w:szCs w:val="20"/>
        </w:rPr>
        <w:tab/>
      </w:r>
      <w:r w:rsidRPr="00730C0D">
        <w:rPr>
          <w:rFonts w:ascii="Century Gothic" w:hAnsi="Century Gothic"/>
          <w:sz w:val="20"/>
          <w:szCs w:val="20"/>
        </w:rPr>
        <w:tab/>
        <w:t>Higher Education Provider Category Standards</w:t>
      </w:r>
    </w:p>
    <w:p w14:paraId="75257F8C" w14:textId="0C2D6244" w:rsidR="00847A7F" w:rsidRPr="00730C0D" w:rsidRDefault="00847A7F" w:rsidP="00D31B9A">
      <w:pPr>
        <w:spacing w:before="0" w:after="0"/>
        <w:rPr>
          <w:rFonts w:ascii="Century Gothic" w:hAnsi="Century Gothic"/>
          <w:sz w:val="20"/>
          <w:szCs w:val="20"/>
        </w:rPr>
      </w:pPr>
      <w:r w:rsidRPr="00730C0D">
        <w:rPr>
          <w:rFonts w:ascii="Century Gothic" w:hAnsi="Century Gothic"/>
          <w:b/>
          <w:sz w:val="20"/>
          <w:szCs w:val="20"/>
        </w:rPr>
        <w:t>Provider</w:t>
      </w:r>
      <w:r w:rsidRPr="00730C0D">
        <w:rPr>
          <w:rFonts w:ascii="Century Gothic" w:hAnsi="Century Gothic"/>
          <w:sz w:val="20"/>
          <w:szCs w:val="20"/>
        </w:rPr>
        <w:tab/>
      </w:r>
      <w:r w:rsidRPr="00730C0D">
        <w:rPr>
          <w:rFonts w:ascii="Century Gothic" w:hAnsi="Century Gothic"/>
          <w:sz w:val="20"/>
          <w:szCs w:val="20"/>
        </w:rPr>
        <w:tab/>
        <w:t>Higher education provider</w:t>
      </w:r>
    </w:p>
    <w:p w14:paraId="35DDEA0D"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QILT</w:t>
      </w:r>
      <w:r w:rsidRPr="00730C0D">
        <w:rPr>
          <w:rFonts w:ascii="Century Gothic" w:hAnsi="Century Gothic"/>
          <w:sz w:val="20"/>
          <w:szCs w:val="20"/>
        </w:rPr>
        <w:tab/>
      </w:r>
      <w:r w:rsidRPr="00730C0D">
        <w:rPr>
          <w:rFonts w:ascii="Century Gothic" w:hAnsi="Century Gothic"/>
          <w:sz w:val="20"/>
          <w:szCs w:val="20"/>
        </w:rPr>
        <w:tab/>
      </w:r>
      <w:r w:rsidRPr="00730C0D">
        <w:rPr>
          <w:rFonts w:ascii="Century Gothic" w:hAnsi="Century Gothic"/>
          <w:sz w:val="20"/>
          <w:szCs w:val="20"/>
        </w:rPr>
        <w:tab/>
        <w:t xml:space="preserve">Quality Indicators for Learning and Teaching </w:t>
      </w:r>
    </w:p>
    <w:p w14:paraId="1D68BAEF"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 xml:space="preserve">SAA </w:t>
      </w:r>
      <w:r w:rsidRPr="00730C0D">
        <w:rPr>
          <w:rFonts w:ascii="Century Gothic" w:hAnsi="Century Gothic"/>
          <w:sz w:val="20"/>
          <w:szCs w:val="20"/>
        </w:rPr>
        <w:tab/>
      </w:r>
      <w:r w:rsidRPr="00730C0D">
        <w:rPr>
          <w:rFonts w:ascii="Century Gothic" w:hAnsi="Century Gothic"/>
          <w:sz w:val="20"/>
          <w:szCs w:val="20"/>
        </w:rPr>
        <w:tab/>
      </w:r>
      <w:r w:rsidRPr="00730C0D">
        <w:rPr>
          <w:rFonts w:ascii="Century Gothic" w:hAnsi="Century Gothic"/>
          <w:sz w:val="20"/>
          <w:szCs w:val="20"/>
        </w:rPr>
        <w:tab/>
        <w:t>Self-Accrediting Authority</w:t>
      </w:r>
    </w:p>
    <w:p w14:paraId="55D81DDE"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TAFE</w:t>
      </w:r>
      <w:r w:rsidRPr="00730C0D">
        <w:rPr>
          <w:rFonts w:ascii="Century Gothic" w:hAnsi="Century Gothic"/>
          <w:b/>
          <w:sz w:val="20"/>
          <w:szCs w:val="20"/>
        </w:rPr>
        <w:tab/>
      </w:r>
      <w:r w:rsidRPr="00730C0D">
        <w:rPr>
          <w:rFonts w:ascii="Century Gothic" w:hAnsi="Century Gothic"/>
          <w:sz w:val="20"/>
          <w:szCs w:val="20"/>
        </w:rPr>
        <w:tab/>
      </w:r>
      <w:r w:rsidRPr="00730C0D">
        <w:rPr>
          <w:rFonts w:ascii="Century Gothic" w:hAnsi="Century Gothic"/>
          <w:sz w:val="20"/>
          <w:szCs w:val="20"/>
        </w:rPr>
        <w:tab/>
        <w:t xml:space="preserve">Technical and Further Education </w:t>
      </w:r>
    </w:p>
    <w:p w14:paraId="5EFEAC95" w14:textId="798EDEE3" w:rsidR="0014126D" w:rsidRPr="00730C0D" w:rsidRDefault="0014126D" w:rsidP="00D31B9A">
      <w:pPr>
        <w:spacing w:before="0" w:after="0"/>
        <w:rPr>
          <w:rFonts w:ascii="Century Gothic" w:hAnsi="Century Gothic"/>
          <w:sz w:val="20"/>
          <w:szCs w:val="20"/>
        </w:rPr>
      </w:pPr>
      <w:r w:rsidRPr="00730C0D">
        <w:rPr>
          <w:rFonts w:ascii="Century Gothic" w:hAnsi="Century Gothic"/>
          <w:b/>
          <w:i/>
          <w:sz w:val="20"/>
          <w:szCs w:val="20"/>
        </w:rPr>
        <w:t>TEQSA Act</w:t>
      </w:r>
      <w:r w:rsidR="00592892" w:rsidRPr="00730C0D">
        <w:rPr>
          <w:rFonts w:ascii="Century Gothic" w:hAnsi="Century Gothic"/>
          <w:b/>
          <w:i/>
          <w:sz w:val="20"/>
          <w:szCs w:val="20"/>
        </w:rPr>
        <w:t xml:space="preserve"> 2011</w:t>
      </w:r>
      <w:r w:rsidRPr="00730C0D">
        <w:rPr>
          <w:rFonts w:ascii="Century Gothic" w:hAnsi="Century Gothic"/>
          <w:sz w:val="20"/>
          <w:szCs w:val="20"/>
        </w:rPr>
        <w:tab/>
      </w:r>
      <w:r w:rsidRPr="00730C0D">
        <w:rPr>
          <w:rFonts w:ascii="Century Gothic" w:hAnsi="Century Gothic"/>
          <w:i/>
          <w:sz w:val="20"/>
          <w:szCs w:val="20"/>
        </w:rPr>
        <w:t>Tertiary Education Quality and Standards Agency Act 2011</w:t>
      </w:r>
    </w:p>
    <w:p w14:paraId="6B2FAF49"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TEQSA</w:t>
      </w:r>
      <w:r w:rsidRPr="00730C0D">
        <w:rPr>
          <w:rFonts w:ascii="Century Gothic" w:hAnsi="Century Gothic"/>
          <w:b/>
          <w:sz w:val="20"/>
          <w:szCs w:val="20"/>
        </w:rPr>
        <w:tab/>
      </w:r>
      <w:r w:rsidRPr="00730C0D">
        <w:rPr>
          <w:rFonts w:ascii="Century Gothic" w:hAnsi="Century Gothic"/>
          <w:sz w:val="20"/>
          <w:szCs w:val="20"/>
        </w:rPr>
        <w:tab/>
      </w:r>
      <w:r w:rsidRPr="00730C0D">
        <w:rPr>
          <w:rFonts w:ascii="Century Gothic" w:hAnsi="Century Gothic"/>
          <w:sz w:val="20"/>
          <w:szCs w:val="20"/>
        </w:rPr>
        <w:tab/>
        <w:t>Tertiary Education Quality and Standards Agency</w:t>
      </w:r>
    </w:p>
    <w:p w14:paraId="1F647796" w14:textId="77777777" w:rsidR="0014126D" w:rsidRPr="00730C0D" w:rsidRDefault="0014126D" w:rsidP="00D31B9A">
      <w:pPr>
        <w:spacing w:before="0" w:after="0"/>
        <w:rPr>
          <w:rFonts w:ascii="Century Gothic" w:hAnsi="Century Gothic"/>
          <w:i/>
          <w:sz w:val="20"/>
          <w:szCs w:val="20"/>
        </w:rPr>
      </w:pPr>
      <w:r w:rsidRPr="00730C0D">
        <w:rPr>
          <w:rFonts w:ascii="Century Gothic" w:hAnsi="Century Gothic"/>
          <w:b/>
          <w:sz w:val="20"/>
          <w:szCs w:val="20"/>
        </w:rPr>
        <w:t>Threshold Standards</w:t>
      </w:r>
      <w:r w:rsidRPr="00730C0D">
        <w:rPr>
          <w:rFonts w:ascii="Century Gothic" w:hAnsi="Century Gothic"/>
          <w:b/>
          <w:sz w:val="20"/>
          <w:szCs w:val="20"/>
        </w:rPr>
        <w:tab/>
      </w:r>
      <w:r w:rsidRPr="00730C0D">
        <w:rPr>
          <w:rFonts w:ascii="Century Gothic" w:hAnsi="Century Gothic"/>
          <w:i/>
          <w:sz w:val="20"/>
          <w:szCs w:val="20"/>
        </w:rPr>
        <w:t>Higher Education Standards Framework (Threshold Standards) 2015</w:t>
      </w:r>
    </w:p>
    <w:p w14:paraId="6C4C76E7"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b/>
          <w:sz w:val="20"/>
          <w:szCs w:val="20"/>
        </w:rPr>
        <w:t>VET</w:t>
      </w:r>
      <w:r w:rsidRPr="00730C0D">
        <w:rPr>
          <w:rFonts w:ascii="Century Gothic" w:hAnsi="Century Gothic"/>
          <w:b/>
          <w:sz w:val="20"/>
          <w:szCs w:val="20"/>
        </w:rPr>
        <w:tab/>
      </w:r>
      <w:r w:rsidRPr="00730C0D">
        <w:rPr>
          <w:rFonts w:ascii="Century Gothic" w:hAnsi="Century Gothic"/>
          <w:sz w:val="20"/>
          <w:szCs w:val="20"/>
        </w:rPr>
        <w:tab/>
      </w:r>
      <w:r w:rsidRPr="00730C0D">
        <w:rPr>
          <w:rFonts w:ascii="Century Gothic" w:hAnsi="Century Gothic"/>
          <w:sz w:val="20"/>
          <w:szCs w:val="20"/>
        </w:rPr>
        <w:tab/>
        <w:t>Vocational Education and Training</w:t>
      </w:r>
    </w:p>
    <w:p w14:paraId="4C7A6BB6" w14:textId="2C332293" w:rsidR="000D5028" w:rsidRPr="00730C0D" w:rsidRDefault="0014126D" w:rsidP="004978DA">
      <w:pPr>
        <w:pStyle w:val="TOCHeading"/>
        <w:rPr>
          <w:sz w:val="46"/>
        </w:rPr>
      </w:pPr>
      <w:r w:rsidRPr="00730C0D">
        <w:br w:type="page"/>
      </w:r>
      <w:bookmarkStart w:id="4" w:name="_Toc18592307"/>
      <w:r w:rsidR="00302912" w:rsidRPr="00730C0D">
        <w:rPr>
          <w:noProof/>
          <w:sz w:val="46"/>
          <w:lang w:eastAsia="en-AU"/>
        </w:rPr>
        <mc:AlternateContent>
          <mc:Choice Requires="wps">
            <w:drawing>
              <wp:anchor distT="0" distB="0" distL="114300" distR="114300" simplePos="0" relativeHeight="251671552" behindDoc="0" locked="0" layoutInCell="1" allowOverlap="1" wp14:anchorId="7BC1AC14" wp14:editId="295B22CA">
                <wp:simplePos x="0" y="0"/>
                <wp:positionH relativeFrom="column">
                  <wp:posOffset>1419</wp:posOffset>
                </wp:positionH>
                <wp:positionV relativeFrom="paragraph">
                  <wp:posOffset>428625</wp:posOffset>
                </wp:positionV>
                <wp:extent cx="7143750" cy="0"/>
                <wp:effectExtent l="0" t="0" r="19050" b="19050"/>
                <wp:wrapNone/>
                <wp:docPr id="31" name="Straight Connector 31"/>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534B2" id="Straight Connector 3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3.75pt" to="562.6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" strokecolor="black [3213]" strokeweight=".5pt">
                <v:stroke joinstyle="miter"/>
              </v:line>
            </w:pict>
          </mc:Fallback>
        </mc:AlternateContent>
      </w:r>
      <w:r w:rsidR="000D5028" w:rsidRPr="00730C0D">
        <w:rPr>
          <w:sz w:val="46"/>
        </w:rPr>
        <w:t>List of Tables and Figures</w:t>
      </w:r>
      <w:bookmarkEnd w:id="4"/>
      <w:r w:rsidR="000D5028" w:rsidRPr="00730C0D">
        <w:rPr>
          <w:sz w:val="46"/>
        </w:rPr>
        <w:t xml:space="preserve"> </w:t>
      </w:r>
    </w:p>
    <w:p w14:paraId="0F82FF42" w14:textId="429A1562" w:rsidR="000D5028" w:rsidRPr="00730C0D" w:rsidRDefault="000D5028" w:rsidP="007F0836">
      <w:pPr>
        <w:spacing w:before="0" w:after="0"/>
        <w:jc w:val="both"/>
        <w:rPr>
          <w:rFonts w:ascii="Century Gothic" w:hAnsi="Century Gothic"/>
          <w:b/>
          <w:color w:val="2763AC"/>
          <w:sz w:val="20"/>
          <w:szCs w:val="20"/>
        </w:rPr>
      </w:pPr>
    </w:p>
    <w:p w14:paraId="68FB2356" w14:textId="77777777" w:rsidR="003A178A" w:rsidRPr="00730C0D" w:rsidRDefault="003A178A" w:rsidP="00AA1700">
      <w:pPr>
        <w:spacing w:before="0" w:after="0"/>
        <w:rPr>
          <w:rFonts w:ascii="Century Gothic" w:hAnsi="Century Gothic"/>
          <w:b/>
          <w:color w:val="2763AC"/>
          <w:sz w:val="20"/>
          <w:szCs w:val="20"/>
        </w:rPr>
      </w:pPr>
    </w:p>
    <w:p w14:paraId="7E9233ED" w14:textId="0884C80C" w:rsidR="00D74FAC" w:rsidRPr="00730C0D" w:rsidRDefault="000D5028" w:rsidP="00AA1700">
      <w:pPr>
        <w:spacing w:before="0" w:after="0"/>
        <w:rPr>
          <w:rFonts w:ascii="Century Gothic" w:hAnsi="Century Gothic"/>
          <w:b/>
          <w:color w:val="2763AC"/>
          <w:sz w:val="28"/>
          <w:szCs w:val="28"/>
        </w:rPr>
      </w:pPr>
      <w:r w:rsidRPr="00730C0D">
        <w:rPr>
          <w:rFonts w:ascii="Century Gothic" w:hAnsi="Century Gothic"/>
          <w:b/>
          <w:color w:val="2763AC"/>
          <w:sz w:val="28"/>
          <w:szCs w:val="28"/>
        </w:rPr>
        <w:t>Figures</w:t>
      </w:r>
      <w:r w:rsidR="00AA1700" w:rsidRPr="00730C0D">
        <w:rPr>
          <w:rFonts w:ascii="Century Gothic" w:hAnsi="Century Gothic"/>
          <w:b/>
          <w:color w:val="2763AC"/>
          <w:sz w:val="28"/>
          <w:szCs w:val="28"/>
        </w:rPr>
        <w:t xml:space="preserve"> </w:t>
      </w:r>
    </w:p>
    <w:p w14:paraId="0E877A06" w14:textId="3F4DCB9E" w:rsidR="004C764F" w:rsidRPr="00C93260" w:rsidRDefault="00D530DA" w:rsidP="004C764F">
      <w:pPr>
        <w:pStyle w:val="TableofFigures"/>
        <w:tabs>
          <w:tab w:val="right" w:pos="9016"/>
        </w:tabs>
        <w:spacing w:before="60" w:line="240" w:lineRule="auto"/>
        <w:rPr>
          <w:rFonts w:eastAsiaTheme="minorEastAsia"/>
          <w:noProof/>
          <w:sz w:val="20"/>
          <w:szCs w:val="20"/>
          <w:lang w:eastAsia="en-AU"/>
        </w:rPr>
      </w:pPr>
      <w:r w:rsidRPr="00730C0D">
        <w:rPr>
          <w:rFonts w:ascii="Century Gothic" w:hAnsi="Century Gothic"/>
          <w:sz w:val="20"/>
          <w:szCs w:val="20"/>
        </w:rPr>
        <w:fldChar w:fldCharType="begin"/>
      </w:r>
      <w:r w:rsidRPr="00730C0D">
        <w:rPr>
          <w:rFonts w:ascii="Century Gothic" w:hAnsi="Century Gothic"/>
          <w:sz w:val="20"/>
          <w:szCs w:val="20"/>
        </w:rPr>
        <w:instrText xml:space="preserve"> TOC \h \z \c "Figure" </w:instrText>
      </w:r>
      <w:r w:rsidRPr="00730C0D">
        <w:rPr>
          <w:rFonts w:ascii="Century Gothic" w:hAnsi="Century Gothic"/>
          <w:sz w:val="20"/>
          <w:szCs w:val="20"/>
        </w:rPr>
        <w:fldChar w:fldCharType="separate"/>
      </w:r>
      <w:hyperlink w:anchor="_Toc18496164" w:history="1">
        <w:r w:rsidR="004C764F" w:rsidRPr="00C93260">
          <w:rPr>
            <w:rStyle w:val="Hyperlink"/>
            <w:rFonts w:ascii="Century Gothic" w:hAnsi="Century Gothic"/>
            <w:b/>
            <w:noProof/>
            <w:sz w:val="20"/>
            <w:szCs w:val="20"/>
          </w:rPr>
          <w:t xml:space="preserve">Figure 1.1:    </w:t>
        </w:r>
        <w:r w:rsidR="004C764F" w:rsidRPr="00C93260">
          <w:rPr>
            <w:rStyle w:val="Hyperlink"/>
            <w:rFonts w:ascii="Century Gothic" w:hAnsi="Century Gothic"/>
            <w:noProof/>
            <w:sz w:val="20"/>
            <w:szCs w:val="20"/>
          </w:rPr>
          <w:t>Functions of the PCS</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_Toc18496164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4</w:t>
        </w:r>
        <w:r w:rsidR="004C764F" w:rsidRPr="00C93260">
          <w:rPr>
            <w:b/>
            <w:noProof/>
            <w:webHidden/>
            <w:sz w:val="20"/>
            <w:szCs w:val="20"/>
          </w:rPr>
          <w:fldChar w:fldCharType="end"/>
        </w:r>
      </w:hyperlink>
    </w:p>
    <w:p w14:paraId="7E61043A" w14:textId="788CA408" w:rsidR="004C764F" w:rsidRPr="00C93260" w:rsidRDefault="00DB40B2" w:rsidP="004C764F">
      <w:pPr>
        <w:pStyle w:val="TableofFigures"/>
        <w:tabs>
          <w:tab w:val="right" w:pos="9016"/>
        </w:tabs>
        <w:spacing w:before="60" w:line="240" w:lineRule="auto"/>
        <w:rPr>
          <w:rFonts w:eastAsiaTheme="minorEastAsia"/>
          <w:noProof/>
          <w:sz w:val="20"/>
          <w:szCs w:val="20"/>
          <w:lang w:eastAsia="en-AU"/>
        </w:rPr>
      </w:pPr>
      <w:hyperlink w:anchor="_Toc18496165" w:history="1">
        <w:r w:rsidR="004C764F" w:rsidRPr="00C93260">
          <w:rPr>
            <w:rStyle w:val="Hyperlink"/>
            <w:rFonts w:ascii="Century Gothic" w:hAnsi="Century Gothic"/>
            <w:b/>
            <w:noProof/>
            <w:sz w:val="20"/>
            <w:szCs w:val="20"/>
          </w:rPr>
          <w:t xml:space="preserve">Figure 1.2:    </w:t>
        </w:r>
        <w:r w:rsidR="004C764F" w:rsidRPr="00C93260">
          <w:rPr>
            <w:rStyle w:val="Hyperlink"/>
            <w:rFonts w:ascii="Century Gothic" w:hAnsi="Century Gothic"/>
            <w:noProof/>
            <w:sz w:val="20"/>
            <w:szCs w:val="20"/>
          </w:rPr>
          <w:t>Student Numbers by Provider Type</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_Toc18496165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9</w:t>
        </w:r>
        <w:r w:rsidR="004C764F" w:rsidRPr="00C93260">
          <w:rPr>
            <w:b/>
            <w:noProof/>
            <w:webHidden/>
            <w:sz w:val="20"/>
            <w:szCs w:val="20"/>
          </w:rPr>
          <w:fldChar w:fldCharType="end"/>
        </w:r>
      </w:hyperlink>
    </w:p>
    <w:p w14:paraId="6AEC3348" w14:textId="60C8404D" w:rsidR="004C764F" w:rsidRPr="00C93260" w:rsidRDefault="00DB40B2" w:rsidP="004C764F">
      <w:pPr>
        <w:pStyle w:val="TableofFigures"/>
        <w:tabs>
          <w:tab w:val="right" w:pos="9016"/>
        </w:tabs>
        <w:spacing w:before="60" w:line="240" w:lineRule="auto"/>
        <w:rPr>
          <w:rFonts w:eastAsiaTheme="minorEastAsia"/>
          <w:noProof/>
          <w:sz w:val="20"/>
          <w:szCs w:val="20"/>
          <w:lang w:eastAsia="en-AU"/>
        </w:rPr>
      </w:pPr>
      <w:hyperlink w:anchor="_Toc18496166" w:history="1">
        <w:r w:rsidR="004C764F" w:rsidRPr="00C93260">
          <w:rPr>
            <w:rStyle w:val="Hyperlink"/>
            <w:rFonts w:ascii="Century Gothic" w:hAnsi="Century Gothic"/>
            <w:b/>
            <w:noProof/>
            <w:sz w:val="20"/>
            <w:szCs w:val="20"/>
          </w:rPr>
          <w:t>Figure 3.1:</w:t>
        </w:r>
        <w:r w:rsidR="004C764F" w:rsidRPr="00C93260">
          <w:rPr>
            <w:rStyle w:val="Hyperlink"/>
            <w:rFonts w:ascii="Century Gothic" w:hAnsi="Century Gothic"/>
            <w:noProof/>
            <w:sz w:val="20"/>
            <w:szCs w:val="20"/>
          </w:rPr>
          <w:t xml:space="preserve">    Overview of Proposed PCS Categories</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_Toc18496166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48</w:t>
        </w:r>
        <w:r w:rsidR="004C764F" w:rsidRPr="00C93260">
          <w:rPr>
            <w:b/>
            <w:noProof/>
            <w:webHidden/>
            <w:sz w:val="20"/>
            <w:szCs w:val="20"/>
          </w:rPr>
          <w:fldChar w:fldCharType="end"/>
        </w:r>
      </w:hyperlink>
    </w:p>
    <w:p w14:paraId="07C52105" w14:textId="19A949F8" w:rsidR="00196E7B" w:rsidRPr="00730C0D" w:rsidRDefault="00D530DA" w:rsidP="00200C05">
      <w:pPr>
        <w:spacing w:before="0" w:after="0"/>
        <w:rPr>
          <w:rFonts w:ascii="Century Gothic" w:hAnsi="Century Gothic"/>
          <w:sz w:val="20"/>
          <w:szCs w:val="20"/>
        </w:rPr>
      </w:pPr>
      <w:r w:rsidRPr="00730C0D">
        <w:rPr>
          <w:rFonts w:ascii="Century Gothic" w:hAnsi="Century Gothic"/>
          <w:sz w:val="20"/>
          <w:szCs w:val="20"/>
        </w:rPr>
        <w:fldChar w:fldCharType="end"/>
      </w:r>
    </w:p>
    <w:p w14:paraId="5EE07338" w14:textId="6BFDBC16" w:rsidR="00AA1700" w:rsidRPr="00730C0D" w:rsidRDefault="00AA1700" w:rsidP="00200C05">
      <w:pPr>
        <w:spacing w:before="0" w:after="0"/>
        <w:rPr>
          <w:rFonts w:ascii="Century Gothic" w:hAnsi="Century Gothic"/>
          <w:b/>
          <w:color w:val="2763AC"/>
          <w:sz w:val="28"/>
          <w:szCs w:val="28"/>
        </w:rPr>
      </w:pPr>
      <w:r w:rsidRPr="00730C0D">
        <w:rPr>
          <w:rFonts w:ascii="Century Gothic" w:hAnsi="Century Gothic"/>
          <w:b/>
          <w:color w:val="2763AC"/>
          <w:sz w:val="28"/>
          <w:szCs w:val="28"/>
        </w:rPr>
        <w:t xml:space="preserve">Tables </w:t>
      </w:r>
    </w:p>
    <w:p w14:paraId="098B84A5" w14:textId="2905B3C6" w:rsidR="004C764F" w:rsidRPr="00C93260" w:rsidRDefault="00196E7B" w:rsidP="004C764F">
      <w:pPr>
        <w:pStyle w:val="TableofFigures"/>
        <w:tabs>
          <w:tab w:val="right" w:pos="9016"/>
        </w:tabs>
        <w:spacing w:before="60" w:line="240" w:lineRule="auto"/>
        <w:rPr>
          <w:rFonts w:eastAsiaTheme="minorEastAsia"/>
          <w:noProof/>
          <w:sz w:val="20"/>
          <w:szCs w:val="20"/>
          <w:lang w:eastAsia="en-AU"/>
        </w:rPr>
      </w:pPr>
      <w:r w:rsidRPr="00730C0D">
        <w:rPr>
          <w:rFonts w:ascii="Century Gothic" w:hAnsi="Century Gothic"/>
          <w:sz w:val="20"/>
          <w:szCs w:val="20"/>
        </w:rPr>
        <w:fldChar w:fldCharType="begin"/>
      </w:r>
      <w:r w:rsidRPr="00730C0D">
        <w:rPr>
          <w:rFonts w:ascii="Century Gothic" w:hAnsi="Century Gothic"/>
          <w:sz w:val="20"/>
          <w:szCs w:val="20"/>
        </w:rPr>
        <w:instrText xml:space="preserve"> TOC \h \z \c "Table" </w:instrText>
      </w:r>
      <w:r w:rsidRPr="00730C0D">
        <w:rPr>
          <w:rFonts w:ascii="Century Gothic" w:hAnsi="Century Gothic"/>
          <w:sz w:val="20"/>
          <w:szCs w:val="20"/>
        </w:rPr>
        <w:fldChar w:fldCharType="separate"/>
      </w:r>
      <w:hyperlink w:anchor="_Toc18496078" w:history="1">
        <w:r w:rsidR="004C764F" w:rsidRPr="00C93260">
          <w:rPr>
            <w:rStyle w:val="Hyperlink"/>
            <w:rFonts w:ascii="Century Gothic" w:hAnsi="Century Gothic"/>
            <w:b/>
            <w:noProof/>
            <w:sz w:val="20"/>
            <w:szCs w:val="20"/>
          </w:rPr>
          <w:t xml:space="preserve">Table 1.1: </w:t>
        </w:r>
        <w:r w:rsidR="004C764F" w:rsidRPr="00C93260">
          <w:rPr>
            <w:rStyle w:val="Hyperlink"/>
            <w:rFonts w:ascii="Century Gothic" w:hAnsi="Century Gothic"/>
            <w:noProof/>
            <w:sz w:val="20"/>
            <w:szCs w:val="20"/>
          </w:rPr>
          <w:t xml:space="preserve">   Current PCS Category Descriptions</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_Toc18496078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5</w:t>
        </w:r>
        <w:r w:rsidR="004C764F" w:rsidRPr="00C93260">
          <w:rPr>
            <w:b/>
            <w:noProof/>
            <w:webHidden/>
            <w:sz w:val="20"/>
            <w:szCs w:val="20"/>
          </w:rPr>
          <w:fldChar w:fldCharType="end"/>
        </w:r>
      </w:hyperlink>
    </w:p>
    <w:p w14:paraId="486C6DA1" w14:textId="4123716E" w:rsidR="004C764F" w:rsidRPr="00C93260" w:rsidRDefault="00DB40B2" w:rsidP="004C764F">
      <w:pPr>
        <w:pStyle w:val="TableofFigures"/>
        <w:tabs>
          <w:tab w:val="right" w:pos="9016"/>
        </w:tabs>
        <w:spacing w:before="60"/>
        <w:rPr>
          <w:rFonts w:eastAsiaTheme="minorEastAsia"/>
          <w:noProof/>
          <w:sz w:val="20"/>
          <w:szCs w:val="20"/>
          <w:lang w:eastAsia="en-AU"/>
        </w:rPr>
      </w:pPr>
      <w:hyperlink w:anchor="_Toc18496079" w:history="1">
        <w:r w:rsidR="004C764F" w:rsidRPr="00C93260">
          <w:rPr>
            <w:rStyle w:val="Hyperlink"/>
            <w:rFonts w:ascii="Century Gothic" w:hAnsi="Century Gothic"/>
            <w:b/>
            <w:noProof/>
            <w:sz w:val="20"/>
            <w:szCs w:val="20"/>
          </w:rPr>
          <w:t xml:space="preserve">Table 1.2:    </w:t>
        </w:r>
        <w:r w:rsidR="004C764F" w:rsidRPr="00C93260">
          <w:rPr>
            <w:rStyle w:val="Hyperlink"/>
            <w:rFonts w:ascii="Century Gothic" w:hAnsi="Century Gothic"/>
            <w:noProof/>
            <w:sz w:val="20"/>
            <w:szCs w:val="20"/>
          </w:rPr>
          <w:t>Higher Education Providers by PCS Category</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_Toc18496079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6</w:t>
        </w:r>
        <w:r w:rsidR="004C764F" w:rsidRPr="00C93260">
          <w:rPr>
            <w:b/>
            <w:noProof/>
            <w:webHidden/>
            <w:sz w:val="20"/>
            <w:szCs w:val="20"/>
          </w:rPr>
          <w:fldChar w:fldCharType="end"/>
        </w:r>
      </w:hyperlink>
    </w:p>
    <w:p w14:paraId="02B6A278" w14:textId="6ABB4649" w:rsidR="004C764F" w:rsidRPr="00C93260" w:rsidRDefault="00DB40B2" w:rsidP="004C764F">
      <w:pPr>
        <w:pStyle w:val="TableofFigures"/>
        <w:tabs>
          <w:tab w:val="right" w:pos="9016"/>
        </w:tabs>
        <w:spacing w:before="60"/>
        <w:rPr>
          <w:rFonts w:eastAsiaTheme="minorEastAsia"/>
          <w:noProof/>
          <w:sz w:val="20"/>
          <w:szCs w:val="20"/>
          <w:lang w:eastAsia="en-AU"/>
        </w:rPr>
      </w:pPr>
      <w:hyperlink w:anchor="_Toc18496080" w:history="1">
        <w:r w:rsidR="004C764F" w:rsidRPr="00C93260">
          <w:rPr>
            <w:rStyle w:val="Hyperlink"/>
            <w:rFonts w:ascii="Century Gothic" w:hAnsi="Century Gothic"/>
            <w:b/>
            <w:noProof/>
            <w:sz w:val="20"/>
            <w:szCs w:val="20"/>
          </w:rPr>
          <w:t xml:space="preserve">Table 1.3:    </w:t>
        </w:r>
        <w:r w:rsidR="004C764F" w:rsidRPr="00C93260">
          <w:rPr>
            <w:rStyle w:val="Hyperlink"/>
            <w:rFonts w:ascii="Century Gothic" w:hAnsi="Century Gothic"/>
            <w:noProof/>
            <w:sz w:val="20"/>
            <w:szCs w:val="20"/>
          </w:rPr>
          <w:t>Provider Access to Funding under HESA</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_Toc18496080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8</w:t>
        </w:r>
        <w:r w:rsidR="004C764F" w:rsidRPr="00C93260">
          <w:rPr>
            <w:b/>
            <w:noProof/>
            <w:webHidden/>
            <w:sz w:val="20"/>
            <w:szCs w:val="20"/>
          </w:rPr>
          <w:fldChar w:fldCharType="end"/>
        </w:r>
      </w:hyperlink>
    </w:p>
    <w:p w14:paraId="33837511" w14:textId="46729C13" w:rsidR="004C764F" w:rsidRPr="00C93260" w:rsidRDefault="00DB40B2" w:rsidP="004C764F">
      <w:pPr>
        <w:pStyle w:val="TableofFigures"/>
        <w:tabs>
          <w:tab w:val="right" w:pos="9016"/>
        </w:tabs>
        <w:spacing w:before="60"/>
        <w:ind w:left="993" w:hanging="993"/>
        <w:rPr>
          <w:rFonts w:eastAsiaTheme="minorEastAsia"/>
          <w:noProof/>
          <w:sz w:val="20"/>
          <w:szCs w:val="20"/>
          <w:lang w:eastAsia="en-AU"/>
        </w:rPr>
      </w:pPr>
      <w:hyperlink w:anchor="_Toc18496081" w:history="1">
        <w:r w:rsidR="004C764F" w:rsidRPr="00C93260">
          <w:rPr>
            <w:rStyle w:val="Hyperlink"/>
            <w:rFonts w:ascii="Century Gothic" w:hAnsi="Century Gothic"/>
            <w:b/>
            <w:noProof/>
            <w:sz w:val="20"/>
            <w:szCs w:val="20"/>
          </w:rPr>
          <w:t xml:space="preserve">Table 2.1:    </w:t>
        </w:r>
        <w:r w:rsidR="004C764F" w:rsidRPr="00C93260">
          <w:rPr>
            <w:rStyle w:val="Hyperlink"/>
            <w:rFonts w:ascii="Century Gothic" w:hAnsi="Century Gothic"/>
            <w:noProof/>
            <w:sz w:val="20"/>
            <w:szCs w:val="20"/>
          </w:rPr>
          <w:t xml:space="preserve">Interaction between ASCED Fields of Education </w:t>
        </w:r>
        <w:r w:rsidR="004C764F" w:rsidRPr="00C93260">
          <w:rPr>
            <w:rStyle w:val="Hyperlink"/>
            <w:rFonts w:ascii="Century Gothic" w:hAnsi="Century Gothic"/>
            <w:noProof/>
            <w:sz w:val="20"/>
            <w:szCs w:val="20"/>
          </w:rPr>
          <w:br/>
          <w:t xml:space="preserve">    and ANZSRC Divisions of Research</w:t>
        </w:r>
        <w:r w:rsidR="004C764F" w:rsidRPr="00C93260">
          <w:rPr>
            <w:noProof/>
            <w:webHidden/>
            <w:sz w:val="20"/>
            <w:szCs w:val="20"/>
          </w:rPr>
          <w:tab/>
        </w:r>
        <w:r w:rsidR="004C764F" w:rsidRPr="00C93260">
          <w:rPr>
            <w:b/>
            <w:noProof/>
            <w:webHidden/>
            <w:sz w:val="20"/>
            <w:szCs w:val="20"/>
          </w:rPr>
          <w:fldChar w:fldCharType="begin"/>
        </w:r>
        <w:r w:rsidR="004C764F" w:rsidRPr="00C93260">
          <w:rPr>
            <w:b/>
            <w:noProof/>
            <w:webHidden/>
            <w:sz w:val="20"/>
            <w:szCs w:val="20"/>
          </w:rPr>
          <w:instrText xml:space="preserve"> PAGEREF _Toc18496081 \h </w:instrText>
        </w:r>
        <w:r w:rsidR="004C764F" w:rsidRPr="00C93260">
          <w:rPr>
            <w:b/>
            <w:noProof/>
            <w:webHidden/>
            <w:sz w:val="20"/>
            <w:szCs w:val="20"/>
          </w:rPr>
        </w:r>
        <w:r w:rsidR="004C764F" w:rsidRPr="00C93260">
          <w:rPr>
            <w:b/>
            <w:noProof/>
            <w:webHidden/>
            <w:sz w:val="20"/>
            <w:szCs w:val="20"/>
          </w:rPr>
          <w:fldChar w:fldCharType="separate"/>
        </w:r>
        <w:r w:rsidR="00F732D2">
          <w:rPr>
            <w:b/>
            <w:noProof/>
            <w:webHidden/>
            <w:sz w:val="20"/>
            <w:szCs w:val="20"/>
          </w:rPr>
          <w:t>37</w:t>
        </w:r>
        <w:r w:rsidR="004C764F" w:rsidRPr="00C93260">
          <w:rPr>
            <w:b/>
            <w:noProof/>
            <w:webHidden/>
            <w:sz w:val="20"/>
            <w:szCs w:val="20"/>
          </w:rPr>
          <w:fldChar w:fldCharType="end"/>
        </w:r>
      </w:hyperlink>
    </w:p>
    <w:p w14:paraId="06DADAD4" w14:textId="0A696D1C" w:rsidR="008E5A4A" w:rsidRDefault="00196E7B" w:rsidP="008E5A4A">
      <w:pPr>
        <w:spacing w:before="0" w:after="0"/>
        <w:rPr>
          <w:rFonts w:ascii="Century Gothic" w:hAnsi="Century Gothic"/>
          <w:sz w:val="20"/>
          <w:szCs w:val="20"/>
        </w:rPr>
      </w:pPr>
      <w:r w:rsidRPr="00730C0D">
        <w:rPr>
          <w:rFonts w:ascii="Century Gothic" w:hAnsi="Century Gothic"/>
          <w:sz w:val="20"/>
          <w:szCs w:val="20"/>
        </w:rPr>
        <w:fldChar w:fldCharType="end"/>
      </w:r>
      <w:r w:rsidR="000D5028" w:rsidRPr="00730C0D">
        <w:rPr>
          <w:rFonts w:ascii="Century Gothic" w:hAnsi="Century Gothic"/>
          <w:sz w:val="20"/>
          <w:szCs w:val="20"/>
        </w:rPr>
        <w:br w:type="page"/>
      </w:r>
      <w:r w:rsidR="008E5A4A" w:rsidRPr="008E5A4A">
        <w:rPr>
          <w:rFonts w:ascii="Century Gothic" w:hAnsi="Century Gothic"/>
          <w:sz w:val="20"/>
          <w:szCs w:val="20"/>
        </w:rPr>
        <w:t xml:space="preserve">The Hon Dan Tehan MP </w:t>
      </w:r>
    </w:p>
    <w:p w14:paraId="3002CCBA"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Minister for Education</w:t>
      </w:r>
    </w:p>
    <w:p w14:paraId="6EB0E1FB"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Parliament House </w:t>
      </w:r>
    </w:p>
    <w:p w14:paraId="48EEFB28"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Canberra, ACT 2600 </w:t>
      </w:r>
    </w:p>
    <w:p w14:paraId="7DCAC305" w14:textId="77777777" w:rsidR="008E5A4A" w:rsidRDefault="008E5A4A" w:rsidP="008E5A4A">
      <w:pPr>
        <w:spacing w:before="0" w:after="0"/>
        <w:rPr>
          <w:rFonts w:ascii="Century Gothic" w:hAnsi="Century Gothic"/>
          <w:sz w:val="20"/>
          <w:szCs w:val="20"/>
        </w:rPr>
      </w:pPr>
    </w:p>
    <w:p w14:paraId="710D3A16" w14:textId="4EECA95D" w:rsidR="008E5A4A" w:rsidRDefault="000B5B94" w:rsidP="008E5A4A">
      <w:pPr>
        <w:spacing w:before="0" w:after="0"/>
        <w:rPr>
          <w:rFonts w:ascii="Century Gothic" w:hAnsi="Century Gothic"/>
          <w:sz w:val="20"/>
          <w:szCs w:val="20"/>
        </w:rPr>
      </w:pPr>
      <w:r>
        <w:rPr>
          <w:rFonts w:ascii="Century Gothic" w:hAnsi="Century Gothic"/>
          <w:sz w:val="20"/>
          <w:szCs w:val="20"/>
        </w:rPr>
        <w:t>10</w:t>
      </w:r>
      <w:r w:rsidR="008E5A4A" w:rsidRPr="008E5A4A">
        <w:rPr>
          <w:rFonts w:ascii="Century Gothic" w:hAnsi="Century Gothic"/>
          <w:sz w:val="20"/>
          <w:szCs w:val="20"/>
        </w:rPr>
        <w:t xml:space="preserve"> September 2019 </w:t>
      </w:r>
    </w:p>
    <w:p w14:paraId="738C769D" w14:textId="77777777" w:rsidR="008E5A4A" w:rsidRDefault="008E5A4A" w:rsidP="008E5A4A">
      <w:pPr>
        <w:spacing w:before="0" w:after="0"/>
        <w:rPr>
          <w:rFonts w:ascii="Century Gothic" w:hAnsi="Century Gothic"/>
          <w:sz w:val="20"/>
          <w:szCs w:val="20"/>
        </w:rPr>
      </w:pPr>
    </w:p>
    <w:p w14:paraId="118AB1F9" w14:textId="77777777" w:rsidR="008E5A4A" w:rsidRDefault="008E5A4A" w:rsidP="008E5A4A">
      <w:pPr>
        <w:spacing w:before="0" w:after="0"/>
        <w:rPr>
          <w:rFonts w:ascii="Century Gothic" w:hAnsi="Century Gothic"/>
          <w:sz w:val="20"/>
          <w:szCs w:val="20"/>
        </w:rPr>
      </w:pPr>
    </w:p>
    <w:p w14:paraId="7E45EB72" w14:textId="77777777" w:rsidR="008E5A4A" w:rsidRDefault="008E5A4A" w:rsidP="008E5A4A">
      <w:pPr>
        <w:spacing w:before="0" w:after="0"/>
        <w:rPr>
          <w:rFonts w:ascii="Century Gothic" w:hAnsi="Century Gothic"/>
          <w:sz w:val="20"/>
          <w:szCs w:val="20"/>
        </w:rPr>
      </w:pPr>
    </w:p>
    <w:p w14:paraId="0EA3731F"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Dear Minister </w:t>
      </w:r>
    </w:p>
    <w:p w14:paraId="277E69A9" w14:textId="77777777" w:rsidR="008E5A4A" w:rsidRDefault="008E5A4A" w:rsidP="008E5A4A">
      <w:pPr>
        <w:spacing w:before="0" w:after="0"/>
        <w:rPr>
          <w:rFonts w:ascii="Century Gothic" w:hAnsi="Century Gothic"/>
          <w:sz w:val="20"/>
          <w:szCs w:val="20"/>
        </w:rPr>
      </w:pPr>
    </w:p>
    <w:p w14:paraId="5596F660"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In October 2018, you announced my appointment to undertake the </w:t>
      </w:r>
      <w:r w:rsidRPr="008E5A4A">
        <w:rPr>
          <w:rFonts w:ascii="Century Gothic" w:hAnsi="Century Gothic"/>
          <w:b/>
          <w:bCs/>
          <w:sz w:val="20"/>
          <w:szCs w:val="20"/>
        </w:rPr>
        <w:t xml:space="preserve">Review of the Higher Education Provider Category Standards </w:t>
      </w:r>
      <w:r w:rsidRPr="008E5A4A">
        <w:rPr>
          <w:rFonts w:ascii="Century Gothic" w:hAnsi="Century Gothic"/>
          <w:sz w:val="20"/>
          <w:szCs w:val="20"/>
        </w:rPr>
        <w:t xml:space="preserve">(PCS) to ensure they are fit for purpose against Australia’s changing higher education landscape, comparable to international benchmarks, and accommodating to innovative and changing practice. </w:t>
      </w:r>
    </w:p>
    <w:p w14:paraId="034048FD" w14:textId="77777777" w:rsidR="008E5A4A" w:rsidRDefault="008E5A4A" w:rsidP="008E5A4A">
      <w:pPr>
        <w:spacing w:before="0" w:after="0"/>
        <w:rPr>
          <w:rFonts w:ascii="Century Gothic" w:hAnsi="Century Gothic"/>
          <w:sz w:val="20"/>
          <w:szCs w:val="20"/>
        </w:rPr>
      </w:pPr>
    </w:p>
    <w:p w14:paraId="5AF43671"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I am pleased to present my Final Report to you in your capacity as Minister for Education. </w:t>
      </w:r>
    </w:p>
    <w:p w14:paraId="246958E8" w14:textId="77777777" w:rsidR="008E5A4A" w:rsidRDefault="008E5A4A" w:rsidP="008E5A4A">
      <w:pPr>
        <w:spacing w:before="0" w:after="0"/>
        <w:rPr>
          <w:rFonts w:ascii="Century Gothic" w:hAnsi="Century Gothic"/>
          <w:sz w:val="20"/>
          <w:szCs w:val="20"/>
        </w:rPr>
      </w:pPr>
    </w:p>
    <w:p w14:paraId="508C6268" w14:textId="7777777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All interested parties were encouraged to participate and share ideas with the Review. </w:t>
      </w:r>
    </w:p>
    <w:p w14:paraId="37302FFC" w14:textId="315BCE1A" w:rsidR="008E5A4A" w:rsidRDefault="00A354B2" w:rsidP="008E5A4A">
      <w:pPr>
        <w:spacing w:before="0" w:after="0"/>
        <w:rPr>
          <w:rFonts w:ascii="Century Gothic" w:hAnsi="Century Gothic"/>
          <w:sz w:val="20"/>
          <w:szCs w:val="20"/>
        </w:rPr>
      </w:pPr>
      <w:r>
        <w:rPr>
          <w:rFonts w:ascii="Century Gothic" w:hAnsi="Century Gothic"/>
          <w:sz w:val="20"/>
          <w:szCs w:val="20"/>
        </w:rPr>
        <w:t>Some 67 public</w:t>
      </w:r>
      <w:r w:rsidR="008E5A4A" w:rsidRPr="008E5A4A">
        <w:rPr>
          <w:rFonts w:ascii="Century Gothic" w:hAnsi="Century Gothic"/>
          <w:sz w:val="20"/>
          <w:szCs w:val="20"/>
        </w:rPr>
        <w:t xml:space="preserve"> submissions were received and extensive consultations were held across Australia with a wide range of higher education stakeholders and experts. </w:t>
      </w:r>
    </w:p>
    <w:p w14:paraId="751F73AD" w14:textId="77777777" w:rsidR="008E5A4A" w:rsidRDefault="008E5A4A" w:rsidP="008E5A4A">
      <w:pPr>
        <w:spacing w:before="0" w:after="0"/>
        <w:rPr>
          <w:rFonts w:ascii="Century Gothic" w:hAnsi="Century Gothic"/>
          <w:sz w:val="20"/>
          <w:szCs w:val="20"/>
        </w:rPr>
      </w:pPr>
    </w:p>
    <w:p w14:paraId="6667E683" w14:textId="6AF0EBB7" w:rsidR="008E5A4A"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Underlying this Review is a cognisance of the changing nature of the Australian higher education landscape. Institutions will continue to evolve to meet different needs and pathways of students, burgeoning and shifting demand by industry, and new and innovative connections and partnerships among institutions, employers and communities. The PCS do not, and should not, inhibit our institutions from differentiating themselves and their missions in pursuing these opportunities and meeting these challenges. </w:t>
      </w:r>
    </w:p>
    <w:p w14:paraId="378FAEB0" w14:textId="77777777" w:rsidR="008E5A4A" w:rsidRPr="008E5A4A" w:rsidRDefault="008E5A4A" w:rsidP="008E5A4A">
      <w:pPr>
        <w:spacing w:before="0" w:after="0"/>
        <w:rPr>
          <w:rFonts w:ascii="Century Gothic" w:hAnsi="Century Gothic"/>
          <w:sz w:val="20"/>
          <w:szCs w:val="20"/>
        </w:rPr>
      </w:pPr>
    </w:p>
    <w:p w14:paraId="63BDFD22" w14:textId="6EBDDAD9" w:rsidR="00245277"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The recommendations of this Report will enable opportunities to build the cachet of all higher education providers across the sector and support their aspirations and growth. In particular, the recommendations seek to boost the utility and recognition of categories and bolster requirements that support high quality higher education. Above all, the recommendations seek to protect both the interests of students as consumers, and Australia’s international reputation for higher education. </w:t>
      </w:r>
    </w:p>
    <w:p w14:paraId="2B634C56" w14:textId="77777777" w:rsidR="00245277" w:rsidRDefault="00245277" w:rsidP="008E5A4A">
      <w:pPr>
        <w:spacing w:before="0" w:after="0"/>
        <w:rPr>
          <w:rFonts w:ascii="Century Gothic" w:hAnsi="Century Gothic"/>
          <w:sz w:val="20"/>
          <w:szCs w:val="20"/>
        </w:rPr>
      </w:pPr>
    </w:p>
    <w:p w14:paraId="53413D25" w14:textId="77777777" w:rsidR="00245277"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I would like to thank the members of the Higher Education Standards Panel for their prudent oversight and support during this Review. I also thank all interested parties who contributed to this important activity, particularly the stakeholders who gave up their time to prepare submissions and participate in consultations. </w:t>
      </w:r>
    </w:p>
    <w:p w14:paraId="7E0A198A" w14:textId="77777777" w:rsidR="00245277" w:rsidRDefault="00245277" w:rsidP="008E5A4A">
      <w:pPr>
        <w:spacing w:before="0" w:after="0"/>
        <w:rPr>
          <w:rFonts w:ascii="Century Gothic" w:hAnsi="Century Gothic"/>
          <w:sz w:val="20"/>
          <w:szCs w:val="20"/>
        </w:rPr>
      </w:pPr>
    </w:p>
    <w:p w14:paraId="71F1C6EA" w14:textId="77777777" w:rsidR="00245277"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I thank you for the opportunity to conduct this Review and commend this Final Report for your consideration. </w:t>
      </w:r>
    </w:p>
    <w:p w14:paraId="7C210179" w14:textId="77777777" w:rsidR="00245277" w:rsidRDefault="00245277" w:rsidP="008E5A4A">
      <w:pPr>
        <w:spacing w:before="0" w:after="0"/>
        <w:rPr>
          <w:rFonts w:ascii="Century Gothic" w:hAnsi="Century Gothic"/>
          <w:sz w:val="20"/>
          <w:szCs w:val="20"/>
        </w:rPr>
      </w:pPr>
    </w:p>
    <w:p w14:paraId="6525F5C5" w14:textId="112E88E8" w:rsidR="00245277" w:rsidRDefault="008E5A4A" w:rsidP="008E5A4A">
      <w:pPr>
        <w:spacing w:before="0" w:after="0"/>
        <w:rPr>
          <w:rFonts w:ascii="Century Gothic" w:hAnsi="Century Gothic"/>
          <w:sz w:val="20"/>
          <w:szCs w:val="20"/>
        </w:rPr>
      </w:pPr>
      <w:r w:rsidRPr="008E5A4A">
        <w:rPr>
          <w:rFonts w:ascii="Century Gothic" w:hAnsi="Century Gothic"/>
          <w:sz w:val="20"/>
          <w:szCs w:val="20"/>
        </w:rPr>
        <w:t xml:space="preserve">Yours sincerely </w:t>
      </w:r>
    </w:p>
    <w:p w14:paraId="4146DDF5" w14:textId="77777777" w:rsidR="00245277" w:rsidRDefault="00245277" w:rsidP="008E5A4A">
      <w:pPr>
        <w:spacing w:before="0" w:after="0"/>
        <w:rPr>
          <w:rFonts w:ascii="Century Gothic" w:hAnsi="Century Gothic"/>
          <w:sz w:val="20"/>
          <w:szCs w:val="20"/>
        </w:rPr>
      </w:pPr>
    </w:p>
    <w:p w14:paraId="5F7BDCFB" w14:textId="056B9E47" w:rsidR="00245277" w:rsidRDefault="00245277" w:rsidP="008E5A4A">
      <w:pPr>
        <w:spacing w:before="0" w:after="0"/>
        <w:rPr>
          <w:rFonts w:ascii="Century Gothic" w:hAnsi="Century Gothic"/>
          <w:sz w:val="20"/>
          <w:szCs w:val="20"/>
        </w:rPr>
      </w:pPr>
      <w:r w:rsidRPr="00730C0D">
        <w:rPr>
          <w:rFonts w:ascii="Century Gothic" w:hAnsi="Century Gothic"/>
          <w:noProof/>
          <w:lang w:eastAsia="en-AU"/>
        </w:rPr>
        <w:drawing>
          <wp:inline distT="0" distB="0" distL="0" distR="0" wp14:anchorId="3E016C60" wp14:editId="137112A2">
            <wp:extent cx="1988748" cy="848360"/>
            <wp:effectExtent l="0" t="0" r="0" b="8890"/>
            <wp:docPr id="5" name="Picture 5" descr="C:\Users\JW3633\AppData\Local\Microsoft\Windows\INetCache\Content.Word\peter_coaldrake_signature 06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3633\AppData\Local\Microsoft\Windows\INetCache\Content.Word\peter_coaldrake_signature 06090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8771"/>
                    <a:stretch/>
                  </pic:blipFill>
                  <pic:spPr bwMode="auto">
                    <a:xfrm>
                      <a:off x="0" y="0"/>
                      <a:ext cx="1994566" cy="850842"/>
                    </a:xfrm>
                    <a:prstGeom prst="rect">
                      <a:avLst/>
                    </a:prstGeom>
                    <a:noFill/>
                    <a:ln>
                      <a:noFill/>
                    </a:ln>
                    <a:extLst>
                      <a:ext uri="{53640926-AAD7-44D8-BBD7-CCE9431645EC}">
                        <a14:shadowObscured xmlns:a14="http://schemas.microsoft.com/office/drawing/2010/main"/>
                      </a:ext>
                    </a:extLst>
                  </pic:spPr>
                </pic:pic>
              </a:graphicData>
            </a:graphic>
          </wp:inline>
        </w:drawing>
      </w:r>
    </w:p>
    <w:p w14:paraId="7498D688" w14:textId="46A91448" w:rsidR="0014126D" w:rsidRPr="00730C0D" w:rsidRDefault="008E5A4A" w:rsidP="008E5A4A">
      <w:pPr>
        <w:spacing w:before="0" w:after="0"/>
        <w:rPr>
          <w:rFonts w:ascii="Century Gothic" w:hAnsi="Century Gothic"/>
          <w:sz w:val="20"/>
          <w:szCs w:val="20"/>
        </w:rPr>
      </w:pPr>
      <w:r w:rsidRPr="008E5A4A">
        <w:rPr>
          <w:rFonts w:ascii="Century Gothic" w:hAnsi="Century Gothic"/>
          <w:b/>
          <w:bCs/>
          <w:sz w:val="20"/>
          <w:szCs w:val="20"/>
        </w:rPr>
        <w:t xml:space="preserve">Emeritus Professor Peter Coaldrake </w:t>
      </w:r>
      <w:r w:rsidRPr="00245277">
        <w:rPr>
          <w:rFonts w:ascii="Century Gothic" w:hAnsi="Century Gothic"/>
          <w:bCs/>
          <w:sz w:val="16"/>
          <w:szCs w:val="16"/>
        </w:rPr>
        <w:t>AO</w:t>
      </w:r>
      <w:r w:rsidRPr="008E5A4A">
        <w:rPr>
          <w:rFonts w:ascii="Century Gothic" w:hAnsi="Century Gothic"/>
          <w:b/>
          <w:bCs/>
          <w:sz w:val="20"/>
          <w:szCs w:val="20"/>
        </w:rPr>
        <w:t xml:space="preserve"> </w:t>
      </w:r>
      <w:r w:rsidR="0014126D" w:rsidRPr="00730C0D">
        <w:rPr>
          <w:rFonts w:ascii="Century Gothic" w:hAnsi="Century Gothic"/>
          <w:sz w:val="20"/>
          <w:szCs w:val="20"/>
        </w:rPr>
        <w:br w:type="page"/>
      </w:r>
    </w:p>
    <w:p w14:paraId="04BA1ADA" w14:textId="74C37CCC" w:rsidR="00A13008" w:rsidRPr="00730C0D" w:rsidRDefault="00A13008" w:rsidP="003A178A">
      <w:pPr>
        <w:pStyle w:val="Heading1"/>
      </w:pPr>
      <w:bookmarkStart w:id="5" w:name="_Toc12615318"/>
    </w:p>
    <w:p w14:paraId="4CB1F942" w14:textId="77777777" w:rsidR="00A13008" w:rsidRPr="00730C0D" w:rsidRDefault="00A13008" w:rsidP="003A178A">
      <w:pPr>
        <w:pStyle w:val="Heading1"/>
      </w:pPr>
    </w:p>
    <w:p w14:paraId="4D19F091" w14:textId="77777777" w:rsidR="00A13008" w:rsidRPr="00730C0D" w:rsidRDefault="00A13008" w:rsidP="003A178A">
      <w:pPr>
        <w:pStyle w:val="Heading1"/>
      </w:pPr>
    </w:p>
    <w:p w14:paraId="2E973845" w14:textId="77777777" w:rsidR="00A13008" w:rsidRPr="00730C0D" w:rsidRDefault="00A13008" w:rsidP="003A178A">
      <w:pPr>
        <w:pStyle w:val="Heading1"/>
      </w:pPr>
    </w:p>
    <w:p w14:paraId="377A30FF" w14:textId="77777777" w:rsidR="00A13008" w:rsidRPr="00730C0D" w:rsidRDefault="00A13008" w:rsidP="003A178A">
      <w:pPr>
        <w:pStyle w:val="Heading1"/>
      </w:pPr>
    </w:p>
    <w:p w14:paraId="266B151F" w14:textId="4D1DE792" w:rsidR="0014126D" w:rsidRPr="00730C0D" w:rsidRDefault="007F57E2" w:rsidP="007F57E2">
      <w:pPr>
        <w:pStyle w:val="Heading1"/>
        <w:ind w:firstLine="284"/>
      </w:pPr>
      <w:bookmarkStart w:id="6" w:name="_Toc18592308"/>
      <w:r w:rsidRPr="00730C0D">
        <w:rPr>
          <w:noProof/>
          <w:sz w:val="48"/>
          <w:szCs w:val="48"/>
          <w:lang w:eastAsia="en-AU"/>
        </w:rPr>
        <mc:AlternateContent>
          <mc:Choice Requires="wps">
            <w:drawing>
              <wp:anchor distT="0" distB="0" distL="114300" distR="114300" simplePos="0" relativeHeight="251702272" behindDoc="0" locked="0" layoutInCell="1" allowOverlap="1" wp14:anchorId="6CE0DDD8" wp14:editId="1513F18D">
                <wp:simplePos x="0" y="0"/>
                <wp:positionH relativeFrom="column">
                  <wp:posOffset>183661</wp:posOffset>
                </wp:positionH>
                <wp:positionV relativeFrom="paragraph">
                  <wp:posOffset>386080</wp:posOffset>
                </wp:positionV>
                <wp:extent cx="7143750" cy="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CFC3E" id="Straight Connector 3"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pt,30.4pt" to="576.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" strokecolor="black [3213]" strokeweight=".5pt">
                <v:stroke joinstyle="miter"/>
              </v:line>
            </w:pict>
          </mc:Fallback>
        </mc:AlternateContent>
      </w:r>
      <w:r w:rsidR="0014126D" w:rsidRPr="00730C0D">
        <w:t>Executive Summary</w:t>
      </w:r>
      <w:bookmarkEnd w:id="5"/>
      <w:bookmarkEnd w:id="6"/>
    </w:p>
    <w:p w14:paraId="1A6B951E" w14:textId="64FCB0F7" w:rsidR="0080431C" w:rsidRPr="00730C0D" w:rsidRDefault="0080431C" w:rsidP="00620445">
      <w:pPr>
        <w:spacing w:before="0" w:after="0"/>
        <w:rPr>
          <w:rFonts w:ascii="Century Gothic" w:hAnsi="Century Gothic"/>
          <w:sz w:val="20"/>
          <w:szCs w:val="20"/>
        </w:rPr>
      </w:pPr>
    </w:p>
    <w:p w14:paraId="328329C3" w14:textId="77777777" w:rsidR="0080431C" w:rsidRPr="00730C0D" w:rsidRDefault="0080431C" w:rsidP="00620445">
      <w:pPr>
        <w:spacing w:before="0" w:after="0"/>
        <w:rPr>
          <w:rFonts w:ascii="Century Gothic" w:hAnsi="Century Gothic"/>
          <w:sz w:val="20"/>
          <w:szCs w:val="20"/>
        </w:rPr>
      </w:pPr>
    </w:p>
    <w:p w14:paraId="41C7E2A4" w14:textId="4A76FEBE" w:rsidR="0080431C" w:rsidRPr="00730C0D" w:rsidRDefault="0080431C" w:rsidP="007F57E2">
      <w:pPr>
        <w:spacing w:before="0" w:after="0"/>
        <w:ind w:left="284" w:right="662"/>
        <w:rPr>
          <w:rFonts w:ascii="Century Gothic" w:hAnsi="Century Gothic"/>
          <w:sz w:val="20"/>
          <w:szCs w:val="20"/>
        </w:rPr>
      </w:pPr>
      <w:r w:rsidRPr="00730C0D">
        <w:rPr>
          <w:rFonts w:ascii="Century Gothic" w:hAnsi="Century Gothic"/>
          <w:sz w:val="20"/>
          <w:szCs w:val="20"/>
        </w:rPr>
        <w:t xml:space="preserve">The purpose of the Review of the Higher Education Provider Category </w:t>
      </w:r>
      <w:r w:rsidR="005635D6" w:rsidRPr="00730C0D">
        <w:rPr>
          <w:rFonts w:ascii="Century Gothic" w:hAnsi="Century Gothic"/>
          <w:sz w:val="20"/>
          <w:szCs w:val="20"/>
        </w:rPr>
        <w:br/>
      </w:r>
      <w:r w:rsidRPr="00730C0D">
        <w:rPr>
          <w:rFonts w:ascii="Century Gothic" w:hAnsi="Century Gothic"/>
          <w:sz w:val="20"/>
          <w:szCs w:val="20"/>
        </w:rPr>
        <w:t>Standards (PCS) is to ensure that, as a discrete component of the national regulatory framework, the PCS are, and will remain, fit for purpose. This involves assessing the historical and current utility of the PCS to students, providers, employers, the regulator and the government of the day. In other words, the essential purpose of regulating the nomenclature of providers is consumer protection; students and potential students, and the broader community, should be able to understand the roles and expectations of the different cat</w:t>
      </w:r>
      <w:r w:rsidR="001A13EC" w:rsidRPr="00730C0D">
        <w:rPr>
          <w:rFonts w:ascii="Century Gothic" w:hAnsi="Century Gothic"/>
          <w:sz w:val="20"/>
          <w:szCs w:val="20"/>
        </w:rPr>
        <w:t>egories of educational providers</w:t>
      </w:r>
      <w:r w:rsidRPr="00730C0D">
        <w:rPr>
          <w:rFonts w:ascii="Century Gothic" w:hAnsi="Century Gothic"/>
          <w:sz w:val="20"/>
          <w:szCs w:val="20"/>
        </w:rPr>
        <w:t>.</w:t>
      </w:r>
    </w:p>
    <w:p w14:paraId="2C4E883E" w14:textId="77777777" w:rsidR="0080431C" w:rsidRPr="00730C0D" w:rsidRDefault="0080431C" w:rsidP="007F57E2">
      <w:pPr>
        <w:spacing w:before="0" w:after="0"/>
        <w:ind w:left="284" w:right="662"/>
        <w:rPr>
          <w:rFonts w:ascii="Century Gothic" w:hAnsi="Century Gothic"/>
          <w:sz w:val="20"/>
          <w:szCs w:val="20"/>
        </w:rPr>
      </w:pPr>
    </w:p>
    <w:p w14:paraId="5BCD841E" w14:textId="77777777" w:rsidR="0080431C" w:rsidRPr="00730C0D" w:rsidRDefault="0080431C" w:rsidP="007F57E2">
      <w:pPr>
        <w:spacing w:before="0" w:after="0"/>
        <w:ind w:left="284" w:right="662"/>
        <w:rPr>
          <w:rFonts w:ascii="Century Gothic" w:hAnsi="Century Gothic"/>
          <w:sz w:val="20"/>
          <w:szCs w:val="20"/>
        </w:rPr>
      </w:pPr>
      <w:r w:rsidRPr="00730C0D">
        <w:rPr>
          <w:rFonts w:ascii="Century Gothic" w:hAnsi="Century Gothic"/>
          <w:sz w:val="20"/>
          <w:szCs w:val="20"/>
        </w:rPr>
        <w:t xml:space="preserve">The Review recommends the simplification and rebalancing of the current categories of higher education providers. This involves reducing the overall number of higher education provider categories from six to four, by merging and rationalising the university-related categories from five to two, and increasing from one to two the number of categories catering to those higher education providers which are not universities. The latter addresses an issue of under-differentiation of such providers in the current PCS. </w:t>
      </w:r>
    </w:p>
    <w:p w14:paraId="76526BAE" w14:textId="77777777" w:rsidR="0080431C" w:rsidRPr="00730C0D" w:rsidRDefault="0080431C" w:rsidP="007F57E2">
      <w:pPr>
        <w:spacing w:before="0" w:after="0"/>
        <w:ind w:left="284" w:right="662"/>
        <w:rPr>
          <w:rFonts w:ascii="Century Gothic" w:hAnsi="Century Gothic"/>
          <w:sz w:val="20"/>
          <w:szCs w:val="20"/>
        </w:rPr>
      </w:pPr>
    </w:p>
    <w:p w14:paraId="52F9EAEB" w14:textId="551AF313" w:rsidR="0080431C" w:rsidRPr="00730C0D" w:rsidRDefault="0080431C" w:rsidP="007F57E2">
      <w:pPr>
        <w:spacing w:before="0" w:after="0"/>
        <w:ind w:left="284" w:right="662"/>
        <w:rPr>
          <w:rFonts w:ascii="Century Gothic" w:hAnsi="Century Gothic"/>
          <w:sz w:val="20"/>
          <w:szCs w:val="20"/>
        </w:rPr>
      </w:pPr>
      <w:r w:rsidRPr="00730C0D">
        <w:rPr>
          <w:rFonts w:ascii="Century Gothic" w:hAnsi="Century Gothic"/>
          <w:sz w:val="20"/>
          <w:szCs w:val="20"/>
        </w:rPr>
        <w:t>While universities will continue to predominate higher education enrolments, much of the jobs and skills growth over the coming years will occur in areas spanning university, broader higher and professional education, and the vocational sector. The recommendations of the Review seek to imp</w:t>
      </w:r>
      <w:r w:rsidR="006A0142" w:rsidRPr="00730C0D">
        <w:rPr>
          <w:rFonts w:ascii="Century Gothic" w:hAnsi="Century Gothic"/>
          <w:sz w:val="20"/>
          <w:szCs w:val="20"/>
        </w:rPr>
        <w:t>rove</w:t>
      </w:r>
      <w:r w:rsidRPr="00730C0D">
        <w:rPr>
          <w:rFonts w:ascii="Century Gothic" w:hAnsi="Century Gothic"/>
          <w:sz w:val="20"/>
          <w:szCs w:val="20"/>
        </w:rPr>
        <w:t xml:space="preserve"> the visibility and utility of the PCS as part of the national regulatory framework, and do so through </w:t>
      </w:r>
      <w:r w:rsidR="00245277">
        <w:rPr>
          <w:rFonts w:ascii="Century Gothic" w:hAnsi="Century Gothic"/>
          <w:sz w:val="20"/>
          <w:szCs w:val="20"/>
        </w:rPr>
        <w:t xml:space="preserve">a lens to </w:t>
      </w:r>
      <w:r w:rsidR="00245277">
        <w:rPr>
          <w:rFonts w:ascii="Century Gothic" w:hAnsi="Century Gothic"/>
          <w:sz w:val="20"/>
          <w:szCs w:val="20"/>
        </w:rPr>
        <w:br/>
        <w:t>the future.</w:t>
      </w:r>
    </w:p>
    <w:p w14:paraId="692B8189" w14:textId="347571A0" w:rsidR="0014126D" w:rsidRPr="00730C0D" w:rsidRDefault="0080431C" w:rsidP="00D31B9A">
      <w:pPr>
        <w:spacing w:before="0" w:after="0"/>
        <w:rPr>
          <w:rFonts w:ascii="Century Gothic" w:hAnsi="Century Gothic"/>
          <w:sz w:val="20"/>
          <w:szCs w:val="20"/>
        </w:rPr>
      </w:pPr>
      <w:r w:rsidRPr="00730C0D" w:rsidDel="0080431C">
        <w:rPr>
          <w:rFonts w:ascii="Century Gothic" w:hAnsi="Century Gothic"/>
          <w:sz w:val="20"/>
          <w:szCs w:val="20"/>
          <w:highlight w:val="yellow"/>
        </w:rPr>
        <w:t xml:space="preserve"> </w:t>
      </w:r>
    </w:p>
    <w:p w14:paraId="4515474D" w14:textId="77777777" w:rsidR="0014126D" w:rsidRPr="00730C0D" w:rsidRDefault="0014126D" w:rsidP="00D31B9A">
      <w:pPr>
        <w:spacing w:before="0" w:after="0"/>
        <w:rPr>
          <w:rFonts w:ascii="Century Gothic" w:hAnsi="Century Gothic"/>
          <w:sz w:val="20"/>
          <w:szCs w:val="20"/>
        </w:rPr>
      </w:pPr>
      <w:r w:rsidRPr="00730C0D">
        <w:rPr>
          <w:rFonts w:ascii="Century Gothic" w:hAnsi="Century Gothic"/>
          <w:sz w:val="20"/>
          <w:szCs w:val="20"/>
        </w:rPr>
        <w:br w:type="page"/>
      </w:r>
    </w:p>
    <w:p w14:paraId="0D3003A0" w14:textId="77777777" w:rsidR="007A5946" w:rsidRPr="00730C0D" w:rsidRDefault="007A5946" w:rsidP="007A5946">
      <w:pPr>
        <w:pStyle w:val="Heading1"/>
      </w:pPr>
      <w:bookmarkStart w:id="7" w:name="_Toc18592309"/>
      <w:r w:rsidRPr="00730C0D">
        <w:rPr>
          <w:noProof/>
          <w:sz w:val="48"/>
          <w:szCs w:val="48"/>
          <w:lang w:eastAsia="en-AU"/>
        </w:rPr>
        <mc:AlternateContent>
          <mc:Choice Requires="wps">
            <w:drawing>
              <wp:anchor distT="0" distB="0" distL="114300" distR="114300" simplePos="0" relativeHeight="251698176" behindDoc="0" locked="0" layoutInCell="1" allowOverlap="1" wp14:anchorId="7B4D605A" wp14:editId="67601F50">
                <wp:simplePos x="0" y="0"/>
                <wp:positionH relativeFrom="column">
                  <wp:posOffset>-1303506</wp:posOffset>
                </wp:positionH>
                <wp:positionV relativeFrom="paragraph">
                  <wp:posOffset>390525</wp:posOffset>
                </wp:positionV>
                <wp:extent cx="7143750" cy="0"/>
                <wp:effectExtent l="0" t="0" r="19050" b="19050"/>
                <wp:wrapNone/>
                <wp:docPr id="33" name="Straight Connector 33"/>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7C0E21" id="Straight Connector 33"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65pt,30.75pt" to="459.8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" strokecolor="black [3213]" strokeweight=".5pt">
                <v:stroke joinstyle="miter"/>
              </v:line>
            </w:pict>
          </mc:Fallback>
        </mc:AlternateContent>
      </w:r>
      <w:r w:rsidRPr="00730C0D">
        <w:t>Recommendations</w:t>
      </w:r>
      <w:bookmarkEnd w:id="7"/>
    </w:p>
    <w:p w14:paraId="0607C7FA" w14:textId="77777777" w:rsidR="007A5946" w:rsidRPr="00730C0D" w:rsidRDefault="007A5946" w:rsidP="007A5946">
      <w:pPr>
        <w:spacing w:before="0" w:after="0"/>
        <w:rPr>
          <w:rFonts w:ascii="Century Gothic" w:hAnsi="Century Gothic"/>
          <w:b/>
          <w:color w:val="2763AC"/>
          <w:sz w:val="28"/>
          <w:szCs w:val="28"/>
        </w:rPr>
      </w:pPr>
    </w:p>
    <w:p w14:paraId="738F73CB" w14:textId="77777777"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Recommendation 1</w:t>
      </w:r>
    </w:p>
    <w:p w14:paraId="615A38DE" w14:textId="6B84D80F" w:rsidR="007A5946" w:rsidRPr="00730C0D" w:rsidRDefault="007A5946" w:rsidP="007A5946">
      <w:pPr>
        <w:spacing w:before="0" w:after="0"/>
        <w:rPr>
          <w:rFonts w:ascii="Century Gothic" w:hAnsi="Century Gothic"/>
          <w:sz w:val="20"/>
          <w:szCs w:val="20"/>
        </w:rPr>
      </w:pPr>
      <w:r w:rsidRPr="00730C0D">
        <w:rPr>
          <w:rFonts w:ascii="Century Gothic" w:hAnsi="Century Gothic"/>
          <w:sz w:val="20"/>
          <w:szCs w:val="20"/>
        </w:rPr>
        <w:t>There should be a simplification of the current provider categories. Our universities are currently over-categorised, while all other higher education providers are grouped in a single undifferentiated category.</w:t>
      </w:r>
      <w:r w:rsidR="00CF3DD2" w:rsidRPr="00730C0D">
        <w:rPr>
          <w:rFonts w:ascii="Century Gothic" w:hAnsi="Century Gothic"/>
          <w:sz w:val="20"/>
          <w:szCs w:val="20"/>
        </w:rPr>
        <w:t xml:space="preserve"> The current five university categories should be reduced to two categories and the current single category for other higher education providers </w:t>
      </w:r>
      <w:r w:rsidR="00986E98">
        <w:rPr>
          <w:rFonts w:ascii="Century Gothic" w:hAnsi="Century Gothic"/>
          <w:sz w:val="20"/>
          <w:szCs w:val="20"/>
        </w:rPr>
        <w:br/>
      </w:r>
      <w:r w:rsidR="00CF3DD2" w:rsidRPr="00730C0D">
        <w:rPr>
          <w:rFonts w:ascii="Century Gothic" w:hAnsi="Century Gothic"/>
          <w:sz w:val="20"/>
          <w:szCs w:val="20"/>
        </w:rPr>
        <w:t xml:space="preserve">(that are not universities) should be increased to two categories. </w:t>
      </w:r>
      <w:r w:rsidRPr="00730C0D">
        <w:rPr>
          <w:rFonts w:ascii="Century Gothic" w:hAnsi="Century Gothic"/>
          <w:sz w:val="20"/>
          <w:szCs w:val="20"/>
        </w:rPr>
        <w:t xml:space="preserve">  </w:t>
      </w:r>
    </w:p>
    <w:p w14:paraId="5D447BE1" w14:textId="77777777" w:rsidR="007A5946" w:rsidRPr="00CF05C8" w:rsidRDefault="007A5946" w:rsidP="007A5946">
      <w:pPr>
        <w:spacing w:before="0" w:after="0"/>
        <w:rPr>
          <w:rFonts w:ascii="Century Gothic" w:hAnsi="Century Gothic"/>
          <w:sz w:val="14"/>
          <w:szCs w:val="14"/>
        </w:rPr>
      </w:pPr>
    </w:p>
    <w:tbl>
      <w:tblPr>
        <w:tblStyle w:val="TableGrid"/>
        <w:tblW w:w="0" w:type="auto"/>
        <w:tblLook w:val="04A0" w:firstRow="1" w:lastRow="0" w:firstColumn="1" w:lastColumn="0" w:noHBand="0" w:noVBand="1"/>
      </w:tblPr>
      <w:tblGrid>
        <w:gridCol w:w="3823"/>
        <w:gridCol w:w="283"/>
        <w:gridCol w:w="4910"/>
      </w:tblGrid>
      <w:tr w:rsidR="006A7659" w:rsidRPr="00730C0D" w14:paraId="1792C2A5" w14:textId="77777777" w:rsidTr="00D55D9D">
        <w:trPr>
          <w:cnfStyle w:val="100000000000" w:firstRow="1" w:lastRow="0" w:firstColumn="0" w:lastColumn="0" w:oddVBand="0" w:evenVBand="0" w:oddHBand="0" w:evenHBand="0" w:firstRowFirstColumn="0" w:firstRowLastColumn="0" w:lastRowFirstColumn="0" w:lastRowLastColumn="0"/>
        </w:trPr>
        <w:tc>
          <w:tcPr>
            <w:tcW w:w="3823" w:type="dxa"/>
            <w:tcBorders>
              <w:bottom w:val="single" w:sz="4" w:space="0" w:color="2763AC"/>
              <w:right w:val="single" w:sz="4" w:space="0" w:color="2763AC"/>
            </w:tcBorders>
            <w:vAlign w:val="top"/>
          </w:tcPr>
          <w:p w14:paraId="275161C6" w14:textId="1894D414" w:rsidR="00860BF3" w:rsidRPr="00730C0D" w:rsidRDefault="00860BF3" w:rsidP="00BD1C6F">
            <w:pPr>
              <w:spacing w:before="0" w:after="0" w:line="259" w:lineRule="auto"/>
              <w:rPr>
                <w:rFonts w:ascii="Century Gothic" w:hAnsi="Century Gothic"/>
                <w:sz w:val="20"/>
                <w:szCs w:val="20"/>
              </w:rPr>
            </w:pPr>
            <w:r w:rsidRPr="00730C0D">
              <w:rPr>
                <w:rFonts w:ascii="Century Gothic" w:hAnsi="Century Gothic"/>
                <w:sz w:val="20"/>
                <w:szCs w:val="20"/>
              </w:rPr>
              <w:t>Current Categories</w:t>
            </w:r>
          </w:p>
        </w:tc>
        <w:tc>
          <w:tcPr>
            <w:tcW w:w="283" w:type="dxa"/>
            <w:tcBorders>
              <w:top w:val="nil"/>
              <w:left w:val="single" w:sz="4" w:space="0" w:color="2763AC"/>
              <w:bottom w:val="nil"/>
              <w:right w:val="single" w:sz="4" w:space="0" w:color="2763AC"/>
            </w:tcBorders>
            <w:shd w:val="clear" w:color="auto" w:fill="auto"/>
          </w:tcPr>
          <w:p w14:paraId="10E2344B" w14:textId="77777777" w:rsidR="00860BF3" w:rsidRPr="00730C0D" w:rsidRDefault="00860BF3" w:rsidP="00BD1C6F">
            <w:pPr>
              <w:spacing w:before="0" w:after="0"/>
              <w:rPr>
                <w:rFonts w:ascii="Century Gothic" w:hAnsi="Century Gothic"/>
                <w:sz w:val="20"/>
                <w:szCs w:val="20"/>
              </w:rPr>
            </w:pPr>
          </w:p>
        </w:tc>
        <w:tc>
          <w:tcPr>
            <w:tcW w:w="4910" w:type="dxa"/>
            <w:tcBorders>
              <w:left w:val="single" w:sz="4" w:space="0" w:color="2763AC"/>
              <w:bottom w:val="single" w:sz="4" w:space="0" w:color="2763AC"/>
            </w:tcBorders>
            <w:vAlign w:val="top"/>
          </w:tcPr>
          <w:p w14:paraId="7820A625" w14:textId="160302B4" w:rsidR="00860BF3" w:rsidRPr="00730C0D" w:rsidRDefault="00860BF3" w:rsidP="00BD1C6F">
            <w:pPr>
              <w:spacing w:before="0" w:after="0" w:line="259" w:lineRule="auto"/>
              <w:rPr>
                <w:rFonts w:ascii="Century Gothic" w:hAnsi="Century Gothic"/>
                <w:sz w:val="20"/>
                <w:szCs w:val="20"/>
              </w:rPr>
            </w:pPr>
            <w:r w:rsidRPr="00730C0D">
              <w:rPr>
                <w:rFonts w:ascii="Century Gothic" w:hAnsi="Century Gothic"/>
                <w:sz w:val="20"/>
                <w:szCs w:val="20"/>
              </w:rPr>
              <w:t xml:space="preserve">Proposed </w:t>
            </w:r>
            <w:r w:rsidR="00075C16" w:rsidRPr="00730C0D">
              <w:rPr>
                <w:rFonts w:ascii="Century Gothic" w:hAnsi="Century Gothic"/>
                <w:sz w:val="20"/>
                <w:szCs w:val="20"/>
              </w:rPr>
              <w:t>R</w:t>
            </w:r>
            <w:r w:rsidRPr="00730C0D">
              <w:rPr>
                <w:rFonts w:ascii="Century Gothic" w:hAnsi="Century Gothic"/>
                <w:sz w:val="20"/>
                <w:szCs w:val="20"/>
              </w:rPr>
              <w:t xml:space="preserve">evised </w:t>
            </w:r>
            <w:r w:rsidR="00075C16" w:rsidRPr="00730C0D">
              <w:rPr>
                <w:rFonts w:ascii="Century Gothic" w:hAnsi="Century Gothic"/>
                <w:sz w:val="20"/>
                <w:szCs w:val="20"/>
              </w:rPr>
              <w:t>C</w:t>
            </w:r>
            <w:r w:rsidRPr="00730C0D">
              <w:rPr>
                <w:rFonts w:ascii="Century Gothic" w:hAnsi="Century Gothic"/>
                <w:sz w:val="20"/>
                <w:szCs w:val="20"/>
              </w:rPr>
              <w:t>ategories</w:t>
            </w:r>
          </w:p>
        </w:tc>
      </w:tr>
      <w:tr w:rsidR="00860BF3" w:rsidRPr="00730C0D" w14:paraId="308F35BA" w14:textId="77777777" w:rsidTr="00D55D9D">
        <w:trPr>
          <w:trHeight w:val="1508"/>
        </w:trPr>
        <w:tc>
          <w:tcPr>
            <w:tcW w:w="3823" w:type="dxa"/>
            <w:tcBorders>
              <w:right w:val="single" w:sz="4" w:space="0" w:color="2763AC"/>
            </w:tcBorders>
          </w:tcPr>
          <w:p w14:paraId="6ED39BB7" w14:textId="77777777"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Higher Education Provider</w:t>
            </w:r>
          </w:p>
          <w:p w14:paraId="4709A0EF" w14:textId="77777777"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 xml:space="preserve">Australian University </w:t>
            </w:r>
          </w:p>
          <w:p w14:paraId="576FC890" w14:textId="77777777"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 xml:space="preserve">Australian University College </w:t>
            </w:r>
          </w:p>
          <w:p w14:paraId="766E310C" w14:textId="77777777"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 xml:space="preserve">Australian University of Specialisation </w:t>
            </w:r>
          </w:p>
          <w:p w14:paraId="7C5C9969" w14:textId="77777777"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Overseas University</w:t>
            </w:r>
          </w:p>
          <w:p w14:paraId="7441E850" w14:textId="07763B52"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 xml:space="preserve">Overseas University of Specialisation </w:t>
            </w:r>
          </w:p>
        </w:tc>
        <w:tc>
          <w:tcPr>
            <w:tcW w:w="283" w:type="dxa"/>
            <w:tcBorders>
              <w:top w:val="nil"/>
              <w:left w:val="single" w:sz="4" w:space="0" w:color="2763AC"/>
              <w:bottom w:val="nil"/>
              <w:right w:val="single" w:sz="4" w:space="0" w:color="2763AC"/>
            </w:tcBorders>
          </w:tcPr>
          <w:p w14:paraId="0CECE0BB" w14:textId="77777777" w:rsidR="00860BF3" w:rsidRPr="00730C0D" w:rsidRDefault="00860BF3" w:rsidP="005635D6">
            <w:pPr>
              <w:spacing w:before="0" w:after="0"/>
              <w:rPr>
                <w:rFonts w:ascii="Century Gothic" w:hAnsi="Century Gothic"/>
                <w:sz w:val="20"/>
                <w:szCs w:val="20"/>
              </w:rPr>
            </w:pPr>
          </w:p>
        </w:tc>
        <w:tc>
          <w:tcPr>
            <w:tcW w:w="4910" w:type="dxa"/>
            <w:tcBorders>
              <w:left w:val="single" w:sz="4" w:space="0" w:color="2763AC"/>
            </w:tcBorders>
          </w:tcPr>
          <w:p w14:paraId="11C67244" w14:textId="0C2C23A0" w:rsidR="00860BF3" w:rsidRPr="00730C0D" w:rsidRDefault="00C776B4" w:rsidP="00D55D9D">
            <w:pPr>
              <w:spacing w:before="0" w:after="0"/>
              <w:rPr>
                <w:rFonts w:ascii="Century Gothic" w:hAnsi="Century Gothic"/>
                <w:sz w:val="20"/>
                <w:szCs w:val="20"/>
              </w:rPr>
            </w:pPr>
            <w:r>
              <w:rPr>
                <w:rFonts w:ascii="Century Gothic" w:hAnsi="Century Gothic"/>
                <w:sz w:val="20"/>
                <w:szCs w:val="20"/>
              </w:rPr>
              <w:t>Institute of Higher Education</w:t>
            </w:r>
          </w:p>
          <w:p w14:paraId="051A62F0" w14:textId="145F7BAF" w:rsidR="00860BF3" w:rsidRPr="00730C0D" w:rsidRDefault="00C776B4" w:rsidP="00D55D9D">
            <w:pPr>
              <w:spacing w:before="0" w:after="0"/>
              <w:rPr>
                <w:rFonts w:ascii="Century Gothic" w:hAnsi="Century Gothic"/>
                <w:sz w:val="20"/>
                <w:szCs w:val="20"/>
              </w:rPr>
            </w:pPr>
            <w:r>
              <w:rPr>
                <w:rFonts w:ascii="Century Gothic" w:hAnsi="Century Gothic"/>
                <w:sz w:val="20"/>
                <w:szCs w:val="20"/>
              </w:rPr>
              <w:t>National Institute of Higher Education</w:t>
            </w:r>
          </w:p>
          <w:p w14:paraId="6052488F" w14:textId="77777777"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 xml:space="preserve">Australian University </w:t>
            </w:r>
          </w:p>
          <w:p w14:paraId="1F7A43FE" w14:textId="4FB678B4" w:rsidR="00860BF3" w:rsidRPr="00730C0D" w:rsidRDefault="00860BF3" w:rsidP="00D55D9D">
            <w:pPr>
              <w:spacing w:before="0" w:after="0"/>
              <w:rPr>
                <w:rFonts w:ascii="Century Gothic" w:hAnsi="Century Gothic"/>
                <w:sz w:val="20"/>
                <w:szCs w:val="20"/>
              </w:rPr>
            </w:pPr>
            <w:r w:rsidRPr="00730C0D">
              <w:rPr>
                <w:rFonts w:ascii="Century Gothic" w:hAnsi="Century Gothic"/>
                <w:sz w:val="20"/>
                <w:szCs w:val="20"/>
              </w:rPr>
              <w:t>Overseas University in Australia</w:t>
            </w:r>
          </w:p>
        </w:tc>
      </w:tr>
    </w:tbl>
    <w:p w14:paraId="2595BA80" w14:textId="77777777" w:rsidR="007A5946" w:rsidRPr="00CF05C8" w:rsidRDefault="007A5946" w:rsidP="007A5946">
      <w:pPr>
        <w:pStyle w:val="Heading2"/>
        <w:spacing w:after="0" w:line="240" w:lineRule="auto"/>
        <w:rPr>
          <w:sz w:val="20"/>
          <w:szCs w:val="20"/>
        </w:rPr>
      </w:pPr>
    </w:p>
    <w:p w14:paraId="7C2075D8" w14:textId="77777777"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Recommendation 2</w:t>
      </w:r>
    </w:p>
    <w:p w14:paraId="0455EC43" w14:textId="18420372" w:rsidR="007A5946" w:rsidRPr="00730C0D" w:rsidRDefault="00CF3DD2" w:rsidP="007A5946">
      <w:pPr>
        <w:spacing w:before="0" w:after="0"/>
        <w:rPr>
          <w:rFonts w:ascii="Century Gothic" w:hAnsi="Century Gothic"/>
          <w:sz w:val="20"/>
          <w:szCs w:val="20"/>
        </w:rPr>
      </w:pPr>
      <w:r w:rsidRPr="00730C0D">
        <w:rPr>
          <w:rFonts w:ascii="Century Gothic" w:hAnsi="Century Gothic"/>
          <w:sz w:val="20"/>
          <w:szCs w:val="20"/>
        </w:rPr>
        <w:t>In line with Recommendation 1, t</w:t>
      </w:r>
      <w:r w:rsidR="007A5946" w:rsidRPr="00730C0D">
        <w:rPr>
          <w:rFonts w:ascii="Century Gothic" w:hAnsi="Century Gothic"/>
          <w:sz w:val="20"/>
          <w:szCs w:val="20"/>
        </w:rPr>
        <w:t>he current ‘Higher Education Provider’ category should be renamed ‘</w:t>
      </w:r>
      <w:r w:rsidR="00C776B4">
        <w:rPr>
          <w:rFonts w:ascii="Century Gothic" w:hAnsi="Century Gothic"/>
          <w:sz w:val="20"/>
          <w:szCs w:val="20"/>
        </w:rPr>
        <w:t>Institute of Higher Education</w:t>
      </w:r>
      <w:r w:rsidR="007A5946" w:rsidRPr="00730C0D">
        <w:rPr>
          <w:rFonts w:ascii="Century Gothic" w:hAnsi="Century Gothic"/>
          <w:sz w:val="20"/>
          <w:szCs w:val="20"/>
        </w:rPr>
        <w:t>’ category to</w:t>
      </w:r>
      <w:r w:rsidR="00A354B2">
        <w:rPr>
          <w:rFonts w:ascii="Century Gothic" w:hAnsi="Century Gothic"/>
          <w:sz w:val="20"/>
          <w:szCs w:val="20"/>
        </w:rPr>
        <w:t xml:space="preserve"> build distinctiveness and to</w:t>
      </w:r>
      <w:r w:rsidR="007A5946" w:rsidRPr="00730C0D">
        <w:rPr>
          <w:rFonts w:ascii="Century Gothic" w:hAnsi="Century Gothic"/>
          <w:sz w:val="20"/>
          <w:szCs w:val="20"/>
        </w:rPr>
        <w:t xml:space="preserve"> avoid confusion with the </w:t>
      </w:r>
      <w:r w:rsidR="00860BF3" w:rsidRPr="00730C0D">
        <w:rPr>
          <w:rFonts w:ascii="Century Gothic" w:hAnsi="Century Gothic"/>
          <w:sz w:val="20"/>
          <w:szCs w:val="20"/>
        </w:rPr>
        <w:t xml:space="preserve">broad </w:t>
      </w:r>
      <w:r w:rsidR="007A5946" w:rsidRPr="00730C0D">
        <w:rPr>
          <w:rFonts w:ascii="Century Gothic" w:hAnsi="Century Gothic"/>
          <w:sz w:val="20"/>
          <w:szCs w:val="20"/>
        </w:rPr>
        <w:t xml:space="preserve">definition of ‘higher education provider’ under the </w:t>
      </w:r>
      <w:r w:rsidR="007A5946" w:rsidRPr="00730C0D">
        <w:rPr>
          <w:rFonts w:ascii="Century Gothic" w:hAnsi="Century Gothic"/>
          <w:i/>
          <w:sz w:val="20"/>
          <w:szCs w:val="20"/>
        </w:rPr>
        <w:t>Tertiary Education Quality and Standards Agency Act 2011</w:t>
      </w:r>
      <w:r w:rsidR="007A5946" w:rsidRPr="00730C0D">
        <w:rPr>
          <w:rFonts w:ascii="Century Gothic" w:hAnsi="Century Gothic"/>
          <w:sz w:val="20"/>
          <w:szCs w:val="20"/>
        </w:rPr>
        <w:t>.</w:t>
      </w:r>
    </w:p>
    <w:p w14:paraId="6F558580" w14:textId="77777777" w:rsidR="007A5946" w:rsidRPr="00CF05C8" w:rsidRDefault="007A5946" w:rsidP="007A5946">
      <w:pPr>
        <w:spacing w:before="0" w:after="0"/>
        <w:rPr>
          <w:rFonts w:ascii="Century Gothic" w:hAnsi="Century Gothic"/>
          <w:b/>
          <w:color w:val="2763AC"/>
          <w:sz w:val="20"/>
          <w:szCs w:val="20"/>
        </w:rPr>
      </w:pPr>
    </w:p>
    <w:p w14:paraId="3EEF846C" w14:textId="77777777"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Recommendation 3</w:t>
      </w:r>
    </w:p>
    <w:p w14:paraId="05B80612" w14:textId="6D728413" w:rsidR="007A5946" w:rsidRPr="00730C0D" w:rsidRDefault="00CF3DD2" w:rsidP="007A5946">
      <w:pPr>
        <w:spacing w:before="0" w:after="0"/>
        <w:rPr>
          <w:rFonts w:ascii="Century Gothic" w:hAnsi="Century Gothic"/>
          <w:sz w:val="20"/>
          <w:szCs w:val="20"/>
        </w:rPr>
      </w:pPr>
      <w:r w:rsidRPr="00730C0D">
        <w:rPr>
          <w:rFonts w:ascii="Century Gothic" w:hAnsi="Century Gothic"/>
          <w:sz w:val="20"/>
          <w:szCs w:val="20"/>
        </w:rPr>
        <w:t>In line with Recommendation 1, a</w:t>
      </w:r>
      <w:r w:rsidR="007A5946" w:rsidRPr="00730C0D">
        <w:rPr>
          <w:rFonts w:ascii="Century Gothic" w:hAnsi="Century Gothic"/>
          <w:sz w:val="20"/>
          <w:szCs w:val="20"/>
        </w:rPr>
        <w:t xml:space="preserve"> new category </w:t>
      </w:r>
      <w:r w:rsidR="00BF76AF" w:rsidRPr="00730C0D">
        <w:rPr>
          <w:rFonts w:ascii="Century Gothic" w:hAnsi="Century Gothic"/>
          <w:sz w:val="20"/>
          <w:szCs w:val="20"/>
        </w:rPr>
        <w:t xml:space="preserve">titled </w:t>
      </w:r>
      <w:r w:rsidR="007A5946" w:rsidRPr="00730C0D">
        <w:rPr>
          <w:rFonts w:ascii="Century Gothic" w:hAnsi="Century Gothic"/>
          <w:sz w:val="20"/>
          <w:szCs w:val="20"/>
        </w:rPr>
        <w:t>‘</w:t>
      </w:r>
      <w:r w:rsidR="00C776B4">
        <w:rPr>
          <w:rFonts w:ascii="Century Gothic" w:hAnsi="Century Gothic"/>
          <w:sz w:val="20"/>
          <w:szCs w:val="20"/>
        </w:rPr>
        <w:t>National Institute of Higher Education</w:t>
      </w:r>
      <w:r w:rsidR="007A5946" w:rsidRPr="00730C0D">
        <w:rPr>
          <w:rFonts w:ascii="Century Gothic" w:hAnsi="Century Gothic"/>
          <w:sz w:val="20"/>
          <w:szCs w:val="20"/>
        </w:rPr>
        <w:t>’ should be created to serve aspiration, destination</w:t>
      </w:r>
      <w:r w:rsidR="00A711A4" w:rsidRPr="00730C0D">
        <w:rPr>
          <w:rFonts w:ascii="Century Gothic" w:hAnsi="Century Gothic"/>
          <w:sz w:val="20"/>
          <w:szCs w:val="20"/>
        </w:rPr>
        <w:t>,</w:t>
      </w:r>
      <w:r w:rsidR="007A5946" w:rsidRPr="00730C0D">
        <w:rPr>
          <w:rFonts w:ascii="Century Gothic" w:hAnsi="Century Gothic"/>
          <w:sz w:val="20"/>
          <w:szCs w:val="20"/>
        </w:rPr>
        <w:t xml:space="preserve"> </w:t>
      </w:r>
      <w:r w:rsidR="00BF76AF" w:rsidRPr="00730C0D">
        <w:rPr>
          <w:rFonts w:ascii="Century Gothic" w:hAnsi="Century Gothic"/>
          <w:sz w:val="20"/>
          <w:szCs w:val="20"/>
        </w:rPr>
        <w:t xml:space="preserve">or </w:t>
      </w:r>
      <w:r w:rsidR="007A5946" w:rsidRPr="00730C0D">
        <w:rPr>
          <w:rFonts w:ascii="Century Gothic" w:hAnsi="Century Gothic"/>
          <w:sz w:val="20"/>
          <w:szCs w:val="20"/>
        </w:rPr>
        <w:t>progression purposes. This</w:t>
      </w:r>
      <w:r w:rsidR="006E6616" w:rsidRPr="00730C0D">
        <w:rPr>
          <w:rFonts w:ascii="Century Gothic" w:hAnsi="Century Gothic"/>
          <w:sz w:val="20"/>
          <w:szCs w:val="20"/>
        </w:rPr>
        <w:t> </w:t>
      </w:r>
      <w:r w:rsidR="007A5946" w:rsidRPr="00730C0D">
        <w:rPr>
          <w:rFonts w:ascii="Century Gothic" w:hAnsi="Century Gothic"/>
          <w:sz w:val="20"/>
          <w:szCs w:val="20"/>
        </w:rPr>
        <w:t xml:space="preserve">category will be reserved for the highest performing higher education </w:t>
      </w:r>
      <w:r w:rsidR="00BF76AF" w:rsidRPr="00730C0D">
        <w:rPr>
          <w:rFonts w:ascii="Century Gothic" w:hAnsi="Century Gothic"/>
          <w:sz w:val="20"/>
          <w:szCs w:val="20"/>
        </w:rPr>
        <w:t xml:space="preserve">providers </w:t>
      </w:r>
      <w:r w:rsidR="007A5946" w:rsidRPr="00730C0D">
        <w:rPr>
          <w:rFonts w:ascii="Century Gothic" w:hAnsi="Century Gothic"/>
          <w:sz w:val="20"/>
          <w:szCs w:val="20"/>
        </w:rPr>
        <w:t xml:space="preserve">which are not universities. National Institutes of Higher Education will be recognised for meeting additional criteria to those required of other higher education providers outside the universities and will have a significant measure of self-accrediting authority status. </w:t>
      </w:r>
    </w:p>
    <w:p w14:paraId="7FCD840D" w14:textId="77777777" w:rsidR="007A5946" w:rsidRPr="00CF05C8" w:rsidRDefault="007A5946" w:rsidP="007A5946">
      <w:pPr>
        <w:spacing w:before="0" w:after="0"/>
        <w:rPr>
          <w:rFonts w:ascii="Century Gothic" w:hAnsi="Century Gothic"/>
          <w:sz w:val="14"/>
          <w:szCs w:val="14"/>
        </w:rPr>
      </w:pPr>
    </w:p>
    <w:tbl>
      <w:tblPr>
        <w:tblStyle w:val="TableGrid"/>
        <w:tblW w:w="0" w:type="auto"/>
        <w:tblLook w:val="04A0" w:firstRow="1" w:lastRow="0" w:firstColumn="1" w:lastColumn="0" w:noHBand="0" w:noVBand="1"/>
      </w:tblPr>
      <w:tblGrid>
        <w:gridCol w:w="2960"/>
        <w:gridCol w:w="6056"/>
      </w:tblGrid>
      <w:tr w:rsidR="007A5946" w:rsidRPr="00730C0D" w14:paraId="61A4645C" w14:textId="77777777" w:rsidTr="00BD1C6F">
        <w:trPr>
          <w:cnfStyle w:val="100000000000" w:firstRow="1" w:lastRow="0" w:firstColumn="0" w:lastColumn="0" w:oddVBand="0" w:evenVBand="0" w:oddHBand="0" w:evenHBand="0" w:firstRowFirstColumn="0" w:firstRowLastColumn="0" w:lastRowFirstColumn="0" w:lastRowLastColumn="0"/>
        </w:trPr>
        <w:tc>
          <w:tcPr>
            <w:tcW w:w="2972" w:type="dxa"/>
            <w:vAlign w:val="top"/>
          </w:tcPr>
          <w:p w14:paraId="0A4FEAAD" w14:textId="77777777" w:rsidR="007A5946" w:rsidRPr="00730C0D" w:rsidRDefault="007A5946" w:rsidP="00BD1C6F">
            <w:pPr>
              <w:spacing w:before="0" w:after="0" w:line="259" w:lineRule="auto"/>
              <w:rPr>
                <w:rFonts w:ascii="Century Gothic" w:hAnsi="Century Gothic"/>
                <w:sz w:val="20"/>
                <w:szCs w:val="20"/>
              </w:rPr>
            </w:pPr>
            <w:r w:rsidRPr="00730C0D">
              <w:rPr>
                <w:rFonts w:ascii="Century Gothic" w:hAnsi="Century Gothic"/>
                <w:sz w:val="20"/>
                <w:szCs w:val="20"/>
              </w:rPr>
              <w:t>Item</w:t>
            </w:r>
          </w:p>
        </w:tc>
        <w:tc>
          <w:tcPr>
            <w:tcW w:w="6088" w:type="dxa"/>
            <w:vAlign w:val="top"/>
          </w:tcPr>
          <w:p w14:paraId="36EA9D61" w14:textId="24024C01" w:rsidR="007A5946" w:rsidRPr="00730C0D" w:rsidRDefault="007A5946" w:rsidP="004321E2">
            <w:pPr>
              <w:spacing w:before="0" w:after="0" w:line="259" w:lineRule="auto"/>
              <w:rPr>
                <w:rFonts w:ascii="Century Gothic" w:hAnsi="Century Gothic"/>
                <w:sz w:val="20"/>
                <w:szCs w:val="20"/>
              </w:rPr>
            </w:pPr>
            <w:r w:rsidRPr="00730C0D">
              <w:rPr>
                <w:rFonts w:ascii="Century Gothic" w:hAnsi="Century Gothic"/>
                <w:sz w:val="20"/>
                <w:szCs w:val="20"/>
              </w:rPr>
              <w:t xml:space="preserve">Related </w:t>
            </w:r>
            <w:r w:rsidR="00075C16" w:rsidRPr="00730C0D">
              <w:rPr>
                <w:rFonts w:ascii="Century Gothic" w:hAnsi="Century Gothic"/>
                <w:sz w:val="20"/>
                <w:szCs w:val="20"/>
              </w:rPr>
              <w:t>A</w:t>
            </w:r>
            <w:r w:rsidRPr="00730C0D">
              <w:rPr>
                <w:rFonts w:ascii="Century Gothic" w:hAnsi="Century Gothic"/>
                <w:sz w:val="20"/>
                <w:szCs w:val="20"/>
              </w:rPr>
              <w:t>ction</w:t>
            </w:r>
          </w:p>
        </w:tc>
      </w:tr>
      <w:tr w:rsidR="007A5946" w:rsidRPr="00730C0D" w14:paraId="639AB341" w14:textId="77777777" w:rsidTr="00BD1C6F">
        <w:tc>
          <w:tcPr>
            <w:tcW w:w="2972" w:type="dxa"/>
            <w:vAlign w:val="top"/>
          </w:tcPr>
          <w:p w14:paraId="7AAAFA41" w14:textId="5D41AEC2" w:rsidR="007A5946" w:rsidRPr="00730C0D" w:rsidRDefault="00BF76AF">
            <w:pPr>
              <w:spacing w:before="0" w:after="0" w:line="259" w:lineRule="auto"/>
              <w:rPr>
                <w:rFonts w:ascii="Century Gothic" w:hAnsi="Century Gothic"/>
                <w:sz w:val="20"/>
                <w:szCs w:val="20"/>
              </w:rPr>
            </w:pPr>
            <w:r w:rsidRPr="00730C0D">
              <w:rPr>
                <w:rFonts w:ascii="Century Gothic" w:hAnsi="Century Gothic"/>
                <w:sz w:val="20"/>
                <w:szCs w:val="20"/>
              </w:rPr>
              <w:t>‘</w:t>
            </w:r>
            <w:r w:rsidR="00F11F68" w:rsidRPr="00730C0D">
              <w:rPr>
                <w:rFonts w:ascii="Century Gothic" w:hAnsi="Century Gothic"/>
                <w:sz w:val="20"/>
                <w:szCs w:val="20"/>
              </w:rPr>
              <w:t>National Institute of Higher Education</w:t>
            </w:r>
            <w:r w:rsidRPr="00730C0D">
              <w:rPr>
                <w:rFonts w:ascii="Century Gothic" w:hAnsi="Century Gothic"/>
                <w:sz w:val="20"/>
                <w:szCs w:val="20"/>
              </w:rPr>
              <w:t>’ category</w:t>
            </w:r>
          </w:p>
        </w:tc>
        <w:tc>
          <w:tcPr>
            <w:tcW w:w="6088" w:type="dxa"/>
            <w:vAlign w:val="top"/>
          </w:tcPr>
          <w:p w14:paraId="0C4F91D8" w14:textId="3BDA2B02" w:rsidR="007A5946" w:rsidRPr="00730C0D" w:rsidRDefault="007A5946">
            <w:pPr>
              <w:spacing w:before="0" w:after="0" w:line="259" w:lineRule="auto"/>
              <w:rPr>
                <w:rFonts w:ascii="Century Gothic" w:hAnsi="Century Gothic"/>
                <w:sz w:val="20"/>
                <w:szCs w:val="20"/>
              </w:rPr>
            </w:pPr>
            <w:r w:rsidRPr="00730C0D">
              <w:rPr>
                <w:rFonts w:ascii="Century Gothic" w:hAnsi="Century Gothic"/>
                <w:sz w:val="20"/>
                <w:szCs w:val="20"/>
              </w:rPr>
              <w:t xml:space="preserve">The Australian Government should consider policy arrangements that may support high quality providers that meet the standards of the </w:t>
            </w:r>
            <w:r w:rsidR="00DE5C63" w:rsidRPr="00730C0D">
              <w:rPr>
                <w:rFonts w:ascii="Century Gothic" w:hAnsi="Century Gothic"/>
                <w:sz w:val="20"/>
                <w:szCs w:val="20"/>
              </w:rPr>
              <w:t xml:space="preserve">proposed </w:t>
            </w:r>
            <w:r w:rsidRPr="00730C0D">
              <w:rPr>
                <w:rFonts w:ascii="Century Gothic" w:hAnsi="Century Gothic"/>
                <w:sz w:val="20"/>
                <w:szCs w:val="20"/>
              </w:rPr>
              <w:t xml:space="preserve">‘National Institute of Higher Education’ category. </w:t>
            </w:r>
          </w:p>
        </w:tc>
      </w:tr>
    </w:tbl>
    <w:p w14:paraId="40DBAFC3" w14:textId="77777777" w:rsidR="007A5946" w:rsidRPr="00CF05C8" w:rsidRDefault="007A5946" w:rsidP="007A5946">
      <w:pPr>
        <w:pStyle w:val="Heading2"/>
        <w:spacing w:after="0" w:line="240" w:lineRule="auto"/>
        <w:rPr>
          <w:sz w:val="20"/>
          <w:szCs w:val="20"/>
        </w:rPr>
      </w:pPr>
    </w:p>
    <w:p w14:paraId="46F29BF0" w14:textId="77777777"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Recommendation 4</w:t>
      </w:r>
    </w:p>
    <w:p w14:paraId="3EFEF91A" w14:textId="5EF5C80B" w:rsidR="00F56055" w:rsidRDefault="00DE5C63" w:rsidP="006050EC">
      <w:pPr>
        <w:spacing w:before="0" w:after="0"/>
        <w:ind w:right="-188"/>
        <w:rPr>
          <w:rFonts w:ascii="Century Gothic" w:hAnsi="Century Gothic"/>
          <w:sz w:val="20"/>
          <w:szCs w:val="20"/>
        </w:rPr>
      </w:pPr>
      <w:r w:rsidRPr="00730C0D">
        <w:rPr>
          <w:rFonts w:ascii="Century Gothic" w:hAnsi="Century Gothic"/>
          <w:sz w:val="20"/>
          <w:szCs w:val="20"/>
        </w:rPr>
        <w:t xml:space="preserve">The Higher Education Provider Category Standards </w:t>
      </w:r>
      <w:r w:rsidR="00637677">
        <w:rPr>
          <w:rFonts w:ascii="Century Gothic" w:hAnsi="Century Gothic"/>
          <w:sz w:val="20"/>
          <w:szCs w:val="20"/>
        </w:rPr>
        <w:t xml:space="preserve">must enable providers to transition to </w:t>
      </w:r>
      <w:r w:rsidR="006050EC">
        <w:rPr>
          <w:rFonts w:ascii="Century Gothic" w:hAnsi="Century Gothic"/>
          <w:sz w:val="20"/>
          <w:szCs w:val="20"/>
        </w:rPr>
        <w:br/>
      </w:r>
      <w:r w:rsidR="00637677">
        <w:rPr>
          <w:rFonts w:ascii="Century Gothic" w:hAnsi="Century Gothic"/>
          <w:sz w:val="20"/>
          <w:szCs w:val="20"/>
        </w:rPr>
        <w:t xml:space="preserve">other categories and grow their course and research offerings. </w:t>
      </w:r>
      <w:r w:rsidRPr="00730C0D">
        <w:rPr>
          <w:rFonts w:ascii="Century Gothic" w:hAnsi="Century Gothic"/>
          <w:sz w:val="20"/>
          <w:szCs w:val="20"/>
        </w:rPr>
        <w:t>This should be</w:t>
      </w:r>
      <w:r w:rsidR="00DB17A5">
        <w:rPr>
          <w:rFonts w:ascii="Century Gothic" w:hAnsi="Century Gothic"/>
          <w:sz w:val="20"/>
          <w:szCs w:val="20"/>
        </w:rPr>
        <w:t xml:space="preserve"> </w:t>
      </w:r>
      <w:r w:rsidRPr="00730C0D">
        <w:rPr>
          <w:rFonts w:ascii="Century Gothic" w:hAnsi="Century Gothic"/>
          <w:sz w:val="20"/>
          <w:szCs w:val="20"/>
        </w:rPr>
        <w:t xml:space="preserve">complemented by a </w:t>
      </w:r>
      <w:r w:rsidR="009E3E10">
        <w:rPr>
          <w:rFonts w:ascii="Century Gothic" w:hAnsi="Century Gothic"/>
          <w:sz w:val="20"/>
          <w:szCs w:val="20"/>
        </w:rPr>
        <w:t xml:space="preserve">guidance </w:t>
      </w:r>
      <w:r w:rsidRPr="00730C0D">
        <w:rPr>
          <w:rFonts w:ascii="Century Gothic" w:hAnsi="Century Gothic"/>
          <w:sz w:val="20"/>
          <w:szCs w:val="20"/>
        </w:rPr>
        <w:t>framework developed by t</w:t>
      </w:r>
      <w:r w:rsidR="007A5946" w:rsidRPr="00730C0D">
        <w:rPr>
          <w:rFonts w:ascii="Century Gothic" w:hAnsi="Century Gothic"/>
          <w:sz w:val="20"/>
          <w:szCs w:val="20"/>
        </w:rPr>
        <w:t>he Tertiary Education Quality and Standards Agency</w:t>
      </w:r>
      <w:r w:rsidR="005B126B" w:rsidRPr="00730C0D">
        <w:rPr>
          <w:rFonts w:ascii="Century Gothic" w:hAnsi="Century Gothic"/>
          <w:sz w:val="20"/>
          <w:szCs w:val="20"/>
        </w:rPr>
        <w:t xml:space="preserve">. </w:t>
      </w:r>
      <w:r w:rsidR="007A5946" w:rsidRPr="00730C0D">
        <w:rPr>
          <w:rFonts w:ascii="Century Gothic" w:hAnsi="Century Gothic"/>
          <w:sz w:val="20"/>
          <w:szCs w:val="20"/>
        </w:rPr>
        <w:t xml:space="preserve">This will better assist providers in their successful transition to other categories and </w:t>
      </w:r>
      <w:r w:rsidR="006050EC">
        <w:rPr>
          <w:rFonts w:ascii="Century Gothic" w:hAnsi="Century Gothic"/>
          <w:sz w:val="20"/>
          <w:szCs w:val="20"/>
        </w:rPr>
        <w:br/>
      </w:r>
      <w:r w:rsidR="007A5946" w:rsidRPr="00730C0D">
        <w:rPr>
          <w:rFonts w:ascii="Century Gothic" w:hAnsi="Century Gothic"/>
          <w:sz w:val="20"/>
          <w:szCs w:val="20"/>
        </w:rPr>
        <w:t>will both encourage and support excellence, differentiation</w:t>
      </w:r>
      <w:r w:rsidR="00C13BBC" w:rsidRPr="00730C0D">
        <w:rPr>
          <w:rFonts w:ascii="Century Gothic" w:hAnsi="Century Gothic"/>
          <w:sz w:val="20"/>
          <w:szCs w:val="20"/>
        </w:rPr>
        <w:t>,</w:t>
      </w:r>
      <w:r w:rsidR="007A5946" w:rsidRPr="00730C0D">
        <w:rPr>
          <w:rFonts w:ascii="Century Gothic" w:hAnsi="Century Gothic"/>
          <w:sz w:val="20"/>
          <w:szCs w:val="20"/>
        </w:rPr>
        <w:t xml:space="preserve"> and innovation. </w:t>
      </w:r>
    </w:p>
    <w:p w14:paraId="0772A8D3" w14:textId="77777777" w:rsidR="00F56055" w:rsidRPr="00730C0D" w:rsidRDefault="00F56055" w:rsidP="007A5946">
      <w:pPr>
        <w:spacing w:before="0" w:after="0"/>
        <w:rPr>
          <w:rFonts w:ascii="Century Gothic" w:hAnsi="Century Gothic"/>
          <w:sz w:val="20"/>
          <w:szCs w:val="20"/>
        </w:rPr>
      </w:pPr>
    </w:p>
    <w:p w14:paraId="2C2935C9" w14:textId="44CBAA9D"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Recommendation 5</w:t>
      </w:r>
    </w:p>
    <w:p w14:paraId="4A52029D" w14:textId="7F9686B3" w:rsidR="00F11F68" w:rsidRPr="00CF05C8" w:rsidRDefault="00325FE4" w:rsidP="007A5946">
      <w:pPr>
        <w:spacing w:before="0" w:after="0"/>
        <w:rPr>
          <w:rFonts w:ascii="Century Gothic" w:eastAsiaTheme="majorEastAsia" w:hAnsi="Century Gothic" w:cstheme="majorBidi"/>
          <w:b/>
          <w:color w:val="2763AC"/>
          <w:sz w:val="20"/>
          <w:szCs w:val="20"/>
        </w:rPr>
      </w:pPr>
      <w:r w:rsidRPr="00730C0D">
        <w:rPr>
          <w:rFonts w:ascii="Century Gothic" w:hAnsi="Century Gothic"/>
          <w:sz w:val="20"/>
          <w:szCs w:val="20"/>
        </w:rPr>
        <w:t>Along with teaching, t</w:t>
      </w:r>
      <w:r w:rsidR="007A5946" w:rsidRPr="00730C0D">
        <w:rPr>
          <w:rFonts w:ascii="Century Gothic" w:hAnsi="Century Gothic"/>
          <w:sz w:val="20"/>
          <w:szCs w:val="20"/>
        </w:rPr>
        <w:t xml:space="preserve">he undertaking of research is, and should remain, a defining feature of what it means to be a university in Australia; a </w:t>
      </w:r>
      <w:r w:rsidRPr="00730C0D">
        <w:rPr>
          <w:rFonts w:ascii="Century Gothic" w:hAnsi="Century Gothic"/>
          <w:sz w:val="20"/>
          <w:szCs w:val="20"/>
        </w:rPr>
        <w:t xml:space="preserve">threshold </w:t>
      </w:r>
      <w:r w:rsidR="007A5946" w:rsidRPr="00730C0D">
        <w:rPr>
          <w:rFonts w:ascii="Century Gothic" w:hAnsi="Century Gothic"/>
          <w:sz w:val="20"/>
          <w:szCs w:val="20"/>
        </w:rPr>
        <w:t>benchmark of quality and quantity of research should be included in the Higher Education Provider Category Standards.</w:t>
      </w:r>
      <w:r w:rsidR="008F7B84" w:rsidRPr="00730C0D">
        <w:rPr>
          <w:rFonts w:ascii="Century Gothic" w:hAnsi="Century Gothic"/>
          <w:sz w:val="20"/>
          <w:szCs w:val="20"/>
        </w:rPr>
        <w:t xml:space="preserve"> </w:t>
      </w:r>
      <w:r w:rsidR="00DE5C63" w:rsidRPr="00730C0D">
        <w:rPr>
          <w:rFonts w:ascii="Century Gothic" w:hAnsi="Century Gothic"/>
          <w:sz w:val="20"/>
          <w:szCs w:val="20"/>
        </w:rPr>
        <w:br/>
        <w:t xml:space="preserve">This </w:t>
      </w:r>
      <w:r w:rsidRPr="00730C0D">
        <w:rPr>
          <w:rFonts w:ascii="Century Gothic" w:hAnsi="Century Gothic"/>
          <w:sz w:val="20"/>
          <w:szCs w:val="20"/>
        </w:rPr>
        <w:t xml:space="preserve">threshold </w:t>
      </w:r>
      <w:r w:rsidR="008F7B84" w:rsidRPr="00730C0D">
        <w:rPr>
          <w:rFonts w:ascii="Century Gothic" w:hAnsi="Century Gothic"/>
          <w:sz w:val="20"/>
          <w:szCs w:val="20"/>
        </w:rPr>
        <w:t xml:space="preserve">benchmark for research quality should be augmented over time. </w:t>
      </w:r>
    </w:p>
    <w:p w14:paraId="2402A6AE" w14:textId="77777777"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Recommendation 6</w:t>
      </w:r>
    </w:p>
    <w:p w14:paraId="14C1154A" w14:textId="4CBA80A1" w:rsidR="007A5946" w:rsidRPr="00730C0D" w:rsidRDefault="007A5946" w:rsidP="007A5946">
      <w:pPr>
        <w:spacing w:before="0" w:after="0"/>
        <w:rPr>
          <w:rFonts w:ascii="Century Gothic" w:hAnsi="Century Gothic"/>
          <w:sz w:val="20"/>
          <w:szCs w:val="20"/>
        </w:rPr>
      </w:pPr>
      <w:r w:rsidRPr="00730C0D">
        <w:rPr>
          <w:rFonts w:ascii="Century Gothic" w:hAnsi="Century Gothic"/>
          <w:sz w:val="20"/>
          <w:szCs w:val="20"/>
        </w:rPr>
        <w:t xml:space="preserve">Requirements related to </w:t>
      </w:r>
      <w:r w:rsidR="00B9556F" w:rsidRPr="00730C0D">
        <w:rPr>
          <w:rFonts w:ascii="Century Gothic" w:hAnsi="Century Gothic"/>
          <w:sz w:val="20"/>
          <w:szCs w:val="20"/>
        </w:rPr>
        <w:t xml:space="preserve">industry engagement, </w:t>
      </w:r>
      <w:r w:rsidRPr="00730C0D">
        <w:rPr>
          <w:rFonts w:ascii="Century Gothic" w:hAnsi="Century Gothic"/>
          <w:sz w:val="20"/>
          <w:szCs w:val="20"/>
        </w:rPr>
        <w:t>civic leadership,</w:t>
      </w:r>
      <w:r w:rsidR="00B9556F" w:rsidRPr="00730C0D">
        <w:rPr>
          <w:rFonts w:ascii="Century Gothic" w:hAnsi="Century Gothic"/>
          <w:sz w:val="20"/>
          <w:szCs w:val="20"/>
        </w:rPr>
        <w:t xml:space="preserve"> and</w:t>
      </w:r>
      <w:r w:rsidRPr="00730C0D">
        <w:rPr>
          <w:rFonts w:ascii="Century Gothic" w:hAnsi="Century Gothic"/>
          <w:sz w:val="20"/>
          <w:szCs w:val="20"/>
        </w:rPr>
        <w:t xml:space="preserve"> community engagement</w:t>
      </w:r>
      <w:r w:rsidR="00B9556F" w:rsidRPr="00730C0D">
        <w:rPr>
          <w:rFonts w:ascii="Century Gothic" w:hAnsi="Century Gothic"/>
          <w:sz w:val="20"/>
          <w:szCs w:val="20"/>
        </w:rPr>
        <w:t xml:space="preserve"> </w:t>
      </w:r>
      <w:r w:rsidRPr="00730C0D">
        <w:rPr>
          <w:rFonts w:ascii="Century Gothic" w:hAnsi="Century Gothic"/>
          <w:sz w:val="20"/>
          <w:szCs w:val="20"/>
        </w:rPr>
        <w:t xml:space="preserve">should be introduced or bolstered in the university categories of the </w:t>
      </w:r>
      <w:r w:rsidR="00DE5C63" w:rsidRPr="00730C0D">
        <w:rPr>
          <w:rFonts w:ascii="Century Gothic" w:hAnsi="Century Gothic"/>
          <w:sz w:val="20"/>
          <w:szCs w:val="20"/>
        </w:rPr>
        <w:br/>
      </w:r>
      <w:r w:rsidRPr="00730C0D">
        <w:rPr>
          <w:rFonts w:ascii="Century Gothic" w:hAnsi="Century Gothic"/>
          <w:sz w:val="20"/>
          <w:szCs w:val="20"/>
        </w:rPr>
        <w:t>Higher Education Provider Category Standards.</w:t>
      </w:r>
      <w:r w:rsidR="00325FE4" w:rsidRPr="00730C0D">
        <w:rPr>
          <w:rFonts w:ascii="Century Gothic" w:hAnsi="Century Gothic"/>
          <w:sz w:val="20"/>
          <w:szCs w:val="20"/>
        </w:rPr>
        <w:t xml:space="preserve"> Industry engagement requirements </w:t>
      </w:r>
      <w:r w:rsidR="00806B0A" w:rsidRPr="00730C0D">
        <w:rPr>
          <w:rFonts w:ascii="Century Gothic" w:hAnsi="Century Gothic"/>
          <w:sz w:val="20"/>
          <w:szCs w:val="20"/>
        </w:rPr>
        <w:t>should</w:t>
      </w:r>
      <w:r w:rsidR="00325FE4" w:rsidRPr="00730C0D">
        <w:rPr>
          <w:rFonts w:ascii="Century Gothic" w:hAnsi="Century Gothic"/>
          <w:sz w:val="20"/>
          <w:szCs w:val="20"/>
        </w:rPr>
        <w:t xml:space="preserve"> also be part of the </w:t>
      </w:r>
      <w:r w:rsidR="00986E98">
        <w:rPr>
          <w:rFonts w:ascii="Century Gothic" w:hAnsi="Century Gothic"/>
          <w:sz w:val="20"/>
          <w:szCs w:val="20"/>
        </w:rPr>
        <w:t xml:space="preserve">proposed </w:t>
      </w:r>
      <w:r w:rsidR="00325FE4" w:rsidRPr="00730C0D">
        <w:rPr>
          <w:rFonts w:ascii="Century Gothic" w:hAnsi="Century Gothic"/>
          <w:sz w:val="20"/>
          <w:szCs w:val="20"/>
        </w:rPr>
        <w:t>‘National Institute of Higher Education’ category.</w:t>
      </w:r>
    </w:p>
    <w:p w14:paraId="4E5A7493" w14:textId="77777777" w:rsidR="007A5946" w:rsidRPr="00CF05C8" w:rsidRDefault="007A5946" w:rsidP="007A5946">
      <w:pPr>
        <w:spacing w:before="0" w:after="0"/>
        <w:rPr>
          <w:rFonts w:ascii="Century Gothic" w:hAnsi="Century Gothic"/>
          <w:sz w:val="20"/>
          <w:szCs w:val="20"/>
        </w:rPr>
      </w:pPr>
    </w:p>
    <w:p w14:paraId="0969F10C" w14:textId="47BE8A8B" w:rsidR="00C12F75" w:rsidRPr="00730C0D" w:rsidRDefault="00C12F75" w:rsidP="00C12F75">
      <w:pPr>
        <w:spacing w:before="0" w:after="0"/>
        <w:rPr>
          <w:rFonts w:ascii="Century Gothic" w:hAnsi="Century Gothic"/>
          <w:b/>
          <w:color w:val="2763AC"/>
          <w:sz w:val="28"/>
          <w:szCs w:val="28"/>
        </w:rPr>
      </w:pPr>
      <w:r>
        <w:rPr>
          <w:rFonts w:ascii="Century Gothic" w:hAnsi="Century Gothic"/>
          <w:b/>
          <w:color w:val="2763AC"/>
          <w:sz w:val="28"/>
          <w:szCs w:val="28"/>
        </w:rPr>
        <w:t>Recommendation 7</w:t>
      </w:r>
    </w:p>
    <w:p w14:paraId="40510711" w14:textId="160825D1" w:rsidR="00C12F75" w:rsidRPr="00E33BBC" w:rsidRDefault="00A16AF8" w:rsidP="00C12F75">
      <w:pPr>
        <w:spacing w:before="0" w:after="0"/>
        <w:rPr>
          <w:rFonts w:ascii="Century Gothic" w:hAnsi="Century Gothic"/>
          <w:sz w:val="20"/>
          <w:szCs w:val="20"/>
        </w:rPr>
      </w:pPr>
      <w:r>
        <w:rPr>
          <w:rFonts w:ascii="Century Gothic" w:hAnsi="Century Gothic"/>
          <w:sz w:val="20"/>
          <w:szCs w:val="20"/>
        </w:rPr>
        <w:t xml:space="preserve">To ensure </w:t>
      </w:r>
      <w:r w:rsidRPr="00980208">
        <w:rPr>
          <w:rFonts w:ascii="Century Gothic" w:hAnsi="Century Gothic"/>
          <w:sz w:val="20"/>
          <w:szCs w:val="20"/>
        </w:rPr>
        <w:t xml:space="preserve">Australia’s higher education sector </w:t>
      </w:r>
      <w:r>
        <w:rPr>
          <w:rFonts w:ascii="Century Gothic" w:hAnsi="Century Gothic"/>
          <w:sz w:val="20"/>
          <w:szCs w:val="20"/>
        </w:rPr>
        <w:t xml:space="preserve">is positioned </w:t>
      </w:r>
      <w:r w:rsidRPr="00980208">
        <w:rPr>
          <w:rFonts w:ascii="Century Gothic" w:hAnsi="Century Gothic"/>
          <w:sz w:val="20"/>
          <w:szCs w:val="20"/>
        </w:rPr>
        <w:t>to support innovation</w:t>
      </w:r>
      <w:r>
        <w:rPr>
          <w:rFonts w:ascii="Century Gothic" w:hAnsi="Century Gothic"/>
          <w:sz w:val="20"/>
          <w:szCs w:val="20"/>
        </w:rPr>
        <w:t>, population growth, and demand for higher education in the future, t</w:t>
      </w:r>
      <w:r w:rsidR="00980208" w:rsidRPr="00980208">
        <w:rPr>
          <w:rFonts w:ascii="Century Gothic" w:hAnsi="Century Gothic"/>
          <w:sz w:val="20"/>
          <w:szCs w:val="20"/>
        </w:rPr>
        <w:t>he </w:t>
      </w:r>
      <w:r w:rsidR="00980208" w:rsidRPr="00392286">
        <w:rPr>
          <w:rFonts w:ascii="Century Gothic" w:hAnsi="Century Gothic"/>
          <w:i/>
          <w:sz w:val="20"/>
          <w:szCs w:val="20"/>
        </w:rPr>
        <w:t>Tertiary Education Quality</w:t>
      </w:r>
      <w:r w:rsidR="00C30652">
        <w:rPr>
          <w:rFonts w:ascii="Century Gothic" w:hAnsi="Century Gothic"/>
          <w:i/>
          <w:sz w:val="20"/>
          <w:szCs w:val="20"/>
        </w:rPr>
        <w:t xml:space="preserve"> and</w:t>
      </w:r>
      <w:r w:rsidR="00980208" w:rsidRPr="00392286">
        <w:rPr>
          <w:rFonts w:ascii="Century Gothic" w:hAnsi="Century Gothic"/>
          <w:i/>
          <w:sz w:val="20"/>
          <w:szCs w:val="20"/>
        </w:rPr>
        <w:t xml:space="preserve"> Standards </w:t>
      </w:r>
      <w:r w:rsidR="00C30652">
        <w:rPr>
          <w:rFonts w:ascii="Century Gothic" w:hAnsi="Century Gothic"/>
          <w:i/>
          <w:sz w:val="20"/>
          <w:szCs w:val="20"/>
        </w:rPr>
        <w:t xml:space="preserve">Agency </w:t>
      </w:r>
      <w:r w:rsidR="00980208" w:rsidRPr="00392286">
        <w:rPr>
          <w:rFonts w:ascii="Century Gothic" w:hAnsi="Century Gothic"/>
          <w:i/>
          <w:sz w:val="20"/>
          <w:szCs w:val="20"/>
        </w:rPr>
        <w:t>Act 2011</w:t>
      </w:r>
      <w:r w:rsidR="00980208" w:rsidRPr="00980208">
        <w:rPr>
          <w:rFonts w:ascii="Century Gothic" w:hAnsi="Century Gothic"/>
          <w:sz w:val="20"/>
          <w:szCs w:val="20"/>
        </w:rPr>
        <w:t> should be amended to</w:t>
      </w:r>
      <w:r w:rsidR="00E33BBC">
        <w:rPr>
          <w:rFonts w:ascii="Century Gothic" w:hAnsi="Century Gothic"/>
          <w:sz w:val="20"/>
          <w:szCs w:val="20"/>
        </w:rPr>
        <w:t xml:space="preserve"> allow for ‘greenfield’ </w:t>
      </w:r>
      <w:r w:rsidR="00F65FF8">
        <w:rPr>
          <w:rFonts w:ascii="Century Gothic" w:hAnsi="Century Gothic"/>
          <w:sz w:val="20"/>
          <w:szCs w:val="20"/>
        </w:rPr>
        <w:t>universities</w:t>
      </w:r>
      <w:r w:rsidR="00980208" w:rsidRPr="00980208">
        <w:rPr>
          <w:rFonts w:ascii="Century Gothic" w:hAnsi="Century Gothic"/>
          <w:sz w:val="20"/>
          <w:szCs w:val="20"/>
        </w:rPr>
        <w:t>. </w:t>
      </w:r>
      <w:r w:rsidR="00980208">
        <w:rPr>
          <w:rFonts w:ascii="Century Gothic" w:hAnsi="Century Gothic"/>
          <w:sz w:val="20"/>
          <w:szCs w:val="20"/>
        </w:rPr>
        <w:t xml:space="preserve"> </w:t>
      </w:r>
      <w:r w:rsidR="00C12F75" w:rsidRPr="00730C0D">
        <w:rPr>
          <w:rFonts w:ascii="Century Gothic" w:hAnsi="Century Gothic"/>
          <w:sz w:val="20"/>
          <w:szCs w:val="20"/>
        </w:rPr>
        <w:br/>
      </w:r>
    </w:p>
    <w:p w14:paraId="7F370A2F" w14:textId="29E58737"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 xml:space="preserve">Recommendation </w:t>
      </w:r>
      <w:r w:rsidR="00F56055">
        <w:rPr>
          <w:rFonts w:ascii="Century Gothic" w:hAnsi="Century Gothic"/>
          <w:b/>
          <w:color w:val="2763AC"/>
          <w:sz w:val="28"/>
          <w:szCs w:val="28"/>
        </w:rPr>
        <w:t>8</w:t>
      </w:r>
    </w:p>
    <w:p w14:paraId="7D8EA4A8" w14:textId="519F71E8" w:rsidR="007A5946" w:rsidRPr="00730C0D" w:rsidRDefault="007A5946" w:rsidP="007A5946">
      <w:pPr>
        <w:spacing w:before="0" w:after="0"/>
        <w:rPr>
          <w:rFonts w:ascii="Century Gothic" w:eastAsia="Calibri" w:hAnsi="Century Gothic" w:cs="Arial"/>
          <w:sz w:val="20"/>
          <w:szCs w:val="20"/>
        </w:rPr>
      </w:pPr>
      <w:r w:rsidRPr="00730C0D">
        <w:rPr>
          <w:rFonts w:ascii="Century Gothic" w:hAnsi="Century Gothic"/>
          <w:sz w:val="20"/>
          <w:szCs w:val="20"/>
        </w:rPr>
        <w:t xml:space="preserve">The criteria for </w:t>
      </w:r>
      <w:r w:rsidR="00DE5C63" w:rsidRPr="00730C0D">
        <w:rPr>
          <w:rFonts w:ascii="Century Gothic" w:hAnsi="Century Gothic"/>
          <w:sz w:val="20"/>
          <w:szCs w:val="20"/>
        </w:rPr>
        <w:t xml:space="preserve">seeking </w:t>
      </w:r>
      <w:r w:rsidRPr="00730C0D">
        <w:rPr>
          <w:rFonts w:ascii="Century Gothic" w:hAnsi="Century Gothic"/>
          <w:sz w:val="20"/>
          <w:szCs w:val="20"/>
        </w:rPr>
        <w:t>self</w:t>
      </w:r>
      <w:r w:rsidRPr="00730C0D">
        <w:rPr>
          <w:rFonts w:ascii="Century Gothic" w:hAnsi="Century Gothic"/>
          <w:sz w:val="20"/>
          <w:szCs w:val="20"/>
        </w:rPr>
        <w:noBreakHyphen/>
        <w:t xml:space="preserve">accrediting authority should be amended to simply and clearly articulate the </w:t>
      </w:r>
      <w:r w:rsidRPr="00730C0D">
        <w:rPr>
          <w:rFonts w:ascii="Century Gothic" w:eastAsia="Calibri" w:hAnsi="Century Gothic" w:cs="Arial"/>
          <w:sz w:val="20"/>
          <w:szCs w:val="20"/>
        </w:rPr>
        <w:t>types of self-accred</w:t>
      </w:r>
      <w:r w:rsidR="004C2EF9" w:rsidRPr="00730C0D">
        <w:rPr>
          <w:rFonts w:ascii="Century Gothic" w:eastAsia="Calibri" w:hAnsi="Century Gothic" w:cs="Arial"/>
          <w:sz w:val="20"/>
          <w:szCs w:val="20"/>
        </w:rPr>
        <w:t>i</w:t>
      </w:r>
      <w:r w:rsidR="00A354B2">
        <w:rPr>
          <w:rFonts w:ascii="Century Gothic" w:eastAsia="Calibri" w:hAnsi="Century Gothic" w:cs="Arial"/>
          <w:sz w:val="20"/>
          <w:szCs w:val="20"/>
        </w:rPr>
        <w:t>ting authority</w:t>
      </w:r>
      <w:r w:rsidRPr="00730C0D">
        <w:rPr>
          <w:rFonts w:ascii="Century Gothic" w:eastAsia="Calibri" w:hAnsi="Century Gothic" w:cs="Arial"/>
          <w:sz w:val="20"/>
          <w:szCs w:val="20"/>
        </w:rPr>
        <w:t xml:space="preserve"> </w:t>
      </w:r>
      <w:r w:rsidRPr="00730C0D">
        <w:rPr>
          <w:rFonts w:ascii="Century Gothic" w:hAnsi="Century Gothic"/>
          <w:sz w:val="20"/>
          <w:szCs w:val="20"/>
        </w:rPr>
        <w:t xml:space="preserve">(limited and unlimited) </w:t>
      </w:r>
      <w:r w:rsidRPr="00730C0D">
        <w:rPr>
          <w:rFonts w:ascii="Century Gothic" w:eastAsia="Calibri" w:hAnsi="Century Gothic" w:cs="Arial"/>
          <w:sz w:val="20"/>
          <w:szCs w:val="20"/>
        </w:rPr>
        <w:t>that can be authori</w:t>
      </w:r>
      <w:r w:rsidR="004C2EF9" w:rsidRPr="00730C0D">
        <w:rPr>
          <w:rFonts w:ascii="Century Gothic" w:eastAsia="Calibri" w:hAnsi="Century Gothic" w:cs="Arial"/>
          <w:sz w:val="20"/>
          <w:szCs w:val="20"/>
        </w:rPr>
        <w:t>s</w:t>
      </w:r>
      <w:r w:rsidRPr="00730C0D">
        <w:rPr>
          <w:rFonts w:ascii="Century Gothic" w:eastAsia="Calibri" w:hAnsi="Century Gothic" w:cs="Arial"/>
          <w:sz w:val="20"/>
          <w:szCs w:val="20"/>
        </w:rPr>
        <w:t xml:space="preserve">ed by </w:t>
      </w:r>
      <w:r w:rsidRPr="00730C0D">
        <w:rPr>
          <w:rFonts w:ascii="Century Gothic" w:hAnsi="Century Gothic"/>
          <w:sz w:val="20"/>
          <w:szCs w:val="20"/>
        </w:rPr>
        <w:t xml:space="preserve">the Tertiary Education Quality and Standards Agency </w:t>
      </w:r>
      <w:r w:rsidRPr="00730C0D">
        <w:rPr>
          <w:rFonts w:ascii="Century Gothic" w:eastAsia="Calibri" w:hAnsi="Century Gothic" w:cs="Arial"/>
          <w:sz w:val="20"/>
          <w:szCs w:val="20"/>
        </w:rPr>
        <w:t>and the requirements to be demonstrated by provider</w:t>
      </w:r>
      <w:r w:rsidR="004C2EF9" w:rsidRPr="00730C0D">
        <w:rPr>
          <w:rFonts w:ascii="Century Gothic" w:eastAsia="Calibri" w:hAnsi="Century Gothic" w:cs="Arial"/>
          <w:sz w:val="20"/>
          <w:szCs w:val="20"/>
        </w:rPr>
        <w:t>s seeking self-accreditation status</w:t>
      </w:r>
      <w:r w:rsidRPr="00730C0D">
        <w:rPr>
          <w:rFonts w:ascii="Century Gothic" w:eastAsia="Calibri" w:hAnsi="Century Gothic" w:cs="Arial"/>
          <w:sz w:val="20"/>
          <w:szCs w:val="20"/>
        </w:rPr>
        <w:t xml:space="preserve">. </w:t>
      </w:r>
    </w:p>
    <w:p w14:paraId="644FBD56" w14:textId="77777777" w:rsidR="007A5946" w:rsidRPr="00CF05C8" w:rsidRDefault="007A5946" w:rsidP="007A5946">
      <w:pPr>
        <w:spacing w:before="0" w:after="0"/>
        <w:rPr>
          <w:rFonts w:ascii="Century Gothic" w:hAnsi="Century Gothic"/>
          <w:sz w:val="20"/>
          <w:szCs w:val="20"/>
        </w:rPr>
      </w:pPr>
    </w:p>
    <w:p w14:paraId="621F7344" w14:textId="658123F1" w:rsidR="007A5946" w:rsidRPr="00730C0D" w:rsidRDefault="007A5946" w:rsidP="007A5946">
      <w:pPr>
        <w:spacing w:before="0" w:after="0"/>
        <w:rPr>
          <w:rFonts w:ascii="Century Gothic" w:hAnsi="Century Gothic"/>
          <w:b/>
          <w:color w:val="2763AC"/>
          <w:sz w:val="28"/>
          <w:szCs w:val="28"/>
        </w:rPr>
      </w:pPr>
      <w:r w:rsidRPr="00730C0D">
        <w:rPr>
          <w:rFonts w:ascii="Century Gothic" w:hAnsi="Century Gothic"/>
          <w:b/>
          <w:color w:val="2763AC"/>
          <w:sz w:val="28"/>
          <w:szCs w:val="28"/>
        </w:rPr>
        <w:t xml:space="preserve">Recommendation </w:t>
      </w:r>
      <w:r w:rsidR="00F56055">
        <w:rPr>
          <w:rFonts w:ascii="Century Gothic" w:hAnsi="Century Gothic"/>
          <w:b/>
          <w:color w:val="2763AC"/>
          <w:sz w:val="28"/>
          <w:szCs w:val="28"/>
        </w:rPr>
        <w:t>9</w:t>
      </w:r>
    </w:p>
    <w:p w14:paraId="6B95EE89" w14:textId="484C6C90" w:rsidR="007A5946" w:rsidRPr="00730C0D" w:rsidRDefault="007A5946" w:rsidP="007A5946">
      <w:pPr>
        <w:spacing w:before="0" w:after="0"/>
        <w:rPr>
          <w:rFonts w:ascii="Century Gothic" w:hAnsi="Century Gothic"/>
          <w:sz w:val="20"/>
          <w:szCs w:val="20"/>
        </w:rPr>
      </w:pPr>
      <w:r w:rsidRPr="00730C0D">
        <w:rPr>
          <w:rFonts w:ascii="Century Gothic" w:hAnsi="Century Gothic"/>
          <w:sz w:val="20"/>
          <w:szCs w:val="20"/>
        </w:rPr>
        <w:t>The essential purpose of regulating the nomenclature of institutions via the Higher Education Provider Category Standards is consumer protection. There should be, therefore, greater transparency and awareness-raising of the Higher Education Provider Category Standards, including the requirements expected of providers by different category type. This will be for the benefit of potential students, industry</w:t>
      </w:r>
      <w:r w:rsidR="00A711A4" w:rsidRPr="00730C0D">
        <w:rPr>
          <w:rFonts w:ascii="Century Gothic" w:hAnsi="Century Gothic"/>
          <w:sz w:val="20"/>
          <w:szCs w:val="20"/>
        </w:rPr>
        <w:t>,</w:t>
      </w:r>
      <w:r w:rsidRPr="00730C0D">
        <w:rPr>
          <w:rFonts w:ascii="Century Gothic" w:hAnsi="Century Gothic"/>
          <w:sz w:val="20"/>
          <w:szCs w:val="20"/>
        </w:rPr>
        <w:t xml:space="preserve"> and employers, both domestic and international. </w:t>
      </w:r>
    </w:p>
    <w:p w14:paraId="71ED011E" w14:textId="77777777" w:rsidR="007A5946" w:rsidRPr="00CF05C8" w:rsidRDefault="007A5946" w:rsidP="007A5946">
      <w:pPr>
        <w:spacing w:before="0" w:after="0"/>
        <w:rPr>
          <w:rFonts w:ascii="Century Gothic" w:hAnsi="Century Gothic"/>
          <w:sz w:val="14"/>
          <w:szCs w:val="14"/>
        </w:rPr>
      </w:pPr>
    </w:p>
    <w:tbl>
      <w:tblPr>
        <w:tblStyle w:val="TableGrid"/>
        <w:tblW w:w="0" w:type="auto"/>
        <w:tblLook w:val="04A0" w:firstRow="1" w:lastRow="0" w:firstColumn="1" w:lastColumn="0" w:noHBand="0" w:noVBand="1"/>
      </w:tblPr>
      <w:tblGrid>
        <w:gridCol w:w="2963"/>
        <w:gridCol w:w="6053"/>
      </w:tblGrid>
      <w:tr w:rsidR="007A5946" w:rsidRPr="00730C0D" w14:paraId="2F422BBE" w14:textId="77777777" w:rsidTr="00BD1C6F">
        <w:trPr>
          <w:cnfStyle w:val="100000000000" w:firstRow="1" w:lastRow="0" w:firstColumn="0" w:lastColumn="0" w:oddVBand="0" w:evenVBand="0" w:oddHBand="0" w:evenHBand="0" w:firstRowFirstColumn="0" w:firstRowLastColumn="0" w:lastRowFirstColumn="0" w:lastRowLastColumn="0"/>
        </w:trPr>
        <w:tc>
          <w:tcPr>
            <w:tcW w:w="2963" w:type="dxa"/>
            <w:vAlign w:val="top"/>
          </w:tcPr>
          <w:p w14:paraId="2C50C5C6" w14:textId="77777777" w:rsidR="007A5946" w:rsidRPr="00730C0D" w:rsidRDefault="007A5946" w:rsidP="00BD1C6F">
            <w:pPr>
              <w:spacing w:before="0" w:after="0" w:line="259" w:lineRule="auto"/>
              <w:rPr>
                <w:rFonts w:ascii="Century Gothic" w:hAnsi="Century Gothic"/>
                <w:sz w:val="20"/>
                <w:szCs w:val="20"/>
              </w:rPr>
            </w:pPr>
            <w:r w:rsidRPr="00730C0D">
              <w:rPr>
                <w:rFonts w:ascii="Century Gothic" w:hAnsi="Century Gothic"/>
                <w:sz w:val="20"/>
                <w:szCs w:val="20"/>
              </w:rPr>
              <w:t>Item</w:t>
            </w:r>
          </w:p>
        </w:tc>
        <w:tc>
          <w:tcPr>
            <w:tcW w:w="6053" w:type="dxa"/>
            <w:vAlign w:val="top"/>
          </w:tcPr>
          <w:p w14:paraId="31C009BB" w14:textId="59550095" w:rsidR="007A5946" w:rsidRPr="00730C0D" w:rsidRDefault="007A5946" w:rsidP="004321E2">
            <w:pPr>
              <w:spacing w:before="0" w:after="0" w:line="259" w:lineRule="auto"/>
              <w:rPr>
                <w:rFonts w:ascii="Century Gothic" w:hAnsi="Century Gothic"/>
                <w:sz w:val="20"/>
                <w:szCs w:val="20"/>
              </w:rPr>
            </w:pPr>
            <w:r w:rsidRPr="00730C0D">
              <w:rPr>
                <w:rFonts w:ascii="Century Gothic" w:hAnsi="Century Gothic"/>
                <w:sz w:val="20"/>
                <w:szCs w:val="20"/>
              </w:rPr>
              <w:t xml:space="preserve">Related </w:t>
            </w:r>
            <w:r w:rsidR="00075C16" w:rsidRPr="00730C0D">
              <w:rPr>
                <w:rFonts w:ascii="Century Gothic" w:hAnsi="Century Gothic"/>
                <w:sz w:val="20"/>
                <w:szCs w:val="20"/>
              </w:rPr>
              <w:t>A</w:t>
            </w:r>
            <w:r w:rsidRPr="00730C0D">
              <w:rPr>
                <w:rFonts w:ascii="Century Gothic" w:hAnsi="Century Gothic"/>
                <w:sz w:val="20"/>
                <w:szCs w:val="20"/>
              </w:rPr>
              <w:t>ction</w:t>
            </w:r>
          </w:p>
        </w:tc>
      </w:tr>
      <w:tr w:rsidR="007A5946" w:rsidRPr="00730C0D" w14:paraId="391DC653" w14:textId="77777777" w:rsidTr="00BD1C6F">
        <w:tc>
          <w:tcPr>
            <w:tcW w:w="2963" w:type="dxa"/>
            <w:vAlign w:val="top"/>
          </w:tcPr>
          <w:p w14:paraId="1894E594" w14:textId="2D043670" w:rsidR="007A5946" w:rsidRPr="00730C0D" w:rsidRDefault="007A5946" w:rsidP="00DA388A">
            <w:pPr>
              <w:spacing w:before="0" w:after="0" w:line="259" w:lineRule="auto"/>
              <w:rPr>
                <w:rFonts w:ascii="Century Gothic" w:hAnsi="Century Gothic"/>
                <w:sz w:val="20"/>
                <w:szCs w:val="20"/>
              </w:rPr>
            </w:pPr>
            <w:r w:rsidRPr="00730C0D">
              <w:rPr>
                <w:rFonts w:ascii="Century Gothic" w:hAnsi="Century Gothic"/>
                <w:sz w:val="20"/>
                <w:szCs w:val="20"/>
              </w:rPr>
              <w:t>The National Register of Higher Education Providers</w:t>
            </w:r>
          </w:p>
        </w:tc>
        <w:tc>
          <w:tcPr>
            <w:tcW w:w="6053" w:type="dxa"/>
            <w:vAlign w:val="top"/>
          </w:tcPr>
          <w:p w14:paraId="2338122B" w14:textId="15297A3E" w:rsidR="007A5946" w:rsidRPr="00730C0D" w:rsidRDefault="007A5946">
            <w:pPr>
              <w:spacing w:before="0" w:after="0" w:line="259" w:lineRule="auto"/>
              <w:rPr>
                <w:rFonts w:ascii="Century Gothic" w:hAnsi="Century Gothic"/>
                <w:sz w:val="20"/>
                <w:szCs w:val="20"/>
              </w:rPr>
            </w:pPr>
            <w:r w:rsidRPr="00730C0D">
              <w:rPr>
                <w:rFonts w:ascii="Century Gothic" w:hAnsi="Century Gothic"/>
                <w:sz w:val="20"/>
                <w:szCs w:val="20"/>
              </w:rPr>
              <w:t>To enable consumers to be better informed of the requirements expected of providers registered under different categories, the Tertiary Education Quality and Standards Agency should provide more descriptive information on the National Register of Higher Education Providers.</w:t>
            </w:r>
          </w:p>
        </w:tc>
      </w:tr>
      <w:tr w:rsidR="007A5946" w:rsidRPr="00730C0D" w14:paraId="20914DF3" w14:textId="77777777" w:rsidTr="00BD1C6F">
        <w:tc>
          <w:tcPr>
            <w:tcW w:w="2963" w:type="dxa"/>
            <w:vAlign w:val="top"/>
          </w:tcPr>
          <w:p w14:paraId="464E3BAA" w14:textId="77777777" w:rsidR="007A5946" w:rsidRPr="00730C0D" w:rsidRDefault="007A5946" w:rsidP="00BD1C6F">
            <w:pPr>
              <w:spacing w:before="0" w:after="0" w:line="259" w:lineRule="auto"/>
              <w:rPr>
                <w:rFonts w:ascii="Century Gothic" w:hAnsi="Century Gothic"/>
                <w:sz w:val="20"/>
                <w:szCs w:val="20"/>
              </w:rPr>
            </w:pPr>
            <w:r w:rsidRPr="00730C0D">
              <w:rPr>
                <w:rFonts w:ascii="Century Gothic" w:hAnsi="Century Gothic"/>
                <w:sz w:val="20"/>
                <w:szCs w:val="20"/>
              </w:rPr>
              <w:t>Tertiary Education Quality and Standards Agency Provider ID and provider category</w:t>
            </w:r>
          </w:p>
        </w:tc>
        <w:tc>
          <w:tcPr>
            <w:tcW w:w="6053" w:type="dxa"/>
            <w:vAlign w:val="top"/>
          </w:tcPr>
          <w:p w14:paraId="4253B69C" w14:textId="7343485B" w:rsidR="007A5946" w:rsidRPr="00730C0D" w:rsidRDefault="007A5946" w:rsidP="00325FE4">
            <w:pPr>
              <w:spacing w:before="0" w:after="0" w:line="259" w:lineRule="auto"/>
              <w:rPr>
                <w:rFonts w:ascii="Century Gothic" w:hAnsi="Century Gothic"/>
                <w:sz w:val="20"/>
                <w:szCs w:val="20"/>
              </w:rPr>
            </w:pPr>
            <w:r w:rsidRPr="00730C0D">
              <w:rPr>
                <w:rFonts w:ascii="Century Gothic" w:hAnsi="Century Gothic"/>
                <w:sz w:val="20"/>
                <w:szCs w:val="20"/>
              </w:rPr>
              <w:t>To assist in transparency for consumers, all registered higher education providers should feature their Tertiary Education Quality and Standards Agency Provider ID and provider category on relevant public material.</w:t>
            </w:r>
          </w:p>
        </w:tc>
      </w:tr>
      <w:tr w:rsidR="007A5946" w:rsidRPr="00730C0D" w14:paraId="4D1B2192" w14:textId="77777777" w:rsidTr="00BD1C6F">
        <w:tc>
          <w:tcPr>
            <w:tcW w:w="2963" w:type="dxa"/>
            <w:vAlign w:val="top"/>
          </w:tcPr>
          <w:p w14:paraId="01681D80" w14:textId="77777777" w:rsidR="007A5946" w:rsidRPr="00730C0D" w:rsidRDefault="007A5946" w:rsidP="00BD1C6F">
            <w:pPr>
              <w:spacing w:before="0" w:after="0" w:line="259" w:lineRule="auto"/>
              <w:rPr>
                <w:rFonts w:ascii="Century Gothic" w:hAnsi="Century Gothic"/>
                <w:sz w:val="20"/>
                <w:szCs w:val="20"/>
              </w:rPr>
            </w:pPr>
            <w:r w:rsidRPr="00730C0D">
              <w:rPr>
                <w:rFonts w:ascii="Century Gothic" w:hAnsi="Century Gothic"/>
                <w:sz w:val="20"/>
                <w:szCs w:val="20"/>
              </w:rPr>
              <w:t>Communications strategy</w:t>
            </w:r>
          </w:p>
        </w:tc>
        <w:tc>
          <w:tcPr>
            <w:tcW w:w="6053" w:type="dxa"/>
            <w:vAlign w:val="top"/>
          </w:tcPr>
          <w:p w14:paraId="12407026" w14:textId="77777777" w:rsidR="007A5946" w:rsidRPr="00730C0D" w:rsidRDefault="007A5946" w:rsidP="00BD1C6F">
            <w:pPr>
              <w:spacing w:before="0" w:after="0" w:line="259" w:lineRule="auto"/>
              <w:rPr>
                <w:rFonts w:ascii="Century Gothic" w:hAnsi="Century Gothic"/>
                <w:sz w:val="20"/>
                <w:szCs w:val="20"/>
              </w:rPr>
            </w:pPr>
            <w:r w:rsidRPr="00730C0D">
              <w:rPr>
                <w:rFonts w:ascii="Century Gothic" w:hAnsi="Century Gothic"/>
                <w:sz w:val="20"/>
                <w:szCs w:val="20"/>
              </w:rPr>
              <w:t xml:space="preserve">To build understanding and recognition of the different categories of higher education providers in Australia, a concerted communications strategy should be actioned with national and international audiences in mind. </w:t>
            </w:r>
          </w:p>
        </w:tc>
      </w:tr>
    </w:tbl>
    <w:p w14:paraId="24E3B31F" w14:textId="77777777" w:rsidR="007A5946" w:rsidRPr="00CF05C8" w:rsidRDefault="007A5946" w:rsidP="007A5946">
      <w:pPr>
        <w:spacing w:before="0" w:after="0"/>
        <w:rPr>
          <w:rFonts w:ascii="Century Gothic" w:hAnsi="Century Gothic"/>
          <w:b/>
          <w:color w:val="2763AC"/>
          <w:sz w:val="20"/>
          <w:szCs w:val="20"/>
        </w:rPr>
      </w:pPr>
    </w:p>
    <w:p w14:paraId="21D8EEAF" w14:textId="264CC206" w:rsidR="00075C16" w:rsidRPr="00730C0D" w:rsidRDefault="00075C16" w:rsidP="00075C16">
      <w:pPr>
        <w:spacing w:before="0" w:after="0"/>
        <w:rPr>
          <w:rFonts w:ascii="Century Gothic" w:hAnsi="Century Gothic"/>
          <w:b/>
          <w:color w:val="2763AC"/>
          <w:sz w:val="28"/>
          <w:szCs w:val="28"/>
        </w:rPr>
      </w:pPr>
      <w:r w:rsidRPr="00730C0D">
        <w:rPr>
          <w:rFonts w:ascii="Century Gothic" w:hAnsi="Century Gothic"/>
          <w:b/>
          <w:color w:val="2763AC"/>
          <w:sz w:val="28"/>
          <w:szCs w:val="28"/>
        </w:rPr>
        <w:t xml:space="preserve">Recommendation </w:t>
      </w:r>
      <w:r w:rsidR="00C12F75">
        <w:rPr>
          <w:rFonts w:ascii="Century Gothic" w:hAnsi="Century Gothic"/>
          <w:b/>
          <w:color w:val="2763AC"/>
          <w:sz w:val="28"/>
          <w:szCs w:val="28"/>
        </w:rPr>
        <w:t>10</w:t>
      </w:r>
    </w:p>
    <w:p w14:paraId="1A49775C" w14:textId="77777777" w:rsidR="00075C16" w:rsidRPr="00730C0D" w:rsidRDefault="00075C16" w:rsidP="00075C16">
      <w:pPr>
        <w:spacing w:before="0" w:after="0"/>
        <w:rPr>
          <w:rFonts w:ascii="Century Gothic" w:hAnsi="Century Gothic"/>
          <w:sz w:val="20"/>
          <w:szCs w:val="20"/>
        </w:rPr>
      </w:pPr>
      <w:r w:rsidRPr="00730C0D">
        <w:rPr>
          <w:rFonts w:ascii="Century Gothic" w:hAnsi="Century Gothic"/>
          <w:sz w:val="20"/>
          <w:szCs w:val="20"/>
        </w:rPr>
        <w:t xml:space="preserve">The recommended changes to Part B of the </w:t>
      </w:r>
      <w:r w:rsidRPr="00730C0D">
        <w:rPr>
          <w:rFonts w:ascii="Century Gothic" w:hAnsi="Century Gothic"/>
          <w:i/>
          <w:sz w:val="20"/>
          <w:szCs w:val="20"/>
        </w:rPr>
        <w:t xml:space="preserve">Higher Education Standards Framework (Threshold Standards) 2015 </w:t>
      </w:r>
      <w:r w:rsidRPr="00730C0D">
        <w:rPr>
          <w:rFonts w:ascii="Century Gothic" w:hAnsi="Century Gothic"/>
          <w:sz w:val="20"/>
          <w:szCs w:val="20"/>
        </w:rPr>
        <w:t xml:space="preserve">(as set out in </w:t>
      </w:r>
      <w:hyperlink w:anchor="_Appendix_D." w:history="1">
        <w:r w:rsidRPr="00730C0D">
          <w:rPr>
            <w:rStyle w:val="Hyperlink"/>
            <w:rFonts w:ascii="Century Gothic" w:hAnsi="Century Gothic"/>
            <w:sz w:val="20"/>
            <w:szCs w:val="20"/>
          </w:rPr>
          <w:t>Appendix D</w:t>
        </w:r>
      </w:hyperlink>
      <w:r w:rsidRPr="00730C0D">
        <w:rPr>
          <w:rFonts w:ascii="Century Gothic" w:hAnsi="Century Gothic"/>
          <w:sz w:val="20"/>
          <w:szCs w:val="20"/>
        </w:rPr>
        <w:t xml:space="preserve">) should be referred to the </w:t>
      </w:r>
      <w:r w:rsidRPr="00730C0D">
        <w:rPr>
          <w:rFonts w:ascii="Century Gothic" w:hAnsi="Century Gothic"/>
          <w:sz w:val="20"/>
          <w:szCs w:val="20"/>
        </w:rPr>
        <w:br/>
        <w:t>Higher Education Standards Panel for deliberation. The HESP will then advise the Minister for Education on further required actions.</w:t>
      </w:r>
    </w:p>
    <w:p w14:paraId="0CD5C3E6" w14:textId="0E0010F8" w:rsidR="00196E7B" w:rsidRPr="00730C0D" w:rsidRDefault="00196E7B" w:rsidP="00196E7B">
      <w:pPr>
        <w:spacing w:before="0" w:after="0"/>
        <w:rPr>
          <w:rFonts w:ascii="Century Gothic" w:hAnsi="Century Gothic"/>
          <w:sz w:val="20"/>
          <w:szCs w:val="20"/>
        </w:rPr>
        <w:sectPr w:rsidR="00196E7B" w:rsidRPr="00730C0D" w:rsidSect="000A04F0">
          <w:headerReference w:type="even" r:id="rId23"/>
          <w:headerReference w:type="default" r:id="rId24"/>
          <w:footerReference w:type="even" r:id="rId25"/>
          <w:footerReference w:type="default" r:id="rId26"/>
          <w:headerReference w:type="first" r:id="rId27"/>
          <w:endnotePr>
            <w:numFmt w:val="decimal"/>
          </w:endnotePr>
          <w:pgSz w:w="11906" w:h="16838"/>
          <w:pgMar w:top="1440" w:right="1440" w:bottom="1440" w:left="1440" w:header="708" w:footer="708" w:gutter="0"/>
          <w:pgNumType w:fmt="lowerRoman" w:start="1"/>
          <w:cols w:space="708"/>
          <w:docGrid w:linePitch="360"/>
        </w:sectPr>
      </w:pPr>
      <w:bookmarkStart w:id="8" w:name="_Toc12615320"/>
    </w:p>
    <w:p w14:paraId="5FBBACD0" w14:textId="4C0A375C" w:rsidR="0014126D" w:rsidRPr="00730C0D" w:rsidRDefault="00FF6A89" w:rsidP="00FF6A89">
      <w:pPr>
        <w:pStyle w:val="TOCHeading"/>
        <w:spacing w:before="0"/>
      </w:pPr>
      <w:bookmarkStart w:id="9" w:name="_Toc18592310"/>
      <w:r w:rsidRPr="00730C0D">
        <w:rPr>
          <w:b/>
        </w:rPr>
        <w:t>Chapter 1</w:t>
      </w:r>
      <w:r w:rsidRPr="00730C0D">
        <w:t xml:space="preserve"> </w:t>
      </w:r>
      <w:r w:rsidRPr="00730C0D">
        <w:br/>
      </w:r>
      <w:r w:rsidR="0014126D" w:rsidRPr="00730C0D">
        <w:t>Context</w:t>
      </w:r>
      <w:r w:rsidR="00196E7B" w:rsidRPr="00730C0D">
        <w:t xml:space="preserve"> </w:t>
      </w:r>
      <w:r w:rsidR="0014126D" w:rsidRPr="00730C0D">
        <w:t xml:space="preserve">and </w:t>
      </w:r>
      <w:r w:rsidR="00714354" w:rsidRPr="00730C0D">
        <w:t>C</w:t>
      </w:r>
      <w:r w:rsidR="0014126D" w:rsidRPr="00730C0D">
        <w:t xml:space="preserve">hanging </w:t>
      </w:r>
      <w:r w:rsidR="00714354" w:rsidRPr="00730C0D">
        <w:t>L</w:t>
      </w:r>
      <w:r w:rsidR="0014126D" w:rsidRPr="00730C0D">
        <w:t>andscape</w:t>
      </w:r>
      <w:bookmarkEnd w:id="8"/>
      <w:bookmarkEnd w:id="9"/>
    </w:p>
    <w:p w14:paraId="3DE19A21" w14:textId="3EFAA5FB" w:rsidR="008779A9" w:rsidRPr="00730C0D" w:rsidRDefault="00FF6A89" w:rsidP="004978DA">
      <w:pPr>
        <w:pStyle w:val="Heading2"/>
      </w:pPr>
      <w:bookmarkStart w:id="10" w:name="_Toc16176599"/>
      <w:bookmarkStart w:id="11" w:name="_Toc16242092"/>
      <w:bookmarkStart w:id="12" w:name="_Toc16609415"/>
      <w:bookmarkStart w:id="13" w:name="_Toc18495548"/>
      <w:bookmarkStart w:id="14" w:name="_Toc18592311"/>
      <w:r w:rsidRPr="00730C0D">
        <w:rPr>
          <w:noProof/>
          <w:sz w:val="48"/>
          <w:szCs w:val="48"/>
          <w:lang w:eastAsia="en-AU"/>
        </w:rPr>
        <mc:AlternateContent>
          <mc:Choice Requires="wps">
            <w:drawing>
              <wp:anchor distT="0" distB="0" distL="114300" distR="114300" simplePos="0" relativeHeight="251675648" behindDoc="0" locked="0" layoutInCell="1" allowOverlap="1" wp14:anchorId="5B99DF12" wp14:editId="4A55553D">
                <wp:simplePos x="0" y="0"/>
                <wp:positionH relativeFrom="column">
                  <wp:posOffset>-1402715</wp:posOffset>
                </wp:positionH>
                <wp:positionV relativeFrom="paragraph">
                  <wp:posOffset>635</wp:posOffset>
                </wp:positionV>
                <wp:extent cx="7143750" cy="0"/>
                <wp:effectExtent l="0" t="0" r="19050" b="19050"/>
                <wp:wrapNone/>
                <wp:docPr id="37" name="Straight Connector 37"/>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2DD29" id="Straight Connector 3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05pt" to="452.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" strokecolor="black [3213]" strokeweight=".5pt">
                <v:stroke joinstyle="miter"/>
              </v:line>
            </w:pict>
          </mc:Fallback>
        </mc:AlternateContent>
      </w:r>
      <w:bookmarkEnd w:id="10"/>
      <w:bookmarkEnd w:id="11"/>
      <w:bookmarkEnd w:id="12"/>
      <w:bookmarkEnd w:id="13"/>
      <w:bookmarkEnd w:id="14"/>
    </w:p>
    <w:p w14:paraId="12E2B36A" w14:textId="53D4A650" w:rsidR="008779A9" w:rsidRPr="00730C0D" w:rsidRDefault="00AE1672" w:rsidP="004978DA">
      <w:pPr>
        <w:pStyle w:val="Heading2"/>
      </w:pPr>
      <w:bookmarkStart w:id="15" w:name="_Toc18592312"/>
      <w:r w:rsidRPr="00730C0D">
        <w:t>1.1</w:t>
      </w:r>
      <w:r w:rsidR="003806EF" w:rsidRPr="00730C0D">
        <w:tab/>
      </w:r>
      <w:r w:rsidR="008779A9" w:rsidRPr="00730C0D">
        <w:t>Context</w:t>
      </w:r>
      <w:bookmarkEnd w:id="15"/>
    </w:p>
    <w:p w14:paraId="1E09B1AB" w14:textId="06D7CF86" w:rsidR="008779A9" w:rsidRPr="00730C0D" w:rsidRDefault="008779A9" w:rsidP="00D87B23">
      <w:pPr>
        <w:spacing w:before="0" w:after="0"/>
        <w:rPr>
          <w:rFonts w:ascii="Century Gothic" w:hAnsi="Century Gothic"/>
          <w:sz w:val="20"/>
          <w:szCs w:val="20"/>
        </w:rPr>
      </w:pPr>
      <w:r w:rsidRPr="00730C0D">
        <w:rPr>
          <w:rFonts w:ascii="Century Gothic" w:hAnsi="Century Gothic"/>
          <w:sz w:val="20"/>
          <w:szCs w:val="20"/>
        </w:rPr>
        <w:t xml:space="preserve">The </w:t>
      </w:r>
      <w:r w:rsidR="0087097B" w:rsidRPr="00730C0D">
        <w:rPr>
          <w:rFonts w:ascii="Century Gothic" w:hAnsi="Century Gothic"/>
          <w:sz w:val="20"/>
          <w:szCs w:val="20"/>
        </w:rPr>
        <w:t xml:space="preserve">Higher Education </w:t>
      </w:r>
      <w:r w:rsidRPr="00730C0D">
        <w:rPr>
          <w:rFonts w:ascii="Century Gothic" w:hAnsi="Century Gothic"/>
          <w:sz w:val="20"/>
          <w:szCs w:val="20"/>
        </w:rPr>
        <w:t xml:space="preserve">Provider Category Standards (PCS) are a discrete and important </w:t>
      </w:r>
      <w:r w:rsidR="002E1536">
        <w:rPr>
          <w:rFonts w:ascii="Century Gothic" w:hAnsi="Century Gothic"/>
          <w:sz w:val="20"/>
          <w:szCs w:val="20"/>
        </w:rPr>
        <w:br/>
      </w:r>
      <w:r w:rsidRPr="00730C0D">
        <w:rPr>
          <w:rFonts w:ascii="Century Gothic" w:hAnsi="Century Gothic"/>
          <w:sz w:val="20"/>
          <w:szCs w:val="20"/>
        </w:rPr>
        <w:t xml:space="preserve">part of the </w:t>
      </w:r>
      <w:r w:rsidRPr="00730C0D">
        <w:rPr>
          <w:rFonts w:ascii="Century Gothic" w:hAnsi="Century Gothic"/>
          <w:i/>
          <w:sz w:val="20"/>
          <w:szCs w:val="20"/>
        </w:rPr>
        <w:t>Higher Education Standards Framework (Threshold Standards) 2015</w:t>
      </w:r>
      <w:r w:rsidR="006214C6" w:rsidRPr="00730C0D">
        <w:rPr>
          <w:rFonts w:ascii="Century Gothic" w:hAnsi="Century Gothic"/>
          <w:sz w:val="20"/>
          <w:szCs w:val="20"/>
        </w:rPr>
        <w:t xml:space="preserve">. </w:t>
      </w:r>
      <w:r w:rsidR="002E1536">
        <w:rPr>
          <w:rFonts w:ascii="Century Gothic" w:hAnsi="Century Gothic"/>
          <w:sz w:val="20"/>
          <w:szCs w:val="20"/>
        </w:rPr>
        <w:br/>
      </w:r>
      <w:r w:rsidR="006214C6" w:rsidRPr="00730C0D">
        <w:rPr>
          <w:rFonts w:ascii="Century Gothic" w:hAnsi="Century Gothic"/>
          <w:sz w:val="20"/>
          <w:szCs w:val="20"/>
        </w:rPr>
        <w:t xml:space="preserve">The Threshold Standards </w:t>
      </w:r>
      <w:r w:rsidRPr="00730C0D">
        <w:rPr>
          <w:rFonts w:ascii="Century Gothic" w:hAnsi="Century Gothic"/>
          <w:sz w:val="20"/>
          <w:szCs w:val="20"/>
        </w:rPr>
        <w:t>set the high standards required to operate as a higher education provide</w:t>
      </w:r>
      <w:r w:rsidR="0038069A" w:rsidRPr="00730C0D">
        <w:rPr>
          <w:rFonts w:ascii="Century Gothic" w:hAnsi="Century Gothic"/>
          <w:sz w:val="20"/>
          <w:szCs w:val="20"/>
        </w:rPr>
        <w:t>r</w:t>
      </w:r>
      <w:r w:rsidRPr="00730C0D">
        <w:rPr>
          <w:rFonts w:ascii="Century Gothic" w:hAnsi="Century Gothic"/>
          <w:sz w:val="20"/>
          <w:szCs w:val="20"/>
        </w:rPr>
        <w:t xml:space="preserve"> in Australia. The PCS describe the different categories of higher education providers, and requirements expected of them, for registration by the Tertiary Education Quality and Standards Agency (TEQSA). </w:t>
      </w:r>
    </w:p>
    <w:p w14:paraId="74F19D86" w14:textId="77777777" w:rsidR="008779A9" w:rsidRPr="00730C0D" w:rsidRDefault="008779A9" w:rsidP="00D31B9A">
      <w:pPr>
        <w:spacing w:before="0" w:after="0"/>
        <w:rPr>
          <w:rFonts w:ascii="Century Gothic" w:hAnsi="Century Gothic"/>
          <w:sz w:val="20"/>
          <w:szCs w:val="20"/>
        </w:rPr>
      </w:pPr>
    </w:p>
    <w:p w14:paraId="7435048E" w14:textId="41C113B1" w:rsidR="008779A9" w:rsidRPr="00730C0D" w:rsidRDefault="008779A9" w:rsidP="00D31B9A">
      <w:pPr>
        <w:spacing w:before="0" w:after="0"/>
        <w:rPr>
          <w:rFonts w:ascii="Century Gothic" w:hAnsi="Century Gothic"/>
          <w:sz w:val="20"/>
          <w:szCs w:val="20"/>
        </w:rPr>
      </w:pPr>
      <w:r w:rsidRPr="00730C0D">
        <w:rPr>
          <w:rFonts w:ascii="Century Gothic" w:hAnsi="Century Gothic"/>
          <w:sz w:val="20"/>
          <w:szCs w:val="20"/>
        </w:rPr>
        <w:t xml:space="preserve">A key driver for this Review </w:t>
      </w:r>
      <w:r w:rsidR="0038069A" w:rsidRPr="00730C0D">
        <w:rPr>
          <w:rFonts w:ascii="Century Gothic" w:hAnsi="Century Gothic"/>
          <w:sz w:val="20"/>
          <w:szCs w:val="20"/>
        </w:rPr>
        <w:t xml:space="preserve">has been </w:t>
      </w:r>
      <w:r w:rsidRPr="00730C0D">
        <w:rPr>
          <w:rFonts w:ascii="Century Gothic" w:hAnsi="Century Gothic"/>
          <w:sz w:val="20"/>
          <w:szCs w:val="20"/>
        </w:rPr>
        <w:t>to ensure that the PCS remain fit for purpose against Australia’s evolving higher education landscape, accommodat</w:t>
      </w:r>
      <w:r w:rsidR="0038069A" w:rsidRPr="00730C0D">
        <w:rPr>
          <w:rFonts w:ascii="Century Gothic" w:hAnsi="Century Gothic"/>
          <w:sz w:val="20"/>
          <w:szCs w:val="20"/>
        </w:rPr>
        <w:t>e</w:t>
      </w:r>
      <w:r w:rsidRPr="00730C0D">
        <w:rPr>
          <w:rFonts w:ascii="Century Gothic" w:hAnsi="Century Gothic"/>
          <w:sz w:val="20"/>
          <w:szCs w:val="20"/>
        </w:rPr>
        <w:t xml:space="preserve"> innovative and changing practice, and </w:t>
      </w:r>
      <w:r w:rsidR="0038069A" w:rsidRPr="00730C0D">
        <w:rPr>
          <w:rFonts w:ascii="Century Gothic" w:hAnsi="Century Gothic"/>
          <w:sz w:val="20"/>
          <w:szCs w:val="20"/>
        </w:rPr>
        <w:t xml:space="preserve">are </w:t>
      </w:r>
      <w:r w:rsidRPr="00730C0D">
        <w:rPr>
          <w:rFonts w:ascii="Century Gothic" w:hAnsi="Century Gothic"/>
          <w:sz w:val="20"/>
          <w:szCs w:val="20"/>
        </w:rPr>
        <w:t>comparable to international benchmarks. This is important given that Australia’s model for categoris</w:t>
      </w:r>
      <w:r w:rsidR="0038069A" w:rsidRPr="00730C0D">
        <w:rPr>
          <w:rFonts w:ascii="Century Gothic" w:hAnsi="Century Gothic"/>
          <w:sz w:val="20"/>
          <w:szCs w:val="20"/>
        </w:rPr>
        <w:t>ing</w:t>
      </w:r>
      <w:r w:rsidRPr="00730C0D">
        <w:rPr>
          <w:rFonts w:ascii="Century Gothic" w:hAnsi="Century Gothic"/>
          <w:sz w:val="20"/>
          <w:szCs w:val="20"/>
        </w:rPr>
        <w:t xml:space="preserve"> higher education has remained fundamentally unchanged for almost twenty years, and over this period the higher education system has experienced significant change. </w:t>
      </w:r>
    </w:p>
    <w:p w14:paraId="30FCA490" w14:textId="77777777" w:rsidR="008779A9" w:rsidRPr="00730C0D" w:rsidRDefault="008779A9" w:rsidP="00D31B9A">
      <w:pPr>
        <w:spacing w:before="0" w:after="0"/>
        <w:rPr>
          <w:rFonts w:ascii="Century Gothic" w:hAnsi="Century Gothic"/>
          <w:sz w:val="20"/>
          <w:szCs w:val="20"/>
        </w:rPr>
      </w:pPr>
    </w:p>
    <w:p w14:paraId="6741EE38" w14:textId="3E9D7C61" w:rsidR="008779A9" w:rsidRPr="00730C0D" w:rsidRDefault="008779A9" w:rsidP="00D31B9A">
      <w:pPr>
        <w:spacing w:before="0" w:after="0"/>
        <w:rPr>
          <w:rFonts w:ascii="Century Gothic" w:hAnsi="Century Gothic"/>
          <w:sz w:val="20"/>
          <w:szCs w:val="20"/>
        </w:rPr>
      </w:pPr>
      <w:r w:rsidRPr="00730C0D">
        <w:rPr>
          <w:rFonts w:ascii="Century Gothic" w:hAnsi="Century Gothic"/>
          <w:sz w:val="20"/>
          <w:szCs w:val="20"/>
        </w:rPr>
        <w:t xml:space="preserve">In undertaking this </w:t>
      </w:r>
      <w:r w:rsidR="007F3D98" w:rsidRPr="00730C0D">
        <w:rPr>
          <w:rFonts w:ascii="Century Gothic" w:hAnsi="Century Gothic"/>
          <w:sz w:val="20"/>
          <w:szCs w:val="20"/>
        </w:rPr>
        <w:t>R</w:t>
      </w:r>
      <w:r w:rsidRPr="00730C0D">
        <w:rPr>
          <w:rFonts w:ascii="Century Gothic" w:hAnsi="Century Gothic"/>
          <w:sz w:val="20"/>
          <w:szCs w:val="20"/>
        </w:rPr>
        <w:t>eview, the PCS have been examined with a range of stakeholders in mind</w:t>
      </w:r>
      <w:r w:rsidR="006214C6" w:rsidRPr="00730C0D">
        <w:rPr>
          <w:rFonts w:ascii="Century Gothic" w:hAnsi="Century Gothic"/>
          <w:sz w:val="20"/>
          <w:szCs w:val="20"/>
        </w:rPr>
        <w:t>:</w:t>
      </w:r>
      <w:r w:rsidRPr="00730C0D">
        <w:rPr>
          <w:rFonts w:ascii="Century Gothic" w:hAnsi="Century Gothic"/>
          <w:sz w:val="20"/>
          <w:szCs w:val="20"/>
        </w:rPr>
        <w:t xml:space="preserve"> higher education provider</w:t>
      </w:r>
      <w:r w:rsidR="00D9389A" w:rsidRPr="00730C0D">
        <w:rPr>
          <w:rFonts w:ascii="Century Gothic" w:hAnsi="Century Gothic"/>
          <w:sz w:val="20"/>
          <w:szCs w:val="20"/>
        </w:rPr>
        <w:t>s</w:t>
      </w:r>
      <w:r w:rsidRPr="00730C0D">
        <w:rPr>
          <w:rFonts w:ascii="Century Gothic" w:hAnsi="Century Gothic"/>
          <w:sz w:val="20"/>
          <w:szCs w:val="20"/>
        </w:rPr>
        <w:t xml:space="preserve">, </w:t>
      </w:r>
      <w:r w:rsidR="00AF7E44" w:rsidRPr="00730C0D">
        <w:rPr>
          <w:rFonts w:ascii="Century Gothic" w:hAnsi="Century Gothic"/>
          <w:sz w:val="20"/>
          <w:szCs w:val="20"/>
        </w:rPr>
        <w:t xml:space="preserve">the </w:t>
      </w:r>
      <w:r w:rsidRPr="00730C0D">
        <w:rPr>
          <w:rFonts w:ascii="Century Gothic" w:hAnsi="Century Gothic"/>
          <w:sz w:val="20"/>
          <w:szCs w:val="20"/>
        </w:rPr>
        <w:t>regulator</w:t>
      </w:r>
      <w:r w:rsidR="00D9389A" w:rsidRPr="00730C0D">
        <w:rPr>
          <w:rFonts w:ascii="Century Gothic" w:hAnsi="Century Gothic"/>
          <w:sz w:val="20"/>
          <w:szCs w:val="20"/>
        </w:rPr>
        <w:t>,</w:t>
      </w:r>
      <w:r w:rsidR="006214C6" w:rsidRPr="00730C0D">
        <w:rPr>
          <w:rFonts w:ascii="Century Gothic" w:hAnsi="Century Gothic"/>
          <w:sz w:val="20"/>
          <w:szCs w:val="20"/>
        </w:rPr>
        <w:t xml:space="preserve"> student</w:t>
      </w:r>
      <w:r w:rsidR="00D9389A" w:rsidRPr="00730C0D">
        <w:rPr>
          <w:rFonts w:ascii="Century Gothic" w:hAnsi="Century Gothic"/>
          <w:sz w:val="20"/>
          <w:szCs w:val="20"/>
        </w:rPr>
        <w:t>s</w:t>
      </w:r>
      <w:r w:rsidR="006214C6" w:rsidRPr="00730C0D">
        <w:rPr>
          <w:rFonts w:ascii="Century Gothic" w:hAnsi="Century Gothic"/>
          <w:sz w:val="20"/>
          <w:szCs w:val="20"/>
        </w:rPr>
        <w:t xml:space="preserve"> as consumers,</w:t>
      </w:r>
      <w:r w:rsidRPr="00730C0D">
        <w:rPr>
          <w:rFonts w:ascii="Century Gothic" w:hAnsi="Century Gothic"/>
          <w:sz w:val="20"/>
          <w:szCs w:val="20"/>
        </w:rPr>
        <w:t xml:space="preserve"> employer</w:t>
      </w:r>
      <w:r w:rsidR="00D9389A" w:rsidRPr="00730C0D">
        <w:rPr>
          <w:rFonts w:ascii="Century Gothic" w:hAnsi="Century Gothic"/>
          <w:sz w:val="20"/>
          <w:szCs w:val="20"/>
        </w:rPr>
        <w:t>s</w:t>
      </w:r>
      <w:r w:rsidR="00542BDB" w:rsidRPr="00730C0D">
        <w:rPr>
          <w:rFonts w:ascii="Century Gothic" w:hAnsi="Century Gothic"/>
          <w:sz w:val="20"/>
          <w:szCs w:val="20"/>
        </w:rPr>
        <w:t>,</w:t>
      </w:r>
      <w:r w:rsidRPr="00730C0D">
        <w:rPr>
          <w:rFonts w:ascii="Century Gothic" w:hAnsi="Century Gothic"/>
          <w:sz w:val="20"/>
          <w:szCs w:val="20"/>
        </w:rPr>
        <w:t xml:space="preserve"> and the broader public interest.</w:t>
      </w:r>
    </w:p>
    <w:p w14:paraId="675CC63D" w14:textId="77777777" w:rsidR="008779A9" w:rsidRPr="00730C0D" w:rsidRDefault="008779A9" w:rsidP="00D31B9A">
      <w:pPr>
        <w:spacing w:before="0" w:after="0"/>
        <w:rPr>
          <w:rFonts w:ascii="Century Gothic" w:hAnsi="Century Gothic"/>
          <w:sz w:val="20"/>
          <w:szCs w:val="20"/>
        </w:rPr>
      </w:pPr>
    </w:p>
    <w:p w14:paraId="6D2E0193" w14:textId="654D2F54" w:rsidR="008779A9" w:rsidRPr="00730C0D" w:rsidRDefault="008779A9" w:rsidP="00D31B9A">
      <w:pPr>
        <w:spacing w:before="0" w:after="0"/>
        <w:rPr>
          <w:rFonts w:ascii="Century Gothic" w:hAnsi="Century Gothic"/>
          <w:sz w:val="20"/>
          <w:szCs w:val="20"/>
        </w:rPr>
      </w:pPr>
      <w:r w:rsidRPr="00730C0D">
        <w:rPr>
          <w:rFonts w:ascii="Century Gothic" w:hAnsi="Century Gothic"/>
          <w:sz w:val="20"/>
          <w:szCs w:val="20"/>
        </w:rPr>
        <w:t xml:space="preserve">Some significant considerations </w:t>
      </w:r>
      <w:r w:rsidR="0038069A" w:rsidRPr="00730C0D">
        <w:rPr>
          <w:rFonts w:ascii="Century Gothic" w:hAnsi="Century Gothic"/>
          <w:sz w:val="20"/>
          <w:szCs w:val="20"/>
        </w:rPr>
        <w:t>have been</w:t>
      </w:r>
      <w:r w:rsidRPr="00730C0D">
        <w:rPr>
          <w:rFonts w:ascii="Century Gothic" w:hAnsi="Century Gothic"/>
          <w:sz w:val="20"/>
          <w:szCs w:val="20"/>
        </w:rPr>
        <w:t xml:space="preserve"> examined. These include the way in which Australia continues to define its higher education providers and universities, </w:t>
      </w:r>
      <w:r w:rsidR="006214C6" w:rsidRPr="00730C0D">
        <w:rPr>
          <w:rFonts w:ascii="Century Gothic" w:hAnsi="Century Gothic"/>
          <w:sz w:val="20"/>
          <w:szCs w:val="20"/>
        </w:rPr>
        <w:t xml:space="preserve">encourages aspiration and excellence, </w:t>
      </w:r>
      <w:r w:rsidRPr="00730C0D">
        <w:rPr>
          <w:rFonts w:ascii="Century Gothic" w:hAnsi="Century Gothic"/>
          <w:sz w:val="20"/>
          <w:szCs w:val="20"/>
        </w:rPr>
        <w:t xml:space="preserve">signals and supports differentiation across the sector, and optimises the PCS to best meet the full range of stakeholder needs. </w:t>
      </w:r>
    </w:p>
    <w:p w14:paraId="18FF686E" w14:textId="77777777" w:rsidR="008779A9" w:rsidRPr="00730C0D" w:rsidRDefault="008779A9" w:rsidP="00D31B9A">
      <w:pPr>
        <w:spacing w:before="0" w:after="0"/>
        <w:rPr>
          <w:rFonts w:ascii="Century Gothic" w:hAnsi="Century Gothic"/>
          <w:sz w:val="20"/>
          <w:szCs w:val="20"/>
        </w:rPr>
      </w:pPr>
    </w:p>
    <w:p w14:paraId="1955F98A" w14:textId="0612FFCE" w:rsidR="008779A9" w:rsidRPr="00730C0D" w:rsidRDefault="008779A9" w:rsidP="00D31B9A">
      <w:pPr>
        <w:spacing w:before="0" w:after="0"/>
        <w:rPr>
          <w:rFonts w:ascii="Century Gothic" w:hAnsi="Century Gothic"/>
          <w:sz w:val="20"/>
          <w:szCs w:val="20"/>
        </w:rPr>
      </w:pPr>
      <w:r w:rsidRPr="00730C0D">
        <w:rPr>
          <w:rFonts w:ascii="Century Gothic" w:hAnsi="Century Gothic"/>
          <w:sz w:val="20"/>
          <w:szCs w:val="20"/>
        </w:rPr>
        <w:t xml:space="preserve">The terms of reference for this </w:t>
      </w:r>
      <w:r w:rsidR="007F3D98" w:rsidRPr="00730C0D">
        <w:rPr>
          <w:rFonts w:ascii="Century Gothic" w:hAnsi="Century Gothic"/>
          <w:sz w:val="20"/>
          <w:szCs w:val="20"/>
        </w:rPr>
        <w:t>R</w:t>
      </w:r>
      <w:r w:rsidRPr="00730C0D">
        <w:rPr>
          <w:rFonts w:ascii="Century Gothic" w:hAnsi="Century Gothic"/>
          <w:sz w:val="20"/>
          <w:szCs w:val="20"/>
        </w:rPr>
        <w:t xml:space="preserve">eview are set out </w:t>
      </w:r>
      <w:r w:rsidR="000458A8" w:rsidRPr="00730C0D">
        <w:rPr>
          <w:rFonts w:ascii="Century Gothic" w:hAnsi="Century Gothic"/>
          <w:sz w:val="20"/>
          <w:szCs w:val="20"/>
        </w:rPr>
        <w:t>in</w:t>
      </w:r>
      <w:r w:rsidRPr="00730C0D">
        <w:rPr>
          <w:rFonts w:ascii="Century Gothic" w:hAnsi="Century Gothic"/>
          <w:sz w:val="20"/>
          <w:szCs w:val="20"/>
        </w:rPr>
        <w:t xml:space="preserve"> </w:t>
      </w:r>
      <w:hyperlink w:anchor="_Appendix_A." w:history="1">
        <w:r w:rsidRPr="00730C0D">
          <w:rPr>
            <w:rStyle w:val="Hyperlink"/>
            <w:rFonts w:ascii="Century Gothic" w:hAnsi="Century Gothic"/>
            <w:sz w:val="20"/>
            <w:szCs w:val="20"/>
          </w:rPr>
          <w:t>Appendix A</w:t>
        </w:r>
      </w:hyperlink>
      <w:r w:rsidRPr="00730C0D">
        <w:rPr>
          <w:rFonts w:ascii="Century Gothic" w:hAnsi="Century Gothic"/>
          <w:sz w:val="20"/>
          <w:szCs w:val="20"/>
        </w:rPr>
        <w:t xml:space="preserve">. The </w:t>
      </w:r>
      <w:r w:rsidR="007F3D98" w:rsidRPr="00730C0D">
        <w:rPr>
          <w:rFonts w:ascii="Century Gothic" w:hAnsi="Century Gothic"/>
          <w:sz w:val="20"/>
          <w:szCs w:val="20"/>
        </w:rPr>
        <w:t>R</w:t>
      </w:r>
      <w:r w:rsidRPr="00730C0D">
        <w:rPr>
          <w:rFonts w:ascii="Century Gothic" w:hAnsi="Century Gothic"/>
          <w:sz w:val="20"/>
          <w:szCs w:val="20"/>
        </w:rPr>
        <w:t xml:space="preserve">eview process is outlined </w:t>
      </w:r>
      <w:r w:rsidR="000458A8" w:rsidRPr="00730C0D">
        <w:rPr>
          <w:rFonts w:ascii="Century Gothic" w:hAnsi="Century Gothic"/>
          <w:sz w:val="20"/>
          <w:szCs w:val="20"/>
        </w:rPr>
        <w:t>in</w:t>
      </w:r>
      <w:r w:rsidRPr="00730C0D">
        <w:rPr>
          <w:rFonts w:ascii="Century Gothic" w:hAnsi="Century Gothic"/>
          <w:sz w:val="20"/>
          <w:szCs w:val="20"/>
        </w:rPr>
        <w:t xml:space="preserve"> </w:t>
      </w:r>
      <w:hyperlink w:anchor="_Appendix_B." w:history="1">
        <w:r w:rsidRPr="00730C0D">
          <w:rPr>
            <w:rStyle w:val="Hyperlink"/>
            <w:rFonts w:ascii="Century Gothic" w:hAnsi="Century Gothic"/>
            <w:sz w:val="20"/>
            <w:szCs w:val="20"/>
          </w:rPr>
          <w:t>Appendix B</w:t>
        </w:r>
      </w:hyperlink>
      <w:r w:rsidRPr="00730C0D">
        <w:rPr>
          <w:rFonts w:ascii="Century Gothic" w:hAnsi="Century Gothic"/>
          <w:sz w:val="20"/>
          <w:szCs w:val="20"/>
        </w:rPr>
        <w:t xml:space="preserve">.  </w:t>
      </w:r>
    </w:p>
    <w:p w14:paraId="1252D1BE" w14:textId="77777777" w:rsidR="008779A9" w:rsidRPr="00730C0D" w:rsidRDefault="008779A9" w:rsidP="00D31B9A">
      <w:pPr>
        <w:spacing w:before="0" w:after="0"/>
        <w:rPr>
          <w:rFonts w:ascii="Century Gothic" w:hAnsi="Century Gothic"/>
          <w:sz w:val="20"/>
          <w:szCs w:val="20"/>
        </w:rPr>
      </w:pPr>
    </w:p>
    <w:p w14:paraId="0E4518C1" w14:textId="527DA78A" w:rsidR="008779A9" w:rsidRPr="00730C0D" w:rsidRDefault="003806EF" w:rsidP="004978DA">
      <w:pPr>
        <w:pStyle w:val="Heading3"/>
      </w:pPr>
      <w:bookmarkStart w:id="16" w:name="_1.1.1_Australia’s_Higher"/>
      <w:bookmarkStart w:id="17" w:name="_Toc18592313"/>
      <w:bookmarkEnd w:id="16"/>
      <w:r w:rsidRPr="00730C0D">
        <w:t>1.1.1</w:t>
      </w:r>
      <w:r w:rsidRPr="00730C0D">
        <w:tab/>
      </w:r>
      <w:r w:rsidR="003559AE" w:rsidRPr="00730C0D">
        <w:t xml:space="preserve">Australia’s </w:t>
      </w:r>
      <w:r w:rsidR="006B24D2" w:rsidRPr="00730C0D">
        <w:t xml:space="preserve">Higher Education </w:t>
      </w:r>
      <w:r w:rsidR="003559AE" w:rsidRPr="00730C0D">
        <w:t>Quality Assurance F</w:t>
      </w:r>
      <w:r w:rsidR="008779A9" w:rsidRPr="00730C0D">
        <w:t>ramework</w:t>
      </w:r>
      <w:bookmarkEnd w:id="17"/>
    </w:p>
    <w:p w14:paraId="0BD35678" w14:textId="56DEEA60" w:rsidR="008779A9" w:rsidRPr="00730C0D" w:rsidRDefault="008779A9" w:rsidP="00D31B9A">
      <w:pPr>
        <w:spacing w:before="0" w:after="0"/>
        <w:rPr>
          <w:rFonts w:ascii="Century Gothic" w:hAnsi="Century Gothic"/>
          <w:sz w:val="20"/>
          <w:szCs w:val="20"/>
        </w:rPr>
      </w:pPr>
      <w:r w:rsidRPr="00730C0D">
        <w:rPr>
          <w:rFonts w:ascii="Century Gothic" w:hAnsi="Century Gothic"/>
          <w:sz w:val="20"/>
          <w:szCs w:val="20"/>
        </w:rPr>
        <w:t>Australia’s higher education sector has established a reputation as an education leader globally. This enviable position is supported by Australia’s higher education quality assurance framework</w:t>
      </w:r>
      <w:r w:rsidR="006214C6" w:rsidRPr="00730C0D">
        <w:rPr>
          <w:rFonts w:ascii="Century Gothic" w:hAnsi="Century Gothic"/>
          <w:sz w:val="20"/>
          <w:szCs w:val="20"/>
        </w:rPr>
        <w:t>. This framework is</w:t>
      </w:r>
      <w:r w:rsidRPr="00730C0D">
        <w:rPr>
          <w:rFonts w:ascii="Century Gothic" w:hAnsi="Century Gothic"/>
          <w:sz w:val="20"/>
          <w:szCs w:val="20"/>
        </w:rPr>
        <w:t xml:space="preserve"> comprised of a national regulat</w:t>
      </w:r>
      <w:r w:rsidR="00A051C9" w:rsidRPr="00730C0D">
        <w:rPr>
          <w:rFonts w:ascii="Century Gothic" w:hAnsi="Century Gothic"/>
          <w:sz w:val="20"/>
          <w:szCs w:val="20"/>
        </w:rPr>
        <w:t xml:space="preserve">ory body for higher education </w:t>
      </w:r>
      <w:r w:rsidR="00696C31" w:rsidRPr="00730C0D">
        <w:rPr>
          <w:rFonts w:ascii="Century Gothic" w:hAnsi="Century Gothic"/>
          <w:sz w:val="20"/>
          <w:szCs w:val="20"/>
        </w:rPr>
        <w:t>(</w:t>
      </w:r>
      <w:r w:rsidRPr="00730C0D">
        <w:rPr>
          <w:rFonts w:ascii="Century Gothic" w:hAnsi="Century Gothic"/>
          <w:sz w:val="20"/>
          <w:szCs w:val="20"/>
        </w:rPr>
        <w:t>TEQSA</w:t>
      </w:r>
      <w:r w:rsidR="00696C31" w:rsidRPr="00730C0D">
        <w:rPr>
          <w:rFonts w:ascii="Century Gothic" w:hAnsi="Century Gothic"/>
          <w:sz w:val="20"/>
          <w:szCs w:val="20"/>
        </w:rPr>
        <w:t>)</w:t>
      </w:r>
      <w:r w:rsidRPr="00730C0D">
        <w:rPr>
          <w:rFonts w:ascii="Century Gothic" w:hAnsi="Century Gothic"/>
          <w:sz w:val="20"/>
          <w:szCs w:val="20"/>
        </w:rPr>
        <w:t xml:space="preserve"> underpinned by strong Threshold Standards. All higher education </w:t>
      </w:r>
      <w:r w:rsidR="000458A8" w:rsidRPr="00730C0D">
        <w:rPr>
          <w:rFonts w:ascii="Century Gothic" w:hAnsi="Century Gothic"/>
          <w:sz w:val="20"/>
          <w:szCs w:val="20"/>
        </w:rPr>
        <w:t>providers</w:t>
      </w:r>
      <w:r w:rsidRPr="00730C0D">
        <w:rPr>
          <w:rFonts w:ascii="Century Gothic" w:hAnsi="Century Gothic"/>
          <w:sz w:val="20"/>
          <w:szCs w:val="20"/>
        </w:rPr>
        <w:t xml:space="preserve">, </w:t>
      </w:r>
      <w:r w:rsidR="00986E98">
        <w:rPr>
          <w:rFonts w:ascii="Century Gothic" w:hAnsi="Century Gothic"/>
          <w:sz w:val="20"/>
          <w:szCs w:val="20"/>
        </w:rPr>
        <w:br/>
      </w:r>
      <w:r w:rsidRPr="00730C0D">
        <w:rPr>
          <w:rFonts w:ascii="Century Gothic" w:hAnsi="Century Gothic"/>
          <w:sz w:val="20"/>
          <w:szCs w:val="20"/>
        </w:rPr>
        <w:t xml:space="preserve">including universities, must be registered with TEQSA in order to </w:t>
      </w:r>
      <w:r w:rsidR="000458A8" w:rsidRPr="00730C0D">
        <w:rPr>
          <w:rFonts w:ascii="Century Gothic" w:hAnsi="Century Gothic"/>
          <w:sz w:val="20"/>
          <w:szCs w:val="20"/>
        </w:rPr>
        <w:t>offer higher education courses in Australia.</w:t>
      </w:r>
    </w:p>
    <w:p w14:paraId="45A8EF78" w14:textId="77777777" w:rsidR="008779A9" w:rsidRPr="00730C0D" w:rsidRDefault="008779A9" w:rsidP="00D31B9A">
      <w:pPr>
        <w:spacing w:before="0" w:after="0"/>
        <w:rPr>
          <w:rFonts w:ascii="Century Gothic" w:hAnsi="Century Gothic"/>
          <w:sz w:val="20"/>
          <w:szCs w:val="20"/>
        </w:rPr>
      </w:pPr>
    </w:p>
    <w:p w14:paraId="0DB017C0" w14:textId="77777777" w:rsidR="00DF2A4F" w:rsidRDefault="008779A9" w:rsidP="00D31B9A">
      <w:pPr>
        <w:spacing w:before="0" w:after="0"/>
        <w:rPr>
          <w:rFonts w:ascii="Century Gothic" w:hAnsi="Century Gothic"/>
          <w:sz w:val="20"/>
          <w:szCs w:val="20"/>
        </w:rPr>
      </w:pPr>
      <w:r w:rsidRPr="00730C0D">
        <w:rPr>
          <w:rFonts w:ascii="Century Gothic" w:hAnsi="Century Gothic"/>
          <w:sz w:val="20"/>
          <w:szCs w:val="20"/>
        </w:rPr>
        <w:t xml:space="preserve">TEQSA was established in 2011 by the </w:t>
      </w:r>
      <w:r w:rsidRPr="00730C0D">
        <w:rPr>
          <w:rFonts w:ascii="Century Gothic" w:hAnsi="Century Gothic"/>
          <w:i/>
          <w:sz w:val="20"/>
          <w:szCs w:val="20"/>
        </w:rPr>
        <w:t xml:space="preserve">Tertiary Education Quality and Standards </w:t>
      </w:r>
      <w:r w:rsidR="00696C31" w:rsidRPr="00730C0D">
        <w:rPr>
          <w:rFonts w:ascii="Century Gothic" w:hAnsi="Century Gothic"/>
          <w:i/>
          <w:sz w:val="20"/>
          <w:szCs w:val="20"/>
        </w:rPr>
        <w:br/>
      </w:r>
      <w:r w:rsidRPr="00730C0D">
        <w:rPr>
          <w:rFonts w:ascii="Century Gothic" w:hAnsi="Century Gothic"/>
          <w:i/>
          <w:sz w:val="20"/>
          <w:szCs w:val="20"/>
        </w:rPr>
        <w:t>Agency Act 2011</w:t>
      </w:r>
      <w:r w:rsidRPr="00730C0D">
        <w:rPr>
          <w:rFonts w:ascii="Century Gothic" w:hAnsi="Century Gothic"/>
          <w:sz w:val="20"/>
          <w:szCs w:val="20"/>
        </w:rPr>
        <w:t xml:space="preserve"> (</w:t>
      </w:r>
      <w:r w:rsidRPr="00730C0D">
        <w:rPr>
          <w:rFonts w:ascii="Century Gothic" w:hAnsi="Century Gothic"/>
          <w:i/>
          <w:sz w:val="20"/>
          <w:szCs w:val="20"/>
        </w:rPr>
        <w:t>TEQSA Act</w:t>
      </w:r>
      <w:r w:rsidR="00592892" w:rsidRPr="00730C0D">
        <w:rPr>
          <w:rFonts w:ascii="Century Gothic" w:hAnsi="Century Gothic"/>
          <w:i/>
          <w:sz w:val="20"/>
          <w:szCs w:val="20"/>
        </w:rPr>
        <w:t xml:space="preserve"> 2011</w:t>
      </w:r>
      <w:r w:rsidRPr="00730C0D">
        <w:rPr>
          <w:rFonts w:ascii="Century Gothic" w:hAnsi="Century Gothic"/>
          <w:sz w:val="20"/>
          <w:szCs w:val="20"/>
        </w:rPr>
        <w:t xml:space="preserve">) and became operational in 2012. </w:t>
      </w:r>
      <w:r w:rsidR="00CC1910" w:rsidRPr="00730C0D">
        <w:rPr>
          <w:rFonts w:ascii="Century Gothic" w:hAnsi="Century Gothic"/>
          <w:sz w:val="20"/>
          <w:szCs w:val="20"/>
        </w:rPr>
        <w:t xml:space="preserve">TEQSA protects the quality of Australia’s higher education through its assessment of compliance with the Threshold Standards. </w:t>
      </w:r>
      <w:r w:rsidRPr="00730C0D">
        <w:rPr>
          <w:rFonts w:ascii="Century Gothic" w:hAnsi="Century Gothic"/>
          <w:sz w:val="20"/>
          <w:szCs w:val="20"/>
        </w:rPr>
        <w:t>While TEQSA reports some operating challenges, such as improving processing times for applications,</w:t>
      </w:r>
      <w:r w:rsidR="00AC7D05" w:rsidRPr="00730C0D">
        <w:rPr>
          <w:rStyle w:val="FootnoteReference"/>
          <w:rFonts w:ascii="Century Gothic" w:hAnsi="Century Gothic"/>
          <w:sz w:val="20"/>
          <w:szCs w:val="20"/>
        </w:rPr>
        <w:footnoteReference w:id="1"/>
      </w:r>
      <w:r w:rsidR="00AC7D05" w:rsidRPr="00730C0D">
        <w:rPr>
          <w:rFonts w:ascii="Century Gothic" w:hAnsi="Century Gothic"/>
          <w:sz w:val="20"/>
          <w:szCs w:val="20"/>
        </w:rPr>
        <w:t xml:space="preserve"> </w:t>
      </w:r>
      <w:r w:rsidR="00AE5F47" w:rsidRPr="00730C0D">
        <w:rPr>
          <w:rFonts w:ascii="Century Gothic" w:hAnsi="Century Gothic"/>
          <w:sz w:val="20"/>
          <w:szCs w:val="20"/>
        </w:rPr>
        <w:t>the agency</w:t>
      </w:r>
      <w:r w:rsidR="00AC7D05" w:rsidRPr="00730C0D">
        <w:rPr>
          <w:rFonts w:ascii="Century Gothic" w:hAnsi="Century Gothic"/>
          <w:sz w:val="20"/>
          <w:szCs w:val="20"/>
        </w:rPr>
        <w:t xml:space="preserve"> is generally well</w:t>
      </w:r>
      <w:r w:rsidR="006214C6" w:rsidRPr="00730C0D">
        <w:rPr>
          <w:rFonts w:ascii="Century Gothic" w:hAnsi="Century Gothic"/>
          <w:sz w:val="20"/>
          <w:szCs w:val="20"/>
        </w:rPr>
        <w:t xml:space="preserve"> </w:t>
      </w:r>
      <w:r w:rsidR="00AC7D05" w:rsidRPr="00730C0D">
        <w:rPr>
          <w:rFonts w:ascii="Century Gothic" w:hAnsi="Century Gothic"/>
          <w:sz w:val="20"/>
          <w:szCs w:val="20"/>
        </w:rPr>
        <w:t xml:space="preserve">regarded within the sector and internationally. </w:t>
      </w:r>
    </w:p>
    <w:p w14:paraId="14E551CF" w14:textId="77777777" w:rsidR="002E1536" w:rsidRDefault="002E1536">
      <w:pPr>
        <w:spacing w:before="0" w:after="160"/>
        <w:rPr>
          <w:rFonts w:ascii="Century Gothic" w:hAnsi="Century Gothic"/>
          <w:sz w:val="20"/>
          <w:szCs w:val="20"/>
        </w:rPr>
      </w:pPr>
      <w:r>
        <w:rPr>
          <w:rFonts w:ascii="Century Gothic" w:hAnsi="Century Gothic"/>
          <w:sz w:val="20"/>
          <w:szCs w:val="20"/>
        </w:rPr>
        <w:br w:type="page"/>
      </w:r>
    </w:p>
    <w:p w14:paraId="7CF79912" w14:textId="08C551F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A review of the impact of the </w:t>
      </w:r>
      <w:r w:rsidRPr="00730C0D">
        <w:rPr>
          <w:rFonts w:ascii="Century Gothic" w:hAnsi="Century Gothic"/>
          <w:i/>
          <w:sz w:val="20"/>
          <w:szCs w:val="20"/>
        </w:rPr>
        <w:t>TEQSA Act 2011</w:t>
      </w:r>
      <w:r w:rsidRPr="00730C0D">
        <w:rPr>
          <w:rFonts w:ascii="Century Gothic" w:hAnsi="Century Gothic"/>
          <w:sz w:val="20"/>
          <w:szCs w:val="20"/>
        </w:rPr>
        <w:t xml:space="preserve"> on the higher education sector was completed in 2017.</w:t>
      </w:r>
      <w:r w:rsidRPr="00730C0D">
        <w:rPr>
          <w:rStyle w:val="FootnoteReference"/>
          <w:rFonts w:ascii="Century Gothic" w:hAnsi="Century Gothic"/>
          <w:sz w:val="20"/>
          <w:szCs w:val="20"/>
        </w:rPr>
        <w:footnoteReference w:id="2"/>
      </w:r>
      <w:r w:rsidR="00160A4E" w:rsidRPr="00730C0D">
        <w:rPr>
          <w:rFonts w:ascii="Century Gothic" w:hAnsi="Century Gothic"/>
          <w:sz w:val="20"/>
          <w:szCs w:val="20"/>
        </w:rPr>
        <w:t xml:space="preserve"> </w:t>
      </w:r>
      <w:r w:rsidRPr="00730C0D">
        <w:rPr>
          <w:rFonts w:ascii="Century Gothic" w:hAnsi="Century Gothic"/>
          <w:sz w:val="20"/>
          <w:szCs w:val="20"/>
        </w:rPr>
        <w:t xml:space="preserve">That review was positive about the establishment of </w:t>
      </w:r>
      <w:r w:rsidR="00542BDB" w:rsidRPr="00730C0D">
        <w:rPr>
          <w:rFonts w:ascii="Century Gothic" w:hAnsi="Century Gothic"/>
          <w:sz w:val="20"/>
          <w:szCs w:val="20"/>
        </w:rPr>
        <w:t>TEQSA as the national regulator</w:t>
      </w:r>
      <w:r w:rsidRPr="00730C0D">
        <w:rPr>
          <w:rFonts w:ascii="Century Gothic" w:hAnsi="Century Gothic"/>
          <w:sz w:val="20"/>
          <w:szCs w:val="20"/>
        </w:rPr>
        <w:t xml:space="preserve"> and noted that the </w:t>
      </w:r>
      <w:r w:rsidRPr="00730C0D">
        <w:rPr>
          <w:rFonts w:ascii="Century Gothic" w:hAnsi="Century Gothic"/>
          <w:i/>
          <w:sz w:val="20"/>
          <w:szCs w:val="20"/>
        </w:rPr>
        <w:t>TEQSA Act 2011</w:t>
      </w:r>
      <w:r w:rsidRPr="00730C0D">
        <w:rPr>
          <w:rFonts w:ascii="Century Gothic" w:hAnsi="Century Gothic"/>
          <w:sz w:val="20"/>
          <w:szCs w:val="20"/>
        </w:rPr>
        <w:t xml:space="preserve"> is broadly operating </w:t>
      </w:r>
      <w:r w:rsidR="00542BDB" w:rsidRPr="00730C0D">
        <w:rPr>
          <w:rFonts w:ascii="Century Gothic" w:hAnsi="Century Gothic"/>
          <w:sz w:val="20"/>
          <w:szCs w:val="20"/>
        </w:rPr>
        <w:t xml:space="preserve">effectively and </w:t>
      </w:r>
      <w:r w:rsidR="00986E98">
        <w:rPr>
          <w:rFonts w:ascii="Century Gothic" w:hAnsi="Century Gothic"/>
          <w:sz w:val="20"/>
          <w:szCs w:val="20"/>
        </w:rPr>
        <w:br/>
      </w:r>
      <w:r w:rsidR="00542BDB" w:rsidRPr="00730C0D">
        <w:rPr>
          <w:rFonts w:ascii="Century Gothic" w:hAnsi="Century Gothic"/>
          <w:sz w:val="20"/>
          <w:szCs w:val="20"/>
        </w:rPr>
        <w:t>as intended. The</w:t>
      </w:r>
      <w:r w:rsidRPr="00730C0D">
        <w:rPr>
          <w:rFonts w:ascii="Century Gothic" w:hAnsi="Century Gothic"/>
          <w:sz w:val="20"/>
          <w:szCs w:val="20"/>
        </w:rPr>
        <w:t xml:space="preserve"> review did not recommend changes that would significantly alter the regulatory framework or the role of TEQSA. </w:t>
      </w:r>
    </w:p>
    <w:p w14:paraId="41B83682" w14:textId="77777777" w:rsidR="00AC7D05" w:rsidRPr="00730C0D" w:rsidRDefault="00AC7D05" w:rsidP="00D31B9A">
      <w:pPr>
        <w:spacing w:before="0" w:after="0"/>
        <w:rPr>
          <w:rFonts w:ascii="Century Gothic" w:hAnsi="Century Gothic"/>
          <w:sz w:val="20"/>
          <w:szCs w:val="20"/>
        </w:rPr>
      </w:pPr>
    </w:p>
    <w:p w14:paraId="530FF384" w14:textId="625676FE" w:rsidR="00AC7D05" w:rsidRPr="00730C0D" w:rsidRDefault="00CC1910" w:rsidP="00D31B9A">
      <w:pPr>
        <w:spacing w:before="0" w:after="0"/>
        <w:rPr>
          <w:rFonts w:ascii="Century Gothic" w:hAnsi="Century Gothic"/>
          <w:sz w:val="20"/>
          <w:szCs w:val="20"/>
        </w:rPr>
      </w:pPr>
      <w:r w:rsidRPr="00730C0D">
        <w:rPr>
          <w:rFonts w:ascii="Century Gothic" w:hAnsi="Century Gothic"/>
          <w:sz w:val="20"/>
          <w:szCs w:val="20"/>
        </w:rPr>
        <w:t xml:space="preserve">TEQSA’s assessment of compliance with the Threshold Standards </w:t>
      </w:r>
      <w:r w:rsidR="00AC7D05" w:rsidRPr="00730C0D">
        <w:rPr>
          <w:rFonts w:ascii="Century Gothic" w:hAnsi="Century Gothic"/>
          <w:sz w:val="20"/>
          <w:szCs w:val="20"/>
        </w:rPr>
        <w:t>requires evidence of the ongoing academic quality and integrity of higher education operations.</w:t>
      </w:r>
      <w:r w:rsidRPr="00730C0D">
        <w:rPr>
          <w:rFonts w:ascii="Century Gothic" w:hAnsi="Century Gothic"/>
          <w:sz w:val="20"/>
          <w:szCs w:val="20"/>
        </w:rPr>
        <w:t xml:space="preserve"> T</w:t>
      </w:r>
      <w:r w:rsidR="00AC7D05" w:rsidRPr="00730C0D">
        <w:rPr>
          <w:rFonts w:ascii="Century Gothic" w:hAnsi="Century Gothic"/>
          <w:sz w:val="20"/>
          <w:szCs w:val="20"/>
        </w:rPr>
        <w:t xml:space="preserve">he protection of the quality of </w:t>
      </w:r>
      <w:r w:rsidRPr="00730C0D">
        <w:rPr>
          <w:rFonts w:ascii="Century Gothic" w:hAnsi="Century Gothic"/>
          <w:sz w:val="20"/>
          <w:szCs w:val="20"/>
        </w:rPr>
        <w:t xml:space="preserve">students’ </w:t>
      </w:r>
      <w:r w:rsidR="00AC7D05" w:rsidRPr="00730C0D">
        <w:rPr>
          <w:rFonts w:ascii="Century Gothic" w:hAnsi="Century Gothic"/>
          <w:sz w:val="20"/>
          <w:szCs w:val="20"/>
        </w:rPr>
        <w:t>educational experience is of prime importance among</w:t>
      </w:r>
      <w:r w:rsidR="00D9389A" w:rsidRPr="00730C0D">
        <w:rPr>
          <w:rFonts w:ascii="Century Gothic" w:hAnsi="Century Gothic"/>
          <w:sz w:val="20"/>
          <w:szCs w:val="20"/>
        </w:rPr>
        <w:t>st</w:t>
      </w:r>
      <w:r w:rsidR="00AC7D05" w:rsidRPr="00730C0D">
        <w:rPr>
          <w:rFonts w:ascii="Century Gothic" w:hAnsi="Century Gothic"/>
          <w:sz w:val="20"/>
          <w:szCs w:val="20"/>
        </w:rPr>
        <w:t xml:space="preserve"> the objects of the </w:t>
      </w:r>
      <w:r w:rsidR="00AC7D05" w:rsidRPr="00730C0D">
        <w:rPr>
          <w:rFonts w:ascii="Century Gothic" w:hAnsi="Century Gothic"/>
          <w:i/>
          <w:sz w:val="20"/>
          <w:szCs w:val="20"/>
        </w:rPr>
        <w:t>TEQSA Act 2011</w:t>
      </w:r>
      <w:r w:rsidR="00AC7D05" w:rsidRPr="00730C0D">
        <w:rPr>
          <w:rFonts w:ascii="Century Gothic" w:hAnsi="Century Gothic"/>
          <w:sz w:val="20"/>
          <w:szCs w:val="20"/>
        </w:rPr>
        <w:t xml:space="preserve"> and is central to the Threshold Standards. </w:t>
      </w:r>
    </w:p>
    <w:p w14:paraId="25FDE413" w14:textId="77777777" w:rsidR="00AC7D05" w:rsidRPr="00730C0D" w:rsidRDefault="00AC7D05" w:rsidP="00D31B9A">
      <w:pPr>
        <w:spacing w:before="0" w:after="0"/>
        <w:rPr>
          <w:rFonts w:ascii="Century Gothic" w:hAnsi="Century Gothic"/>
          <w:sz w:val="20"/>
          <w:szCs w:val="20"/>
        </w:rPr>
      </w:pPr>
    </w:p>
    <w:p w14:paraId="18236D91" w14:textId="77777777"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 Threshold Standards cover different areas of educational experience, including:</w:t>
      </w:r>
    </w:p>
    <w:p w14:paraId="222F2427" w14:textId="765CCE40"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student participation and attainment</w:t>
      </w:r>
      <w:r w:rsidR="00340750" w:rsidRPr="00730C0D">
        <w:rPr>
          <w:rFonts w:ascii="Century Gothic" w:hAnsi="Century Gothic"/>
          <w:sz w:val="20"/>
          <w:szCs w:val="20"/>
        </w:rPr>
        <w:t>;</w:t>
      </w:r>
    </w:p>
    <w:p w14:paraId="058AA2CB" w14:textId="225FC270"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learning environment</w:t>
      </w:r>
      <w:r w:rsidR="00340750" w:rsidRPr="00730C0D">
        <w:rPr>
          <w:rFonts w:ascii="Century Gothic" w:hAnsi="Century Gothic"/>
          <w:sz w:val="20"/>
          <w:szCs w:val="20"/>
        </w:rPr>
        <w:t>;</w:t>
      </w:r>
    </w:p>
    <w:p w14:paraId="3294092F" w14:textId="4FE9F486"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teaching</w:t>
      </w:r>
      <w:r w:rsidR="00340750" w:rsidRPr="00730C0D">
        <w:rPr>
          <w:rFonts w:ascii="Century Gothic" w:hAnsi="Century Gothic"/>
          <w:sz w:val="20"/>
          <w:szCs w:val="20"/>
        </w:rPr>
        <w:t>;</w:t>
      </w:r>
    </w:p>
    <w:p w14:paraId="743115D4" w14:textId="3FFF536F"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research and research training</w:t>
      </w:r>
      <w:r w:rsidR="00340750" w:rsidRPr="00730C0D">
        <w:rPr>
          <w:rFonts w:ascii="Century Gothic" w:hAnsi="Century Gothic"/>
          <w:sz w:val="20"/>
          <w:szCs w:val="20"/>
        </w:rPr>
        <w:t>;</w:t>
      </w:r>
    </w:p>
    <w:p w14:paraId="1A1F6A57" w14:textId="1CEB016E"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institutional quality assurance</w:t>
      </w:r>
      <w:r w:rsidR="00340750" w:rsidRPr="00730C0D">
        <w:rPr>
          <w:rFonts w:ascii="Century Gothic" w:hAnsi="Century Gothic"/>
          <w:sz w:val="20"/>
          <w:szCs w:val="20"/>
        </w:rPr>
        <w:t>;</w:t>
      </w:r>
    </w:p>
    <w:p w14:paraId="423F5D0D" w14:textId="1CB89570"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governance and accountability</w:t>
      </w:r>
      <w:r w:rsidR="00340750" w:rsidRPr="00730C0D">
        <w:rPr>
          <w:rFonts w:ascii="Century Gothic" w:hAnsi="Century Gothic"/>
          <w:sz w:val="20"/>
          <w:szCs w:val="20"/>
        </w:rPr>
        <w:t>; and</w:t>
      </w:r>
    </w:p>
    <w:p w14:paraId="13E1A693" w14:textId="65AA3945" w:rsidR="00AC7D05" w:rsidRPr="00730C0D" w:rsidRDefault="00AC7D05" w:rsidP="0024520B">
      <w:pPr>
        <w:pStyle w:val="ListParagraph"/>
        <w:numPr>
          <w:ilvl w:val="0"/>
          <w:numId w:val="38"/>
        </w:numPr>
        <w:spacing w:before="0" w:after="0"/>
        <w:rPr>
          <w:rFonts w:ascii="Century Gothic" w:hAnsi="Century Gothic"/>
          <w:sz w:val="20"/>
          <w:szCs w:val="20"/>
        </w:rPr>
      </w:pPr>
      <w:r w:rsidRPr="00730C0D">
        <w:rPr>
          <w:rFonts w:ascii="Century Gothic" w:hAnsi="Century Gothic"/>
          <w:sz w:val="20"/>
          <w:szCs w:val="20"/>
        </w:rPr>
        <w:t>representation, information</w:t>
      </w:r>
      <w:r w:rsidR="00542BDB" w:rsidRPr="00730C0D">
        <w:rPr>
          <w:rFonts w:ascii="Century Gothic" w:hAnsi="Century Gothic"/>
          <w:sz w:val="20"/>
          <w:szCs w:val="20"/>
        </w:rPr>
        <w:t>,</w:t>
      </w:r>
      <w:r w:rsidRPr="00730C0D">
        <w:rPr>
          <w:rFonts w:ascii="Century Gothic" w:hAnsi="Century Gothic"/>
          <w:sz w:val="20"/>
          <w:szCs w:val="20"/>
        </w:rPr>
        <w:t xml:space="preserve"> and information management.</w:t>
      </w:r>
    </w:p>
    <w:p w14:paraId="52C009A0" w14:textId="77777777" w:rsidR="00AC7D05" w:rsidRPr="00730C0D" w:rsidRDefault="00AC7D05" w:rsidP="00D31B9A">
      <w:pPr>
        <w:spacing w:before="0" w:after="0"/>
        <w:rPr>
          <w:rFonts w:ascii="Century Gothic" w:hAnsi="Century Gothic"/>
          <w:sz w:val="20"/>
          <w:szCs w:val="20"/>
        </w:rPr>
      </w:pPr>
    </w:p>
    <w:p w14:paraId="2C3E301E" w14:textId="7FBED56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 Threshold Standards inform students and other interested parties of the expectations of higher education providers regarding the delivery of higher education in or from Australia. The Threshold</w:t>
      </w:r>
      <w:r w:rsidR="00160A4E" w:rsidRPr="00730C0D">
        <w:rPr>
          <w:rFonts w:ascii="Century Gothic" w:hAnsi="Century Gothic"/>
          <w:sz w:val="20"/>
          <w:szCs w:val="20"/>
        </w:rPr>
        <w:t> </w:t>
      </w:r>
      <w:r w:rsidRPr="00730C0D">
        <w:rPr>
          <w:rFonts w:ascii="Century Gothic" w:hAnsi="Century Gothic"/>
          <w:sz w:val="20"/>
          <w:szCs w:val="20"/>
        </w:rPr>
        <w:t>Standards ensure that the barrier to entry into the higher education sector is set sufficiently high to underpin and protect the quality and reputa</w:t>
      </w:r>
      <w:r w:rsidR="00CD16D6" w:rsidRPr="00730C0D">
        <w:rPr>
          <w:rFonts w:ascii="Century Gothic" w:hAnsi="Century Gothic"/>
          <w:sz w:val="20"/>
          <w:szCs w:val="20"/>
        </w:rPr>
        <w:t xml:space="preserve">tion of the sector as a whole. These </w:t>
      </w:r>
      <w:r w:rsidR="006214C6" w:rsidRPr="00730C0D">
        <w:rPr>
          <w:rFonts w:ascii="Century Gothic" w:hAnsi="Century Gothic"/>
          <w:sz w:val="20"/>
          <w:szCs w:val="20"/>
        </w:rPr>
        <w:t>standards</w:t>
      </w:r>
      <w:r w:rsidRPr="00730C0D">
        <w:rPr>
          <w:rFonts w:ascii="Century Gothic" w:hAnsi="Century Gothic"/>
          <w:sz w:val="20"/>
          <w:szCs w:val="20"/>
        </w:rPr>
        <w:t xml:space="preserve"> also establish a baseline for operational quality and integrity from which all providers can continue to build excellence and differentiation. </w:t>
      </w:r>
      <w:r w:rsidR="006B24D2" w:rsidRPr="00730C0D">
        <w:rPr>
          <w:rFonts w:ascii="Century Gothic" w:hAnsi="Century Gothic"/>
          <w:sz w:val="20"/>
          <w:szCs w:val="20"/>
        </w:rPr>
        <w:t>The Threshold Standards set out the Australian Qualifications Framework (AQF) qualifications offered in higher education</w:t>
      </w:r>
      <w:r w:rsidR="00D9389A" w:rsidRPr="00730C0D">
        <w:rPr>
          <w:rFonts w:ascii="Century Gothic" w:hAnsi="Century Gothic"/>
          <w:sz w:val="20"/>
          <w:szCs w:val="20"/>
        </w:rPr>
        <w:t>;</w:t>
      </w:r>
      <w:r w:rsidR="006B24D2" w:rsidRPr="00730C0D">
        <w:rPr>
          <w:rFonts w:ascii="Century Gothic" w:hAnsi="Century Gothic"/>
          <w:sz w:val="20"/>
          <w:szCs w:val="20"/>
        </w:rPr>
        <w:t xml:space="preserve"> </w:t>
      </w:r>
      <w:r w:rsidR="00D9389A" w:rsidRPr="00730C0D">
        <w:rPr>
          <w:rFonts w:ascii="Century Gothic" w:hAnsi="Century Gothic"/>
          <w:sz w:val="20"/>
          <w:szCs w:val="20"/>
        </w:rPr>
        <w:t>t</w:t>
      </w:r>
      <w:r w:rsidR="006B24D2" w:rsidRPr="00730C0D">
        <w:rPr>
          <w:rFonts w:ascii="Century Gothic" w:hAnsi="Century Gothic"/>
          <w:sz w:val="20"/>
          <w:szCs w:val="20"/>
        </w:rPr>
        <w:t>he AQF is the national policy for regulated qualifications in Australian education and training.</w:t>
      </w:r>
      <w:r w:rsidR="006B24D2" w:rsidRPr="00730C0D">
        <w:rPr>
          <w:rStyle w:val="FootnoteReference"/>
          <w:rFonts w:ascii="Century Gothic" w:hAnsi="Century Gothic"/>
          <w:sz w:val="20"/>
          <w:szCs w:val="20"/>
        </w:rPr>
        <w:footnoteReference w:id="3"/>
      </w:r>
    </w:p>
    <w:p w14:paraId="68C8C570" w14:textId="77777777" w:rsidR="00AC7D05" w:rsidRPr="00730C0D" w:rsidRDefault="00AC7D05" w:rsidP="00D31B9A">
      <w:pPr>
        <w:spacing w:before="0" w:after="0"/>
        <w:rPr>
          <w:rFonts w:ascii="Century Gothic" w:hAnsi="Century Gothic"/>
          <w:sz w:val="20"/>
          <w:szCs w:val="20"/>
        </w:rPr>
      </w:pPr>
    </w:p>
    <w:p w14:paraId="794B5205" w14:textId="0DFFBD5E"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Part B of the Threshold Standards includes the PCS (see </w:t>
      </w:r>
      <w:hyperlink w:anchor="_Appendix_C." w:history="1">
        <w:r w:rsidRPr="00730C0D">
          <w:rPr>
            <w:rStyle w:val="Hyperlink"/>
            <w:rFonts w:ascii="Century Gothic" w:hAnsi="Century Gothic"/>
            <w:sz w:val="20"/>
            <w:szCs w:val="20"/>
          </w:rPr>
          <w:t>Appendix C</w:t>
        </w:r>
      </w:hyperlink>
      <w:r w:rsidRPr="00730C0D">
        <w:rPr>
          <w:rFonts w:ascii="Century Gothic" w:hAnsi="Century Gothic"/>
          <w:sz w:val="20"/>
          <w:szCs w:val="20"/>
        </w:rPr>
        <w:t xml:space="preserve">). Part B also includes the </w:t>
      </w:r>
      <w:r w:rsidRPr="00730C0D">
        <w:rPr>
          <w:rFonts w:ascii="Century Gothic" w:hAnsi="Century Gothic"/>
          <w:i/>
          <w:sz w:val="20"/>
          <w:szCs w:val="20"/>
        </w:rPr>
        <w:t xml:space="preserve">Criteria for </w:t>
      </w:r>
      <w:r w:rsidR="00614068" w:rsidRPr="00730C0D">
        <w:rPr>
          <w:rFonts w:ascii="Century Gothic" w:hAnsi="Century Gothic"/>
          <w:i/>
          <w:sz w:val="20"/>
          <w:szCs w:val="20"/>
        </w:rPr>
        <w:t>S</w:t>
      </w:r>
      <w:r w:rsidRPr="00730C0D">
        <w:rPr>
          <w:rFonts w:ascii="Century Gothic" w:hAnsi="Century Gothic"/>
          <w:i/>
          <w:sz w:val="20"/>
          <w:szCs w:val="20"/>
        </w:rPr>
        <w:t xml:space="preserve">eeking </w:t>
      </w:r>
      <w:r w:rsidR="00614068" w:rsidRPr="00730C0D">
        <w:rPr>
          <w:rFonts w:ascii="Century Gothic" w:hAnsi="Century Gothic"/>
          <w:i/>
          <w:sz w:val="20"/>
          <w:szCs w:val="20"/>
        </w:rPr>
        <w:t>A</w:t>
      </w:r>
      <w:r w:rsidRPr="00730C0D">
        <w:rPr>
          <w:rFonts w:ascii="Century Gothic" w:hAnsi="Century Gothic"/>
          <w:i/>
          <w:sz w:val="20"/>
          <w:szCs w:val="20"/>
        </w:rPr>
        <w:t xml:space="preserve">uthority </w:t>
      </w:r>
      <w:r w:rsidR="00614068" w:rsidRPr="00730C0D">
        <w:rPr>
          <w:rFonts w:ascii="Century Gothic" w:hAnsi="Century Gothic"/>
          <w:i/>
          <w:sz w:val="20"/>
          <w:szCs w:val="20"/>
        </w:rPr>
        <w:t>for S</w:t>
      </w:r>
      <w:r w:rsidRPr="00730C0D">
        <w:rPr>
          <w:rFonts w:ascii="Century Gothic" w:hAnsi="Century Gothic"/>
          <w:i/>
          <w:sz w:val="20"/>
          <w:szCs w:val="20"/>
        </w:rPr>
        <w:t>elf-</w:t>
      </w:r>
      <w:r w:rsidR="00614068" w:rsidRPr="00730C0D">
        <w:rPr>
          <w:rFonts w:ascii="Century Gothic" w:hAnsi="Century Gothic"/>
          <w:i/>
          <w:sz w:val="20"/>
          <w:szCs w:val="20"/>
        </w:rPr>
        <w:t>A</w:t>
      </w:r>
      <w:r w:rsidRPr="00730C0D">
        <w:rPr>
          <w:rFonts w:ascii="Century Gothic" w:hAnsi="Century Gothic"/>
          <w:i/>
          <w:sz w:val="20"/>
          <w:szCs w:val="20"/>
        </w:rPr>
        <w:t>ccreditation of</w:t>
      </w:r>
      <w:r w:rsidR="00614068" w:rsidRPr="00730C0D">
        <w:rPr>
          <w:rFonts w:ascii="Century Gothic" w:hAnsi="Century Gothic"/>
          <w:i/>
          <w:sz w:val="20"/>
          <w:szCs w:val="20"/>
        </w:rPr>
        <w:t xml:space="preserve"> C</w:t>
      </w:r>
      <w:r w:rsidRPr="00730C0D">
        <w:rPr>
          <w:rFonts w:ascii="Century Gothic" w:hAnsi="Century Gothic"/>
          <w:i/>
          <w:sz w:val="20"/>
          <w:szCs w:val="20"/>
        </w:rPr>
        <w:t xml:space="preserve">ourses of </w:t>
      </w:r>
      <w:r w:rsidR="00614068" w:rsidRPr="00730C0D">
        <w:rPr>
          <w:rFonts w:ascii="Century Gothic" w:hAnsi="Century Gothic"/>
          <w:i/>
          <w:sz w:val="20"/>
          <w:szCs w:val="20"/>
        </w:rPr>
        <w:t>S</w:t>
      </w:r>
      <w:r w:rsidRPr="00730C0D">
        <w:rPr>
          <w:rFonts w:ascii="Century Gothic" w:hAnsi="Century Gothic"/>
          <w:i/>
          <w:sz w:val="20"/>
          <w:szCs w:val="20"/>
        </w:rPr>
        <w:t>tudy</w:t>
      </w:r>
      <w:r w:rsidRPr="00730C0D">
        <w:rPr>
          <w:rFonts w:ascii="Century Gothic" w:hAnsi="Century Gothic"/>
          <w:sz w:val="20"/>
          <w:szCs w:val="20"/>
        </w:rPr>
        <w:t>, which TEQSA use as the basis for granting self-accrediting authority</w:t>
      </w:r>
      <w:r w:rsidR="00CC1910" w:rsidRPr="00730C0D">
        <w:rPr>
          <w:rStyle w:val="FootnoteReference"/>
          <w:rFonts w:ascii="Century Gothic" w:hAnsi="Century Gothic"/>
          <w:sz w:val="20"/>
          <w:szCs w:val="20"/>
        </w:rPr>
        <w:footnoteReference w:id="4"/>
      </w:r>
      <w:r w:rsidRPr="00730C0D">
        <w:rPr>
          <w:rFonts w:ascii="Century Gothic" w:hAnsi="Century Gothic"/>
          <w:sz w:val="20"/>
          <w:szCs w:val="20"/>
        </w:rPr>
        <w:t xml:space="preserve"> to higher education providers.</w:t>
      </w:r>
    </w:p>
    <w:p w14:paraId="59967F14" w14:textId="77777777" w:rsidR="00AC7D05" w:rsidRPr="00730C0D" w:rsidRDefault="00AC7D05" w:rsidP="00D31B9A">
      <w:pPr>
        <w:spacing w:before="0" w:after="0"/>
        <w:rPr>
          <w:rFonts w:ascii="Century Gothic" w:hAnsi="Century Gothic"/>
          <w:sz w:val="20"/>
          <w:szCs w:val="20"/>
        </w:rPr>
      </w:pPr>
    </w:p>
    <w:p w14:paraId="7D960671" w14:textId="4BD88FA2" w:rsidR="00AC7D05" w:rsidRPr="00730C0D" w:rsidRDefault="003806EF" w:rsidP="004978DA">
      <w:pPr>
        <w:pStyle w:val="Heading3"/>
      </w:pPr>
      <w:bookmarkStart w:id="18" w:name="_Toc18592314"/>
      <w:r w:rsidRPr="00730C0D">
        <w:t>1.1.2</w:t>
      </w:r>
      <w:r w:rsidRPr="00730C0D">
        <w:tab/>
      </w:r>
      <w:r w:rsidR="00AC7D05" w:rsidRPr="00730C0D">
        <w:t>Original Purpose of the PCS and this Review</w:t>
      </w:r>
      <w:bookmarkEnd w:id="18"/>
    </w:p>
    <w:p w14:paraId="7F8217A1" w14:textId="77777777" w:rsidR="00AC7D05" w:rsidRPr="00730C0D" w:rsidRDefault="00AC7D05" w:rsidP="00D31B9A">
      <w:pPr>
        <w:pStyle w:val="Normal-AfterTableFigure"/>
        <w:spacing w:before="0" w:after="0"/>
        <w:rPr>
          <w:rFonts w:ascii="Century Gothic" w:hAnsi="Century Gothic"/>
          <w:sz w:val="20"/>
          <w:szCs w:val="20"/>
        </w:rPr>
      </w:pPr>
      <w:r w:rsidRPr="00730C0D">
        <w:rPr>
          <w:rFonts w:ascii="Century Gothic" w:hAnsi="Century Gothic"/>
          <w:sz w:val="20"/>
          <w:szCs w:val="20"/>
        </w:rPr>
        <w:t xml:space="preserve">The PCS are based on the earlier </w:t>
      </w:r>
      <w:r w:rsidRPr="00730C0D">
        <w:rPr>
          <w:rFonts w:ascii="Century Gothic" w:hAnsi="Century Gothic"/>
          <w:i/>
          <w:sz w:val="20"/>
          <w:szCs w:val="20"/>
        </w:rPr>
        <w:t xml:space="preserve">National Protocols for Higher Education Approval Processes </w:t>
      </w:r>
      <w:r w:rsidRPr="00730C0D">
        <w:rPr>
          <w:rFonts w:ascii="Century Gothic" w:hAnsi="Century Gothic"/>
          <w:sz w:val="20"/>
          <w:szCs w:val="20"/>
        </w:rPr>
        <w:t xml:space="preserve">(National Protocols) which were first adopted by State and Territory governments in 2000, and then updated in 2007. The National Protocols were used by States and Territories for the regulation and accreditation of higher education prior to the establishment of TEQSA in 2011. </w:t>
      </w:r>
    </w:p>
    <w:p w14:paraId="3CD181FC" w14:textId="77777777" w:rsidR="00AC7D05" w:rsidRPr="00730C0D" w:rsidRDefault="00AC7D05" w:rsidP="00D31B9A">
      <w:pPr>
        <w:pStyle w:val="Normal-AfterTableFigure"/>
        <w:spacing w:before="0" w:after="0"/>
        <w:rPr>
          <w:rFonts w:ascii="Century Gothic" w:hAnsi="Century Gothic"/>
          <w:sz w:val="20"/>
          <w:szCs w:val="20"/>
        </w:rPr>
      </w:pPr>
    </w:p>
    <w:p w14:paraId="4C747C2F" w14:textId="1C921C9C" w:rsidR="00AC7D05" w:rsidRPr="00730C0D" w:rsidRDefault="00AC7D05" w:rsidP="00D31B9A">
      <w:pPr>
        <w:pStyle w:val="Normal-AfterTableFigure"/>
        <w:spacing w:before="0" w:after="0"/>
        <w:rPr>
          <w:rFonts w:ascii="Century Gothic" w:hAnsi="Century Gothic"/>
          <w:sz w:val="20"/>
          <w:szCs w:val="20"/>
        </w:rPr>
      </w:pPr>
      <w:r w:rsidRPr="00730C0D">
        <w:rPr>
          <w:rFonts w:ascii="Century Gothic" w:hAnsi="Century Gothic"/>
          <w:sz w:val="20"/>
          <w:szCs w:val="20"/>
        </w:rPr>
        <w:t xml:space="preserve">The purpose of the National Protocols </w:t>
      </w:r>
      <w:r w:rsidR="000159B6" w:rsidRPr="00730C0D">
        <w:rPr>
          <w:rFonts w:ascii="Century Gothic" w:hAnsi="Century Gothic"/>
          <w:sz w:val="20"/>
          <w:szCs w:val="20"/>
        </w:rPr>
        <w:t>was</w:t>
      </w:r>
      <w:r w:rsidRPr="00730C0D">
        <w:rPr>
          <w:rFonts w:ascii="Century Gothic" w:hAnsi="Century Gothic"/>
          <w:sz w:val="20"/>
          <w:szCs w:val="20"/>
        </w:rPr>
        <w:t xml:space="preserve"> to assure students and the community that higher education institutions in Australia met identified criteria and were subject to appropriate government regulation. </w:t>
      </w:r>
      <w:r w:rsidR="000159B6" w:rsidRPr="00730C0D">
        <w:rPr>
          <w:rFonts w:ascii="Century Gothic" w:hAnsi="Century Gothic"/>
          <w:sz w:val="20"/>
          <w:szCs w:val="20"/>
        </w:rPr>
        <w:t xml:space="preserve">The National Protocols were designed to ensure consistent criteria and standards across Australia for the recognition of new universities, the operation of overseas higher education institutions in Australia, and the accreditation of higher education courses to be offered by non self-accrediting providers. </w:t>
      </w:r>
      <w:r w:rsidRPr="00730C0D">
        <w:rPr>
          <w:rFonts w:ascii="Century Gothic" w:hAnsi="Century Gothic"/>
          <w:sz w:val="20"/>
          <w:szCs w:val="20"/>
        </w:rPr>
        <w:t>Their development followed the attempt by new entrants of uncertain quality to operate in Australia, and the interest to protect the reputation of Australian higher education and its established public universities. In</w:t>
      </w:r>
      <w:r w:rsidR="004A6286" w:rsidRPr="00730C0D">
        <w:rPr>
          <w:rFonts w:ascii="Century Gothic" w:hAnsi="Century Gothic"/>
          <w:sz w:val="20"/>
          <w:szCs w:val="20"/>
        </w:rPr>
        <w:t> </w:t>
      </w:r>
      <w:r w:rsidRPr="00730C0D">
        <w:rPr>
          <w:rFonts w:ascii="Century Gothic" w:hAnsi="Century Gothic"/>
          <w:sz w:val="20"/>
          <w:szCs w:val="20"/>
        </w:rPr>
        <w:t xml:space="preserve">particular, the short-lived and controversial establishment of Greenwich University as a distance educator on Norfolk Island in the late 1990s highlighted the absence of an agreed national approach to higher education approvals and, in particular, a lack of protection of the term ‘university’. </w:t>
      </w:r>
      <w:r w:rsidR="000159B6" w:rsidRPr="00730C0D">
        <w:rPr>
          <w:rFonts w:ascii="Century Gothic" w:hAnsi="Century Gothic"/>
          <w:sz w:val="20"/>
          <w:szCs w:val="20"/>
        </w:rPr>
        <w:t xml:space="preserve">Therefore, around </w:t>
      </w:r>
      <w:r w:rsidRPr="00730C0D">
        <w:rPr>
          <w:rFonts w:ascii="Century Gothic" w:hAnsi="Century Gothic"/>
          <w:sz w:val="20"/>
          <w:szCs w:val="20"/>
        </w:rPr>
        <w:t>the same t</w:t>
      </w:r>
      <w:r w:rsidR="00730C0D">
        <w:rPr>
          <w:rFonts w:ascii="Century Gothic" w:hAnsi="Century Gothic"/>
          <w:sz w:val="20"/>
          <w:szCs w:val="20"/>
        </w:rPr>
        <w:t xml:space="preserve">ime, the Government amended the </w:t>
      </w:r>
      <w:r w:rsidR="00730C0D" w:rsidRPr="00730C0D">
        <w:rPr>
          <w:rFonts w:ascii="Century Gothic" w:hAnsi="Century Gothic"/>
          <w:i/>
          <w:iCs/>
          <w:sz w:val="20"/>
          <w:szCs w:val="20"/>
        </w:rPr>
        <w:t xml:space="preserve">Corporations Act 2001 </w:t>
      </w:r>
      <w:r w:rsidR="00730C0D" w:rsidRPr="00730C0D">
        <w:rPr>
          <w:rFonts w:ascii="Century Gothic" w:hAnsi="Century Gothic"/>
          <w:iCs/>
          <w:sz w:val="20"/>
          <w:szCs w:val="20"/>
        </w:rPr>
        <w:t>and associated regulations</w:t>
      </w:r>
      <w:r w:rsidR="00BC121C">
        <w:rPr>
          <w:rFonts w:ascii="Century Gothic" w:hAnsi="Century Gothic"/>
          <w:iCs/>
          <w:sz w:val="20"/>
          <w:szCs w:val="20"/>
        </w:rPr>
        <w:t>,</w:t>
      </w:r>
      <w:r w:rsidR="00730C0D" w:rsidRPr="00730C0D">
        <w:rPr>
          <w:rFonts w:ascii="Century Gothic" w:hAnsi="Century Gothic"/>
          <w:sz w:val="20"/>
          <w:szCs w:val="20"/>
        </w:rPr>
        <w:t xml:space="preserve"> </w:t>
      </w:r>
      <w:r w:rsidRPr="00730C0D">
        <w:rPr>
          <w:rFonts w:ascii="Century Gothic" w:hAnsi="Century Gothic"/>
          <w:sz w:val="20"/>
          <w:szCs w:val="20"/>
        </w:rPr>
        <w:t>to protect the title ‘university’ in Australia</w:t>
      </w:r>
      <w:r w:rsidR="00936D7A" w:rsidRPr="00730C0D">
        <w:rPr>
          <w:rFonts w:ascii="Century Gothic" w:hAnsi="Century Gothic"/>
          <w:sz w:val="20"/>
          <w:szCs w:val="20"/>
        </w:rPr>
        <w:t xml:space="preserve"> (see </w:t>
      </w:r>
      <w:hyperlink w:anchor="_2.4.1_The_‘University’" w:history="1">
        <w:r w:rsidR="00936D7A" w:rsidRPr="00730C0D">
          <w:rPr>
            <w:rStyle w:val="Hyperlink"/>
            <w:rFonts w:ascii="Century Gothic" w:hAnsi="Century Gothic"/>
            <w:sz w:val="20"/>
            <w:szCs w:val="20"/>
          </w:rPr>
          <w:t>Section 2.4.1</w:t>
        </w:r>
      </w:hyperlink>
      <w:r w:rsidR="00936D7A" w:rsidRPr="00730C0D">
        <w:rPr>
          <w:rFonts w:ascii="Century Gothic" w:hAnsi="Century Gothic"/>
          <w:sz w:val="20"/>
          <w:szCs w:val="20"/>
        </w:rPr>
        <w:t>)</w:t>
      </w:r>
      <w:r w:rsidRPr="00730C0D">
        <w:rPr>
          <w:rFonts w:ascii="Century Gothic" w:hAnsi="Century Gothic"/>
          <w:sz w:val="20"/>
          <w:szCs w:val="20"/>
        </w:rPr>
        <w:t>.</w:t>
      </w:r>
    </w:p>
    <w:p w14:paraId="2BCCF689" w14:textId="77777777" w:rsidR="00AC7D05" w:rsidRPr="00730C0D" w:rsidRDefault="00AC7D05" w:rsidP="00D31B9A">
      <w:pPr>
        <w:pStyle w:val="Normal-AfterTableFigure"/>
        <w:spacing w:before="0" w:after="0"/>
        <w:rPr>
          <w:rFonts w:ascii="Century Gothic" w:hAnsi="Century Gothic"/>
          <w:sz w:val="20"/>
          <w:szCs w:val="20"/>
        </w:rPr>
      </w:pPr>
    </w:p>
    <w:p w14:paraId="711AA8FA" w14:textId="59061262"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In 2008, the Australian Government initiated a Review of Australian Higher Education (Bradley Review) to consider the future direction of the higher education sector. </w:t>
      </w:r>
      <w:r w:rsidR="000159B6" w:rsidRPr="00730C0D">
        <w:rPr>
          <w:rFonts w:ascii="Century Gothic" w:hAnsi="Century Gothic"/>
          <w:sz w:val="20"/>
          <w:szCs w:val="20"/>
        </w:rPr>
        <w:br/>
      </w:r>
      <w:r w:rsidRPr="00730C0D">
        <w:rPr>
          <w:rFonts w:ascii="Century Gothic" w:hAnsi="Century Gothic"/>
          <w:sz w:val="20"/>
          <w:szCs w:val="20"/>
        </w:rPr>
        <w:t>The Bradley Review focussed on three key themes – access and participation, expanding the number of graduates from Australian universities to meet future needs</w:t>
      </w:r>
      <w:r w:rsidR="00542BDB" w:rsidRPr="00730C0D">
        <w:rPr>
          <w:rFonts w:ascii="Century Gothic" w:hAnsi="Century Gothic"/>
          <w:sz w:val="20"/>
          <w:szCs w:val="20"/>
        </w:rPr>
        <w:t>,</w:t>
      </w:r>
      <w:r w:rsidRPr="00730C0D">
        <w:rPr>
          <w:rFonts w:ascii="Century Gothic" w:hAnsi="Century Gothic"/>
          <w:sz w:val="20"/>
          <w:szCs w:val="20"/>
        </w:rPr>
        <w:t xml:space="preserve"> and establishing a national regulatory framework for higher education.</w:t>
      </w:r>
      <w:r w:rsidRPr="00730C0D">
        <w:rPr>
          <w:rStyle w:val="FootnoteReference"/>
          <w:rFonts w:ascii="Century Gothic" w:hAnsi="Century Gothic"/>
          <w:sz w:val="20"/>
          <w:szCs w:val="20"/>
        </w:rPr>
        <w:footnoteReference w:id="5"/>
      </w:r>
      <w:r w:rsidRPr="00730C0D">
        <w:rPr>
          <w:rFonts w:ascii="Century Gothic" w:hAnsi="Century Gothic"/>
          <w:sz w:val="20"/>
          <w:szCs w:val="20"/>
        </w:rPr>
        <w:t xml:space="preserve"> A key recommendation was </w:t>
      </w:r>
      <w:r w:rsidR="00466DC5" w:rsidRPr="00730C0D">
        <w:rPr>
          <w:rFonts w:ascii="Century Gothic" w:hAnsi="Century Gothic"/>
          <w:sz w:val="20"/>
          <w:szCs w:val="20"/>
        </w:rPr>
        <w:t xml:space="preserve">to </w:t>
      </w:r>
      <w:r w:rsidRPr="00730C0D">
        <w:rPr>
          <w:rFonts w:ascii="Century Gothic" w:hAnsi="Century Gothic"/>
          <w:sz w:val="20"/>
          <w:szCs w:val="20"/>
        </w:rPr>
        <w:t>focus on ensuring the quality of the higher education sector and the education it delivers. The</w:t>
      </w:r>
      <w:r w:rsidR="00CB0321" w:rsidRPr="00730C0D">
        <w:rPr>
          <w:rFonts w:ascii="Century Gothic" w:hAnsi="Century Gothic"/>
          <w:sz w:val="20"/>
          <w:szCs w:val="20"/>
        </w:rPr>
        <w:t> </w:t>
      </w:r>
      <w:r w:rsidR="000159B6" w:rsidRPr="00730C0D">
        <w:rPr>
          <w:rFonts w:ascii="Century Gothic" w:hAnsi="Century Gothic"/>
          <w:sz w:val="20"/>
          <w:szCs w:val="20"/>
        </w:rPr>
        <w:t xml:space="preserve">Bradley </w:t>
      </w:r>
      <w:r w:rsidRPr="00730C0D">
        <w:rPr>
          <w:rFonts w:ascii="Century Gothic" w:hAnsi="Century Gothic"/>
          <w:sz w:val="20"/>
          <w:szCs w:val="20"/>
        </w:rPr>
        <w:t xml:space="preserve">Review identified that Australia must enhance its capacity to demonstrate outcomes and appropriate standards in higher education to remain </w:t>
      </w:r>
      <w:r w:rsidR="00A051C9" w:rsidRPr="00730C0D">
        <w:rPr>
          <w:rFonts w:ascii="Century Gothic" w:hAnsi="Century Gothic"/>
          <w:sz w:val="20"/>
          <w:szCs w:val="20"/>
        </w:rPr>
        <w:t>internationally competitive. It </w:t>
      </w:r>
      <w:r w:rsidRPr="00730C0D">
        <w:rPr>
          <w:rFonts w:ascii="Century Gothic" w:hAnsi="Century Gothic"/>
          <w:sz w:val="20"/>
          <w:szCs w:val="20"/>
        </w:rPr>
        <w:t xml:space="preserve">called for the establishment of arrangements to assure the quality of Australian higher education and governance structures to be put in place to assist in meeting </w:t>
      </w:r>
      <w:r w:rsidR="000159B6" w:rsidRPr="00730C0D">
        <w:rPr>
          <w:rFonts w:ascii="Century Gothic" w:hAnsi="Century Gothic"/>
          <w:sz w:val="20"/>
          <w:szCs w:val="20"/>
        </w:rPr>
        <w:t>access and participation</w:t>
      </w:r>
      <w:r w:rsidRPr="00730C0D">
        <w:rPr>
          <w:rFonts w:ascii="Century Gothic" w:hAnsi="Century Gothic"/>
          <w:sz w:val="20"/>
          <w:szCs w:val="20"/>
        </w:rPr>
        <w:t xml:space="preserve"> goals. </w:t>
      </w:r>
    </w:p>
    <w:p w14:paraId="26D17C67" w14:textId="77777777" w:rsidR="00AC7D05" w:rsidRPr="00730C0D" w:rsidRDefault="00AC7D05" w:rsidP="00D31B9A">
      <w:pPr>
        <w:spacing w:before="0" w:after="0"/>
        <w:rPr>
          <w:rFonts w:ascii="Century Gothic" w:hAnsi="Century Gothic"/>
          <w:sz w:val="20"/>
          <w:szCs w:val="20"/>
        </w:rPr>
      </w:pPr>
    </w:p>
    <w:p w14:paraId="1DB77179" w14:textId="6AF80CE2" w:rsidR="00AC7D05" w:rsidRPr="00730C0D" w:rsidRDefault="00AC7D05" w:rsidP="00BC121C">
      <w:pPr>
        <w:spacing w:before="0" w:after="0"/>
        <w:ind w:right="-46"/>
        <w:rPr>
          <w:rFonts w:ascii="Century Gothic" w:hAnsi="Century Gothic"/>
          <w:sz w:val="20"/>
          <w:szCs w:val="20"/>
        </w:rPr>
      </w:pPr>
      <w:r w:rsidRPr="00730C0D">
        <w:rPr>
          <w:rFonts w:ascii="Century Gothic" w:hAnsi="Century Gothic"/>
          <w:sz w:val="20"/>
          <w:szCs w:val="20"/>
        </w:rPr>
        <w:t xml:space="preserve">In consequence, the Bradley Review recommended the establishment of a national quality assurance and regulatory agency to support the adoption of a new </w:t>
      </w:r>
      <w:r w:rsidR="00147536" w:rsidRPr="00730C0D">
        <w:rPr>
          <w:rFonts w:ascii="Century Gothic" w:hAnsi="Century Gothic"/>
          <w:sz w:val="20"/>
          <w:szCs w:val="20"/>
        </w:rPr>
        <w:t xml:space="preserve">regulatory </w:t>
      </w:r>
      <w:r w:rsidRPr="00730C0D">
        <w:rPr>
          <w:rFonts w:ascii="Century Gothic" w:hAnsi="Century Gothic"/>
          <w:sz w:val="20"/>
          <w:szCs w:val="20"/>
        </w:rPr>
        <w:t>framework for higher education accreditation</w:t>
      </w:r>
      <w:r w:rsidR="00147536" w:rsidRPr="00730C0D">
        <w:rPr>
          <w:rFonts w:ascii="Century Gothic" w:hAnsi="Century Gothic"/>
          <w:sz w:val="20"/>
          <w:szCs w:val="20"/>
        </w:rPr>
        <w:t xml:space="preserve"> and </w:t>
      </w:r>
      <w:r w:rsidRPr="00730C0D">
        <w:rPr>
          <w:rFonts w:ascii="Century Gothic" w:hAnsi="Century Gothic"/>
          <w:sz w:val="20"/>
          <w:szCs w:val="20"/>
        </w:rPr>
        <w:t>quality assurance</w:t>
      </w:r>
      <w:r w:rsidR="00147536" w:rsidRPr="00730C0D">
        <w:rPr>
          <w:rFonts w:ascii="Century Gothic" w:hAnsi="Century Gothic"/>
          <w:sz w:val="20"/>
          <w:szCs w:val="20"/>
        </w:rPr>
        <w:t>.</w:t>
      </w:r>
      <w:r w:rsidRPr="00730C0D">
        <w:rPr>
          <w:rFonts w:ascii="Century Gothic" w:hAnsi="Century Gothic"/>
          <w:sz w:val="20"/>
          <w:szCs w:val="20"/>
        </w:rPr>
        <w:t xml:space="preserve"> In 2009, the Government responded to the Bradley</w:t>
      </w:r>
      <w:r w:rsidR="00BC121C">
        <w:rPr>
          <w:rFonts w:ascii="Century Gothic" w:hAnsi="Century Gothic"/>
          <w:sz w:val="20"/>
          <w:szCs w:val="20"/>
        </w:rPr>
        <w:t xml:space="preserve"> Review</w:t>
      </w:r>
      <w:r w:rsidRPr="00730C0D">
        <w:rPr>
          <w:rFonts w:ascii="Century Gothic" w:hAnsi="Century Gothic"/>
          <w:sz w:val="20"/>
          <w:szCs w:val="20"/>
        </w:rPr>
        <w:t xml:space="preserve"> recommendation by announcing the establishment of TEQSA as a single national regulatory and quality assurance agency for higher education. With the establishment of TEQSA came new Threshold Standards that were tabled in Parliament in 2011. These initial Threshold Standards were largely based on the National Protocols that were already in existence at the time and comprised four separate sets of standards made under Section 58(1) of the </w:t>
      </w:r>
      <w:r w:rsidRPr="00730C0D">
        <w:rPr>
          <w:rFonts w:ascii="Century Gothic" w:hAnsi="Century Gothic"/>
          <w:i/>
          <w:sz w:val="20"/>
          <w:szCs w:val="20"/>
        </w:rPr>
        <w:t>TEQSA Act 2011</w:t>
      </w:r>
      <w:r w:rsidRPr="00730C0D">
        <w:rPr>
          <w:rFonts w:ascii="Century Gothic" w:hAnsi="Century Gothic"/>
          <w:sz w:val="20"/>
          <w:szCs w:val="20"/>
        </w:rPr>
        <w:t>:</w:t>
      </w:r>
    </w:p>
    <w:p w14:paraId="2188FAC9" w14:textId="7CC8C2A2" w:rsidR="00AC7D05" w:rsidRPr="00730C0D" w:rsidRDefault="00AC7D05" w:rsidP="0024520B">
      <w:pPr>
        <w:pStyle w:val="ListParagraph"/>
        <w:numPr>
          <w:ilvl w:val="0"/>
          <w:numId w:val="58"/>
        </w:numPr>
        <w:spacing w:before="0" w:after="0"/>
        <w:rPr>
          <w:rFonts w:ascii="Century Gothic" w:hAnsi="Century Gothic"/>
          <w:sz w:val="20"/>
          <w:szCs w:val="20"/>
        </w:rPr>
      </w:pPr>
      <w:r w:rsidRPr="00730C0D">
        <w:rPr>
          <w:rFonts w:ascii="Century Gothic" w:hAnsi="Century Gothic"/>
          <w:sz w:val="20"/>
          <w:szCs w:val="20"/>
        </w:rPr>
        <w:t>the Provider Registration Standards</w:t>
      </w:r>
      <w:r w:rsidR="00340750" w:rsidRPr="00730C0D">
        <w:rPr>
          <w:rFonts w:ascii="Century Gothic" w:hAnsi="Century Gothic"/>
          <w:sz w:val="20"/>
          <w:szCs w:val="20"/>
        </w:rPr>
        <w:t>;</w:t>
      </w:r>
    </w:p>
    <w:p w14:paraId="1F09C3F8" w14:textId="5E9164B0" w:rsidR="00AC7D05" w:rsidRPr="00730C0D" w:rsidRDefault="00AC7D05" w:rsidP="0024520B">
      <w:pPr>
        <w:pStyle w:val="ListParagraph"/>
        <w:numPr>
          <w:ilvl w:val="0"/>
          <w:numId w:val="58"/>
        </w:numPr>
        <w:spacing w:before="0" w:after="0"/>
        <w:rPr>
          <w:rFonts w:ascii="Century Gothic" w:hAnsi="Century Gothic"/>
          <w:sz w:val="20"/>
          <w:szCs w:val="20"/>
        </w:rPr>
      </w:pPr>
      <w:r w:rsidRPr="00730C0D">
        <w:rPr>
          <w:rFonts w:ascii="Century Gothic" w:hAnsi="Century Gothic"/>
          <w:sz w:val="20"/>
          <w:szCs w:val="20"/>
        </w:rPr>
        <w:t>the Provider Category Standards</w:t>
      </w:r>
      <w:r w:rsidR="00340750" w:rsidRPr="00730C0D">
        <w:rPr>
          <w:rFonts w:ascii="Century Gothic" w:hAnsi="Century Gothic"/>
          <w:sz w:val="20"/>
          <w:szCs w:val="20"/>
        </w:rPr>
        <w:t>;</w:t>
      </w:r>
    </w:p>
    <w:p w14:paraId="45A2B681" w14:textId="4011BFE6" w:rsidR="00AC7D05" w:rsidRPr="00730C0D" w:rsidRDefault="00AC7D05" w:rsidP="0024520B">
      <w:pPr>
        <w:pStyle w:val="ListParagraph"/>
        <w:numPr>
          <w:ilvl w:val="0"/>
          <w:numId w:val="58"/>
        </w:numPr>
        <w:spacing w:before="0" w:after="0"/>
        <w:rPr>
          <w:rFonts w:ascii="Century Gothic" w:hAnsi="Century Gothic"/>
          <w:sz w:val="20"/>
          <w:szCs w:val="20"/>
        </w:rPr>
      </w:pPr>
      <w:r w:rsidRPr="00730C0D">
        <w:rPr>
          <w:rFonts w:ascii="Century Gothic" w:hAnsi="Century Gothic"/>
          <w:sz w:val="20"/>
          <w:szCs w:val="20"/>
        </w:rPr>
        <w:t>the Provider Course Accreditation Standards</w:t>
      </w:r>
      <w:r w:rsidR="00340750" w:rsidRPr="00730C0D">
        <w:rPr>
          <w:rFonts w:ascii="Century Gothic" w:hAnsi="Century Gothic"/>
          <w:sz w:val="20"/>
          <w:szCs w:val="20"/>
        </w:rPr>
        <w:t>;</w:t>
      </w:r>
      <w:r w:rsidRPr="00730C0D">
        <w:rPr>
          <w:rFonts w:ascii="Century Gothic" w:hAnsi="Century Gothic"/>
          <w:sz w:val="20"/>
          <w:szCs w:val="20"/>
        </w:rPr>
        <w:t xml:space="preserve"> and</w:t>
      </w:r>
    </w:p>
    <w:p w14:paraId="4D9E3F61" w14:textId="1CBEA710" w:rsidR="00AC7D05" w:rsidRPr="00730C0D" w:rsidRDefault="00AC7D05" w:rsidP="0024520B">
      <w:pPr>
        <w:pStyle w:val="ListParagraph"/>
        <w:numPr>
          <w:ilvl w:val="0"/>
          <w:numId w:val="58"/>
        </w:numPr>
        <w:spacing w:before="0" w:after="0"/>
        <w:rPr>
          <w:rFonts w:ascii="Century Gothic" w:hAnsi="Century Gothic"/>
          <w:sz w:val="20"/>
          <w:szCs w:val="20"/>
        </w:rPr>
      </w:pPr>
      <w:r w:rsidRPr="00730C0D">
        <w:rPr>
          <w:rFonts w:ascii="Century Gothic" w:hAnsi="Century Gothic"/>
          <w:sz w:val="20"/>
          <w:szCs w:val="20"/>
        </w:rPr>
        <w:t xml:space="preserve">the Qualification Standards. </w:t>
      </w:r>
    </w:p>
    <w:p w14:paraId="4AF23C69" w14:textId="77777777" w:rsidR="00AC7D05" w:rsidRPr="00730C0D" w:rsidRDefault="00AC7D05" w:rsidP="00D31B9A">
      <w:pPr>
        <w:spacing w:before="0" w:after="0"/>
        <w:rPr>
          <w:rFonts w:ascii="Century Gothic" w:hAnsi="Century Gothic"/>
          <w:sz w:val="20"/>
          <w:szCs w:val="20"/>
        </w:rPr>
      </w:pPr>
    </w:p>
    <w:p w14:paraId="359147E9" w14:textId="09A04D0C" w:rsidR="00986E98"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 </w:t>
      </w:r>
      <w:r w:rsidRPr="00730C0D">
        <w:rPr>
          <w:rFonts w:ascii="Century Gothic" w:hAnsi="Century Gothic"/>
          <w:i/>
          <w:sz w:val="20"/>
          <w:szCs w:val="20"/>
        </w:rPr>
        <w:t>TEQSA Act 2011</w:t>
      </w:r>
      <w:r w:rsidRPr="00730C0D">
        <w:rPr>
          <w:rFonts w:ascii="Century Gothic" w:hAnsi="Century Gothic"/>
          <w:sz w:val="20"/>
          <w:szCs w:val="20"/>
        </w:rPr>
        <w:t xml:space="preserve"> established the Higher Education Standards Panel (HESP) to advise and make recommendations to the Minister for Education in setting and varying the </w:t>
      </w:r>
      <w:r w:rsidR="00933B88">
        <w:rPr>
          <w:rFonts w:ascii="Century Gothic" w:hAnsi="Century Gothic"/>
          <w:sz w:val="20"/>
          <w:szCs w:val="20"/>
        </w:rPr>
        <w:t>Threshold </w:t>
      </w:r>
      <w:r w:rsidRPr="00730C0D">
        <w:rPr>
          <w:rFonts w:ascii="Century Gothic" w:hAnsi="Century Gothic"/>
          <w:sz w:val="20"/>
          <w:szCs w:val="20"/>
        </w:rPr>
        <w:t xml:space="preserve">Standards. The first task of the HESP was to review the initial Threshold Standards, </w:t>
      </w:r>
      <w:r w:rsidR="00933B88">
        <w:rPr>
          <w:rFonts w:ascii="Century Gothic" w:hAnsi="Century Gothic"/>
          <w:sz w:val="20"/>
          <w:szCs w:val="20"/>
        </w:rPr>
        <w:br/>
      </w:r>
      <w:r w:rsidRPr="00730C0D">
        <w:rPr>
          <w:rFonts w:ascii="Century Gothic" w:hAnsi="Century Gothic"/>
          <w:sz w:val="20"/>
          <w:szCs w:val="20"/>
        </w:rPr>
        <w:t xml:space="preserve">an activity which took place between 2012 and 2014. The PCS element of the </w:t>
      </w:r>
      <w:r w:rsidR="00933B88">
        <w:rPr>
          <w:rFonts w:ascii="Century Gothic" w:hAnsi="Century Gothic"/>
          <w:sz w:val="20"/>
          <w:szCs w:val="20"/>
        </w:rPr>
        <w:br/>
      </w:r>
      <w:r w:rsidRPr="00730C0D">
        <w:rPr>
          <w:rFonts w:ascii="Century Gothic" w:hAnsi="Century Gothic"/>
          <w:sz w:val="20"/>
          <w:szCs w:val="20"/>
        </w:rPr>
        <w:t>Threshold Standards</w:t>
      </w:r>
      <w:r w:rsidR="00A051C9" w:rsidRPr="00730C0D">
        <w:rPr>
          <w:rFonts w:ascii="Century Gothic" w:hAnsi="Century Gothic"/>
          <w:sz w:val="20"/>
          <w:szCs w:val="20"/>
        </w:rPr>
        <w:t xml:space="preserve"> (Part </w:t>
      </w:r>
      <w:r w:rsidR="008725CC" w:rsidRPr="00730C0D">
        <w:rPr>
          <w:rFonts w:ascii="Century Gothic" w:hAnsi="Century Gothic"/>
          <w:sz w:val="20"/>
          <w:szCs w:val="20"/>
        </w:rPr>
        <w:t>B1)</w:t>
      </w:r>
      <w:r w:rsidRPr="00730C0D">
        <w:rPr>
          <w:rFonts w:ascii="Century Gothic" w:hAnsi="Century Gothic"/>
          <w:sz w:val="20"/>
          <w:szCs w:val="20"/>
        </w:rPr>
        <w:t xml:space="preserve"> was not included in the 2012-2014 review</w:t>
      </w:r>
      <w:r w:rsidR="00BC121C">
        <w:rPr>
          <w:rFonts w:ascii="Century Gothic" w:hAnsi="Century Gothic"/>
          <w:sz w:val="20"/>
          <w:szCs w:val="20"/>
        </w:rPr>
        <w:t>.</w:t>
      </w:r>
      <w:r w:rsidR="00466DC5" w:rsidRPr="00730C0D">
        <w:rPr>
          <w:rStyle w:val="FootnoteReference"/>
          <w:rFonts w:ascii="Century Gothic" w:hAnsi="Century Gothic"/>
          <w:sz w:val="20"/>
          <w:szCs w:val="20"/>
        </w:rPr>
        <w:footnoteReference w:id="6"/>
      </w:r>
      <w:r w:rsidR="008725CC" w:rsidRPr="00730C0D">
        <w:rPr>
          <w:rFonts w:ascii="Century Gothic" w:hAnsi="Century Gothic"/>
          <w:sz w:val="20"/>
          <w:szCs w:val="20"/>
        </w:rPr>
        <w:t xml:space="preserve"> </w:t>
      </w:r>
      <w:r w:rsidRPr="00730C0D">
        <w:rPr>
          <w:rFonts w:ascii="Century Gothic" w:hAnsi="Century Gothic"/>
          <w:sz w:val="20"/>
          <w:szCs w:val="20"/>
        </w:rPr>
        <w:t xml:space="preserve">The HESP at that time concluded that provider categorisation is as much a matter of public policy as it is of standards for higher education and, as such, necessitated a separate </w:t>
      </w:r>
      <w:bookmarkStart w:id="19" w:name="_Toc527354299"/>
      <w:r w:rsidR="00933B88">
        <w:rPr>
          <w:rFonts w:ascii="Century Gothic" w:hAnsi="Century Gothic"/>
          <w:sz w:val="20"/>
          <w:szCs w:val="20"/>
        </w:rPr>
        <w:t>piece of work. That </w:t>
      </w:r>
      <w:r w:rsidRPr="00730C0D">
        <w:rPr>
          <w:rFonts w:ascii="Century Gothic" w:hAnsi="Century Gothic"/>
          <w:sz w:val="20"/>
          <w:szCs w:val="20"/>
        </w:rPr>
        <w:t xml:space="preserve">examination is the focus of this </w:t>
      </w:r>
      <w:bookmarkEnd w:id="19"/>
      <w:r w:rsidR="00466DC5" w:rsidRPr="00730C0D">
        <w:rPr>
          <w:rFonts w:ascii="Century Gothic" w:hAnsi="Century Gothic"/>
          <w:sz w:val="20"/>
          <w:szCs w:val="20"/>
        </w:rPr>
        <w:t>PCS</w:t>
      </w:r>
      <w:r w:rsidR="00933B88">
        <w:rPr>
          <w:rFonts w:ascii="Century Gothic" w:hAnsi="Century Gothic"/>
          <w:sz w:val="20"/>
          <w:szCs w:val="20"/>
        </w:rPr>
        <w:t xml:space="preserve"> Review</w:t>
      </w:r>
      <w:r w:rsidRPr="00730C0D">
        <w:rPr>
          <w:rFonts w:ascii="Century Gothic" w:hAnsi="Century Gothic"/>
          <w:sz w:val="20"/>
          <w:szCs w:val="20"/>
        </w:rPr>
        <w:t xml:space="preserve">. </w:t>
      </w:r>
      <w:r w:rsidR="008725CC" w:rsidRPr="00730C0D">
        <w:rPr>
          <w:rFonts w:ascii="Century Gothic" w:hAnsi="Century Gothic"/>
          <w:sz w:val="20"/>
          <w:szCs w:val="20"/>
        </w:rPr>
        <w:t xml:space="preserve">Part B2: </w:t>
      </w:r>
      <w:r w:rsidR="008725CC" w:rsidRPr="00730C0D">
        <w:rPr>
          <w:rFonts w:ascii="Century Gothic" w:hAnsi="Century Gothic"/>
          <w:i/>
          <w:sz w:val="20"/>
          <w:szCs w:val="20"/>
        </w:rPr>
        <w:t xml:space="preserve">Criteria for Seeking Authority for </w:t>
      </w:r>
      <w:r w:rsidR="00933B88">
        <w:rPr>
          <w:rFonts w:ascii="Century Gothic" w:hAnsi="Century Gothic"/>
          <w:i/>
          <w:sz w:val="20"/>
          <w:szCs w:val="20"/>
        </w:rPr>
        <w:br/>
      </w:r>
      <w:r w:rsidR="008725CC" w:rsidRPr="00730C0D">
        <w:rPr>
          <w:rFonts w:ascii="Century Gothic" w:hAnsi="Century Gothic"/>
          <w:i/>
          <w:sz w:val="20"/>
          <w:szCs w:val="20"/>
        </w:rPr>
        <w:t>Self-Accreditation of Courses of Study</w:t>
      </w:r>
      <w:r w:rsidR="008725CC" w:rsidRPr="00730C0D">
        <w:rPr>
          <w:rFonts w:ascii="Century Gothic" w:hAnsi="Century Gothic"/>
          <w:sz w:val="20"/>
          <w:szCs w:val="20"/>
        </w:rPr>
        <w:t xml:space="preserve"> was included in th</w:t>
      </w:r>
      <w:r w:rsidR="006214C6" w:rsidRPr="00730C0D">
        <w:rPr>
          <w:rFonts w:ascii="Century Gothic" w:hAnsi="Century Gothic"/>
          <w:sz w:val="20"/>
          <w:szCs w:val="20"/>
        </w:rPr>
        <w:t>at earlier</w:t>
      </w:r>
      <w:r w:rsidR="008725CC" w:rsidRPr="00730C0D">
        <w:rPr>
          <w:rFonts w:ascii="Century Gothic" w:hAnsi="Century Gothic"/>
          <w:sz w:val="20"/>
          <w:szCs w:val="20"/>
        </w:rPr>
        <w:t xml:space="preserve"> review</w:t>
      </w:r>
      <w:r w:rsidR="006214C6" w:rsidRPr="00730C0D">
        <w:rPr>
          <w:rFonts w:ascii="Century Gothic" w:hAnsi="Century Gothic"/>
          <w:sz w:val="20"/>
          <w:szCs w:val="20"/>
        </w:rPr>
        <w:t>;</w:t>
      </w:r>
      <w:r w:rsidR="008725CC" w:rsidRPr="00730C0D">
        <w:rPr>
          <w:rFonts w:ascii="Century Gothic" w:hAnsi="Century Gothic"/>
          <w:sz w:val="20"/>
          <w:szCs w:val="20"/>
        </w:rPr>
        <w:t xml:space="preserve"> however</w:t>
      </w:r>
      <w:r w:rsidR="00D9389A" w:rsidRPr="00730C0D">
        <w:rPr>
          <w:rFonts w:ascii="Century Gothic" w:hAnsi="Century Gothic"/>
          <w:sz w:val="20"/>
          <w:szCs w:val="20"/>
        </w:rPr>
        <w:t>, it also</w:t>
      </w:r>
      <w:r w:rsidR="008725CC" w:rsidRPr="00730C0D">
        <w:rPr>
          <w:rFonts w:ascii="Century Gothic" w:hAnsi="Century Gothic"/>
          <w:sz w:val="20"/>
          <w:szCs w:val="20"/>
        </w:rPr>
        <w:t xml:space="preserve"> has been included in </w:t>
      </w:r>
      <w:r w:rsidR="00933B88">
        <w:rPr>
          <w:rFonts w:ascii="Century Gothic" w:hAnsi="Century Gothic"/>
          <w:sz w:val="20"/>
          <w:szCs w:val="20"/>
        </w:rPr>
        <w:t>this</w:t>
      </w:r>
      <w:r w:rsidR="008725CC" w:rsidRPr="00730C0D">
        <w:rPr>
          <w:rFonts w:ascii="Century Gothic" w:hAnsi="Century Gothic"/>
          <w:sz w:val="20"/>
          <w:szCs w:val="20"/>
        </w:rPr>
        <w:t xml:space="preserve"> Review to ensure </w:t>
      </w:r>
      <w:r w:rsidR="00466DC5" w:rsidRPr="00730C0D">
        <w:rPr>
          <w:rFonts w:ascii="Century Gothic" w:hAnsi="Century Gothic"/>
          <w:sz w:val="20"/>
          <w:szCs w:val="20"/>
        </w:rPr>
        <w:t>it</w:t>
      </w:r>
      <w:r w:rsidR="008725CC" w:rsidRPr="00730C0D">
        <w:rPr>
          <w:rFonts w:ascii="Century Gothic" w:hAnsi="Century Gothic"/>
          <w:sz w:val="20"/>
          <w:szCs w:val="20"/>
        </w:rPr>
        <w:t xml:space="preserve"> encompasses the entirety of Part B of the </w:t>
      </w:r>
      <w:r w:rsidR="00933B88">
        <w:rPr>
          <w:rFonts w:ascii="Century Gothic" w:hAnsi="Century Gothic"/>
          <w:sz w:val="20"/>
          <w:szCs w:val="20"/>
        </w:rPr>
        <w:br/>
      </w:r>
      <w:r w:rsidR="008725CC" w:rsidRPr="00730C0D">
        <w:rPr>
          <w:rFonts w:ascii="Century Gothic" w:hAnsi="Century Gothic"/>
          <w:sz w:val="20"/>
          <w:szCs w:val="20"/>
        </w:rPr>
        <w:t>Threshold Standard</w:t>
      </w:r>
      <w:r w:rsidR="00466DC5" w:rsidRPr="00730C0D">
        <w:rPr>
          <w:rFonts w:ascii="Century Gothic" w:hAnsi="Century Gothic"/>
          <w:sz w:val="20"/>
          <w:szCs w:val="20"/>
        </w:rPr>
        <w:t>s</w:t>
      </w:r>
      <w:r w:rsidR="008725CC" w:rsidRPr="00730C0D">
        <w:rPr>
          <w:rFonts w:ascii="Century Gothic" w:hAnsi="Century Gothic"/>
          <w:sz w:val="20"/>
          <w:szCs w:val="20"/>
        </w:rPr>
        <w:t>.</w:t>
      </w:r>
    </w:p>
    <w:p w14:paraId="6ADEE2EF" w14:textId="77777777" w:rsidR="00986E98" w:rsidRDefault="00986E98" w:rsidP="00D31B9A">
      <w:pPr>
        <w:spacing w:before="0" w:after="0"/>
        <w:rPr>
          <w:rFonts w:ascii="Century Gothic" w:hAnsi="Century Gothic"/>
          <w:sz w:val="20"/>
          <w:szCs w:val="20"/>
        </w:rPr>
      </w:pPr>
    </w:p>
    <w:p w14:paraId="00809706" w14:textId="77777777" w:rsidR="00986E98" w:rsidRDefault="00986E98">
      <w:pPr>
        <w:spacing w:before="0" w:after="160"/>
        <w:rPr>
          <w:rFonts w:ascii="Century Gothic" w:hAnsi="Century Gothic"/>
          <w:sz w:val="20"/>
          <w:szCs w:val="20"/>
        </w:rPr>
      </w:pPr>
      <w:r>
        <w:rPr>
          <w:rFonts w:ascii="Century Gothic" w:hAnsi="Century Gothic"/>
          <w:sz w:val="20"/>
          <w:szCs w:val="20"/>
        </w:rPr>
        <w:br w:type="page"/>
      </w:r>
    </w:p>
    <w:p w14:paraId="7867B84C" w14:textId="61B0A82D" w:rsidR="00AC7D05"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 revised Threshold Standards were introduced </w:t>
      </w:r>
      <w:r w:rsidR="003F6A69" w:rsidRPr="00730C0D">
        <w:rPr>
          <w:rFonts w:ascii="Century Gothic" w:hAnsi="Century Gothic"/>
          <w:sz w:val="20"/>
          <w:szCs w:val="20"/>
        </w:rPr>
        <w:t xml:space="preserve">in October 2015 </w:t>
      </w:r>
      <w:r w:rsidRPr="00730C0D">
        <w:rPr>
          <w:rFonts w:ascii="Century Gothic" w:hAnsi="Century Gothic"/>
          <w:sz w:val="20"/>
          <w:szCs w:val="20"/>
        </w:rPr>
        <w:t xml:space="preserve">by the </w:t>
      </w:r>
      <w:r w:rsidR="006214C6" w:rsidRPr="00730C0D">
        <w:rPr>
          <w:rFonts w:ascii="Century Gothic" w:hAnsi="Century Gothic"/>
          <w:sz w:val="20"/>
          <w:szCs w:val="20"/>
        </w:rPr>
        <w:t>then</w:t>
      </w:r>
      <w:r w:rsidRPr="00730C0D">
        <w:rPr>
          <w:rFonts w:ascii="Century Gothic" w:hAnsi="Century Gothic"/>
          <w:sz w:val="20"/>
          <w:szCs w:val="20"/>
        </w:rPr>
        <w:t xml:space="preserve"> Minister for Education and Training, Senator the Hon Simon Birmingham</w:t>
      </w:r>
      <w:r w:rsidR="00933B88">
        <w:rPr>
          <w:rFonts w:ascii="Century Gothic" w:hAnsi="Century Gothic"/>
          <w:sz w:val="20"/>
          <w:szCs w:val="20"/>
        </w:rPr>
        <w:t>,</w:t>
      </w:r>
      <w:r w:rsidRPr="00730C0D">
        <w:rPr>
          <w:rFonts w:ascii="Century Gothic" w:hAnsi="Century Gothic"/>
          <w:sz w:val="20"/>
          <w:szCs w:val="20"/>
        </w:rPr>
        <w:t xml:space="preserve"> and came into effe</w:t>
      </w:r>
      <w:r w:rsidR="00FF6A89" w:rsidRPr="00730C0D">
        <w:rPr>
          <w:rFonts w:ascii="Century Gothic" w:hAnsi="Century Gothic"/>
          <w:sz w:val="20"/>
          <w:szCs w:val="20"/>
        </w:rPr>
        <w:t>ct from 1 </w:t>
      </w:r>
      <w:r w:rsidRPr="00730C0D">
        <w:rPr>
          <w:rFonts w:ascii="Century Gothic" w:hAnsi="Century Gothic"/>
          <w:sz w:val="20"/>
          <w:szCs w:val="20"/>
        </w:rPr>
        <w:t xml:space="preserve">January 2017. </w:t>
      </w:r>
      <w:r w:rsidR="00AE1672" w:rsidRPr="00730C0D">
        <w:rPr>
          <w:rFonts w:ascii="Century Gothic" w:hAnsi="Century Gothic"/>
          <w:sz w:val="20"/>
          <w:szCs w:val="20"/>
        </w:rPr>
        <w:t>The </w:t>
      </w:r>
      <w:r w:rsidRPr="00730C0D">
        <w:rPr>
          <w:rFonts w:ascii="Century Gothic" w:hAnsi="Century Gothic"/>
          <w:sz w:val="20"/>
          <w:szCs w:val="20"/>
        </w:rPr>
        <w:t>three sets of standards addressed in the initial review were significantly streamlined and restructured into a single unified framework th</w:t>
      </w:r>
      <w:r w:rsidR="00A051C9" w:rsidRPr="00730C0D">
        <w:rPr>
          <w:rFonts w:ascii="Century Gothic" w:hAnsi="Century Gothic"/>
          <w:sz w:val="20"/>
          <w:szCs w:val="20"/>
        </w:rPr>
        <w:t>at reflected the lifecycle of a </w:t>
      </w:r>
      <w:r w:rsidRPr="00730C0D">
        <w:rPr>
          <w:rFonts w:ascii="Century Gothic" w:hAnsi="Century Gothic"/>
          <w:sz w:val="20"/>
          <w:szCs w:val="20"/>
        </w:rPr>
        <w:t xml:space="preserve">typical provider’s operations. Significant effort was made to remove all duplication that </w:t>
      </w:r>
      <w:r w:rsidR="006214C6" w:rsidRPr="00730C0D">
        <w:rPr>
          <w:rFonts w:ascii="Century Gothic" w:hAnsi="Century Gothic"/>
          <w:sz w:val="20"/>
          <w:szCs w:val="20"/>
        </w:rPr>
        <w:t xml:space="preserve">had </w:t>
      </w:r>
      <w:r w:rsidRPr="00730C0D">
        <w:rPr>
          <w:rFonts w:ascii="Century Gothic" w:hAnsi="Century Gothic"/>
          <w:sz w:val="20"/>
          <w:szCs w:val="20"/>
        </w:rPr>
        <w:t xml:space="preserve">existed in the initial </w:t>
      </w:r>
      <w:r w:rsidR="003F6A69" w:rsidRPr="00730C0D">
        <w:rPr>
          <w:rFonts w:ascii="Century Gothic" w:hAnsi="Century Gothic"/>
          <w:sz w:val="20"/>
          <w:szCs w:val="20"/>
        </w:rPr>
        <w:t xml:space="preserve">Threshold </w:t>
      </w:r>
      <w:r w:rsidR="00684944" w:rsidRPr="00730C0D">
        <w:rPr>
          <w:rFonts w:ascii="Century Gothic" w:hAnsi="Century Gothic"/>
          <w:sz w:val="20"/>
          <w:szCs w:val="20"/>
        </w:rPr>
        <w:t>S</w:t>
      </w:r>
      <w:r w:rsidRPr="00730C0D">
        <w:rPr>
          <w:rFonts w:ascii="Century Gothic" w:hAnsi="Century Gothic"/>
          <w:sz w:val="20"/>
          <w:szCs w:val="20"/>
        </w:rPr>
        <w:t>tandards.</w:t>
      </w:r>
    </w:p>
    <w:p w14:paraId="300F8359" w14:textId="77777777" w:rsidR="00730C0D" w:rsidRPr="00730C0D" w:rsidRDefault="00730C0D" w:rsidP="00D31B9A">
      <w:pPr>
        <w:spacing w:before="0" w:after="0"/>
        <w:rPr>
          <w:rFonts w:ascii="Century Gothic" w:hAnsi="Century Gothic"/>
          <w:sz w:val="20"/>
          <w:szCs w:val="20"/>
        </w:rPr>
      </w:pPr>
    </w:p>
    <w:p w14:paraId="1FC50A6E" w14:textId="0192CB5D" w:rsidR="00AC7D05" w:rsidRPr="00730C0D" w:rsidRDefault="003806EF" w:rsidP="004978DA">
      <w:pPr>
        <w:pStyle w:val="Heading3"/>
      </w:pPr>
      <w:bookmarkStart w:id="20" w:name="_Toc18592315"/>
      <w:r w:rsidRPr="00730C0D">
        <w:t>1.1.3</w:t>
      </w:r>
      <w:r w:rsidRPr="00730C0D">
        <w:tab/>
      </w:r>
      <w:r w:rsidR="00AC7D05" w:rsidRPr="00730C0D">
        <w:t>Current Role of the PCS</w:t>
      </w:r>
      <w:bookmarkEnd w:id="20"/>
    </w:p>
    <w:p w14:paraId="652DCE96" w14:textId="3A82004E" w:rsidR="00AC7D05" w:rsidRPr="00730C0D" w:rsidRDefault="00AC7D05" w:rsidP="00D31B9A">
      <w:pPr>
        <w:pStyle w:val="Normal-AfterTableFigure"/>
        <w:spacing w:before="0" w:after="0"/>
        <w:rPr>
          <w:rFonts w:ascii="Century Gothic" w:hAnsi="Century Gothic"/>
          <w:sz w:val="20"/>
          <w:szCs w:val="20"/>
          <w:lang w:eastAsia="en-AU"/>
        </w:rPr>
      </w:pPr>
      <w:r w:rsidRPr="00730C0D">
        <w:rPr>
          <w:rFonts w:ascii="Century Gothic" w:hAnsi="Century Gothic"/>
          <w:sz w:val="20"/>
          <w:szCs w:val="20"/>
        </w:rPr>
        <w:t xml:space="preserve">The PCS play a key role in safeguarding Australia’s </w:t>
      </w:r>
      <w:r w:rsidR="00562254" w:rsidRPr="00730C0D">
        <w:rPr>
          <w:rFonts w:ascii="Century Gothic" w:hAnsi="Century Gothic"/>
          <w:sz w:val="20"/>
          <w:szCs w:val="20"/>
        </w:rPr>
        <w:t xml:space="preserve">international reputation for </w:t>
      </w:r>
      <w:r w:rsidRPr="00730C0D">
        <w:rPr>
          <w:rFonts w:ascii="Century Gothic" w:hAnsi="Century Gothic"/>
          <w:sz w:val="20"/>
          <w:szCs w:val="20"/>
        </w:rPr>
        <w:t xml:space="preserve">high quality higher education. The PCS currently fulfil a range of functions, </w:t>
      </w:r>
      <w:r w:rsidR="003F6A69" w:rsidRPr="00730C0D">
        <w:rPr>
          <w:rFonts w:ascii="Century Gothic" w:hAnsi="Century Gothic"/>
          <w:sz w:val="20"/>
          <w:szCs w:val="20"/>
        </w:rPr>
        <w:t xml:space="preserve">including to </w:t>
      </w:r>
      <w:r w:rsidRPr="00730C0D">
        <w:rPr>
          <w:rFonts w:ascii="Century Gothic" w:hAnsi="Century Gothic"/>
          <w:sz w:val="20"/>
          <w:szCs w:val="20"/>
        </w:rPr>
        <w:t>defi</w:t>
      </w:r>
      <w:r w:rsidR="003F6A69" w:rsidRPr="00730C0D">
        <w:rPr>
          <w:rFonts w:ascii="Century Gothic" w:hAnsi="Century Gothic"/>
          <w:sz w:val="20"/>
          <w:szCs w:val="20"/>
        </w:rPr>
        <w:t>ne</w:t>
      </w:r>
      <w:r w:rsidRPr="00730C0D">
        <w:rPr>
          <w:rFonts w:ascii="Century Gothic" w:hAnsi="Century Gothic"/>
          <w:sz w:val="20"/>
          <w:szCs w:val="20"/>
        </w:rPr>
        <w:t xml:space="preserve"> the requirements of different types of providers in Australian higher education</w:t>
      </w:r>
      <w:r w:rsidR="00562254" w:rsidRPr="00730C0D">
        <w:rPr>
          <w:rFonts w:ascii="Century Gothic" w:hAnsi="Century Gothic"/>
          <w:sz w:val="20"/>
          <w:szCs w:val="20"/>
        </w:rPr>
        <w:t>.</w:t>
      </w:r>
      <w:r w:rsidR="006214C6" w:rsidRPr="00730C0D">
        <w:rPr>
          <w:rFonts w:ascii="Century Gothic" w:hAnsi="Century Gothic"/>
          <w:sz w:val="20"/>
          <w:szCs w:val="20"/>
        </w:rPr>
        <w:t xml:space="preserve"> </w:t>
      </w:r>
      <w:r w:rsidR="00562254" w:rsidRPr="00730C0D">
        <w:rPr>
          <w:rFonts w:ascii="Century Gothic" w:hAnsi="Century Gothic"/>
          <w:sz w:val="20"/>
          <w:szCs w:val="20"/>
        </w:rPr>
        <w:t>T</w:t>
      </w:r>
      <w:r w:rsidR="006214C6" w:rsidRPr="00730C0D">
        <w:rPr>
          <w:rFonts w:ascii="Century Gothic" w:hAnsi="Century Gothic"/>
          <w:sz w:val="20"/>
          <w:szCs w:val="20"/>
        </w:rPr>
        <w:t>hey are also</w:t>
      </w:r>
      <w:r w:rsidR="00A051C9" w:rsidRPr="00730C0D">
        <w:rPr>
          <w:rFonts w:ascii="Century Gothic" w:hAnsi="Century Gothic"/>
          <w:sz w:val="20"/>
          <w:szCs w:val="20"/>
        </w:rPr>
        <w:t xml:space="preserve"> a </w:t>
      </w:r>
      <w:r w:rsidRPr="00730C0D">
        <w:rPr>
          <w:rFonts w:ascii="Century Gothic" w:hAnsi="Century Gothic"/>
          <w:sz w:val="20"/>
          <w:szCs w:val="20"/>
        </w:rPr>
        <w:t xml:space="preserve">regulatory tool for TEQSA during a provider registration </w:t>
      </w:r>
      <w:r w:rsidR="006214C6" w:rsidRPr="00730C0D">
        <w:rPr>
          <w:rFonts w:ascii="Century Gothic" w:hAnsi="Century Gothic"/>
          <w:sz w:val="20"/>
          <w:szCs w:val="20"/>
        </w:rPr>
        <w:t xml:space="preserve">or </w:t>
      </w:r>
      <w:r w:rsidRPr="00730C0D">
        <w:rPr>
          <w:rFonts w:ascii="Century Gothic" w:hAnsi="Century Gothic"/>
          <w:sz w:val="20"/>
          <w:szCs w:val="20"/>
        </w:rPr>
        <w:t xml:space="preserve">re-registration process. As </w:t>
      </w:r>
      <w:r w:rsidRPr="00730C0D">
        <w:rPr>
          <w:rFonts w:ascii="Century Gothic" w:hAnsi="Century Gothic"/>
          <w:sz w:val="20"/>
          <w:szCs w:val="20"/>
          <w:lang w:eastAsia="en-AU"/>
        </w:rPr>
        <w:t xml:space="preserve">part of the </w:t>
      </w:r>
      <w:r w:rsidRPr="00730C0D">
        <w:rPr>
          <w:rFonts w:ascii="Century Gothic" w:hAnsi="Century Gothic"/>
          <w:sz w:val="20"/>
          <w:szCs w:val="20"/>
        </w:rPr>
        <w:t>Threshold Standards, the PCS help to</w:t>
      </w:r>
      <w:r w:rsidRPr="00730C0D">
        <w:rPr>
          <w:rFonts w:ascii="Century Gothic" w:hAnsi="Century Gothic"/>
          <w:sz w:val="20"/>
          <w:szCs w:val="20"/>
          <w:lang w:eastAsia="en-AU"/>
        </w:rPr>
        <w:t xml:space="preserve"> set the high sta</w:t>
      </w:r>
      <w:r w:rsidR="00A051C9" w:rsidRPr="00730C0D">
        <w:rPr>
          <w:rFonts w:ascii="Century Gothic" w:hAnsi="Century Gothic"/>
          <w:sz w:val="20"/>
          <w:szCs w:val="20"/>
          <w:lang w:eastAsia="en-AU"/>
        </w:rPr>
        <w:t>ndards required to operate as a </w:t>
      </w:r>
      <w:r w:rsidRPr="00730C0D">
        <w:rPr>
          <w:rFonts w:ascii="Century Gothic" w:hAnsi="Century Gothic"/>
          <w:sz w:val="20"/>
          <w:szCs w:val="20"/>
          <w:lang w:eastAsia="en-AU"/>
        </w:rPr>
        <w:t>higher education provider or university in Australia.</w:t>
      </w:r>
      <w:r w:rsidR="00684944" w:rsidRPr="00730C0D">
        <w:rPr>
          <w:rFonts w:ascii="Century Gothic" w:hAnsi="Century Gothic"/>
          <w:sz w:val="20"/>
          <w:szCs w:val="20"/>
          <w:lang w:eastAsia="en-AU"/>
        </w:rPr>
        <w:t xml:space="preserve"> </w:t>
      </w:r>
      <w:r w:rsidR="00626DE6" w:rsidRPr="00730C0D">
        <w:rPr>
          <w:rFonts w:ascii="Century Gothic" w:hAnsi="Century Gothic"/>
          <w:sz w:val="20"/>
          <w:szCs w:val="20"/>
          <w:lang w:eastAsia="en-AU"/>
        </w:rPr>
        <w:t xml:space="preserve">Figure 1.1 sets out the </w:t>
      </w:r>
      <w:r w:rsidR="00684944" w:rsidRPr="00730C0D">
        <w:rPr>
          <w:rFonts w:ascii="Century Gothic" w:hAnsi="Century Gothic"/>
          <w:sz w:val="20"/>
          <w:szCs w:val="20"/>
          <w:lang w:eastAsia="en-AU"/>
        </w:rPr>
        <w:t xml:space="preserve">various </w:t>
      </w:r>
      <w:r w:rsidR="00626DE6" w:rsidRPr="00730C0D">
        <w:rPr>
          <w:rFonts w:ascii="Century Gothic" w:hAnsi="Century Gothic"/>
          <w:sz w:val="20"/>
          <w:szCs w:val="20"/>
          <w:lang w:eastAsia="en-AU"/>
        </w:rPr>
        <w:t>functions of the PCS.</w:t>
      </w:r>
    </w:p>
    <w:p w14:paraId="533E4DB2" w14:textId="322C86C0" w:rsidR="00D74FAC" w:rsidRPr="00730C0D" w:rsidRDefault="00D74FAC" w:rsidP="00266D8E">
      <w:pPr>
        <w:pStyle w:val="Caption"/>
        <w:keepNext/>
        <w:rPr>
          <w:rFonts w:ascii="Century Gothic" w:hAnsi="Century Gothic"/>
          <w:sz w:val="20"/>
          <w:szCs w:val="20"/>
        </w:rPr>
      </w:pPr>
      <w:bookmarkStart w:id="21" w:name="_Toc18496164"/>
      <w:r w:rsidRPr="00730C0D">
        <w:rPr>
          <w:rFonts w:ascii="Century Gothic" w:hAnsi="Century Gothic"/>
          <w:sz w:val="20"/>
          <w:szCs w:val="20"/>
        </w:rPr>
        <w:t>Figure 1.</w:t>
      </w:r>
      <w:r w:rsidR="00C966D1" w:rsidRPr="00730C0D">
        <w:rPr>
          <w:rFonts w:ascii="Century Gothic" w:hAnsi="Century Gothic"/>
          <w:sz w:val="20"/>
          <w:szCs w:val="20"/>
        </w:rPr>
        <w:fldChar w:fldCharType="begin"/>
      </w:r>
      <w:r w:rsidR="00C966D1" w:rsidRPr="00730C0D">
        <w:rPr>
          <w:rFonts w:ascii="Century Gothic" w:hAnsi="Century Gothic"/>
          <w:sz w:val="20"/>
          <w:szCs w:val="20"/>
        </w:rPr>
        <w:instrText xml:space="preserve"> SEQ Figure \* ARABIC \s 1 </w:instrText>
      </w:r>
      <w:r w:rsidR="00C966D1" w:rsidRPr="00730C0D">
        <w:rPr>
          <w:rFonts w:ascii="Century Gothic" w:hAnsi="Century Gothic"/>
          <w:sz w:val="20"/>
          <w:szCs w:val="20"/>
        </w:rPr>
        <w:fldChar w:fldCharType="separate"/>
      </w:r>
      <w:r w:rsidR="00F732D2">
        <w:rPr>
          <w:rFonts w:ascii="Century Gothic" w:hAnsi="Century Gothic"/>
          <w:noProof/>
          <w:sz w:val="20"/>
          <w:szCs w:val="20"/>
        </w:rPr>
        <w:t>1</w:t>
      </w:r>
      <w:r w:rsidR="00C966D1" w:rsidRPr="00730C0D">
        <w:rPr>
          <w:rFonts w:ascii="Century Gothic" w:hAnsi="Century Gothic"/>
          <w:noProof/>
          <w:sz w:val="20"/>
          <w:szCs w:val="20"/>
        </w:rPr>
        <w:fldChar w:fldCharType="end"/>
      </w:r>
      <w:r w:rsidRPr="00730C0D">
        <w:rPr>
          <w:rFonts w:ascii="Century Gothic" w:hAnsi="Century Gothic"/>
          <w:sz w:val="20"/>
          <w:szCs w:val="20"/>
        </w:rPr>
        <w:t>: Functions of the PCS</w:t>
      </w:r>
      <w:bookmarkEnd w:id="21"/>
    </w:p>
    <w:p w14:paraId="7DADEB14" w14:textId="0381C714" w:rsidR="00AC7D05" w:rsidRPr="00730C0D" w:rsidRDefault="00DF7F10" w:rsidP="00D31B9A">
      <w:pPr>
        <w:keepNext/>
        <w:spacing w:before="0" w:after="0"/>
        <w:jc w:val="center"/>
        <w:rPr>
          <w:rFonts w:ascii="Century Gothic" w:hAnsi="Century Gothic"/>
          <w:sz w:val="20"/>
          <w:szCs w:val="20"/>
        </w:rPr>
      </w:pPr>
      <w:r w:rsidRPr="00730C0D">
        <w:rPr>
          <w:rFonts w:ascii="Century Gothic" w:hAnsi="Century Gothic"/>
          <w:noProof/>
          <w:lang w:eastAsia="en-AU"/>
        </w:rPr>
        <w:drawing>
          <wp:inline distT="0" distB="0" distL="0" distR="0" wp14:anchorId="26F31022" wp14:editId="3AFC0AF7">
            <wp:extent cx="5717109" cy="4895850"/>
            <wp:effectExtent l="0" t="0" r="0" b="0"/>
            <wp:docPr id="20" name="Picture 20" descr="Functions of the Higher Education Provider Category Standards&#10;- Part of the Higher Education Standards Framework&#10;- Define key characteristics of a higher education provider&#10;- Define key characteristics of a university &#10;- Set course offering and research scope needed for each category &#10;- Protect the title 'university'&#10;- Set criteria for authority to self-accredit courses &#10;- Set requirements for overseas universities to operate in Australia &#10;- Part of TEQSA registration " title="Figure 1.1: Functions of the P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W3633\AppData\Local\Microsoft\Windows\INetCache\Content.Word\Figure 1.1_AW_28.8.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0610" cy="4898848"/>
                    </a:xfrm>
                    <a:prstGeom prst="rect">
                      <a:avLst/>
                    </a:prstGeom>
                    <a:noFill/>
                    <a:ln>
                      <a:noFill/>
                    </a:ln>
                  </pic:spPr>
                </pic:pic>
              </a:graphicData>
            </a:graphic>
          </wp:inline>
        </w:drawing>
      </w:r>
    </w:p>
    <w:p w14:paraId="1420631E" w14:textId="77777777" w:rsidR="00AC7D05" w:rsidRPr="00730C0D" w:rsidRDefault="00AC7D05" w:rsidP="00D31B9A">
      <w:pPr>
        <w:spacing w:before="0" w:after="0"/>
        <w:jc w:val="center"/>
        <w:rPr>
          <w:rFonts w:ascii="Century Gothic" w:hAnsi="Century Gothic"/>
          <w:sz w:val="20"/>
          <w:szCs w:val="20"/>
        </w:rPr>
      </w:pPr>
    </w:p>
    <w:p w14:paraId="3CE92DB8" w14:textId="7A920979" w:rsidR="00AE1672" w:rsidRPr="00730C0D" w:rsidRDefault="00AC7D05" w:rsidP="00D31B9A">
      <w:pPr>
        <w:pStyle w:val="Normal-AfterTableFigure"/>
        <w:spacing w:before="0" w:after="0"/>
        <w:rPr>
          <w:rFonts w:ascii="Century Gothic" w:hAnsi="Century Gothic"/>
          <w:sz w:val="20"/>
          <w:szCs w:val="20"/>
        </w:rPr>
      </w:pPr>
      <w:r w:rsidRPr="00730C0D">
        <w:rPr>
          <w:rFonts w:ascii="Century Gothic" w:hAnsi="Century Gothic"/>
          <w:sz w:val="20"/>
          <w:szCs w:val="20"/>
        </w:rPr>
        <w:t xml:space="preserve">In the current PCS, all providers of higher education that gain registration by TEQSA through meeting the Threshold Standards become a </w:t>
      </w:r>
      <w:r w:rsidR="003F6A69" w:rsidRPr="00730C0D">
        <w:rPr>
          <w:rFonts w:ascii="Century Gothic" w:hAnsi="Century Gothic"/>
          <w:sz w:val="20"/>
          <w:szCs w:val="20"/>
        </w:rPr>
        <w:t>h</w:t>
      </w:r>
      <w:r w:rsidRPr="00730C0D">
        <w:rPr>
          <w:rFonts w:ascii="Century Gothic" w:hAnsi="Century Gothic"/>
          <w:sz w:val="20"/>
          <w:szCs w:val="20"/>
        </w:rPr>
        <w:t xml:space="preserve">igher </w:t>
      </w:r>
      <w:r w:rsidR="003F6A69" w:rsidRPr="00730C0D">
        <w:rPr>
          <w:rFonts w:ascii="Century Gothic" w:hAnsi="Century Gothic"/>
          <w:sz w:val="20"/>
          <w:szCs w:val="20"/>
        </w:rPr>
        <w:t>e</w:t>
      </w:r>
      <w:r w:rsidRPr="00730C0D">
        <w:rPr>
          <w:rFonts w:ascii="Century Gothic" w:hAnsi="Century Gothic"/>
          <w:sz w:val="20"/>
          <w:szCs w:val="20"/>
        </w:rPr>
        <w:t xml:space="preserve">ducation </w:t>
      </w:r>
      <w:r w:rsidR="003F6A69" w:rsidRPr="00730C0D">
        <w:rPr>
          <w:rFonts w:ascii="Century Gothic" w:hAnsi="Century Gothic"/>
          <w:sz w:val="20"/>
          <w:szCs w:val="20"/>
        </w:rPr>
        <w:t>p</w:t>
      </w:r>
      <w:r w:rsidRPr="00730C0D">
        <w:rPr>
          <w:rFonts w:ascii="Century Gothic" w:hAnsi="Century Gothic"/>
          <w:sz w:val="20"/>
          <w:szCs w:val="20"/>
        </w:rPr>
        <w:t>rovider. This title signals to the public that they are a provider of quality higher education in Australia. Those</w:t>
      </w:r>
      <w:r w:rsidR="003F6A69" w:rsidRPr="00730C0D">
        <w:rPr>
          <w:rFonts w:ascii="Century Gothic" w:hAnsi="Century Gothic"/>
          <w:sz w:val="20"/>
          <w:szCs w:val="20"/>
        </w:rPr>
        <w:t xml:space="preserve"> providers</w:t>
      </w:r>
      <w:r w:rsidRPr="00730C0D">
        <w:rPr>
          <w:rFonts w:ascii="Century Gothic" w:hAnsi="Century Gothic"/>
          <w:sz w:val="20"/>
          <w:szCs w:val="20"/>
        </w:rPr>
        <w:t xml:space="preserve"> that meet additional criteria may seek approval from TEQSA to be registered in one of the university categories.</w:t>
      </w:r>
    </w:p>
    <w:p w14:paraId="3C46AA68" w14:textId="5A490FCB" w:rsidR="00AC7D05" w:rsidRPr="00730C0D" w:rsidRDefault="00AC7D05" w:rsidP="00D31B9A">
      <w:pPr>
        <w:pStyle w:val="Normal-AfterTableFigure"/>
        <w:spacing w:before="0" w:after="0"/>
        <w:rPr>
          <w:rFonts w:ascii="Century Gothic" w:hAnsi="Century Gothic"/>
          <w:sz w:val="20"/>
          <w:szCs w:val="20"/>
        </w:rPr>
      </w:pPr>
      <w:r w:rsidRPr="00730C0D">
        <w:rPr>
          <w:rFonts w:ascii="Century Gothic" w:hAnsi="Century Gothic"/>
          <w:sz w:val="20"/>
          <w:szCs w:val="20"/>
        </w:rPr>
        <w:t>There are currently six categories under the PCS which define expectations by provider type.</w:t>
      </w:r>
    </w:p>
    <w:p w14:paraId="0F0DF6B3" w14:textId="4A49A4BB" w:rsidR="00557115" w:rsidRPr="00730C0D" w:rsidRDefault="00557115" w:rsidP="00266D8E">
      <w:pPr>
        <w:pStyle w:val="Caption"/>
        <w:keepNext/>
        <w:rPr>
          <w:rFonts w:ascii="Century Gothic" w:hAnsi="Century Gothic"/>
          <w:sz w:val="20"/>
          <w:szCs w:val="20"/>
        </w:rPr>
      </w:pPr>
      <w:bookmarkStart w:id="22" w:name="_Toc18496078"/>
      <w:r w:rsidRPr="00730C0D">
        <w:rPr>
          <w:rFonts w:ascii="Century Gothic" w:hAnsi="Century Gothic"/>
          <w:sz w:val="20"/>
          <w:szCs w:val="20"/>
        </w:rPr>
        <w:t>Table 1</w:t>
      </w:r>
      <w:r w:rsidR="00375815" w:rsidRPr="00730C0D">
        <w:rPr>
          <w:rFonts w:ascii="Century Gothic" w:hAnsi="Century Gothic"/>
          <w:sz w:val="20"/>
          <w:szCs w:val="20"/>
        </w:rPr>
        <w:t>.</w:t>
      </w:r>
      <w:r w:rsidR="00C966D1" w:rsidRPr="00730C0D">
        <w:rPr>
          <w:rFonts w:ascii="Century Gothic" w:hAnsi="Century Gothic"/>
          <w:sz w:val="20"/>
          <w:szCs w:val="20"/>
        </w:rPr>
        <w:fldChar w:fldCharType="begin"/>
      </w:r>
      <w:r w:rsidR="00C966D1" w:rsidRPr="00730C0D">
        <w:rPr>
          <w:rFonts w:ascii="Century Gothic" w:hAnsi="Century Gothic"/>
          <w:sz w:val="20"/>
          <w:szCs w:val="20"/>
        </w:rPr>
        <w:instrText xml:space="preserve"> SEQ Table \* ARABIC \s 1 </w:instrText>
      </w:r>
      <w:r w:rsidR="00C966D1" w:rsidRPr="00730C0D">
        <w:rPr>
          <w:rFonts w:ascii="Century Gothic" w:hAnsi="Century Gothic"/>
          <w:sz w:val="20"/>
          <w:szCs w:val="20"/>
        </w:rPr>
        <w:fldChar w:fldCharType="separate"/>
      </w:r>
      <w:r w:rsidR="00F732D2">
        <w:rPr>
          <w:rFonts w:ascii="Century Gothic" w:hAnsi="Century Gothic"/>
          <w:noProof/>
          <w:sz w:val="20"/>
          <w:szCs w:val="20"/>
        </w:rPr>
        <w:t>1</w:t>
      </w:r>
      <w:r w:rsidR="00C966D1" w:rsidRPr="00730C0D">
        <w:rPr>
          <w:rFonts w:ascii="Century Gothic" w:hAnsi="Century Gothic"/>
          <w:noProof/>
          <w:sz w:val="20"/>
          <w:szCs w:val="20"/>
        </w:rPr>
        <w:fldChar w:fldCharType="end"/>
      </w:r>
      <w:r w:rsidRPr="00730C0D">
        <w:rPr>
          <w:rFonts w:ascii="Century Gothic" w:hAnsi="Century Gothic"/>
          <w:sz w:val="20"/>
          <w:szCs w:val="20"/>
        </w:rPr>
        <w:t>: Current PCS Category Descriptions</w:t>
      </w:r>
      <w:bookmarkEnd w:id="22"/>
    </w:p>
    <w:tbl>
      <w:tblPr>
        <w:tblStyle w:val="TableGrid"/>
        <w:tblW w:w="9209" w:type="dxa"/>
        <w:tblLook w:val="04A0" w:firstRow="1" w:lastRow="0" w:firstColumn="1" w:lastColumn="0" w:noHBand="0" w:noVBand="1"/>
        <w:tblCaption w:val="Categories of the Higher Education Provider Category Standards with descriptions. "/>
        <w:tblDescription w:val="- Higher Education Provider: Must be an institution (Australian or overseas) offering at least one accredited higher education qualification course in Australia. These institutions are generally not self-accrediting and do not need to be engaged in research within their fields of teaching. They can apply for authority to self-accredit some or all of their courses. &#10;- Australian University: Must meet the requirements of the 'Higher Education Provider' category, be self-accrediting and deliver undergraduate and postgraduate courses of study that meet the Higher Education Standards Framework across a range of broad fields of study, including Masters Degrees (Research) and Doctoral Degrees (Research) in at least three of the broad fields of study it offers. &#10;- Australian University College: A provisional category for institutions with realistic plans to meet the criteria for an 'Australian University' or 'Australian University of Specialisation' within five years. &#10;- Australian University of Specialisation: Must fulfil the same requirements as an 'Australian University', but are only required to offer qualifications and conduct research within one or two broad fields. &#10;- Overseas University: Must be recognised as a univeristy by its home country and meet criteria equivalent to the 'Australian University' category. &#10;- Overseas University of Specialisation: Must be recognised as a university by its home country and meet criteria equivalent to the 'Australian University of Specialisation' category. &#10;"/>
      </w:tblPr>
      <w:tblGrid>
        <w:gridCol w:w="2257"/>
        <w:gridCol w:w="6952"/>
      </w:tblGrid>
      <w:tr w:rsidR="00AC7D05" w:rsidRPr="00730C0D" w14:paraId="65A937A2" w14:textId="77777777" w:rsidTr="00474B80">
        <w:trPr>
          <w:cnfStyle w:val="100000000000" w:firstRow="1" w:lastRow="0" w:firstColumn="0" w:lastColumn="0" w:oddVBand="0" w:evenVBand="0" w:oddHBand="0" w:evenHBand="0" w:firstRowFirstColumn="0" w:firstRowLastColumn="0" w:lastRowFirstColumn="0" w:lastRowLastColumn="0"/>
          <w:trHeight w:val="430"/>
        </w:trPr>
        <w:tc>
          <w:tcPr>
            <w:tcW w:w="2257" w:type="dxa"/>
          </w:tcPr>
          <w:p w14:paraId="3B828E86" w14:textId="545C7127" w:rsidR="00AC7D05" w:rsidRPr="00730C0D" w:rsidRDefault="00AC7D05" w:rsidP="00D31B9A">
            <w:pPr>
              <w:spacing w:before="0" w:after="0" w:line="259" w:lineRule="auto"/>
              <w:rPr>
                <w:rFonts w:ascii="Century Gothic" w:hAnsi="Century Gothic"/>
                <w:sz w:val="20"/>
                <w:szCs w:val="20"/>
              </w:rPr>
            </w:pPr>
            <w:r w:rsidRPr="00730C0D">
              <w:rPr>
                <w:rFonts w:ascii="Century Gothic" w:hAnsi="Century Gothic"/>
                <w:sz w:val="20"/>
                <w:szCs w:val="20"/>
              </w:rPr>
              <w:t>Provider Category</w:t>
            </w:r>
          </w:p>
        </w:tc>
        <w:tc>
          <w:tcPr>
            <w:tcW w:w="6952" w:type="dxa"/>
          </w:tcPr>
          <w:p w14:paraId="1AA27683" w14:textId="796DD9FA" w:rsidR="00AC7D05" w:rsidRPr="00730C0D" w:rsidRDefault="00AC7D05" w:rsidP="00D31B9A">
            <w:pPr>
              <w:spacing w:before="0" w:after="0" w:line="259" w:lineRule="auto"/>
              <w:rPr>
                <w:rFonts w:ascii="Century Gothic" w:hAnsi="Century Gothic"/>
                <w:sz w:val="20"/>
                <w:szCs w:val="20"/>
              </w:rPr>
            </w:pPr>
            <w:r w:rsidRPr="00730C0D">
              <w:rPr>
                <w:rFonts w:ascii="Century Gothic" w:hAnsi="Century Gothic"/>
                <w:sz w:val="20"/>
                <w:szCs w:val="20"/>
              </w:rPr>
              <w:t>Criteria Overview</w:t>
            </w:r>
          </w:p>
        </w:tc>
      </w:tr>
      <w:tr w:rsidR="00AC7D05" w:rsidRPr="00730C0D" w14:paraId="2E929F4D" w14:textId="77777777" w:rsidTr="00474B80">
        <w:tc>
          <w:tcPr>
            <w:tcW w:w="2257" w:type="dxa"/>
            <w:tcBorders>
              <w:left w:val="single" w:sz="4" w:space="0" w:color="00913C"/>
              <w:bottom w:val="single" w:sz="4" w:space="0" w:color="00913C"/>
              <w:right w:val="single" w:sz="4" w:space="0" w:color="00913C"/>
            </w:tcBorders>
          </w:tcPr>
          <w:p w14:paraId="27C83CF6"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Higher Education Provider</w:t>
            </w:r>
          </w:p>
        </w:tc>
        <w:tc>
          <w:tcPr>
            <w:tcW w:w="6952" w:type="dxa"/>
            <w:tcBorders>
              <w:left w:val="single" w:sz="4" w:space="0" w:color="00913C"/>
              <w:bottom w:val="single" w:sz="4" w:space="0" w:color="00913C"/>
              <w:right w:val="single" w:sz="4" w:space="0" w:color="00913C"/>
            </w:tcBorders>
          </w:tcPr>
          <w:p w14:paraId="47D76D8D" w14:textId="5977E64C" w:rsidR="00AC7D05" w:rsidRPr="00730C0D" w:rsidRDefault="00C22D19">
            <w:pPr>
              <w:spacing w:before="0" w:after="0" w:line="259" w:lineRule="auto"/>
              <w:rPr>
                <w:rFonts w:ascii="Century Gothic" w:hAnsi="Century Gothic"/>
                <w:sz w:val="20"/>
                <w:szCs w:val="20"/>
              </w:rPr>
            </w:pPr>
            <w:r w:rsidRPr="00730C0D">
              <w:rPr>
                <w:rFonts w:ascii="Century Gothic" w:hAnsi="Century Gothic"/>
                <w:sz w:val="20"/>
                <w:szCs w:val="20"/>
              </w:rPr>
              <w:t xml:space="preserve">The provider (Australian or overseas) meets Part A of the Threshold Standards and offers at least one accredited higher education qualification. The provider must have a clearly articulated higher education purpose and commitment to free intellectual inquiry and scholarship. </w:t>
            </w:r>
            <w:r w:rsidR="00AC7D05" w:rsidRPr="00730C0D">
              <w:rPr>
                <w:rFonts w:ascii="Century Gothic" w:hAnsi="Century Gothic"/>
                <w:sz w:val="20"/>
                <w:szCs w:val="20"/>
              </w:rPr>
              <w:t xml:space="preserve">The provider is not required to be engaged in research within </w:t>
            </w:r>
            <w:r w:rsidR="00F83438" w:rsidRPr="00730C0D">
              <w:rPr>
                <w:rFonts w:ascii="Century Gothic" w:hAnsi="Century Gothic"/>
                <w:sz w:val="20"/>
                <w:szCs w:val="20"/>
              </w:rPr>
              <w:t xml:space="preserve">its </w:t>
            </w:r>
            <w:r w:rsidR="00AC7D05" w:rsidRPr="00730C0D">
              <w:rPr>
                <w:rFonts w:ascii="Century Gothic" w:hAnsi="Century Gothic"/>
                <w:sz w:val="20"/>
                <w:szCs w:val="20"/>
              </w:rPr>
              <w:t xml:space="preserve">fields of </w:t>
            </w:r>
            <w:r w:rsidR="00474B80" w:rsidRPr="00730C0D">
              <w:rPr>
                <w:rFonts w:ascii="Century Gothic" w:hAnsi="Century Gothic"/>
                <w:sz w:val="20"/>
                <w:szCs w:val="20"/>
              </w:rPr>
              <w:t>study</w:t>
            </w:r>
            <w:r w:rsidR="00474B80" w:rsidRPr="00730C0D">
              <w:rPr>
                <w:rStyle w:val="FootnoteReference"/>
                <w:rFonts w:ascii="Century Gothic" w:hAnsi="Century Gothic"/>
                <w:sz w:val="20"/>
                <w:szCs w:val="20"/>
              </w:rPr>
              <w:footnoteReference w:id="7"/>
            </w:r>
            <w:r w:rsidR="00AC7D05" w:rsidRPr="00730C0D">
              <w:rPr>
                <w:rFonts w:ascii="Century Gothic" w:hAnsi="Century Gothic"/>
                <w:sz w:val="20"/>
                <w:szCs w:val="20"/>
              </w:rPr>
              <w:t xml:space="preserve"> unless offering higher degrees by research</w:t>
            </w:r>
            <w:r w:rsidR="00DA388A" w:rsidRPr="00730C0D">
              <w:rPr>
                <w:rFonts w:ascii="Century Gothic" w:hAnsi="Century Gothic"/>
                <w:sz w:val="20"/>
                <w:szCs w:val="20"/>
              </w:rPr>
              <w:t>.</w:t>
            </w:r>
            <w:r w:rsidR="00BD4487" w:rsidRPr="00730C0D">
              <w:rPr>
                <w:rFonts w:ascii="Century Gothic" w:hAnsi="Century Gothic"/>
                <w:sz w:val="20"/>
                <w:szCs w:val="20"/>
              </w:rPr>
              <w:t xml:space="preserve"> </w:t>
            </w:r>
            <w:r w:rsidR="00DA388A" w:rsidRPr="00730C0D">
              <w:rPr>
                <w:rFonts w:ascii="Century Gothic" w:hAnsi="Century Gothic"/>
                <w:sz w:val="20"/>
                <w:szCs w:val="20"/>
              </w:rPr>
              <w:t>The provider</w:t>
            </w:r>
            <w:r w:rsidR="00AC7D05" w:rsidRPr="00730C0D">
              <w:rPr>
                <w:rFonts w:ascii="Century Gothic" w:hAnsi="Century Gothic"/>
                <w:sz w:val="20"/>
                <w:szCs w:val="20"/>
              </w:rPr>
              <w:t xml:space="preserve"> can apply for authority to self-accredit some or all of </w:t>
            </w:r>
            <w:r w:rsidR="00F83438" w:rsidRPr="00730C0D">
              <w:rPr>
                <w:rFonts w:ascii="Century Gothic" w:hAnsi="Century Gothic"/>
                <w:sz w:val="20"/>
                <w:szCs w:val="20"/>
              </w:rPr>
              <w:t>its</w:t>
            </w:r>
            <w:r w:rsidR="00AC7D05" w:rsidRPr="00730C0D">
              <w:rPr>
                <w:rFonts w:ascii="Century Gothic" w:hAnsi="Century Gothic"/>
                <w:sz w:val="20"/>
                <w:szCs w:val="20"/>
              </w:rPr>
              <w:t xml:space="preserve"> courses.</w:t>
            </w:r>
          </w:p>
        </w:tc>
      </w:tr>
      <w:tr w:rsidR="00AC7D05" w:rsidRPr="00730C0D" w14:paraId="7A9D9E53" w14:textId="77777777" w:rsidTr="00474B80">
        <w:tc>
          <w:tcPr>
            <w:tcW w:w="2257" w:type="dxa"/>
            <w:tcBorders>
              <w:top w:val="single" w:sz="4" w:space="0" w:color="00913C"/>
              <w:left w:val="single" w:sz="4" w:space="0" w:color="00913C"/>
              <w:bottom w:val="single" w:sz="4" w:space="0" w:color="00913C"/>
              <w:right w:val="single" w:sz="4" w:space="0" w:color="00913C"/>
            </w:tcBorders>
            <w:shd w:val="clear" w:color="auto" w:fill="DEEAF6" w:themeFill="accent1" w:themeFillTint="33"/>
          </w:tcPr>
          <w:p w14:paraId="49F62816"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Australian University</w:t>
            </w:r>
          </w:p>
        </w:tc>
        <w:tc>
          <w:tcPr>
            <w:tcW w:w="6952" w:type="dxa"/>
            <w:tcBorders>
              <w:top w:val="single" w:sz="4" w:space="0" w:color="00913C"/>
              <w:left w:val="single" w:sz="4" w:space="0" w:color="00913C"/>
              <w:bottom w:val="single" w:sz="4" w:space="0" w:color="00913C"/>
              <w:right w:val="single" w:sz="4" w:space="0" w:color="00913C"/>
            </w:tcBorders>
            <w:shd w:val="clear" w:color="auto" w:fill="DEEAF6" w:themeFill="accent1" w:themeFillTint="33"/>
          </w:tcPr>
          <w:p w14:paraId="036CA90A" w14:textId="5A01820D" w:rsidR="00AC7D05" w:rsidRPr="00730C0D" w:rsidRDefault="00AC7D05" w:rsidP="00033147">
            <w:pPr>
              <w:spacing w:before="0" w:after="0" w:line="259" w:lineRule="auto"/>
              <w:rPr>
                <w:rFonts w:ascii="Century Gothic" w:hAnsi="Century Gothic"/>
                <w:sz w:val="20"/>
                <w:szCs w:val="20"/>
              </w:rPr>
            </w:pPr>
            <w:r w:rsidRPr="00730C0D">
              <w:rPr>
                <w:rFonts w:ascii="Century Gothic" w:hAnsi="Century Gothic"/>
                <w:sz w:val="20"/>
                <w:szCs w:val="20"/>
              </w:rPr>
              <w:t>The provider meets the requirements of the ‘Higher Education Provider’ category, is self</w:t>
            </w:r>
            <w:r w:rsidRPr="00730C0D">
              <w:rPr>
                <w:rFonts w:ascii="Century Gothic" w:hAnsi="Century Gothic"/>
                <w:sz w:val="20"/>
                <w:szCs w:val="20"/>
              </w:rPr>
              <w:noBreakHyphen/>
              <w:t>accrediting, conducts research</w:t>
            </w:r>
            <w:r w:rsidR="003F6A69" w:rsidRPr="00730C0D">
              <w:rPr>
                <w:rFonts w:ascii="Century Gothic" w:hAnsi="Century Gothic"/>
                <w:sz w:val="20"/>
                <w:szCs w:val="20"/>
              </w:rPr>
              <w:t>,</w:t>
            </w:r>
            <w:r w:rsidRPr="00730C0D">
              <w:rPr>
                <w:rFonts w:ascii="Century Gothic" w:hAnsi="Century Gothic"/>
                <w:sz w:val="20"/>
                <w:szCs w:val="20"/>
              </w:rPr>
              <w:t xml:space="preserve"> and delivers undergraduate and postgraduate courses of study across a range of broad fields of study, including Masters Degrees (Research) and Doctoral Degrees (Research) in at least three of the broad fields of study it offers.</w:t>
            </w:r>
          </w:p>
        </w:tc>
      </w:tr>
      <w:tr w:rsidR="00AC7D05" w:rsidRPr="00730C0D" w14:paraId="1AEBF4DA" w14:textId="77777777" w:rsidTr="00474B80">
        <w:tc>
          <w:tcPr>
            <w:tcW w:w="2257" w:type="dxa"/>
            <w:tcBorders>
              <w:top w:val="single" w:sz="4" w:space="0" w:color="00913C"/>
              <w:left w:val="single" w:sz="4" w:space="0" w:color="00913C"/>
              <w:bottom w:val="single" w:sz="4" w:space="0" w:color="00913C"/>
              <w:right w:val="single" w:sz="4" w:space="0" w:color="00913C"/>
            </w:tcBorders>
          </w:tcPr>
          <w:p w14:paraId="0BCFD11D"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Australian University College</w:t>
            </w:r>
          </w:p>
        </w:tc>
        <w:tc>
          <w:tcPr>
            <w:tcW w:w="6952" w:type="dxa"/>
            <w:tcBorders>
              <w:top w:val="single" w:sz="4" w:space="0" w:color="00913C"/>
              <w:left w:val="single" w:sz="4" w:space="0" w:color="00913C"/>
              <w:bottom w:val="single" w:sz="4" w:space="0" w:color="00913C"/>
              <w:right w:val="single" w:sz="4" w:space="0" w:color="00913C"/>
            </w:tcBorders>
          </w:tcPr>
          <w:p w14:paraId="3E95FBDC" w14:textId="67CAD33D" w:rsidR="00AC7D05" w:rsidRPr="00730C0D" w:rsidRDefault="00AC7D05" w:rsidP="00DA388A">
            <w:pPr>
              <w:spacing w:before="0" w:after="0" w:line="259" w:lineRule="auto"/>
              <w:rPr>
                <w:rFonts w:ascii="Century Gothic" w:hAnsi="Century Gothic"/>
                <w:sz w:val="20"/>
                <w:szCs w:val="20"/>
              </w:rPr>
            </w:pPr>
            <w:r w:rsidRPr="00730C0D">
              <w:rPr>
                <w:rFonts w:ascii="Century Gothic" w:hAnsi="Century Gothic"/>
                <w:sz w:val="20"/>
                <w:szCs w:val="20"/>
              </w:rPr>
              <w:t xml:space="preserve">The provider meets the requirements of the ‘Higher Education Provider’ category, has realistic plans to meet the criteria for </w:t>
            </w:r>
            <w:r w:rsidR="003F6A69" w:rsidRPr="00730C0D">
              <w:rPr>
                <w:rFonts w:ascii="Century Gothic" w:hAnsi="Century Gothic"/>
                <w:sz w:val="20"/>
                <w:szCs w:val="20"/>
              </w:rPr>
              <w:t xml:space="preserve">the </w:t>
            </w:r>
            <w:r w:rsidRPr="00730C0D">
              <w:rPr>
                <w:rFonts w:ascii="Century Gothic" w:hAnsi="Century Gothic"/>
                <w:sz w:val="20"/>
                <w:szCs w:val="20"/>
              </w:rPr>
              <w:t>‘Australian University’ or ‘Australian University of Specialisation’</w:t>
            </w:r>
            <w:r w:rsidR="003F6A69" w:rsidRPr="00730C0D">
              <w:rPr>
                <w:rFonts w:ascii="Century Gothic" w:hAnsi="Century Gothic"/>
                <w:sz w:val="20"/>
                <w:szCs w:val="20"/>
              </w:rPr>
              <w:t xml:space="preserve"> categories</w:t>
            </w:r>
            <w:r w:rsidRPr="00730C0D">
              <w:rPr>
                <w:rFonts w:ascii="Century Gothic" w:hAnsi="Century Gothic"/>
                <w:sz w:val="20"/>
                <w:szCs w:val="20"/>
              </w:rPr>
              <w:t xml:space="preserve"> within five years, conducts research</w:t>
            </w:r>
            <w:r w:rsidR="003F6A69" w:rsidRPr="00730C0D">
              <w:rPr>
                <w:rFonts w:ascii="Century Gothic" w:hAnsi="Century Gothic"/>
                <w:sz w:val="20"/>
                <w:szCs w:val="20"/>
              </w:rPr>
              <w:t>,</w:t>
            </w:r>
            <w:r w:rsidRPr="00730C0D">
              <w:rPr>
                <w:rFonts w:ascii="Century Gothic" w:hAnsi="Century Gothic"/>
                <w:sz w:val="20"/>
                <w:szCs w:val="20"/>
              </w:rPr>
              <w:t xml:space="preserve"> and delivers undergraduate and postgraduate courses of study across a range of broad fields of study, including Masters Degrees (Research) and Doctoral Degrees (Research) in at least one of the broad fields of study it offers.</w:t>
            </w:r>
          </w:p>
        </w:tc>
      </w:tr>
      <w:tr w:rsidR="00AC7D05" w:rsidRPr="00730C0D" w14:paraId="75B4C72A" w14:textId="77777777" w:rsidTr="00474B80">
        <w:tc>
          <w:tcPr>
            <w:tcW w:w="2257" w:type="dxa"/>
            <w:tcBorders>
              <w:top w:val="single" w:sz="4" w:space="0" w:color="00913C"/>
              <w:left w:val="single" w:sz="4" w:space="0" w:color="00913C"/>
              <w:bottom w:val="single" w:sz="4" w:space="0" w:color="00913C"/>
              <w:right w:val="single" w:sz="4" w:space="0" w:color="00913C"/>
            </w:tcBorders>
            <w:shd w:val="clear" w:color="auto" w:fill="DEEAF6" w:themeFill="accent1" w:themeFillTint="33"/>
          </w:tcPr>
          <w:p w14:paraId="691CFF13"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Australian University of Specialisation</w:t>
            </w:r>
          </w:p>
        </w:tc>
        <w:tc>
          <w:tcPr>
            <w:tcW w:w="6952" w:type="dxa"/>
            <w:tcBorders>
              <w:top w:val="single" w:sz="4" w:space="0" w:color="00913C"/>
              <w:left w:val="single" w:sz="4" w:space="0" w:color="00913C"/>
              <w:bottom w:val="single" w:sz="4" w:space="0" w:color="00913C"/>
              <w:right w:val="single" w:sz="4" w:space="0" w:color="00913C"/>
            </w:tcBorders>
            <w:shd w:val="clear" w:color="auto" w:fill="DEEAF6" w:themeFill="accent1" w:themeFillTint="33"/>
          </w:tcPr>
          <w:p w14:paraId="1872585E" w14:textId="720BCEBF" w:rsidR="00AC7D05" w:rsidRPr="00730C0D" w:rsidRDefault="00AC7D05" w:rsidP="00D31B9A">
            <w:pPr>
              <w:spacing w:before="0" w:after="0" w:line="259" w:lineRule="auto"/>
              <w:rPr>
                <w:rFonts w:ascii="Century Gothic" w:hAnsi="Century Gothic"/>
                <w:sz w:val="20"/>
                <w:szCs w:val="20"/>
              </w:rPr>
            </w:pPr>
            <w:r w:rsidRPr="00730C0D">
              <w:rPr>
                <w:rFonts w:ascii="Century Gothic" w:hAnsi="Century Gothic"/>
                <w:sz w:val="20"/>
                <w:szCs w:val="20"/>
              </w:rPr>
              <w:t>The provider fulfils the same requirements as an ‘Australian University’, but is only required to offer qualifications and conduct research within one or two broad fields of study.</w:t>
            </w:r>
          </w:p>
        </w:tc>
      </w:tr>
      <w:tr w:rsidR="00AC7D05" w:rsidRPr="00730C0D" w14:paraId="64E932BA" w14:textId="77777777" w:rsidTr="00474B80">
        <w:tc>
          <w:tcPr>
            <w:tcW w:w="2257" w:type="dxa"/>
            <w:tcBorders>
              <w:top w:val="single" w:sz="4" w:space="0" w:color="00913C"/>
              <w:left w:val="single" w:sz="4" w:space="0" w:color="00913C"/>
              <w:bottom w:val="single" w:sz="4" w:space="0" w:color="00913C"/>
              <w:right w:val="single" w:sz="4" w:space="0" w:color="00913C"/>
            </w:tcBorders>
          </w:tcPr>
          <w:p w14:paraId="33499F3A"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Overseas University</w:t>
            </w:r>
          </w:p>
        </w:tc>
        <w:tc>
          <w:tcPr>
            <w:tcW w:w="6952" w:type="dxa"/>
            <w:tcBorders>
              <w:top w:val="single" w:sz="4" w:space="0" w:color="00913C"/>
              <w:left w:val="single" w:sz="4" w:space="0" w:color="00913C"/>
              <w:bottom w:val="single" w:sz="4" w:space="0" w:color="00913C"/>
              <w:right w:val="single" w:sz="4" w:space="0" w:color="00913C"/>
            </w:tcBorders>
          </w:tcPr>
          <w:p w14:paraId="2A6E4F69" w14:textId="4A0761F5" w:rsidR="00AC7D05" w:rsidRPr="00730C0D" w:rsidRDefault="00AC7D05" w:rsidP="00033147">
            <w:pPr>
              <w:spacing w:before="0" w:after="0" w:line="259" w:lineRule="auto"/>
              <w:rPr>
                <w:rFonts w:ascii="Century Gothic" w:hAnsi="Century Gothic"/>
                <w:sz w:val="20"/>
                <w:szCs w:val="20"/>
              </w:rPr>
            </w:pPr>
            <w:r w:rsidRPr="00730C0D">
              <w:rPr>
                <w:rFonts w:ascii="Century Gothic" w:hAnsi="Century Gothic"/>
                <w:sz w:val="20"/>
                <w:szCs w:val="20"/>
              </w:rPr>
              <w:t>The provider must be recognised as a university by its home country and meet criteria equivalent to the ‘Australian University’ category.</w:t>
            </w:r>
          </w:p>
        </w:tc>
      </w:tr>
      <w:tr w:rsidR="00AC7D05" w:rsidRPr="00730C0D" w14:paraId="33EB7C4D" w14:textId="77777777" w:rsidTr="00474B80">
        <w:tc>
          <w:tcPr>
            <w:tcW w:w="2257" w:type="dxa"/>
            <w:tcBorders>
              <w:top w:val="single" w:sz="4" w:space="0" w:color="00913C"/>
              <w:left w:val="single" w:sz="4" w:space="0" w:color="00913C"/>
              <w:bottom w:val="single" w:sz="4" w:space="0" w:color="00913C"/>
              <w:right w:val="single" w:sz="4" w:space="0" w:color="00913C"/>
            </w:tcBorders>
            <w:shd w:val="clear" w:color="auto" w:fill="DEEAF6" w:themeFill="accent1" w:themeFillTint="33"/>
          </w:tcPr>
          <w:p w14:paraId="614C03A0"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Overseas University of Specialisation</w:t>
            </w:r>
          </w:p>
        </w:tc>
        <w:tc>
          <w:tcPr>
            <w:tcW w:w="6952" w:type="dxa"/>
            <w:tcBorders>
              <w:top w:val="single" w:sz="4" w:space="0" w:color="00913C"/>
              <w:left w:val="single" w:sz="4" w:space="0" w:color="00913C"/>
              <w:bottom w:val="single" w:sz="4" w:space="0" w:color="00913C"/>
              <w:right w:val="single" w:sz="4" w:space="0" w:color="00913C"/>
            </w:tcBorders>
            <w:shd w:val="clear" w:color="auto" w:fill="DEEAF6" w:themeFill="accent1" w:themeFillTint="33"/>
          </w:tcPr>
          <w:p w14:paraId="3C340D35" w14:textId="1845D57D" w:rsidR="00AC7D05" w:rsidRPr="00730C0D" w:rsidRDefault="00AC7D05" w:rsidP="00033147">
            <w:pPr>
              <w:spacing w:before="0" w:after="0" w:line="259" w:lineRule="auto"/>
              <w:rPr>
                <w:rFonts w:ascii="Century Gothic" w:hAnsi="Century Gothic"/>
                <w:sz w:val="20"/>
                <w:szCs w:val="20"/>
              </w:rPr>
            </w:pPr>
            <w:r w:rsidRPr="00730C0D">
              <w:rPr>
                <w:rFonts w:ascii="Century Gothic" w:hAnsi="Century Gothic"/>
                <w:sz w:val="20"/>
                <w:szCs w:val="20"/>
              </w:rPr>
              <w:t>The provider must be recognised as a university by its home country and meet criteria equivalent to the ‘Australian University of Specialisation’ category.</w:t>
            </w:r>
          </w:p>
        </w:tc>
      </w:tr>
    </w:tbl>
    <w:p w14:paraId="6C0C6BD7" w14:textId="77777777" w:rsidR="00AC7D05" w:rsidRPr="00730C0D" w:rsidRDefault="00AC7D05" w:rsidP="00D31B9A">
      <w:pPr>
        <w:spacing w:before="0" w:after="0"/>
        <w:rPr>
          <w:rFonts w:ascii="Century Gothic" w:hAnsi="Century Gothic"/>
          <w:sz w:val="20"/>
          <w:szCs w:val="20"/>
        </w:rPr>
      </w:pPr>
    </w:p>
    <w:p w14:paraId="586C8853" w14:textId="77777777" w:rsidR="00474B80" w:rsidRPr="00730C0D" w:rsidRDefault="00474B80" w:rsidP="00D31B9A">
      <w:pPr>
        <w:pStyle w:val="Normal-AfterTableFigure"/>
        <w:spacing w:before="0" w:after="0"/>
        <w:rPr>
          <w:rFonts w:ascii="Century Gothic" w:hAnsi="Century Gothic"/>
          <w:sz w:val="20"/>
          <w:szCs w:val="20"/>
        </w:rPr>
      </w:pPr>
    </w:p>
    <w:p w14:paraId="48721AD9" w14:textId="343C0C2E" w:rsidR="00AC7D05" w:rsidRPr="00730C0D" w:rsidRDefault="003806EF" w:rsidP="004978DA">
      <w:pPr>
        <w:pStyle w:val="Heading3"/>
      </w:pPr>
      <w:bookmarkStart w:id="23" w:name="_1.1.4_Shape_of"/>
      <w:bookmarkStart w:id="24" w:name="_Toc527621654"/>
      <w:bookmarkStart w:id="25" w:name="_Toc531606769"/>
      <w:bookmarkStart w:id="26" w:name="_Toc18592316"/>
      <w:bookmarkEnd w:id="23"/>
      <w:r w:rsidRPr="00730C0D">
        <w:t>1.1.4</w:t>
      </w:r>
      <w:r w:rsidRPr="00730C0D">
        <w:tab/>
      </w:r>
      <w:r w:rsidR="00AC7D05" w:rsidRPr="00730C0D">
        <w:t>Shape of the Current System</w:t>
      </w:r>
      <w:bookmarkEnd w:id="24"/>
      <w:bookmarkEnd w:id="25"/>
      <w:bookmarkEnd w:id="26"/>
    </w:p>
    <w:p w14:paraId="5C7CC5BB" w14:textId="0D209727"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Australia’s</w:t>
      </w:r>
      <w:r w:rsidRPr="00730C0D">
        <w:rPr>
          <w:rFonts w:ascii="Century Gothic" w:hAnsi="Century Gothic"/>
          <w:noProof/>
          <w:sz w:val="20"/>
          <w:szCs w:val="20"/>
        </w:rPr>
        <w:t xml:space="preserve"> higher </w:t>
      </w:r>
      <w:r w:rsidRPr="00730C0D">
        <w:rPr>
          <w:rFonts w:ascii="Century Gothic" w:hAnsi="Century Gothic"/>
          <w:sz w:val="20"/>
          <w:szCs w:val="20"/>
        </w:rPr>
        <w:t>education</w:t>
      </w:r>
      <w:r w:rsidRPr="00730C0D">
        <w:rPr>
          <w:rFonts w:ascii="Century Gothic" w:hAnsi="Century Gothic"/>
          <w:noProof/>
          <w:sz w:val="20"/>
          <w:szCs w:val="20"/>
        </w:rPr>
        <w:t xml:space="preserve"> sector currently comprises 17</w:t>
      </w:r>
      <w:r w:rsidR="00631EF0" w:rsidRPr="00730C0D">
        <w:rPr>
          <w:rFonts w:ascii="Century Gothic" w:hAnsi="Century Gothic"/>
          <w:noProof/>
          <w:sz w:val="20"/>
          <w:szCs w:val="20"/>
        </w:rPr>
        <w:t>5</w:t>
      </w:r>
      <w:r w:rsidRPr="00730C0D">
        <w:rPr>
          <w:rFonts w:ascii="Century Gothic" w:hAnsi="Century Gothic"/>
          <w:noProof/>
          <w:sz w:val="20"/>
          <w:szCs w:val="20"/>
        </w:rPr>
        <w:t xml:space="preserve"> TEQSA registered providers</w:t>
      </w:r>
      <w:r w:rsidR="008A6C47" w:rsidRPr="00730C0D">
        <w:rPr>
          <w:rFonts w:ascii="Century Gothic" w:hAnsi="Century Gothic"/>
          <w:noProof/>
          <w:sz w:val="20"/>
          <w:szCs w:val="20"/>
        </w:rPr>
        <w:t>,</w:t>
      </w:r>
      <w:r w:rsidR="00936D7A" w:rsidRPr="00730C0D" w:rsidDel="008A6C47">
        <w:rPr>
          <w:rFonts w:ascii="Century Gothic" w:hAnsi="Century Gothic"/>
          <w:noProof/>
          <w:sz w:val="20"/>
          <w:szCs w:val="20"/>
        </w:rPr>
        <w:t xml:space="preserve"> </w:t>
      </w:r>
      <w:r w:rsidRPr="00730C0D">
        <w:rPr>
          <w:rFonts w:ascii="Century Gothic" w:hAnsi="Century Gothic"/>
          <w:noProof/>
          <w:sz w:val="20"/>
          <w:szCs w:val="20"/>
        </w:rPr>
        <w:t>the majority of which are registered in the ‘Higher Education Provider’ category.</w:t>
      </w:r>
      <w:r w:rsidRPr="00730C0D">
        <w:rPr>
          <w:rFonts w:ascii="Century Gothic" w:hAnsi="Century Gothic"/>
          <w:sz w:val="20"/>
          <w:szCs w:val="20"/>
        </w:rPr>
        <w:t xml:space="preserve"> Table 1.2 sets out the numbers of providers by provider category.</w:t>
      </w:r>
      <w:r w:rsidR="00936D7A" w:rsidRPr="00730C0D">
        <w:rPr>
          <w:rStyle w:val="FootnoteReference"/>
          <w:rFonts w:ascii="Century Gothic" w:hAnsi="Century Gothic"/>
          <w:noProof/>
          <w:sz w:val="20"/>
          <w:szCs w:val="20"/>
        </w:rPr>
        <w:footnoteReference w:id="8"/>
      </w:r>
      <w:r w:rsidRPr="00730C0D">
        <w:rPr>
          <w:rFonts w:ascii="Century Gothic" w:hAnsi="Century Gothic"/>
          <w:sz w:val="20"/>
          <w:szCs w:val="20"/>
        </w:rPr>
        <w:t xml:space="preserve"> Provider numbers fluctuate from time to time based on new, expired</w:t>
      </w:r>
      <w:r w:rsidR="00936D7A" w:rsidRPr="00730C0D">
        <w:rPr>
          <w:rFonts w:ascii="Century Gothic" w:hAnsi="Century Gothic"/>
          <w:sz w:val="20"/>
          <w:szCs w:val="20"/>
        </w:rPr>
        <w:t>,</w:t>
      </w:r>
      <w:r w:rsidRPr="00730C0D">
        <w:rPr>
          <w:rFonts w:ascii="Century Gothic" w:hAnsi="Century Gothic"/>
          <w:sz w:val="20"/>
          <w:szCs w:val="20"/>
        </w:rPr>
        <w:t xml:space="preserve"> or cancelled TEQSA registrations. </w:t>
      </w:r>
    </w:p>
    <w:p w14:paraId="2D526F83" w14:textId="7F2E09DF" w:rsidR="00DA388A" w:rsidRPr="00730C0D" w:rsidRDefault="00DA388A" w:rsidP="00D31B9A">
      <w:pPr>
        <w:spacing w:before="0" w:after="0"/>
        <w:rPr>
          <w:rFonts w:ascii="Century Gothic" w:hAnsi="Century Gothic"/>
          <w:sz w:val="20"/>
          <w:szCs w:val="20"/>
        </w:rPr>
      </w:pPr>
    </w:p>
    <w:p w14:paraId="243DB3BD" w14:textId="77777777" w:rsidR="00DA388A" w:rsidRPr="00730C0D" w:rsidRDefault="00DA388A" w:rsidP="00D31B9A">
      <w:pPr>
        <w:spacing w:before="0" w:after="0"/>
        <w:rPr>
          <w:rFonts w:ascii="Century Gothic" w:hAnsi="Century Gothic"/>
          <w:noProof/>
          <w:sz w:val="20"/>
          <w:szCs w:val="20"/>
        </w:rPr>
      </w:pPr>
    </w:p>
    <w:p w14:paraId="4B1B6DF9" w14:textId="77777777" w:rsidR="00936D7A" w:rsidRPr="00730C0D" w:rsidRDefault="00936D7A">
      <w:pPr>
        <w:spacing w:before="0" w:after="160"/>
        <w:rPr>
          <w:rFonts w:ascii="Century Gothic" w:hAnsi="Century Gothic"/>
          <w:b/>
          <w:i/>
          <w:sz w:val="20"/>
          <w:szCs w:val="20"/>
        </w:rPr>
      </w:pPr>
      <w:bookmarkStart w:id="27" w:name="_Toc16609748"/>
      <w:r w:rsidRPr="00730C0D">
        <w:rPr>
          <w:rFonts w:ascii="Century Gothic" w:hAnsi="Century Gothic"/>
          <w:sz w:val="20"/>
          <w:szCs w:val="20"/>
        </w:rPr>
        <w:br w:type="page"/>
      </w:r>
    </w:p>
    <w:p w14:paraId="78854C9D" w14:textId="436CDF46" w:rsidR="001B04E6" w:rsidRPr="00730C0D" w:rsidRDefault="001B04E6" w:rsidP="001B04E6">
      <w:pPr>
        <w:pStyle w:val="Caption"/>
        <w:keepNext/>
        <w:rPr>
          <w:rFonts w:ascii="Century Gothic" w:hAnsi="Century Gothic"/>
          <w:sz w:val="20"/>
          <w:szCs w:val="20"/>
        </w:rPr>
      </w:pPr>
      <w:bookmarkStart w:id="28" w:name="_Toc18496079"/>
      <w:r w:rsidRPr="00730C0D">
        <w:rPr>
          <w:rFonts w:ascii="Century Gothic" w:hAnsi="Century Gothic"/>
          <w:sz w:val="20"/>
          <w:szCs w:val="20"/>
        </w:rPr>
        <w:t>Table 1.</w:t>
      </w:r>
      <w:r w:rsidRPr="00730C0D">
        <w:rPr>
          <w:rFonts w:ascii="Century Gothic" w:hAnsi="Century Gothic"/>
          <w:sz w:val="20"/>
          <w:szCs w:val="20"/>
        </w:rPr>
        <w:fldChar w:fldCharType="begin"/>
      </w:r>
      <w:r w:rsidRPr="00730C0D">
        <w:rPr>
          <w:rFonts w:ascii="Century Gothic" w:hAnsi="Century Gothic"/>
          <w:sz w:val="20"/>
          <w:szCs w:val="20"/>
        </w:rPr>
        <w:instrText xml:space="preserve"> SEQ Table \* ARABIC \s 1 </w:instrText>
      </w:r>
      <w:r w:rsidRPr="00730C0D">
        <w:rPr>
          <w:rFonts w:ascii="Century Gothic" w:hAnsi="Century Gothic"/>
          <w:sz w:val="20"/>
          <w:szCs w:val="20"/>
        </w:rPr>
        <w:fldChar w:fldCharType="separate"/>
      </w:r>
      <w:r w:rsidR="00F732D2">
        <w:rPr>
          <w:rFonts w:ascii="Century Gothic" w:hAnsi="Century Gothic"/>
          <w:noProof/>
          <w:sz w:val="20"/>
          <w:szCs w:val="20"/>
        </w:rPr>
        <w:t>2</w:t>
      </w:r>
      <w:r w:rsidRPr="00730C0D">
        <w:rPr>
          <w:rFonts w:ascii="Century Gothic" w:hAnsi="Century Gothic"/>
          <w:noProof/>
          <w:sz w:val="20"/>
          <w:szCs w:val="20"/>
        </w:rPr>
        <w:fldChar w:fldCharType="end"/>
      </w:r>
      <w:r w:rsidRPr="00730C0D">
        <w:rPr>
          <w:rFonts w:ascii="Century Gothic" w:hAnsi="Century Gothic"/>
          <w:sz w:val="20"/>
          <w:szCs w:val="20"/>
        </w:rPr>
        <w:t>: Higher Education Providers by PCS Category</w:t>
      </w:r>
      <w:bookmarkEnd w:id="27"/>
      <w:bookmarkEnd w:id="28"/>
    </w:p>
    <w:tbl>
      <w:tblPr>
        <w:tblStyle w:val="TableGrid"/>
        <w:tblW w:w="9640" w:type="dxa"/>
        <w:tblInd w:w="-289" w:type="dxa"/>
        <w:tblBorders>
          <w:left w:val="single" w:sz="4" w:space="0" w:color="auto"/>
        </w:tblBorders>
        <w:tblLook w:val="04A0" w:firstRow="1" w:lastRow="0" w:firstColumn="1" w:lastColumn="0" w:noHBand="0" w:noVBand="1"/>
        <w:tblCaption w:val="Numbers of students and providers under each category of the PCS. "/>
      </w:tblPr>
      <w:tblGrid>
        <w:gridCol w:w="3828"/>
        <w:gridCol w:w="899"/>
        <w:gridCol w:w="1113"/>
        <w:gridCol w:w="1674"/>
        <w:gridCol w:w="2126"/>
      </w:tblGrid>
      <w:tr w:rsidR="001B04E6" w:rsidRPr="00730C0D" w14:paraId="2DC02C39" w14:textId="77777777" w:rsidTr="00DF7F10">
        <w:trPr>
          <w:cnfStyle w:val="100000000000" w:firstRow="1" w:lastRow="0" w:firstColumn="0" w:lastColumn="0" w:oddVBand="0" w:evenVBand="0" w:oddHBand="0" w:evenHBand="0" w:firstRowFirstColumn="0" w:firstRowLastColumn="0" w:lastRowFirstColumn="0" w:lastRowLastColumn="0"/>
          <w:trHeight w:val="335"/>
        </w:trPr>
        <w:tc>
          <w:tcPr>
            <w:tcW w:w="3828" w:type="dxa"/>
            <w:tcBorders>
              <w:left w:val="single" w:sz="4" w:space="0" w:color="2763AC"/>
            </w:tcBorders>
          </w:tcPr>
          <w:p w14:paraId="2CD922F0"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Provider Category</w:t>
            </w:r>
          </w:p>
        </w:tc>
        <w:tc>
          <w:tcPr>
            <w:tcW w:w="899" w:type="dxa"/>
          </w:tcPr>
          <w:p w14:paraId="211E2D6D"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SAA</w:t>
            </w:r>
            <w:r w:rsidRPr="00730C0D">
              <w:rPr>
                <w:rFonts w:ascii="Century Gothic" w:hAnsi="Century Gothic"/>
                <w:sz w:val="20"/>
                <w:szCs w:val="20"/>
                <w:vertAlign w:val="superscript"/>
              </w:rPr>
              <w:t>(a)</w:t>
            </w:r>
          </w:p>
        </w:tc>
        <w:tc>
          <w:tcPr>
            <w:tcW w:w="1113" w:type="dxa"/>
          </w:tcPr>
          <w:p w14:paraId="1DC17914"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Non-SAA</w:t>
            </w:r>
          </w:p>
        </w:tc>
        <w:tc>
          <w:tcPr>
            <w:tcW w:w="1674" w:type="dxa"/>
          </w:tcPr>
          <w:p w14:paraId="224EBCE0"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Total Providers</w:t>
            </w:r>
          </w:p>
        </w:tc>
        <w:tc>
          <w:tcPr>
            <w:tcW w:w="2126" w:type="dxa"/>
          </w:tcPr>
          <w:p w14:paraId="41B0913A"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Student Numbers</w:t>
            </w:r>
          </w:p>
        </w:tc>
      </w:tr>
      <w:tr w:rsidR="001B04E6" w:rsidRPr="00730C0D" w14:paraId="086DB5E8" w14:textId="77777777" w:rsidTr="00DF7F10">
        <w:trPr>
          <w:trHeight w:val="325"/>
        </w:trPr>
        <w:tc>
          <w:tcPr>
            <w:tcW w:w="3828" w:type="dxa"/>
            <w:tcBorders>
              <w:left w:val="single" w:sz="4" w:space="0" w:color="2763AC"/>
            </w:tcBorders>
          </w:tcPr>
          <w:p w14:paraId="406D4B7E"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Higher Education Provider</w:t>
            </w:r>
          </w:p>
        </w:tc>
        <w:tc>
          <w:tcPr>
            <w:tcW w:w="899" w:type="dxa"/>
          </w:tcPr>
          <w:p w14:paraId="3BF5F0DF"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11</w:t>
            </w:r>
          </w:p>
        </w:tc>
        <w:tc>
          <w:tcPr>
            <w:tcW w:w="1113" w:type="dxa"/>
          </w:tcPr>
          <w:p w14:paraId="65267B84"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120</w:t>
            </w:r>
          </w:p>
        </w:tc>
        <w:tc>
          <w:tcPr>
            <w:tcW w:w="1674" w:type="dxa"/>
          </w:tcPr>
          <w:p w14:paraId="105D755C"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131</w:t>
            </w:r>
          </w:p>
        </w:tc>
        <w:tc>
          <w:tcPr>
            <w:tcW w:w="2126" w:type="dxa"/>
            <w:tcBorders>
              <w:right w:val="single" w:sz="4" w:space="0" w:color="auto"/>
            </w:tcBorders>
          </w:tcPr>
          <w:p w14:paraId="6C6C0E4E"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132,951</w:t>
            </w:r>
            <w:r w:rsidRPr="00730C0D">
              <w:rPr>
                <w:rFonts w:ascii="Century Gothic" w:hAnsi="Century Gothic"/>
                <w:sz w:val="20"/>
                <w:szCs w:val="20"/>
                <w:vertAlign w:val="superscript"/>
              </w:rPr>
              <w:t>(c)</w:t>
            </w:r>
          </w:p>
        </w:tc>
      </w:tr>
      <w:tr w:rsidR="001B04E6" w:rsidRPr="00730C0D" w14:paraId="59FAEC27" w14:textId="77777777" w:rsidTr="00DF7F10">
        <w:trPr>
          <w:trHeight w:val="307"/>
        </w:trPr>
        <w:tc>
          <w:tcPr>
            <w:tcW w:w="3828" w:type="dxa"/>
            <w:tcBorders>
              <w:left w:val="single" w:sz="4" w:space="0" w:color="2763AC"/>
            </w:tcBorders>
            <w:shd w:val="clear" w:color="auto" w:fill="DEEAF6" w:themeFill="accent1" w:themeFillTint="33"/>
          </w:tcPr>
          <w:p w14:paraId="73E84A96"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Australian University</w:t>
            </w:r>
          </w:p>
        </w:tc>
        <w:tc>
          <w:tcPr>
            <w:tcW w:w="899" w:type="dxa"/>
            <w:shd w:val="clear" w:color="auto" w:fill="DEEAF6" w:themeFill="accent1" w:themeFillTint="33"/>
          </w:tcPr>
          <w:p w14:paraId="31825D5F"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40</w:t>
            </w:r>
          </w:p>
        </w:tc>
        <w:tc>
          <w:tcPr>
            <w:tcW w:w="1113" w:type="dxa"/>
            <w:shd w:val="clear" w:color="auto" w:fill="DEEAF6" w:themeFill="accent1" w:themeFillTint="33"/>
          </w:tcPr>
          <w:p w14:paraId="7144C92B"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0</w:t>
            </w:r>
          </w:p>
        </w:tc>
        <w:tc>
          <w:tcPr>
            <w:tcW w:w="1674" w:type="dxa"/>
            <w:shd w:val="clear" w:color="auto" w:fill="DEEAF6" w:themeFill="accent1" w:themeFillTint="33"/>
          </w:tcPr>
          <w:p w14:paraId="76E677A5"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40</w:t>
            </w:r>
          </w:p>
        </w:tc>
        <w:tc>
          <w:tcPr>
            <w:tcW w:w="2126" w:type="dxa"/>
            <w:shd w:val="clear" w:color="auto" w:fill="DEEAF6" w:themeFill="accent1" w:themeFillTint="33"/>
          </w:tcPr>
          <w:p w14:paraId="0288ED0E" w14:textId="77777777" w:rsidR="001B04E6" w:rsidRPr="00730C0D" w:rsidRDefault="001B04E6" w:rsidP="00DF7F10">
            <w:pPr>
              <w:spacing w:before="0" w:after="0"/>
              <w:rPr>
                <w:rFonts w:ascii="Century Gothic" w:hAnsi="Century Gothic"/>
                <w:sz w:val="20"/>
                <w:szCs w:val="20"/>
              </w:rPr>
            </w:pPr>
            <w:r w:rsidRPr="00730C0D">
              <w:rPr>
                <w:rFonts w:ascii="Century Gothic" w:hAnsi="Century Gothic"/>
                <w:sz w:val="20"/>
                <w:szCs w:val="20"/>
              </w:rPr>
              <w:t>1,396,633</w:t>
            </w:r>
            <w:r w:rsidRPr="00730C0D">
              <w:rPr>
                <w:rFonts w:ascii="Century Gothic" w:hAnsi="Century Gothic"/>
                <w:sz w:val="20"/>
                <w:szCs w:val="20"/>
                <w:vertAlign w:val="superscript"/>
              </w:rPr>
              <w:t>(b)</w:t>
            </w:r>
          </w:p>
        </w:tc>
      </w:tr>
      <w:tr w:rsidR="001B04E6" w:rsidRPr="00730C0D" w14:paraId="15ACC72F" w14:textId="77777777" w:rsidTr="00DF7F10">
        <w:trPr>
          <w:trHeight w:val="325"/>
        </w:trPr>
        <w:tc>
          <w:tcPr>
            <w:tcW w:w="3828" w:type="dxa"/>
            <w:tcBorders>
              <w:left w:val="single" w:sz="4" w:space="0" w:color="2763AC"/>
            </w:tcBorders>
          </w:tcPr>
          <w:p w14:paraId="0A428B9C"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Australian University College</w:t>
            </w:r>
          </w:p>
        </w:tc>
        <w:tc>
          <w:tcPr>
            <w:tcW w:w="899" w:type="dxa"/>
          </w:tcPr>
          <w:p w14:paraId="35F29852"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1</w:t>
            </w:r>
          </w:p>
        </w:tc>
        <w:tc>
          <w:tcPr>
            <w:tcW w:w="1113" w:type="dxa"/>
          </w:tcPr>
          <w:p w14:paraId="36CA418E"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c>
          <w:tcPr>
            <w:tcW w:w="1674" w:type="dxa"/>
          </w:tcPr>
          <w:p w14:paraId="0841AE2B"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1</w:t>
            </w:r>
          </w:p>
        </w:tc>
        <w:tc>
          <w:tcPr>
            <w:tcW w:w="2126" w:type="dxa"/>
          </w:tcPr>
          <w:p w14:paraId="5AC36955"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1,343</w:t>
            </w:r>
            <w:r w:rsidRPr="00730C0D">
              <w:rPr>
                <w:rFonts w:ascii="Century Gothic" w:hAnsi="Century Gothic"/>
                <w:sz w:val="20"/>
                <w:szCs w:val="20"/>
                <w:vertAlign w:val="superscript"/>
              </w:rPr>
              <w:t>(b)</w:t>
            </w:r>
          </w:p>
        </w:tc>
      </w:tr>
      <w:tr w:rsidR="001B04E6" w:rsidRPr="00730C0D" w14:paraId="467C1EBD" w14:textId="77777777" w:rsidTr="00DF7F10">
        <w:trPr>
          <w:trHeight w:val="325"/>
        </w:trPr>
        <w:tc>
          <w:tcPr>
            <w:tcW w:w="3828" w:type="dxa"/>
            <w:tcBorders>
              <w:left w:val="single" w:sz="4" w:space="0" w:color="2763AC"/>
            </w:tcBorders>
            <w:shd w:val="clear" w:color="auto" w:fill="DEEAF6" w:themeFill="accent1" w:themeFillTint="33"/>
          </w:tcPr>
          <w:p w14:paraId="20621FBB"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Australian University of Specialisation</w:t>
            </w:r>
          </w:p>
        </w:tc>
        <w:tc>
          <w:tcPr>
            <w:tcW w:w="899" w:type="dxa"/>
            <w:shd w:val="clear" w:color="auto" w:fill="DEEAF6" w:themeFill="accent1" w:themeFillTint="33"/>
          </w:tcPr>
          <w:p w14:paraId="6F68119D"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1</w:t>
            </w:r>
          </w:p>
        </w:tc>
        <w:tc>
          <w:tcPr>
            <w:tcW w:w="1113" w:type="dxa"/>
            <w:shd w:val="clear" w:color="auto" w:fill="DEEAF6" w:themeFill="accent1" w:themeFillTint="33"/>
          </w:tcPr>
          <w:p w14:paraId="06789539"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c>
          <w:tcPr>
            <w:tcW w:w="1674" w:type="dxa"/>
            <w:shd w:val="clear" w:color="auto" w:fill="DEEAF6" w:themeFill="accent1" w:themeFillTint="33"/>
          </w:tcPr>
          <w:p w14:paraId="5B014F72"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1</w:t>
            </w:r>
          </w:p>
        </w:tc>
        <w:tc>
          <w:tcPr>
            <w:tcW w:w="2126" w:type="dxa"/>
            <w:shd w:val="clear" w:color="auto" w:fill="DEEAF6" w:themeFill="accent1" w:themeFillTint="33"/>
          </w:tcPr>
          <w:p w14:paraId="5C51BAE7"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1,569</w:t>
            </w:r>
            <w:r w:rsidRPr="00730C0D">
              <w:rPr>
                <w:rFonts w:ascii="Century Gothic" w:hAnsi="Century Gothic"/>
                <w:sz w:val="20"/>
                <w:szCs w:val="20"/>
                <w:vertAlign w:val="superscript"/>
              </w:rPr>
              <w:t>(b)</w:t>
            </w:r>
          </w:p>
        </w:tc>
      </w:tr>
      <w:tr w:rsidR="001B04E6" w:rsidRPr="00730C0D" w14:paraId="1E59C771" w14:textId="77777777" w:rsidTr="00DF7F10">
        <w:trPr>
          <w:trHeight w:val="307"/>
        </w:trPr>
        <w:tc>
          <w:tcPr>
            <w:tcW w:w="3828" w:type="dxa"/>
            <w:tcBorders>
              <w:left w:val="single" w:sz="4" w:space="0" w:color="2763AC"/>
            </w:tcBorders>
          </w:tcPr>
          <w:p w14:paraId="22B404F0"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Overseas University</w:t>
            </w:r>
          </w:p>
        </w:tc>
        <w:tc>
          <w:tcPr>
            <w:tcW w:w="899" w:type="dxa"/>
          </w:tcPr>
          <w:p w14:paraId="6F2E4194"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2</w:t>
            </w:r>
          </w:p>
        </w:tc>
        <w:tc>
          <w:tcPr>
            <w:tcW w:w="1113" w:type="dxa"/>
          </w:tcPr>
          <w:p w14:paraId="5C96B52A"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c>
          <w:tcPr>
            <w:tcW w:w="1674" w:type="dxa"/>
          </w:tcPr>
          <w:p w14:paraId="1CB0E367"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2</w:t>
            </w:r>
          </w:p>
        </w:tc>
        <w:tc>
          <w:tcPr>
            <w:tcW w:w="2126" w:type="dxa"/>
          </w:tcPr>
          <w:p w14:paraId="4910A369"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310</w:t>
            </w:r>
            <w:r w:rsidRPr="00730C0D">
              <w:rPr>
                <w:rFonts w:ascii="Century Gothic" w:hAnsi="Century Gothic"/>
                <w:sz w:val="20"/>
                <w:szCs w:val="20"/>
                <w:vertAlign w:val="superscript"/>
              </w:rPr>
              <w:t>(b)</w:t>
            </w:r>
          </w:p>
        </w:tc>
      </w:tr>
      <w:tr w:rsidR="001B04E6" w:rsidRPr="00730C0D" w14:paraId="45A3FB85" w14:textId="77777777" w:rsidTr="00DF7F10">
        <w:trPr>
          <w:trHeight w:val="325"/>
        </w:trPr>
        <w:tc>
          <w:tcPr>
            <w:tcW w:w="3828" w:type="dxa"/>
            <w:tcBorders>
              <w:left w:val="single" w:sz="4" w:space="0" w:color="2763AC"/>
            </w:tcBorders>
            <w:shd w:val="clear" w:color="auto" w:fill="DEEAF6" w:themeFill="accent1" w:themeFillTint="33"/>
          </w:tcPr>
          <w:p w14:paraId="7544FAC9" w14:textId="77777777" w:rsidR="001B04E6" w:rsidRPr="00730C0D" w:rsidRDefault="001B04E6" w:rsidP="00DF7F10">
            <w:pPr>
              <w:spacing w:before="0" w:after="0" w:line="259" w:lineRule="auto"/>
              <w:rPr>
                <w:rFonts w:ascii="Century Gothic" w:hAnsi="Century Gothic"/>
                <w:sz w:val="20"/>
                <w:szCs w:val="20"/>
              </w:rPr>
            </w:pPr>
            <w:r w:rsidRPr="00730C0D">
              <w:rPr>
                <w:rFonts w:ascii="Century Gothic" w:hAnsi="Century Gothic"/>
                <w:sz w:val="20"/>
                <w:szCs w:val="20"/>
              </w:rPr>
              <w:t>Overseas University of Specialisation</w:t>
            </w:r>
          </w:p>
        </w:tc>
        <w:tc>
          <w:tcPr>
            <w:tcW w:w="899" w:type="dxa"/>
            <w:shd w:val="clear" w:color="auto" w:fill="DEEAF6" w:themeFill="accent1" w:themeFillTint="33"/>
          </w:tcPr>
          <w:p w14:paraId="7255EED2"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c>
          <w:tcPr>
            <w:tcW w:w="1113" w:type="dxa"/>
            <w:shd w:val="clear" w:color="auto" w:fill="DEEAF6" w:themeFill="accent1" w:themeFillTint="33"/>
          </w:tcPr>
          <w:p w14:paraId="65B7ED97"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c>
          <w:tcPr>
            <w:tcW w:w="1674" w:type="dxa"/>
            <w:shd w:val="clear" w:color="auto" w:fill="DEEAF6" w:themeFill="accent1" w:themeFillTint="33"/>
          </w:tcPr>
          <w:p w14:paraId="5C22AB12"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c>
          <w:tcPr>
            <w:tcW w:w="2126" w:type="dxa"/>
            <w:shd w:val="clear" w:color="auto" w:fill="DEEAF6" w:themeFill="accent1" w:themeFillTint="33"/>
          </w:tcPr>
          <w:p w14:paraId="3909BCFD" w14:textId="77777777" w:rsidR="001B04E6" w:rsidRPr="00730C0D" w:rsidRDefault="001B04E6" w:rsidP="00DF7F10">
            <w:pPr>
              <w:keepNext/>
              <w:spacing w:before="0" w:after="0" w:line="259" w:lineRule="auto"/>
              <w:rPr>
                <w:rFonts w:ascii="Century Gothic" w:hAnsi="Century Gothic"/>
                <w:sz w:val="20"/>
                <w:szCs w:val="20"/>
              </w:rPr>
            </w:pPr>
            <w:r w:rsidRPr="00730C0D">
              <w:rPr>
                <w:rFonts w:ascii="Century Gothic" w:hAnsi="Century Gothic"/>
                <w:sz w:val="20"/>
                <w:szCs w:val="20"/>
              </w:rPr>
              <w:t>0</w:t>
            </w:r>
          </w:p>
        </w:tc>
      </w:tr>
      <w:tr w:rsidR="001B04E6" w:rsidRPr="00730C0D" w14:paraId="2481E84B" w14:textId="77777777" w:rsidTr="00DF7F10">
        <w:trPr>
          <w:trHeight w:val="307"/>
        </w:trPr>
        <w:tc>
          <w:tcPr>
            <w:tcW w:w="3828" w:type="dxa"/>
            <w:tcBorders>
              <w:left w:val="single" w:sz="4" w:space="0" w:color="2763AC"/>
            </w:tcBorders>
          </w:tcPr>
          <w:p w14:paraId="3EF4ED57" w14:textId="77777777" w:rsidR="001B04E6" w:rsidRPr="00730C0D" w:rsidRDefault="001B04E6" w:rsidP="00DF7F10">
            <w:pPr>
              <w:spacing w:before="0" w:after="0" w:line="259" w:lineRule="auto"/>
              <w:rPr>
                <w:rFonts w:ascii="Century Gothic" w:hAnsi="Century Gothic"/>
                <w:b/>
                <w:sz w:val="20"/>
                <w:szCs w:val="20"/>
              </w:rPr>
            </w:pPr>
            <w:r w:rsidRPr="00730C0D">
              <w:rPr>
                <w:rFonts w:ascii="Century Gothic" w:hAnsi="Century Gothic"/>
                <w:b/>
                <w:sz w:val="20"/>
                <w:szCs w:val="20"/>
              </w:rPr>
              <w:t>Total</w:t>
            </w:r>
          </w:p>
        </w:tc>
        <w:tc>
          <w:tcPr>
            <w:tcW w:w="899" w:type="dxa"/>
          </w:tcPr>
          <w:p w14:paraId="5541FC25" w14:textId="77777777" w:rsidR="001B04E6" w:rsidRPr="00730C0D" w:rsidRDefault="001B04E6" w:rsidP="00DF7F10">
            <w:pPr>
              <w:keepNext/>
              <w:spacing w:before="0" w:after="0" w:line="259" w:lineRule="auto"/>
              <w:rPr>
                <w:rFonts w:ascii="Century Gothic" w:hAnsi="Century Gothic"/>
                <w:b/>
                <w:sz w:val="20"/>
                <w:szCs w:val="20"/>
              </w:rPr>
            </w:pPr>
            <w:r w:rsidRPr="00730C0D">
              <w:rPr>
                <w:rFonts w:ascii="Century Gothic" w:hAnsi="Century Gothic"/>
                <w:b/>
                <w:sz w:val="20"/>
                <w:szCs w:val="20"/>
              </w:rPr>
              <w:t>55</w:t>
            </w:r>
          </w:p>
        </w:tc>
        <w:tc>
          <w:tcPr>
            <w:tcW w:w="1113" w:type="dxa"/>
          </w:tcPr>
          <w:p w14:paraId="5F72F39A" w14:textId="77777777" w:rsidR="001B04E6" w:rsidRPr="00730C0D" w:rsidRDefault="001B04E6" w:rsidP="00DF7F10">
            <w:pPr>
              <w:keepNext/>
              <w:spacing w:before="0" w:after="0" w:line="259" w:lineRule="auto"/>
              <w:rPr>
                <w:rFonts w:ascii="Century Gothic" w:hAnsi="Century Gothic"/>
                <w:b/>
                <w:sz w:val="20"/>
                <w:szCs w:val="20"/>
              </w:rPr>
            </w:pPr>
            <w:r w:rsidRPr="00730C0D">
              <w:rPr>
                <w:rFonts w:ascii="Century Gothic" w:hAnsi="Century Gothic"/>
                <w:b/>
                <w:sz w:val="20"/>
                <w:szCs w:val="20"/>
              </w:rPr>
              <w:t>120</w:t>
            </w:r>
          </w:p>
        </w:tc>
        <w:tc>
          <w:tcPr>
            <w:tcW w:w="1674" w:type="dxa"/>
          </w:tcPr>
          <w:p w14:paraId="57F844D1" w14:textId="77777777" w:rsidR="001B04E6" w:rsidRPr="00730C0D" w:rsidRDefault="001B04E6" w:rsidP="00DF7F10">
            <w:pPr>
              <w:keepNext/>
              <w:spacing w:before="0" w:after="0" w:line="259" w:lineRule="auto"/>
              <w:rPr>
                <w:rFonts w:ascii="Century Gothic" w:hAnsi="Century Gothic"/>
                <w:b/>
                <w:sz w:val="20"/>
                <w:szCs w:val="20"/>
              </w:rPr>
            </w:pPr>
            <w:r w:rsidRPr="00730C0D">
              <w:rPr>
                <w:rFonts w:ascii="Century Gothic" w:hAnsi="Century Gothic"/>
                <w:b/>
                <w:sz w:val="20"/>
                <w:szCs w:val="20"/>
              </w:rPr>
              <w:t>175</w:t>
            </w:r>
          </w:p>
        </w:tc>
        <w:tc>
          <w:tcPr>
            <w:tcW w:w="2126" w:type="dxa"/>
          </w:tcPr>
          <w:p w14:paraId="6A74F903" w14:textId="7B2AF34D" w:rsidR="001B04E6" w:rsidRPr="00730C0D" w:rsidRDefault="001B04E6" w:rsidP="00D4191E">
            <w:pPr>
              <w:keepNext/>
              <w:spacing w:before="0" w:after="0" w:line="259" w:lineRule="auto"/>
              <w:rPr>
                <w:rFonts w:ascii="Century Gothic" w:hAnsi="Century Gothic"/>
                <w:b/>
                <w:sz w:val="20"/>
                <w:szCs w:val="20"/>
              </w:rPr>
            </w:pPr>
            <w:r w:rsidRPr="00730C0D">
              <w:rPr>
                <w:rFonts w:ascii="Century Gothic" w:hAnsi="Century Gothic"/>
                <w:b/>
                <w:sz w:val="20"/>
                <w:szCs w:val="20"/>
              </w:rPr>
              <w:t>1,</w:t>
            </w:r>
            <w:r w:rsidR="00D4191E">
              <w:rPr>
                <w:rFonts w:ascii="Century Gothic" w:hAnsi="Century Gothic"/>
                <w:b/>
                <w:sz w:val="20"/>
                <w:szCs w:val="20"/>
              </w:rPr>
              <w:t>532,806</w:t>
            </w:r>
          </w:p>
        </w:tc>
      </w:tr>
    </w:tbl>
    <w:p w14:paraId="26B956EB" w14:textId="77777777" w:rsidR="001B04E6" w:rsidRPr="00730C0D" w:rsidRDefault="001B04E6" w:rsidP="001B04E6">
      <w:pPr>
        <w:spacing w:before="0" w:after="0"/>
        <w:ind w:left="-284" w:right="-142"/>
        <w:rPr>
          <w:rFonts w:ascii="Century Gothic" w:hAnsi="Century Gothic"/>
          <w:sz w:val="13"/>
          <w:szCs w:val="13"/>
        </w:rPr>
      </w:pPr>
      <w:r w:rsidRPr="00730C0D">
        <w:rPr>
          <w:rFonts w:ascii="Century Gothic" w:hAnsi="Century Gothic"/>
          <w:sz w:val="13"/>
          <w:szCs w:val="13"/>
        </w:rPr>
        <w:t xml:space="preserve">Source:   Tertiary Education Quality and Standards Agency (TEQSA). (2019). </w:t>
      </w:r>
      <w:r w:rsidRPr="00730C0D">
        <w:rPr>
          <w:rFonts w:ascii="Century Gothic" w:hAnsi="Century Gothic"/>
          <w:i/>
          <w:sz w:val="13"/>
          <w:szCs w:val="13"/>
        </w:rPr>
        <w:t>National Register Summary Table.</w:t>
      </w:r>
      <w:r w:rsidRPr="00730C0D">
        <w:rPr>
          <w:rFonts w:ascii="Century Gothic" w:hAnsi="Century Gothic"/>
          <w:sz w:val="13"/>
          <w:szCs w:val="13"/>
        </w:rPr>
        <w:t xml:space="preserve"> Retrieved 03/09/2019</w:t>
      </w:r>
      <w:r w:rsidRPr="00730C0D">
        <w:rPr>
          <w:rFonts w:ascii="Century Gothic" w:hAnsi="Century Gothic"/>
          <w:sz w:val="14"/>
          <w:szCs w:val="14"/>
        </w:rPr>
        <w:t xml:space="preserve"> </w:t>
      </w:r>
    </w:p>
    <w:p w14:paraId="2F484EC3" w14:textId="77777777" w:rsidR="001B04E6" w:rsidRPr="00730C0D" w:rsidRDefault="001B04E6" w:rsidP="001B04E6">
      <w:pPr>
        <w:spacing w:before="0" w:after="0"/>
        <w:ind w:left="-284" w:right="-142" w:firstLine="284"/>
        <w:rPr>
          <w:rFonts w:ascii="Century Gothic" w:hAnsi="Century Gothic"/>
          <w:sz w:val="13"/>
          <w:szCs w:val="13"/>
        </w:rPr>
      </w:pPr>
      <w:r w:rsidRPr="00730C0D">
        <w:rPr>
          <w:rFonts w:ascii="Century Gothic" w:hAnsi="Century Gothic"/>
          <w:sz w:val="13"/>
          <w:szCs w:val="13"/>
        </w:rPr>
        <w:t xml:space="preserve">         from: </w:t>
      </w:r>
      <w:hyperlink r:id="rId29" w:history="1">
        <w:r w:rsidRPr="00730C0D">
          <w:rPr>
            <w:rStyle w:val="Hyperlink"/>
            <w:rFonts w:ascii="Century Gothic" w:hAnsi="Century Gothic"/>
            <w:sz w:val="13"/>
            <w:szCs w:val="13"/>
          </w:rPr>
          <w:t>www.teqsa.gov.au/national-register</w:t>
        </w:r>
      </w:hyperlink>
      <w:r w:rsidRPr="00730C0D">
        <w:rPr>
          <w:rFonts w:ascii="Century Gothic" w:hAnsi="Century Gothic"/>
          <w:sz w:val="13"/>
          <w:szCs w:val="13"/>
        </w:rPr>
        <w:t>.</w:t>
      </w:r>
    </w:p>
    <w:p w14:paraId="04025D12" w14:textId="77777777" w:rsidR="001B04E6" w:rsidRPr="00730C0D" w:rsidRDefault="001B04E6" w:rsidP="001B04E6">
      <w:pPr>
        <w:spacing w:before="0" w:after="0"/>
        <w:ind w:left="-284" w:right="-142"/>
        <w:rPr>
          <w:rFonts w:ascii="Century Gothic" w:hAnsi="Century Gothic"/>
          <w:sz w:val="13"/>
          <w:szCs w:val="13"/>
        </w:rPr>
      </w:pPr>
      <w:r w:rsidRPr="00730C0D">
        <w:rPr>
          <w:rFonts w:ascii="Century Gothic" w:hAnsi="Century Gothic"/>
          <w:sz w:val="13"/>
          <w:szCs w:val="13"/>
        </w:rPr>
        <w:t xml:space="preserve">Notes: </w:t>
      </w:r>
    </w:p>
    <w:p w14:paraId="69B920ED" w14:textId="77777777" w:rsidR="001B04E6" w:rsidRPr="00730C0D" w:rsidRDefault="001B04E6" w:rsidP="0024520B">
      <w:pPr>
        <w:pStyle w:val="ListParagraph"/>
        <w:numPr>
          <w:ilvl w:val="0"/>
          <w:numId w:val="60"/>
        </w:numPr>
        <w:spacing w:before="0" w:after="0"/>
        <w:ind w:left="0" w:right="-142" w:hanging="284"/>
        <w:rPr>
          <w:rFonts w:ascii="Century Gothic" w:hAnsi="Century Gothic"/>
          <w:sz w:val="13"/>
          <w:szCs w:val="13"/>
        </w:rPr>
      </w:pPr>
      <w:r w:rsidRPr="00730C0D">
        <w:rPr>
          <w:rFonts w:ascii="Century Gothic" w:hAnsi="Century Gothic"/>
          <w:sz w:val="13"/>
          <w:szCs w:val="13"/>
        </w:rPr>
        <w:t>SAA = self-accrediting authority (a provider can self-accredit some or all of its courses).</w:t>
      </w:r>
    </w:p>
    <w:p w14:paraId="7E31166F" w14:textId="77777777" w:rsidR="001B04E6" w:rsidRPr="00730C0D" w:rsidRDefault="001B04E6" w:rsidP="0024520B">
      <w:pPr>
        <w:pStyle w:val="ListParagraph"/>
        <w:numPr>
          <w:ilvl w:val="0"/>
          <w:numId w:val="60"/>
        </w:numPr>
        <w:spacing w:before="0" w:after="0"/>
        <w:ind w:left="0" w:right="-142" w:hanging="284"/>
        <w:rPr>
          <w:rFonts w:ascii="Century Gothic" w:hAnsi="Century Gothic"/>
          <w:sz w:val="13"/>
          <w:szCs w:val="13"/>
        </w:rPr>
      </w:pPr>
      <w:r w:rsidRPr="00730C0D">
        <w:rPr>
          <w:rFonts w:ascii="Century Gothic" w:hAnsi="Century Gothic"/>
          <w:sz w:val="13"/>
          <w:szCs w:val="13"/>
        </w:rPr>
        <w:t xml:space="preserve">Student numbers equate to a headcount of all students based on the latest available full year data. </w:t>
      </w:r>
    </w:p>
    <w:p w14:paraId="3C36A792" w14:textId="3F99A40A" w:rsidR="001B04E6" w:rsidRPr="00730C0D" w:rsidRDefault="001B04E6" w:rsidP="001B04E6">
      <w:pPr>
        <w:pStyle w:val="ListParagraph"/>
        <w:spacing w:before="0" w:after="0"/>
        <w:ind w:left="0" w:right="-142"/>
        <w:rPr>
          <w:rStyle w:val="Hyperlink"/>
          <w:rFonts w:ascii="Century Gothic" w:hAnsi="Century Gothic"/>
          <w:lang w:val="en"/>
        </w:rPr>
      </w:pPr>
      <w:r w:rsidRPr="00730C0D">
        <w:rPr>
          <w:rFonts w:ascii="Century Gothic" w:hAnsi="Century Gothic"/>
          <w:sz w:val="13"/>
          <w:szCs w:val="13"/>
        </w:rPr>
        <w:t xml:space="preserve">(Source: Australian Government Department of Education. (2017). </w:t>
      </w:r>
      <w:r w:rsidR="001031EA" w:rsidRPr="00730C0D">
        <w:rPr>
          <w:rFonts w:ascii="Century Gothic" w:hAnsi="Century Gothic"/>
          <w:i/>
          <w:sz w:val="13"/>
          <w:szCs w:val="13"/>
        </w:rPr>
        <w:t xml:space="preserve">Selected Higher Education Statistics – 2017: </w:t>
      </w:r>
      <w:r w:rsidRPr="00730C0D">
        <w:rPr>
          <w:rFonts w:ascii="Century Gothic" w:hAnsi="Century Gothic"/>
          <w:i/>
          <w:sz w:val="13"/>
          <w:szCs w:val="13"/>
        </w:rPr>
        <w:t xml:space="preserve">Student Summary Tables. </w:t>
      </w:r>
      <w:r w:rsidR="001031EA" w:rsidRPr="00730C0D">
        <w:rPr>
          <w:rFonts w:ascii="Century Gothic" w:hAnsi="Century Gothic"/>
          <w:i/>
          <w:sz w:val="13"/>
          <w:szCs w:val="13"/>
        </w:rPr>
        <w:br/>
      </w:r>
      <w:r w:rsidRPr="00730C0D">
        <w:rPr>
          <w:rFonts w:ascii="Century Gothic" w:hAnsi="Century Gothic"/>
          <w:sz w:val="13"/>
          <w:szCs w:val="13"/>
        </w:rPr>
        <w:t>Retrieved from:</w:t>
      </w:r>
      <w:r w:rsidRPr="00730C0D">
        <w:rPr>
          <w:rFonts w:ascii="Century Gothic" w:hAnsi="Century Gothic"/>
          <w:i/>
          <w:sz w:val="13"/>
          <w:szCs w:val="13"/>
        </w:rPr>
        <w:t xml:space="preserve"> </w:t>
      </w:r>
      <w:hyperlink r:id="rId30" w:history="1">
        <w:r w:rsidRPr="00730C0D">
          <w:rPr>
            <w:rStyle w:val="Hyperlink"/>
            <w:rFonts w:ascii="Century Gothic" w:hAnsi="Century Gothic"/>
            <w:sz w:val="13"/>
            <w:szCs w:val="13"/>
            <w:lang w:val="en"/>
          </w:rPr>
          <w:t>https://docs.education.gov.au/node/51301</w:t>
        </w:r>
      </w:hyperlink>
      <w:r w:rsidRPr="00730C0D">
        <w:rPr>
          <w:rFonts w:ascii="Century Gothic" w:hAnsi="Century Gothic"/>
          <w:sz w:val="13"/>
          <w:szCs w:val="13"/>
        </w:rPr>
        <w:t>).</w:t>
      </w:r>
    </w:p>
    <w:p w14:paraId="17C760A3" w14:textId="320107CE" w:rsidR="001B04E6" w:rsidRPr="00730C0D" w:rsidRDefault="001B04E6" w:rsidP="0024520B">
      <w:pPr>
        <w:pStyle w:val="ListParagraph"/>
        <w:numPr>
          <w:ilvl w:val="0"/>
          <w:numId w:val="60"/>
        </w:numPr>
        <w:spacing w:before="0" w:after="0"/>
        <w:ind w:left="0" w:right="-142" w:hanging="284"/>
        <w:rPr>
          <w:rFonts w:ascii="Century Gothic" w:hAnsi="Century Gothic"/>
          <w:sz w:val="13"/>
          <w:szCs w:val="13"/>
        </w:rPr>
      </w:pPr>
      <w:r w:rsidRPr="00730C0D">
        <w:rPr>
          <w:rFonts w:ascii="Century Gothic" w:hAnsi="Century Gothic"/>
          <w:sz w:val="13"/>
          <w:szCs w:val="13"/>
        </w:rPr>
        <w:t xml:space="preserve">As of </w:t>
      </w:r>
      <w:r w:rsidR="00C34CD0">
        <w:rPr>
          <w:rFonts w:ascii="Century Gothic" w:hAnsi="Century Gothic"/>
          <w:sz w:val="13"/>
          <w:szCs w:val="13"/>
        </w:rPr>
        <w:t>3 September</w:t>
      </w:r>
      <w:r w:rsidRPr="00730C0D">
        <w:rPr>
          <w:rFonts w:ascii="Century Gothic" w:hAnsi="Century Gothic"/>
          <w:sz w:val="13"/>
          <w:szCs w:val="13"/>
        </w:rPr>
        <w:t xml:space="preserve"> 2019, there are 131 providers registered by TEQSA in the ‘Higher Education Provider’ category, however, the student numbers for this category are based on latest available data from the 133 providers active in 2016. The student nu</w:t>
      </w:r>
      <w:r w:rsidR="004321E2" w:rsidRPr="00730C0D">
        <w:rPr>
          <w:rFonts w:ascii="Century Gothic" w:hAnsi="Century Gothic"/>
          <w:sz w:val="13"/>
          <w:szCs w:val="13"/>
        </w:rPr>
        <w:t>mbers for this category include</w:t>
      </w:r>
      <w:r w:rsidRPr="00730C0D">
        <w:rPr>
          <w:rFonts w:ascii="Century Gothic" w:hAnsi="Century Gothic"/>
          <w:sz w:val="13"/>
          <w:szCs w:val="13"/>
        </w:rPr>
        <w:t xml:space="preserve"> </w:t>
      </w:r>
      <w:r w:rsidR="004321E2" w:rsidRPr="00730C0D">
        <w:rPr>
          <w:rFonts w:ascii="Century Gothic" w:hAnsi="Century Gothic"/>
          <w:sz w:val="13"/>
          <w:szCs w:val="13"/>
        </w:rPr>
        <w:br/>
      </w:r>
      <w:r w:rsidRPr="00730C0D">
        <w:rPr>
          <w:rFonts w:ascii="Century Gothic" w:hAnsi="Century Gothic"/>
          <w:sz w:val="13"/>
          <w:szCs w:val="13"/>
        </w:rPr>
        <w:t>Avond</w:t>
      </w:r>
      <w:r w:rsidR="004321E2" w:rsidRPr="00730C0D">
        <w:rPr>
          <w:rFonts w:ascii="Century Gothic" w:hAnsi="Century Gothic"/>
          <w:sz w:val="13"/>
          <w:szCs w:val="13"/>
        </w:rPr>
        <w:t>ale College of Higher Education</w:t>
      </w:r>
      <w:r w:rsidRPr="00730C0D">
        <w:rPr>
          <w:rFonts w:ascii="Century Gothic" w:hAnsi="Century Gothic"/>
          <w:sz w:val="13"/>
          <w:szCs w:val="13"/>
        </w:rPr>
        <w:t xml:space="preserve"> </w:t>
      </w:r>
      <w:r w:rsidR="004321E2" w:rsidRPr="00730C0D">
        <w:rPr>
          <w:rFonts w:ascii="Century Gothic" w:hAnsi="Century Gothic"/>
          <w:sz w:val="13"/>
          <w:szCs w:val="13"/>
        </w:rPr>
        <w:t>(</w:t>
      </w:r>
      <w:r w:rsidRPr="00730C0D">
        <w:rPr>
          <w:rFonts w:ascii="Century Gothic" w:hAnsi="Century Gothic"/>
          <w:sz w:val="13"/>
          <w:szCs w:val="13"/>
        </w:rPr>
        <w:t xml:space="preserve">which became an </w:t>
      </w:r>
      <w:r w:rsidR="004321E2" w:rsidRPr="00730C0D">
        <w:rPr>
          <w:rFonts w:ascii="Century Gothic" w:hAnsi="Century Gothic"/>
          <w:sz w:val="13"/>
          <w:szCs w:val="13"/>
        </w:rPr>
        <w:t>‘</w:t>
      </w:r>
      <w:r w:rsidRPr="00730C0D">
        <w:rPr>
          <w:rFonts w:ascii="Century Gothic" w:hAnsi="Century Gothic"/>
          <w:sz w:val="13"/>
          <w:szCs w:val="13"/>
        </w:rPr>
        <w:t>Australian University College</w:t>
      </w:r>
      <w:r w:rsidR="004321E2" w:rsidRPr="00730C0D">
        <w:rPr>
          <w:rFonts w:ascii="Century Gothic" w:hAnsi="Century Gothic"/>
          <w:sz w:val="13"/>
          <w:szCs w:val="13"/>
        </w:rPr>
        <w:t>’</w:t>
      </w:r>
      <w:r w:rsidRPr="00730C0D">
        <w:rPr>
          <w:rFonts w:ascii="Century Gothic" w:hAnsi="Century Gothic"/>
          <w:sz w:val="13"/>
          <w:szCs w:val="13"/>
        </w:rPr>
        <w:t xml:space="preserve"> in August 2019</w:t>
      </w:r>
      <w:r w:rsidR="004321E2" w:rsidRPr="00730C0D">
        <w:rPr>
          <w:rFonts w:ascii="Century Gothic" w:hAnsi="Century Gothic"/>
          <w:sz w:val="13"/>
          <w:szCs w:val="13"/>
        </w:rPr>
        <w:t>)</w:t>
      </w:r>
      <w:r w:rsidRPr="00730C0D">
        <w:rPr>
          <w:rFonts w:ascii="Century Gothic" w:hAnsi="Century Gothic"/>
          <w:sz w:val="13"/>
          <w:szCs w:val="13"/>
        </w:rPr>
        <w:t>.</w:t>
      </w:r>
      <w:r w:rsidRPr="00730C0D">
        <w:rPr>
          <w:rFonts w:ascii="Century Gothic" w:hAnsi="Century Gothic"/>
          <w:sz w:val="13"/>
          <w:szCs w:val="13"/>
        </w:rPr>
        <w:br/>
        <w:t xml:space="preserve">(Source: Tertiary Education Quality and Standards Agency (TEQSA). (2018). </w:t>
      </w:r>
      <w:r w:rsidRPr="00730C0D">
        <w:rPr>
          <w:rFonts w:ascii="Century Gothic" w:hAnsi="Century Gothic"/>
          <w:i/>
          <w:sz w:val="13"/>
          <w:szCs w:val="13"/>
          <w:lang w:val="en"/>
        </w:rPr>
        <w:t>Statistics Report on TEQSA Registered Higher Education Providers 2018</w:t>
      </w:r>
      <w:r w:rsidRPr="00730C0D">
        <w:rPr>
          <w:rFonts w:ascii="Century Gothic" w:hAnsi="Century Gothic"/>
          <w:sz w:val="13"/>
          <w:szCs w:val="13"/>
          <w:lang w:val="en"/>
        </w:rPr>
        <w:t xml:space="preserve">. p.7. Retrieved from: </w:t>
      </w:r>
      <w:hyperlink r:id="rId31" w:history="1">
        <w:r w:rsidRPr="00730C0D">
          <w:rPr>
            <w:rStyle w:val="Hyperlink"/>
            <w:rFonts w:ascii="Century Gothic" w:hAnsi="Century Gothic"/>
            <w:sz w:val="13"/>
            <w:szCs w:val="13"/>
            <w:lang w:val="en"/>
          </w:rPr>
          <w:t>https://www.teqsa.gov.au/latest-news/publications/statistics-report-teqsa-registered-higher-education-providers-2018</w:t>
        </w:r>
      </w:hyperlink>
      <w:r w:rsidRPr="00730C0D">
        <w:rPr>
          <w:rFonts w:ascii="Century Gothic" w:hAnsi="Century Gothic"/>
          <w:sz w:val="13"/>
          <w:szCs w:val="13"/>
        </w:rPr>
        <w:t>).</w:t>
      </w:r>
    </w:p>
    <w:p w14:paraId="1A32EEC6" w14:textId="005D196F" w:rsidR="00AC7D05" w:rsidRPr="00730C0D" w:rsidRDefault="00AC7D05" w:rsidP="00D31B9A">
      <w:pPr>
        <w:spacing w:before="0" w:after="0"/>
        <w:rPr>
          <w:rFonts w:ascii="Century Gothic" w:hAnsi="Century Gothic"/>
          <w:sz w:val="20"/>
          <w:szCs w:val="20"/>
        </w:rPr>
      </w:pPr>
    </w:p>
    <w:p w14:paraId="0FCD4F8E" w14:textId="77777777" w:rsidR="00B84953" w:rsidRPr="00730C0D" w:rsidRDefault="00B84953" w:rsidP="00D31B9A">
      <w:pPr>
        <w:spacing w:before="0" w:after="0"/>
        <w:rPr>
          <w:rFonts w:ascii="Century Gothic" w:hAnsi="Century Gothic"/>
          <w:sz w:val="20"/>
          <w:szCs w:val="20"/>
        </w:rPr>
      </w:pPr>
    </w:p>
    <w:p w14:paraId="2EFEF22E" w14:textId="41BDD5EB" w:rsidR="00AC7D05" w:rsidRPr="00730C0D" w:rsidRDefault="00A908AB" w:rsidP="00D31B9A">
      <w:pPr>
        <w:spacing w:before="0" w:after="0"/>
        <w:rPr>
          <w:rFonts w:ascii="Century Gothic" w:hAnsi="Century Gothic"/>
          <w:sz w:val="20"/>
          <w:szCs w:val="20"/>
        </w:rPr>
      </w:pPr>
      <w:r w:rsidRPr="00730C0D">
        <w:rPr>
          <w:rFonts w:ascii="Century Gothic" w:hAnsi="Century Gothic"/>
          <w:sz w:val="20"/>
          <w:szCs w:val="20"/>
        </w:rPr>
        <w:t>P</w:t>
      </w:r>
      <w:r w:rsidR="00AC7D05" w:rsidRPr="00730C0D">
        <w:rPr>
          <w:rFonts w:ascii="Century Gothic" w:hAnsi="Century Gothic"/>
          <w:sz w:val="20"/>
          <w:szCs w:val="20"/>
        </w:rPr>
        <w:t xml:space="preserve">roviders in the </w:t>
      </w:r>
      <w:r w:rsidR="00AF7E44" w:rsidRPr="00730C0D">
        <w:rPr>
          <w:rFonts w:ascii="Century Gothic" w:hAnsi="Century Gothic"/>
          <w:noProof/>
          <w:sz w:val="20"/>
          <w:szCs w:val="20"/>
        </w:rPr>
        <w:t>u</w:t>
      </w:r>
      <w:r w:rsidR="00AC7D05" w:rsidRPr="00730C0D">
        <w:rPr>
          <w:rFonts w:ascii="Century Gothic" w:hAnsi="Century Gothic"/>
          <w:noProof/>
          <w:sz w:val="20"/>
          <w:szCs w:val="20"/>
        </w:rPr>
        <w:t>niversity</w:t>
      </w:r>
      <w:r w:rsidR="00AC7D05" w:rsidRPr="00730C0D">
        <w:rPr>
          <w:rFonts w:ascii="Century Gothic" w:hAnsi="Century Gothic"/>
          <w:sz w:val="20"/>
          <w:szCs w:val="20"/>
        </w:rPr>
        <w:t xml:space="preserve"> categories include:</w:t>
      </w:r>
    </w:p>
    <w:p w14:paraId="059D96CC" w14:textId="3D2211E0" w:rsidR="00AC7D05" w:rsidRPr="00730C0D" w:rsidRDefault="00AC7D05" w:rsidP="0024520B">
      <w:pPr>
        <w:pStyle w:val="ListParagraph"/>
        <w:numPr>
          <w:ilvl w:val="0"/>
          <w:numId w:val="40"/>
        </w:numPr>
        <w:spacing w:before="0" w:after="0"/>
        <w:rPr>
          <w:rFonts w:ascii="Century Gothic" w:hAnsi="Century Gothic"/>
          <w:sz w:val="20"/>
          <w:szCs w:val="20"/>
        </w:rPr>
      </w:pPr>
      <w:r w:rsidRPr="00730C0D">
        <w:rPr>
          <w:rFonts w:ascii="Century Gothic" w:hAnsi="Century Gothic"/>
          <w:sz w:val="20"/>
          <w:szCs w:val="20"/>
        </w:rPr>
        <w:t>37 public universities</w:t>
      </w:r>
      <w:r w:rsidR="006214C6" w:rsidRPr="00730C0D">
        <w:rPr>
          <w:rFonts w:ascii="Century Gothic" w:hAnsi="Century Gothic"/>
          <w:sz w:val="20"/>
          <w:szCs w:val="20"/>
        </w:rPr>
        <w:t>;</w:t>
      </w:r>
    </w:p>
    <w:p w14:paraId="09AEB98C" w14:textId="4AB93073" w:rsidR="00AC7D05" w:rsidRPr="00730C0D" w:rsidRDefault="00CD16D6" w:rsidP="0024520B">
      <w:pPr>
        <w:pStyle w:val="ListParagraph"/>
        <w:numPr>
          <w:ilvl w:val="0"/>
          <w:numId w:val="39"/>
        </w:numPr>
        <w:spacing w:before="0" w:after="0"/>
        <w:rPr>
          <w:rFonts w:ascii="Century Gothic" w:hAnsi="Century Gothic"/>
          <w:sz w:val="20"/>
          <w:szCs w:val="20"/>
        </w:rPr>
      </w:pPr>
      <w:r w:rsidRPr="00730C0D">
        <w:rPr>
          <w:rFonts w:ascii="Century Gothic" w:hAnsi="Century Gothic"/>
          <w:sz w:val="20"/>
          <w:szCs w:val="20"/>
        </w:rPr>
        <w:t>two</w:t>
      </w:r>
      <w:r w:rsidR="00AC7D05" w:rsidRPr="00730C0D">
        <w:rPr>
          <w:rFonts w:ascii="Century Gothic" w:hAnsi="Century Gothic"/>
          <w:sz w:val="20"/>
          <w:szCs w:val="20"/>
        </w:rPr>
        <w:t xml:space="preserve"> private not-for-profit universities (University of Notre Dame Australia</w:t>
      </w:r>
      <w:r w:rsidR="00C34CD0">
        <w:rPr>
          <w:rFonts w:ascii="Century Gothic" w:hAnsi="Century Gothic"/>
          <w:sz w:val="20"/>
          <w:szCs w:val="20"/>
        </w:rPr>
        <w:t xml:space="preserve"> and Bond University</w:t>
      </w:r>
      <w:r w:rsidR="00AC7D05" w:rsidRPr="00730C0D">
        <w:rPr>
          <w:rFonts w:ascii="Century Gothic" w:hAnsi="Century Gothic"/>
          <w:sz w:val="20"/>
          <w:szCs w:val="20"/>
        </w:rPr>
        <w:t>)</w:t>
      </w:r>
      <w:r w:rsidR="006214C6" w:rsidRPr="00730C0D">
        <w:rPr>
          <w:rFonts w:ascii="Century Gothic" w:hAnsi="Century Gothic"/>
          <w:sz w:val="20"/>
          <w:szCs w:val="20"/>
        </w:rPr>
        <w:t>;</w:t>
      </w:r>
    </w:p>
    <w:p w14:paraId="0F10F47F" w14:textId="53792599" w:rsidR="00AC7D05" w:rsidRPr="00730C0D" w:rsidRDefault="00CD16D6" w:rsidP="0024520B">
      <w:pPr>
        <w:pStyle w:val="ListParagraph"/>
        <w:numPr>
          <w:ilvl w:val="0"/>
          <w:numId w:val="39"/>
        </w:numPr>
        <w:spacing w:before="0" w:after="0"/>
        <w:rPr>
          <w:rFonts w:ascii="Century Gothic" w:hAnsi="Century Gothic"/>
          <w:sz w:val="20"/>
          <w:szCs w:val="20"/>
        </w:rPr>
      </w:pPr>
      <w:r w:rsidRPr="00730C0D">
        <w:rPr>
          <w:rFonts w:ascii="Century Gothic" w:hAnsi="Century Gothic"/>
          <w:sz w:val="20"/>
          <w:szCs w:val="20"/>
        </w:rPr>
        <w:t>one</w:t>
      </w:r>
      <w:r w:rsidR="00AC7D05" w:rsidRPr="00730C0D">
        <w:rPr>
          <w:rFonts w:ascii="Century Gothic" w:hAnsi="Century Gothic"/>
          <w:sz w:val="20"/>
          <w:szCs w:val="20"/>
        </w:rPr>
        <w:t xml:space="preserve"> for-profit university (Torrens University</w:t>
      </w:r>
      <w:r w:rsidR="00C510CC" w:rsidRPr="00730C0D">
        <w:rPr>
          <w:rFonts w:ascii="Century Gothic" w:hAnsi="Century Gothic"/>
          <w:sz w:val="20"/>
          <w:szCs w:val="20"/>
        </w:rPr>
        <w:t xml:space="preserve"> Australia</w:t>
      </w:r>
      <w:r w:rsidR="00AC7D05" w:rsidRPr="00730C0D">
        <w:rPr>
          <w:rFonts w:ascii="Century Gothic" w:hAnsi="Century Gothic"/>
          <w:sz w:val="20"/>
          <w:szCs w:val="20"/>
        </w:rPr>
        <w:t>)</w:t>
      </w:r>
      <w:r w:rsidR="006214C6" w:rsidRPr="00730C0D">
        <w:rPr>
          <w:rFonts w:ascii="Century Gothic" w:hAnsi="Century Gothic"/>
          <w:sz w:val="20"/>
          <w:szCs w:val="20"/>
        </w:rPr>
        <w:t>;</w:t>
      </w:r>
    </w:p>
    <w:p w14:paraId="18806E4D" w14:textId="7EDB2CC5" w:rsidR="00AC7D05" w:rsidRPr="00730C0D" w:rsidRDefault="00CD16D6" w:rsidP="0024520B">
      <w:pPr>
        <w:pStyle w:val="ListParagraph"/>
        <w:numPr>
          <w:ilvl w:val="0"/>
          <w:numId w:val="39"/>
        </w:numPr>
        <w:spacing w:before="0" w:after="0"/>
        <w:rPr>
          <w:rFonts w:ascii="Century Gothic" w:hAnsi="Century Gothic"/>
          <w:sz w:val="20"/>
          <w:szCs w:val="20"/>
        </w:rPr>
      </w:pPr>
      <w:r w:rsidRPr="00730C0D">
        <w:rPr>
          <w:rFonts w:ascii="Century Gothic" w:hAnsi="Century Gothic"/>
          <w:sz w:val="20"/>
          <w:szCs w:val="20"/>
        </w:rPr>
        <w:t>one</w:t>
      </w:r>
      <w:r w:rsidR="00AC7D05" w:rsidRPr="00730C0D">
        <w:rPr>
          <w:rFonts w:ascii="Century Gothic" w:hAnsi="Century Gothic"/>
          <w:sz w:val="20"/>
          <w:szCs w:val="20"/>
        </w:rPr>
        <w:t xml:space="preserve"> </w:t>
      </w:r>
      <w:r w:rsidR="00C510CC" w:rsidRPr="00730C0D">
        <w:rPr>
          <w:rFonts w:ascii="Century Gothic" w:hAnsi="Century Gothic"/>
          <w:sz w:val="20"/>
          <w:szCs w:val="20"/>
        </w:rPr>
        <w:t>university of specialisation</w:t>
      </w:r>
      <w:r w:rsidR="00AC7D05" w:rsidRPr="00730C0D">
        <w:rPr>
          <w:rFonts w:ascii="Century Gothic" w:hAnsi="Century Gothic"/>
          <w:sz w:val="20"/>
          <w:szCs w:val="20"/>
        </w:rPr>
        <w:t xml:space="preserve"> (University of Divinity)</w:t>
      </w:r>
      <w:r w:rsidR="006214C6" w:rsidRPr="00730C0D">
        <w:rPr>
          <w:rFonts w:ascii="Century Gothic" w:hAnsi="Century Gothic"/>
          <w:sz w:val="20"/>
          <w:szCs w:val="20"/>
        </w:rPr>
        <w:t>;</w:t>
      </w:r>
    </w:p>
    <w:p w14:paraId="471E5161" w14:textId="087042EF" w:rsidR="00C510CC" w:rsidRPr="00730C0D" w:rsidRDefault="00CD16D6" w:rsidP="0024520B">
      <w:pPr>
        <w:pStyle w:val="ListParagraph"/>
        <w:numPr>
          <w:ilvl w:val="0"/>
          <w:numId w:val="39"/>
        </w:numPr>
        <w:spacing w:before="0" w:after="0"/>
        <w:rPr>
          <w:rFonts w:ascii="Century Gothic" w:hAnsi="Century Gothic"/>
          <w:sz w:val="20"/>
          <w:szCs w:val="20"/>
        </w:rPr>
      </w:pPr>
      <w:r w:rsidRPr="00730C0D">
        <w:rPr>
          <w:rFonts w:ascii="Century Gothic" w:hAnsi="Century Gothic"/>
          <w:sz w:val="20"/>
          <w:szCs w:val="20"/>
        </w:rPr>
        <w:t>two</w:t>
      </w:r>
      <w:r w:rsidR="00AC7D05" w:rsidRPr="00730C0D">
        <w:rPr>
          <w:rFonts w:ascii="Century Gothic" w:hAnsi="Century Gothic"/>
          <w:sz w:val="20"/>
          <w:szCs w:val="20"/>
        </w:rPr>
        <w:t xml:space="preserve"> </w:t>
      </w:r>
      <w:r w:rsidR="00C510CC" w:rsidRPr="00730C0D">
        <w:rPr>
          <w:rFonts w:ascii="Century Gothic" w:hAnsi="Century Gothic"/>
          <w:sz w:val="20"/>
          <w:szCs w:val="20"/>
        </w:rPr>
        <w:t xml:space="preserve">overseas universities </w:t>
      </w:r>
      <w:r w:rsidR="00AC7D05" w:rsidRPr="00730C0D">
        <w:rPr>
          <w:rFonts w:ascii="Century Gothic" w:hAnsi="Century Gothic"/>
          <w:sz w:val="20"/>
          <w:szCs w:val="20"/>
        </w:rPr>
        <w:t xml:space="preserve">(Carnegie Mellon University and University College London, although the latter </w:t>
      </w:r>
      <w:r w:rsidR="006214C6" w:rsidRPr="00730C0D">
        <w:rPr>
          <w:rFonts w:ascii="Century Gothic" w:hAnsi="Century Gothic"/>
          <w:sz w:val="20"/>
          <w:szCs w:val="20"/>
        </w:rPr>
        <w:t>neither</w:t>
      </w:r>
      <w:r w:rsidR="00AC7D05" w:rsidRPr="00730C0D">
        <w:rPr>
          <w:rFonts w:ascii="Century Gothic" w:hAnsi="Century Gothic"/>
          <w:sz w:val="20"/>
          <w:szCs w:val="20"/>
        </w:rPr>
        <w:t xml:space="preserve"> has a dedicated campus nor offers courses in Australia)</w:t>
      </w:r>
      <w:r w:rsidR="006214C6" w:rsidRPr="00730C0D">
        <w:rPr>
          <w:rFonts w:ascii="Century Gothic" w:hAnsi="Century Gothic"/>
          <w:sz w:val="20"/>
          <w:szCs w:val="20"/>
        </w:rPr>
        <w:t>;</w:t>
      </w:r>
    </w:p>
    <w:p w14:paraId="1214425D" w14:textId="436AE56B" w:rsidR="00AC7D05" w:rsidRPr="00730C0D" w:rsidRDefault="00C510CC" w:rsidP="0024520B">
      <w:pPr>
        <w:pStyle w:val="ListParagraph"/>
        <w:numPr>
          <w:ilvl w:val="0"/>
          <w:numId w:val="39"/>
        </w:numPr>
        <w:spacing w:before="0" w:after="0"/>
        <w:rPr>
          <w:rFonts w:ascii="Century Gothic" w:hAnsi="Century Gothic"/>
          <w:sz w:val="20"/>
          <w:szCs w:val="20"/>
        </w:rPr>
      </w:pPr>
      <w:r w:rsidRPr="00730C0D">
        <w:rPr>
          <w:rFonts w:ascii="Century Gothic" w:hAnsi="Century Gothic"/>
          <w:sz w:val="20"/>
          <w:szCs w:val="20"/>
        </w:rPr>
        <w:t>one university college (Avondale College of Higher Education);</w:t>
      </w:r>
      <w:r w:rsidR="006214C6" w:rsidRPr="00730C0D">
        <w:rPr>
          <w:rFonts w:ascii="Century Gothic" w:hAnsi="Century Gothic"/>
          <w:sz w:val="20"/>
          <w:szCs w:val="20"/>
        </w:rPr>
        <w:t xml:space="preserve"> and</w:t>
      </w:r>
    </w:p>
    <w:p w14:paraId="11DEE931" w14:textId="11030C6C" w:rsidR="00FF6A89" w:rsidRPr="00730C0D" w:rsidRDefault="00C510CC" w:rsidP="0024520B">
      <w:pPr>
        <w:pStyle w:val="ListParagraph"/>
        <w:numPr>
          <w:ilvl w:val="0"/>
          <w:numId w:val="39"/>
        </w:numPr>
        <w:spacing w:before="0" w:after="0"/>
        <w:rPr>
          <w:rFonts w:ascii="Century Gothic" w:hAnsi="Century Gothic"/>
          <w:sz w:val="20"/>
          <w:szCs w:val="20"/>
        </w:rPr>
      </w:pPr>
      <w:r w:rsidRPr="00730C0D">
        <w:rPr>
          <w:rFonts w:ascii="Century Gothic" w:hAnsi="Century Gothic"/>
          <w:sz w:val="20"/>
          <w:szCs w:val="20"/>
        </w:rPr>
        <w:t xml:space="preserve">zero </w:t>
      </w:r>
      <w:r w:rsidR="009B14A5" w:rsidRPr="00730C0D">
        <w:rPr>
          <w:rFonts w:ascii="Century Gothic" w:hAnsi="Century Gothic"/>
          <w:sz w:val="20"/>
          <w:szCs w:val="20"/>
        </w:rPr>
        <w:t xml:space="preserve">overseas universities of specialisation. </w:t>
      </w:r>
      <w:r w:rsidR="00A908AB" w:rsidRPr="00730C0D">
        <w:rPr>
          <w:rFonts w:ascii="Century Gothic" w:hAnsi="Century Gothic"/>
          <w:sz w:val="20"/>
          <w:szCs w:val="20"/>
        </w:rPr>
        <w:t xml:space="preserve"> </w:t>
      </w:r>
    </w:p>
    <w:p w14:paraId="42DFF378" w14:textId="77777777" w:rsidR="00F83438" w:rsidRPr="00730C0D" w:rsidRDefault="00F83438" w:rsidP="00F83438">
      <w:pPr>
        <w:pStyle w:val="ListParagraph"/>
        <w:spacing w:before="0" w:after="0"/>
        <w:rPr>
          <w:rFonts w:ascii="Century Gothic" w:hAnsi="Century Gothic"/>
          <w:sz w:val="20"/>
          <w:szCs w:val="20"/>
        </w:rPr>
      </w:pPr>
    </w:p>
    <w:p w14:paraId="54DF6D32" w14:textId="026708DA"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Providers in the ‘Higher Education Provider’ category are diverse in their characteristics. </w:t>
      </w:r>
      <w:r w:rsidR="00C34CD0">
        <w:rPr>
          <w:rFonts w:ascii="Century Gothic" w:hAnsi="Century Gothic"/>
          <w:sz w:val="20"/>
          <w:szCs w:val="20"/>
        </w:rPr>
        <w:br/>
      </w:r>
      <w:r w:rsidRPr="00730C0D">
        <w:rPr>
          <w:rFonts w:ascii="Century Gothic" w:hAnsi="Century Gothic"/>
          <w:sz w:val="20"/>
          <w:szCs w:val="20"/>
        </w:rPr>
        <w:t>They vary in size and disciplines offered, from very small niche providers to larger providers with breadth of offerings. Providers in this category include:</w:t>
      </w:r>
    </w:p>
    <w:p w14:paraId="1A6CFF04" w14:textId="3D0037D1" w:rsidR="00AC7D05" w:rsidRPr="00730C0D" w:rsidRDefault="00AC7D05" w:rsidP="0024520B">
      <w:pPr>
        <w:pStyle w:val="ListParagraph"/>
        <w:numPr>
          <w:ilvl w:val="0"/>
          <w:numId w:val="41"/>
        </w:numPr>
        <w:spacing w:before="0" w:after="0"/>
        <w:rPr>
          <w:rFonts w:ascii="Century Gothic" w:hAnsi="Century Gothic"/>
          <w:sz w:val="20"/>
          <w:szCs w:val="20"/>
        </w:rPr>
      </w:pPr>
      <w:r w:rsidRPr="00730C0D">
        <w:rPr>
          <w:rFonts w:ascii="Century Gothic" w:hAnsi="Century Gothic"/>
          <w:sz w:val="20"/>
          <w:szCs w:val="20"/>
        </w:rPr>
        <w:t xml:space="preserve">not-for-profit providers including semi-autonomous </w:t>
      </w:r>
      <w:r w:rsidR="00A86229" w:rsidRPr="00730C0D">
        <w:rPr>
          <w:rFonts w:ascii="Century Gothic" w:hAnsi="Century Gothic"/>
          <w:sz w:val="20"/>
          <w:szCs w:val="20"/>
        </w:rPr>
        <w:t xml:space="preserve">Government </w:t>
      </w:r>
      <w:r w:rsidRPr="00730C0D">
        <w:rPr>
          <w:rFonts w:ascii="Century Gothic" w:hAnsi="Century Gothic"/>
          <w:sz w:val="20"/>
          <w:szCs w:val="20"/>
        </w:rPr>
        <w:t>bodies</w:t>
      </w:r>
      <w:r w:rsidR="006214C6" w:rsidRPr="00730C0D">
        <w:rPr>
          <w:rFonts w:ascii="Century Gothic" w:hAnsi="Century Gothic"/>
          <w:sz w:val="20"/>
          <w:szCs w:val="20"/>
        </w:rPr>
        <w:t>;</w:t>
      </w:r>
    </w:p>
    <w:p w14:paraId="6579DD36" w14:textId="34E5F9CF" w:rsidR="00AC7D05" w:rsidRPr="00730C0D" w:rsidRDefault="00AC7D05" w:rsidP="0024520B">
      <w:pPr>
        <w:pStyle w:val="ListParagraph"/>
        <w:numPr>
          <w:ilvl w:val="0"/>
          <w:numId w:val="41"/>
        </w:numPr>
        <w:spacing w:before="0" w:after="0"/>
        <w:rPr>
          <w:rFonts w:ascii="Century Gothic" w:hAnsi="Century Gothic"/>
          <w:sz w:val="20"/>
          <w:szCs w:val="20"/>
        </w:rPr>
      </w:pPr>
      <w:r w:rsidRPr="00730C0D">
        <w:rPr>
          <w:rFonts w:ascii="Century Gothic" w:hAnsi="Century Gothic"/>
          <w:sz w:val="20"/>
          <w:szCs w:val="20"/>
        </w:rPr>
        <w:t xml:space="preserve">for-profit </w:t>
      </w:r>
      <w:r w:rsidR="00A86229" w:rsidRPr="00730C0D">
        <w:rPr>
          <w:rFonts w:ascii="Century Gothic" w:hAnsi="Century Gothic"/>
          <w:sz w:val="20"/>
          <w:szCs w:val="20"/>
        </w:rPr>
        <w:t>providers</w:t>
      </w:r>
      <w:r w:rsidRPr="00730C0D">
        <w:rPr>
          <w:rFonts w:ascii="Century Gothic" w:hAnsi="Century Gothic"/>
          <w:sz w:val="20"/>
          <w:szCs w:val="20"/>
        </w:rPr>
        <w:t xml:space="preserve"> (either Australian or overseas</w:t>
      </w:r>
      <w:r w:rsidRPr="00730C0D">
        <w:rPr>
          <w:rFonts w:ascii="Century Gothic" w:hAnsi="Century Gothic"/>
          <w:sz w:val="20"/>
          <w:szCs w:val="20"/>
        </w:rPr>
        <w:noBreakHyphen/>
        <w:t>own</w:t>
      </w:r>
      <w:r w:rsidR="00A86229" w:rsidRPr="00730C0D">
        <w:rPr>
          <w:rFonts w:ascii="Century Gothic" w:hAnsi="Century Gothic"/>
          <w:sz w:val="20"/>
          <w:szCs w:val="20"/>
        </w:rPr>
        <w:t>ed</w:t>
      </w:r>
      <w:r w:rsidRPr="00730C0D">
        <w:rPr>
          <w:rFonts w:ascii="Century Gothic" w:hAnsi="Century Gothic"/>
          <w:sz w:val="20"/>
          <w:szCs w:val="20"/>
        </w:rPr>
        <w:t>)</w:t>
      </w:r>
      <w:r w:rsidR="00A86229" w:rsidRPr="00730C0D">
        <w:rPr>
          <w:rFonts w:ascii="Century Gothic" w:hAnsi="Century Gothic"/>
          <w:sz w:val="20"/>
          <w:szCs w:val="20"/>
        </w:rPr>
        <w:t>, some with related vocational education and training (VET) provider companies</w:t>
      </w:r>
      <w:r w:rsidR="006214C6" w:rsidRPr="00730C0D">
        <w:rPr>
          <w:rFonts w:ascii="Century Gothic" w:hAnsi="Century Gothic"/>
          <w:sz w:val="20"/>
          <w:szCs w:val="20"/>
        </w:rPr>
        <w:t>;</w:t>
      </w:r>
    </w:p>
    <w:p w14:paraId="0F284E8A" w14:textId="75AD5768" w:rsidR="00AC7D05" w:rsidRPr="00730C0D" w:rsidRDefault="00AC7D05" w:rsidP="0024520B">
      <w:pPr>
        <w:pStyle w:val="ListParagraph"/>
        <w:numPr>
          <w:ilvl w:val="0"/>
          <w:numId w:val="41"/>
        </w:numPr>
        <w:spacing w:before="0" w:after="0"/>
        <w:rPr>
          <w:rFonts w:ascii="Century Gothic" w:hAnsi="Century Gothic"/>
          <w:sz w:val="20"/>
          <w:szCs w:val="20"/>
        </w:rPr>
      </w:pPr>
      <w:r w:rsidRPr="00730C0D">
        <w:rPr>
          <w:rFonts w:ascii="Century Gothic" w:hAnsi="Century Gothic"/>
          <w:sz w:val="20"/>
          <w:szCs w:val="20"/>
        </w:rPr>
        <w:t xml:space="preserve">Technical and Further Education (TAFE) providers, where they offer higher education </w:t>
      </w:r>
      <w:r w:rsidR="00C510CC" w:rsidRPr="00730C0D">
        <w:rPr>
          <w:rFonts w:ascii="Century Gothic" w:hAnsi="Century Gothic"/>
          <w:sz w:val="20"/>
          <w:szCs w:val="20"/>
        </w:rPr>
        <w:t>qualifications</w:t>
      </w:r>
      <w:r w:rsidR="006214C6" w:rsidRPr="00730C0D">
        <w:rPr>
          <w:rFonts w:ascii="Century Gothic" w:hAnsi="Century Gothic"/>
          <w:sz w:val="20"/>
          <w:szCs w:val="20"/>
        </w:rPr>
        <w:t>;</w:t>
      </w:r>
    </w:p>
    <w:p w14:paraId="1859C985" w14:textId="323A17C0" w:rsidR="00AC7D05" w:rsidRPr="00730C0D" w:rsidRDefault="00AC7D05" w:rsidP="0024520B">
      <w:pPr>
        <w:pStyle w:val="ListParagraph"/>
        <w:numPr>
          <w:ilvl w:val="0"/>
          <w:numId w:val="41"/>
        </w:numPr>
        <w:spacing w:before="0" w:after="0"/>
        <w:rPr>
          <w:rFonts w:ascii="Century Gothic" w:hAnsi="Century Gothic"/>
          <w:sz w:val="20"/>
          <w:szCs w:val="20"/>
        </w:rPr>
      </w:pPr>
      <w:r w:rsidRPr="00730C0D">
        <w:rPr>
          <w:rFonts w:ascii="Century Gothic" w:hAnsi="Century Gothic"/>
          <w:sz w:val="20"/>
          <w:szCs w:val="20"/>
        </w:rPr>
        <w:t xml:space="preserve">faith-based colleges, some of which are standalone and others </w:t>
      </w:r>
      <w:r w:rsidR="00A86229" w:rsidRPr="00730C0D">
        <w:rPr>
          <w:rFonts w:ascii="Century Gothic" w:hAnsi="Century Gothic"/>
          <w:sz w:val="20"/>
          <w:szCs w:val="20"/>
        </w:rPr>
        <w:t xml:space="preserve">which are </w:t>
      </w:r>
      <w:r w:rsidRPr="00730C0D">
        <w:rPr>
          <w:rFonts w:ascii="Century Gothic" w:hAnsi="Century Gothic"/>
          <w:sz w:val="20"/>
          <w:szCs w:val="20"/>
        </w:rPr>
        <w:t>affiliated in a</w:t>
      </w:r>
      <w:r w:rsidR="00A051C9" w:rsidRPr="00730C0D">
        <w:rPr>
          <w:rFonts w:ascii="Century Gothic" w:hAnsi="Century Gothic"/>
          <w:sz w:val="20"/>
          <w:szCs w:val="20"/>
        </w:rPr>
        <w:t> </w:t>
      </w:r>
      <w:r w:rsidRPr="00730C0D">
        <w:rPr>
          <w:rFonts w:ascii="Century Gothic" w:hAnsi="Century Gothic"/>
          <w:sz w:val="20"/>
          <w:szCs w:val="20"/>
        </w:rPr>
        <w:t>consortium</w:t>
      </w:r>
      <w:r w:rsidR="006214C6" w:rsidRPr="00730C0D">
        <w:rPr>
          <w:rFonts w:ascii="Century Gothic" w:hAnsi="Century Gothic"/>
          <w:sz w:val="20"/>
          <w:szCs w:val="20"/>
        </w:rPr>
        <w:t>;</w:t>
      </w:r>
    </w:p>
    <w:p w14:paraId="4794AE6F" w14:textId="15FF2F7D" w:rsidR="00AC7D05" w:rsidRPr="00730C0D" w:rsidRDefault="00AC7D05" w:rsidP="0024520B">
      <w:pPr>
        <w:pStyle w:val="ListParagraph"/>
        <w:numPr>
          <w:ilvl w:val="0"/>
          <w:numId w:val="41"/>
        </w:numPr>
        <w:spacing w:before="0" w:after="0"/>
        <w:rPr>
          <w:rFonts w:ascii="Century Gothic" w:hAnsi="Century Gothic"/>
          <w:sz w:val="20"/>
          <w:szCs w:val="20"/>
        </w:rPr>
      </w:pPr>
      <w:r w:rsidRPr="00730C0D">
        <w:rPr>
          <w:rFonts w:ascii="Century Gothic" w:hAnsi="Century Gothic"/>
          <w:sz w:val="20"/>
          <w:szCs w:val="20"/>
        </w:rPr>
        <w:t xml:space="preserve">providers that specialise in one </w:t>
      </w:r>
      <w:r w:rsidR="000F2E1E" w:rsidRPr="00730C0D">
        <w:rPr>
          <w:rFonts w:ascii="Century Gothic" w:hAnsi="Century Gothic"/>
          <w:sz w:val="20"/>
          <w:szCs w:val="20"/>
        </w:rPr>
        <w:t>field</w:t>
      </w:r>
      <w:r w:rsidRPr="00730C0D">
        <w:rPr>
          <w:rFonts w:ascii="Century Gothic" w:hAnsi="Century Gothic"/>
          <w:sz w:val="20"/>
          <w:szCs w:val="20"/>
        </w:rPr>
        <w:t xml:space="preserve"> of education and providers that have multiple fields of education</w:t>
      </w:r>
      <w:r w:rsidR="006214C6" w:rsidRPr="00730C0D">
        <w:rPr>
          <w:rFonts w:ascii="Century Gothic" w:hAnsi="Century Gothic"/>
          <w:sz w:val="20"/>
          <w:szCs w:val="20"/>
        </w:rPr>
        <w:t>;</w:t>
      </w:r>
    </w:p>
    <w:p w14:paraId="5FEFE55C" w14:textId="5426E4C9" w:rsidR="00AC7D05" w:rsidRPr="00730C0D" w:rsidRDefault="00631EF0" w:rsidP="0024520B">
      <w:pPr>
        <w:pStyle w:val="ListParagraph"/>
        <w:numPr>
          <w:ilvl w:val="0"/>
          <w:numId w:val="41"/>
        </w:numPr>
        <w:spacing w:before="0" w:after="0"/>
        <w:rPr>
          <w:rFonts w:ascii="Century Gothic" w:hAnsi="Century Gothic"/>
          <w:sz w:val="20"/>
          <w:szCs w:val="20"/>
        </w:rPr>
      </w:pPr>
      <w:r w:rsidRPr="00730C0D">
        <w:rPr>
          <w:rFonts w:ascii="Century Gothic" w:hAnsi="Century Gothic"/>
          <w:sz w:val="20"/>
          <w:szCs w:val="20"/>
        </w:rPr>
        <w:t xml:space="preserve">predominantly </w:t>
      </w:r>
      <w:r w:rsidR="00AC7D05" w:rsidRPr="00730C0D">
        <w:rPr>
          <w:rFonts w:ascii="Century Gothic" w:hAnsi="Century Gothic"/>
          <w:sz w:val="20"/>
          <w:szCs w:val="20"/>
        </w:rPr>
        <w:t>online providers</w:t>
      </w:r>
      <w:r w:rsidR="006214C6" w:rsidRPr="00730C0D">
        <w:rPr>
          <w:rFonts w:ascii="Century Gothic" w:hAnsi="Century Gothic"/>
          <w:sz w:val="20"/>
          <w:szCs w:val="20"/>
        </w:rPr>
        <w:t>; and</w:t>
      </w:r>
    </w:p>
    <w:p w14:paraId="10C2F90B" w14:textId="6C04AB03" w:rsidR="00AC7D05" w:rsidRPr="00730C0D" w:rsidRDefault="00FD399C" w:rsidP="0024520B">
      <w:pPr>
        <w:pStyle w:val="ListParagraph"/>
        <w:numPr>
          <w:ilvl w:val="0"/>
          <w:numId w:val="41"/>
        </w:numPr>
        <w:spacing w:before="0" w:after="0"/>
        <w:rPr>
          <w:rFonts w:ascii="Century Gothic" w:hAnsi="Century Gothic"/>
          <w:sz w:val="20"/>
          <w:szCs w:val="20"/>
        </w:rPr>
      </w:pPr>
      <w:r>
        <w:rPr>
          <w:rFonts w:ascii="Century Gothic" w:hAnsi="Century Gothic"/>
          <w:sz w:val="20"/>
          <w:szCs w:val="20"/>
        </w:rPr>
        <w:t>providers that offer AQF L</w:t>
      </w:r>
      <w:r w:rsidR="00A86229" w:rsidRPr="00730C0D">
        <w:rPr>
          <w:rFonts w:ascii="Century Gothic" w:hAnsi="Century Gothic"/>
          <w:sz w:val="20"/>
          <w:szCs w:val="20"/>
        </w:rPr>
        <w:t xml:space="preserve">evel 5 or 6 qualifications only and have a relationship with </w:t>
      </w:r>
      <w:r w:rsidR="001F554F">
        <w:rPr>
          <w:rFonts w:ascii="Century Gothic" w:hAnsi="Century Gothic"/>
          <w:sz w:val="20"/>
          <w:szCs w:val="20"/>
        </w:rPr>
        <w:br/>
      </w:r>
      <w:r w:rsidR="00A86229" w:rsidRPr="00730C0D">
        <w:rPr>
          <w:rFonts w:ascii="Century Gothic" w:hAnsi="Century Gothic"/>
          <w:sz w:val="20"/>
          <w:szCs w:val="20"/>
        </w:rPr>
        <w:t>a university, or multiple universities, through articulation and credit recognition arrangements.</w:t>
      </w:r>
    </w:p>
    <w:p w14:paraId="4F9227DC" w14:textId="77777777" w:rsidR="006214C6" w:rsidRPr="00730C0D" w:rsidRDefault="006214C6" w:rsidP="00266D8E">
      <w:pPr>
        <w:pStyle w:val="ListParagraph"/>
        <w:spacing w:before="0" w:after="0"/>
        <w:rPr>
          <w:rFonts w:ascii="Century Gothic" w:hAnsi="Century Gothic"/>
          <w:sz w:val="20"/>
          <w:szCs w:val="20"/>
        </w:rPr>
      </w:pPr>
    </w:p>
    <w:p w14:paraId="2132921C" w14:textId="178446A2" w:rsidR="00AC7D05" w:rsidRPr="00730C0D" w:rsidRDefault="003806EF" w:rsidP="004978DA">
      <w:pPr>
        <w:pStyle w:val="Heading3"/>
      </w:pPr>
      <w:bookmarkStart w:id="29" w:name="_Toc18592317"/>
      <w:r w:rsidRPr="00730C0D">
        <w:t>1.1.5</w:t>
      </w:r>
      <w:r w:rsidRPr="00730C0D">
        <w:tab/>
      </w:r>
      <w:r w:rsidR="00AC7D05" w:rsidRPr="00730C0D">
        <w:t>International Comparison of Regulatory Categories</w:t>
      </w:r>
      <w:bookmarkEnd w:id="29"/>
      <w:r w:rsidR="00AC7D05" w:rsidRPr="00730C0D">
        <w:t xml:space="preserve"> </w:t>
      </w:r>
    </w:p>
    <w:p w14:paraId="174B25AE" w14:textId="564E0A62"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There are no clear established international norms for the categorisation of tertiary providers and</w:t>
      </w:r>
      <w:r w:rsidR="006214C6" w:rsidRPr="00730C0D">
        <w:rPr>
          <w:rFonts w:ascii="Century Gothic" w:hAnsi="Century Gothic"/>
          <w:sz w:val="20"/>
          <w:szCs w:val="20"/>
        </w:rPr>
        <w:t>,</w:t>
      </w:r>
      <w:r w:rsidRPr="00730C0D">
        <w:rPr>
          <w:rFonts w:ascii="Century Gothic" w:hAnsi="Century Gothic"/>
          <w:sz w:val="20"/>
          <w:szCs w:val="20"/>
        </w:rPr>
        <w:t xml:space="preserve"> consequently, </w:t>
      </w:r>
      <w:r w:rsidR="006214C6" w:rsidRPr="00730C0D">
        <w:rPr>
          <w:rFonts w:ascii="Century Gothic" w:hAnsi="Century Gothic"/>
          <w:sz w:val="20"/>
          <w:szCs w:val="20"/>
        </w:rPr>
        <w:t>individual countries</w:t>
      </w:r>
      <w:r w:rsidRPr="00730C0D">
        <w:rPr>
          <w:rFonts w:ascii="Century Gothic" w:hAnsi="Century Gothic"/>
          <w:sz w:val="20"/>
          <w:szCs w:val="20"/>
        </w:rPr>
        <w:t xml:space="preserve"> adopt their own approaches. Some categorisation structures </w:t>
      </w:r>
      <w:r w:rsidR="006214C6" w:rsidRPr="00730C0D">
        <w:rPr>
          <w:rFonts w:ascii="Century Gothic" w:hAnsi="Century Gothic"/>
          <w:sz w:val="20"/>
          <w:szCs w:val="20"/>
        </w:rPr>
        <w:t xml:space="preserve">which </w:t>
      </w:r>
      <w:r w:rsidRPr="00730C0D">
        <w:rPr>
          <w:rFonts w:ascii="Century Gothic" w:hAnsi="Century Gothic"/>
          <w:sz w:val="20"/>
          <w:szCs w:val="20"/>
        </w:rPr>
        <w:t xml:space="preserve">embrace a tertiary approach encompass both higher education and VET, whereas others, like Australia, focus on higher education. Some countries </w:t>
      </w:r>
      <w:r w:rsidR="006214C6" w:rsidRPr="00730C0D">
        <w:rPr>
          <w:rFonts w:ascii="Century Gothic" w:hAnsi="Century Gothic"/>
          <w:sz w:val="20"/>
          <w:szCs w:val="20"/>
        </w:rPr>
        <w:t xml:space="preserve">utilise </w:t>
      </w:r>
      <w:r w:rsidRPr="00730C0D">
        <w:rPr>
          <w:rFonts w:ascii="Century Gothic" w:hAnsi="Century Gothic"/>
          <w:sz w:val="20"/>
          <w:szCs w:val="20"/>
        </w:rPr>
        <w:t>multiple categories for universities</w:t>
      </w:r>
      <w:r w:rsidR="006214C6" w:rsidRPr="00730C0D">
        <w:rPr>
          <w:rFonts w:ascii="Century Gothic" w:hAnsi="Century Gothic"/>
          <w:sz w:val="20"/>
          <w:szCs w:val="20"/>
        </w:rPr>
        <w:t>;</w:t>
      </w:r>
      <w:r w:rsidRPr="00730C0D">
        <w:rPr>
          <w:rFonts w:ascii="Century Gothic" w:hAnsi="Century Gothic"/>
          <w:sz w:val="20"/>
          <w:szCs w:val="20"/>
        </w:rPr>
        <w:t xml:space="preserve"> others </w:t>
      </w:r>
      <w:r w:rsidR="006214C6" w:rsidRPr="00730C0D">
        <w:rPr>
          <w:rFonts w:ascii="Century Gothic" w:hAnsi="Century Gothic"/>
          <w:sz w:val="20"/>
          <w:szCs w:val="20"/>
        </w:rPr>
        <w:t xml:space="preserve">prefer just </w:t>
      </w:r>
      <w:r w:rsidRPr="00730C0D">
        <w:rPr>
          <w:rFonts w:ascii="Century Gothic" w:hAnsi="Century Gothic"/>
          <w:sz w:val="20"/>
          <w:szCs w:val="20"/>
        </w:rPr>
        <w:t xml:space="preserve">one. Some systems have categories for providers that specialise </w:t>
      </w:r>
      <w:r w:rsidR="00F83438" w:rsidRPr="00730C0D">
        <w:rPr>
          <w:rFonts w:ascii="Century Gothic" w:hAnsi="Century Gothic"/>
          <w:sz w:val="20"/>
          <w:szCs w:val="20"/>
        </w:rPr>
        <w:t>i</w:t>
      </w:r>
      <w:r w:rsidRPr="00730C0D">
        <w:rPr>
          <w:rFonts w:ascii="Century Gothic" w:hAnsi="Century Gothic"/>
          <w:sz w:val="20"/>
          <w:szCs w:val="20"/>
        </w:rPr>
        <w:t>n specific types of education such as maritime studies, military instruction</w:t>
      </w:r>
      <w:r w:rsidR="000F2E1E" w:rsidRPr="00730C0D">
        <w:rPr>
          <w:rFonts w:ascii="Century Gothic" w:hAnsi="Century Gothic"/>
          <w:sz w:val="20"/>
          <w:szCs w:val="20"/>
        </w:rPr>
        <w:t>,</w:t>
      </w:r>
      <w:r w:rsidRPr="00730C0D">
        <w:rPr>
          <w:rFonts w:ascii="Century Gothic" w:hAnsi="Century Gothic"/>
          <w:sz w:val="20"/>
          <w:szCs w:val="20"/>
        </w:rPr>
        <w:t xml:space="preserve"> </w:t>
      </w:r>
      <w:r w:rsidR="00FD399C">
        <w:rPr>
          <w:rFonts w:ascii="Century Gothic" w:hAnsi="Century Gothic"/>
          <w:sz w:val="20"/>
          <w:szCs w:val="20"/>
        </w:rPr>
        <w:br/>
      </w:r>
      <w:r w:rsidRPr="00730C0D">
        <w:rPr>
          <w:rFonts w:ascii="Century Gothic" w:hAnsi="Century Gothic"/>
          <w:sz w:val="20"/>
          <w:szCs w:val="20"/>
        </w:rPr>
        <w:t>or First Nations education</w:t>
      </w:r>
      <w:r w:rsidR="006214C6" w:rsidRPr="00730C0D">
        <w:rPr>
          <w:rFonts w:ascii="Century Gothic" w:hAnsi="Century Gothic"/>
          <w:sz w:val="20"/>
          <w:szCs w:val="20"/>
        </w:rPr>
        <w:t>;</w:t>
      </w:r>
      <w:r w:rsidRPr="00730C0D">
        <w:rPr>
          <w:rFonts w:ascii="Century Gothic" w:hAnsi="Century Gothic"/>
          <w:sz w:val="20"/>
          <w:szCs w:val="20"/>
        </w:rPr>
        <w:t xml:space="preserve"> others only have categories fo</w:t>
      </w:r>
      <w:r w:rsidR="00A051C9" w:rsidRPr="00730C0D">
        <w:rPr>
          <w:rFonts w:ascii="Century Gothic" w:hAnsi="Century Gothic"/>
          <w:sz w:val="20"/>
          <w:szCs w:val="20"/>
        </w:rPr>
        <w:t>r comprehensive providers. Some </w:t>
      </w:r>
      <w:r w:rsidRPr="00730C0D">
        <w:rPr>
          <w:rFonts w:ascii="Century Gothic" w:hAnsi="Century Gothic"/>
          <w:sz w:val="20"/>
          <w:szCs w:val="20"/>
        </w:rPr>
        <w:t xml:space="preserve">countries have systems where institutions can self-assert the ‘university’ title in the absence of regulatory authority, </w:t>
      </w:r>
      <w:r w:rsidR="006214C6" w:rsidRPr="00730C0D">
        <w:rPr>
          <w:rFonts w:ascii="Century Gothic" w:hAnsi="Century Gothic"/>
          <w:sz w:val="20"/>
          <w:szCs w:val="20"/>
        </w:rPr>
        <w:t xml:space="preserve">while </w:t>
      </w:r>
      <w:r w:rsidRPr="00730C0D">
        <w:rPr>
          <w:rFonts w:ascii="Century Gothic" w:hAnsi="Century Gothic"/>
          <w:sz w:val="20"/>
          <w:szCs w:val="20"/>
        </w:rPr>
        <w:t xml:space="preserve">others have the title granted by an education regulator or ministry of education as part of the process of classifying institutions.  </w:t>
      </w:r>
    </w:p>
    <w:p w14:paraId="189B5EDB" w14:textId="77777777" w:rsidR="00AC7D05" w:rsidRPr="00730C0D" w:rsidRDefault="00AC7D05" w:rsidP="00D31B9A">
      <w:pPr>
        <w:spacing w:before="0" w:after="0"/>
        <w:rPr>
          <w:rFonts w:ascii="Century Gothic" w:hAnsi="Century Gothic"/>
          <w:sz w:val="20"/>
          <w:szCs w:val="20"/>
        </w:rPr>
      </w:pPr>
    </w:p>
    <w:p w14:paraId="2C1C0A40" w14:textId="27026BA0"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In analysing selected systems </w:t>
      </w:r>
      <w:r w:rsidR="00D9389A" w:rsidRPr="00730C0D">
        <w:rPr>
          <w:rFonts w:ascii="Century Gothic" w:hAnsi="Century Gothic"/>
          <w:sz w:val="20"/>
          <w:szCs w:val="20"/>
        </w:rPr>
        <w:t>globally</w:t>
      </w:r>
      <w:r w:rsidRPr="00730C0D">
        <w:rPr>
          <w:rFonts w:ascii="Century Gothic" w:hAnsi="Century Gothic"/>
          <w:sz w:val="20"/>
          <w:szCs w:val="20"/>
        </w:rPr>
        <w:t>, it is interesting to note that, with six categories, Australia</w:t>
      </w:r>
      <w:r w:rsidR="00A354B2">
        <w:rPr>
          <w:rFonts w:ascii="Century Gothic" w:hAnsi="Century Gothic"/>
          <w:sz w:val="20"/>
          <w:szCs w:val="20"/>
        </w:rPr>
        <w:t xml:space="preserve"> </w:t>
      </w:r>
      <w:r w:rsidR="00A76EB6">
        <w:rPr>
          <w:rFonts w:ascii="Century Gothic" w:hAnsi="Century Gothic"/>
          <w:sz w:val="20"/>
          <w:szCs w:val="20"/>
        </w:rPr>
        <w:t>–</w:t>
      </w:r>
      <w:r w:rsidR="00A354B2">
        <w:rPr>
          <w:rFonts w:ascii="Century Gothic" w:hAnsi="Century Gothic"/>
          <w:sz w:val="20"/>
          <w:szCs w:val="20"/>
        </w:rPr>
        <w:t xml:space="preserve"> </w:t>
      </w:r>
      <w:r w:rsidR="000F2E1E" w:rsidRPr="00730C0D">
        <w:rPr>
          <w:rFonts w:ascii="Century Gothic" w:hAnsi="Century Gothic"/>
          <w:sz w:val="20"/>
          <w:szCs w:val="20"/>
        </w:rPr>
        <w:t>for</w:t>
      </w:r>
      <w:r w:rsidR="00A76EB6">
        <w:rPr>
          <w:rFonts w:ascii="Century Gothic" w:hAnsi="Century Gothic"/>
          <w:sz w:val="20"/>
          <w:szCs w:val="20"/>
        </w:rPr>
        <w:t xml:space="preserve"> </w:t>
      </w:r>
      <w:r w:rsidR="000F2E1E" w:rsidRPr="00730C0D">
        <w:rPr>
          <w:rFonts w:ascii="Century Gothic" w:hAnsi="Century Gothic"/>
          <w:sz w:val="20"/>
          <w:szCs w:val="20"/>
        </w:rPr>
        <w:t>the size of its population and sector</w:t>
      </w:r>
      <w:r w:rsidR="00A354B2">
        <w:rPr>
          <w:rFonts w:ascii="Century Gothic" w:hAnsi="Century Gothic"/>
          <w:sz w:val="20"/>
          <w:szCs w:val="20"/>
        </w:rPr>
        <w:t xml:space="preserve"> </w:t>
      </w:r>
      <w:r w:rsidR="00A76EB6">
        <w:rPr>
          <w:rFonts w:ascii="Century Gothic" w:hAnsi="Century Gothic"/>
          <w:sz w:val="20"/>
          <w:szCs w:val="20"/>
        </w:rPr>
        <w:t>–</w:t>
      </w:r>
      <w:r w:rsidRPr="00730C0D">
        <w:rPr>
          <w:rFonts w:ascii="Century Gothic" w:hAnsi="Century Gothic"/>
          <w:sz w:val="20"/>
          <w:szCs w:val="20"/>
        </w:rPr>
        <w:t xml:space="preserve"> has</w:t>
      </w:r>
      <w:r w:rsidR="00A76EB6">
        <w:rPr>
          <w:rFonts w:ascii="Century Gothic" w:hAnsi="Century Gothic"/>
          <w:sz w:val="20"/>
          <w:szCs w:val="20"/>
        </w:rPr>
        <w:t xml:space="preserve"> </w:t>
      </w:r>
      <w:r w:rsidRPr="00730C0D">
        <w:rPr>
          <w:rFonts w:ascii="Century Gothic" w:hAnsi="Century Gothic"/>
          <w:sz w:val="20"/>
          <w:szCs w:val="20"/>
        </w:rPr>
        <w:t xml:space="preserve">one of the more prescriptive and complex </w:t>
      </w:r>
      <w:r w:rsidR="000F2E1E" w:rsidRPr="00730C0D">
        <w:rPr>
          <w:rFonts w:ascii="Century Gothic" w:hAnsi="Century Gothic"/>
          <w:sz w:val="20"/>
          <w:szCs w:val="20"/>
        </w:rPr>
        <w:t xml:space="preserve">regulatory </w:t>
      </w:r>
      <w:r w:rsidRPr="00730C0D">
        <w:rPr>
          <w:rFonts w:ascii="Century Gothic" w:hAnsi="Century Gothic"/>
          <w:sz w:val="20"/>
          <w:szCs w:val="20"/>
        </w:rPr>
        <w:t xml:space="preserve">frameworks for categorising higher education providers </w:t>
      </w:r>
      <w:r w:rsidR="001B04E6" w:rsidRPr="00730C0D">
        <w:rPr>
          <w:rFonts w:ascii="Century Gothic" w:hAnsi="Century Gothic"/>
          <w:sz w:val="20"/>
          <w:szCs w:val="20"/>
        </w:rPr>
        <w:br/>
      </w:r>
      <w:r w:rsidRPr="00730C0D">
        <w:rPr>
          <w:rFonts w:ascii="Century Gothic" w:hAnsi="Century Gothic"/>
          <w:sz w:val="20"/>
          <w:szCs w:val="20"/>
        </w:rPr>
        <w:t xml:space="preserve">(see </w:t>
      </w:r>
      <w:hyperlink w:anchor="_Appendix_F." w:history="1">
        <w:r w:rsidRPr="00730C0D">
          <w:rPr>
            <w:rStyle w:val="Hyperlink"/>
            <w:rFonts w:ascii="Century Gothic" w:hAnsi="Century Gothic"/>
            <w:sz w:val="20"/>
            <w:szCs w:val="20"/>
          </w:rPr>
          <w:t>Appendix F</w:t>
        </w:r>
      </w:hyperlink>
      <w:r w:rsidRPr="00730C0D">
        <w:rPr>
          <w:rFonts w:ascii="Century Gothic" w:hAnsi="Century Gothic"/>
          <w:sz w:val="20"/>
          <w:szCs w:val="20"/>
        </w:rPr>
        <w:t xml:space="preserve">). </w:t>
      </w:r>
    </w:p>
    <w:p w14:paraId="4AC1F711" w14:textId="77777777" w:rsidR="00AC7D05" w:rsidRPr="00730C0D" w:rsidRDefault="00AC7D05" w:rsidP="00D31B9A">
      <w:pPr>
        <w:spacing w:before="0" w:after="0"/>
        <w:rPr>
          <w:rFonts w:ascii="Century Gothic" w:hAnsi="Century Gothic"/>
          <w:sz w:val="20"/>
          <w:szCs w:val="20"/>
        </w:rPr>
      </w:pPr>
    </w:p>
    <w:p w14:paraId="60A11983" w14:textId="1C1D192F" w:rsidR="00687BEA" w:rsidRPr="00730C0D" w:rsidRDefault="000F2E1E" w:rsidP="003F2E1E">
      <w:pPr>
        <w:spacing w:before="0" w:after="0"/>
        <w:rPr>
          <w:rFonts w:ascii="Century Gothic" w:hAnsi="Century Gothic"/>
          <w:sz w:val="20"/>
          <w:szCs w:val="20"/>
        </w:rPr>
      </w:pPr>
      <w:r w:rsidRPr="00730C0D">
        <w:rPr>
          <w:rFonts w:ascii="Century Gothic" w:hAnsi="Century Gothic"/>
          <w:sz w:val="20"/>
          <w:szCs w:val="20"/>
        </w:rPr>
        <w:t>Hence, there</w:t>
      </w:r>
      <w:r w:rsidR="00AC7D05" w:rsidRPr="00730C0D">
        <w:rPr>
          <w:rFonts w:ascii="Century Gothic" w:hAnsi="Century Gothic"/>
          <w:sz w:val="20"/>
          <w:szCs w:val="20"/>
        </w:rPr>
        <w:t xml:space="preserve"> is capacity for Australia to consider a more simplified and streamlined approach to its PCS, while taking steps to ensure that the quality of the </w:t>
      </w:r>
      <w:r w:rsidR="00DF7F10" w:rsidRPr="00730C0D">
        <w:rPr>
          <w:rFonts w:ascii="Century Gothic" w:hAnsi="Century Gothic"/>
          <w:sz w:val="20"/>
          <w:szCs w:val="20"/>
        </w:rPr>
        <w:t xml:space="preserve">higher education </w:t>
      </w:r>
      <w:r w:rsidR="00AC7D05" w:rsidRPr="00730C0D">
        <w:rPr>
          <w:rFonts w:ascii="Century Gothic" w:hAnsi="Century Gothic"/>
          <w:sz w:val="20"/>
          <w:szCs w:val="20"/>
        </w:rPr>
        <w:t xml:space="preserve">sector remains high. </w:t>
      </w:r>
      <w:r w:rsidR="004A6EC9" w:rsidRPr="00730C0D">
        <w:rPr>
          <w:rFonts w:ascii="Century Gothic" w:hAnsi="Century Gothic"/>
          <w:sz w:val="20"/>
          <w:szCs w:val="20"/>
        </w:rPr>
        <w:t>There are some advantages in a simplified framework, especially in the context of</w:t>
      </w:r>
      <w:r w:rsidR="006D1FCB" w:rsidRPr="00730C0D">
        <w:rPr>
          <w:rFonts w:ascii="Century Gothic" w:hAnsi="Century Gothic"/>
          <w:sz w:val="20"/>
          <w:szCs w:val="20"/>
        </w:rPr>
        <w:t xml:space="preserve"> adopting a </w:t>
      </w:r>
      <w:r w:rsidR="00623388" w:rsidRPr="00730C0D">
        <w:rPr>
          <w:rFonts w:ascii="Century Gothic" w:hAnsi="Century Gothic"/>
          <w:sz w:val="20"/>
          <w:szCs w:val="20"/>
        </w:rPr>
        <w:t>pragmatic ‘</w:t>
      </w:r>
      <w:r w:rsidR="006D1FCB" w:rsidRPr="00730C0D">
        <w:rPr>
          <w:rFonts w:ascii="Century Gothic" w:hAnsi="Century Gothic"/>
          <w:sz w:val="20"/>
          <w:szCs w:val="20"/>
        </w:rPr>
        <w:t>fit for purpose</w:t>
      </w:r>
      <w:r w:rsidR="00623388" w:rsidRPr="00730C0D">
        <w:rPr>
          <w:rFonts w:ascii="Century Gothic" w:hAnsi="Century Gothic"/>
          <w:sz w:val="20"/>
          <w:szCs w:val="20"/>
        </w:rPr>
        <w:t>’</w:t>
      </w:r>
      <w:r w:rsidR="006D1FCB" w:rsidRPr="00730C0D">
        <w:rPr>
          <w:rFonts w:ascii="Century Gothic" w:hAnsi="Century Gothic"/>
          <w:sz w:val="20"/>
          <w:szCs w:val="20"/>
        </w:rPr>
        <w:t xml:space="preserve"> approach</w:t>
      </w:r>
      <w:r w:rsidRPr="00730C0D">
        <w:rPr>
          <w:rFonts w:ascii="Century Gothic" w:hAnsi="Century Gothic"/>
          <w:sz w:val="20"/>
          <w:szCs w:val="20"/>
        </w:rPr>
        <w:t>. These include</w:t>
      </w:r>
      <w:r w:rsidR="006D1FCB" w:rsidRPr="00730C0D">
        <w:rPr>
          <w:rFonts w:ascii="Century Gothic" w:hAnsi="Century Gothic"/>
          <w:sz w:val="20"/>
          <w:szCs w:val="20"/>
        </w:rPr>
        <w:t xml:space="preserve"> optimising the PCS by</w:t>
      </w:r>
      <w:r w:rsidR="003F2E1E" w:rsidRPr="00730C0D">
        <w:rPr>
          <w:rFonts w:ascii="Century Gothic" w:hAnsi="Century Gothic"/>
          <w:sz w:val="20"/>
          <w:szCs w:val="20"/>
        </w:rPr>
        <w:t xml:space="preserve"> </w:t>
      </w:r>
      <w:r w:rsidR="004A6EC9" w:rsidRPr="00730C0D">
        <w:rPr>
          <w:rFonts w:ascii="Century Gothic" w:hAnsi="Century Gothic"/>
          <w:sz w:val="20"/>
          <w:szCs w:val="20"/>
        </w:rPr>
        <w:t xml:space="preserve">rationalising </w:t>
      </w:r>
      <w:r w:rsidR="009E63B7" w:rsidRPr="00730C0D">
        <w:rPr>
          <w:rFonts w:ascii="Century Gothic" w:hAnsi="Century Gothic"/>
          <w:sz w:val="20"/>
          <w:szCs w:val="20"/>
        </w:rPr>
        <w:t xml:space="preserve">any </w:t>
      </w:r>
      <w:r w:rsidR="004A6EC9" w:rsidRPr="00730C0D">
        <w:rPr>
          <w:rFonts w:ascii="Century Gothic" w:hAnsi="Century Gothic"/>
          <w:sz w:val="20"/>
          <w:szCs w:val="20"/>
        </w:rPr>
        <w:t>underutilised or inefficient categories</w:t>
      </w:r>
      <w:r w:rsidR="003F2E1E" w:rsidRPr="00730C0D">
        <w:rPr>
          <w:rFonts w:ascii="Century Gothic" w:hAnsi="Century Gothic"/>
          <w:sz w:val="20"/>
          <w:szCs w:val="20"/>
        </w:rPr>
        <w:t xml:space="preserve"> and </w:t>
      </w:r>
      <w:r w:rsidR="009E63B7" w:rsidRPr="00730C0D">
        <w:rPr>
          <w:rFonts w:ascii="Century Gothic" w:hAnsi="Century Gothic"/>
          <w:sz w:val="20"/>
          <w:szCs w:val="20"/>
        </w:rPr>
        <w:t xml:space="preserve">supporting greater clarity and ease of </w:t>
      </w:r>
      <w:r w:rsidR="004A6EC9" w:rsidRPr="00730C0D">
        <w:rPr>
          <w:rFonts w:ascii="Century Gothic" w:hAnsi="Century Gothic"/>
          <w:sz w:val="20"/>
          <w:szCs w:val="20"/>
        </w:rPr>
        <w:t>understanding for consumers</w:t>
      </w:r>
      <w:r w:rsidR="009E63B7" w:rsidRPr="00730C0D">
        <w:rPr>
          <w:rFonts w:ascii="Century Gothic" w:hAnsi="Century Gothic"/>
          <w:sz w:val="20"/>
          <w:szCs w:val="20"/>
        </w:rPr>
        <w:t>, both within and outside Australia.</w:t>
      </w:r>
      <w:r w:rsidR="003F2E1E" w:rsidRPr="00730C0D">
        <w:rPr>
          <w:rFonts w:ascii="Century Gothic" w:hAnsi="Century Gothic"/>
          <w:sz w:val="20"/>
          <w:szCs w:val="20"/>
        </w:rPr>
        <w:t xml:space="preserve"> </w:t>
      </w:r>
      <w:r w:rsidR="00AC7D05" w:rsidRPr="00D102CD">
        <w:rPr>
          <w:rFonts w:ascii="Century Gothic" w:hAnsi="Century Gothic"/>
          <w:sz w:val="20"/>
          <w:szCs w:val="20"/>
        </w:rPr>
        <w:t>Chapter 2</w:t>
      </w:r>
      <w:r w:rsidR="00AC7D05" w:rsidRPr="00730C0D">
        <w:rPr>
          <w:rFonts w:ascii="Century Gothic" w:hAnsi="Century Gothic"/>
          <w:sz w:val="20"/>
          <w:szCs w:val="20"/>
        </w:rPr>
        <w:t xml:space="preserve"> sets out additional rationale </w:t>
      </w:r>
      <w:r w:rsidR="006D1FCB" w:rsidRPr="00730C0D">
        <w:rPr>
          <w:rFonts w:ascii="Century Gothic" w:hAnsi="Century Gothic"/>
          <w:sz w:val="20"/>
          <w:szCs w:val="20"/>
        </w:rPr>
        <w:t xml:space="preserve">in favour of </w:t>
      </w:r>
      <w:r w:rsidR="00AC7D05" w:rsidRPr="00730C0D">
        <w:rPr>
          <w:rFonts w:ascii="Century Gothic" w:hAnsi="Century Gothic"/>
          <w:sz w:val="20"/>
          <w:szCs w:val="20"/>
        </w:rPr>
        <w:t>simplifying the PCS.</w:t>
      </w:r>
    </w:p>
    <w:p w14:paraId="5F997B26" w14:textId="77777777" w:rsidR="00687BEA" w:rsidRPr="00730C0D" w:rsidRDefault="00687BEA" w:rsidP="003F2E1E">
      <w:pPr>
        <w:spacing w:before="0" w:after="0"/>
        <w:rPr>
          <w:rFonts w:ascii="Century Gothic" w:hAnsi="Century Gothic"/>
          <w:sz w:val="20"/>
          <w:szCs w:val="20"/>
        </w:rPr>
      </w:pPr>
    </w:p>
    <w:p w14:paraId="065826EF" w14:textId="2C27B182" w:rsidR="00687BEA" w:rsidRPr="00730C0D" w:rsidRDefault="00687BEA" w:rsidP="004978DA">
      <w:pPr>
        <w:pStyle w:val="Heading3"/>
      </w:pPr>
      <w:bookmarkStart w:id="30" w:name="_Toc18592318"/>
      <w:r w:rsidRPr="00730C0D">
        <w:t>1.1.6</w:t>
      </w:r>
      <w:r w:rsidRPr="00730C0D">
        <w:tab/>
        <w:t>Current Funding Arrangements</w:t>
      </w:r>
      <w:bookmarkEnd w:id="30"/>
    </w:p>
    <w:p w14:paraId="7EDA5B83" w14:textId="6C8E1780" w:rsidR="00687BEA" w:rsidRPr="00730C0D" w:rsidRDefault="00687BEA" w:rsidP="00687BEA">
      <w:pPr>
        <w:spacing w:before="0" w:after="0"/>
        <w:rPr>
          <w:rFonts w:ascii="Century Gothic" w:hAnsi="Century Gothic"/>
          <w:sz w:val="20"/>
          <w:szCs w:val="20"/>
        </w:rPr>
      </w:pPr>
      <w:r w:rsidRPr="00730C0D">
        <w:rPr>
          <w:rFonts w:ascii="Century Gothic" w:hAnsi="Century Gothic"/>
          <w:sz w:val="20"/>
          <w:szCs w:val="20"/>
        </w:rPr>
        <w:t xml:space="preserve">While the PCS are separate to funding, there is an appreciation that any changes to the PCS </w:t>
      </w:r>
      <w:r w:rsidR="000E4A6D" w:rsidRPr="00730C0D">
        <w:rPr>
          <w:rFonts w:ascii="Century Gothic" w:hAnsi="Century Gothic"/>
          <w:sz w:val="20"/>
          <w:szCs w:val="20"/>
        </w:rPr>
        <w:t xml:space="preserve">will </w:t>
      </w:r>
      <w:r w:rsidRPr="00730C0D">
        <w:rPr>
          <w:rFonts w:ascii="Century Gothic" w:hAnsi="Century Gothic"/>
          <w:sz w:val="20"/>
          <w:szCs w:val="20"/>
        </w:rPr>
        <w:t xml:space="preserve">need to entertain </w:t>
      </w:r>
      <w:r w:rsidR="00D9389A" w:rsidRPr="00730C0D">
        <w:rPr>
          <w:rFonts w:ascii="Century Gothic" w:hAnsi="Century Gothic"/>
          <w:sz w:val="20"/>
          <w:szCs w:val="20"/>
        </w:rPr>
        <w:t xml:space="preserve">the possibility of future changes in policy settings, including </w:t>
      </w:r>
      <w:r w:rsidRPr="00730C0D">
        <w:rPr>
          <w:rFonts w:ascii="Century Gothic" w:hAnsi="Century Gothic"/>
          <w:sz w:val="20"/>
          <w:szCs w:val="20"/>
        </w:rPr>
        <w:t xml:space="preserve">funding implications. </w:t>
      </w:r>
    </w:p>
    <w:p w14:paraId="19F5B5BD" w14:textId="77777777" w:rsidR="00687BEA" w:rsidRPr="00730C0D" w:rsidRDefault="00687BEA" w:rsidP="00687BEA">
      <w:pPr>
        <w:spacing w:before="0" w:after="0"/>
        <w:rPr>
          <w:rFonts w:ascii="Century Gothic" w:hAnsi="Century Gothic"/>
          <w:sz w:val="20"/>
          <w:szCs w:val="20"/>
        </w:rPr>
      </w:pPr>
    </w:p>
    <w:p w14:paraId="0249E4F6" w14:textId="77777777" w:rsidR="00687BEA" w:rsidRPr="00730C0D" w:rsidRDefault="00687BEA" w:rsidP="00687BEA">
      <w:pPr>
        <w:spacing w:before="0" w:after="0"/>
        <w:rPr>
          <w:rFonts w:ascii="Century Gothic" w:hAnsi="Century Gothic"/>
          <w:sz w:val="20"/>
          <w:szCs w:val="20"/>
        </w:rPr>
      </w:pPr>
      <w:r w:rsidRPr="00730C0D">
        <w:rPr>
          <w:rFonts w:ascii="Century Gothic" w:hAnsi="Century Gothic"/>
          <w:sz w:val="20"/>
          <w:szCs w:val="20"/>
        </w:rPr>
        <w:t xml:space="preserve">The majority of higher education funding is administered under the </w:t>
      </w:r>
      <w:r w:rsidRPr="00730C0D">
        <w:rPr>
          <w:rFonts w:ascii="Century Gothic" w:hAnsi="Century Gothic"/>
          <w:i/>
          <w:sz w:val="20"/>
          <w:szCs w:val="20"/>
        </w:rPr>
        <w:t>Higher Education Support Act 2003</w:t>
      </w:r>
      <w:r w:rsidRPr="00730C0D">
        <w:rPr>
          <w:rFonts w:ascii="Century Gothic" w:hAnsi="Century Gothic"/>
          <w:sz w:val="20"/>
          <w:szCs w:val="20"/>
        </w:rPr>
        <w:t xml:space="preserve"> (HESA). Funding set out under HESA includes:</w:t>
      </w:r>
    </w:p>
    <w:p w14:paraId="67E167EA" w14:textId="3BC6E606" w:rsidR="00687BEA" w:rsidRPr="00730C0D" w:rsidRDefault="00687BEA" w:rsidP="0024520B">
      <w:pPr>
        <w:pStyle w:val="ListParagraph"/>
        <w:numPr>
          <w:ilvl w:val="0"/>
          <w:numId w:val="37"/>
        </w:numPr>
        <w:spacing w:before="0" w:after="0"/>
        <w:rPr>
          <w:rFonts w:ascii="Century Gothic" w:hAnsi="Century Gothic"/>
          <w:sz w:val="20"/>
          <w:szCs w:val="20"/>
        </w:rPr>
      </w:pPr>
      <w:r w:rsidRPr="00730C0D">
        <w:rPr>
          <w:rFonts w:ascii="Century Gothic" w:hAnsi="Century Gothic"/>
          <w:sz w:val="20"/>
          <w:szCs w:val="20"/>
        </w:rPr>
        <w:t>the Commonwealth Grant Scheme (CGS) through which the Australian Government subsid</w:t>
      </w:r>
      <w:r w:rsidR="00F83438" w:rsidRPr="00730C0D">
        <w:rPr>
          <w:rFonts w:ascii="Century Gothic" w:hAnsi="Century Gothic"/>
          <w:sz w:val="20"/>
          <w:szCs w:val="20"/>
        </w:rPr>
        <w:t>is</w:t>
      </w:r>
      <w:r w:rsidRPr="00730C0D">
        <w:rPr>
          <w:rFonts w:ascii="Century Gothic" w:hAnsi="Century Gothic"/>
          <w:sz w:val="20"/>
          <w:szCs w:val="20"/>
        </w:rPr>
        <w:t xml:space="preserve">es tuition costs for domestic higher education students via </w:t>
      </w:r>
      <w:r w:rsidR="00B767A5" w:rsidRPr="00730C0D">
        <w:rPr>
          <w:rFonts w:ascii="Century Gothic" w:hAnsi="Century Gothic"/>
          <w:sz w:val="20"/>
          <w:szCs w:val="20"/>
        </w:rPr>
        <w:t>Commonwealth Supported Places (</w:t>
      </w:r>
      <w:r w:rsidRPr="00730C0D">
        <w:rPr>
          <w:rFonts w:ascii="Century Gothic" w:hAnsi="Century Gothic"/>
          <w:sz w:val="20"/>
          <w:szCs w:val="20"/>
        </w:rPr>
        <w:t>CSPs</w:t>
      </w:r>
      <w:r w:rsidR="00B767A5" w:rsidRPr="00730C0D">
        <w:rPr>
          <w:rFonts w:ascii="Century Gothic" w:hAnsi="Century Gothic"/>
          <w:sz w:val="20"/>
          <w:szCs w:val="20"/>
        </w:rPr>
        <w:t>)</w:t>
      </w:r>
      <w:r w:rsidRPr="00730C0D">
        <w:rPr>
          <w:rFonts w:ascii="Century Gothic" w:hAnsi="Century Gothic"/>
          <w:sz w:val="20"/>
          <w:szCs w:val="20"/>
        </w:rPr>
        <w:t>;</w:t>
      </w:r>
    </w:p>
    <w:p w14:paraId="4D5C5ED7" w14:textId="7C9F5D82" w:rsidR="00687BEA" w:rsidRPr="00730C0D" w:rsidRDefault="00687BEA" w:rsidP="0024520B">
      <w:pPr>
        <w:pStyle w:val="ListParagraph"/>
        <w:numPr>
          <w:ilvl w:val="0"/>
          <w:numId w:val="36"/>
        </w:numPr>
        <w:spacing w:before="0" w:after="0"/>
        <w:rPr>
          <w:rFonts w:ascii="Century Gothic" w:hAnsi="Century Gothic"/>
          <w:sz w:val="20"/>
          <w:szCs w:val="20"/>
        </w:rPr>
      </w:pPr>
      <w:r w:rsidRPr="00730C0D">
        <w:rPr>
          <w:rFonts w:ascii="Century Gothic" w:hAnsi="Century Gothic"/>
          <w:sz w:val="20"/>
          <w:szCs w:val="20"/>
        </w:rPr>
        <w:t>the Higher Education Loan Program (HELP) which provides income contingent loans to help students meet their study costs through programs including HECS-HELP,</w:t>
      </w:r>
      <w:r w:rsidRPr="00730C0D">
        <w:rPr>
          <w:rStyle w:val="FootnoteReference"/>
          <w:rFonts w:ascii="Century Gothic" w:hAnsi="Century Gothic"/>
          <w:sz w:val="20"/>
          <w:szCs w:val="20"/>
        </w:rPr>
        <w:footnoteReference w:id="9"/>
      </w:r>
      <w:r w:rsidRPr="00730C0D">
        <w:rPr>
          <w:rFonts w:ascii="Century Gothic" w:hAnsi="Century Gothic"/>
          <w:sz w:val="20"/>
          <w:szCs w:val="20"/>
        </w:rPr>
        <w:t xml:space="preserve"> </w:t>
      </w:r>
      <w:r w:rsidR="00562254" w:rsidRPr="00730C0D">
        <w:rPr>
          <w:rFonts w:ascii="Century Gothic" w:hAnsi="Century Gothic"/>
          <w:sz w:val="20"/>
          <w:szCs w:val="20"/>
        </w:rPr>
        <w:br/>
      </w:r>
      <w:r w:rsidRPr="00730C0D">
        <w:rPr>
          <w:rFonts w:ascii="Century Gothic" w:hAnsi="Century Gothic"/>
          <w:sz w:val="20"/>
          <w:szCs w:val="20"/>
        </w:rPr>
        <w:t>FEE-HELP,</w:t>
      </w:r>
      <w:r w:rsidRPr="00730C0D">
        <w:rPr>
          <w:rStyle w:val="FootnoteReference"/>
          <w:rFonts w:ascii="Century Gothic" w:hAnsi="Century Gothic"/>
          <w:sz w:val="20"/>
          <w:szCs w:val="20"/>
        </w:rPr>
        <w:footnoteReference w:id="10"/>
      </w:r>
      <w:r w:rsidRPr="00730C0D">
        <w:rPr>
          <w:rFonts w:ascii="Century Gothic" w:hAnsi="Century Gothic"/>
          <w:sz w:val="20"/>
          <w:szCs w:val="20"/>
        </w:rPr>
        <w:t xml:space="preserve"> SA-HELP,</w:t>
      </w:r>
      <w:r w:rsidRPr="00730C0D">
        <w:rPr>
          <w:rStyle w:val="FootnoteReference"/>
          <w:rFonts w:ascii="Century Gothic" w:hAnsi="Century Gothic"/>
          <w:sz w:val="20"/>
          <w:szCs w:val="20"/>
        </w:rPr>
        <w:footnoteReference w:id="11"/>
      </w:r>
      <w:r w:rsidRPr="00730C0D">
        <w:rPr>
          <w:rFonts w:ascii="Century Gothic" w:hAnsi="Century Gothic"/>
          <w:sz w:val="20"/>
          <w:szCs w:val="20"/>
        </w:rPr>
        <w:t xml:space="preserve"> and OS-HELP;</w:t>
      </w:r>
      <w:r w:rsidRPr="00730C0D">
        <w:rPr>
          <w:rStyle w:val="FootnoteReference"/>
          <w:rFonts w:ascii="Century Gothic" w:hAnsi="Century Gothic"/>
          <w:sz w:val="20"/>
          <w:szCs w:val="20"/>
        </w:rPr>
        <w:footnoteReference w:id="12"/>
      </w:r>
      <w:r w:rsidRPr="00730C0D">
        <w:rPr>
          <w:rFonts w:ascii="Century Gothic" w:hAnsi="Century Gothic"/>
          <w:sz w:val="20"/>
          <w:szCs w:val="20"/>
        </w:rPr>
        <w:t xml:space="preserve"> and</w:t>
      </w:r>
    </w:p>
    <w:p w14:paraId="6BAF3EFC" w14:textId="771FEB51" w:rsidR="00687BEA" w:rsidRPr="00730C0D" w:rsidRDefault="00F83438" w:rsidP="0024520B">
      <w:pPr>
        <w:pStyle w:val="ListParagraph"/>
        <w:numPr>
          <w:ilvl w:val="0"/>
          <w:numId w:val="36"/>
        </w:numPr>
        <w:spacing w:before="0" w:after="0"/>
        <w:rPr>
          <w:rFonts w:ascii="Century Gothic" w:hAnsi="Century Gothic"/>
          <w:sz w:val="20"/>
          <w:szCs w:val="20"/>
        </w:rPr>
      </w:pPr>
      <w:r w:rsidRPr="00730C0D">
        <w:rPr>
          <w:rFonts w:ascii="Century Gothic" w:hAnsi="Century Gothic"/>
          <w:sz w:val="20"/>
          <w:szCs w:val="20"/>
        </w:rPr>
        <w:t xml:space="preserve">research </w:t>
      </w:r>
      <w:r w:rsidR="00687BEA" w:rsidRPr="00730C0D">
        <w:rPr>
          <w:rFonts w:ascii="Century Gothic" w:hAnsi="Century Gothic"/>
          <w:sz w:val="20"/>
          <w:szCs w:val="20"/>
        </w:rPr>
        <w:t xml:space="preserve">block grants which provide block funding to eligible higher education providers for research and research training. </w:t>
      </w:r>
    </w:p>
    <w:p w14:paraId="0A788D8A" w14:textId="77777777" w:rsidR="00562254" w:rsidRPr="00730C0D" w:rsidRDefault="00562254" w:rsidP="00687BEA">
      <w:pPr>
        <w:spacing w:before="0" w:after="0"/>
        <w:rPr>
          <w:rFonts w:ascii="Century Gothic" w:hAnsi="Century Gothic"/>
          <w:sz w:val="20"/>
          <w:szCs w:val="20"/>
        </w:rPr>
      </w:pPr>
    </w:p>
    <w:p w14:paraId="3D10446E" w14:textId="368B4B43" w:rsidR="00687BEA" w:rsidRPr="00730C0D" w:rsidRDefault="00687BEA" w:rsidP="00687BEA">
      <w:pPr>
        <w:spacing w:before="0" w:after="0"/>
        <w:rPr>
          <w:rFonts w:ascii="Century Gothic" w:hAnsi="Century Gothic"/>
          <w:sz w:val="20"/>
          <w:szCs w:val="20"/>
        </w:rPr>
      </w:pPr>
      <w:r w:rsidRPr="00730C0D">
        <w:rPr>
          <w:rFonts w:ascii="Century Gothic" w:hAnsi="Century Gothic"/>
          <w:sz w:val="20"/>
          <w:szCs w:val="20"/>
        </w:rPr>
        <w:t xml:space="preserve">The following </w:t>
      </w:r>
      <w:r w:rsidR="00562254" w:rsidRPr="00730C0D">
        <w:rPr>
          <w:rFonts w:ascii="Century Gothic" w:hAnsi="Century Gothic"/>
          <w:sz w:val="20"/>
          <w:szCs w:val="20"/>
        </w:rPr>
        <w:t>T</w:t>
      </w:r>
      <w:r w:rsidRPr="00730C0D">
        <w:rPr>
          <w:rFonts w:ascii="Century Gothic" w:hAnsi="Century Gothic"/>
          <w:sz w:val="20"/>
          <w:szCs w:val="20"/>
        </w:rPr>
        <w:t>able</w:t>
      </w:r>
      <w:r w:rsidR="0033271B" w:rsidRPr="00730C0D">
        <w:rPr>
          <w:rFonts w:ascii="Century Gothic" w:hAnsi="Century Gothic"/>
          <w:sz w:val="20"/>
          <w:szCs w:val="20"/>
        </w:rPr>
        <w:t xml:space="preserve"> 1.3</w:t>
      </w:r>
      <w:r w:rsidRPr="00730C0D">
        <w:rPr>
          <w:rFonts w:ascii="Century Gothic" w:hAnsi="Century Gothic"/>
          <w:sz w:val="20"/>
          <w:szCs w:val="20"/>
        </w:rPr>
        <w:t xml:space="preserve"> provides an overview of provider </w:t>
      </w:r>
      <w:r w:rsidR="00A051C9" w:rsidRPr="00730C0D">
        <w:rPr>
          <w:rFonts w:ascii="Century Gothic" w:hAnsi="Century Gothic"/>
          <w:sz w:val="20"/>
          <w:szCs w:val="20"/>
        </w:rPr>
        <w:t>access to funding under HESA. A </w:t>
      </w:r>
      <w:r w:rsidRPr="00730C0D">
        <w:rPr>
          <w:rFonts w:ascii="Century Gothic" w:hAnsi="Century Gothic"/>
          <w:sz w:val="20"/>
          <w:szCs w:val="20"/>
        </w:rPr>
        <w:t xml:space="preserve">more detailed list is available at </w:t>
      </w:r>
      <w:hyperlink w:anchor="_Appendix_E." w:history="1">
        <w:r w:rsidRPr="00730C0D">
          <w:rPr>
            <w:rStyle w:val="Hyperlink"/>
            <w:rFonts w:ascii="Century Gothic" w:hAnsi="Century Gothic"/>
            <w:sz w:val="20"/>
            <w:szCs w:val="20"/>
          </w:rPr>
          <w:t>Appendix E</w:t>
        </w:r>
      </w:hyperlink>
      <w:r w:rsidRPr="00730C0D">
        <w:rPr>
          <w:rFonts w:ascii="Century Gothic" w:hAnsi="Century Gothic"/>
          <w:sz w:val="20"/>
          <w:szCs w:val="20"/>
        </w:rPr>
        <w:t xml:space="preserve">. </w:t>
      </w:r>
    </w:p>
    <w:p w14:paraId="6E643E85" w14:textId="77777777" w:rsidR="00936D7A" w:rsidRPr="00730C0D" w:rsidRDefault="00936D7A">
      <w:pPr>
        <w:spacing w:before="0" w:after="160"/>
        <w:rPr>
          <w:rFonts w:ascii="Century Gothic" w:hAnsi="Century Gothic"/>
          <w:b/>
          <w:i/>
          <w:sz w:val="20"/>
          <w:szCs w:val="20"/>
        </w:rPr>
      </w:pPr>
      <w:bookmarkStart w:id="31" w:name="_Toc16609749"/>
      <w:r w:rsidRPr="00730C0D">
        <w:rPr>
          <w:rFonts w:ascii="Century Gothic" w:hAnsi="Century Gothic"/>
          <w:sz w:val="20"/>
          <w:szCs w:val="20"/>
        </w:rPr>
        <w:br w:type="page"/>
      </w:r>
    </w:p>
    <w:p w14:paraId="3D602FA2" w14:textId="446F218C" w:rsidR="004321E2" w:rsidRPr="00730C0D" w:rsidRDefault="004321E2" w:rsidP="004321E2">
      <w:pPr>
        <w:pStyle w:val="Caption"/>
        <w:keepNext/>
        <w:rPr>
          <w:rFonts w:ascii="Century Gothic" w:hAnsi="Century Gothic"/>
          <w:sz w:val="20"/>
          <w:szCs w:val="20"/>
        </w:rPr>
      </w:pPr>
      <w:bookmarkStart w:id="32" w:name="_Toc18496080"/>
      <w:r w:rsidRPr="00730C0D">
        <w:rPr>
          <w:rFonts w:ascii="Century Gothic" w:hAnsi="Century Gothic"/>
          <w:sz w:val="20"/>
          <w:szCs w:val="20"/>
        </w:rPr>
        <w:t>Table 1.</w:t>
      </w:r>
      <w:r w:rsidRPr="00730C0D">
        <w:rPr>
          <w:rFonts w:ascii="Century Gothic" w:hAnsi="Century Gothic"/>
          <w:sz w:val="20"/>
          <w:szCs w:val="20"/>
        </w:rPr>
        <w:fldChar w:fldCharType="begin"/>
      </w:r>
      <w:r w:rsidRPr="00730C0D">
        <w:rPr>
          <w:rFonts w:ascii="Century Gothic" w:hAnsi="Century Gothic"/>
          <w:sz w:val="20"/>
          <w:szCs w:val="20"/>
        </w:rPr>
        <w:instrText xml:space="preserve"> SEQ Table \* ARABIC \s 1 </w:instrText>
      </w:r>
      <w:r w:rsidRPr="00730C0D">
        <w:rPr>
          <w:rFonts w:ascii="Century Gothic" w:hAnsi="Century Gothic"/>
          <w:sz w:val="20"/>
          <w:szCs w:val="20"/>
        </w:rPr>
        <w:fldChar w:fldCharType="separate"/>
      </w:r>
      <w:r w:rsidR="00F732D2">
        <w:rPr>
          <w:rFonts w:ascii="Century Gothic" w:hAnsi="Century Gothic"/>
          <w:noProof/>
          <w:sz w:val="20"/>
          <w:szCs w:val="20"/>
        </w:rPr>
        <w:t>3</w:t>
      </w:r>
      <w:r w:rsidRPr="00730C0D">
        <w:rPr>
          <w:rFonts w:ascii="Century Gothic" w:hAnsi="Century Gothic"/>
          <w:noProof/>
          <w:sz w:val="20"/>
          <w:szCs w:val="20"/>
        </w:rPr>
        <w:fldChar w:fldCharType="end"/>
      </w:r>
      <w:r w:rsidRPr="00730C0D">
        <w:rPr>
          <w:rFonts w:ascii="Century Gothic" w:hAnsi="Century Gothic"/>
          <w:sz w:val="20"/>
          <w:szCs w:val="20"/>
        </w:rPr>
        <w:t>: Provider Access to Funding under HESA</w:t>
      </w:r>
      <w:bookmarkEnd w:id="31"/>
      <w:bookmarkEnd w:id="32"/>
    </w:p>
    <w:tbl>
      <w:tblPr>
        <w:tblW w:w="10110" w:type="dxa"/>
        <w:tblInd w:w="-572" w:type="dxa"/>
        <w:tblBorders>
          <w:top w:val="single" w:sz="4" w:space="0" w:color="2763AC"/>
          <w:left w:val="single" w:sz="4" w:space="0" w:color="auto"/>
          <w:bottom w:val="single" w:sz="4" w:space="0" w:color="2763AC"/>
          <w:right w:val="single" w:sz="4" w:space="0" w:color="2763AC"/>
          <w:insideH w:val="single" w:sz="4" w:space="0" w:color="2763AC"/>
          <w:insideV w:val="single" w:sz="4" w:space="0" w:color="2763AC"/>
        </w:tblBorders>
        <w:tblLook w:val="04A0" w:firstRow="1" w:lastRow="0" w:firstColumn="1" w:lastColumn="0" w:noHBand="0" w:noVBand="1"/>
        <w:tblDescription w:val="Types of funding by provider type under the PCS (table). "/>
      </w:tblPr>
      <w:tblGrid>
        <w:gridCol w:w="3809"/>
        <w:gridCol w:w="1575"/>
        <w:gridCol w:w="1575"/>
        <w:gridCol w:w="1575"/>
        <w:gridCol w:w="1576"/>
      </w:tblGrid>
      <w:tr w:rsidR="004321E2" w:rsidRPr="00730C0D" w14:paraId="5E0AE90C" w14:textId="77777777" w:rsidTr="00FD399C">
        <w:trPr>
          <w:trHeight w:val="446"/>
        </w:trPr>
        <w:tc>
          <w:tcPr>
            <w:tcW w:w="3809" w:type="dxa"/>
            <w:tcBorders>
              <w:left w:val="single" w:sz="4" w:space="0" w:color="2763AC"/>
            </w:tcBorders>
            <w:shd w:val="clear" w:color="auto" w:fill="2763AC"/>
          </w:tcPr>
          <w:p w14:paraId="2E103125" w14:textId="77777777" w:rsidR="004321E2" w:rsidRPr="00730C0D" w:rsidRDefault="004321E2" w:rsidP="00DF7F10">
            <w:pPr>
              <w:spacing w:before="0" w:after="0"/>
              <w:rPr>
                <w:rFonts w:ascii="Century Gothic" w:hAnsi="Century Gothic"/>
                <w:b/>
                <w:color w:val="FFFFFF" w:themeColor="background1"/>
                <w:sz w:val="20"/>
                <w:szCs w:val="20"/>
              </w:rPr>
            </w:pPr>
            <w:r w:rsidRPr="00730C0D">
              <w:rPr>
                <w:rFonts w:ascii="Century Gothic" w:hAnsi="Century Gothic"/>
                <w:b/>
                <w:color w:val="FFFFFF" w:themeColor="background1"/>
                <w:sz w:val="20"/>
                <w:szCs w:val="20"/>
              </w:rPr>
              <w:t>Provider category</w:t>
            </w:r>
          </w:p>
        </w:tc>
        <w:tc>
          <w:tcPr>
            <w:tcW w:w="1575" w:type="dxa"/>
            <w:shd w:val="clear" w:color="auto" w:fill="2763AC"/>
          </w:tcPr>
          <w:p w14:paraId="3E3A235F" w14:textId="77777777" w:rsidR="004321E2" w:rsidRPr="00730C0D" w:rsidRDefault="004321E2" w:rsidP="00DF7F10">
            <w:pPr>
              <w:spacing w:before="0" w:after="0"/>
              <w:rPr>
                <w:rFonts w:ascii="Century Gothic" w:hAnsi="Century Gothic"/>
                <w:b/>
                <w:color w:val="FFFFFF" w:themeColor="background1"/>
                <w:sz w:val="20"/>
                <w:szCs w:val="20"/>
              </w:rPr>
            </w:pPr>
            <w:r w:rsidRPr="00730C0D">
              <w:rPr>
                <w:rFonts w:ascii="Century Gothic" w:hAnsi="Century Gothic"/>
                <w:b/>
                <w:color w:val="FFFFFF" w:themeColor="background1"/>
                <w:sz w:val="20"/>
                <w:szCs w:val="20"/>
              </w:rPr>
              <w:t>Number of providers in provider category</w:t>
            </w:r>
            <w:r w:rsidRPr="00730C0D">
              <w:rPr>
                <w:rFonts w:ascii="Century Gothic" w:hAnsi="Century Gothic"/>
                <w:b/>
                <w:color w:val="FFFFFF" w:themeColor="background1"/>
                <w:sz w:val="20"/>
                <w:szCs w:val="20"/>
                <w:vertAlign w:val="superscript"/>
              </w:rPr>
              <w:t>(a)</w:t>
            </w:r>
          </w:p>
        </w:tc>
        <w:tc>
          <w:tcPr>
            <w:tcW w:w="1575" w:type="dxa"/>
            <w:shd w:val="clear" w:color="auto" w:fill="2763AC"/>
          </w:tcPr>
          <w:p w14:paraId="576BBF90" w14:textId="77777777" w:rsidR="004321E2" w:rsidRPr="00730C0D" w:rsidRDefault="004321E2" w:rsidP="00DF7F10">
            <w:pPr>
              <w:spacing w:before="0" w:after="0"/>
              <w:rPr>
                <w:rFonts w:ascii="Century Gothic" w:hAnsi="Century Gothic"/>
                <w:b/>
                <w:color w:val="FFFFFF" w:themeColor="background1"/>
                <w:sz w:val="20"/>
                <w:szCs w:val="20"/>
              </w:rPr>
            </w:pPr>
            <w:r w:rsidRPr="00730C0D">
              <w:rPr>
                <w:rFonts w:ascii="Century Gothic" w:hAnsi="Century Gothic"/>
                <w:b/>
                <w:color w:val="FFFFFF" w:themeColor="background1"/>
                <w:sz w:val="20"/>
                <w:szCs w:val="20"/>
              </w:rPr>
              <w:t>Number of providers that currently receive CGS</w:t>
            </w:r>
            <w:r w:rsidRPr="00730C0D">
              <w:rPr>
                <w:rFonts w:ascii="Century Gothic" w:hAnsi="Century Gothic"/>
                <w:b/>
                <w:color w:val="FFFFFF" w:themeColor="background1"/>
                <w:sz w:val="20"/>
                <w:szCs w:val="20"/>
                <w:vertAlign w:val="superscript"/>
              </w:rPr>
              <w:t>(b)</w:t>
            </w:r>
            <w:r w:rsidRPr="00730C0D">
              <w:rPr>
                <w:rFonts w:ascii="Century Gothic" w:hAnsi="Century Gothic"/>
                <w:b/>
                <w:color w:val="FFFFFF" w:themeColor="background1"/>
                <w:sz w:val="20"/>
                <w:szCs w:val="20"/>
              </w:rPr>
              <w:t xml:space="preserve"> </w:t>
            </w:r>
          </w:p>
        </w:tc>
        <w:tc>
          <w:tcPr>
            <w:tcW w:w="1575" w:type="dxa"/>
            <w:shd w:val="clear" w:color="auto" w:fill="2763AC"/>
          </w:tcPr>
          <w:p w14:paraId="5BA0DF29" w14:textId="77777777" w:rsidR="004321E2" w:rsidRPr="00730C0D" w:rsidRDefault="004321E2" w:rsidP="00DF7F10">
            <w:pPr>
              <w:spacing w:before="0" w:after="0"/>
              <w:rPr>
                <w:rFonts w:ascii="Century Gothic" w:hAnsi="Century Gothic"/>
                <w:b/>
                <w:color w:val="FFFFFF" w:themeColor="background1"/>
                <w:sz w:val="20"/>
                <w:szCs w:val="20"/>
              </w:rPr>
            </w:pPr>
            <w:r w:rsidRPr="00730C0D">
              <w:rPr>
                <w:rFonts w:ascii="Century Gothic" w:hAnsi="Century Gothic"/>
                <w:b/>
                <w:color w:val="FFFFFF" w:themeColor="background1"/>
                <w:sz w:val="20"/>
                <w:szCs w:val="20"/>
              </w:rPr>
              <w:t>Number of providers currently approved to offer FEE-HELP</w:t>
            </w:r>
            <w:r w:rsidRPr="00730C0D">
              <w:rPr>
                <w:rFonts w:ascii="Century Gothic" w:hAnsi="Century Gothic"/>
                <w:b/>
                <w:color w:val="FFFFFF" w:themeColor="background1"/>
                <w:sz w:val="20"/>
                <w:szCs w:val="20"/>
                <w:vertAlign w:val="superscript"/>
              </w:rPr>
              <w:t>(c)</w:t>
            </w:r>
            <w:r w:rsidRPr="00730C0D">
              <w:rPr>
                <w:rFonts w:ascii="Century Gothic" w:hAnsi="Century Gothic"/>
                <w:b/>
                <w:color w:val="FFFFFF" w:themeColor="background1"/>
                <w:sz w:val="20"/>
                <w:szCs w:val="20"/>
              </w:rPr>
              <w:t xml:space="preserve"> </w:t>
            </w:r>
          </w:p>
        </w:tc>
        <w:tc>
          <w:tcPr>
            <w:tcW w:w="1576" w:type="dxa"/>
            <w:shd w:val="clear" w:color="auto" w:fill="2763AC"/>
          </w:tcPr>
          <w:p w14:paraId="459E1EA8" w14:textId="77777777" w:rsidR="004321E2" w:rsidRPr="00730C0D" w:rsidRDefault="004321E2" w:rsidP="00DF7F10">
            <w:pPr>
              <w:spacing w:before="0" w:after="0"/>
              <w:rPr>
                <w:rFonts w:ascii="Century Gothic" w:hAnsi="Century Gothic"/>
                <w:b/>
                <w:color w:val="FFFFFF" w:themeColor="background1"/>
                <w:sz w:val="20"/>
                <w:szCs w:val="20"/>
              </w:rPr>
            </w:pPr>
            <w:r w:rsidRPr="00730C0D">
              <w:rPr>
                <w:rFonts w:ascii="Century Gothic" w:hAnsi="Century Gothic"/>
                <w:b/>
                <w:color w:val="FFFFFF" w:themeColor="background1"/>
                <w:sz w:val="20"/>
                <w:szCs w:val="20"/>
              </w:rPr>
              <w:t>Number of providers allocated research block grants</w:t>
            </w:r>
            <w:r w:rsidRPr="00730C0D">
              <w:rPr>
                <w:rFonts w:ascii="Century Gothic" w:hAnsi="Century Gothic"/>
                <w:b/>
                <w:color w:val="FFFFFF" w:themeColor="background1"/>
                <w:sz w:val="20"/>
                <w:szCs w:val="20"/>
                <w:vertAlign w:val="superscript"/>
              </w:rPr>
              <w:t>(d)</w:t>
            </w:r>
          </w:p>
        </w:tc>
      </w:tr>
      <w:tr w:rsidR="004321E2" w:rsidRPr="00730C0D" w14:paraId="7A121238" w14:textId="77777777" w:rsidTr="00FD399C">
        <w:trPr>
          <w:trHeight w:val="433"/>
        </w:trPr>
        <w:tc>
          <w:tcPr>
            <w:tcW w:w="3809" w:type="dxa"/>
            <w:tcBorders>
              <w:left w:val="single" w:sz="4" w:space="0" w:color="2763AC"/>
            </w:tcBorders>
            <w:vAlign w:val="center"/>
          </w:tcPr>
          <w:p w14:paraId="639B5F47" w14:textId="77777777" w:rsidR="004321E2" w:rsidRPr="00730C0D" w:rsidRDefault="004321E2" w:rsidP="00DF7F10">
            <w:pPr>
              <w:spacing w:before="0" w:after="0"/>
              <w:rPr>
                <w:rFonts w:ascii="Century Gothic" w:hAnsi="Century Gothic"/>
                <w:b/>
                <w:sz w:val="20"/>
                <w:szCs w:val="20"/>
              </w:rPr>
            </w:pPr>
            <w:r w:rsidRPr="00730C0D">
              <w:rPr>
                <w:rFonts w:ascii="Century Gothic" w:hAnsi="Century Gothic"/>
                <w:b/>
                <w:sz w:val="20"/>
                <w:szCs w:val="20"/>
              </w:rPr>
              <w:t>Higher Education Provider</w:t>
            </w:r>
          </w:p>
        </w:tc>
        <w:tc>
          <w:tcPr>
            <w:tcW w:w="1575" w:type="dxa"/>
            <w:vAlign w:val="center"/>
          </w:tcPr>
          <w:p w14:paraId="5AA3128A"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131</w:t>
            </w:r>
          </w:p>
        </w:tc>
        <w:tc>
          <w:tcPr>
            <w:tcW w:w="1575" w:type="dxa"/>
            <w:vAlign w:val="center"/>
          </w:tcPr>
          <w:p w14:paraId="3D0B199D"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5</w:t>
            </w:r>
          </w:p>
        </w:tc>
        <w:tc>
          <w:tcPr>
            <w:tcW w:w="1575" w:type="dxa"/>
            <w:vAlign w:val="center"/>
          </w:tcPr>
          <w:p w14:paraId="6DE281EF"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94</w:t>
            </w:r>
          </w:p>
        </w:tc>
        <w:tc>
          <w:tcPr>
            <w:tcW w:w="1576" w:type="dxa"/>
            <w:vAlign w:val="center"/>
          </w:tcPr>
          <w:p w14:paraId="259FAF3A"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1</w:t>
            </w:r>
          </w:p>
        </w:tc>
      </w:tr>
      <w:tr w:rsidR="004321E2" w:rsidRPr="00730C0D" w14:paraId="1291BA97" w14:textId="77777777" w:rsidTr="00FD399C">
        <w:trPr>
          <w:trHeight w:val="409"/>
        </w:trPr>
        <w:tc>
          <w:tcPr>
            <w:tcW w:w="3809" w:type="dxa"/>
            <w:tcBorders>
              <w:left w:val="single" w:sz="4" w:space="0" w:color="2763AC"/>
            </w:tcBorders>
            <w:shd w:val="clear" w:color="auto" w:fill="DEEAF6" w:themeFill="accent1" w:themeFillTint="33"/>
            <w:vAlign w:val="center"/>
          </w:tcPr>
          <w:p w14:paraId="2251D97E" w14:textId="77777777" w:rsidR="004321E2" w:rsidRPr="00730C0D" w:rsidRDefault="004321E2" w:rsidP="00DF7F10">
            <w:pPr>
              <w:spacing w:before="0" w:after="0"/>
              <w:rPr>
                <w:rFonts w:ascii="Century Gothic" w:hAnsi="Century Gothic"/>
                <w:b/>
                <w:sz w:val="20"/>
                <w:szCs w:val="20"/>
              </w:rPr>
            </w:pPr>
            <w:r w:rsidRPr="00730C0D">
              <w:rPr>
                <w:rFonts w:ascii="Century Gothic" w:hAnsi="Century Gothic"/>
                <w:b/>
                <w:sz w:val="20"/>
                <w:szCs w:val="20"/>
              </w:rPr>
              <w:t>Australian University</w:t>
            </w:r>
          </w:p>
        </w:tc>
        <w:tc>
          <w:tcPr>
            <w:tcW w:w="1575" w:type="dxa"/>
            <w:shd w:val="clear" w:color="auto" w:fill="DEEAF6" w:themeFill="accent1" w:themeFillTint="33"/>
            <w:vAlign w:val="center"/>
          </w:tcPr>
          <w:p w14:paraId="39118706"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40</w:t>
            </w:r>
          </w:p>
        </w:tc>
        <w:tc>
          <w:tcPr>
            <w:tcW w:w="1575" w:type="dxa"/>
            <w:shd w:val="clear" w:color="auto" w:fill="DEEAF6" w:themeFill="accent1" w:themeFillTint="33"/>
            <w:vAlign w:val="center"/>
          </w:tcPr>
          <w:p w14:paraId="7075B942"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38</w:t>
            </w:r>
            <w:r w:rsidRPr="00730C0D">
              <w:rPr>
                <w:rFonts w:ascii="Century Gothic" w:hAnsi="Century Gothic"/>
                <w:sz w:val="20"/>
                <w:szCs w:val="20"/>
                <w:vertAlign w:val="superscript"/>
              </w:rPr>
              <w:t>*</w:t>
            </w:r>
          </w:p>
        </w:tc>
        <w:tc>
          <w:tcPr>
            <w:tcW w:w="1575" w:type="dxa"/>
            <w:shd w:val="clear" w:color="auto" w:fill="DEEAF6" w:themeFill="accent1" w:themeFillTint="33"/>
            <w:vAlign w:val="center"/>
          </w:tcPr>
          <w:p w14:paraId="6F510F23"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40</w:t>
            </w:r>
          </w:p>
        </w:tc>
        <w:tc>
          <w:tcPr>
            <w:tcW w:w="1576" w:type="dxa"/>
            <w:shd w:val="clear" w:color="auto" w:fill="DEEAF6" w:themeFill="accent1" w:themeFillTint="33"/>
            <w:vAlign w:val="center"/>
          </w:tcPr>
          <w:p w14:paraId="13BE9CCA" w14:textId="77777777" w:rsidR="004321E2" w:rsidRPr="00730C0D" w:rsidRDefault="004321E2" w:rsidP="00DF7F10">
            <w:pPr>
              <w:spacing w:before="0" w:after="0"/>
              <w:rPr>
                <w:rFonts w:ascii="Century Gothic" w:hAnsi="Century Gothic"/>
                <w:sz w:val="20"/>
                <w:szCs w:val="20"/>
              </w:rPr>
            </w:pPr>
            <w:r w:rsidRPr="00730C0D">
              <w:rPr>
                <w:rFonts w:ascii="Century Gothic" w:hAnsi="Century Gothic"/>
                <w:sz w:val="20"/>
                <w:szCs w:val="20"/>
              </w:rPr>
              <w:t>40</w:t>
            </w:r>
          </w:p>
        </w:tc>
      </w:tr>
      <w:tr w:rsidR="004321E2" w:rsidRPr="00730C0D" w14:paraId="3918DEBA" w14:textId="77777777" w:rsidTr="00FD399C">
        <w:trPr>
          <w:trHeight w:val="433"/>
        </w:trPr>
        <w:tc>
          <w:tcPr>
            <w:tcW w:w="3809" w:type="dxa"/>
            <w:tcBorders>
              <w:left w:val="single" w:sz="4" w:space="0" w:color="2763AC"/>
            </w:tcBorders>
            <w:vAlign w:val="center"/>
          </w:tcPr>
          <w:p w14:paraId="7BAFF816" w14:textId="77777777" w:rsidR="004321E2" w:rsidRPr="00730C0D" w:rsidRDefault="004321E2" w:rsidP="00DF7F10">
            <w:pPr>
              <w:spacing w:before="0" w:after="0"/>
              <w:rPr>
                <w:rFonts w:ascii="Century Gothic" w:hAnsi="Century Gothic"/>
                <w:b/>
                <w:sz w:val="20"/>
                <w:szCs w:val="20"/>
              </w:rPr>
            </w:pPr>
            <w:r w:rsidRPr="00730C0D">
              <w:rPr>
                <w:rFonts w:ascii="Century Gothic" w:hAnsi="Century Gothic"/>
                <w:b/>
                <w:sz w:val="20"/>
                <w:szCs w:val="20"/>
              </w:rPr>
              <w:t>Australian University College</w:t>
            </w:r>
          </w:p>
        </w:tc>
        <w:tc>
          <w:tcPr>
            <w:tcW w:w="1575" w:type="dxa"/>
            <w:vAlign w:val="center"/>
          </w:tcPr>
          <w:p w14:paraId="28CD5DE7"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1</w:t>
            </w:r>
          </w:p>
        </w:tc>
        <w:tc>
          <w:tcPr>
            <w:tcW w:w="1575" w:type="dxa"/>
            <w:vAlign w:val="center"/>
          </w:tcPr>
          <w:p w14:paraId="69982EC6"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1</w:t>
            </w:r>
          </w:p>
        </w:tc>
        <w:tc>
          <w:tcPr>
            <w:tcW w:w="1575" w:type="dxa"/>
            <w:vAlign w:val="center"/>
          </w:tcPr>
          <w:p w14:paraId="0E474331"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1</w:t>
            </w:r>
          </w:p>
        </w:tc>
        <w:tc>
          <w:tcPr>
            <w:tcW w:w="1576" w:type="dxa"/>
            <w:vAlign w:val="center"/>
          </w:tcPr>
          <w:p w14:paraId="5EE9596F"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r>
      <w:tr w:rsidR="004321E2" w:rsidRPr="00730C0D" w14:paraId="11AF714F" w14:textId="77777777" w:rsidTr="00FD399C">
        <w:trPr>
          <w:trHeight w:val="433"/>
        </w:trPr>
        <w:tc>
          <w:tcPr>
            <w:tcW w:w="3809" w:type="dxa"/>
            <w:tcBorders>
              <w:left w:val="single" w:sz="4" w:space="0" w:color="2763AC"/>
            </w:tcBorders>
            <w:shd w:val="clear" w:color="auto" w:fill="DEEAF6" w:themeFill="accent1" w:themeFillTint="33"/>
            <w:vAlign w:val="center"/>
          </w:tcPr>
          <w:p w14:paraId="0A255286" w14:textId="77777777" w:rsidR="004321E2" w:rsidRPr="00730C0D" w:rsidRDefault="004321E2" w:rsidP="00DF7F10">
            <w:pPr>
              <w:spacing w:before="0" w:after="0"/>
              <w:rPr>
                <w:rFonts w:ascii="Century Gothic" w:hAnsi="Century Gothic"/>
                <w:b/>
                <w:sz w:val="20"/>
                <w:szCs w:val="20"/>
              </w:rPr>
            </w:pPr>
            <w:r w:rsidRPr="00730C0D">
              <w:rPr>
                <w:rFonts w:ascii="Century Gothic" w:hAnsi="Century Gothic"/>
                <w:b/>
                <w:sz w:val="20"/>
                <w:szCs w:val="20"/>
              </w:rPr>
              <w:t>Australian University of Specialisation</w:t>
            </w:r>
          </w:p>
        </w:tc>
        <w:tc>
          <w:tcPr>
            <w:tcW w:w="1575" w:type="dxa"/>
            <w:shd w:val="clear" w:color="auto" w:fill="DEEAF6" w:themeFill="accent1" w:themeFillTint="33"/>
            <w:vAlign w:val="center"/>
          </w:tcPr>
          <w:p w14:paraId="54DBA70F"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1</w:t>
            </w:r>
          </w:p>
        </w:tc>
        <w:tc>
          <w:tcPr>
            <w:tcW w:w="1575" w:type="dxa"/>
            <w:shd w:val="clear" w:color="auto" w:fill="DEEAF6" w:themeFill="accent1" w:themeFillTint="33"/>
            <w:vAlign w:val="center"/>
          </w:tcPr>
          <w:p w14:paraId="09A4D620"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c>
          <w:tcPr>
            <w:tcW w:w="1575" w:type="dxa"/>
            <w:shd w:val="clear" w:color="auto" w:fill="DEEAF6" w:themeFill="accent1" w:themeFillTint="33"/>
            <w:vAlign w:val="center"/>
          </w:tcPr>
          <w:p w14:paraId="13B73DC7"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1</w:t>
            </w:r>
          </w:p>
        </w:tc>
        <w:tc>
          <w:tcPr>
            <w:tcW w:w="1576" w:type="dxa"/>
            <w:shd w:val="clear" w:color="auto" w:fill="DEEAF6" w:themeFill="accent1" w:themeFillTint="33"/>
            <w:vAlign w:val="center"/>
          </w:tcPr>
          <w:p w14:paraId="77C9BEF3"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1</w:t>
            </w:r>
          </w:p>
        </w:tc>
      </w:tr>
      <w:tr w:rsidR="004321E2" w:rsidRPr="00730C0D" w14:paraId="3FF0BBC5" w14:textId="77777777" w:rsidTr="00FD399C">
        <w:trPr>
          <w:trHeight w:val="409"/>
        </w:trPr>
        <w:tc>
          <w:tcPr>
            <w:tcW w:w="3809" w:type="dxa"/>
            <w:tcBorders>
              <w:left w:val="single" w:sz="4" w:space="0" w:color="2763AC"/>
            </w:tcBorders>
            <w:vAlign w:val="center"/>
          </w:tcPr>
          <w:p w14:paraId="129A8F16" w14:textId="77777777" w:rsidR="004321E2" w:rsidRPr="00730C0D" w:rsidRDefault="004321E2" w:rsidP="00DF7F10">
            <w:pPr>
              <w:spacing w:before="0" w:after="0"/>
              <w:rPr>
                <w:rFonts w:ascii="Century Gothic" w:hAnsi="Century Gothic"/>
                <w:b/>
                <w:sz w:val="20"/>
                <w:szCs w:val="20"/>
              </w:rPr>
            </w:pPr>
            <w:r w:rsidRPr="00730C0D">
              <w:rPr>
                <w:rFonts w:ascii="Century Gothic" w:hAnsi="Century Gothic"/>
                <w:b/>
                <w:sz w:val="20"/>
                <w:szCs w:val="20"/>
              </w:rPr>
              <w:t>Overseas University</w:t>
            </w:r>
          </w:p>
        </w:tc>
        <w:tc>
          <w:tcPr>
            <w:tcW w:w="1575" w:type="dxa"/>
            <w:vAlign w:val="center"/>
          </w:tcPr>
          <w:p w14:paraId="4E6FF8FC"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2</w:t>
            </w:r>
          </w:p>
        </w:tc>
        <w:tc>
          <w:tcPr>
            <w:tcW w:w="1575" w:type="dxa"/>
            <w:vAlign w:val="center"/>
          </w:tcPr>
          <w:p w14:paraId="38AFCC04"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c>
          <w:tcPr>
            <w:tcW w:w="1575" w:type="dxa"/>
            <w:vAlign w:val="center"/>
          </w:tcPr>
          <w:p w14:paraId="4B328194"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2</w:t>
            </w:r>
          </w:p>
        </w:tc>
        <w:tc>
          <w:tcPr>
            <w:tcW w:w="1576" w:type="dxa"/>
            <w:vAlign w:val="center"/>
          </w:tcPr>
          <w:p w14:paraId="6BA1F995"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r>
      <w:tr w:rsidR="004321E2" w:rsidRPr="00730C0D" w14:paraId="6E356B66" w14:textId="77777777" w:rsidTr="00FD399C">
        <w:trPr>
          <w:trHeight w:val="433"/>
        </w:trPr>
        <w:tc>
          <w:tcPr>
            <w:tcW w:w="3809" w:type="dxa"/>
            <w:tcBorders>
              <w:left w:val="single" w:sz="4" w:space="0" w:color="2763AC"/>
            </w:tcBorders>
            <w:shd w:val="clear" w:color="auto" w:fill="DEEAF6" w:themeFill="accent1" w:themeFillTint="33"/>
            <w:vAlign w:val="center"/>
          </w:tcPr>
          <w:p w14:paraId="11604B1D" w14:textId="77777777" w:rsidR="004321E2" w:rsidRPr="00730C0D" w:rsidRDefault="004321E2" w:rsidP="00DF7F10">
            <w:pPr>
              <w:spacing w:before="0" w:after="0"/>
              <w:rPr>
                <w:rFonts w:ascii="Century Gothic" w:hAnsi="Century Gothic"/>
                <w:b/>
                <w:sz w:val="20"/>
                <w:szCs w:val="20"/>
              </w:rPr>
            </w:pPr>
            <w:r w:rsidRPr="00730C0D">
              <w:rPr>
                <w:rFonts w:ascii="Century Gothic" w:hAnsi="Century Gothic"/>
                <w:b/>
                <w:sz w:val="20"/>
                <w:szCs w:val="20"/>
              </w:rPr>
              <w:t>Overseas University of Specialisation</w:t>
            </w:r>
          </w:p>
        </w:tc>
        <w:tc>
          <w:tcPr>
            <w:tcW w:w="1575" w:type="dxa"/>
            <w:shd w:val="clear" w:color="auto" w:fill="DEEAF6" w:themeFill="accent1" w:themeFillTint="33"/>
            <w:vAlign w:val="center"/>
          </w:tcPr>
          <w:p w14:paraId="362E4325"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c>
          <w:tcPr>
            <w:tcW w:w="1575" w:type="dxa"/>
            <w:shd w:val="clear" w:color="auto" w:fill="DEEAF6" w:themeFill="accent1" w:themeFillTint="33"/>
            <w:vAlign w:val="center"/>
          </w:tcPr>
          <w:p w14:paraId="27D2B158"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c>
          <w:tcPr>
            <w:tcW w:w="1575" w:type="dxa"/>
            <w:shd w:val="clear" w:color="auto" w:fill="DEEAF6" w:themeFill="accent1" w:themeFillTint="33"/>
            <w:vAlign w:val="center"/>
          </w:tcPr>
          <w:p w14:paraId="58EA3AB5"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c>
          <w:tcPr>
            <w:tcW w:w="1576" w:type="dxa"/>
            <w:shd w:val="clear" w:color="auto" w:fill="DEEAF6" w:themeFill="accent1" w:themeFillTint="33"/>
            <w:vAlign w:val="center"/>
          </w:tcPr>
          <w:p w14:paraId="2CDB255F" w14:textId="77777777" w:rsidR="004321E2" w:rsidRPr="00730C0D" w:rsidRDefault="004321E2" w:rsidP="00DF7F10">
            <w:pPr>
              <w:keepNext/>
              <w:spacing w:before="0" w:after="0"/>
              <w:rPr>
                <w:rFonts w:ascii="Century Gothic" w:hAnsi="Century Gothic"/>
                <w:sz w:val="20"/>
                <w:szCs w:val="20"/>
              </w:rPr>
            </w:pPr>
            <w:r w:rsidRPr="00730C0D">
              <w:rPr>
                <w:rFonts w:ascii="Century Gothic" w:hAnsi="Century Gothic"/>
                <w:sz w:val="20"/>
                <w:szCs w:val="20"/>
              </w:rPr>
              <w:t>0</w:t>
            </w:r>
          </w:p>
        </w:tc>
      </w:tr>
    </w:tbl>
    <w:p w14:paraId="1266299C" w14:textId="77777777" w:rsidR="004321E2" w:rsidRPr="00730C0D" w:rsidRDefault="004321E2" w:rsidP="004321E2">
      <w:pPr>
        <w:pStyle w:val="ListParagraph"/>
        <w:spacing w:before="0" w:after="0"/>
        <w:ind w:left="0" w:right="-142" w:hanging="284"/>
        <w:rPr>
          <w:rFonts w:ascii="Century Gothic" w:hAnsi="Century Gothic"/>
          <w:sz w:val="13"/>
          <w:szCs w:val="13"/>
        </w:rPr>
      </w:pPr>
      <w:r w:rsidRPr="00730C0D">
        <w:rPr>
          <w:rFonts w:ascii="Century Gothic" w:hAnsi="Century Gothic"/>
          <w:sz w:val="13"/>
          <w:szCs w:val="13"/>
        </w:rPr>
        <w:t>Note:</w:t>
      </w:r>
    </w:p>
    <w:p w14:paraId="7456FB65" w14:textId="32B1779E" w:rsidR="004321E2" w:rsidRPr="00730C0D" w:rsidRDefault="004321E2" w:rsidP="004321E2">
      <w:pPr>
        <w:pStyle w:val="ListParagraph"/>
        <w:spacing w:before="0" w:after="0"/>
        <w:ind w:left="0" w:right="-142" w:hanging="284"/>
        <w:rPr>
          <w:rFonts w:ascii="Century Gothic" w:hAnsi="Century Gothic"/>
          <w:sz w:val="13"/>
          <w:szCs w:val="13"/>
        </w:rPr>
      </w:pPr>
      <w:r w:rsidRPr="00730C0D">
        <w:rPr>
          <w:rFonts w:ascii="Century Gothic" w:hAnsi="Century Gothic"/>
          <w:sz w:val="13"/>
          <w:szCs w:val="13"/>
        </w:rPr>
        <w:t xml:space="preserve">* </w:t>
      </w:r>
      <w:r w:rsidRPr="00730C0D">
        <w:rPr>
          <w:rFonts w:ascii="Century Gothic" w:hAnsi="Century Gothic"/>
          <w:sz w:val="13"/>
          <w:szCs w:val="13"/>
        </w:rPr>
        <w:tab/>
        <w:t xml:space="preserve">The two universities that do not currently </w:t>
      </w:r>
      <w:r w:rsidR="00D94B21">
        <w:rPr>
          <w:rFonts w:ascii="Century Gothic" w:hAnsi="Century Gothic"/>
          <w:sz w:val="13"/>
          <w:szCs w:val="13"/>
        </w:rPr>
        <w:t>receive</w:t>
      </w:r>
      <w:r w:rsidRPr="00730C0D">
        <w:rPr>
          <w:rFonts w:ascii="Century Gothic" w:hAnsi="Century Gothic"/>
          <w:sz w:val="13"/>
          <w:szCs w:val="13"/>
        </w:rPr>
        <w:t xml:space="preserve"> CGS are Bond University and Torrens University Australia.</w:t>
      </w:r>
    </w:p>
    <w:p w14:paraId="47F73499" w14:textId="77777777" w:rsidR="004321E2" w:rsidRPr="00730C0D" w:rsidRDefault="004321E2" w:rsidP="004321E2">
      <w:pPr>
        <w:pStyle w:val="ListParagraph"/>
        <w:spacing w:before="0" w:after="0"/>
        <w:ind w:left="0" w:right="-142" w:hanging="284"/>
        <w:rPr>
          <w:rFonts w:ascii="Century Gothic" w:hAnsi="Century Gothic"/>
          <w:sz w:val="13"/>
          <w:szCs w:val="13"/>
        </w:rPr>
      </w:pPr>
    </w:p>
    <w:p w14:paraId="71A9A26D" w14:textId="77777777" w:rsidR="004321E2" w:rsidRPr="00730C0D" w:rsidRDefault="004321E2" w:rsidP="004321E2">
      <w:pPr>
        <w:pStyle w:val="ListParagraph"/>
        <w:spacing w:before="0" w:after="0"/>
        <w:ind w:left="0" w:right="-142" w:hanging="284"/>
        <w:rPr>
          <w:rFonts w:ascii="Century Gothic" w:hAnsi="Century Gothic"/>
          <w:sz w:val="13"/>
          <w:szCs w:val="13"/>
        </w:rPr>
      </w:pPr>
      <w:r w:rsidRPr="00730C0D">
        <w:rPr>
          <w:rFonts w:ascii="Century Gothic" w:hAnsi="Century Gothic"/>
          <w:sz w:val="13"/>
          <w:szCs w:val="13"/>
        </w:rPr>
        <w:t xml:space="preserve">Sources: </w:t>
      </w:r>
    </w:p>
    <w:p w14:paraId="2E3B22CC" w14:textId="77777777" w:rsidR="008A6C47" w:rsidRPr="00730C0D" w:rsidRDefault="008A6C47" w:rsidP="0024520B">
      <w:pPr>
        <w:pStyle w:val="ListParagraph"/>
        <w:numPr>
          <w:ilvl w:val="0"/>
          <w:numId w:val="61"/>
        </w:numPr>
        <w:spacing w:before="0" w:after="0"/>
        <w:ind w:left="0" w:right="-142" w:hanging="284"/>
        <w:rPr>
          <w:rFonts w:ascii="Century Gothic" w:hAnsi="Century Gothic"/>
          <w:sz w:val="13"/>
          <w:szCs w:val="13"/>
        </w:rPr>
      </w:pPr>
      <w:r w:rsidRPr="00730C0D">
        <w:rPr>
          <w:rFonts w:ascii="Century Gothic" w:hAnsi="Century Gothic"/>
          <w:sz w:val="13"/>
          <w:szCs w:val="13"/>
        </w:rPr>
        <w:t xml:space="preserve">Tertiary Education Quality and Standards Agency (TEQSA). (2019). </w:t>
      </w:r>
      <w:r w:rsidRPr="00730C0D">
        <w:rPr>
          <w:rFonts w:ascii="Century Gothic" w:hAnsi="Century Gothic"/>
          <w:i/>
          <w:sz w:val="13"/>
          <w:szCs w:val="13"/>
        </w:rPr>
        <w:t>National Register Summary Table.</w:t>
      </w:r>
      <w:r w:rsidRPr="00730C0D">
        <w:rPr>
          <w:rFonts w:ascii="Century Gothic" w:hAnsi="Century Gothic"/>
          <w:sz w:val="13"/>
          <w:szCs w:val="13"/>
        </w:rPr>
        <w:t xml:space="preserve"> Retrieved 03/09/2019</w:t>
      </w:r>
      <w:r w:rsidRPr="00730C0D">
        <w:rPr>
          <w:rFonts w:ascii="Century Gothic" w:hAnsi="Century Gothic"/>
          <w:sz w:val="14"/>
          <w:szCs w:val="14"/>
        </w:rPr>
        <w:t xml:space="preserve"> </w:t>
      </w:r>
    </w:p>
    <w:p w14:paraId="2DB2C400" w14:textId="77777777" w:rsidR="008A6C47" w:rsidRPr="00730C0D" w:rsidRDefault="008A6C47" w:rsidP="006A7659">
      <w:pPr>
        <w:spacing w:before="0" w:after="0"/>
        <w:ind w:right="-142"/>
        <w:rPr>
          <w:rFonts w:ascii="Century Gothic" w:hAnsi="Century Gothic"/>
          <w:sz w:val="13"/>
          <w:szCs w:val="13"/>
        </w:rPr>
      </w:pPr>
      <w:r w:rsidRPr="00730C0D">
        <w:rPr>
          <w:rFonts w:ascii="Century Gothic" w:hAnsi="Century Gothic"/>
          <w:sz w:val="13"/>
          <w:szCs w:val="13"/>
        </w:rPr>
        <w:t xml:space="preserve">from: </w:t>
      </w:r>
      <w:hyperlink r:id="rId32" w:history="1">
        <w:r w:rsidRPr="00730C0D">
          <w:rPr>
            <w:rStyle w:val="Hyperlink"/>
            <w:rFonts w:ascii="Century Gothic" w:hAnsi="Century Gothic"/>
            <w:sz w:val="13"/>
            <w:szCs w:val="13"/>
          </w:rPr>
          <w:t>www.teqsa.gov.au/national-register</w:t>
        </w:r>
      </w:hyperlink>
      <w:r w:rsidRPr="00730C0D">
        <w:rPr>
          <w:rFonts w:ascii="Century Gothic" w:hAnsi="Century Gothic"/>
          <w:sz w:val="13"/>
          <w:szCs w:val="13"/>
        </w:rPr>
        <w:t>.</w:t>
      </w:r>
    </w:p>
    <w:p w14:paraId="282D3DF1" w14:textId="14CF08C9" w:rsidR="004321E2" w:rsidRPr="00730C0D" w:rsidRDefault="004321E2" w:rsidP="0024520B">
      <w:pPr>
        <w:pStyle w:val="ListParagraph"/>
        <w:numPr>
          <w:ilvl w:val="0"/>
          <w:numId w:val="61"/>
        </w:numPr>
        <w:spacing w:before="0" w:after="0"/>
        <w:ind w:left="0" w:right="-142" w:hanging="284"/>
        <w:rPr>
          <w:rStyle w:val="Hyperlink"/>
          <w:rFonts w:ascii="Century Gothic" w:hAnsi="Century Gothic"/>
          <w:sz w:val="13"/>
          <w:szCs w:val="13"/>
        </w:rPr>
      </w:pPr>
      <w:r w:rsidRPr="00730C0D">
        <w:rPr>
          <w:rFonts w:ascii="Century Gothic" w:hAnsi="Century Gothic"/>
          <w:i/>
          <w:sz w:val="13"/>
          <w:szCs w:val="13"/>
        </w:rPr>
        <w:t>Higher Education Support Act 2003</w:t>
      </w:r>
      <w:r w:rsidRPr="00730C0D">
        <w:rPr>
          <w:rFonts w:ascii="Century Gothic" w:hAnsi="Century Gothic"/>
          <w:sz w:val="13"/>
          <w:szCs w:val="13"/>
        </w:rPr>
        <w:t xml:space="preserve">, </w:t>
      </w:r>
      <w:r w:rsidRPr="00730C0D">
        <w:rPr>
          <w:rFonts w:ascii="Century Gothic" w:hAnsi="Century Gothic"/>
          <w:i/>
          <w:sz w:val="13"/>
          <w:szCs w:val="13"/>
        </w:rPr>
        <w:t>Commonwealth Grant Scheme Guidelines 2012</w:t>
      </w:r>
      <w:r w:rsidRPr="00730C0D">
        <w:rPr>
          <w:rFonts w:ascii="Century Gothic" w:hAnsi="Century Gothic"/>
          <w:sz w:val="13"/>
          <w:szCs w:val="13"/>
        </w:rPr>
        <w:t xml:space="preserve"> and Australian Government Department of Education 2019</w:t>
      </w:r>
      <w:r w:rsidRPr="00730C0D">
        <w:rPr>
          <w:rFonts w:ascii="Century Gothic" w:hAnsi="Century Gothic"/>
          <w:sz w:val="13"/>
          <w:szCs w:val="13"/>
          <w:highlight w:val="yellow"/>
        </w:rPr>
        <w:t xml:space="preserve"> </w:t>
      </w:r>
      <w:r w:rsidRPr="00730C0D">
        <w:rPr>
          <w:rFonts w:ascii="Century Gothic" w:hAnsi="Century Gothic"/>
          <w:i/>
          <w:sz w:val="13"/>
          <w:szCs w:val="13"/>
        </w:rPr>
        <w:t>Higher Education Provider’s 2018-2020 Commonwealth Grant Scheme Funding Agreements</w:t>
      </w:r>
      <w:r w:rsidR="002C11B4" w:rsidRPr="00730C0D">
        <w:rPr>
          <w:rFonts w:ascii="Century Gothic" w:hAnsi="Century Gothic"/>
          <w:sz w:val="13"/>
          <w:szCs w:val="13"/>
        </w:rPr>
        <w:t xml:space="preserve">. Retrieved from: </w:t>
      </w:r>
      <w:hyperlink r:id="rId33" w:history="1">
        <w:r w:rsidR="002C11B4" w:rsidRPr="00730C0D">
          <w:rPr>
            <w:rStyle w:val="Hyperlink"/>
            <w:rFonts w:ascii="Century Gothic" w:hAnsi="Century Gothic"/>
            <w:sz w:val="13"/>
            <w:szCs w:val="13"/>
          </w:rPr>
          <w:t>https://docs.education.gov.au/node/49011</w:t>
        </w:r>
      </w:hyperlink>
      <w:r w:rsidR="002C11B4" w:rsidRPr="00730C0D">
        <w:rPr>
          <w:rFonts w:ascii="Century Gothic" w:hAnsi="Century Gothic"/>
          <w:sz w:val="13"/>
          <w:szCs w:val="13"/>
        </w:rPr>
        <w:t xml:space="preserve">. </w:t>
      </w:r>
    </w:p>
    <w:p w14:paraId="6AAE1C1E" w14:textId="0BDE7A4E" w:rsidR="004321E2" w:rsidRPr="00730C0D" w:rsidRDefault="004321E2" w:rsidP="0024520B">
      <w:pPr>
        <w:pStyle w:val="ListParagraph"/>
        <w:numPr>
          <w:ilvl w:val="0"/>
          <w:numId w:val="61"/>
        </w:numPr>
        <w:spacing w:before="0" w:after="0" w:line="240" w:lineRule="auto"/>
        <w:ind w:left="0" w:right="-142" w:hanging="284"/>
        <w:rPr>
          <w:rFonts w:ascii="Century Gothic" w:hAnsi="Century Gothic"/>
          <w:sz w:val="13"/>
          <w:szCs w:val="13"/>
        </w:rPr>
      </w:pPr>
      <w:r w:rsidRPr="00730C0D">
        <w:rPr>
          <w:rFonts w:ascii="Century Gothic" w:hAnsi="Century Gothic"/>
          <w:i/>
          <w:sz w:val="13"/>
          <w:szCs w:val="13"/>
        </w:rPr>
        <w:t>Higher Education Support Act 2003</w:t>
      </w:r>
      <w:r w:rsidRPr="00730C0D">
        <w:rPr>
          <w:rFonts w:ascii="Century Gothic" w:hAnsi="Century Gothic"/>
          <w:sz w:val="13"/>
          <w:szCs w:val="13"/>
        </w:rPr>
        <w:t xml:space="preserve"> and Australian Government Department of Education 2019.</w:t>
      </w:r>
    </w:p>
    <w:p w14:paraId="3479955F" w14:textId="55ACDD2D" w:rsidR="004321E2" w:rsidRPr="00730C0D" w:rsidRDefault="004321E2" w:rsidP="0024520B">
      <w:pPr>
        <w:pStyle w:val="ListParagraph"/>
        <w:numPr>
          <w:ilvl w:val="0"/>
          <w:numId w:val="61"/>
        </w:numPr>
        <w:spacing w:before="0" w:after="0" w:line="240" w:lineRule="auto"/>
        <w:ind w:left="0" w:right="-142" w:hanging="284"/>
        <w:rPr>
          <w:rStyle w:val="Hyperlink"/>
          <w:rFonts w:ascii="Century Gothic" w:hAnsi="Century Gothic"/>
          <w:sz w:val="13"/>
          <w:szCs w:val="13"/>
        </w:rPr>
      </w:pPr>
      <w:r w:rsidRPr="00730C0D">
        <w:rPr>
          <w:rFonts w:ascii="Century Gothic" w:hAnsi="Century Gothic"/>
          <w:i/>
          <w:sz w:val="13"/>
          <w:szCs w:val="13"/>
        </w:rPr>
        <w:t>Higher Education Support Act 2003</w:t>
      </w:r>
      <w:r w:rsidRPr="00730C0D">
        <w:rPr>
          <w:rFonts w:ascii="Century Gothic" w:hAnsi="Century Gothic"/>
          <w:sz w:val="13"/>
          <w:szCs w:val="13"/>
        </w:rPr>
        <w:t xml:space="preserve">, </w:t>
      </w:r>
      <w:r w:rsidRPr="00730C0D">
        <w:rPr>
          <w:rFonts w:ascii="Century Gothic" w:hAnsi="Century Gothic"/>
          <w:i/>
          <w:sz w:val="13"/>
          <w:szCs w:val="13"/>
        </w:rPr>
        <w:t>Other Grants Guidelines (Research) 2017</w:t>
      </w:r>
      <w:r w:rsidRPr="00730C0D">
        <w:rPr>
          <w:rFonts w:ascii="Century Gothic" w:hAnsi="Century Gothic"/>
          <w:sz w:val="13"/>
          <w:szCs w:val="13"/>
        </w:rPr>
        <w:t xml:space="preserve">, </w:t>
      </w:r>
      <w:r w:rsidRPr="00730C0D">
        <w:rPr>
          <w:rFonts w:ascii="Century Gothic" w:hAnsi="Century Gothic"/>
          <w:i/>
          <w:sz w:val="13"/>
          <w:szCs w:val="13"/>
        </w:rPr>
        <w:t>Commonwealth Scholarships Guidelines (Research) 2017</w:t>
      </w:r>
      <w:r w:rsidRPr="00730C0D">
        <w:rPr>
          <w:rFonts w:ascii="Century Gothic" w:hAnsi="Century Gothic"/>
          <w:sz w:val="13"/>
          <w:szCs w:val="13"/>
        </w:rPr>
        <w:t>,</w:t>
      </w:r>
      <w:r w:rsidRPr="00730C0D">
        <w:rPr>
          <w:rFonts w:ascii="Century Gothic" w:hAnsi="Century Gothic"/>
          <w:sz w:val="13"/>
          <w:szCs w:val="13"/>
        </w:rPr>
        <w:br/>
        <w:t>and Australian Government Department of Education</w:t>
      </w:r>
      <w:r w:rsidR="00DF7F10" w:rsidRPr="00730C0D">
        <w:rPr>
          <w:rFonts w:ascii="Century Gothic" w:hAnsi="Century Gothic"/>
          <w:sz w:val="13"/>
          <w:szCs w:val="13"/>
        </w:rPr>
        <w:t>.</w:t>
      </w:r>
      <w:r w:rsidRPr="00730C0D">
        <w:rPr>
          <w:rFonts w:ascii="Century Gothic" w:hAnsi="Century Gothic"/>
          <w:sz w:val="13"/>
          <w:szCs w:val="13"/>
        </w:rPr>
        <w:t xml:space="preserve"> </w:t>
      </w:r>
      <w:r w:rsidR="00DF7F10" w:rsidRPr="00730C0D">
        <w:rPr>
          <w:rFonts w:ascii="Century Gothic" w:hAnsi="Century Gothic"/>
          <w:sz w:val="13"/>
          <w:szCs w:val="13"/>
        </w:rPr>
        <w:t>(</w:t>
      </w:r>
      <w:r w:rsidRPr="00730C0D">
        <w:rPr>
          <w:rFonts w:ascii="Century Gothic" w:hAnsi="Century Gothic"/>
          <w:sz w:val="13"/>
          <w:szCs w:val="13"/>
        </w:rPr>
        <w:t>2019</w:t>
      </w:r>
      <w:r w:rsidR="00DF7F10" w:rsidRPr="00730C0D">
        <w:rPr>
          <w:rFonts w:ascii="Century Gothic" w:hAnsi="Century Gothic"/>
          <w:sz w:val="13"/>
          <w:szCs w:val="13"/>
        </w:rPr>
        <w:t>)</w:t>
      </w:r>
      <w:r w:rsidRPr="00730C0D">
        <w:rPr>
          <w:rFonts w:ascii="Century Gothic" w:hAnsi="Century Gothic"/>
          <w:sz w:val="13"/>
          <w:szCs w:val="13"/>
        </w:rPr>
        <w:t xml:space="preserve">. </w:t>
      </w:r>
      <w:r w:rsidRPr="00730C0D">
        <w:rPr>
          <w:rFonts w:ascii="Century Gothic" w:hAnsi="Century Gothic"/>
          <w:i/>
          <w:sz w:val="13"/>
          <w:szCs w:val="13"/>
        </w:rPr>
        <w:t>2019 Research Block Grant Allocations</w:t>
      </w:r>
      <w:r w:rsidRPr="00730C0D">
        <w:rPr>
          <w:rFonts w:ascii="Century Gothic" w:hAnsi="Century Gothic"/>
          <w:sz w:val="13"/>
          <w:szCs w:val="13"/>
        </w:rPr>
        <w:t xml:space="preserve">. Retrieved from: </w:t>
      </w:r>
      <w:hyperlink r:id="rId34" w:history="1">
        <w:r w:rsidRPr="00730C0D">
          <w:rPr>
            <w:rStyle w:val="Hyperlink"/>
            <w:rFonts w:ascii="Century Gothic" w:hAnsi="Century Gothic"/>
            <w:sz w:val="13"/>
            <w:szCs w:val="13"/>
          </w:rPr>
          <w:t>https://docs.education.gov.au/node/51901</w:t>
        </w:r>
      </w:hyperlink>
      <w:r w:rsidRPr="00730C0D">
        <w:rPr>
          <w:rFonts w:ascii="Century Gothic" w:hAnsi="Century Gothic"/>
          <w:sz w:val="13"/>
          <w:szCs w:val="13"/>
        </w:rPr>
        <w:t>.</w:t>
      </w:r>
    </w:p>
    <w:p w14:paraId="4981DC3A" w14:textId="77777777" w:rsidR="00687BEA" w:rsidRPr="00730C0D" w:rsidRDefault="00687BEA" w:rsidP="00687BEA">
      <w:pPr>
        <w:spacing w:before="0" w:after="0"/>
        <w:rPr>
          <w:rFonts w:ascii="Century Gothic" w:hAnsi="Century Gothic"/>
          <w:sz w:val="20"/>
          <w:szCs w:val="20"/>
        </w:rPr>
      </w:pPr>
    </w:p>
    <w:p w14:paraId="5CC44B6C" w14:textId="77777777" w:rsidR="00FD399C" w:rsidRDefault="00FD399C" w:rsidP="00D31B9A">
      <w:pPr>
        <w:spacing w:before="0" w:after="0"/>
        <w:rPr>
          <w:rFonts w:ascii="Century Gothic" w:hAnsi="Century Gothic"/>
          <w:sz w:val="20"/>
          <w:szCs w:val="20"/>
        </w:rPr>
      </w:pPr>
    </w:p>
    <w:p w14:paraId="25D98179" w14:textId="5BB57E8A" w:rsidR="00AC7D05" w:rsidRPr="00730C0D" w:rsidRDefault="00687BEA" w:rsidP="00D31B9A">
      <w:pPr>
        <w:spacing w:before="0" w:after="0"/>
        <w:rPr>
          <w:rFonts w:ascii="Century Gothic" w:hAnsi="Century Gothic"/>
          <w:sz w:val="20"/>
          <w:szCs w:val="20"/>
        </w:rPr>
      </w:pPr>
      <w:r w:rsidRPr="00730C0D">
        <w:rPr>
          <w:rFonts w:ascii="Century Gothic" w:hAnsi="Century Gothic"/>
          <w:sz w:val="20"/>
          <w:szCs w:val="20"/>
        </w:rPr>
        <w:t xml:space="preserve">While the share of Australian Government funding to higher education is weighted towards universities, this is a consequence of </w:t>
      </w:r>
      <w:r w:rsidR="00D9389A" w:rsidRPr="00730C0D">
        <w:rPr>
          <w:rFonts w:ascii="Century Gothic" w:hAnsi="Century Gothic"/>
          <w:sz w:val="20"/>
          <w:szCs w:val="20"/>
        </w:rPr>
        <w:t xml:space="preserve">public policy choice and </w:t>
      </w:r>
      <w:r w:rsidRPr="00730C0D">
        <w:rPr>
          <w:rFonts w:ascii="Century Gothic" w:hAnsi="Century Gothic"/>
          <w:sz w:val="20"/>
          <w:szCs w:val="20"/>
        </w:rPr>
        <w:t xml:space="preserve">the current way in which higher education funding is administered, rather than the </w:t>
      </w:r>
      <w:r w:rsidR="00D9389A" w:rsidRPr="00730C0D">
        <w:rPr>
          <w:rFonts w:ascii="Century Gothic" w:hAnsi="Century Gothic"/>
          <w:sz w:val="20"/>
          <w:szCs w:val="20"/>
        </w:rPr>
        <w:t xml:space="preserve">method </w:t>
      </w:r>
      <w:r w:rsidRPr="00730C0D">
        <w:rPr>
          <w:rFonts w:ascii="Century Gothic" w:hAnsi="Century Gothic"/>
          <w:sz w:val="20"/>
          <w:szCs w:val="20"/>
        </w:rPr>
        <w:t xml:space="preserve">in which providers are categorised within the PCS. </w:t>
      </w:r>
      <w:r w:rsidR="00AC7D05" w:rsidRPr="00730C0D">
        <w:rPr>
          <w:rFonts w:ascii="Century Gothic" w:hAnsi="Century Gothic"/>
          <w:sz w:val="20"/>
          <w:szCs w:val="20"/>
        </w:rPr>
        <w:t xml:space="preserve"> </w:t>
      </w:r>
    </w:p>
    <w:p w14:paraId="65E80044" w14:textId="77777777" w:rsidR="00D9389A" w:rsidRPr="00730C0D" w:rsidRDefault="00D9389A" w:rsidP="00D31B9A">
      <w:pPr>
        <w:spacing w:before="0" w:after="0"/>
        <w:rPr>
          <w:rFonts w:ascii="Century Gothic" w:hAnsi="Century Gothic"/>
          <w:sz w:val="20"/>
          <w:szCs w:val="20"/>
        </w:rPr>
      </w:pPr>
    </w:p>
    <w:p w14:paraId="2448C64A" w14:textId="57A9400F" w:rsidR="00AC7D05" w:rsidRPr="00730C0D" w:rsidRDefault="00AE1672" w:rsidP="004978DA">
      <w:pPr>
        <w:pStyle w:val="Heading2"/>
      </w:pPr>
      <w:bookmarkStart w:id="33" w:name="_Toc18592319"/>
      <w:r w:rsidRPr="00730C0D">
        <w:t>1.2</w:t>
      </w:r>
      <w:r w:rsidRPr="00730C0D">
        <w:tab/>
      </w:r>
      <w:r w:rsidR="00AC7D05" w:rsidRPr="00730C0D">
        <w:t>Changing Landscape</w:t>
      </w:r>
      <w:bookmarkEnd w:id="33"/>
      <w:r w:rsidR="00AC7D05" w:rsidRPr="00730C0D">
        <w:t xml:space="preserve"> </w:t>
      </w:r>
    </w:p>
    <w:p w14:paraId="6AE13AEC" w14:textId="77777777" w:rsidR="002C11B4"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Since the establishment of the National Protocols in 2000, Australia’s higher education sector has experienced significant change to the l</w:t>
      </w:r>
      <w:r w:rsidR="002C11B4" w:rsidRPr="00730C0D">
        <w:rPr>
          <w:rFonts w:ascii="Century Gothic" w:hAnsi="Century Gothic"/>
          <w:sz w:val="20"/>
          <w:szCs w:val="20"/>
        </w:rPr>
        <w:t xml:space="preserve">andscape in which it operates. </w:t>
      </w:r>
    </w:p>
    <w:p w14:paraId="7F3E8E98" w14:textId="77777777" w:rsidR="002C11B4" w:rsidRPr="00730C0D" w:rsidRDefault="002C11B4" w:rsidP="00D31B9A">
      <w:pPr>
        <w:spacing w:before="0" w:after="0"/>
        <w:rPr>
          <w:rFonts w:ascii="Century Gothic" w:hAnsi="Century Gothic"/>
          <w:sz w:val="20"/>
          <w:szCs w:val="20"/>
        </w:rPr>
      </w:pPr>
    </w:p>
    <w:p w14:paraId="7B858400" w14:textId="6291678E" w:rsidR="003C2DF9" w:rsidRPr="00730C0D" w:rsidRDefault="003C2DF9" w:rsidP="00D31B9A">
      <w:pPr>
        <w:spacing w:before="0" w:after="0"/>
        <w:rPr>
          <w:rFonts w:ascii="Century Gothic" w:hAnsi="Century Gothic"/>
          <w:sz w:val="20"/>
          <w:szCs w:val="20"/>
        </w:rPr>
      </w:pPr>
      <w:r w:rsidRPr="00730C0D">
        <w:rPr>
          <w:rFonts w:ascii="Century Gothic" w:hAnsi="Century Gothic"/>
          <w:sz w:val="20"/>
          <w:szCs w:val="20"/>
        </w:rPr>
        <w:t>Over the last 20 years, there has been an almost doubling of the number of students in higher education in Australia, with an overwhelming majority studying at universities</w:t>
      </w:r>
      <w:r w:rsidR="006C7E07" w:rsidRPr="00730C0D">
        <w:rPr>
          <w:rFonts w:ascii="Century Gothic" w:hAnsi="Century Gothic"/>
          <w:sz w:val="20"/>
          <w:szCs w:val="20"/>
        </w:rPr>
        <w:t xml:space="preserve"> (see Figure 1.2)</w:t>
      </w:r>
      <w:r w:rsidRPr="00730C0D">
        <w:rPr>
          <w:rFonts w:ascii="Century Gothic" w:hAnsi="Century Gothic"/>
          <w:sz w:val="20"/>
          <w:szCs w:val="20"/>
        </w:rPr>
        <w:t xml:space="preserve">. </w:t>
      </w:r>
      <w:r w:rsidR="00AC7D05" w:rsidRPr="00730C0D">
        <w:rPr>
          <w:rFonts w:ascii="Century Gothic" w:hAnsi="Century Gothic"/>
          <w:sz w:val="20"/>
          <w:szCs w:val="20"/>
        </w:rPr>
        <w:t xml:space="preserve">In 2000, fewer than </w:t>
      </w:r>
      <w:r w:rsidR="001153C7" w:rsidRPr="00730C0D">
        <w:rPr>
          <w:rFonts w:ascii="Century Gothic" w:hAnsi="Century Gothic"/>
          <w:sz w:val="20"/>
          <w:szCs w:val="20"/>
        </w:rPr>
        <w:t xml:space="preserve">16 </w:t>
      </w:r>
      <w:r w:rsidR="00AC7D05" w:rsidRPr="00730C0D">
        <w:rPr>
          <w:rFonts w:ascii="Century Gothic" w:hAnsi="Century Gothic"/>
          <w:sz w:val="20"/>
          <w:szCs w:val="20"/>
        </w:rPr>
        <w:t>per cent of A</w:t>
      </w:r>
      <w:r w:rsidR="001153C7" w:rsidRPr="00730C0D">
        <w:rPr>
          <w:rFonts w:ascii="Century Gothic" w:hAnsi="Century Gothic"/>
          <w:sz w:val="20"/>
          <w:szCs w:val="20"/>
        </w:rPr>
        <w:t>ustralians aged 15-64 held at least a B</w:t>
      </w:r>
      <w:r w:rsidR="00AC7D05" w:rsidRPr="00730C0D">
        <w:rPr>
          <w:rFonts w:ascii="Century Gothic" w:hAnsi="Century Gothic"/>
          <w:sz w:val="20"/>
          <w:szCs w:val="20"/>
        </w:rPr>
        <w:t xml:space="preserve">achelor qualification. </w:t>
      </w:r>
      <w:r w:rsidR="001153C7" w:rsidRPr="00730C0D">
        <w:rPr>
          <w:rFonts w:ascii="Century Gothic" w:hAnsi="Century Gothic"/>
          <w:sz w:val="20"/>
          <w:szCs w:val="20"/>
        </w:rPr>
        <w:t>In 2018</w:t>
      </w:r>
      <w:r w:rsidR="006214C6" w:rsidRPr="00730C0D">
        <w:rPr>
          <w:rFonts w:ascii="Century Gothic" w:hAnsi="Century Gothic"/>
          <w:sz w:val="20"/>
          <w:szCs w:val="20"/>
        </w:rPr>
        <w:t>,</w:t>
      </w:r>
      <w:r w:rsidR="00AC7D05" w:rsidRPr="00730C0D">
        <w:rPr>
          <w:rFonts w:ascii="Century Gothic" w:hAnsi="Century Gothic"/>
          <w:sz w:val="20"/>
          <w:szCs w:val="20"/>
        </w:rPr>
        <w:t xml:space="preserve"> that figure is more than 31 per cent.</w:t>
      </w:r>
      <w:r w:rsidR="00AC7D05" w:rsidRPr="00730C0D">
        <w:rPr>
          <w:rStyle w:val="FootnoteReference"/>
          <w:rFonts w:ascii="Century Gothic" w:hAnsi="Century Gothic"/>
          <w:sz w:val="20"/>
          <w:szCs w:val="20"/>
        </w:rPr>
        <w:footnoteReference w:id="13"/>
      </w:r>
      <w:r w:rsidR="00AC7D05" w:rsidRPr="00730C0D">
        <w:rPr>
          <w:rFonts w:ascii="Century Gothic" w:hAnsi="Century Gothic"/>
          <w:sz w:val="20"/>
          <w:szCs w:val="20"/>
        </w:rPr>
        <w:t xml:space="preserve"> </w:t>
      </w:r>
    </w:p>
    <w:p w14:paraId="2F7700A2" w14:textId="38E2DCAA" w:rsidR="003C2DF9" w:rsidRPr="00730C0D" w:rsidRDefault="003C2DF9" w:rsidP="00D31B9A">
      <w:pPr>
        <w:spacing w:before="0" w:after="0"/>
        <w:rPr>
          <w:rFonts w:ascii="Century Gothic" w:hAnsi="Century Gothic"/>
          <w:sz w:val="20"/>
          <w:szCs w:val="20"/>
        </w:rPr>
      </w:pPr>
    </w:p>
    <w:p w14:paraId="440ED9D5" w14:textId="18A47C65" w:rsidR="00DC77B4" w:rsidRPr="00730C0D" w:rsidRDefault="00DC77B4" w:rsidP="00266D8E">
      <w:pPr>
        <w:pStyle w:val="Caption"/>
        <w:keepNext/>
        <w:rPr>
          <w:rFonts w:ascii="Century Gothic" w:hAnsi="Century Gothic"/>
          <w:sz w:val="20"/>
          <w:szCs w:val="20"/>
        </w:rPr>
      </w:pPr>
      <w:bookmarkStart w:id="34" w:name="_Toc18496165"/>
      <w:r w:rsidRPr="00730C0D">
        <w:rPr>
          <w:rFonts w:ascii="Century Gothic" w:hAnsi="Century Gothic"/>
          <w:sz w:val="20"/>
          <w:szCs w:val="20"/>
        </w:rPr>
        <w:t>Figure 1</w:t>
      </w:r>
      <w:r w:rsidR="00196E7B" w:rsidRPr="00730C0D">
        <w:rPr>
          <w:rFonts w:ascii="Century Gothic" w:hAnsi="Century Gothic"/>
          <w:sz w:val="20"/>
          <w:szCs w:val="20"/>
        </w:rPr>
        <w:t>.</w:t>
      </w:r>
      <w:r w:rsidR="00C966D1" w:rsidRPr="00730C0D">
        <w:rPr>
          <w:rFonts w:ascii="Century Gothic" w:hAnsi="Century Gothic"/>
          <w:sz w:val="20"/>
          <w:szCs w:val="20"/>
        </w:rPr>
        <w:fldChar w:fldCharType="begin"/>
      </w:r>
      <w:r w:rsidR="00C966D1" w:rsidRPr="00730C0D">
        <w:rPr>
          <w:rFonts w:ascii="Century Gothic" w:hAnsi="Century Gothic"/>
          <w:sz w:val="20"/>
          <w:szCs w:val="20"/>
        </w:rPr>
        <w:instrText xml:space="preserve"> SEQ Figure \* ARABIC \s 1 </w:instrText>
      </w:r>
      <w:r w:rsidR="00C966D1" w:rsidRPr="00730C0D">
        <w:rPr>
          <w:rFonts w:ascii="Century Gothic" w:hAnsi="Century Gothic"/>
          <w:sz w:val="20"/>
          <w:szCs w:val="20"/>
        </w:rPr>
        <w:fldChar w:fldCharType="separate"/>
      </w:r>
      <w:r w:rsidR="00F732D2">
        <w:rPr>
          <w:rFonts w:ascii="Century Gothic" w:hAnsi="Century Gothic"/>
          <w:noProof/>
          <w:sz w:val="20"/>
          <w:szCs w:val="20"/>
        </w:rPr>
        <w:t>2</w:t>
      </w:r>
      <w:r w:rsidR="00C966D1" w:rsidRPr="00730C0D">
        <w:rPr>
          <w:rFonts w:ascii="Century Gothic" w:hAnsi="Century Gothic"/>
          <w:noProof/>
          <w:sz w:val="20"/>
          <w:szCs w:val="20"/>
        </w:rPr>
        <w:fldChar w:fldCharType="end"/>
      </w:r>
      <w:r w:rsidRPr="00730C0D">
        <w:rPr>
          <w:rFonts w:ascii="Century Gothic" w:hAnsi="Century Gothic"/>
          <w:sz w:val="20"/>
          <w:szCs w:val="20"/>
        </w:rPr>
        <w:t>: Student Numbers by Provider Type</w:t>
      </w:r>
      <w:r w:rsidR="00E70A1F" w:rsidRPr="00730C0D">
        <w:rPr>
          <w:rStyle w:val="FootnoteReference"/>
          <w:rFonts w:ascii="Century Gothic" w:hAnsi="Century Gothic"/>
          <w:b w:val="0"/>
          <w:i w:val="0"/>
          <w:sz w:val="20"/>
          <w:szCs w:val="20"/>
        </w:rPr>
        <w:footnoteReference w:id="14"/>
      </w:r>
      <w:bookmarkEnd w:id="34"/>
    </w:p>
    <w:p w14:paraId="1A732150" w14:textId="4BB4E6D7" w:rsidR="00AC7D05" w:rsidRPr="00730C0D" w:rsidRDefault="00A12222" w:rsidP="007F0D76">
      <w:pPr>
        <w:spacing w:before="0" w:after="0"/>
        <w:jc w:val="center"/>
        <w:rPr>
          <w:rFonts w:ascii="Century Gothic" w:hAnsi="Century Gothic"/>
          <w:sz w:val="20"/>
          <w:szCs w:val="20"/>
        </w:rPr>
      </w:pPr>
      <w:r w:rsidRPr="00730C0D">
        <w:rPr>
          <w:rFonts w:ascii="Century Gothic" w:hAnsi="Century Gothic"/>
          <w:noProof/>
          <w:lang w:eastAsia="en-AU"/>
        </w:rPr>
        <w:drawing>
          <wp:inline distT="0" distB="0" distL="0" distR="0" wp14:anchorId="76089095" wp14:editId="04D2DEA2">
            <wp:extent cx="5767754" cy="3637504"/>
            <wp:effectExtent l="0" t="0" r="4445" b="1270"/>
            <wp:docPr id="7" name="Picture 7" descr="Graph depicting student numbers by provider type from 2001-2017." title="Figure 1.2: Student Numbers by Provider Typ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5" cstate="print">
                      <a:extLst>
                        <a:ext uri="{28A0092B-C50C-407E-A947-70E740481C1C}">
                          <a14:useLocalDpi xmlns:a14="http://schemas.microsoft.com/office/drawing/2010/main"/>
                        </a:ext>
                      </a:extLst>
                    </a:blip>
                    <a:stretch>
                      <a:fillRect/>
                    </a:stretch>
                  </pic:blipFill>
                  <pic:spPr>
                    <a:xfrm>
                      <a:off x="0" y="0"/>
                      <a:ext cx="5798165" cy="3656683"/>
                    </a:xfrm>
                    <a:prstGeom prst="rect">
                      <a:avLst/>
                    </a:prstGeom>
                  </pic:spPr>
                </pic:pic>
              </a:graphicData>
            </a:graphic>
          </wp:inline>
        </w:drawing>
      </w:r>
    </w:p>
    <w:p w14:paraId="595BFE08" w14:textId="20E0CEAF" w:rsidR="002C11B4" w:rsidRPr="00730C0D" w:rsidRDefault="002C11B4" w:rsidP="00D31B9A">
      <w:pPr>
        <w:spacing w:before="0" w:after="0"/>
        <w:rPr>
          <w:rFonts w:ascii="Century Gothic" w:hAnsi="Century Gothic"/>
          <w:sz w:val="20"/>
          <w:szCs w:val="20"/>
        </w:rPr>
      </w:pPr>
    </w:p>
    <w:p w14:paraId="3E000B17" w14:textId="77777777" w:rsidR="00FD399C" w:rsidRPr="00730C0D" w:rsidRDefault="00FD399C" w:rsidP="00FD399C">
      <w:pPr>
        <w:spacing w:before="0" w:after="0"/>
        <w:rPr>
          <w:rFonts w:ascii="Century Gothic" w:hAnsi="Century Gothic"/>
          <w:sz w:val="20"/>
          <w:szCs w:val="20"/>
        </w:rPr>
      </w:pPr>
      <w:r w:rsidRPr="00730C0D">
        <w:rPr>
          <w:rFonts w:ascii="Century Gothic" w:hAnsi="Century Gothic"/>
          <w:sz w:val="20"/>
          <w:szCs w:val="20"/>
        </w:rPr>
        <w:t>International education is now Australia’s fourth largest export, worth $35.2 billion to the economy in 2018</w:t>
      </w:r>
      <w:r w:rsidRPr="00730C0D">
        <w:rPr>
          <w:rStyle w:val="FootnoteReference"/>
          <w:rFonts w:ascii="Century Gothic" w:hAnsi="Century Gothic"/>
          <w:sz w:val="20"/>
          <w:szCs w:val="20"/>
        </w:rPr>
        <w:footnoteReference w:id="15"/>
      </w:r>
      <w:r w:rsidRPr="00730C0D">
        <w:rPr>
          <w:rFonts w:ascii="Century Gothic" w:hAnsi="Century Gothic"/>
          <w:sz w:val="20"/>
          <w:szCs w:val="20"/>
        </w:rPr>
        <w:t xml:space="preserve"> and supporting over 240,000 jobs nationally.</w:t>
      </w:r>
      <w:r w:rsidRPr="00730C0D">
        <w:rPr>
          <w:rStyle w:val="FootnoteReference"/>
          <w:rFonts w:ascii="Century Gothic" w:hAnsi="Century Gothic"/>
          <w:sz w:val="20"/>
          <w:szCs w:val="20"/>
        </w:rPr>
        <w:footnoteReference w:id="16"/>
      </w:r>
      <w:r w:rsidRPr="00730C0D">
        <w:rPr>
          <w:rFonts w:ascii="Century Gothic" w:hAnsi="Century Gothic"/>
          <w:sz w:val="20"/>
          <w:szCs w:val="20"/>
        </w:rPr>
        <w:t xml:space="preserve"> International students currently make up around a quarter of all higher education students in Australia;</w:t>
      </w:r>
      <w:r w:rsidRPr="00730C0D">
        <w:rPr>
          <w:rStyle w:val="FootnoteReference"/>
          <w:rFonts w:ascii="Century Gothic" w:hAnsi="Century Gothic"/>
          <w:sz w:val="20"/>
          <w:szCs w:val="20"/>
        </w:rPr>
        <w:footnoteReference w:id="17"/>
      </w:r>
      <w:r w:rsidRPr="00730C0D">
        <w:rPr>
          <w:rFonts w:ascii="Century Gothic" w:hAnsi="Century Gothic"/>
          <w:sz w:val="20"/>
          <w:szCs w:val="20"/>
        </w:rPr>
        <w:t xml:space="preserve"> in 2000, there were just over 95,000 international students studying in higher education in Australia,</w:t>
      </w:r>
      <w:r w:rsidRPr="00730C0D">
        <w:rPr>
          <w:rStyle w:val="FootnoteReference"/>
          <w:rFonts w:ascii="Century Gothic" w:hAnsi="Century Gothic"/>
          <w:sz w:val="20"/>
          <w:szCs w:val="20"/>
        </w:rPr>
        <w:footnoteReference w:id="18"/>
      </w:r>
      <w:r w:rsidRPr="00730C0D">
        <w:rPr>
          <w:rFonts w:ascii="Century Gothic" w:hAnsi="Century Gothic"/>
          <w:sz w:val="20"/>
          <w:szCs w:val="20"/>
        </w:rPr>
        <w:t xml:space="preserve"> today, that number has more than quadrupled to just over 431,000.</w:t>
      </w:r>
      <w:r w:rsidRPr="00730C0D">
        <w:rPr>
          <w:rStyle w:val="FootnoteReference"/>
          <w:rFonts w:ascii="Century Gothic" w:hAnsi="Century Gothic"/>
          <w:sz w:val="20"/>
          <w:szCs w:val="20"/>
        </w:rPr>
        <w:footnoteReference w:id="19"/>
      </w:r>
      <w:r w:rsidRPr="00730C0D">
        <w:rPr>
          <w:rFonts w:ascii="Century Gothic" w:hAnsi="Century Gothic"/>
          <w:sz w:val="20"/>
          <w:szCs w:val="20"/>
        </w:rPr>
        <w:t xml:space="preserve"> The largest international student source countries (China and India) represent two important and rapidly growing bilateral partners for Australia.</w:t>
      </w:r>
      <w:r w:rsidRPr="00730C0D">
        <w:rPr>
          <w:rStyle w:val="FootnoteReference"/>
          <w:rFonts w:ascii="Century Gothic" w:hAnsi="Century Gothic"/>
          <w:sz w:val="20"/>
          <w:szCs w:val="20"/>
        </w:rPr>
        <w:footnoteReference w:id="20"/>
      </w:r>
      <w:r w:rsidRPr="00730C0D">
        <w:rPr>
          <w:rFonts w:ascii="Century Gothic" w:hAnsi="Century Gothic"/>
          <w:sz w:val="20"/>
          <w:szCs w:val="20"/>
        </w:rPr>
        <w:t xml:space="preserve"> Much of that international student presence is concentrated in business-related disciplines, an interesting quality and risk issue in its own right.</w:t>
      </w:r>
    </w:p>
    <w:p w14:paraId="643D8D30" w14:textId="77777777" w:rsidR="00FD399C" w:rsidRDefault="00FD399C" w:rsidP="00D31B9A">
      <w:pPr>
        <w:spacing w:before="0" w:after="0"/>
        <w:rPr>
          <w:rFonts w:ascii="Century Gothic" w:hAnsi="Century Gothic"/>
          <w:sz w:val="20"/>
          <w:szCs w:val="20"/>
        </w:rPr>
      </w:pPr>
    </w:p>
    <w:p w14:paraId="1095EF1C" w14:textId="22E7A66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Over the last </w:t>
      </w:r>
      <w:r w:rsidR="001212AD" w:rsidRPr="00730C0D">
        <w:rPr>
          <w:rFonts w:ascii="Century Gothic" w:hAnsi="Century Gothic"/>
          <w:sz w:val="20"/>
          <w:szCs w:val="20"/>
        </w:rPr>
        <w:t>twenty</w:t>
      </w:r>
      <w:r w:rsidRPr="00730C0D">
        <w:rPr>
          <w:rFonts w:ascii="Century Gothic" w:hAnsi="Century Gothic"/>
          <w:sz w:val="20"/>
          <w:szCs w:val="20"/>
        </w:rPr>
        <w:t xml:space="preserve"> years, technology and its application, the changing nature of work and industries, global connection and mobility, shifting demographics</w:t>
      </w:r>
      <w:r w:rsidR="00A97B86" w:rsidRPr="00730C0D">
        <w:rPr>
          <w:rFonts w:ascii="Century Gothic" w:hAnsi="Century Gothic"/>
          <w:sz w:val="20"/>
          <w:szCs w:val="20"/>
        </w:rPr>
        <w:t>,</w:t>
      </w:r>
      <w:r w:rsidRPr="00730C0D">
        <w:rPr>
          <w:rFonts w:ascii="Century Gothic" w:hAnsi="Century Gothic"/>
          <w:sz w:val="20"/>
          <w:szCs w:val="20"/>
        </w:rPr>
        <w:t xml:space="preserve"> and the preferences of consumers have</w:t>
      </w:r>
      <w:r w:rsidR="00EF3FD9">
        <w:rPr>
          <w:rFonts w:ascii="Century Gothic" w:hAnsi="Century Gothic"/>
          <w:sz w:val="20"/>
          <w:szCs w:val="20"/>
        </w:rPr>
        <w:t xml:space="preserve"> all</w:t>
      </w:r>
      <w:r w:rsidRPr="00730C0D">
        <w:rPr>
          <w:rFonts w:ascii="Century Gothic" w:hAnsi="Century Gothic"/>
          <w:sz w:val="20"/>
          <w:szCs w:val="20"/>
        </w:rPr>
        <w:t xml:space="preserve"> continued to influence new and different approaches to higher education as the sector</w:t>
      </w:r>
      <w:r w:rsidR="00EF3FD9">
        <w:rPr>
          <w:rFonts w:ascii="Century Gothic" w:hAnsi="Century Gothic"/>
          <w:sz w:val="20"/>
          <w:szCs w:val="20"/>
        </w:rPr>
        <w:t xml:space="preserve"> has</w:t>
      </w:r>
      <w:r w:rsidRPr="00730C0D">
        <w:rPr>
          <w:rFonts w:ascii="Century Gothic" w:hAnsi="Century Gothic"/>
          <w:sz w:val="20"/>
          <w:szCs w:val="20"/>
        </w:rPr>
        <w:t xml:space="preserve"> respond</w:t>
      </w:r>
      <w:r w:rsidR="00EF3FD9">
        <w:rPr>
          <w:rFonts w:ascii="Century Gothic" w:hAnsi="Century Gothic"/>
          <w:sz w:val="20"/>
          <w:szCs w:val="20"/>
        </w:rPr>
        <w:t>ed</w:t>
      </w:r>
      <w:r w:rsidRPr="00730C0D">
        <w:rPr>
          <w:rFonts w:ascii="Century Gothic" w:hAnsi="Century Gothic"/>
          <w:sz w:val="20"/>
          <w:szCs w:val="20"/>
        </w:rPr>
        <w:t xml:space="preserve"> to emerging needs, challenges</w:t>
      </w:r>
      <w:r w:rsidR="00A97B86" w:rsidRPr="00730C0D">
        <w:rPr>
          <w:rFonts w:ascii="Century Gothic" w:hAnsi="Century Gothic"/>
          <w:sz w:val="20"/>
          <w:szCs w:val="20"/>
        </w:rPr>
        <w:t>,</w:t>
      </w:r>
      <w:r w:rsidRPr="00730C0D">
        <w:rPr>
          <w:rFonts w:ascii="Century Gothic" w:hAnsi="Century Gothic"/>
          <w:sz w:val="20"/>
          <w:szCs w:val="20"/>
        </w:rPr>
        <w:t xml:space="preserve"> and opportunities. Concepts such as massive open online courses (MOOCs), micro-credentials,</w:t>
      </w:r>
      <w:r w:rsidR="005D7AA4" w:rsidRPr="00730C0D">
        <w:rPr>
          <w:rFonts w:ascii="Century Gothic" w:hAnsi="Century Gothic"/>
          <w:sz w:val="20"/>
          <w:szCs w:val="20"/>
        </w:rPr>
        <w:t xml:space="preserve"> and</w:t>
      </w:r>
      <w:r w:rsidRPr="00730C0D">
        <w:rPr>
          <w:rFonts w:ascii="Century Gothic" w:hAnsi="Century Gothic"/>
          <w:sz w:val="20"/>
          <w:szCs w:val="20"/>
        </w:rPr>
        <w:t xml:space="preserve"> degree apprenticeships</w:t>
      </w:r>
      <w:r w:rsidR="005D7AA4" w:rsidRPr="00730C0D">
        <w:rPr>
          <w:rFonts w:ascii="Century Gothic" w:hAnsi="Century Gothic"/>
          <w:sz w:val="20"/>
          <w:szCs w:val="20"/>
        </w:rPr>
        <w:t xml:space="preserve"> </w:t>
      </w:r>
      <w:r w:rsidRPr="00730C0D">
        <w:rPr>
          <w:rFonts w:ascii="Century Gothic" w:hAnsi="Century Gothic"/>
          <w:sz w:val="20"/>
          <w:szCs w:val="20"/>
        </w:rPr>
        <w:t xml:space="preserve">did not exist 20 years ago. </w:t>
      </w:r>
      <w:r w:rsidR="00550F16" w:rsidRPr="00730C0D">
        <w:rPr>
          <w:rFonts w:ascii="Century Gothic" w:hAnsi="Century Gothic"/>
          <w:sz w:val="20"/>
          <w:szCs w:val="20"/>
        </w:rPr>
        <w:t>The demand for higher education qualifications by employers has become a global phenomenon as countries increasingly shift to knowledge</w:t>
      </w:r>
      <w:r w:rsidR="006214C6" w:rsidRPr="00730C0D">
        <w:rPr>
          <w:rFonts w:ascii="Century Gothic" w:hAnsi="Century Gothic"/>
          <w:sz w:val="20"/>
          <w:szCs w:val="20"/>
        </w:rPr>
        <w:t>-</w:t>
      </w:r>
      <w:r w:rsidR="00550F16" w:rsidRPr="00730C0D">
        <w:rPr>
          <w:rFonts w:ascii="Century Gothic" w:hAnsi="Century Gothic"/>
          <w:sz w:val="20"/>
          <w:szCs w:val="20"/>
        </w:rPr>
        <w:t xml:space="preserve">based economies. </w:t>
      </w:r>
      <w:r w:rsidR="0098727E" w:rsidRPr="00730C0D">
        <w:rPr>
          <w:rFonts w:ascii="Century Gothic" w:hAnsi="Century Gothic"/>
          <w:sz w:val="20"/>
          <w:szCs w:val="20"/>
        </w:rPr>
        <w:t>M</w:t>
      </w:r>
      <w:r w:rsidR="00550F16" w:rsidRPr="00730C0D">
        <w:rPr>
          <w:rFonts w:ascii="Century Gothic" w:hAnsi="Century Gothic"/>
          <w:sz w:val="20"/>
          <w:szCs w:val="20"/>
        </w:rPr>
        <w:t>assification of higher education</w:t>
      </w:r>
      <w:r w:rsidR="0098727E" w:rsidRPr="00730C0D">
        <w:rPr>
          <w:rFonts w:ascii="Century Gothic" w:hAnsi="Century Gothic"/>
          <w:sz w:val="20"/>
          <w:szCs w:val="20"/>
        </w:rPr>
        <w:t xml:space="preserve"> has also increased</w:t>
      </w:r>
      <w:r w:rsidR="00550F16" w:rsidRPr="00730C0D">
        <w:rPr>
          <w:rFonts w:ascii="Century Gothic" w:hAnsi="Century Gothic"/>
          <w:sz w:val="20"/>
          <w:szCs w:val="20"/>
        </w:rPr>
        <w:t xml:space="preserve"> competition for Australia as </w:t>
      </w:r>
      <w:r w:rsidR="006214C6" w:rsidRPr="00730C0D">
        <w:rPr>
          <w:rFonts w:ascii="Century Gothic" w:hAnsi="Century Gothic"/>
          <w:sz w:val="20"/>
          <w:szCs w:val="20"/>
        </w:rPr>
        <w:t xml:space="preserve">other </w:t>
      </w:r>
      <w:r w:rsidR="00550F16" w:rsidRPr="00730C0D">
        <w:rPr>
          <w:rFonts w:ascii="Century Gothic" w:hAnsi="Century Gothic"/>
          <w:sz w:val="20"/>
          <w:szCs w:val="20"/>
        </w:rPr>
        <w:t>countries</w:t>
      </w:r>
      <w:r w:rsidR="006214C6" w:rsidRPr="00730C0D">
        <w:rPr>
          <w:rFonts w:ascii="Century Gothic" w:hAnsi="Century Gothic"/>
          <w:sz w:val="20"/>
          <w:szCs w:val="20"/>
        </w:rPr>
        <w:t xml:space="preserve"> also</w:t>
      </w:r>
      <w:r w:rsidR="00550F16" w:rsidRPr="00730C0D">
        <w:rPr>
          <w:rFonts w:ascii="Century Gothic" w:hAnsi="Century Gothic"/>
          <w:sz w:val="20"/>
          <w:szCs w:val="20"/>
        </w:rPr>
        <w:t xml:space="preserve"> position themselves to cater to </w:t>
      </w:r>
      <w:r w:rsidR="006214C6" w:rsidRPr="00730C0D">
        <w:rPr>
          <w:rFonts w:ascii="Century Gothic" w:hAnsi="Century Gothic"/>
          <w:sz w:val="20"/>
          <w:szCs w:val="20"/>
        </w:rPr>
        <w:t xml:space="preserve">the </w:t>
      </w:r>
      <w:r w:rsidR="00550F16" w:rsidRPr="00730C0D">
        <w:rPr>
          <w:rFonts w:ascii="Century Gothic" w:hAnsi="Century Gothic"/>
          <w:sz w:val="20"/>
          <w:szCs w:val="20"/>
        </w:rPr>
        <w:t>global appetite for higher education</w:t>
      </w:r>
      <w:r w:rsidR="0098727E" w:rsidRPr="00730C0D">
        <w:rPr>
          <w:rFonts w:ascii="Century Gothic" w:hAnsi="Century Gothic"/>
          <w:sz w:val="20"/>
          <w:szCs w:val="20"/>
        </w:rPr>
        <w:t xml:space="preserve">. </w:t>
      </w:r>
      <w:r w:rsidR="00550F16" w:rsidRPr="00730C0D">
        <w:rPr>
          <w:rFonts w:ascii="Century Gothic" w:hAnsi="Century Gothic"/>
          <w:sz w:val="20"/>
          <w:szCs w:val="20"/>
        </w:rPr>
        <w:t xml:space="preserve">  </w:t>
      </w:r>
    </w:p>
    <w:p w14:paraId="15F13EC0" w14:textId="5FA2171D" w:rsidR="00A97B86" w:rsidRPr="00730C0D" w:rsidRDefault="00A97B86" w:rsidP="00D31B9A">
      <w:pPr>
        <w:spacing w:before="0" w:after="0"/>
        <w:rPr>
          <w:rFonts w:ascii="Century Gothic" w:hAnsi="Century Gothic"/>
          <w:sz w:val="20"/>
          <w:szCs w:val="20"/>
        </w:rPr>
      </w:pPr>
    </w:p>
    <w:p w14:paraId="17271515" w14:textId="0151755D" w:rsidR="00AC7D05" w:rsidRPr="00730C0D" w:rsidRDefault="00A97B86" w:rsidP="00D31B9A">
      <w:pPr>
        <w:spacing w:before="0" w:after="0"/>
        <w:rPr>
          <w:rFonts w:ascii="Century Gothic" w:hAnsi="Century Gothic"/>
          <w:sz w:val="20"/>
          <w:szCs w:val="20"/>
        </w:rPr>
      </w:pPr>
      <w:r w:rsidRPr="00730C0D">
        <w:rPr>
          <w:rFonts w:ascii="Century Gothic" w:hAnsi="Century Gothic"/>
          <w:sz w:val="20"/>
          <w:szCs w:val="20"/>
        </w:rPr>
        <w:t>About two-thirds of the projected national employment</w:t>
      </w:r>
      <w:r w:rsidR="007511F2" w:rsidRPr="00730C0D">
        <w:rPr>
          <w:rFonts w:ascii="Century Gothic" w:hAnsi="Century Gothic"/>
          <w:sz w:val="20"/>
          <w:szCs w:val="20"/>
        </w:rPr>
        <w:t xml:space="preserve"> growth</w:t>
      </w:r>
      <w:r w:rsidRPr="00730C0D">
        <w:rPr>
          <w:rFonts w:ascii="Century Gothic" w:hAnsi="Century Gothic"/>
          <w:sz w:val="20"/>
          <w:szCs w:val="20"/>
        </w:rPr>
        <w:t xml:space="preserve"> over the next five </w:t>
      </w:r>
      <w:r w:rsidR="00175536" w:rsidRPr="00730C0D">
        <w:rPr>
          <w:rFonts w:ascii="Century Gothic" w:hAnsi="Century Gothic"/>
          <w:sz w:val="20"/>
          <w:szCs w:val="20"/>
        </w:rPr>
        <w:t xml:space="preserve">to ten </w:t>
      </w:r>
      <w:r w:rsidRPr="00730C0D">
        <w:rPr>
          <w:rFonts w:ascii="Century Gothic" w:hAnsi="Century Gothic"/>
          <w:sz w:val="20"/>
          <w:szCs w:val="20"/>
        </w:rPr>
        <w:t>years will occur in the fields of health care and social assistance, construction, education and training</w:t>
      </w:r>
      <w:r w:rsidR="005B75E4" w:rsidRPr="00730C0D">
        <w:rPr>
          <w:rFonts w:ascii="Century Gothic" w:hAnsi="Century Gothic"/>
          <w:sz w:val="20"/>
          <w:szCs w:val="20"/>
        </w:rPr>
        <w:t>,</w:t>
      </w:r>
      <w:r w:rsidRPr="00730C0D">
        <w:rPr>
          <w:rFonts w:ascii="Century Gothic" w:hAnsi="Century Gothic"/>
          <w:sz w:val="20"/>
          <w:szCs w:val="20"/>
        </w:rPr>
        <w:t xml:space="preserve"> and professional, scientific</w:t>
      </w:r>
      <w:r w:rsidR="004C0764" w:rsidRPr="00730C0D">
        <w:rPr>
          <w:rFonts w:ascii="Century Gothic" w:hAnsi="Century Gothic"/>
          <w:sz w:val="20"/>
          <w:szCs w:val="20"/>
        </w:rPr>
        <w:t>,</w:t>
      </w:r>
      <w:r w:rsidRPr="00730C0D">
        <w:rPr>
          <w:rFonts w:ascii="Century Gothic" w:hAnsi="Century Gothic"/>
          <w:sz w:val="20"/>
          <w:szCs w:val="20"/>
        </w:rPr>
        <w:t xml:space="preserve"> and technical roles.</w:t>
      </w:r>
      <w:r w:rsidRPr="00730C0D">
        <w:rPr>
          <w:rStyle w:val="FootnoteReference"/>
          <w:rFonts w:ascii="Century Gothic" w:hAnsi="Century Gothic"/>
          <w:sz w:val="20"/>
          <w:szCs w:val="20"/>
        </w:rPr>
        <w:footnoteReference w:id="21"/>
      </w:r>
      <w:r w:rsidRPr="00730C0D">
        <w:rPr>
          <w:rFonts w:ascii="Century Gothic" w:hAnsi="Century Gothic"/>
          <w:sz w:val="20"/>
          <w:szCs w:val="20"/>
        </w:rPr>
        <w:t xml:space="preserve"> Of all those, roles providing pastoral and personalised care to our young, our sick, our elderly</w:t>
      </w:r>
      <w:r w:rsidR="007511F2" w:rsidRPr="00730C0D">
        <w:rPr>
          <w:rFonts w:ascii="Century Gothic" w:hAnsi="Century Gothic"/>
          <w:sz w:val="20"/>
          <w:szCs w:val="20"/>
        </w:rPr>
        <w:t>,</w:t>
      </w:r>
      <w:r w:rsidRPr="00730C0D">
        <w:rPr>
          <w:rFonts w:ascii="Century Gothic" w:hAnsi="Century Gothic"/>
          <w:sz w:val="20"/>
          <w:szCs w:val="20"/>
        </w:rPr>
        <w:t xml:space="preserve"> and our disabled will be especially important areas of cont</w:t>
      </w:r>
      <w:r w:rsidR="003E3280" w:rsidRPr="00730C0D">
        <w:rPr>
          <w:rFonts w:ascii="Century Gothic" w:hAnsi="Century Gothic"/>
          <w:sz w:val="20"/>
          <w:szCs w:val="20"/>
        </w:rPr>
        <w:t xml:space="preserve">ribution to employment growth. </w:t>
      </w:r>
      <w:r w:rsidRPr="00730C0D">
        <w:rPr>
          <w:rFonts w:ascii="Century Gothic" w:hAnsi="Century Gothic"/>
          <w:sz w:val="20"/>
          <w:szCs w:val="20"/>
        </w:rPr>
        <w:t>Some roles across the above areas will require university-level education</w:t>
      </w:r>
      <w:r w:rsidR="007511F2" w:rsidRPr="00730C0D">
        <w:rPr>
          <w:rFonts w:ascii="Century Gothic" w:hAnsi="Century Gothic"/>
          <w:sz w:val="20"/>
          <w:szCs w:val="20"/>
        </w:rPr>
        <w:t>;</w:t>
      </w:r>
      <w:r w:rsidRPr="00730C0D">
        <w:rPr>
          <w:rFonts w:ascii="Century Gothic" w:hAnsi="Century Gothic"/>
          <w:sz w:val="20"/>
          <w:szCs w:val="20"/>
        </w:rPr>
        <w:t xml:space="preserve"> for example, </w:t>
      </w:r>
      <w:r w:rsidR="00EF3FD9">
        <w:rPr>
          <w:rFonts w:ascii="Century Gothic" w:hAnsi="Century Gothic"/>
          <w:sz w:val="20"/>
          <w:szCs w:val="20"/>
        </w:rPr>
        <w:t xml:space="preserve">many of those in </w:t>
      </w:r>
      <w:r w:rsidRPr="00730C0D">
        <w:rPr>
          <w:rFonts w:ascii="Century Gothic" w:hAnsi="Century Gothic"/>
          <w:sz w:val="20"/>
          <w:szCs w:val="20"/>
        </w:rPr>
        <w:t>big data analysis, software applications, artificial intelligence, cybersecurity</w:t>
      </w:r>
      <w:r w:rsidR="007F0D76" w:rsidRPr="00730C0D">
        <w:rPr>
          <w:rFonts w:ascii="Century Gothic" w:hAnsi="Century Gothic"/>
          <w:sz w:val="20"/>
          <w:szCs w:val="20"/>
        </w:rPr>
        <w:t>,</w:t>
      </w:r>
      <w:r w:rsidRPr="00730C0D">
        <w:rPr>
          <w:rFonts w:ascii="Century Gothic" w:hAnsi="Century Gothic"/>
          <w:sz w:val="20"/>
          <w:szCs w:val="20"/>
        </w:rPr>
        <w:t xml:space="preserve"> and digital</w:t>
      </w:r>
      <w:r w:rsidR="00EF3FD9">
        <w:rPr>
          <w:rFonts w:ascii="Century Gothic" w:hAnsi="Century Gothic"/>
          <w:sz w:val="20"/>
          <w:szCs w:val="20"/>
        </w:rPr>
        <w:t xml:space="preserve"> </w:t>
      </w:r>
      <w:r w:rsidRPr="00730C0D">
        <w:rPr>
          <w:rFonts w:ascii="Century Gothic" w:hAnsi="Century Gothic"/>
          <w:sz w:val="20"/>
          <w:szCs w:val="20"/>
        </w:rPr>
        <w:t>transformation. But the number of those IT-related jobs is likely to be dwarfed by the labour force needs of nursing, applied health care (especially for dementia and disability), teaching</w:t>
      </w:r>
      <w:r w:rsidR="002E1536">
        <w:rPr>
          <w:rFonts w:ascii="Century Gothic" w:hAnsi="Century Gothic"/>
          <w:sz w:val="20"/>
          <w:szCs w:val="20"/>
        </w:rPr>
        <w:t>,</w:t>
      </w:r>
      <w:r w:rsidRPr="00730C0D">
        <w:rPr>
          <w:rFonts w:ascii="Century Gothic" w:hAnsi="Century Gothic"/>
          <w:sz w:val="20"/>
          <w:szCs w:val="20"/>
        </w:rPr>
        <w:t xml:space="preserve"> and early years learning.</w:t>
      </w:r>
      <w:r w:rsidRPr="00730C0D">
        <w:rPr>
          <w:rStyle w:val="FootnoteReference"/>
          <w:rFonts w:ascii="Century Gothic" w:hAnsi="Century Gothic"/>
          <w:sz w:val="20"/>
          <w:szCs w:val="20"/>
        </w:rPr>
        <w:footnoteReference w:id="22"/>
      </w:r>
      <w:r w:rsidR="00EF3FD9">
        <w:rPr>
          <w:rFonts w:ascii="Century Gothic" w:hAnsi="Century Gothic"/>
          <w:sz w:val="20"/>
          <w:szCs w:val="20"/>
        </w:rPr>
        <w:t xml:space="preserve"> </w:t>
      </w:r>
      <w:r w:rsidRPr="00730C0D">
        <w:rPr>
          <w:rFonts w:ascii="Century Gothic" w:hAnsi="Century Gothic"/>
          <w:sz w:val="20"/>
          <w:szCs w:val="20"/>
        </w:rPr>
        <w:t>It is also the case that providing for those employment needs, and delivering services to the community, will pose very different challenges in different parts of the nation. We already experience significant challenges in attracting and retaining professional expertise in regional centres</w:t>
      </w:r>
      <w:r w:rsidR="005D7AA4" w:rsidRPr="00730C0D">
        <w:rPr>
          <w:rFonts w:ascii="Century Gothic" w:hAnsi="Century Gothic"/>
          <w:sz w:val="20"/>
          <w:szCs w:val="20"/>
        </w:rPr>
        <w:t xml:space="preserve"> and </w:t>
      </w:r>
      <w:r w:rsidRPr="00730C0D">
        <w:rPr>
          <w:rFonts w:ascii="Century Gothic" w:hAnsi="Century Gothic"/>
          <w:sz w:val="20"/>
          <w:szCs w:val="20"/>
        </w:rPr>
        <w:t>remote communities. For example, there is already a significant digital divide between city and country, reflected in lower levels of home</w:t>
      </w:r>
      <w:r w:rsidR="00175536" w:rsidRPr="00730C0D">
        <w:rPr>
          <w:rFonts w:ascii="Century Gothic" w:hAnsi="Century Gothic"/>
          <w:sz w:val="20"/>
          <w:szCs w:val="20"/>
        </w:rPr>
        <w:t>-</w:t>
      </w:r>
      <w:r w:rsidRPr="00730C0D">
        <w:rPr>
          <w:rFonts w:ascii="Century Gothic" w:hAnsi="Century Gothic"/>
          <w:sz w:val="20"/>
          <w:szCs w:val="20"/>
        </w:rPr>
        <w:t xml:space="preserve">based work and lower levels of take-up of online government services in rural areas compared with larger urban </w:t>
      </w:r>
      <w:r w:rsidR="00EF3FD9">
        <w:rPr>
          <w:rFonts w:ascii="Century Gothic" w:hAnsi="Century Gothic"/>
          <w:sz w:val="20"/>
          <w:szCs w:val="20"/>
        </w:rPr>
        <w:t>centres</w:t>
      </w:r>
      <w:r w:rsidRPr="00730C0D">
        <w:rPr>
          <w:rFonts w:ascii="Century Gothic" w:hAnsi="Century Gothic"/>
          <w:sz w:val="20"/>
          <w:szCs w:val="20"/>
        </w:rPr>
        <w:t>.</w:t>
      </w:r>
      <w:r w:rsidR="00213E27" w:rsidRPr="00730C0D">
        <w:rPr>
          <w:rStyle w:val="FootnoteReference"/>
          <w:rFonts w:ascii="Century Gothic" w:hAnsi="Century Gothic"/>
          <w:sz w:val="20"/>
          <w:szCs w:val="20"/>
        </w:rPr>
        <w:footnoteReference w:id="23"/>
      </w:r>
      <w:r w:rsidRPr="00730C0D">
        <w:rPr>
          <w:rFonts w:ascii="Century Gothic" w:hAnsi="Century Gothic"/>
          <w:sz w:val="20"/>
          <w:szCs w:val="20"/>
        </w:rPr>
        <w:t xml:space="preserve"> </w:t>
      </w:r>
      <w:r w:rsidR="0098727E" w:rsidRPr="00730C0D">
        <w:rPr>
          <w:rFonts w:ascii="Century Gothic" w:hAnsi="Century Gothic"/>
          <w:sz w:val="20"/>
          <w:szCs w:val="20"/>
        </w:rPr>
        <w:t>Australia’s</w:t>
      </w:r>
      <w:r w:rsidR="00AC7D05" w:rsidRPr="00730C0D">
        <w:rPr>
          <w:rFonts w:ascii="Century Gothic" w:hAnsi="Century Gothic"/>
          <w:sz w:val="20"/>
          <w:szCs w:val="20"/>
        </w:rPr>
        <w:t xml:space="preserve"> higher education sector will need to continue to </w:t>
      </w:r>
      <w:r w:rsidR="006214C6" w:rsidRPr="00730C0D">
        <w:rPr>
          <w:rFonts w:ascii="Century Gothic" w:hAnsi="Century Gothic"/>
          <w:sz w:val="20"/>
          <w:szCs w:val="20"/>
        </w:rPr>
        <w:t xml:space="preserve">strengthen and </w:t>
      </w:r>
      <w:r w:rsidR="00AC7D05" w:rsidRPr="00730C0D">
        <w:rPr>
          <w:rFonts w:ascii="Century Gothic" w:hAnsi="Century Gothic"/>
          <w:sz w:val="20"/>
          <w:szCs w:val="20"/>
        </w:rPr>
        <w:t>innovate as it responds to these emerging needs and challenges</w:t>
      </w:r>
      <w:r w:rsidR="00D07BDF" w:rsidRPr="00730C0D">
        <w:rPr>
          <w:rFonts w:ascii="Century Gothic" w:hAnsi="Century Gothic"/>
          <w:sz w:val="20"/>
          <w:szCs w:val="20"/>
        </w:rPr>
        <w:t>.</w:t>
      </w:r>
    </w:p>
    <w:p w14:paraId="70854ACA" w14:textId="115B1AC3" w:rsidR="00AC7D05" w:rsidRPr="00730C0D" w:rsidRDefault="00AC7D05" w:rsidP="00D31B9A">
      <w:pPr>
        <w:spacing w:before="0" w:after="0"/>
        <w:rPr>
          <w:rFonts w:ascii="Century Gothic" w:hAnsi="Century Gothic"/>
          <w:sz w:val="20"/>
          <w:szCs w:val="20"/>
        </w:rPr>
      </w:pPr>
    </w:p>
    <w:p w14:paraId="6DBE7D47" w14:textId="22F5470B" w:rsidR="00A051C9" w:rsidRPr="00730C0D" w:rsidRDefault="00D07BDF" w:rsidP="00A051C9">
      <w:pPr>
        <w:spacing w:before="0" w:after="0"/>
        <w:rPr>
          <w:rFonts w:ascii="Century Gothic" w:hAnsi="Century Gothic"/>
          <w:sz w:val="20"/>
          <w:szCs w:val="20"/>
        </w:rPr>
      </w:pPr>
      <w:r w:rsidRPr="00730C0D">
        <w:rPr>
          <w:rFonts w:ascii="Century Gothic" w:hAnsi="Century Gothic"/>
          <w:sz w:val="20"/>
          <w:szCs w:val="20"/>
        </w:rPr>
        <w:t>To support these efforts, i</w:t>
      </w:r>
      <w:r w:rsidR="00AC7D05" w:rsidRPr="00730C0D">
        <w:rPr>
          <w:rFonts w:ascii="Century Gothic" w:hAnsi="Century Gothic"/>
          <w:sz w:val="20"/>
          <w:szCs w:val="20"/>
        </w:rPr>
        <w:t xml:space="preserve">t is critical that the structures set in place for Australia’s higher education sector enable, rather than impede, innovation while also maintaining </w:t>
      </w:r>
      <w:r w:rsidR="005D7AA4" w:rsidRPr="00730C0D">
        <w:rPr>
          <w:rFonts w:ascii="Century Gothic" w:hAnsi="Century Gothic"/>
          <w:sz w:val="20"/>
          <w:szCs w:val="20"/>
        </w:rPr>
        <w:t xml:space="preserve">a </w:t>
      </w:r>
      <w:r w:rsidR="00AC7D05" w:rsidRPr="00730C0D">
        <w:rPr>
          <w:rFonts w:ascii="Century Gothic" w:hAnsi="Century Gothic"/>
          <w:sz w:val="20"/>
          <w:szCs w:val="20"/>
        </w:rPr>
        <w:t xml:space="preserve">high expectation of quality. </w:t>
      </w:r>
      <w:r w:rsidR="00175536" w:rsidRPr="00730C0D">
        <w:rPr>
          <w:rFonts w:ascii="Century Gothic" w:hAnsi="Century Gothic"/>
          <w:sz w:val="20"/>
          <w:szCs w:val="20"/>
        </w:rPr>
        <w:t>This all</w:t>
      </w:r>
      <w:r w:rsidR="00AC7D05" w:rsidRPr="00730C0D">
        <w:rPr>
          <w:rFonts w:ascii="Century Gothic" w:hAnsi="Century Gothic"/>
          <w:sz w:val="20"/>
          <w:szCs w:val="20"/>
        </w:rPr>
        <w:t xml:space="preserve"> assumes a need for</w:t>
      </w:r>
      <w:r w:rsidR="00614068" w:rsidRPr="00730C0D">
        <w:rPr>
          <w:rFonts w:ascii="Century Gothic" w:hAnsi="Century Gothic"/>
          <w:sz w:val="20"/>
          <w:szCs w:val="20"/>
        </w:rPr>
        <w:t xml:space="preserve"> a</w:t>
      </w:r>
      <w:r w:rsidR="00AC7D05" w:rsidRPr="00730C0D">
        <w:rPr>
          <w:rFonts w:ascii="Century Gothic" w:hAnsi="Century Gothic"/>
          <w:sz w:val="20"/>
          <w:szCs w:val="20"/>
        </w:rPr>
        <w:t xml:space="preserve"> PCS</w:t>
      </w:r>
      <w:r w:rsidR="00A908AB" w:rsidRPr="00730C0D">
        <w:rPr>
          <w:rFonts w:ascii="Century Gothic" w:hAnsi="Century Gothic"/>
          <w:sz w:val="20"/>
          <w:szCs w:val="20"/>
        </w:rPr>
        <w:t xml:space="preserve"> framework</w:t>
      </w:r>
      <w:r w:rsidR="00AC7D05" w:rsidRPr="00730C0D">
        <w:rPr>
          <w:rFonts w:ascii="Century Gothic" w:hAnsi="Century Gothic"/>
          <w:sz w:val="20"/>
          <w:szCs w:val="20"/>
        </w:rPr>
        <w:t xml:space="preserve"> that will be fit for purpose and be helpful to the sector as it seeks to equip students and communities for a changing future. </w:t>
      </w:r>
    </w:p>
    <w:p w14:paraId="5731FFDB" w14:textId="77777777" w:rsidR="00A051C9" w:rsidRPr="00730C0D" w:rsidRDefault="00A051C9" w:rsidP="00A051C9">
      <w:pPr>
        <w:spacing w:before="0" w:after="0"/>
        <w:rPr>
          <w:rFonts w:ascii="Century Gothic" w:hAnsi="Century Gothic"/>
          <w:sz w:val="20"/>
          <w:szCs w:val="20"/>
        </w:rPr>
      </w:pPr>
    </w:p>
    <w:p w14:paraId="0F53EF56" w14:textId="2DC25BFB" w:rsidR="00266D8E" w:rsidRPr="00730C0D" w:rsidRDefault="00266D8E" w:rsidP="004978DA">
      <w:pPr>
        <w:pStyle w:val="Heading3"/>
      </w:pPr>
      <w:bookmarkStart w:id="35" w:name="_Toc18592320"/>
      <w:r w:rsidRPr="00730C0D">
        <w:t>1.2.1</w:t>
      </w:r>
      <w:r w:rsidRPr="00730C0D">
        <w:tab/>
        <w:t>Student Pathways</w:t>
      </w:r>
      <w:bookmarkEnd w:id="35"/>
      <w:r w:rsidRPr="00730C0D">
        <w:t xml:space="preserve"> </w:t>
      </w:r>
    </w:p>
    <w:p w14:paraId="603BECF9" w14:textId="3DE409B2" w:rsidR="001D38AF" w:rsidRPr="00730C0D" w:rsidRDefault="00266D8E" w:rsidP="00A051C9">
      <w:pPr>
        <w:spacing w:before="0" w:after="0"/>
        <w:rPr>
          <w:rFonts w:ascii="Century Gothic" w:hAnsi="Century Gothic"/>
          <w:sz w:val="20"/>
          <w:szCs w:val="20"/>
        </w:rPr>
      </w:pPr>
      <w:r w:rsidRPr="00730C0D">
        <w:rPr>
          <w:rFonts w:ascii="Century Gothic" w:hAnsi="Century Gothic"/>
          <w:sz w:val="20"/>
          <w:szCs w:val="20"/>
        </w:rPr>
        <w:t>While this Review focus</w:t>
      </w:r>
      <w:r w:rsidR="005D7AA4" w:rsidRPr="00730C0D">
        <w:rPr>
          <w:rFonts w:ascii="Century Gothic" w:hAnsi="Century Gothic"/>
          <w:sz w:val="20"/>
          <w:szCs w:val="20"/>
        </w:rPr>
        <w:t>s</w:t>
      </w:r>
      <w:r w:rsidRPr="00730C0D">
        <w:rPr>
          <w:rFonts w:ascii="Century Gothic" w:hAnsi="Century Gothic"/>
          <w:sz w:val="20"/>
          <w:szCs w:val="20"/>
        </w:rPr>
        <w:t xml:space="preserve">es on a discrete element of the tertiary landscape in Australia – the categorisation of higher education providers – it is important to be cognisant of the full range of consumer options that prospective students </w:t>
      </w:r>
      <w:r w:rsidR="005D7AA4" w:rsidRPr="00730C0D">
        <w:rPr>
          <w:rFonts w:ascii="Century Gothic" w:hAnsi="Century Gothic"/>
          <w:sz w:val="20"/>
          <w:szCs w:val="20"/>
        </w:rPr>
        <w:t xml:space="preserve">could </w:t>
      </w:r>
      <w:r w:rsidRPr="00730C0D">
        <w:rPr>
          <w:rFonts w:ascii="Century Gothic" w:hAnsi="Century Gothic"/>
          <w:sz w:val="20"/>
          <w:szCs w:val="20"/>
        </w:rPr>
        <w:t>consider upon e</w:t>
      </w:r>
      <w:r w:rsidR="001D38AF" w:rsidRPr="00730C0D">
        <w:rPr>
          <w:rFonts w:ascii="Century Gothic" w:hAnsi="Century Gothic"/>
          <w:sz w:val="20"/>
          <w:szCs w:val="20"/>
        </w:rPr>
        <w:t xml:space="preserve">ntering post-school education. </w:t>
      </w:r>
    </w:p>
    <w:p w14:paraId="39DD866C" w14:textId="77777777" w:rsidR="007F0D76" w:rsidRPr="00730C0D" w:rsidRDefault="007F0D76" w:rsidP="00A051C9">
      <w:pPr>
        <w:spacing w:before="0" w:after="0"/>
        <w:rPr>
          <w:rFonts w:ascii="Century Gothic" w:hAnsi="Century Gothic"/>
          <w:sz w:val="20"/>
          <w:szCs w:val="20"/>
        </w:rPr>
      </w:pPr>
    </w:p>
    <w:p w14:paraId="487808E4" w14:textId="2D101F78" w:rsidR="00266D8E" w:rsidRPr="00730C0D" w:rsidRDefault="00266D8E" w:rsidP="00266D8E">
      <w:pPr>
        <w:spacing w:before="0" w:after="0"/>
        <w:rPr>
          <w:rFonts w:ascii="Century Gothic" w:hAnsi="Century Gothic"/>
          <w:sz w:val="20"/>
          <w:szCs w:val="20"/>
        </w:rPr>
      </w:pPr>
      <w:r w:rsidRPr="00730C0D">
        <w:rPr>
          <w:rFonts w:ascii="Century Gothic" w:hAnsi="Century Gothic"/>
          <w:sz w:val="20"/>
          <w:szCs w:val="20"/>
        </w:rPr>
        <w:t xml:space="preserve">In addition to a strong higher education sector, Australia has </w:t>
      </w:r>
      <w:r w:rsidR="00A051C9" w:rsidRPr="00730C0D">
        <w:rPr>
          <w:rFonts w:ascii="Century Gothic" w:hAnsi="Century Gothic"/>
          <w:sz w:val="20"/>
          <w:szCs w:val="20"/>
        </w:rPr>
        <w:t xml:space="preserve">a substantial VET </w:t>
      </w:r>
      <w:r w:rsidR="00EF3FD9">
        <w:rPr>
          <w:rFonts w:ascii="Century Gothic" w:hAnsi="Century Gothic"/>
          <w:sz w:val="20"/>
          <w:szCs w:val="20"/>
        </w:rPr>
        <w:t>system</w:t>
      </w:r>
      <w:r w:rsidR="00A051C9" w:rsidRPr="00730C0D">
        <w:rPr>
          <w:rFonts w:ascii="Century Gothic" w:hAnsi="Century Gothic"/>
          <w:sz w:val="20"/>
          <w:szCs w:val="20"/>
        </w:rPr>
        <w:t>. There </w:t>
      </w:r>
      <w:r w:rsidRPr="00730C0D">
        <w:rPr>
          <w:rFonts w:ascii="Century Gothic" w:hAnsi="Century Gothic"/>
          <w:sz w:val="20"/>
          <w:szCs w:val="20"/>
        </w:rPr>
        <w:t xml:space="preserve">are </w:t>
      </w:r>
      <w:r w:rsidRPr="00533FD0">
        <w:rPr>
          <w:rFonts w:ascii="Century Gothic" w:hAnsi="Century Gothic"/>
          <w:sz w:val="20"/>
          <w:szCs w:val="20"/>
        </w:rPr>
        <w:t xml:space="preserve">currently around 5,000 </w:t>
      </w:r>
      <w:r w:rsidR="00340750" w:rsidRPr="00533FD0">
        <w:rPr>
          <w:rFonts w:ascii="Century Gothic" w:hAnsi="Century Gothic"/>
          <w:sz w:val="20"/>
          <w:szCs w:val="20"/>
        </w:rPr>
        <w:t>Registered Training Organisations (</w:t>
      </w:r>
      <w:r w:rsidRPr="00533FD0">
        <w:rPr>
          <w:rFonts w:ascii="Century Gothic" w:hAnsi="Century Gothic"/>
          <w:sz w:val="20"/>
          <w:szCs w:val="20"/>
        </w:rPr>
        <w:t>RTOs</w:t>
      </w:r>
      <w:r w:rsidR="00340750" w:rsidRPr="00533FD0">
        <w:rPr>
          <w:rFonts w:ascii="Century Gothic" w:hAnsi="Century Gothic"/>
          <w:sz w:val="20"/>
          <w:szCs w:val="20"/>
        </w:rPr>
        <w:t>)</w:t>
      </w:r>
      <w:r w:rsidRPr="00533FD0">
        <w:rPr>
          <w:rFonts w:ascii="Century Gothic" w:hAnsi="Century Gothic"/>
          <w:sz w:val="20"/>
          <w:szCs w:val="20"/>
        </w:rPr>
        <w:t xml:space="preserve"> in Australia including TAFE </w:t>
      </w:r>
      <w:r w:rsidR="005D7AA4" w:rsidRPr="00533FD0">
        <w:rPr>
          <w:rFonts w:ascii="Century Gothic" w:hAnsi="Century Gothic"/>
          <w:sz w:val="20"/>
          <w:szCs w:val="20"/>
        </w:rPr>
        <w:t>providers</w:t>
      </w:r>
      <w:r w:rsidRPr="00533FD0">
        <w:rPr>
          <w:rFonts w:ascii="Century Gothic" w:hAnsi="Century Gothic"/>
          <w:sz w:val="20"/>
          <w:szCs w:val="20"/>
        </w:rPr>
        <w:t>, adult and community education providers,</w:t>
      </w:r>
      <w:r w:rsidRPr="00730C0D">
        <w:rPr>
          <w:rFonts w:ascii="Century Gothic" w:hAnsi="Century Gothic"/>
          <w:sz w:val="20"/>
          <w:szCs w:val="20"/>
        </w:rPr>
        <w:t xml:space="preserve"> private providers, community organisations, industry skill</w:t>
      </w:r>
      <w:r w:rsidR="005D7AA4" w:rsidRPr="00730C0D">
        <w:rPr>
          <w:rFonts w:ascii="Century Gothic" w:hAnsi="Century Gothic"/>
          <w:sz w:val="20"/>
          <w:szCs w:val="20"/>
        </w:rPr>
        <w:t>s</w:t>
      </w:r>
      <w:r w:rsidRPr="00730C0D">
        <w:rPr>
          <w:rFonts w:ascii="Century Gothic" w:hAnsi="Century Gothic"/>
          <w:sz w:val="20"/>
          <w:szCs w:val="20"/>
        </w:rPr>
        <w:t xml:space="preserve"> centres</w:t>
      </w:r>
      <w:r w:rsidR="007F0D76" w:rsidRPr="00730C0D">
        <w:rPr>
          <w:rFonts w:ascii="Century Gothic" w:hAnsi="Century Gothic"/>
          <w:sz w:val="20"/>
          <w:szCs w:val="20"/>
        </w:rPr>
        <w:t>,</w:t>
      </w:r>
      <w:r w:rsidRPr="00730C0D">
        <w:rPr>
          <w:rFonts w:ascii="Century Gothic" w:hAnsi="Century Gothic"/>
          <w:sz w:val="20"/>
          <w:szCs w:val="20"/>
        </w:rPr>
        <w:t xml:space="preserve"> and commercial and enterprise training providers.</w:t>
      </w:r>
      <w:r w:rsidRPr="00730C0D">
        <w:rPr>
          <w:rStyle w:val="FootnoteReference"/>
          <w:rFonts w:ascii="Century Gothic" w:hAnsi="Century Gothic"/>
          <w:sz w:val="20"/>
          <w:szCs w:val="20"/>
        </w:rPr>
        <w:footnoteReference w:id="24"/>
      </w:r>
      <w:r w:rsidRPr="00730C0D">
        <w:rPr>
          <w:rFonts w:ascii="Century Gothic" w:hAnsi="Century Gothic"/>
          <w:sz w:val="20"/>
          <w:szCs w:val="20"/>
        </w:rPr>
        <w:t xml:space="preserve"> </w:t>
      </w:r>
      <w:r w:rsidR="005C6A40" w:rsidRPr="00730C0D">
        <w:rPr>
          <w:rFonts w:ascii="Century Gothic" w:hAnsi="Century Gothic"/>
          <w:sz w:val="20"/>
          <w:szCs w:val="20"/>
        </w:rPr>
        <w:t>S</w:t>
      </w:r>
      <w:r w:rsidR="00E00E54" w:rsidRPr="00730C0D">
        <w:rPr>
          <w:rFonts w:ascii="Century Gothic" w:hAnsi="Century Gothic"/>
          <w:sz w:val="20"/>
          <w:szCs w:val="20"/>
        </w:rPr>
        <w:t>tudents studying an approved VET course may be eligible for a</w:t>
      </w:r>
      <w:r w:rsidRPr="00730C0D">
        <w:rPr>
          <w:rFonts w:ascii="Century Gothic" w:hAnsi="Century Gothic"/>
          <w:sz w:val="20"/>
          <w:szCs w:val="20"/>
        </w:rPr>
        <w:t xml:space="preserve"> Commonwealth</w:t>
      </w:r>
      <w:r w:rsidR="005D7AA4" w:rsidRPr="00730C0D">
        <w:rPr>
          <w:rFonts w:ascii="Century Gothic" w:hAnsi="Century Gothic"/>
          <w:sz w:val="20"/>
          <w:szCs w:val="20"/>
        </w:rPr>
        <w:t xml:space="preserve"> income contingent loan</w:t>
      </w:r>
      <w:r w:rsidRPr="00730C0D">
        <w:rPr>
          <w:rFonts w:ascii="Century Gothic" w:hAnsi="Century Gothic"/>
          <w:sz w:val="20"/>
          <w:szCs w:val="20"/>
        </w:rPr>
        <w:t xml:space="preserve"> through VET Student Loans (which replaced the VET FEE-HELP scheme on 1 January 2017). </w:t>
      </w:r>
      <w:r w:rsidR="00A051C9" w:rsidRPr="00730C0D">
        <w:rPr>
          <w:rFonts w:ascii="Century Gothic" w:hAnsi="Century Gothic"/>
          <w:sz w:val="20"/>
          <w:szCs w:val="20"/>
        </w:rPr>
        <w:t>Students may also be </w:t>
      </w:r>
      <w:r w:rsidRPr="00730C0D">
        <w:rPr>
          <w:rFonts w:ascii="Century Gothic" w:hAnsi="Century Gothic"/>
          <w:sz w:val="20"/>
          <w:szCs w:val="20"/>
        </w:rPr>
        <w:t>eligib</w:t>
      </w:r>
      <w:r w:rsidR="00A908AB" w:rsidRPr="00730C0D">
        <w:rPr>
          <w:rFonts w:ascii="Century Gothic" w:hAnsi="Century Gothic"/>
          <w:sz w:val="20"/>
          <w:szCs w:val="20"/>
        </w:rPr>
        <w:t>le for S</w:t>
      </w:r>
      <w:r w:rsidRPr="00730C0D">
        <w:rPr>
          <w:rFonts w:ascii="Century Gothic" w:hAnsi="Century Gothic"/>
          <w:sz w:val="20"/>
          <w:szCs w:val="20"/>
        </w:rPr>
        <w:t>tate</w:t>
      </w:r>
      <w:r w:rsidR="00175536" w:rsidRPr="00730C0D">
        <w:rPr>
          <w:rFonts w:ascii="Century Gothic" w:hAnsi="Century Gothic"/>
          <w:sz w:val="20"/>
          <w:szCs w:val="20"/>
        </w:rPr>
        <w:t>-level</w:t>
      </w:r>
      <w:r w:rsidRPr="00730C0D">
        <w:rPr>
          <w:rFonts w:ascii="Century Gothic" w:hAnsi="Century Gothic"/>
          <w:sz w:val="20"/>
          <w:szCs w:val="20"/>
        </w:rPr>
        <w:t xml:space="preserve"> subsidised funding.</w:t>
      </w:r>
    </w:p>
    <w:p w14:paraId="3F65A4E6" w14:textId="338F29A8" w:rsidR="0001252B" w:rsidRPr="00730C0D" w:rsidRDefault="0001252B" w:rsidP="00266D8E">
      <w:pPr>
        <w:spacing w:before="0" w:after="0"/>
        <w:rPr>
          <w:rFonts w:ascii="Century Gothic" w:hAnsi="Century Gothic"/>
          <w:sz w:val="20"/>
          <w:szCs w:val="20"/>
        </w:rPr>
      </w:pPr>
    </w:p>
    <w:p w14:paraId="18ECE842" w14:textId="32D0972E" w:rsidR="0001252B" w:rsidRPr="00730C0D" w:rsidRDefault="0001252B" w:rsidP="00266D8E">
      <w:pPr>
        <w:spacing w:before="0" w:after="0"/>
        <w:rPr>
          <w:rFonts w:ascii="Century Gothic" w:hAnsi="Century Gothic"/>
          <w:sz w:val="20"/>
          <w:szCs w:val="20"/>
        </w:rPr>
      </w:pPr>
      <w:r w:rsidRPr="00730C0D">
        <w:rPr>
          <w:rFonts w:ascii="Century Gothic" w:hAnsi="Century Gothic"/>
          <w:sz w:val="20"/>
          <w:szCs w:val="20"/>
        </w:rPr>
        <w:t xml:space="preserve">The higher education (universities and other higher education providers) and VET sectors in Australia serve students in different and complementary ways. It is important that students have the full range of choices presented to them with all the benefits and differences evident; these include course costs, differences in outcomes and teaching styles, and the range of prospects that are fit for purpose for each individual student’s needs. </w:t>
      </w:r>
    </w:p>
    <w:p w14:paraId="4DDE4740" w14:textId="07DA0BEB" w:rsidR="007F0D76" w:rsidRPr="00730C0D" w:rsidRDefault="00452E8C" w:rsidP="00452E8C">
      <w:pPr>
        <w:spacing w:before="0" w:after="160"/>
        <w:rPr>
          <w:rFonts w:ascii="Century Gothic" w:hAnsi="Century Gothic"/>
          <w:sz w:val="20"/>
          <w:szCs w:val="20"/>
        </w:rPr>
      </w:pPr>
      <w:r>
        <w:rPr>
          <w:rFonts w:ascii="Century Gothic" w:hAnsi="Century Gothic"/>
          <w:sz w:val="20"/>
          <w:szCs w:val="20"/>
        </w:rPr>
        <w:br w:type="page"/>
      </w:r>
    </w:p>
    <w:tbl>
      <w:tblPr>
        <w:tblStyle w:val="TableGrid"/>
        <w:tblW w:w="0" w:type="auto"/>
        <w:tblInd w:w="421" w:type="dxa"/>
        <w:tblLook w:val="04A0" w:firstRow="1" w:lastRow="0" w:firstColumn="1" w:lastColumn="0" w:noHBand="0" w:noVBand="1"/>
      </w:tblPr>
      <w:tblGrid>
        <w:gridCol w:w="8221"/>
      </w:tblGrid>
      <w:tr w:rsidR="00266D8E" w:rsidRPr="00730C0D" w14:paraId="60522928" w14:textId="77777777" w:rsidTr="001D2737">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4B8A88F8" w14:textId="77777777" w:rsidR="00266D8E" w:rsidRPr="00730C0D" w:rsidRDefault="00266D8E" w:rsidP="00CD16D6">
            <w:pPr>
              <w:spacing w:before="0" w:after="0" w:line="259" w:lineRule="auto"/>
              <w:jc w:val="both"/>
              <w:rPr>
                <w:rFonts w:ascii="Century Gothic" w:hAnsi="Century Gothic"/>
                <w:b w:val="0"/>
                <w:i/>
                <w:color w:val="auto"/>
                <w:sz w:val="20"/>
                <w:szCs w:val="20"/>
              </w:rPr>
            </w:pPr>
          </w:p>
          <w:p w14:paraId="1CB578D3" w14:textId="2B47738A" w:rsidR="00266D8E" w:rsidRPr="00730C0D" w:rsidRDefault="00266D8E" w:rsidP="001D2737">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“The difference between higher education and VET is becoming less distinct overtime. While VET may once have been focused on competency based training in relation to traditional trades and higher education associated with preparing graduates for the professions, there is little doubt that as we move into the 4</w:t>
            </w:r>
            <w:r w:rsidRPr="00730C0D">
              <w:rPr>
                <w:rFonts w:ascii="Century Gothic" w:hAnsi="Century Gothic" w:cstheme="minorHAnsi"/>
                <w:b w:val="0"/>
                <w:color w:val="2763AC"/>
                <w:sz w:val="20"/>
                <w:szCs w:val="20"/>
                <w:vertAlign w:val="superscript"/>
              </w:rPr>
              <w:t>th</w:t>
            </w:r>
            <w:r w:rsidRPr="00730C0D">
              <w:rPr>
                <w:rFonts w:ascii="Century Gothic" w:hAnsi="Century Gothic" w:cstheme="minorHAnsi"/>
                <w:b w:val="0"/>
                <w:color w:val="2763AC"/>
                <w:sz w:val="20"/>
                <w:szCs w:val="20"/>
              </w:rPr>
              <w:t xml:space="preserve"> industrial revolution, the distinction between the two sectors is diminishing”.</w:t>
            </w:r>
          </w:p>
          <w:p w14:paraId="78E8EB40" w14:textId="77777777" w:rsidR="00266D8E" w:rsidRPr="00730C0D" w:rsidRDefault="00266D8E" w:rsidP="00CD16D6">
            <w:pPr>
              <w:spacing w:before="0" w:after="0" w:line="259" w:lineRule="auto"/>
              <w:jc w:val="both"/>
              <w:rPr>
                <w:rFonts w:ascii="Century Gothic" w:hAnsi="Century Gothic" w:cstheme="minorHAnsi"/>
                <w:color w:val="auto"/>
                <w:sz w:val="20"/>
                <w:szCs w:val="20"/>
              </w:rPr>
            </w:pPr>
          </w:p>
          <w:p w14:paraId="1A95E3B9" w14:textId="77777777" w:rsidR="00266D8E" w:rsidRPr="00730C0D" w:rsidRDefault="00266D8E" w:rsidP="001D2737">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National Tertiary Education Union submission to the PCS Review 2019, p.3</w:t>
            </w:r>
          </w:p>
          <w:p w14:paraId="034DF239" w14:textId="77777777" w:rsidR="00266D8E" w:rsidRPr="00730C0D" w:rsidRDefault="00266D8E" w:rsidP="00CD16D6">
            <w:pPr>
              <w:spacing w:before="0" w:after="0" w:line="259" w:lineRule="auto"/>
              <w:jc w:val="right"/>
              <w:rPr>
                <w:rFonts w:ascii="Century Gothic" w:hAnsi="Century Gothic"/>
                <w:b w:val="0"/>
                <w:color w:val="auto"/>
                <w:sz w:val="20"/>
                <w:szCs w:val="20"/>
              </w:rPr>
            </w:pPr>
          </w:p>
        </w:tc>
      </w:tr>
    </w:tbl>
    <w:p w14:paraId="022C86FB" w14:textId="77777777" w:rsidR="003E3280" w:rsidRPr="00730C0D" w:rsidRDefault="003E3280" w:rsidP="003E3280">
      <w:pPr>
        <w:spacing w:before="0" w:after="0"/>
        <w:rPr>
          <w:rFonts w:ascii="Century Gothic" w:hAnsi="Century Gothic"/>
          <w:sz w:val="20"/>
          <w:szCs w:val="20"/>
        </w:rPr>
      </w:pPr>
    </w:p>
    <w:p w14:paraId="2C072A60" w14:textId="107FDA4F" w:rsidR="003E3280" w:rsidRPr="00730C0D" w:rsidRDefault="003E3280" w:rsidP="003E3280">
      <w:pPr>
        <w:spacing w:before="0" w:after="0"/>
        <w:rPr>
          <w:rFonts w:ascii="Century Gothic" w:hAnsi="Century Gothic"/>
          <w:sz w:val="20"/>
          <w:szCs w:val="20"/>
        </w:rPr>
      </w:pPr>
      <w:r w:rsidRPr="00730C0D">
        <w:rPr>
          <w:rFonts w:ascii="Century Gothic" w:hAnsi="Century Gothic"/>
          <w:sz w:val="20"/>
          <w:szCs w:val="20"/>
        </w:rPr>
        <w:t xml:space="preserve">While higher education has typically been more curriculum based and VET more competency based, this distinction is </w:t>
      </w:r>
      <w:r w:rsidR="0001252B" w:rsidRPr="00730C0D">
        <w:rPr>
          <w:rFonts w:ascii="Century Gothic" w:hAnsi="Century Gothic"/>
          <w:sz w:val="20"/>
          <w:szCs w:val="20"/>
        </w:rPr>
        <w:t xml:space="preserve">becoming </w:t>
      </w:r>
      <w:r w:rsidRPr="00730C0D">
        <w:rPr>
          <w:rFonts w:ascii="Century Gothic" w:hAnsi="Century Gothic"/>
          <w:sz w:val="20"/>
          <w:szCs w:val="20"/>
        </w:rPr>
        <w:t xml:space="preserve">increasingly blurred as providers seek to meet the needs of students and employers, </w:t>
      </w:r>
      <w:r w:rsidR="0001252B" w:rsidRPr="00730C0D">
        <w:rPr>
          <w:rFonts w:ascii="Century Gothic" w:hAnsi="Century Gothic"/>
          <w:sz w:val="20"/>
          <w:szCs w:val="20"/>
        </w:rPr>
        <w:t xml:space="preserve">including </w:t>
      </w:r>
      <w:r w:rsidRPr="00730C0D">
        <w:rPr>
          <w:rFonts w:ascii="Century Gothic" w:hAnsi="Century Gothic"/>
          <w:sz w:val="20"/>
          <w:szCs w:val="20"/>
        </w:rPr>
        <w:t>through dual sector provider models.</w:t>
      </w:r>
      <w:r w:rsidRPr="00730C0D">
        <w:rPr>
          <w:rStyle w:val="FootnoteReference"/>
          <w:rFonts w:ascii="Century Gothic" w:hAnsi="Century Gothic"/>
          <w:sz w:val="20"/>
          <w:szCs w:val="20"/>
        </w:rPr>
        <w:footnoteReference w:id="25"/>
      </w:r>
      <w:r w:rsidRPr="00730C0D">
        <w:rPr>
          <w:rFonts w:ascii="Century Gothic" w:hAnsi="Century Gothic"/>
          <w:sz w:val="20"/>
          <w:szCs w:val="20"/>
        </w:rPr>
        <w:t xml:space="preserve"> Both lead to recognised Australian qualifications within the AQF and can have strong graduate outcomes. </w:t>
      </w:r>
    </w:p>
    <w:p w14:paraId="36029FE3" w14:textId="77777777" w:rsidR="003E3280" w:rsidRPr="00730C0D" w:rsidRDefault="003E3280" w:rsidP="003E3280">
      <w:pPr>
        <w:spacing w:before="0" w:after="0"/>
        <w:rPr>
          <w:rFonts w:ascii="Century Gothic" w:hAnsi="Century Gothic"/>
          <w:sz w:val="20"/>
          <w:szCs w:val="20"/>
        </w:rPr>
      </w:pPr>
    </w:p>
    <w:p w14:paraId="3ACF8480" w14:textId="336A986C" w:rsidR="00266D8E" w:rsidRPr="00730C0D" w:rsidRDefault="00266D8E" w:rsidP="00266D8E">
      <w:pPr>
        <w:spacing w:before="0" w:after="0"/>
        <w:rPr>
          <w:rFonts w:ascii="Century Gothic" w:hAnsi="Century Gothic"/>
          <w:sz w:val="20"/>
          <w:szCs w:val="20"/>
        </w:rPr>
      </w:pPr>
      <w:r w:rsidRPr="00730C0D">
        <w:rPr>
          <w:rFonts w:ascii="Century Gothic" w:hAnsi="Century Gothic"/>
          <w:sz w:val="20"/>
          <w:szCs w:val="20"/>
        </w:rPr>
        <w:t xml:space="preserve">However, there exists a sharp public focus and recognition of the advantages of university education. </w:t>
      </w:r>
      <w:r w:rsidR="0001252B" w:rsidRPr="00730C0D">
        <w:rPr>
          <w:rFonts w:ascii="Century Gothic" w:hAnsi="Century Gothic"/>
          <w:sz w:val="20"/>
          <w:szCs w:val="20"/>
        </w:rPr>
        <w:t>M</w:t>
      </w:r>
      <w:r w:rsidRPr="00730C0D">
        <w:rPr>
          <w:rFonts w:ascii="Century Gothic" w:hAnsi="Century Gothic"/>
          <w:sz w:val="20"/>
          <w:szCs w:val="20"/>
        </w:rPr>
        <w:t>ore than 50 per cent of young people who seek to undertake post-secondary education initially aspire to go to university.</w:t>
      </w:r>
      <w:r w:rsidRPr="00730C0D">
        <w:rPr>
          <w:rStyle w:val="FootnoteReference"/>
          <w:rFonts w:ascii="Century Gothic" w:hAnsi="Century Gothic"/>
          <w:sz w:val="20"/>
          <w:szCs w:val="20"/>
        </w:rPr>
        <w:footnoteReference w:id="26"/>
      </w:r>
      <w:r w:rsidRPr="00730C0D">
        <w:rPr>
          <w:rFonts w:ascii="Century Gothic" w:hAnsi="Century Gothic"/>
          <w:sz w:val="20"/>
          <w:szCs w:val="20"/>
        </w:rPr>
        <w:t xml:space="preserve"> This university-centr</w:t>
      </w:r>
      <w:r w:rsidR="00175536" w:rsidRPr="00730C0D">
        <w:rPr>
          <w:rFonts w:ascii="Century Gothic" w:hAnsi="Century Gothic"/>
          <w:sz w:val="20"/>
          <w:szCs w:val="20"/>
        </w:rPr>
        <w:t>ed</w:t>
      </w:r>
      <w:r w:rsidRPr="00730C0D">
        <w:rPr>
          <w:rFonts w:ascii="Century Gothic" w:hAnsi="Century Gothic"/>
          <w:sz w:val="20"/>
          <w:szCs w:val="20"/>
        </w:rPr>
        <w:t xml:space="preserve"> mindset will need to shift if Australia is to meet its future workforce demand</w:t>
      </w:r>
      <w:r w:rsidR="0001252B" w:rsidRPr="00730C0D">
        <w:rPr>
          <w:rFonts w:ascii="Century Gothic" w:hAnsi="Century Gothic"/>
          <w:sz w:val="20"/>
          <w:szCs w:val="20"/>
        </w:rPr>
        <w:t>s</w:t>
      </w:r>
      <w:r w:rsidR="00175536" w:rsidRPr="00730C0D">
        <w:rPr>
          <w:rFonts w:ascii="Century Gothic" w:hAnsi="Century Gothic"/>
          <w:sz w:val="20"/>
          <w:szCs w:val="20"/>
        </w:rPr>
        <w:t xml:space="preserve"> and economic potential</w:t>
      </w:r>
      <w:r w:rsidRPr="00730C0D">
        <w:rPr>
          <w:rFonts w:ascii="Century Gothic" w:hAnsi="Century Gothic"/>
          <w:sz w:val="20"/>
          <w:szCs w:val="20"/>
        </w:rPr>
        <w:t xml:space="preserve">. As such, the tertiary pathway perspective for students </w:t>
      </w:r>
      <w:r w:rsidR="00175536" w:rsidRPr="00730C0D">
        <w:rPr>
          <w:rFonts w:ascii="Century Gothic" w:hAnsi="Century Gothic"/>
          <w:sz w:val="20"/>
          <w:szCs w:val="20"/>
        </w:rPr>
        <w:t xml:space="preserve">needs to </w:t>
      </w:r>
      <w:r w:rsidRPr="00730C0D">
        <w:rPr>
          <w:rFonts w:ascii="Century Gothic" w:hAnsi="Century Gothic"/>
          <w:sz w:val="20"/>
          <w:szCs w:val="20"/>
        </w:rPr>
        <w:t>be reframed</w:t>
      </w:r>
      <w:r w:rsidR="00175536" w:rsidRPr="00730C0D">
        <w:rPr>
          <w:rFonts w:ascii="Century Gothic" w:hAnsi="Century Gothic"/>
          <w:sz w:val="20"/>
          <w:szCs w:val="20"/>
        </w:rPr>
        <w:t>,</w:t>
      </w:r>
      <w:r w:rsidRPr="00730C0D">
        <w:rPr>
          <w:rFonts w:ascii="Century Gothic" w:hAnsi="Century Gothic"/>
          <w:sz w:val="20"/>
          <w:szCs w:val="20"/>
        </w:rPr>
        <w:t xml:space="preserve"> from </w:t>
      </w:r>
      <w:r w:rsidR="00175536" w:rsidRPr="00730C0D">
        <w:rPr>
          <w:rFonts w:ascii="Century Gothic" w:hAnsi="Century Gothic"/>
          <w:sz w:val="20"/>
          <w:szCs w:val="20"/>
        </w:rPr>
        <w:t xml:space="preserve">one where </w:t>
      </w:r>
      <w:r w:rsidRPr="00730C0D">
        <w:rPr>
          <w:rFonts w:ascii="Century Gothic" w:hAnsi="Century Gothic"/>
          <w:sz w:val="20"/>
          <w:szCs w:val="20"/>
        </w:rPr>
        <w:t xml:space="preserve">universities are </w:t>
      </w:r>
      <w:r w:rsidR="00175536" w:rsidRPr="00730C0D">
        <w:rPr>
          <w:rFonts w:ascii="Century Gothic" w:hAnsi="Century Gothic"/>
          <w:sz w:val="20"/>
          <w:szCs w:val="20"/>
        </w:rPr>
        <w:t>viewed by many to be, essentially, the ‘only game in town’, to one where the roles, advantages</w:t>
      </w:r>
      <w:r w:rsidR="0001252B" w:rsidRPr="00730C0D">
        <w:rPr>
          <w:rFonts w:ascii="Century Gothic" w:hAnsi="Century Gothic"/>
          <w:sz w:val="20"/>
          <w:szCs w:val="20"/>
        </w:rPr>
        <w:t>,</w:t>
      </w:r>
      <w:r w:rsidR="00175536" w:rsidRPr="00730C0D">
        <w:rPr>
          <w:rFonts w:ascii="Century Gothic" w:hAnsi="Century Gothic"/>
          <w:sz w:val="20"/>
          <w:szCs w:val="20"/>
        </w:rPr>
        <w:t xml:space="preserve"> and likely outcomes of different pathways for students </w:t>
      </w:r>
      <w:r w:rsidRPr="00730C0D">
        <w:rPr>
          <w:rFonts w:ascii="Century Gothic" w:hAnsi="Century Gothic"/>
          <w:sz w:val="20"/>
          <w:szCs w:val="20"/>
        </w:rPr>
        <w:t>across Australia’s tertiary education landscap</w:t>
      </w:r>
      <w:r w:rsidR="00175536" w:rsidRPr="00730C0D">
        <w:rPr>
          <w:rFonts w:ascii="Century Gothic" w:hAnsi="Century Gothic"/>
          <w:sz w:val="20"/>
          <w:szCs w:val="20"/>
        </w:rPr>
        <w:t xml:space="preserve">e are seen clearly and more </w:t>
      </w:r>
      <w:r w:rsidR="0001252B" w:rsidRPr="00730C0D">
        <w:rPr>
          <w:rFonts w:ascii="Century Gothic" w:hAnsi="Century Gothic"/>
          <w:sz w:val="20"/>
          <w:szCs w:val="20"/>
        </w:rPr>
        <w:t>complementar</w:t>
      </w:r>
      <w:r w:rsidR="00EF3FD9">
        <w:rPr>
          <w:rFonts w:ascii="Century Gothic" w:hAnsi="Century Gothic"/>
          <w:sz w:val="20"/>
          <w:szCs w:val="20"/>
        </w:rPr>
        <w:t>il</w:t>
      </w:r>
      <w:r w:rsidR="0001252B" w:rsidRPr="00730C0D">
        <w:rPr>
          <w:rFonts w:ascii="Century Gothic" w:hAnsi="Century Gothic"/>
          <w:sz w:val="20"/>
          <w:szCs w:val="20"/>
        </w:rPr>
        <w:t>y</w:t>
      </w:r>
      <w:r w:rsidRPr="00730C0D">
        <w:rPr>
          <w:rFonts w:ascii="Century Gothic" w:hAnsi="Century Gothic"/>
          <w:sz w:val="20"/>
          <w:szCs w:val="20"/>
        </w:rPr>
        <w:t xml:space="preserve">. </w:t>
      </w:r>
    </w:p>
    <w:p w14:paraId="215CF56F" w14:textId="77777777" w:rsidR="00266D8E" w:rsidRPr="00730C0D" w:rsidRDefault="00266D8E" w:rsidP="00266D8E">
      <w:pPr>
        <w:spacing w:before="0" w:after="0"/>
        <w:rPr>
          <w:rFonts w:ascii="Century Gothic" w:hAnsi="Century Gothic"/>
          <w:sz w:val="20"/>
          <w:szCs w:val="20"/>
        </w:rPr>
      </w:pPr>
    </w:p>
    <w:p w14:paraId="144F8700" w14:textId="6ADDE725" w:rsidR="00266D8E" w:rsidRPr="00730C0D" w:rsidRDefault="00266D8E" w:rsidP="00852A7B">
      <w:pPr>
        <w:spacing w:before="0" w:after="0"/>
        <w:ind w:right="-46"/>
        <w:rPr>
          <w:rFonts w:ascii="Century Gothic" w:hAnsi="Century Gothic"/>
          <w:sz w:val="20"/>
          <w:szCs w:val="20"/>
        </w:rPr>
      </w:pPr>
      <w:r w:rsidRPr="00730C0D">
        <w:rPr>
          <w:rFonts w:ascii="Century Gothic" w:hAnsi="Century Gothic"/>
          <w:sz w:val="20"/>
          <w:szCs w:val="20"/>
        </w:rPr>
        <w:t>This PCS Review, while focussing on the higher education sector, will seek to address the need for a shifting perspective of post-school options among students and the broader community.</w:t>
      </w:r>
    </w:p>
    <w:p w14:paraId="37673AF2" w14:textId="77777777" w:rsidR="00AC7D05" w:rsidRPr="00730C0D" w:rsidRDefault="00AC7D05" w:rsidP="00D31B9A">
      <w:pPr>
        <w:spacing w:before="0" w:after="0"/>
        <w:rPr>
          <w:rFonts w:ascii="Century Gothic" w:hAnsi="Century Gothic"/>
          <w:sz w:val="20"/>
          <w:szCs w:val="20"/>
        </w:rPr>
      </w:pPr>
    </w:p>
    <w:p w14:paraId="0E4D19BA" w14:textId="6C89AC0D" w:rsidR="00AC7D05" w:rsidRPr="00730C0D" w:rsidRDefault="00AE1672" w:rsidP="004978DA">
      <w:pPr>
        <w:pStyle w:val="Heading2"/>
      </w:pPr>
      <w:bookmarkStart w:id="36" w:name="_Toc18592321"/>
      <w:r w:rsidRPr="00730C0D">
        <w:t>1.3</w:t>
      </w:r>
      <w:r w:rsidRPr="00730C0D">
        <w:tab/>
      </w:r>
      <w:r w:rsidR="00AC7D05" w:rsidRPr="00730C0D">
        <w:t>Relationship with Other Reviews</w:t>
      </w:r>
      <w:bookmarkEnd w:id="36"/>
    </w:p>
    <w:p w14:paraId="3EE0B6CF" w14:textId="5DF9693B"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This PCS Review has been conducted in proximity to a number of other important </w:t>
      </w:r>
      <w:r w:rsidR="00813C0B" w:rsidRPr="00730C0D">
        <w:rPr>
          <w:rFonts w:ascii="Century Gothic" w:hAnsi="Century Gothic"/>
          <w:sz w:val="20"/>
          <w:szCs w:val="20"/>
        </w:rPr>
        <w:t>r</w:t>
      </w:r>
      <w:r w:rsidRPr="00730C0D">
        <w:rPr>
          <w:rFonts w:ascii="Century Gothic" w:hAnsi="Century Gothic"/>
          <w:sz w:val="20"/>
          <w:szCs w:val="20"/>
        </w:rPr>
        <w:t>eviews, including the:</w:t>
      </w:r>
    </w:p>
    <w:p w14:paraId="4DD1EC8E" w14:textId="6E297AFE" w:rsidR="00AC7D05" w:rsidRPr="00730C0D" w:rsidRDefault="00AC7D05" w:rsidP="0024520B">
      <w:pPr>
        <w:pStyle w:val="ListParagraph"/>
        <w:numPr>
          <w:ilvl w:val="0"/>
          <w:numId w:val="42"/>
        </w:numPr>
        <w:spacing w:before="0" w:after="0"/>
        <w:rPr>
          <w:rFonts w:ascii="Century Gothic" w:hAnsi="Century Gothic"/>
          <w:sz w:val="20"/>
          <w:szCs w:val="20"/>
        </w:rPr>
      </w:pPr>
      <w:r w:rsidRPr="00730C0D">
        <w:rPr>
          <w:rFonts w:ascii="Century Gothic" w:hAnsi="Century Gothic"/>
          <w:sz w:val="20"/>
          <w:szCs w:val="20"/>
        </w:rPr>
        <w:t>Review of the Australian Qualifications Framework, led by Professor Peter Noonan</w:t>
      </w:r>
      <w:r w:rsidR="00D51FF6" w:rsidRPr="00730C0D">
        <w:rPr>
          <w:rFonts w:ascii="Century Gothic" w:hAnsi="Century Gothic"/>
          <w:sz w:val="20"/>
          <w:szCs w:val="20"/>
        </w:rPr>
        <w:t>;</w:t>
      </w:r>
      <w:r w:rsidRPr="00730C0D">
        <w:rPr>
          <w:rFonts w:ascii="Century Gothic" w:hAnsi="Century Gothic"/>
          <w:sz w:val="20"/>
          <w:szCs w:val="20"/>
        </w:rPr>
        <w:t xml:space="preserve">   </w:t>
      </w:r>
    </w:p>
    <w:p w14:paraId="096CD6C3" w14:textId="5AE798F0" w:rsidR="00AC7D05" w:rsidRPr="00730C0D" w:rsidRDefault="00AC7D05" w:rsidP="0024520B">
      <w:pPr>
        <w:pStyle w:val="ListParagraph"/>
        <w:numPr>
          <w:ilvl w:val="0"/>
          <w:numId w:val="42"/>
        </w:numPr>
        <w:spacing w:before="0" w:after="0"/>
        <w:rPr>
          <w:rFonts w:ascii="Century Gothic" w:hAnsi="Century Gothic"/>
          <w:sz w:val="20"/>
          <w:szCs w:val="20"/>
        </w:rPr>
      </w:pPr>
      <w:r w:rsidRPr="00730C0D">
        <w:rPr>
          <w:rFonts w:ascii="Century Gothic" w:hAnsi="Century Gothic"/>
          <w:i/>
          <w:sz w:val="20"/>
          <w:szCs w:val="20"/>
        </w:rPr>
        <w:t>Strengthening Skills: Expert Review of Australia’s Vocational Education and Training System</w:t>
      </w:r>
      <w:r w:rsidRPr="00730C0D">
        <w:rPr>
          <w:rFonts w:ascii="Century Gothic" w:hAnsi="Century Gothic"/>
          <w:sz w:val="20"/>
          <w:szCs w:val="20"/>
        </w:rPr>
        <w:t>, led by the Honourable Steven Joyce</w:t>
      </w:r>
      <w:r w:rsidR="00D51FF6" w:rsidRPr="00730C0D">
        <w:rPr>
          <w:rFonts w:ascii="Century Gothic" w:hAnsi="Century Gothic"/>
          <w:sz w:val="20"/>
          <w:szCs w:val="20"/>
        </w:rPr>
        <w:t>;</w:t>
      </w:r>
    </w:p>
    <w:p w14:paraId="2F779BC8" w14:textId="18A821D9" w:rsidR="00AC7D05" w:rsidRPr="00730C0D" w:rsidRDefault="00AC7D05" w:rsidP="0024520B">
      <w:pPr>
        <w:pStyle w:val="ListParagraph"/>
        <w:numPr>
          <w:ilvl w:val="0"/>
          <w:numId w:val="42"/>
        </w:numPr>
        <w:spacing w:before="0" w:after="0"/>
        <w:rPr>
          <w:rFonts w:ascii="Century Gothic" w:hAnsi="Century Gothic"/>
          <w:sz w:val="20"/>
          <w:szCs w:val="20"/>
        </w:rPr>
      </w:pPr>
      <w:r w:rsidRPr="00730C0D">
        <w:rPr>
          <w:rFonts w:ascii="Century Gothic" w:hAnsi="Century Gothic"/>
          <w:i/>
          <w:sz w:val="20"/>
          <w:szCs w:val="20"/>
        </w:rPr>
        <w:t>Independent Review into Regional, Rural and Re</w:t>
      </w:r>
      <w:r w:rsidR="00A051C9" w:rsidRPr="00730C0D">
        <w:rPr>
          <w:rFonts w:ascii="Century Gothic" w:hAnsi="Century Gothic"/>
          <w:i/>
          <w:sz w:val="20"/>
          <w:szCs w:val="20"/>
        </w:rPr>
        <w:t>mote Education,</w:t>
      </w:r>
      <w:r w:rsidR="00A051C9" w:rsidRPr="00730C0D">
        <w:rPr>
          <w:rFonts w:ascii="Century Gothic" w:hAnsi="Century Gothic"/>
          <w:sz w:val="20"/>
          <w:szCs w:val="20"/>
        </w:rPr>
        <w:t xml:space="preserve"> led by Emeritus </w:t>
      </w:r>
      <w:r w:rsidRPr="00730C0D">
        <w:rPr>
          <w:rFonts w:ascii="Century Gothic" w:hAnsi="Century Gothic"/>
          <w:sz w:val="20"/>
          <w:szCs w:val="20"/>
        </w:rPr>
        <w:t>Professor John Halsey</w:t>
      </w:r>
      <w:r w:rsidR="00D51FF6" w:rsidRPr="00730C0D">
        <w:rPr>
          <w:rFonts w:ascii="Century Gothic" w:hAnsi="Century Gothic"/>
          <w:sz w:val="20"/>
          <w:szCs w:val="20"/>
        </w:rPr>
        <w:t>;</w:t>
      </w:r>
    </w:p>
    <w:p w14:paraId="1AA01030" w14:textId="7830A327" w:rsidR="00AC7D05" w:rsidRPr="00730C0D" w:rsidRDefault="00AC7D05" w:rsidP="0024520B">
      <w:pPr>
        <w:pStyle w:val="ListParagraph"/>
        <w:numPr>
          <w:ilvl w:val="0"/>
          <w:numId w:val="42"/>
        </w:numPr>
        <w:spacing w:before="0" w:after="0"/>
        <w:rPr>
          <w:rFonts w:ascii="Century Gothic" w:hAnsi="Century Gothic"/>
          <w:sz w:val="16"/>
          <w:szCs w:val="16"/>
        </w:rPr>
      </w:pPr>
      <w:r w:rsidRPr="00730C0D">
        <w:rPr>
          <w:rFonts w:ascii="Century Gothic" w:hAnsi="Century Gothic"/>
          <w:i/>
          <w:sz w:val="20"/>
          <w:szCs w:val="20"/>
        </w:rPr>
        <w:t>Performance-Based Funding for the Commonwealth</w:t>
      </w:r>
      <w:r w:rsidR="00A051C9" w:rsidRPr="00730C0D">
        <w:rPr>
          <w:rFonts w:ascii="Century Gothic" w:hAnsi="Century Gothic"/>
          <w:i/>
          <w:sz w:val="20"/>
          <w:szCs w:val="20"/>
        </w:rPr>
        <w:t xml:space="preserve"> Grant Scheme,</w:t>
      </w:r>
      <w:r w:rsidR="00A051C9" w:rsidRPr="00730C0D">
        <w:rPr>
          <w:rFonts w:ascii="Century Gothic" w:hAnsi="Century Gothic"/>
          <w:sz w:val="20"/>
          <w:szCs w:val="20"/>
        </w:rPr>
        <w:t xml:space="preserve"> led by Professor </w:t>
      </w:r>
      <w:r w:rsidRPr="00730C0D">
        <w:rPr>
          <w:rFonts w:ascii="Century Gothic" w:hAnsi="Century Gothic"/>
          <w:sz w:val="20"/>
          <w:szCs w:val="20"/>
        </w:rPr>
        <w:t xml:space="preserve">Paul Wellings </w:t>
      </w:r>
      <w:r w:rsidRPr="00730C0D">
        <w:rPr>
          <w:rFonts w:ascii="Century Gothic" w:hAnsi="Century Gothic"/>
          <w:sz w:val="16"/>
          <w:szCs w:val="16"/>
        </w:rPr>
        <w:t>CBE</w:t>
      </w:r>
      <w:r w:rsidR="00D51FF6" w:rsidRPr="00730C0D">
        <w:rPr>
          <w:rFonts w:ascii="Century Gothic" w:hAnsi="Century Gothic"/>
          <w:sz w:val="16"/>
          <w:szCs w:val="16"/>
        </w:rPr>
        <w:t xml:space="preserve">; </w:t>
      </w:r>
      <w:r w:rsidR="00D51FF6" w:rsidRPr="00730C0D">
        <w:rPr>
          <w:rFonts w:ascii="Century Gothic" w:hAnsi="Century Gothic"/>
          <w:sz w:val="20"/>
          <w:szCs w:val="20"/>
        </w:rPr>
        <w:t>and</w:t>
      </w:r>
    </w:p>
    <w:p w14:paraId="0999D4B0" w14:textId="6831F591" w:rsidR="00AC7D05" w:rsidRPr="00730C0D" w:rsidRDefault="00AC7D05" w:rsidP="0024520B">
      <w:pPr>
        <w:pStyle w:val="ListParagraph"/>
        <w:numPr>
          <w:ilvl w:val="0"/>
          <w:numId w:val="42"/>
        </w:numPr>
        <w:spacing w:before="0" w:after="0"/>
        <w:rPr>
          <w:rFonts w:ascii="Century Gothic" w:hAnsi="Century Gothic"/>
          <w:sz w:val="20"/>
          <w:szCs w:val="20"/>
        </w:rPr>
      </w:pPr>
      <w:r w:rsidRPr="00730C0D">
        <w:rPr>
          <w:rFonts w:ascii="Century Gothic" w:hAnsi="Century Gothic"/>
          <w:i/>
          <w:sz w:val="20"/>
          <w:szCs w:val="20"/>
        </w:rPr>
        <w:t>Independent Review of Freedom of Speech in Australian Higher Education Providers,</w:t>
      </w:r>
      <w:r w:rsidRPr="00730C0D">
        <w:rPr>
          <w:rFonts w:ascii="Century Gothic" w:hAnsi="Century Gothic"/>
          <w:sz w:val="20"/>
          <w:szCs w:val="20"/>
        </w:rPr>
        <w:t xml:space="preserve"> led by the Hon</w:t>
      </w:r>
      <w:r w:rsidR="006214C6" w:rsidRPr="00730C0D">
        <w:rPr>
          <w:rFonts w:ascii="Century Gothic" w:hAnsi="Century Gothic"/>
          <w:sz w:val="20"/>
          <w:szCs w:val="20"/>
        </w:rPr>
        <w:t xml:space="preserve">ourable </w:t>
      </w:r>
      <w:r w:rsidRPr="00730C0D">
        <w:rPr>
          <w:rFonts w:ascii="Century Gothic" w:hAnsi="Century Gothic"/>
          <w:sz w:val="20"/>
          <w:szCs w:val="20"/>
        </w:rPr>
        <w:t xml:space="preserve">Robert French </w:t>
      </w:r>
      <w:r w:rsidRPr="00730C0D">
        <w:rPr>
          <w:rFonts w:ascii="Century Gothic" w:hAnsi="Century Gothic"/>
          <w:sz w:val="16"/>
          <w:szCs w:val="16"/>
        </w:rPr>
        <w:t>AC</w:t>
      </w:r>
      <w:r w:rsidRPr="00730C0D">
        <w:rPr>
          <w:rFonts w:ascii="Century Gothic" w:hAnsi="Century Gothic"/>
          <w:sz w:val="20"/>
          <w:szCs w:val="20"/>
        </w:rPr>
        <w:t>.</w:t>
      </w:r>
    </w:p>
    <w:p w14:paraId="6D810FD8" w14:textId="77777777" w:rsidR="00AC7D05" w:rsidRPr="00730C0D" w:rsidRDefault="00AC7D05" w:rsidP="00D31B9A">
      <w:pPr>
        <w:spacing w:before="0" w:after="0"/>
        <w:rPr>
          <w:rFonts w:ascii="Century Gothic" w:hAnsi="Century Gothic"/>
          <w:sz w:val="20"/>
          <w:szCs w:val="20"/>
        </w:rPr>
      </w:pPr>
    </w:p>
    <w:p w14:paraId="48E143C4" w14:textId="6CC43C50" w:rsidR="00082A8C" w:rsidRPr="00852A7B" w:rsidRDefault="00AC7D05" w:rsidP="00852A7B">
      <w:pPr>
        <w:spacing w:before="0" w:after="0"/>
        <w:rPr>
          <w:rFonts w:ascii="Century Gothic" w:hAnsi="Century Gothic"/>
          <w:sz w:val="20"/>
          <w:szCs w:val="20"/>
          <w:u w:val="single"/>
        </w:rPr>
      </w:pPr>
      <w:r w:rsidRPr="00730C0D">
        <w:rPr>
          <w:rFonts w:ascii="Century Gothic" w:hAnsi="Century Gothic"/>
          <w:sz w:val="20"/>
          <w:szCs w:val="20"/>
        </w:rPr>
        <w:t xml:space="preserve">While the PCS constitute a discrete part of </w:t>
      </w:r>
      <w:r w:rsidR="006214C6" w:rsidRPr="00730C0D">
        <w:rPr>
          <w:rFonts w:ascii="Century Gothic" w:hAnsi="Century Gothic"/>
          <w:sz w:val="20"/>
          <w:szCs w:val="20"/>
        </w:rPr>
        <w:t xml:space="preserve">the </w:t>
      </w:r>
      <w:r w:rsidRPr="00730C0D">
        <w:rPr>
          <w:rFonts w:ascii="Century Gothic" w:hAnsi="Century Gothic"/>
          <w:sz w:val="20"/>
          <w:szCs w:val="20"/>
        </w:rPr>
        <w:t>regulatory standards for the Australian higher education sector, the PCS cannot be viewed sensibly in isolation from this other work and the</w:t>
      </w:r>
      <w:r w:rsidR="006214C6" w:rsidRPr="00730C0D">
        <w:rPr>
          <w:rFonts w:ascii="Century Gothic" w:hAnsi="Century Gothic"/>
          <w:sz w:val="20"/>
          <w:szCs w:val="20"/>
        </w:rPr>
        <w:t xml:space="preserve"> respective</w:t>
      </w:r>
      <w:r w:rsidRPr="00730C0D">
        <w:rPr>
          <w:rFonts w:ascii="Century Gothic" w:hAnsi="Century Gothic"/>
          <w:sz w:val="20"/>
          <w:szCs w:val="20"/>
        </w:rPr>
        <w:t xml:space="preserve"> findings. This will ensure that the PCS are complementary to other efforts and reform. </w:t>
      </w:r>
      <w:r w:rsidR="00BC6CC2" w:rsidRPr="00730C0D">
        <w:rPr>
          <w:rFonts w:ascii="Century Gothic" w:hAnsi="Century Gothic"/>
          <w:sz w:val="20"/>
          <w:szCs w:val="20"/>
        </w:rPr>
        <w:t>A</w:t>
      </w:r>
      <w:r w:rsidR="00DC77B4" w:rsidRPr="00730C0D">
        <w:rPr>
          <w:rFonts w:ascii="Century Gothic" w:hAnsi="Century Gothic"/>
          <w:sz w:val="20"/>
          <w:szCs w:val="20"/>
        </w:rPr>
        <w:t> </w:t>
      </w:r>
      <w:r w:rsidR="00BC6CC2" w:rsidRPr="00730C0D">
        <w:rPr>
          <w:rFonts w:ascii="Century Gothic" w:hAnsi="Century Gothic"/>
          <w:sz w:val="20"/>
          <w:szCs w:val="20"/>
        </w:rPr>
        <w:t xml:space="preserve">summary of these </w:t>
      </w:r>
      <w:r w:rsidR="006214C6" w:rsidRPr="00730C0D">
        <w:rPr>
          <w:rFonts w:ascii="Century Gothic" w:hAnsi="Century Gothic"/>
          <w:sz w:val="20"/>
          <w:szCs w:val="20"/>
        </w:rPr>
        <w:t>R</w:t>
      </w:r>
      <w:r w:rsidR="00BC6CC2" w:rsidRPr="00730C0D">
        <w:rPr>
          <w:rFonts w:ascii="Century Gothic" w:hAnsi="Century Gothic"/>
          <w:sz w:val="20"/>
          <w:szCs w:val="20"/>
        </w:rPr>
        <w:t xml:space="preserve">eviews and their potential interactions with the PCS Review are set out in </w:t>
      </w:r>
      <w:hyperlink w:anchor="_Appendix_G." w:history="1">
        <w:r w:rsidR="00BC6CC2" w:rsidRPr="00730C0D">
          <w:rPr>
            <w:rStyle w:val="Hyperlink"/>
            <w:rFonts w:ascii="Century Gothic" w:hAnsi="Century Gothic"/>
            <w:sz w:val="20"/>
            <w:szCs w:val="20"/>
          </w:rPr>
          <w:t>Appendix G</w:t>
        </w:r>
      </w:hyperlink>
      <w:r w:rsidR="00BC6CC2" w:rsidRPr="00730C0D">
        <w:rPr>
          <w:rFonts w:ascii="Century Gothic" w:hAnsi="Century Gothic"/>
          <w:sz w:val="20"/>
          <w:szCs w:val="20"/>
        </w:rPr>
        <w:t>.</w:t>
      </w:r>
      <w:r w:rsidR="00082A8C" w:rsidRPr="00730C0D">
        <w:rPr>
          <w:rFonts w:ascii="Century Gothic" w:hAnsi="Century Gothic"/>
          <w:color w:val="2763AC"/>
          <w:sz w:val="20"/>
          <w:szCs w:val="20"/>
        </w:rPr>
        <w:br w:type="page"/>
      </w:r>
    </w:p>
    <w:p w14:paraId="7BB3E35E" w14:textId="5D78F425" w:rsidR="00FF6A89" w:rsidRPr="00730C0D" w:rsidRDefault="00FF6A89" w:rsidP="003A178A">
      <w:pPr>
        <w:pStyle w:val="Heading1"/>
        <w:rPr>
          <w:b/>
          <w:sz w:val="52"/>
          <w:szCs w:val="52"/>
        </w:rPr>
      </w:pPr>
      <w:bookmarkStart w:id="37" w:name="_Chapter_2"/>
      <w:bookmarkStart w:id="38" w:name="_Toc18592322"/>
      <w:bookmarkEnd w:id="37"/>
      <w:r w:rsidRPr="00730C0D">
        <w:rPr>
          <w:b/>
          <w:sz w:val="52"/>
          <w:szCs w:val="52"/>
        </w:rPr>
        <w:t>Chapter 2</w:t>
      </w:r>
      <w:bookmarkEnd w:id="38"/>
      <w:r w:rsidR="00AC7D05" w:rsidRPr="00730C0D">
        <w:rPr>
          <w:b/>
          <w:sz w:val="52"/>
          <w:szCs w:val="52"/>
        </w:rPr>
        <w:t xml:space="preserve"> </w:t>
      </w:r>
    </w:p>
    <w:p w14:paraId="33AB8E08" w14:textId="00528B67" w:rsidR="00AC7D05" w:rsidRPr="00730C0D" w:rsidRDefault="00AC7D05" w:rsidP="003A178A">
      <w:pPr>
        <w:pStyle w:val="Heading1"/>
        <w:rPr>
          <w:sz w:val="52"/>
          <w:szCs w:val="52"/>
        </w:rPr>
      </w:pPr>
      <w:bookmarkStart w:id="39" w:name="_Toc16242104"/>
      <w:bookmarkStart w:id="40" w:name="_Toc16609427"/>
      <w:bookmarkStart w:id="41" w:name="_Toc18495560"/>
      <w:bookmarkStart w:id="42" w:name="_Toc18592323"/>
      <w:r w:rsidRPr="00730C0D">
        <w:rPr>
          <w:sz w:val="52"/>
          <w:szCs w:val="52"/>
        </w:rPr>
        <w:t>Key Issues</w:t>
      </w:r>
      <w:bookmarkEnd w:id="39"/>
      <w:bookmarkEnd w:id="40"/>
      <w:bookmarkEnd w:id="41"/>
      <w:bookmarkEnd w:id="42"/>
      <w:r w:rsidRPr="00730C0D">
        <w:rPr>
          <w:sz w:val="52"/>
          <w:szCs w:val="52"/>
        </w:rPr>
        <w:t xml:space="preserve"> </w:t>
      </w:r>
    </w:p>
    <w:p w14:paraId="5774A90A" w14:textId="79BAAB2F" w:rsidR="00AC7D05" w:rsidRPr="00730C0D" w:rsidRDefault="007F0D76" w:rsidP="00D31B9A">
      <w:pPr>
        <w:spacing w:before="0" w:after="0"/>
        <w:rPr>
          <w:rFonts w:ascii="Century Gothic" w:hAnsi="Century Gothic"/>
          <w:sz w:val="20"/>
          <w:szCs w:val="20"/>
        </w:rPr>
      </w:pPr>
      <w:r w:rsidRPr="00730C0D">
        <w:rPr>
          <w:rFonts w:ascii="Century Gothic" w:hAnsi="Century Gothic"/>
          <w:b/>
          <w:noProof/>
          <w:sz w:val="52"/>
          <w:szCs w:val="52"/>
          <w:lang w:eastAsia="en-AU"/>
        </w:rPr>
        <mc:AlternateContent>
          <mc:Choice Requires="wps">
            <w:drawing>
              <wp:anchor distT="0" distB="0" distL="114300" distR="114300" simplePos="0" relativeHeight="251677696" behindDoc="0" locked="0" layoutInCell="1" allowOverlap="1" wp14:anchorId="4DCE2916" wp14:editId="3F61958F">
                <wp:simplePos x="0" y="0"/>
                <wp:positionH relativeFrom="column">
                  <wp:posOffset>19050</wp:posOffset>
                </wp:positionH>
                <wp:positionV relativeFrom="paragraph">
                  <wp:posOffset>38735</wp:posOffset>
                </wp:positionV>
                <wp:extent cx="7143750" cy="0"/>
                <wp:effectExtent l="0" t="0" r="19050" b="19050"/>
                <wp:wrapNone/>
                <wp:docPr id="39" name="Straight Connector 39"/>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3841B" id="Straight Connector 39"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05pt" to="56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" strokecolor="black [3213]" strokeweight=".5pt">
                <v:stroke joinstyle="miter"/>
              </v:line>
            </w:pict>
          </mc:Fallback>
        </mc:AlternateContent>
      </w:r>
    </w:p>
    <w:p w14:paraId="5B561327" w14:textId="77777777" w:rsidR="00FF6A89" w:rsidRPr="00730C0D" w:rsidRDefault="00FF6A89" w:rsidP="00D31B9A">
      <w:pPr>
        <w:spacing w:before="0" w:after="0"/>
        <w:rPr>
          <w:rFonts w:ascii="Century Gothic" w:hAnsi="Century Gothic"/>
          <w:sz w:val="20"/>
          <w:szCs w:val="20"/>
        </w:rPr>
      </w:pPr>
    </w:p>
    <w:p w14:paraId="3185C032" w14:textId="7A180F60"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 public submission and consultation process for this Review (</w:t>
      </w:r>
      <w:hyperlink w:anchor="_Appendix_B." w:history="1">
        <w:r w:rsidRPr="00730C0D">
          <w:rPr>
            <w:rStyle w:val="Hyperlink"/>
            <w:rFonts w:ascii="Century Gothic" w:hAnsi="Century Gothic"/>
            <w:sz w:val="20"/>
            <w:szCs w:val="20"/>
          </w:rPr>
          <w:t>Appendix B</w:t>
        </w:r>
      </w:hyperlink>
      <w:r w:rsidRPr="00730C0D">
        <w:rPr>
          <w:rFonts w:ascii="Century Gothic" w:hAnsi="Century Gothic"/>
          <w:sz w:val="20"/>
          <w:szCs w:val="20"/>
        </w:rPr>
        <w:t xml:space="preserve">) </w:t>
      </w:r>
      <w:r w:rsidR="00C52511" w:rsidRPr="00730C0D">
        <w:rPr>
          <w:rFonts w:ascii="Century Gothic" w:hAnsi="Century Gothic"/>
          <w:sz w:val="20"/>
          <w:szCs w:val="20"/>
        </w:rPr>
        <w:t xml:space="preserve">demonstrates </w:t>
      </w:r>
      <w:r w:rsidRPr="00730C0D">
        <w:rPr>
          <w:rFonts w:ascii="Century Gothic" w:hAnsi="Century Gothic"/>
          <w:sz w:val="20"/>
          <w:szCs w:val="20"/>
        </w:rPr>
        <w:t>that the majority of Australian universities are comfortable with the</w:t>
      </w:r>
      <w:r w:rsidR="00C52511" w:rsidRPr="00730C0D">
        <w:rPr>
          <w:rFonts w:ascii="Century Gothic" w:hAnsi="Century Gothic"/>
          <w:sz w:val="20"/>
          <w:szCs w:val="20"/>
        </w:rPr>
        <w:t xml:space="preserve"> current</w:t>
      </w:r>
      <w:r w:rsidRPr="00730C0D">
        <w:rPr>
          <w:rFonts w:ascii="Century Gothic" w:hAnsi="Century Gothic"/>
          <w:sz w:val="20"/>
          <w:szCs w:val="20"/>
        </w:rPr>
        <w:t xml:space="preserve"> PCS</w:t>
      </w:r>
      <w:r w:rsidR="00733D85" w:rsidRPr="00730C0D">
        <w:rPr>
          <w:rFonts w:ascii="Century Gothic" w:hAnsi="Century Gothic"/>
          <w:sz w:val="20"/>
          <w:szCs w:val="20"/>
        </w:rPr>
        <w:t>. O</w:t>
      </w:r>
      <w:r w:rsidRPr="00730C0D">
        <w:rPr>
          <w:rFonts w:ascii="Century Gothic" w:hAnsi="Century Gothic"/>
          <w:sz w:val="20"/>
          <w:szCs w:val="20"/>
        </w:rPr>
        <w:t>ther higher education providers</w:t>
      </w:r>
      <w:r w:rsidR="00733D85" w:rsidRPr="00730C0D">
        <w:rPr>
          <w:rFonts w:ascii="Century Gothic" w:hAnsi="Century Gothic"/>
          <w:sz w:val="20"/>
          <w:szCs w:val="20"/>
        </w:rPr>
        <w:t>, however, are distinctly</w:t>
      </w:r>
      <w:r w:rsidRPr="00730C0D">
        <w:rPr>
          <w:rFonts w:ascii="Century Gothic" w:hAnsi="Century Gothic"/>
          <w:sz w:val="20"/>
          <w:szCs w:val="20"/>
        </w:rPr>
        <w:t xml:space="preserve"> less so. The discomfort from those in the </w:t>
      </w:r>
      <w:r w:rsidR="007A2298" w:rsidRPr="00730C0D">
        <w:rPr>
          <w:rFonts w:ascii="Century Gothic" w:hAnsi="Century Gothic"/>
          <w:sz w:val="20"/>
          <w:szCs w:val="20"/>
        </w:rPr>
        <w:br/>
      </w:r>
      <w:r w:rsidRPr="00730C0D">
        <w:rPr>
          <w:rFonts w:ascii="Century Gothic" w:hAnsi="Century Gothic"/>
          <w:sz w:val="20"/>
          <w:szCs w:val="20"/>
        </w:rPr>
        <w:t>‘Higher Education Provider’ category predomina</w:t>
      </w:r>
      <w:r w:rsidR="00175536" w:rsidRPr="00730C0D">
        <w:rPr>
          <w:rFonts w:ascii="Century Gothic" w:hAnsi="Century Gothic"/>
          <w:sz w:val="20"/>
          <w:szCs w:val="20"/>
        </w:rPr>
        <w:t>n</w:t>
      </w:r>
      <w:r w:rsidRPr="00730C0D">
        <w:rPr>
          <w:rFonts w:ascii="Century Gothic" w:hAnsi="Century Gothic"/>
          <w:sz w:val="20"/>
          <w:szCs w:val="20"/>
        </w:rPr>
        <w:t>tly relates to perceptions of</w:t>
      </w:r>
      <w:r w:rsidR="00213A0D" w:rsidRPr="00730C0D">
        <w:rPr>
          <w:rFonts w:ascii="Century Gothic" w:hAnsi="Century Gothic"/>
          <w:sz w:val="20"/>
          <w:szCs w:val="20"/>
        </w:rPr>
        <w:t xml:space="preserve"> a</w:t>
      </w:r>
      <w:r w:rsidR="00733D85" w:rsidRPr="00730C0D">
        <w:rPr>
          <w:rFonts w:ascii="Century Gothic" w:hAnsi="Century Gothic"/>
          <w:sz w:val="20"/>
          <w:szCs w:val="20"/>
        </w:rPr>
        <w:t xml:space="preserve"> lack of</w:t>
      </w:r>
      <w:r w:rsidRPr="00730C0D">
        <w:rPr>
          <w:rFonts w:ascii="Century Gothic" w:hAnsi="Century Gothic"/>
          <w:sz w:val="20"/>
          <w:szCs w:val="20"/>
        </w:rPr>
        <w:t xml:space="preserve"> prestige and differential regulatory requirements</w:t>
      </w:r>
      <w:r w:rsidR="00733D85" w:rsidRPr="00730C0D">
        <w:rPr>
          <w:rFonts w:ascii="Century Gothic" w:hAnsi="Century Gothic"/>
          <w:sz w:val="20"/>
          <w:szCs w:val="20"/>
        </w:rPr>
        <w:t>, including student funding matters</w:t>
      </w:r>
      <w:r w:rsidRPr="00730C0D">
        <w:rPr>
          <w:rFonts w:ascii="Century Gothic" w:hAnsi="Century Gothic"/>
          <w:sz w:val="20"/>
          <w:szCs w:val="20"/>
        </w:rPr>
        <w:t xml:space="preserve">. </w:t>
      </w:r>
      <w:r w:rsidR="007A2298" w:rsidRPr="00730C0D">
        <w:rPr>
          <w:rFonts w:ascii="Century Gothic" w:hAnsi="Century Gothic"/>
          <w:sz w:val="20"/>
          <w:szCs w:val="20"/>
        </w:rPr>
        <w:br/>
      </w:r>
      <w:r w:rsidRPr="00730C0D">
        <w:rPr>
          <w:rFonts w:ascii="Century Gothic" w:hAnsi="Century Gothic"/>
          <w:sz w:val="20"/>
          <w:szCs w:val="20"/>
        </w:rPr>
        <w:t xml:space="preserve">Overall, stakeholders acknowledge the contribution of the PCS in safeguarding Australia’s high quality education system and international reputation. Most stakeholders support refinements to the current </w:t>
      </w:r>
      <w:r w:rsidR="00C7571A" w:rsidRPr="00730C0D">
        <w:rPr>
          <w:rFonts w:ascii="Century Gothic" w:hAnsi="Century Gothic"/>
          <w:sz w:val="20"/>
          <w:szCs w:val="20"/>
        </w:rPr>
        <w:t>PCS</w:t>
      </w:r>
      <w:r w:rsidRPr="00730C0D">
        <w:rPr>
          <w:rFonts w:ascii="Century Gothic" w:hAnsi="Century Gothic"/>
          <w:sz w:val="20"/>
          <w:szCs w:val="20"/>
        </w:rPr>
        <w:t xml:space="preserve"> to improve their utility and operation. </w:t>
      </w:r>
    </w:p>
    <w:p w14:paraId="0181AB92" w14:textId="17B45F7A" w:rsidR="00BD4487" w:rsidRPr="00730C0D" w:rsidRDefault="00BD4487"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BD4487" w:rsidRPr="00730C0D" w14:paraId="7AC1A699"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3A2C635A" w14:textId="77777777" w:rsidR="00BD4487" w:rsidRPr="00730C0D" w:rsidRDefault="00BD4487" w:rsidP="008A7920">
            <w:pPr>
              <w:spacing w:before="0" w:after="0" w:line="259" w:lineRule="auto"/>
              <w:jc w:val="both"/>
              <w:rPr>
                <w:rFonts w:ascii="Century Gothic" w:hAnsi="Century Gothic"/>
                <w:b w:val="0"/>
                <w:i/>
                <w:color w:val="auto"/>
                <w:sz w:val="20"/>
                <w:szCs w:val="20"/>
              </w:rPr>
            </w:pPr>
          </w:p>
          <w:p w14:paraId="2C786628" w14:textId="6D1222D2" w:rsidR="00BD4487" w:rsidRPr="00730C0D" w:rsidRDefault="00BD4487" w:rsidP="00827DE1">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 xml:space="preserve">“Any revision to the PCS must be framed around enhanced quality. It is critically important to maintain Australia’s excellent international reputation for quality higher education”. </w:t>
            </w:r>
          </w:p>
          <w:p w14:paraId="673998E4" w14:textId="77777777" w:rsidR="00BD4487" w:rsidRPr="00730C0D" w:rsidRDefault="00BD4487" w:rsidP="008A7920">
            <w:pPr>
              <w:spacing w:before="0" w:after="0" w:line="259" w:lineRule="auto"/>
              <w:jc w:val="both"/>
              <w:rPr>
                <w:rFonts w:ascii="Century Gothic" w:hAnsi="Century Gothic" w:cstheme="minorHAnsi"/>
                <w:color w:val="auto"/>
                <w:sz w:val="20"/>
                <w:szCs w:val="20"/>
              </w:rPr>
            </w:pPr>
          </w:p>
          <w:p w14:paraId="21F3DE0E" w14:textId="5EF9898C" w:rsidR="00BD4487" w:rsidRPr="00730C0D" w:rsidRDefault="00BD4487" w:rsidP="008A792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Group of Eight submission to the PCS Review 2019, p.3</w:t>
            </w:r>
          </w:p>
          <w:p w14:paraId="239A8A8A" w14:textId="77777777" w:rsidR="00BD4487" w:rsidRPr="00730C0D" w:rsidRDefault="00BD4487" w:rsidP="008A7920">
            <w:pPr>
              <w:spacing w:before="0" w:after="0" w:line="259" w:lineRule="auto"/>
              <w:jc w:val="right"/>
              <w:rPr>
                <w:rFonts w:ascii="Century Gothic" w:hAnsi="Century Gothic"/>
                <w:b w:val="0"/>
                <w:color w:val="auto"/>
                <w:sz w:val="20"/>
                <w:szCs w:val="20"/>
              </w:rPr>
            </w:pPr>
          </w:p>
        </w:tc>
      </w:tr>
    </w:tbl>
    <w:p w14:paraId="732B16A7" w14:textId="77777777" w:rsidR="00AC7D05" w:rsidRPr="00730C0D" w:rsidRDefault="00AC7D05" w:rsidP="00D31B9A">
      <w:pPr>
        <w:spacing w:before="0" w:after="0"/>
        <w:rPr>
          <w:rFonts w:ascii="Century Gothic" w:hAnsi="Century Gothic"/>
          <w:sz w:val="20"/>
          <w:szCs w:val="20"/>
        </w:rPr>
      </w:pPr>
    </w:p>
    <w:p w14:paraId="5710F25D" w14:textId="04098A0F"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This chapter outlines the key issues raised through the public submission and consultation process, and puts forward recommendations in response to these concerns. Key issues broadly fall into the following themes: </w:t>
      </w:r>
    </w:p>
    <w:p w14:paraId="402EB0A1" w14:textId="4CD14AA6" w:rsidR="00AC7D05" w:rsidRPr="00730C0D" w:rsidRDefault="00AC7D05" w:rsidP="0024520B">
      <w:pPr>
        <w:numPr>
          <w:ilvl w:val="0"/>
          <w:numId w:val="50"/>
        </w:numPr>
        <w:spacing w:before="0" w:after="0"/>
        <w:ind w:left="714" w:right="-188" w:hanging="357"/>
        <w:contextualSpacing/>
        <w:rPr>
          <w:rFonts w:ascii="Century Gothic" w:hAnsi="Century Gothic"/>
          <w:sz w:val="20"/>
          <w:szCs w:val="20"/>
        </w:rPr>
      </w:pPr>
      <w:r w:rsidRPr="00730C0D">
        <w:rPr>
          <w:rFonts w:ascii="Century Gothic" w:hAnsi="Century Gothic"/>
          <w:b/>
          <w:sz w:val="20"/>
          <w:szCs w:val="20"/>
        </w:rPr>
        <w:t>Fit for purpose</w:t>
      </w:r>
      <w:r w:rsidRPr="00730C0D">
        <w:rPr>
          <w:rFonts w:ascii="Century Gothic" w:hAnsi="Century Gothic"/>
          <w:sz w:val="20"/>
          <w:szCs w:val="20"/>
        </w:rPr>
        <w:t xml:space="preserve"> – ensuring the categories are fit for purpose for all stakeholders, including students, the regulator</w:t>
      </w:r>
      <w:r w:rsidR="009F330D" w:rsidRPr="00730C0D">
        <w:rPr>
          <w:rFonts w:ascii="Century Gothic" w:hAnsi="Century Gothic"/>
          <w:sz w:val="20"/>
          <w:szCs w:val="20"/>
        </w:rPr>
        <w:t>,</w:t>
      </w:r>
      <w:r w:rsidRPr="00730C0D">
        <w:rPr>
          <w:rFonts w:ascii="Century Gothic" w:hAnsi="Century Gothic"/>
          <w:sz w:val="20"/>
          <w:szCs w:val="20"/>
        </w:rPr>
        <w:t xml:space="preserve"> and the education sector, both now and into the future</w:t>
      </w:r>
      <w:r w:rsidR="00733D85" w:rsidRPr="00730C0D">
        <w:rPr>
          <w:rFonts w:ascii="Century Gothic" w:hAnsi="Century Gothic"/>
          <w:sz w:val="20"/>
          <w:szCs w:val="20"/>
        </w:rPr>
        <w:t>;</w:t>
      </w:r>
    </w:p>
    <w:p w14:paraId="5A3AD7F8" w14:textId="51DA3AFC" w:rsidR="00AC7D05" w:rsidRPr="00730C0D" w:rsidRDefault="00AC7D05" w:rsidP="0024520B">
      <w:pPr>
        <w:numPr>
          <w:ilvl w:val="0"/>
          <w:numId w:val="50"/>
        </w:numPr>
        <w:spacing w:before="0" w:after="0"/>
        <w:ind w:left="714" w:hanging="357"/>
        <w:contextualSpacing/>
        <w:rPr>
          <w:rFonts w:ascii="Century Gothic" w:hAnsi="Century Gothic"/>
          <w:sz w:val="20"/>
          <w:szCs w:val="20"/>
        </w:rPr>
      </w:pPr>
      <w:r w:rsidRPr="00730C0D">
        <w:rPr>
          <w:rFonts w:ascii="Century Gothic" w:hAnsi="Century Gothic"/>
          <w:b/>
          <w:sz w:val="20"/>
          <w:szCs w:val="20"/>
        </w:rPr>
        <w:t>Lifting cachet</w:t>
      </w:r>
      <w:r w:rsidR="00965146" w:rsidRPr="00730C0D">
        <w:rPr>
          <w:rFonts w:ascii="Century Gothic" w:hAnsi="Century Gothic"/>
          <w:b/>
          <w:sz w:val="20"/>
          <w:szCs w:val="20"/>
        </w:rPr>
        <w:t xml:space="preserve"> and reputation </w:t>
      </w:r>
      <w:r w:rsidR="00160A4E" w:rsidRPr="00730C0D">
        <w:rPr>
          <w:rFonts w:ascii="Century Gothic" w:hAnsi="Century Gothic"/>
          <w:sz w:val="20"/>
          <w:szCs w:val="20"/>
        </w:rPr>
        <w:t>–</w:t>
      </w:r>
      <w:r w:rsidR="00965146" w:rsidRPr="00730C0D">
        <w:rPr>
          <w:rFonts w:ascii="Century Gothic" w:hAnsi="Century Gothic"/>
          <w:b/>
          <w:sz w:val="20"/>
          <w:szCs w:val="20"/>
        </w:rPr>
        <w:t xml:space="preserve"> </w:t>
      </w:r>
      <w:r w:rsidRPr="00730C0D">
        <w:rPr>
          <w:rFonts w:ascii="Century Gothic" w:hAnsi="Century Gothic"/>
          <w:sz w:val="20"/>
          <w:szCs w:val="20"/>
        </w:rPr>
        <w:t>lifting</w:t>
      </w:r>
      <w:r w:rsidR="00160A4E" w:rsidRPr="00730C0D">
        <w:rPr>
          <w:rFonts w:ascii="Century Gothic" w:hAnsi="Century Gothic"/>
          <w:sz w:val="20"/>
          <w:szCs w:val="20"/>
        </w:rPr>
        <w:t xml:space="preserve"> </w:t>
      </w:r>
      <w:r w:rsidRPr="00730C0D">
        <w:rPr>
          <w:rFonts w:ascii="Century Gothic" w:hAnsi="Century Gothic"/>
          <w:sz w:val="20"/>
          <w:szCs w:val="20"/>
        </w:rPr>
        <w:t>the cachet of all higher education providers, creating greater differentiation of provider types</w:t>
      </w:r>
      <w:r w:rsidR="00733D85" w:rsidRPr="00730C0D">
        <w:rPr>
          <w:rFonts w:ascii="Century Gothic" w:hAnsi="Century Gothic"/>
          <w:sz w:val="20"/>
          <w:szCs w:val="20"/>
        </w:rPr>
        <w:t>; and</w:t>
      </w:r>
    </w:p>
    <w:p w14:paraId="1E7C29E0" w14:textId="4577532B" w:rsidR="00AC7D05" w:rsidRPr="00730C0D" w:rsidRDefault="00AC7D05" w:rsidP="0024520B">
      <w:pPr>
        <w:numPr>
          <w:ilvl w:val="0"/>
          <w:numId w:val="50"/>
        </w:numPr>
        <w:spacing w:before="0" w:after="0"/>
        <w:ind w:left="714" w:hanging="357"/>
        <w:contextualSpacing/>
        <w:rPr>
          <w:rFonts w:ascii="Century Gothic" w:hAnsi="Century Gothic"/>
          <w:sz w:val="20"/>
          <w:szCs w:val="20"/>
        </w:rPr>
      </w:pPr>
      <w:r w:rsidRPr="00730C0D">
        <w:rPr>
          <w:rFonts w:ascii="Century Gothic" w:hAnsi="Century Gothic"/>
          <w:b/>
          <w:sz w:val="20"/>
          <w:szCs w:val="20"/>
        </w:rPr>
        <w:t>Brand protection</w:t>
      </w:r>
      <w:r w:rsidRPr="00730C0D">
        <w:rPr>
          <w:rFonts w:ascii="Century Gothic" w:hAnsi="Century Gothic"/>
          <w:sz w:val="20"/>
          <w:szCs w:val="20"/>
        </w:rPr>
        <w:t xml:space="preserve"> – protecting the international reputation o</w:t>
      </w:r>
      <w:r w:rsidR="009F330D" w:rsidRPr="00730C0D">
        <w:rPr>
          <w:rFonts w:ascii="Century Gothic" w:hAnsi="Century Gothic"/>
          <w:sz w:val="20"/>
          <w:szCs w:val="20"/>
        </w:rPr>
        <w:t>f ‘brand Australia’</w:t>
      </w:r>
      <w:r w:rsidRPr="00730C0D">
        <w:rPr>
          <w:rFonts w:ascii="Century Gothic" w:hAnsi="Century Gothic"/>
          <w:sz w:val="20"/>
          <w:szCs w:val="20"/>
        </w:rPr>
        <w:t xml:space="preserve"> and confirming the roles and function</w:t>
      </w:r>
      <w:r w:rsidR="00213A0D" w:rsidRPr="00730C0D">
        <w:rPr>
          <w:rFonts w:ascii="Century Gothic" w:hAnsi="Century Gothic"/>
          <w:sz w:val="20"/>
          <w:szCs w:val="20"/>
        </w:rPr>
        <w:t>s</w:t>
      </w:r>
      <w:r w:rsidRPr="00730C0D">
        <w:rPr>
          <w:rFonts w:ascii="Century Gothic" w:hAnsi="Century Gothic"/>
          <w:sz w:val="20"/>
          <w:szCs w:val="20"/>
        </w:rPr>
        <w:t xml:space="preserve"> of universities in Australia. </w:t>
      </w:r>
    </w:p>
    <w:p w14:paraId="1C5F359E" w14:textId="77777777" w:rsidR="00AC7D05" w:rsidRPr="00730C0D" w:rsidRDefault="00AC7D05" w:rsidP="00D31B9A">
      <w:pPr>
        <w:spacing w:before="0" w:after="0"/>
        <w:rPr>
          <w:rFonts w:ascii="Century Gothic" w:hAnsi="Century Gothic"/>
          <w:sz w:val="20"/>
          <w:szCs w:val="20"/>
        </w:rPr>
      </w:pPr>
    </w:p>
    <w:p w14:paraId="0B98AD91" w14:textId="3C15A39F"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Chapter 3 </w:t>
      </w:r>
      <w:r w:rsidR="00733D85" w:rsidRPr="00730C0D">
        <w:rPr>
          <w:rFonts w:ascii="Century Gothic" w:hAnsi="Century Gothic"/>
          <w:sz w:val="20"/>
          <w:szCs w:val="20"/>
        </w:rPr>
        <w:t>will then</w:t>
      </w:r>
      <w:r w:rsidR="00213A0D" w:rsidRPr="00730C0D">
        <w:rPr>
          <w:rFonts w:ascii="Century Gothic" w:hAnsi="Century Gothic"/>
          <w:sz w:val="20"/>
          <w:szCs w:val="20"/>
        </w:rPr>
        <w:t xml:space="preserve"> </w:t>
      </w:r>
      <w:r w:rsidR="00733D85" w:rsidRPr="00730C0D">
        <w:rPr>
          <w:rFonts w:ascii="Century Gothic" w:hAnsi="Century Gothic"/>
          <w:sz w:val="20"/>
          <w:szCs w:val="20"/>
        </w:rPr>
        <w:t xml:space="preserve">provide </w:t>
      </w:r>
      <w:r w:rsidRPr="00730C0D">
        <w:rPr>
          <w:rFonts w:ascii="Century Gothic" w:hAnsi="Century Gothic"/>
          <w:sz w:val="20"/>
          <w:szCs w:val="20"/>
        </w:rPr>
        <w:t>an overview of the proposed</w:t>
      </w:r>
      <w:r w:rsidR="005C1D99" w:rsidRPr="00730C0D">
        <w:rPr>
          <w:rFonts w:ascii="Century Gothic" w:hAnsi="Century Gothic"/>
          <w:sz w:val="20"/>
          <w:szCs w:val="20"/>
        </w:rPr>
        <w:t xml:space="preserve"> revised</w:t>
      </w:r>
      <w:r w:rsidRPr="00730C0D">
        <w:rPr>
          <w:rFonts w:ascii="Century Gothic" w:hAnsi="Century Gothic"/>
          <w:sz w:val="20"/>
          <w:szCs w:val="20"/>
        </w:rPr>
        <w:t xml:space="preserve"> PCS </w:t>
      </w:r>
      <w:r w:rsidR="005C1D99" w:rsidRPr="00730C0D">
        <w:rPr>
          <w:rFonts w:ascii="Century Gothic" w:hAnsi="Century Gothic"/>
          <w:sz w:val="20"/>
          <w:szCs w:val="20"/>
        </w:rPr>
        <w:t xml:space="preserve">model </w:t>
      </w:r>
      <w:r w:rsidRPr="00730C0D">
        <w:rPr>
          <w:rFonts w:ascii="Century Gothic" w:hAnsi="Century Gothic"/>
          <w:sz w:val="20"/>
          <w:szCs w:val="20"/>
        </w:rPr>
        <w:t>and examine how the PCS will serve the needs of students, the regulator, the sector</w:t>
      </w:r>
      <w:r w:rsidR="009F330D" w:rsidRPr="00730C0D">
        <w:rPr>
          <w:rFonts w:ascii="Century Gothic" w:hAnsi="Century Gothic"/>
          <w:sz w:val="20"/>
          <w:szCs w:val="20"/>
        </w:rPr>
        <w:t>,</w:t>
      </w:r>
      <w:r w:rsidRPr="00730C0D">
        <w:rPr>
          <w:rFonts w:ascii="Century Gothic" w:hAnsi="Century Gothic"/>
          <w:sz w:val="20"/>
          <w:szCs w:val="20"/>
        </w:rPr>
        <w:t xml:space="preserve"> and the broader community</w:t>
      </w:r>
      <w:r w:rsidR="00733D85" w:rsidRPr="00730C0D">
        <w:rPr>
          <w:rFonts w:ascii="Century Gothic" w:hAnsi="Century Gothic"/>
          <w:sz w:val="20"/>
          <w:szCs w:val="20"/>
        </w:rPr>
        <w:t>, thus ensuring</w:t>
      </w:r>
      <w:r w:rsidR="00213A0D" w:rsidRPr="00730C0D">
        <w:rPr>
          <w:rFonts w:ascii="Century Gothic" w:hAnsi="Century Gothic"/>
          <w:sz w:val="20"/>
          <w:szCs w:val="20"/>
        </w:rPr>
        <w:t xml:space="preserve"> the PCS are</w:t>
      </w:r>
      <w:r w:rsidR="00733D85" w:rsidRPr="00730C0D">
        <w:rPr>
          <w:rFonts w:ascii="Century Gothic" w:hAnsi="Century Gothic"/>
          <w:sz w:val="20"/>
          <w:szCs w:val="20"/>
        </w:rPr>
        <w:t xml:space="preserve"> ‘</w:t>
      </w:r>
      <w:r w:rsidRPr="00730C0D">
        <w:rPr>
          <w:rFonts w:ascii="Century Gothic" w:hAnsi="Century Gothic"/>
          <w:sz w:val="20"/>
          <w:szCs w:val="20"/>
        </w:rPr>
        <w:t>fit for purpose</w:t>
      </w:r>
      <w:r w:rsidR="00733D85" w:rsidRPr="00730C0D">
        <w:rPr>
          <w:rFonts w:ascii="Century Gothic" w:hAnsi="Century Gothic"/>
          <w:sz w:val="20"/>
          <w:szCs w:val="20"/>
        </w:rPr>
        <w:t>’ into the future</w:t>
      </w:r>
      <w:r w:rsidRPr="00730C0D">
        <w:rPr>
          <w:rFonts w:ascii="Century Gothic" w:hAnsi="Century Gothic"/>
          <w:sz w:val="20"/>
          <w:szCs w:val="20"/>
        </w:rPr>
        <w:t>.</w:t>
      </w:r>
    </w:p>
    <w:p w14:paraId="7B474BDE" w14:textId="77777777" w:rsidR="00AC7D05" w:rsidRPr="00730C0D" w:rsidRDefault="00AC7D05" w:rsidP="00D31B9A">
      <w:pPr>
        <w:spacing w:before="0" w:after="0"/>
        <w:rPr>
          <w:rFonts w:ascii="Century Gothic" w:hAnsi="Century Gothic"/>
          <w:sz w:val="20"/>
          <w:szCs w:val="20"/>
        </w:rPr>
      </w:pPr>
    </w:p>
    <w:p w14:paraId="79368CB0" w14:textId="69EB9EFD" w:rsidR="00AC7D05" w:rsidRPr="00730C0D" w:rsidRDefault="00AE1672" w:rsidP="004978DA">
      <w:pPr>
        <w:pStyle w:val="Heading2"/>
      </w:pPr>
      <w:bookmarkStart w:id="43" w:name="_Toc18592324"/>
      <w:r w:rsidRPr="00730C0D">
        <w:t>2.1</w:t>
      </w:r>
      <w:r w:rsidRPr="00730C0D">
        <w:tab/>
      </w:r>
      <w:r w:rsidR="00AC7D05" w:rsidRPr="00730C0D">
        <w:t>Simplification of the PCS</w:t>
      </w:r>
      <w:bookmarkEnd w:id="43"/>
    </w:p>
    <w:p w14:paraId="3CC044AF" w14:textId="5E93F84A" w:rsidR="00AC7D05" w:rsidRPr="00730C0D" w:rsidRDefault="00AC7D05" w:rsidP="00827DE1">
      <w:pPr>
        <w:spacing w:before="0" w:after="0"/>
        <w:rPr>
          <w:rFonts w:ascii="Century Gothic" w:hAnsi="Century Gothic"/>
          <w:sz w:val="20"/>
          <w:szCs w:val="20"/>
        </w:rPr>
      </w:pPr>
      <w:r w:rsidRPr="00730C0D">
        <w:rPr>
          <w:rFonts w:ascii="Century Gothic" w:hAnsi="Century Gothic"/>
          <w:sz w:val="20"/>
          <w:szCs w:val="20"/>
        </w:rPr>
        <w:t>The PCS currently comprise six categories encompassing 175 TEQSA registered higher education providers.</w:t>
      </w:r>
      <w:r w:rsidR="00C7571A" w:rsidRPr="00730C0D">
        <w:rPr>
          <w:rStyle w:val="FootnoteReference"/>
          <w:rFonts w:ascii="Century Gothic" w:hAnsi="Century Gothic"/>
          <w:sz w:val="20"/>
          <w:szCs w:val="20"/>
        </w:rPr>
        <w:footnoteReference w:id="27"/>
      </w:r>
      <w:r w:rsidRPr="00730C0D">
        <w:rPr>
          <w:rFonts w:ascii="Century Gothic" w:hAnsi="Century Gothic"/>
          <w:sz w:val="20"/>
          <w:szCs w:val="20"/>
        </w:rPr>
        <w:t xml:space="preserve"> The majority of these providers </w:t>
      </w:r>
      <w:r w:rsidR="009F330D" w:rsidRPr="00730C0D">
        <w:rPr>
          <w:rFonts w:ascii="Century Gothic" w:hAnsi="Century Gothic"/>
          <w:sz w:val="20"/>
          <w:szCs w:val="20"/>
        </w:rPr>
        <w:t>are</w:t>
      </w:r>
      <w:r w:rsidR="00733D85" w:rsidRPr="00730C0D">
        <w:rPr>
          <w:rFonts w:ascii="Century Gothic" w:hAnsi="Century Gothic"/>
          <w:sz w:val="20"/>
          <w:szCs w:val="20"/>
        </w:rPr>
        <w:t xml:space="preserve"> </w:t>
      </w:r>
      <w:r w:rsidRPr="00730C0D">
        <w:rPr>
          <w:rFonts w:ascii="Century Gothic" w:hAnsi="Century Gothic"/>
          <w:sz w:val="20"/>
          <w:szCs w:val="20"/>
        </w:rPr>
        <w:t>concentrated in two of the provider categories – the ‘Aust</w:t>
      </w:r>
      <w:r w:rsidR="00A051C9" w:rsidRPr="00730C0D">
        <w:rPr>
          <w:rFonts w:ascii="Century Gothic" w:hAnsi="Century Gothic"/>
          <w:sz w:val="20"/>
          <w:szCs w:val="20"/>
        </w:rPr>
        <w:t>ralian University’ category (40 </w:t>
      </w:r>
      <w:r w:rsidRPr="00730C0D">
        <w:rPr>
          <w:rFonts w:ascii="Century Gothic" w:hAnsi="Century Gothic"/>
          <w:sz w:val="20"/>
          <w:szCs w:val="20"/>
        </w:rPr>
        <w:t xml:space="preserve">providers) and the </w:t>
      </w:r>
      <w:r w:rsidR="00827DE1">
        <w:rPr>
          <w:rFonts w:ascii="Century Gothic" w:hAnsi="Century Gothic"/>
          <w:sz w:val="20"/>
          <w:szCs w:val="20"/>
        </w:rPr>
        <w:br/>
      </w:r>
      <w:r w:rsidRPr="00730C0D">
        <w:rPr>
          <w:rFonts w:ascii="Century Gothic" w:hAnsi="Century Gothic"/>
          <w:sz w:val="20"/>
          <w:szCs w:val="20"/>
        </w:rPr>
        <w:t>‘Higher E</w:t>
      </w:r>
      <w:r w:rsidR="00D55D9D">
        <w:rPr>
          <w:rFonts w:ascii="Century Gothic" w:hAnsi="Century Gothic"/>
          <w:sz w:val="20"/>
          <w:szCs w:val="20"/>
        </w:rPr>
        <w:t>ducation Provider’ category (131</w:t>
      </w:r>
      <w:r w:rsidRPr="00730C0D">
        <w:rPr>
          <w:rFonts w:ascii="Century Gothic" w:hAnsi="Century Gothic"/>
          <w:sz w:val="20"/>
          <w:szCs w:val="20"/>
        </w:rPr>
        <w:t xml:space="preserve"> providers).</w:t>
      </w:r>
      <w:r w:rsidRPr="00730C0D">
        <w:rPr>
          <w:rFonts w:ascii="Century Gothic" w:hAnsi="Century Gothic"/>
          <w:sz w:val="20"/>
          <w:szCs w:val="20"/>
          <w:vertAlign w:val="superscript"/>
        </w:rPr>
        <w:footnoteReference w:id="28"/>
      </w:r>
      <w:r w:rsidRPr="00730C0D">
        <w:rPr>
          <w:rFonts w:ascii="Century Gothic" w:hAnsi="Century Gothic"/>
          <w:sz w:val="20"/>
          <w:szCs w:val="20"/>
        </w:rPr>
        <w:t xml:space="preserve"> The other four categories have been underutilised</w:t>
      </w:r>
      <w:r w:rsidR="00733D85" w:rsidRPr="00730C0D">
        <w:rPr>
          <w:rFonts w:ascii="Century Gothic" w:hAnsi="Century Gothic"/>
          <w:sz w:val="20"/>
          <w:szCs w:val="20"/>
        </w:rPr>
        <w:t>,</w:t>
      </w:r>
      <w:r w:rsidRPr="00730C0D">
        <w:rPr>
          <w:rFonts w:ascii="Century Gothic" w:hAnsi="Century Gothic"/>
          <w:sz w:val="20"/>
          <w:szCs w:val="20"/>
        </w:rPr>
        <w:t xml:space="preserve"> suggesting a lack of </w:t>
      </w:r>
      <w:r w:rsidR="00175536" w:rsidRPr="00730C0D">
        <w:rPr>
          <w:rFonts w:ascii="Century Gothic" w:hAnsi="Century Gothic"/>
          <w:sz w:val="20"/>
          <w:szCs w:val="20"/>
        </w:rPr>
        <w:t xml:space="preserve">obtainability </w:t>
      </w:r>
      <w:r w:rsidRPr="00730C0D">
        <w:rPr>
          <w:rFonts w:ascii="Century Gothic" w:hAnsi="Century Gothic"/>
          <w:sz w:val="20"/>
          <w:szCs w:val="20"/>
        </w:rPr>
        <w:t>or relevance due, in part, to technical issues</w:t>
      </w:r>
      <w:r w:rsidR="005C1D99" w:rsidRPr="00730C0D">
        <w:rPr>
          <w:rFonts w:ascii="Century Gothic" w:hAnsi="Century Gothic"/>
          <w:sz w:val="20"/>
          <w:szCs w:val="20"/>
        </w:rPr>
        <w:t>. Additionally</w:t>
      </w:r>
      <w:r w:rsidRPr="00730C0D">
        <w:rPr>
          <w:rFonts w:ascii="Century Gothic" w:hAnsi="Century Gothic"/>
          <w:sz w:val="20"/>
          <w:szCs w:val="20"/>
        </w:rPr>
        <w:t xml:space="preserve"> the ‘Higher Education Provider’ category is too undifferentiated</w:t>
      </w:r>
      <w:r w:rsidR="005C1D99" w:rsidRPr="00730C0D">
        <w:rPr>
          <w:rFonts w:ascii="Century Gothic" w:hAnsi="Century Gothic"/>
          <w:sz w:val="20"/>
          <w:szCs w:val="20"/>
        </w:rPr>
        <w:t xml:space="preserve"> given the large number </w:t>
      </w:r>
      <w:r w:rsidR="00EF3FD9">
        <w:rPr>
          <w:rFonts w:ascii="Century Gothic" w:hAnsi="Century Gothic"/>
          <w:sz w:val="20"/>
          <w:szCs w:val="20"/>
        </w:rPr>
        <w:t>and diverse nature of</w:t>
      </w:r>
      <w:r w:rsidR="005C1D99" w:rsidRPr="00730C0D">
        <w:rPr>
          <w:rFonts w:ascii="Century Gothic" w:hAnsi="Century Gothic"/>
          <w:sz w:val="20"/>
          <w:szCs w:val="20"/>
        </w:rPr>
        <w:t xml:space="preserve"> providers in that category</w:t>
      </w:r>
      <w:r w:rsidRPr="00730C0D">
        <w:rPr>
          <w:rFonts w:ascii="Century Gothic" w:hAnsi="Century Gothic"/>
          <w:sz w:val="20"/>
          <w:szCs w:val="20"/>
        </w:rPr>
        <w:t xml:space="preserve">. </w:t>
      </w:r>
      <w:r w:rsidR="00C7571A" w:rsidRPr="00730C0D">
        <w:rPr>
          <w:rFonts w:ascii="Century Gothic" w:hAnsi="Century Gothic"/>
          <w:sz w:val="20"/>
          <w:szCs w:val="20"/>
        </w:rPr>
        <w:t xml:space="preserve">Comparison of Australia’s categorisation of higher education providers internationally demonstrates that, for the size of its population and sector, the Australian categorisation is overly complex (see </w:t>
      </w:r>
      <w:hyperlink w:anchor="_Appendix_F." w:history="1">
        <w:r w:rsidR="00C7571A" w:rsidRPr="00730C0D">
          <w:rPr>
            <w:rStyle w:val="Hyperlink"/>
            <w:rFonts w:ascii="Century Gothic" w:hAnsi="Century Gothic"/>
            <w:sz w:val="20"/>
            <w:szCs w:val="20"/>
          </w:rPr>
          <w:t>Appendix F</w:t>
        </w:r>
      </w:hyperlink>
      <w:r w:rsidR="00C7571A" w:rsidRPr="00730C0D">
        <w:rPr>
          <w:rFonts w:ascii="Century Gothic" w:hAnsi="Century Gothic"/>
          <w:sz w:val="20"/>
          <w:szCs w:val="20"/>
        </w:rPr>
        <w:t>).</w:t>
      </w:r>
    </w:p>
    <w:p w14:paraId="3717B415" w14:textId="53BDE9DF" w:rsidR="00AC7D05" w:rsidRPr="00730C0D" w:rsidRDefault="003806EF" w:rsidP="004978DA">
      <w:pPr>
        <w:pStyle w:val="Heading3"/>
      </w:pPr>
      <w:bookmarkStart w:id="44" w:name="_2.1.1_‘Australian_University"/>
      <w:bookmarkStart w:id="45" w:name="_Toc18592325"/>
      <w:bookmarkEnd w:id="44"/>
      <w:r w:rsidRPr="00730C0D">
        <w:t>2.1.1</w:t>
      </w:r>
      <w:r w:rsidRPr="00730C0D">
        <w:tab/>
      </w:r>
      <w:r w:rsidR="00AC7D05" w:rsidRPr="00730C0D">
        <w:t>‘Australian University College’ Category</w:t>
      </w:r>
      <w:bookmarkEnd w:id="45"/>
      <w:r w:rsidR="00AC7D05" w:rsidRPr="00730C0D">
        <w:t xml:space="preserve"> </w:t>
      </w:r>
    </w:p>
    <w:p w14:paraId="074392E7" w14:textId="77777777" w:rsidR="001153C7" w:rsidRPr="00730C0D" w:rsidRDefault="001153C7" w:rsidP="001153C7">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Historically in the Australian context, university colleges were institutions that did not generally have degree conferring powers and functioned as arms of an established university. The expectation was that these institutions could, in time, become fully-fledged universities.</w:t>
      </w:r>
      <w:r w:rsidRPr="00730C0D">
        <w:rPr>
          <w:rFonts w:ascii="Century Gothic" w:eastAsiaTheme="minorEastAsia" w:hAnsi="Century Gothic"/>
          <w:sz w:val="20"/>
          <w:szCs w:val="20"/>
          <w:vertAlign w:val="superscript"/>
        </w:rPr>
        <w:footnoteReference w:id="29"/>
      </w:r>
      <w:r w:rsidRPr="00730C0D">
        <w:rPr>
          <w:rFonts w:ascii="Century Gothic" w:eastAsiaTheme="minorEastAsia" w:hAnsi="Century Gothic"/>
          <w:sz w:val="20"/>
          <w:szCs w:val="20"/>
        </w:rPr>
        <w:t xml:space="preserve"> Indeed, many of Australia’s current universities began as university colleges under this model. The earliest example is the University of New England which was originally established in 1938 as the New England University College, a college of the University of Sydney, before becoming a fully independent university in 1954.</w:t>
      </w:r>
      <w:r w:rsidRPr="00730C0D">
        <w:rPr>
          <w:rFonts w:ascii="Century Gothic" w:eastAsiaTheme="minorEastAsia" w:hAnsi="Century Gothic"/>
          <w:sz w:val="20"/>
          <w:szCs w:val="20"/>
          <w:vertAlign w:val="superscript"/>
        </w:rPr>
        <w:footnoteReference w:id="30"/>
      </w:r>
      <w:r w:rsidRPr="00730C0D">
        <w:rPr>
          <w:rFonts w:ascii="Century Gothic" w:eastAsiaTheme="minorEastAsia" w:hAnsi="Century Gothic"/>
          <w:sz w:val="20"/>
          <w:szCs w:val="20"/>
        </w:rPr>
        <w:t xml:space="preserve"> Similarly, the institution which became </w:t>
      </w:r>
      <w:r w:rsidRPr="00730C0D">
        <w:rPr>
          <w:rFonts w:ascii="Century Gothic" w:eastAsiaTheme="minorEastAsia" w:hAnsi="Century Gothic"/>
          <w:sz w:val="20"/>
          <w:szCs w:val="20"/>
        </w:rPr>
        <w:br/>
        <w:t>James Cook University in 1970 began as an annex of the University of Queensland.</w:t>
      </w:r>
      <w:r w:rsidRPr="00730C0D">
        <w:rPr>
          <w:rStyle w:val="FootnoteReference"/>
          <w:rFonts w:ascii="Century Gothic" w:eastAsiaTheme="minorEastAsia" w:hAnsi="Century Gothic"/>
          <w:sz w:val="20"/>
          <w:szCs w:val="20"/>
        </w:rPr>
        <w:footnoteReference w:id="31"/>
      </w:r>
      <w:r w:rsidRPr="00730C0D">
        <w:rPr>
          <w:rFonts w:ascii="Century Gothic" w:eastAsiaTheme="minorEastAsia" w:hAnsi="Century Gothic"/>
          <w:sz w:val="20"/>
          <w:szCs w:val="20"/>
        </w:rPr>
        <w:t xml:space="preserve"> A more recent example is the Sunshine Coast University College, which opened in 1996 before transitioning to full university status as the University of the Sunshine Coast in 1999.</w:t>
      </w:r>
      <w:r w:rsidRPr="00730C0D">
        <w:rPr>
          <w:rFonts w:ascii="Century Gothic" w:eastAsiaTheme="minorEastAsia" w:hAnsi="Century Gothic"/>
          <w:sz w:val="20"/>
          <w:szCs w:val="20"/>
          <w:vertAlign w:val="superscript"/>
        </w:rPr>
        <w:footnoteReference w:id="32"/>
      </w:r>
      <w:r w:rsidRPr="00730C0D">
        <w:rPr>
          <w:rFonts w:ascii="Century Gothic" w:eastAsiaTheme="minorEastAsia" w:hAnsi="Century Gothic"/>
          <w:sz w:val="20"/>
          <w:szCs w:val="20"/>
        </w:rPr>
        <w:t xml:space="preserve"> </w:t>
      </w:r>
    </w:p>
    <w:p w14:paraId="46674D28" w14:textId="77777777" w:rsidR="001153C7" w:rsidRPr="00730C0D" w:rsidRDefault="001153C7" w:rsidP="001153C7">
      <w:pPr>
        <w:spacing w:before="0" w:after="0"/>
        <w:rPr>
          <w:rFonts w:ascii="Century Gothic" w:eastAsiaTheme="minorEastAsia" w:hAnsi="Century Gothic"/>
          <w:sz w:val="20"/>
          <w:szCs w:val="20"/>
        </w:rPr>
      </w:pPr>
    </w:p>
    <w:p w14:paraId="0407DBF0" w14:textId="52E23BD8" w:rsidR="001153C7" w:rsidRPr="00730C0D" w:rsidRDefault="001153C7" w:rsidP="00827DE1">
      <w:pPr>
        <w:spacing w:before="0" w:after="0"/>
        <w:ind w:right="-46"/>
        <w:rPr>
          <w:rFonts w:ascii="Century Gothic" w:eastAsiaTheme="minorEastAsia" w:hAnsi="Century Gothic"/>
          <w:sz w:val="20"/>
          <w:szCs w:val="20"/>
        </w:rPr>
      </w:pPr>
      <w:r w:rsidRPr="00730C0D">
        <w:rPr>
          <w:rFonts w:ascii="Century Gothic" w:eastAsiaTheme="minorEastAsia" w:hAnsi="Century Gothic"/>
          <w:sz w:val="20"/>
          <w:szCs w:val="20"/>
        </w:rPr>
        <w:t xml:space="preserve">Under the PCS, the ‘Australian University College’ category is a transitional category for a higher education provider with realistic and achievable plans to become an </w:t>
      </w:r>
      <w:r w:rsidR="00827DE1">
        <w:rPr>
          <w:rFonts w:ascii="Century Gothic" w:eastAsiaTheme="minorEastAsia" w:hAnsi="Century Gothic"/>
          <w:sz w:val="20"/>
          <w:szCs w:val="20"/>
        </w:rPr>
        <w:br/>
      </w:r>
      <w:r w:rsidRPr="00730C0D">
        <w:rPr>
          <w:rFonts w:ascii="Century Gothic" w:eastAsiaTheme="minorEastAsia" w:hAnsi="Century Gothic"/>
          <w:sz w:val="20"/>
          <w:szCs w:val="20"/>
        </w:rPr>
        <w:t>‘Australian University’ within five years. Providers are required to self-accredit and deliver undergraduate courses across a range of broad fields of study. This includes postgraduate (coursework) courses in three broad fields of study and higher degrees by research in at least one broad field (as opposed to three broad fields</w:t>
      </w:r>
      <w:r w:rsidR="00827DE1">
        <w:rPr>
          <w:rFonts w:ascii="Century Gothic" w:eastAsiaTheme="minorEastAsia" w:hAnsi="Century Gothic"/>
          <w:sz w:val="20"/>
          <w:szCs w:val="20"/>
        </w:rPr>
        <w:t xml:space="preserve"> as</w:t>
      </w:r>
      <w:r w:rsidRPr="00730C0D">
        <w:rPr>
          <w:rFonts w:ascii="Century Gothic" w:eastAsiaTheme="minorEastAsia" w:hAnsi="Century Gothic"/>
          <w:sz w:val="20"/>
          <w:szCs w:val="20"/>
        </w:rPr>
        <w:t xml:space="preserve"> required in the ‘Australian University’ category). At present, the category only has one registered provider, Avondale College of </w:t>
      </w:r>
      <w:r w:rsidRPr="00730C0D">
        <w:rPr>
          <w:rFonts w:ascii="Century Gothic" w:eastAsiaTheme="minorEastAsia" w:hAnsi="Century Gothic"/>
          <w:sz w:val="20"/>
          <w:szCs w:val="20"/>
        </w:rPr>
        <w:br/>
        <w:t>Higher Education. TEQSA approved Avondale College’s application for category change in late August 2019, the first and only successful application to the ‘Australian University College’ category since TEQSA’s establishment in 2011.</w:t>
      </w:r>
      <w:r w:rsidRPr="00730C0D">
        <w:rPr>
          <w:rStyle w:val="FootnoteReference"/>
          <w:rFonts w:ascii="Century Gothic" w:eastAsiaTheme="minorEastAsia" w:hAnsi="Century Gothic"/>
          <w:sz w:val="20"/>
          <w:szCs w:val="20"/>
        </w:rPr>
        <w:footnoteReference w:id="33"/>
      </w:r>
      <w:r w:rsidRPr="00730C0D">
        <w:rPr>
          <w:rFonts w:ascii="Century Gothic" w:eastAsiaTheme="minorEastAsia" w:hAnsi="Century Gothic"/>
          <w:sz w:val="20"/>
          <w:szCs w:val="20"/>
        </w:rPr>
        <w:t xml:space="preserve"> </w:t>
      </w:r>
    </w:p>
    <w:p w14:paraId="3C8D48F3" w14:textId="77777777" w:rsidR="001153C7" w:rsidRPr="00730C0D" w:rsidRDefault="001153C7" w:rsidP="001153C7">
      <w:pPr>
        <w:spacing w:before="0" w:after="0"/>
        <w:rPr>
          <w:rFonts w:ascii="Century Gothic" w:eastAsiaTheme="minorEastAsia" w:hAnsi="Century Gothic"/>
          <w:sz w:val="20"/>
          <w:szCs w:val="20"/>
        </w:rPr>
      </w:pPr>
    </w:p>
    <w:p w14:paraId="1334660D" w14:textId="6DA90EFA" w:rsidR="001153C7" w:rsidRPr="00730C0D" w:rsidRDefault="001153C7" w:rsidP="006A7659">
      <w:pPr>
        <w:spacing w:before="0" w:after="0"/>
        <w:ind w:right="-188"/>
        <w:rPr>
          <w:rFonts w:ascii="Century Gothic" w:eastAsiaTheme="minorEastAsia" w:hAnsi="Century Gothic"/>
          <w:sz w:val="20"/>
          <w:szCs w:val="20"/>
        </w:rPr>
      </w:pPr>
      <w:r w:rsidRPr="00730C0D">
        <w:rPr>
          <w:rFonts w:ascii="Century Gothic" w:eastAsiaTheme="minorEastAsia" w:hAnsi="Century Gothic"/>
          <w:sz w:val="20"/>
          <w:szCs w:val="20"/>
        </w:rPr>
        <w:t xml:space="preserve">The underutilisation of the ‘Australian University College’ category and its continued utility and necessity has been a topic of some contention throughout this Review. </w:t>
      </w:r>
      <w:r w:rsidR="00EF3FD9">
        <w:rPr>
          <w:rFonts w:ascii="Century Gothic" w:eastAsiaTheme="minorEastAsia" w:hAnsi="Century Gothic"/>
          <w:sz w:val="20"/>
          <w:szCs w:val="20"/>
        </w:rPr>
        <w:t>A small number of</w:t>
      </w:r>
      <w:r w:rsidR="00EF3FD9" w:rsidRPr="00730C0D">
        <w:rPr>
          <w:rFonts w:ascii="Century Gothic" w:eastAsiaTheme="minorEastAsia" w:hAnsi="Century Gothic"/>
          <w:sz w:val="20"/>
          <w:szCs w:val="20"/>
        </w:rPr>
        <w:t xml:space="preserve"> </w:t>
      </w:r>
      <w:r w:rsidRPr="00730C0D">
        <w:rPr>
          <w:rFonts w:ascii="Century Gothic" w:eastAsiaTheme="minorEastAsia" w:hAnsi="Century Gothic"/>
          <w:sz w:val="20"/>
          <w:szCs w:val="20"/>
        </w:rPr>
        <w:t>stakeholders believe that, with amendments to the criteria, there is value in retaining the category, particularly given:</w:t>
      </w:r>
    </w:p>
    <w:p w14:paraId="5C3BB70B" w14:textId="515E4299" w:rsidR="001153C7" w:rsidRPr="00730C0D" w:rsidRDefault="001153C7" w:rsidP="0024520B">
      <w:pPr>
        <w:pStyle w:val="ListParagraph"/>
        <w:numPr>
          <w:ilvl w:val="0"/>
          <w:numId w:val="69"/>
        </w:num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the historical context of university colleges in Australia;</w:t>
      </w:r>
    </w:p>
    <w:p w14:paraId="79EA1548" w14:textId="0D606BB4" w:rsidR="001153C7" w:rsidRPr="00730C0D" w:rsidRDefault="001153C7" w:rsidP="0024520B">
      <w:pPr>
        <w:pStyle w:val="ListParagraph"/>
        <w:numPr>
          <w:ilvl w:val="0"/>
          <w:numId w:val="69"/>
        </w:num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the domestic and international recognition of the term ‘university college’ as a degree conferring institution;</w:t>
      </w:r>
    </w:p>
    <w:p w14:paraId="243F67C4" w14:textId="045AD7D1" w:rsidR="001153C7" w:rsidRPr="00730C0D" w:rsidRDefault="001153C7" w:rsidP="0024520B">
      <w:pPr>
        <w:pStyle w:val="ListParagraph"/>
        <w:numPr>
          <w:ilvl w:val="0"/>
          <w:numId w:val="69"/>
        </w:num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the intended transitional nature of the category; and</w:t>
      </w:r>
    </w:p>
    <w:p w14:paraId="2F7C8061" w14:textId="77777777" w:rsidR="001153C7" w:rsidRPr="00730C0D" w:rsidRDefault="001153C7" w:rsidP="0024520B">
      <w:pPr>
        <w:pStyle w:val="ListParagraph"/>
        <w:numPr>
          <w:ilvl w:val="0"/>
          <w:numId w:val="69"/>
        </w:num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the ability for those successful in meeting the category requirements to adopt the ‘university’ title.</w:t>
      </w:r>
    </w:p>
    <w:p w14:paraId="5655C93A" w14:textId="51FCF4EF" w:rsidR="001153C7" w:rsidRPr="00730C0D" w:rsidRDefault="001153C7" w:rsidP="001153C7">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However, </w:t>
      </w:r>
      <w:r w:rsidR="00EF3FD9">
        <w:rPr>
          <w:rFonts w:ascii="Century Gothic" w:eastAsiaTheme="minorEastAsia" w:hAnsi="Century Gothic"/>
          <w:sz w:val="20"/>
          <w:szCs w:val="20"/>
        </w:rPr>
        <w:t>most</w:t>
      </w:r>
      <w:r w:rsidR="00EF3FD9" w:rsidRPr="00730C0D">
        <w:rPr>
          <w:rFonts w:ascii="Century Gothic" w:eastAsiaTheme="minorEastAsia" w:hAnsi="Century Gothic"/>
          <w:sz w:val="20"/>
          <w:szCs w:val="20"/>
        </w:rPr>
        <w:t xml:space="preserve"> </w:t>
      </w:r>
      <w:r w:rsidRPr="00730C0D">
        <w:rPr>
          <w:rFonts w:ascii="Century Gothic" w:eastAsiaTheme="minorEastAsia" w:hAnsi="Century Gothic"/>
          <w:sz w:val="20"/>
          <w:szCs w:val="20"/>
        </w:rPr>
        <w:t>stakeholders supported the removal of the ‘Australian University College’ category</w:t>
      </w:r>
      <w:r w:rsidR="00BD61B7">
        <w:rPr>
          <w:rFonts w:ascii="Century Gothic" w:eastAsiaTheme="minorEastAsia" w:hAnsi="Century Gothic"/>
          <w:sz w:val="20"/>
          <w:szCs w:val="20"/>
        </w:rPr>
        <w:t xml:space="preserve"> altogether</w:t>
      </w:r>
      <w:r w:rsidR="00EF3FD9">
        <w:rPr>
          <w:rFonts w:ascii="Century Gothic" w:eastAsiaTheme="minorEastAsia" w:hAnsi="Century Gothic"/>
          <w:sz w:val="20"/>
          <w:szCs w:val="20"/>
        </w:rPr>
        <w:t xml:space="preserve">, for </w:t>
      </w:r>
      <w:r w:rsidR="00BD61B7">
        <w:rPr>
          <w:rFonts w:ascii="Century Gothic" w:eastAsiaTheme="minorEastAsia" w:hAnsi="Century Gothic"/>
          <w:sz w:val="20"/>
          <w:szCs w:val="20"/>
        </w:rPr>
        <w:t>a range of reasons explored below.</w:t>
      </w:r>
    </w:p>
    <w:p w14:paraId="3415948E" w14:textId="77777777" w:rsidR="001153C7" w:rsidRPr="00730C0D" w:rsidRDefault="001153C7" w:rsidP="001153C7">
      <w:pPr>
        <w:spacing w:before="0" w:after="0"/>
        <w:rPr>
          <w:rFonts w:ascii="Century Gothic" w:hAnsi="Century Gothic"/>
          <w:sz w:val="20"/>
          <w:szCs w:val="20"/>
        </w:rPr>
      </w:pPr>
    </w:p>
    <w:p w14:paraId="28C3A151" w14:textId="2CAEA498" w:rsidR="00827DE1" w:rsidRDefault="001153C7" w:rsidP="001153C7">
      <w:pPr>
        <w:spacing w:before="0" w:after="0"/>
        <w:rPr>
          <w:rFonts w:ascii="Century Gothic" w:hAnsi="Century Gothic"/>
          <w:sz w:val="20"/>
          <w:szCs w:val="20"/>
        </w:rPr>
      </w:pPr>
      <w:r w:rsidRPr="00730C0D">
        <w:rPr>
          <w:rFonts w:ascii="Century Gothic" w:hAnsi="Century Gothic"/>
          <w:sz w:val="20"/>
          <w:szCs w:val="20"/>
        </w:rPr>
        <w:t>The current ‘Australian University College’ category requires providers to have “realistic and achievable plans to meet all the criteria in the ‘Australian University’ category within five years of its approval to use the title ‘Australian University College’”.</w:t>
      </w:r>
      <w:r w:rsidRPr="00730C0D">
        <w:rPr>
          <w:rStyle w:val="FootnoteReference"/>
          <w:rFonts w:ascii="Century Gothic" w:hAnsi="Century Gothic"/>
          <w:sz w:val="20"/>
          <w:szCs w:val="20"/>
        </w:rPr>
        <w:footnoteReference w:id="34"/>
      </w:r>
      <w:r w:rsidRPr="00730C0D">
        <w:rPr>
          <w:rFonts w:ascii="Century Gothic" w:hAnsi="Century Gothic"/>
          <w:sz w:val="20"/>
          <w:szCs w:val="20"/>
        </w:rPr>
        <w:t xml:space="preserve"> There is a general consensus that providers are highly unlikely to achieve the transition within the five year timeframe unless they are already mostly meeting the requirements of the ‘Australian University’ category</w:t>
      </w:r>
      <w:r w:rsidR="00827DE1">
        <w:rPr>
          <w:rFonts w:ascii="Century Gothic" w:hAnsi="Century Gothic"/>
          <w:sz w:val="20"/>
          <w:szCs w:val="20"/>
        </w:rPr>
        <w:t xml:space="preserve"> at time of entry to the ‘Australian University College’ category</w:t>
      </w:r>
      <w:r w:rsidRPr="00730C0D">
        <w:rPr>
          <w:rFonts w:ascii="Century Gothic" w:hAnsi="Century Gothic"/>
          <w:sz w:val="20"/>
          <w:szCs w:val="20"/>
        </w:rPr>
        <w:t xml:space="preserve">. </w:t>
      </w:r>
      <w:r w:rsidR="00C93260">
        <w:rPr>
          <w:rFonts w:ascii="Century Gothic" w:hAnsi="Century Gothic"/>
          <w:sz w:val="20"/>
          <w:szCs w:val="20"/>
        </w:rPr>
        <w:br/>
      </w:r>
      <w:r w:rsidR="00AA0602">
        <w:rPr>
          <w:rFonts w:ascii="Century Gothic" w:hAnsi="Century Gothic"/>
          <w:sz w:val="20"/>
          <w:szCs w:val="20"/>
        </w:rPr>
        <w:t>Therefore, there i</w:t>
      </w:r>
      <w:r w:rsidR="00BD61B7">
        <w:rPr>
          <w:rFonts w:ascii="Century Gothic" w:hAnsi="Century Gothic"/>
          <w:sz w:val="20"/>
          <w:szCs w:val="20"/>
        </w:rPr>
        <w:t>s a perceived level of redundancy with the category itself.</w:t>
      </w:r>
    </w:p>
    <w:p w14:paraId="7FACFDDD" w14:textId="77777777" w:rsidR="00827DE1" w:rsidRDefault="00827DE1" w:rsidP="001153C7">
      <w:pPr>
        <w:spacing w:before="0" w:after="0"/>
        <w:rPr>
          <w:rFonts w:ascii="Century Gothic" w:hAnsi="Century Gothic"/>
          <w:sz w:val="20"/>
          <w:szCs w:val="20"/>
        </w:rPr>
      </w:pPr>
    </w:p>
    <w:p w14:paraId="0EC94010" w14:textId="77777777" w:rsidR="001F554F" w:rsidRDefault="001F554F">
      <w:pPr>
        <w:spacing w:before="0" w:after="160"/>
        <w:rPr>
          <w:rFonts w:ascii="Century Gothic" w:hAnsi="Century Gothic"/>
          <w:sz w:val="20"/>
          <w:szCs w:val="20"/>
        </w:rPr>
      </w:pPr>
      <w:r>
        <w:rPr>
          <w:rFonts w:ascii="Century Gothic" w:hAnsi="Century Gothic"/>
          <w:sz w:val="20"/>
          <w:szCs w:val="20"/>
        </w:rPr>
        <w:br w:type="page"/>
      </w:r>
    </w:p>
    <w:p w14:paraId="3AF0E74C" w14:textId="7602E088" w:rsidR="001153C7" w:rsidRPr="00730C0D" w:rsidRDefault="001153C7" w:rsidP="001153C7">
      <w:pPr>
        <w:spacing w:before="0" w:after="0"/>
        <w:rPr>
          <w:rFonts w:ascii="Century Gothic" w:eastAsiaTheme="minorEastAsia" w:hAnsi="Century Gothic"/>
          <w:sz w:val="20"/>
          <w:szCs w:val="20"/>
        </w:rPr>
      </w:pPr>
      <w:r w:rsidRPr="00730C0D">
        <w:rPr>
          <w:rFonts w:ascii="Century Gothic" w:hAnsi="Century Gothic"/>
          <w:sz w:val="20"/>
          <w:szCs w:val="20"/>
        </w:rPr>
        <w:t xml:space="preserve">Furthermore, this timeframe requirement acts as a disincentive for providers, as failure to achieve ‘Australian University’ status </w:t>
      </w:r>
      <w:r w:rsidRPr="00730C0D">
        <w:rPr>
          <w:rFonts w:ascii="Century Gothic" w:eastAsiaTheme="minorEastAsia" w:hAnsi="Century Gothic"/>
          <w:sz w:val="20"/>
          <w:szCs w:val="20"/>
        </w:rPr>
        <w:t>may potentially result in</w:t>
      </w:r>
      <w:r w:rsidR="00EF3FD9">
        <w:rPr>
          <w:rFonts w:ascii="Century Gothic" w:eastAsiaTheme="minorEastAsia" w:hAnsi="Century Gothic"/>
          <w:sz w:val="20"/>
          <w:szCs w:val="20"/>
        </w:rPr>
        <w:t xml:space="preserve"> perceived</w:t>
      </w:r>
      <w:r w:rsidRPr="00730C0D">
        <w:rPr>
          <w:rFonts w:ascii="Century Gothic" w:eastAsiaTheme="minorEastAsia" w:hAnsi="Century Gothic"/>
          <w:sz w:val="20"/>
          <w:szCs w:val="20"/>
        </w:rPr>
        <w:t xml:space="preserve"> ‘relegation’</w:t>
      </w:r>
      <w:r w:rsidR="00EF3FD9">
        <w:rPr>
          <w:rFonts w:ascii="Century Gothic" w:eastAsiaTheme="minorEastAsia" w:hAnsi="Century Gothic"/>
          <w:sz w:val="20"/>
          <w:szCs w:val="20"/>
        </w:rPr>
        <w:t xml:space="preserve">. </w:t>
      </w:r>
      <w:r w:rsidR="002E1536">
        <w:rPr>
          <w:rFonts w:ascii="Century Gothic" w:eastAsiaTheme="minorEastAsia" w:hAnsi="Century Gothic"/>
          <w:sz w:val="20"/>
          <w:szCs w:val="20"/>
        </w:rPr>
        <w:br/>
      </w:r>
      <w:r w:rsidR="00EF3FD9">
        <w:rPr>
          <w:rFonts w:ascii="Century Gothic" w:eastAsiaTheme="minorEastAsia" w:hAnsi="Century Gothic"/>
          <w:sz w:val="20"/>
          <w:szCs w:val="20"/>
        </w:rPr>
        <w:t>Such an outcome would represent</w:t>
      </w:r>
      <w:r w:rsidRPr="00730C0D">
        <w:rPr>
          <w:rFonts w:ascii="Century Gothic" w:eastAsiaTheme="minorEastAsia" w:hAnsi="Century Gothic"/>
          <w:sz w:val="20"/>
          <w:szCs w:val="20"/>
        </w:rPr>
        <w:t xml:space="preserve"> “substantial reputational risk for any provider considering this path”.</w:t>
      </w:r>
      <w:r w:rsidRPr="00730C0D">
        <w:rPr>
          <w:rStyle w:val="FootnoteReference"/>
          <w:rFonts w:ascii="Century Gothic" w:eastAsiaTheme="minorEastAsia" w:hAnsi="Century Gothic"/>
          <w:sz w:val="20"/>
          <w:szCs w:val="20"/>
        </w:rPr>
        <w:footnoteReference w:id="35"/>
      </w:r>
    </w:p>
    <w:p w14:paraId="46E63509" w14:textId="77777777" w:rsidR="001153C7" w:rsidRPr="00730C0D" w:rsidRDefault="001153C7" w:rsidP="001153C7">
      <w:pPr>
        <w:spacing w:before="0" w:after="0"/>
        <w:rPr>
          <w:rFonts w:ascii="Century Gothic" w:eastAsiaTheme="minorEastAsia" w:hAnsi="Century Gothic"/>
          <w:sz w:val="20"/>
          <w:szCs w:val="20"/>
        </w:rPr>
      </w:pPr>
    </w:p>
    <w:p w14:paraId="088D7FBA" w14:textId="45CAB485" w:rsidR="001153C7" w:rsidRPr="00730C0D" w:rsidRDefault="001153C7" w:rsidP="001153C7">
      <w:pPr>
        <w:spacing w:before="0" w:after="0"/>
        <w:rPr>
          <w:rFonts w:ascii="Century Gothic" w:hAnsi="Century Gothic"/>
          <w:sz w:val="20"/>
          <w:szCs w:val="20"/>
        </w:rPr>
      </w:pPr>
      <w:r w:rsidRPr="00730C0D">
        <w:rPr>
          <w:rFonts w:ascii="Century Gothic" w:eastAsiaTheme="minorEastAsia" w:hAnsi="Century Gothic"/>
          <w:sz w:val="20"/>
          <w:szCs w:val="20"/>
        </w:rPr>
        <w:t xml:space="preserve">Stakeholders also argue that the gap between achieving unlimited self-accrediting authority as a provider in the ‘Higher Education Provider’ category and applying for the </w:t>
      </w:r>
      <w:r w:rsidR="00827DE1">
        <w:rPr>
          <w:rFonts w:ascii="Century Gothic" w:eastAsiaTheme="minorEastAsia" w:hAnsi="Century Gothic"/>
          <w:sz w:val="20"/>
          <w:szCs w:val="20"/>
        </w:rPr>
        <w:br/>
      </w:r>
      <w:r w:rsidRPr="00730C0D">
        <w:rPr>
          <w:rFonts w:ascii="Century Gothic" w:hAnsi="Century Gothic"/>
          <w:sz w:val="20"/>
          <w:szCs w:val="20"/>
        </w:rPr>
        <w:t xml:space="preserve">‘Australian University College’ </w:t>
      </w:r>
      <w:r w:rsidRPr="00730C0D">
        <w:rPr>
          <w:rFonts w:ascii="Century Gothic" w:eastAsiaTheme="minorEastAsia" w:hAnsi="Century Gothic"/>
          <w:sz w:val="20"/>
          <w:szCs w:val="20"/>
        </w:rPr>
        <w:t xml:space="preserve">category is too large. It is a challenge for higher education providers to meet the increased research benchmarks required by the ‘Australian University College’ category. This is particularly the case considering there is an expectation that </w:t>
      </w:r>
      <w:r w:rsidRPr="00730C0D">
        <w:rPr>
          <w:rFonts w:ascii="Century Gothic" w:hAnsi="Century Gothic"/>
          <w:sz w:val="20"/>
          <w:szCs w:val="20"/>
        </w:rPr>
        <w:t>aspiring higher education providers demonstrate a research profile of achievement and performance that compares favourably against existing Australian universities</w:t>
      </w:r>
      <w:r w:rsidR="00A711A4" w:rsidRPr="00730C0D">
        <w:rPr>
          <w:rFonts w:ascii="Century Gothic" w:hAnsi="Century Gothic"/>
          <w:sz w:val="20"/>
          <w:szCs w:val="20"/>
        </w:rPr>
        <w:t>.</w:t>
      </w:r>
      <w:r w:rsidR="00BD61B7">
        <w:rPr>
          <w:rFonts w:ascii="Century Gothic" w:hAnsi="Century Gothic"/>
          <w:sz w:val="20"/>
          <w:szCs w:val="20"/>
        </w:rPr>
        <w:t xml:space="preserve"> </w:t>
      </w:r>
    </w:p>
    <w:p w14:paraId="3769B3CD" w14:textId="77777777" w:rsidR="001153C7" w:rsidRPr="00730C0D" w:rsidRDefault="001153C7" w:rsidP="001153C7">
      <w:pPr>
        <w:spacing w:before="0" w:after="0"/>
        <w:rPr>
          <w:rFonts w:ascii="Century Gothic" w:hAnsi="Century Gothic"/>
          <w:sz w:val="20"/>
          <w:szCs w:val="20"/>
        </w:rPr>
      </w:pPr>
    </w:p>
    <w:p w14:paraId="5F13127F" w14:textId="77777777" w:rsidR="00827DE1" w:rsidRDefault="001153C7" w:rsidP="00827DE1">
      <w:pPr>
        <w:spacing w:before="0" w:after="0"/>
        <w:ind w:right="-330"/>
        <w:rPr>
          <w:rFonts w:ascii="Century Gothic" w:hAnsi="Century Gothic"/>
          <w:sz w:val="20"/>
          <w:szCs w:val="20"/>
        </w:rPr>
      </w:pPr>
      <w:r w:rsidRPr="00730C0D">
        <w:rPr>
          <w:rFonts w:ascii="Century Gothic" w:hAnsi="Century Gothic"/>
          <w:sz w:val="20"/>
          <w:szCs w:val="20"/>
        </w:rPr>
        <w:t xml:space="preserve">The difficulties are compounded when those seeking to enter the ‘Australian University College’ </w:t>
      </w:r>
    </w:p>
    <w:p w14:paraId="6D237FE9" w14:textId="4A4DD0AA" w:rsidR="001153C7" w:rsidRPr="00730C0D" w:rsidRDefault="001153C7">
      <w:pPr>
        <w:spacing w:before="0" w:after="0"/>
        <w:rPr>
          <w:rFonts w:ascii="Century Gothic" w:hAnsi="Century Gothic"/>
          <w:sz w:val="20"/>
          <w:szCs w:val="20"/>
        </w:rPr>
      </w:pPr>
      <w:r w:rsidRPr="00730C0D">
        <w:rPr>
          <w:rFonts w:ascii="Century Gothic" w:hAnsi="Century Gothic"/>
          <w:sz w:val="20"/>
          <w:szCs w:val="20"/>
        </w:rPr>
        <w:t>category (or indeed, any other university category) are precluded from accessing public research funding in order to help boost their research profiles. Although other so</w:t>
      </w:r>
      <w:r w:rsidR="00827DE1">
        <w:rPr>
          <w:rFonts w:ascii="Century Gothic" w:hAnsi="Century Gothic"/>
          <w:sz w:val="20"/>
          <w:szCs w:val="20"/>
        </w:rPr>
        <w:t xml:space="preserve">urces of funding are available, </w:t>
      </w:r>
      <w:r w:rsidRPr="00730C0D">
        <w:rPr>
          <w:rFonts w:ascii="Century Gothic" w:hAnsi="Century Gothic"/>
          <w:sz w:val="20"/>
          <w:szCs w:val="20"/>
        </w:rPr>
        <w:t>it is difficult for a higher education provider to be “able to mount a credible bid for a university category, except in fields of education that do not require mobilising significant amounts of capital for research infrastructure”.</w:t>
      </w:r>
      <w:r w:rsidRPr="00730C0D">
        <w:rPr>
          <w:rStyle w:val="FootnoteReference"/>
          <w:rFonts w:ascii="Century Gothic" w:hAnsi="Century Gothic"/>
          <w:sz w:val="20"/>
          <w:szCs w:val="20"/>
        </w:rPr>
        <w:footnoteReference w:id="36"/>
      </w:r>
      <w:r w:rsidRPr="00730C0D">
        <w:rPr>
          <w:rFonts w:ascii="Century Gothic" w:hAnsi="Century Gothic"/>
          <w:sz w:val="20"/>
          <w:szCs w:val="20"/>
        </w:rPr>
        <w:t xml:space="preserve"> This is because university research is “typically not self-financing [and] public research funding is primarily awarded according to past research performance, which makes it hard for new universities to build research output”.</w:t>
      </w:r>
      <w:r w:rsidRPr="00730C0D">
        <w:rPr>
          <w:rStyle w:val="FootnoteReference"/>
          <w:rFonts w:ascii="Century Gothic" w:hAnsi="Century Gothic"/>
          <w:sz w:val="20"/>
          <w:szCs w:val="20"/>
        </w:rPr>
        <w:footnoteReference w:id="37"/>
      </w:r>
      <w:r w:rsidRPr="00730C0D">
        <w:rPr>
          <w:rFonts w:ascii="Century Gothic" w:hAnsi="Century Gothic"/>
          <w:sz w:val="20"/>
          <w:szCs w:val="20"/>
        </w:rPr>
        <w:t xml:space="preserve"> Therefore, the lack of access to research funding for providers in the current ‘Higher Education Provider’ category can make it challenging for providers to compete on the same scale or to the same quality as universities. Some stakeholders suggest that the category should be amended to require research and scholarship appropriate to institutional size and mission. </w:t>
      </w:r>
    </w:p>
    <w:p w14:paraId="05EEEF94" w14:textId="77777777" w:rsidR="001153C7" w:rsidRPr="00730C0D" w:rsidRDefault="001153C7" w:rsidP="001153C7">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1153C7" w:rsidRPr="00730C0D" w14:paraId="24CFB6F2" w14:textId="77777777" w:rsidTr="00DF7F1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3A69C3D4" w14:textId="77777777" w:rsidR="001153C7" w:rsidRPr="00730C0D" w:rsidRDefault="001153C7" w:rsidP="00DF7F10">
            <w:pPr>
              <w:spacing w:before="0" w:after="0"/>
              <w:jc w:val="both"/>
              <w:rPr>
                <w:rFonts w:ascii="Century Gothic" w:hAnsi="Century Gothic"/>
                <w:b w:val="0"/>
                <w:i/>
                <w:color w:val="auto"/>
                <w:sz w:val="20"/>
                <w:szCs w:val="20"/>
              </w:rPr>
            </w:pPr>
          </w:p>
          <w:p w14:paraId="068A654D" w14:textId="77777777" w:rsidR="001153C7" w:rsidRPr="00730C0D" w:rsidRDefault="001153C7" w:rsidP="00DF7F10">
            <w:pPr>
              <w:spacing w:before="0" w:after="0"/>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“The expectation that aspiring higher education providers can demonstrate research that benchmarks favourably against existing universities is unrealistic given vastly different operating contexts and funding arrangements”.</w:t>
            </w:r>
          </w:p>
          <w:p w14:paraId="065CE0D1" w14:textId="77777777" w:rsidR="001153C7" w:rsidRPr="00730C0D" w:rsidRDefault="001153C7" w:rsidP="00DF7F10">
            <w:pPr>
              <w:spacing w:before="0" w:after="0"/>
              <w:jc w:val="both"/>
              <w:rPr>
                <w:rFonts w:ascii="Century Gothic" w:hAnsi="Century Gothic" w:cstheme="minorHAnsi"/>
                <w:color w:val="auto"/>
                <w:sz w:val="20"/>
                <w:szCs w:val="20"/>
              </w:rPr>
            </w:pPr>
          </w:p>
          <w:p w14:paraId="34295AFD" w14:textId="77777777" w:rsidR="001153C7" w:rsidRPr="00730C0D" w:rsidRDefault="001153C7" w:rsidP="00DF7F10">
            <w:pPr>
              <w:spacing w:before="0" w:after="0"/>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Alphacrucis College submission to the PCS Review 2019, p.7</w:t>
            </w:r>
          </w:p>
          <w:p w14:paraId="31946411" w14:textId="77777777" w:rsidR="001153C7" w:rsidRPr="00730C0D" w:rsidRDefault="001153C7" w:rsidP="00DF7F10">
            <w:pPr>
              <w:spacing w:before="0" w:after="0"/>
              <w:jc w:val="right"/>
              <w:rPr>
                <w:rFonts w:ascii="Century Gothic" w:hAnsi="Century Gothic"/>
                <w:b w:val="0"/>
                <w:color w:val="auto"/>
                <w:sz w:val="20"/>
                <w:szCs w:val="20"/>
              </w:rPr>
            </w:pPr>
          </w:p>
        </w:tc>
      </w:tr>
    </w:tbl>
    <w:p w14:paraId="4FAA226D" w14:textId="77777777" w:rsidR="001153C7" w:rsidRPr="00730C0D" w:rsidRDefault="001153C7" w:rsidP="001153C7">
      <w:pPr>
        <w:spacing w:before="0" w:after="0"/>
        <w:rPr>
          <w:rFonts w:ascii="Century Gothic" w:hAnsi="Century Gothic"/>
          <w:sz w:val="20"/>
          <w:szCs w:val="20"/>
        </w:rPr>
      </w:pPr>
    </w:p>
    <w:p w14:paraId="4CF7987F" w14:textId="4F2773A1" w:rsidR="001153C7" w:rsidRPr="00730C0D" w:rsidRDefault="001153C7" w:rsidP="001153C7">
      <w:pPr>
        <w:spacing w:before="0" w:after="0"/>
        <w:rPr>
          <w:rFonts w:ascii="Century Gothic" w:hAnsi="Century Gothic"/>
          <w:sz w:val="20"/>
          <w:szCs w:val="20"/>
        </w:rPr>
      </w:pPr>
      <w:r w:rsidRPr="00730C0D">
        <w:rPr>
          <w:rFonts w:ascii="Century Gothic" w:hAnsi="Century Gothic"/>
          <w:sz w:val="20"/>
          <w:szCs w:val="20"/>
        </w:rPr>
        <w:t>In an Australian context, the term ‘college’ can be used to represent a range of provider types including high schools, residential facilities</w:t>
      </w:r>
      <w:r w:rsidR="00AA0602">
        <w:rPr>
          <w:rFonts w:ascii="Century Gothic" w:hAnsi="Century Gothic"/>
          <w:sz w:val="20"/>
          <w:szCs w:val="20"/>
        </w:rPr>
        <w:t>,</w:t>
      </w:r>
      <w:r w:rsidRPr="00730C0D">
        <w:rPr>
          <w:rFonts w:ascii="Century Gothic" w:hAnsi="Century Gothic"/>
          <w:sz w:val="20"/>
          <w:szCs w:val="20"/>
        </w:rPr>
        <w:t xml:space="preserve"> and existing institutions in the </w:t>
      </w:r>
      <w:r w:rsidR="00A711A4" w:rsidRPr="00730C0D">
        <w:rPr>
          <w:rFonts w:ascii="Century Gothic" w:hAnsi="Century Gothic"/>
          <w:sz w:val="20"/>
          <w:szCs w:val="20"/>
        </w:rPr>
        <w:br/>
      </w:r>
      <w:r w:rsidRPr="00730C0D">
        <w:rPr>
          <w:rFonts w:ascii="Century Gothic" w:hAnsi="Century Gothic"/>
          <w:sz w:val="20"/>
          <w:szCs w:val="20"/>
        </w:rPr>
        <w:t>‘Higher Education Provider’ category. Internationally, the use of the term ‘college’ can range from extremely prestigious higher education institutions to more community-based tertiary education providers. There are also concerns from some stakeholders that the title has “the potential to dilute the value of the term ‘university’”,</w:t>
      </w:r>
      <w:r w:rsidRPr="00730C0D">
        <w:rPr>
          <w:rFonts w:ascii="Century Gothic" w:hAnsi="Century Gothic"/>
          <w:sz w:val="20"/>
          <w:szCs w:val="20"/>
          <w:vertAlign w:val="superscript"/>
        </w:rPr>
        <w:footnoteReference w:id="38"/>
      </w:r>
      <w:r w:rsidRPr="00730C0D">
        <w:rPr>
          <w:rFonts w:ascii="Century Gothic" w:hAnsi="Century Gothic"/>
          <w:sz w:val="20"/>
          <w:szCs w:val="20"/>
        </w:rPr>
        <w:t xml:space="preserve"> particularly if requirements for the category are </w:t>
      </w:r>
      <w:r w:rsidR="00EF3FD9">
        <w:rPr>
          <w:rFonts w:ascii="Century Gothic" w:hAnsi="Century Gothic"/>
          <w:sz w:val="20"/>
          <w:szCs w:val="20"/>
        </w:rPr>
        <w:t>loosened</w:t>
      </w:r>
      <w:r w:rsidR="00EF3FD9" w:rsidRPr="00730C0D">
        <w:rPr>
          <w:rFonts w:ascii="Century Gothic" w:hAnsi="Century Gothic"/>
          <w:sz w:val="20"/>
          <w:szCs w:val="20"/>
        </w:rPr>
        <w:t xml:space="preserve"> </w:t>
      </w:r>
      <w:r w:rsidRPr="00730C0D">
        <w:rPr>
          <w:rFonts w:ascii="Century Gothic" w:hAnsi="Century Gothic"/>
          <w:sz w:val="20"/>
          <w:szCs w:val="20"/>
        </w:rPr>
        <w:t xml:space="preserve">to enable it to be more accessible for providers. </w:t>
      </w:r>
    </w:p>
    <w:p w14:paraId="51A2255D" w14:textId="77777777" w:rsidR="001153C7" w:rsidRPr="00730C0D" w:rsidRDefault="001153C7" w:rsidP="001153C7">
      <w:pPr>
        <w:spacing w:before="0" w:after="0"/>
        <w:rPr>
          <w:rFonts w:ascii="Century Gothic" w:hAnsi="Century Gothic"/>
          <w:sz w:val="20"/>
          <w:szCs w:val="20"/>
        </w:rPr>
      </w:pPr>
    </w:p>
    <w:p w14:paraId="32D6CE1A" w14:textId="2C1E8224" w:rsidR="00AA7819" w:rsidRPr="007F07EE" w:rsidRDefault="001153C7" w:rsidP="001153C7">
      <w:pPr>
        <w:spacing w:before="0" w:after="0"/>
        <w:rPr>
          <w:rFonts w:ascii="Century Gothic" w:eastAsiaTheme="minorEastAsia" w:hAnsi="Century Gothic"/>
          <w:sz w:val="20"/>
          <w:szCs w:val="20"/>
        </w:rPr>
      </w:pPr>
      <w:r w:rsidRPr="007F07EE">
        <w:rPr>
          <w:rFonts w:ascii="Century Gothic" w:eastAsiaTheme="minorEastAsia" w:hAnsi="Century Gothic"/>
          <w:sz w:val="20"/>
          <w:szCs w:val="20"/>
        </w:rPr>
        <w:t xml:space="preserve">This </w:t>
      </w:r>
      <w:r w:rsidR="00AA7819" w:rsidRPr="007F07EE">
        <w:rPr>
          <w:rFonts w:ascii="Century Gothic" w:eastAsiaTheme="minorEastAsia" w:hAnsi="Century Gothic"/>
          <w:sz w:val="20"/>
          <w:szCs w:val="20"/>
        </w:rPr>
        <w:t xml:space="preserve">Review is mindful that, </w:t>
      </w:r>
      <w:r w:rsidRPr="007F07EE">
        <w:rPr>
          <w:rFonts w:ascii="Century Gothic" w:eastAsiaTheme="minorEastAsia" w:hAnsi="Century Gothic"/>
          <w:sz w:val="20"/>
          <w:szCs w:val="20"/>
        </w:rPr>
        <w:t>during the submission and consultation process</w:t>
      </w:r>
      <w:r w:rsidR="00AA7819" w:rsidRPr="007F07EE">
        <w:rPr>
          <w:rFonts w:ascii="Century Gothic" w:eastAsiaTheme="minorEastAsia" w:hAnsi="Century Gothic"/>
          <w:sz w:val="20"/>
          <w:szCs w:val="20"/>
        </w:rPr>
        <w:t>, a number of providers</w:t>
      </w:r>
      <w:r w:rsidRPr="007F07EE">
        <w:rPr>
          <w:rFonts w:ascii="Century Gothic" w:eastAsiaTheme="minorEastAsia" w:hAnsi="Century Gothic"/>
          <w:sz w:val="20"/>
          <w:szCs w:val="20"/>
        </w:rPr>
        <w:t xml:space="preserve"> indicated their intent to apply for ‘Australian University College’ status, highlighting the importance of </w:t>
      </w:r>
      <w:r w:rsidR="003008ED">
        <w:rPr>
          <w:rFonts w:ascii="Century Gothic" w:eastAsiaTheme="minorEastAsia" w:hAnsi="Century Gothic"/>
          <w:sz w:val="20"/>
          <w:szCs w:val="20"/>
        </w:rPr>
        <w:t>maintaining some form of</w:t>
      </w:r>
      <w:r w:rsidRPr="007F07EE">
        <w:rPr>
          <w:rFonts w:ascii="Century Gothic" w:eastAsiaTheme="minorEastAsia" w:hAnsi="Century Gothic"/>
          <w:sz w:val="20"/>
          <w:szCs w:val="20"/>
        </w:rPr>
        <w:t xml:space="preserve"> transitional category for providers who aspire for higher recognition and to one day become a</w:t>
      </w:r>
      <w:r w:rsidR="00AA7819" w:rsidRPr="007F07EE">
        <w:rPr>
          <w:rFonts w:ascii="Century Gothic" w:eastAsiaTheme="minorEastAsia" w:hAnsi="Century Gothic"/>
          <w:sz w:val="20"/>
          <w:szCs w:val="20"/>
        </w:rPr>
        <w:t>n ‘Australian</w:t>
      </w:r>
      <w:r w:rsidRPr="007F07EE">
        <w:rPr>
          <w:rFonts w:ascii="Century Gothic" w:eastAsiaTheme="minorEastAsia" w:hAnsi="Century Gothic"/>
          <w:sz w:val="20"/>
          <w:szCs w:val="20"/>
        </w:rPr>
        <w:t xml:space="preserve"> </w:t>
      </w:r>
      <w:r w:rsidR="00AA7819" w:rsidRPr="007F07EE">
        <w:rPr>
          <w:rFonts w:ascii="Century Gothic" w:eastAsiaTheme="minorEastAsia" w:hAnsi="Century Gothic"/>
          <w:sz w:val="20"/>
          <w:szCs w:val="20"/>
        </w:rPr>
        <w:t>U</w:t>
      </w:r>
      <w:r w:rsidRPr="007F07EE">
        <w:rPr>
          <w:rFonts w:ascii="Century Gothic" w:eastAsiaTheme="minorEastAsia" w:hAnsi="Century Gothic"/>
          <w:sz w:val="20"/>
          <w:szCs w:val="20"/>
        </w:rPr>
        <w:t>niversity</w:t>
      </w:r>
      <w:r w:rsidR="00AA7819" w:rsidRPr="007F07EE">
        <w:rPr>
          <w:rFonts w:ascii="Century Gothic" w:eastAsiaTheme="minorEastAsia" w:hAnsi="Century Gothic"/>
          <w:sz w:val="20"/>
          <w:szCs w:val="20"/>
        </w:rPr>
        <w:t>’</w:t>
      </w:r>
      <w:r w:rsidRPr="007F07EE">
        <w:rPr>
          <w:rFonts w:ascii="Century Gothic" w:eastAsiaTheme="minorEastAsia" w:hAnsi="Century Gothic"/>
          <w:sz w:val="20"/>
          <w:szCs w:val="20"/>
        </w:rPr>
        <w:t xml:space="preserve"> in their own right. </w:t>
      </w:r>
      <w:r w:rsidR="00AA7819" w:rsidRPr="007F07EE">
        <w:rPr>
          <w:rFonts w:ascii="Century Gothic" w:eastAsiaTheme="minorEastAsia" w:hAnsi="Century Gothic"/>
          <w:sz w:val="20"/>
          <w:szCs w:val="20"/>
        </w:rPr>
        <w:t xml:space="preserve"> </w:t>
      </w:r>
    </w:p>
    <w:p w14:paraId="589D638B" w14:textId="1394142D" w:rsidR="001153C7" w:rsidRPr="007F07EE" w:rsidRDefault="001153C7" w:rsidP="001153C7">
      <w:pPr>
        <w:spacing w:before="0" w:after="0"/>
        <w:rPr>
          <w:rFonts w:ascii="Century Gothic" w:hAnsi="Century Gothic"/>
          <w:sz w:val="20"/>
          <w:szCs w:val="20"/>
        </w:rPr>
      </w:pPr>
      <w:r w:rsidRPr="007F07EE">
        <w:rPr>
          <w:rFonts w:ascii="Century Gothic" w:hAnsi="Century Gothic"/>
          <w:sz w:val="20"/>
          <w:szCs w:val="20"/>
        </w:rPr>
        <w:t xml:space="preserve"> </w:t>
      </w:r>
    </w:p>
    <w:p w14:paraId="2900AC4E" w14:textId="3719A4D8" w:rsidR="001153C7" w:rsidRPr="007F07EE" w:rsidRDefault="001153C7" w:rsidP="001153C7">
      <w:pPr>
        <w:spacing w:before="0" w:after="0"/>
        <w:rPr>
          <w:rFonts w:ascii="Century Gothic" w:eastAsiaTheme="minorEastAsia" w:hAnsi="Century Gothic"/>
          <w:sz w:val="20"/>
          <w:szCs w:val="20"/>
        </w:rPr>
      </w:pPr>
      <w:r w:rsidRPr="007F07EE">
        <w:rPr>
          <w:rFonts w:ascii="Century Gothic" w:eastAsiaTheme="minorEastAsia" w:hAnsi="Century Gothic"/>
          <w:sz w:val="20"/>
          <w:szCs w:val="20"/>
        </w:rPr>
        <w:t xml:space="preserve">In carefully considering the views of all stakeholders, this Review supports removing the ‘Australian University College’ category in favour of an </w:t>
      </w:r>
      <w:r w:rsidR="00EF3FD9">
        <w:rPr>
          <w:rFonts w:ascii="Century Gothic" w:eastAsiaTheme="minorEastAsia" w:hAnsi="Century Gothic"/>
          <w:sz w:val="20"/>
          <w:szCs w:val="20"/>
        </w:rPr>
        <w:t>overall rebalanced</w:t>
      </w:r>
      <w:r w:rsidRPr="007F07EE">
        <w:rPr>
          <w:rFonts w:ascii="Century Gothic" w:eastAsiaTheme="minorEastAsia" w:hAnsi="Century Gothic"/>
          <w:sz w:val="20"/>
          <w:szCs w:val="20"/>
        </w:rPr>
        <w:t xml:space="preserve"> categorisation structure</w:t>
      </w:r>
      <w:r w:rsidR="00EF3FD9">
        <w:rPr>
          <w:rFonts w:ascii="Century Gothic" w:eastAsiaTheme="minorEastAsia" w:hAnsi="Century Gothic"/>
          <w:sz w:val="20"/>
          <w:szCs w:val="20"/>
        </w:rPr>
        <w:t xml:space="preserve"> (</w:t>
      </w:r>
      <w:r w:rsidRPr="007F07EE">
        <w:rPr>
          <w:rFonts w:ascii="Century Gothic" w:eastAsiaTheme="minorEastAsia" w:hAnsi="Century Gothic"/>
          <w:sz w:val="20"/>
          <w:szCs w:val="20"/>
        </w:rPr>
        <w:t xml:space="preserve">two categories for universities and two categories for </w:t>
      </w:r>
      <w:r w:rsidR="00AA7819" w:rsidRPr="007F07EE">
        <w:rPr>
          <w:rFonts w:ascii="Century Gothic" w:eastAsiaTheme="minorEastAsia" w:hAnsi="Century Gothic"/>
          <w:sz w:val="20"/>
          <w:szCs w:val="20"/>
        </w:rPr>
        <w:t>higher education providers</w:t>
      </w:r>
      <w:r w:rsidR="00EF3FD9">
        <w:rPr>
          <w:rFonts w:ascii="Century Gothic" w:eastAsiaTheme="minorEastAsia" w:hAnsi="Century Gothic"/>
          <w:sz w:val="20"/>
          <w:szCs w:val="20"/>
        </w:rPr>
        <w:t xml:space="preserve"> which are not universities)</w:t>
      </w:r>
      <w:r w:rsidRPr="007F07EE">
        <w:rPr>
          <w:rFonts w:ascii="Century Gothic" w:eastAsiaTheme="minorEastAsia" w:hAnsi="Century Gothic"/>
          <w:sz w:val="20"/>
          <w:szCs w:val="20"/>
        </w:rPr>
        <w:t>. This Review supports strong protection of the established reputation and cachet of universities in Australia, while</w:t>
      </w:r>
      <w:r w:rsidR="00A212F7">
        <w:rPr>
          <w:rFonts w:ascii="Century Gothic" w:eastAsiaTheme="minorEastAsia" w:hAnsi="Century Gothic"/>
          <w:sz w:val="20"/>
          <w:szCs w:val="20"/>
        </w:rPr>
        <w:t xml:space="preserve"> also seeking to lift</w:t>
      </w:r>
      <w:r w:rsidRPr="007F07EE">
        <w:rPr>
          <w:rFonts w:ascii="Century Gothic" w:eastAsiaTheme="minorEastAsia" w:hAnsi="Century Gothic"/>
          <w:sz w:val="20"/>
          <w:szCs w:val="20"/>
        </w:rPr>
        <w:t xml:space="preserve"> the identity and recognition of other higher education providers. It is proposed that this</w:t>
      </w:r>
      <w:r w:rsidR="007A4739">
        <w:rPr>
          <w:rFonts w:ascii="Century Gothic" w:eastAsiaTheme="minorEastAsia" w:hAnsi="Century Gothic"/>
          <w:sz w:val="20"/>
          <w:szCs w:val="20"/>
        </w:rPr>
        <w:t xml:space="preserve"> approach</w:t>
      </w:r>
      <w:r w:rsidRPr="007F07EE">
        <w:rPr>
          <w:rFonts w:ascii="Century Gothic" w:eastAsiaTheme="minorEastAsia" w:hAnsi="Century Gothic"/>
          <w:sz w:val="20"/>
          <w:szCs w:val="20"/>
        </w:rPr>
        <w:t xml:space="preserve"> is supported through the establishment a </w:t>
      </w:r>
      <w:r w:rsidRPr="007F07EE">
        <w:rPr>
          <w:rFonts w:ascii="Century Gothic" w:hAnsi="Century Gothic"/>
          <w:sz w:val="20"/>
          <w:szCs w:val="20"/>
        </w:rPr>
        <w:t>new category for high-achieving higher education providers, enabling institutions to differen</w:t>
      </w:r>
      <w:r w:rsidR="00A212F7">
        <w:rPr>
          <w:rFonts w:ascii="Century Gothic" w:hAnsi="Century Gothic"/>
          <w:sz w:val="20"/>
          <w:szCs w:val="20"/>
        </w:rPr>
        <w:t>tiate themselves through meeting</w:t>
      </w:r>
      <w:r w:rsidRPr="007F07EE">
        <w:rPr>
          <w:rFonts w:ascii="Century Gothic" w:hAnsi="Century Gothic"/>
          <w:sz w:val="20"/>
          <w:szCs w:val="20"/>
        </w:rPr>
        <w:t xml:space="preserve"> higher standards and </w:t>
      </w:r>
      <w:r w:rsidR="00EF3FD9">
        <w:rPr>
          <w:rFonts w:ascii="Century Gothic" w:hAnsi="Century Gothic"/>
          <w:sz w:val="20"/>
          <w:szCs w:val="20"/>
        </w:rPr>
        <w:t>having</w:t>
      </w:r>
      <w:r w:rsidR="00EF3FD9" w:rsidRPr="007F07EE">
        <w:rPr>
          <w:rFonts w:ascii="Century Gothic" w:hAnsi="Century Gothic"/>
          <w:sz w:val="20"/>
          <w:szCs w:val="20"/>
        </w:rPr>
        <w:t xml:space="preserve"> </w:t>
      </w:r>
      <w:r w:rsidRPr="007F07EE">
        <w:rPr>
          <w:rFonts w:ascii="Century Gothic" w:hAnsi="Century Gothic"/>
          <w:sz w:val="20"/>
          <w:szCs w:val="20"/>
        </w:rPr>
        <w:t xml:space="preserve">the option to transition to university status at their own pace (see </w:t>
      </w:r>
      <w:hyperlink w:anchor="_2.2.5_Standing_and" w:history="1">
        <w:r w:rsidRPr="007F07EE">
          <w:rPr>
            <w:rStyle w:val="Hyperlink"/>
            <w:rFonts w:ascii="Century Gothic" w:hAnsi="Century Gothic"/>
            <w:sz w:val="20"/>
            <w:szCs w:val="20"/>
          </w:rPr>
          <w:t>Section 2.2.5</w:t>
        </w:r>
      </w:hyperlink>
      <w:r w:rsidRPr="007F07EE">
        <w:rPr>
          <w:rFonts w:ascii="Century Gothic" w:hAnsi="Century Gothic"/>
          <w:sz w:val="20"/>
          <w:szCs w:val="20"/>
        </w:rPr>
        <w:t>).</w:t>
      </w:r>
    </w:p>
    <w:p w14:paraId="19DEF9E4" w14:textId="77777777" w:rsidR="001153C7" w:rsidRPr="007F07EE" w:rsidRDefault="001153C7" w:rsidP="001153C7">
      <w:pPr>
        <w:spacing w:before="0" w:after="0"/>
        <w:rPr>
          <w:rFonts w:ascii="Century Gothic" w:eastAsiaTheme="minorEastAsia" w:hAnsi="Century Gothic"/>
          <w:sz w:val="20"/>
          <w:szCs w:val="20"/>
        </w:rPr>
      </w:pPr>
    </w:p>
    <w:p w14:paraId="232A433C" w14:textId="49588177" w:rsidR="00A76EB6" w:rsidRPr="00A76EB6" w:rsidRDefault="00A76EB6" w:rsidP="00A76EB6">
      <w:pPr>
        <w:spacing w:before="0" w:after="0"/>
        <w:rPr>
          <w:rFonts w:ascii="Century Gothic" w:hAnsi="Century Gothic"/>
          <w:sz w:val="20"/>
          <w:szCs w:val="20"/>
        </w:rPr>
      </w:pPr>
      <w:r w:rsidRPr="00A76EB6">
        <w:rPr>
          <w:rFonts w:ascii="Century Gothic" w:hAnsi="Century Gothic"/>
          <w:sz w:val="20"/>
          <w:szCs w:val="20"/>
        </w:rPr>
        <w:t>It will be important that the one recent entry to the ‘Australian University College’ category,</w:t>
      </w:r>
      <w:r w:rsidRPr="00A76EB6">
        <w:rPr>
          <w:rFonts w:ascii="Century Gothic" w:hAnsi="Century Gothic"/>
          <w:sz w:val="20"/>
          <w:szCs w:val="20"/>
        </w:rPr>
        <w:br/>
      </w:r>
      <w:r w:rsidR="003B110A">
        <w:rPr>
          <w:rFonts w:ascii="Century Gothic" w:hAnsi="Century Gothic"/>
          <w:sz w:val="20"/>
          <w:szCs w:val="20"/>
        </w:rPr>
        <w:t xml:space="preserve">Avondale College, is not </w:t>
      </w:r>
      <w:r w:rsidRPr="00A76EB6">
        <w:rPr>
          <w:rFonts w:ascii="Century Gothic" w:hAnsi="Century Gothic"/>
          <w:sz w:val="20"/>
          <w:szCs w:val="20"/>
        </w:rPr>
        <w:t xml:space="preserve">disadvantaged by </w:t>
      </w:r>
      <w:r w:rsidR="003B110A">
        <w:rPr>
          <w:rFonts w:ascii="Century Gothic" w:hAnsi="Century Gothic"/>
          <w:sz w:val="20"/>
          <w:szCs w:val="20"/>
        </w:rPr>
        <w:t xml:space="preserve">the changes recommended in this </w:t>
      </w:r>
      <w:r w:rsidRPr="00A76EB6">
        <w:rPr>
          <w:rFonts w:ascii="Century Gothic" w:hAnsi="Century Gothic"/>
          <w:sz w:val="20"/>
          <w:szCs w:val="20"/>
        </w:rPr>
        <w:t xml:space="preserve">Review. </w:t>
      </w:r>
      <w:r w:rsidR="003B110A">
        <w:rPr>
          <w:rFonts w:ascii="Century Gothic" w:hAnsi="Century Gothic"/>
          <w:sz w:val="20"/>
          <w:szCs w:val="20"/>
        </w:rPr>
        <w:br/>
      </w:r>
      <w:r w:rsidRPr="00A76EB6">
        <w:rPr>
          <w:rFonts w:ascii="Century Gothic" w:hAnsi="Century Gothic"/>
          <w:sz w:val="20"/>
          <w:szCs w:val="20"/>
        </w:rPr>
        <w:t>This is also important for any higher education providers that may successfully enter</w:t>
      </w:r>
      <w:r w:rsidRPr="00A76EB6">
        <w:rPr>
          <w:rFonts w:ascii="Century Gothic" w:hAnsi="Century Gothic"/>
          <w:sz w:val="20"/>
          <w:szCs w:val="20"/>
        </w:rPr>
        <w:br/>
        <w:t>the ‘Australian University College’ category prior to any</w:t>
      </w:r>
      <w:r>
        <w:rPr>
          <w:rFonts w:ascii="Century Gothic" w:hAnsi="Century Gothic"/>
          <w:sz w:val="20"/>
          <w:szCs w:val="20"/>
        </w:rPr>
        <w:t xml:space="preserve"> changes to the PCS being adopted</w:t>
      </w:r>
      <w:r w:rsidRPr="00A76EB6">
        <w:rPr>
          <w:rFonts w:ascii="Century Gothic" w:hAnsi="Century Gothic"/>
          <w:sz w:val="20"/>
          <w:szCs w:val="20"/>
        </w:rPr>
        <w:t xml:space="preserve">. This may require the legislative instrument giving effect to the recommendations of this </w:t>
      </w:r>
      <w:r>
        <w:rPr>
          <w:rFonts w:ascii="Century Gothic" w:hAnsi="Century Gothic"/>
          <w:sz w:val="20"/>
          <w:szCs w:val="20"/>
        </w:rPr>
        <w:t>R</w:t>
      </w:r>
      <w:r w:rsidRPr="00A76EB6">
        <w:rPr>
          <w:rFonts w:ascii="Century Gothic" w:hAnsi="Century Gothic"/>
          <w:sz w:val="20"/>
          <w:szCs w:val="20"/>
        </w:rPr>
        <w:t>eview to provide for appropriate transition arrangements.</w:t>
      </w:r>
    </w:p>
    <w:p w14:paraId="070EB7C6" w14:textId="77777777" w:rsidR="009A785F" w:rsidRPr="00730C0D" w:rsidRDefault="009A785F">
      <w:pPr>
        <w:spacing w:before="0" w:after="0"/>
        <w:rPr>
          <w:rFonts w:ascii="Century Gothic" w:hAnsi="Century Gothic"/>
          <w:sz w:val="20"/>
          <w:szCs w:val="20"/>
        </w:rPr>
      </w:pPr>
    </w:p>
    <w:p w14:paraId="69E3A569" w14:textId="3266E315" w:rsidR="00AC7D05" w:rsidRPr="00730C0D" w:rsidRDefault="003806EF" w:rsidP="004978DA">
      <w:pPr>
        <w:pStyle w:val="Heading3"/>
      </w:pPr>
      <w:bookmarkStart w:id="46" w:name="_2.1.2_‘Australian_University"/>
      <w:bookmarkStart w:id="47" w:name="_Toc18592326"/>
      <w:bookmarkEnd w:id="46"/>
      <w:r w:rsidRPr="00730C0D">
        <w:t>2.1.2</w:t>
      </w:r>
      <w:r w:rsidRPr="00730C0D">
        <w:tab/>
      </w:r>
      <w:r w:rsidR="00AC7D05" w:rsidRPr="00730C0D">
        <w:t>‘Australian University of Specialisation’ Category</w:t>
      </w:r>
      <w:bookmarkEnd w:id="47"/>
      <w:r w:rsidR="00AC7D05" w:rsidRPr="00730C0D">
        <w:t xml:space="preserve"> </w:t>
      </w:r>
    </w:p>
    <w:p w14:paraId="5D4DA0FB" w14:textId="601DE92A"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The ‘Australian University of Specialisation’ category is reserved for providers that </w:t>
      </w:r>
      <w:r w:rsidRPr="00730C0D">
        <w:rPr>
          <w:rFonts w:ascii="Century Gothic" w:hAnsi="Century Gothic"/>
          <w:sz w:val="20"/>
          <w:szCs w:val="20"/>
        </w:rPr>
        <w:t xml:space="preserve">fulfil the same requirements as an ‘Australian University’ </w:t>
      </w:r>
      <w:r w:rsidR="00E54667" w:rsidRPr="00730C0D">
        <w:rPr>
          <w:rFonts w:ascii="Century Gothic" w:hAnsi="Century Gothic"/>
          <w:sz w:val="20"/>
          <w:szCs w:val="20"/>
        </w:rPr>
        <w:t>but only</w:t>
      </w:r>
      <w:r w:rsidRPr="00730C0D">
        <w:rPr>
          <w:rFonts w:ascii="Century Gothic" w:hAnsi="Century Gothic"/>
          <w:sz w:val="20"/>
          <w:szCs w:val="20"/>
        </w:rPr>
        <w:t xml:space="preserve"> </w:t>
      </w:r>
      <w:r w:rsidR="00AA7819">
        <w:rPr>
          <w:rFonts w:ascii="Century Gothic" w:hAnsi="Century Gothic"/>
          <w:sz w:val="20"/>
          <w:szCs w:val="20"/>
        </w:rPr>
        <w:t>deliver</w:t>
      </w:r>
      <w:r w:rsidRPr="00730C0D">
        <w:rPr>
          <w:rFonts w:ascii="Century Gothic" w:hAnsi="Century Gothic"/>
          <w:sz w:val="20"/>
          <w:szCs w:val="20"/>
        </w:rPr>
        <w:t xml:space="preserve"> qualifications and conduct research within one or two broad fields of education.</w:t>
      </w:r>
      <w:r w:rsidRPr="00730C0D">
        <w:rPr>
          <w:rFonts w:ascii="Century Gothic" w:eastAsiaTheme="minorEastAsia" w:hAnsi="Century Gothic"/>
          <w:sz w:val="20"/>
          <w:szCs w:val="20"/>
        </w:rPr>
        <w:t xml:space="preserve"> </w:t>
      </w:r>
    </w:p>
    <w:p w14:paraId="0625B659" w14:textId="77777777" w:rsidR="00AC7D05" w:rsidRPr="00730C0D" w:rsidRDefault="00AC7D05" w:rsidP="00D31B9A">
      <w:pPr>
        <w:spacing w:before="0" w:after="0"/>
        <w:rPr>
          <w:rFonts w:ascii="Century Gothic" w:eastAsiaTheme="minorEastAsia" w:hAnsi="Century Gothic"/>
          <w:sz w:val="20"/>
          <w:szCs w:val="20"/>
        </w:rPr>
      </w:pPr>
    </w:p>
    <w:p w14:paraId="444A74E2" w14:textId="19A88437" w:rsidR="00AC7D05" w:rsidRPr="00730C0D" w:rsidRDefault="00AC7D05" w:rsidP="006A7659">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At present, the category only has one registered provider, the University of Divinity. Some of the reasons stakeholders</w:t>
      </w:r>
      <w:r w:rsidR="00F9411B" w:rsidRPr="00730C0D">
        <w:rPr>
          <w:rFonts w:ascii="Century Gothic" w:eastAsiaTheme="minorEastAsia" w:hAnsi="Century Gothic"/>
          <w:sz w:val="20"/>
          <w:szCs w:val="20"/>
        </w:rPr>
        <w:t xml:space="preserve"> propose</w:t>
      </w:r>
      <w:r w:rsidRPr="00730C0D">
        <w:rPr>
          <w:rFonts w:ascii="Century Gothic" w:eastAsiaTheme="minorEastAsia" w:hAnsi="Century Gothic"/>
          <w:sz w:val="20"/>
          <w:szCs w:val="20"/>
        </w:rPr>
        <w:t xml:space="preserve"> for the lack of uptake of this category</w:t>
      </w:r>
      <w:r w:rsidR="007F43C3" w:rsidRPr="00730C0D">
        <w:rPr>
          <w:rFonts w:ascii="Century Gothic" w:eastAsiaTheme="minorEastAsia" w:hAnsi="Century Gothic"/>
          <w:sz w:val="20"/>
          <w:szCs w:val="20"/>
        </w:rPr>
        <w:t xml:space="preserve"> (and, indeed, the ‘Australian University’ category) </w:t>
      </w:r>
      <w:r w:rsidRPr="00730C0D">
        <w:rPr>
          <w:rFonts w:ascii="Century Gothic" w:eastAsiaTheme="minorEastAsia" w:hAnsi="Century Gothic"/>
          <w:sz w:val="20"/>
          <w:szCs w:val="20"/>
        </w:rPr>
        <w:t>include:</w:t>
      </w:r>
    </w:p>
    <w:p w14:paraId="7772D38C" w14:textId="4273F9DF" w:rsidR="00AC7D05" w:rsidRPr="00730C0D" w:rsidRDefault="00AC7D05" w:rsidP="0024520B">
      <w:pPr>
        <w:numPr>
          <w:ilvl w:val="0"/>
          <w:numId w:val="48"/>
        </w:numPr>
        <w:spacing w:before="0" w:after="0"/>
        <w:contextualSpacing/>
        <w:rPr>
          <w:rFonts w:ascii="Century Gothic" w:eastAsiaTheme="minorEastAsia" w:hAnsi="Century Gothic"/>
          <w:sz w:val="20"/>
          <w:szCs w:val="20"/>
        </w:rPr>
      </w:pPr>
      <w:r w:rsidRPr="00730C0D">
        <w:rPr>
          <w:rFonts w:ascii="Century Gothic" w:eastAsiaTheme="minorEastAsia" w:hAnsi="Century Gothic"/>
          <w:sz w:val="20"/>
          <w:szCs w:val="20"/>
        </w:rPr>
        <w:t>the challenge for an existing provider in the ‘Higher Educatio</w:t>
      </w:r>
      <w:r w:rsidR="001153C7" w:rsidRPr="00730C0D">
        <w:rPr>
          <w:rFonts w:ascii="Century Gothic" w:eastAsiaTheme="minorEastAsia" w:hAnsi="Century Gothic"/>
          <w:sz w:val="20"/>
          <w:szCs w:val="20"/>
        </w:rPr>
        <w:t>n Provider’ category to confer D</w:t>
      </w:r>
      <w:r w:rsidRPr="00730C0D">
        <w:rPr>
          <w:rFonts w:ascii="Century Gothic" w:eastAsiaTheme="minorEastAsia" w:hAnsi="Century Gothic"/>
          <w:sz w:val="20"/>
          <w:szCs w:val="20"/>
        </w:rPr>
        <w:t>octoral degrees for at least five years with self-accrediting authority</w:t>
      </w:r>
      <w:r w:rsidR="00733D85" w:rsidRPr="00730C0D">
        <w:rPr>
          <w:rFonts w:ascii="Century Gothic" w:eastAsiaTheme="minorEastAsia" w:hAnsi="Century Gothic"/>
          <w:sz w:val="20"/>
          <w:szCs w:val="20"/>
        </w:rPr>
        <w:t>;</w:t>
      </w:r>
    </w:p>
    <w:p w14:paraId="0B2A8CB6" w14:textId="5D6F4ED8" w:rsidR="00AC7D05" w:rsidRPr="00730C0D" w:rsidRDefault="007F43C3" w:rsidP="0024520B">
      <w:pPr>
        <w:numPr>
          <w:ilvl w:val="0"/>
          <w:numId w:val="48"/>
        </w:numPr>
        <w:spacing w:before="0" w:after="0"/>
        <w:contextualSpacing/>
        <w:rPr>
          <w:rFonts w:ascii="Century Gothic" w:eastAsiaTheme="minorEastAsia" w:hAnsi="Century Gothic"/>
          <w:sz w:val="20"/>
          <w:szCs w:val="20"/>
        </w:rPr>
      </w:pPr>
      <w:r w:rsidRPr="00730C0D">
        <w:rPr>
          <w:rFonts w:ascii="Century Gothic" w:eastAsiaTheme="minorEastAsia" w:hAnsi="Century Gothic"/>
          <w:sz w:val="20"/>
          <w:szCs w:val="20"/>
        </w:rPr>
        <w:t xml:space="preserve">a </w:t>
      </w:r>
      <w:r w:rsidR="00AC7D05" w:rsidRPr="00730C0D">
        <w:rPr>
          <w:rFonts w:ascii="Century Gothic" w:eastAsiaTheme="minorEastAsia" w:hAnsi="Century Gothic"/>
          <w:sz w:val="20"/>
          <w:szCs w:val="20"/>
        </w:rPr>
        <w:t>lack of mentoring mechanisms available to</w:t>
      </w:r>
      <w:r w:rsidR="00F9411B" w:rsidRPr="00730C0D">
        <w:rPr>
          <w:rFonts w:ascii="Century Gothic" w:eastAsiaTheme="minorEastAsia" w:hAnsi="Century Gothic"/>
          <w:sz w:val="20"/>
          <w:szCs w:val="20"/>
        </w:rPr>
        <w:t xml:space="preserve"> </w:t>
      </w:r>
      <w:r w:rsidR="00AC7D05" w:rsidRPr="00730C0D">
        <w:rPr>
          <w:rFonts w:ascii="Century Gothic" w:eastAsiaTheme="minorEastAsia" w:hAnsi="Century Gothic"/>
          <w:sz w:val="20"/>
          <w:szCs w:val="20"/>
        </w:rPr>
        <w:t>new players in the market</w:t>
      </w:r>
      <w:r w:rsidR="00733D85" w:rsidRPr="00730C0D">
        <w:rPr>
          <w:rFonts w:ascii="Century Gothic" w:eastAsiaTheme="minorEastAsia" w:hAnsi="Century Gothic"/>
          <w:sz w:val="20"/>
          <w:szCs w:val="20"/>
        </w:rPr>
        <w:t>; and</w:t>
      </w:r>
    </w:p>
    <w:p w14:paraId="7A64D67D" w14:textId="28D330A4" w:rsidR="00AC7D05" w:rsidRPr="00730C0D" w:rsidRDefault="00AC7D05" w:rsidP="0024520B">
      <w:pPr>
        <w:numPr>
          <w:ilvl w:val="0"/>
          <w:numId w:val="48"/>
        </w:numPr>
        <w:spacing w:before="0" w:after="0"/>
        <w:contextualSpacing/>
        <w:rPr>
          <w:rFonts w:ascii="Century Gothic" w:eastAsiaTheme="minorEastAsia" w:hAnsi="Century Gothic"/>
          <w:sz w:val="20"/>
          <w:szCs w:val="20"/>
        </w:rPr>
      </w:pPr>
      <w:r w:rsidRPr="00730C0D">
        <w:rPr>
          <w:rFonts w:ascii="Century Gothic" w:eastAsiaTheme="minorEastAsia" w:hAnsi="Century Gothic"/>
          <w:sz w:val="20"/>
          <w:szCs w:val="20"/>
        </w:rPr>
        <w:t>the requirement to compare prospective universities of specialisation against the same benchmarks (including research) as existing and publicly funded Australian universities.</w:t>
      </w:r>
    </w:p>
    <w:p w14:paraId="50AD47A9" w14:textId="77777777" w:rsidR="007F43C3" w:rsidRPr="00730C0D" w:rsidRDefault="007F43C3" w:rsidP="006A7659">
      <w:pPr>
        <w:pStyle w:val="ListParagraph"/>
        <w:spacing w:before="0" w:after="0"/>
        <w:rPr>
          <w:rFonts w:ascii="Century Gothic" w:eastAsiaTheme="minorEastAsia" w:hAnsi="Century Gothic"/>
          <w:sz w:val="20"/>
          <w:szCs w:val="20"/>
        </w:rPr>
      </w:pPr>
    </w:p>
    <w:p w14:paraId="6066700E" w14:textId="2DCC708C"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A further complication with the ‘University of Specialisation’ category is that applicants for the category must only offer courses in one or two broad </w:t>
      </w:r>
      <w:r w:rsidRPr="00730C0D">
        <w:rPr>
          <w:rFonts w:ascii="Century Gothic" w:hAnsi="Century Gothic"/>
          <w:sz w:val="20"/>
          <w:szCs w:val="20"/>
        </w:rPr>
        <w:t>Australian Standard Classification of Education (</w:t>
      </w:r>
      <w:r w:rsidRPr="00730C0D">
        <w:rPr>
          <w:rFonts w:ascii="Century Gothic" w:eastAsiaTheme="minorEastAsia" w:hAnsi="Century Gothic"/>
          <w:sz w:val="20"/>
          <w:szCs w:val="20"/>
        </w:rPr>
        <w:t>ASCED) fields of education. This requirement “effectively limits the term ‘specialisation’ to pre-defined Australian Bureau of Statistics (ABS) reporting fields as opposed to equally valid alternative determinants”.</w:t>
      </w:r>
      <w:r w:rsidRPr="00730C0D">
        <w:rPr>
          <w:rFonts w:ascii="Century Gothic" w:eastAsiaTheme="minorEastAsia" w:hAnsi="Century Gothic"/>
          <w:sz w:val="20"/>
          <w:szCs w:val="20"/>
          <w:vertAlign w:val="superscript"/>
        </w:rPr>
        <w:footnoteReference w:id="39"/>
      </w:r>
      <w:r w:rsidRPr="00730C0D">
        <w:rPr>
          <w:rFonts w:ascii="Century Gothic" w:eastAsiaTheme="minorEastAsia" w:hAnsi="Century Gothic"/>
          <w:sz w:val="20"/>
          <w:szCs w:val="20"/>
        </w:rPr>
        <w:t xml:space="preserve"> This may restrict some potential applicants from applying and receiving </w:t>
      </w:r>
      <w:r w:rsidR="00DD07F6" w:rsidRPr="00730C0D">
        <w:rPr>
          <w:rFonts w:ascii="Century Gothic" w:eastAsiaTheme="minorEastAsia" w:hAnsi="Century Gothic"/>
          <w:sz w:val="20"/>
          <w:szCs w:val="20"/>
        </w:rPr>
        <w:t>‘</w:t>
      </w:r>
      <w:r w:rsidRPr="00730C0D">
        <w:rPr>
          <w:rFonts w:ascii="Century Gothic" w:eastAsiaTheme="minorEastAsia" w:hAnsi="Century Gothic"/>
          <w:sz w:val="20"/>
          <w:szCs w:val="20"/>
        </w:rPr>
        <w:t>University of Specialisation</w:t>
      </w:r>
      <w:r w:rsidR="00DD07F6"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status</w:t>
      </w:r>
      <w:r w:rsidR="007F43C3"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w:t>
      </w:r>
      <w:r w:rsidR="007F43C3" w:rsidRPr="00730C0D">
        <w:rPr>
          <w:rFonts w:ascii="Century Gothic" w:eastAsiaTheme="minorEastAsia" w:hAnsi="Century Gothic"/>
          <w:sz w:val="20"/>
          <w:szCs w:val="20"/>
        </w:rPr>
        <w:t xml:space="preserve">For example, it may be challenging for a First Nations university to meet the requirements given </w:t>
      </w:r>
      <w:r w:rsidRPr="00730C0D">
        <w:rPr>
          <w:rFonts w:ascii="Century Gothic" w:eastAsiaTheme="minorEastAsia" w:hAnsi="Century Gothic"/>
          <w:sz w:val="20"/>
          <w:szCs w:val="20"/>
        </w:rPr>
        <w:t>that Indigenous research could be conducted across all broad fields of education. One suggestion is to add a field of education code for Aboriginal and Torres Strait Islander research, but “it would be unreasonable for an entity to have to wait for such an alignment in order to move forward with university aspirations, particularly in circumstances where all other specialisation criteria are being met”.</w:t>
      </w:r>
      <w:r w:rsidRPr="00730C0D">
        <w:rPr>
          <w:rFonts w:ascii="Century Gothic" w:eastAsiaTheme="minorEastAsia" w:hAnsi="Century Gothic"/>
          <w:sz w:val="20"/>
          <w:szCs w:val="20"/>
          <w:vertAlign w:val="superscript"/>
        </w:rPr>
        <w:footnoteReference w:id="40"/>
      </w:r>
    </w:p>
    <w:p w14:paraId="6D44518E" w14:textId="7594F8CC" w:rsidR="007F43C3" w:rsidRPr="00730C0D" w:rsidRDefault="007F43C3" w:rsidP="00D31B9A">
      <w:pPr>
        <w:spacing w:before="0" w:after="0"/>
        <w:rPr>
          <w:rFonts w:ascii="Century Gothic" w:eastAsiaTheme="minorEastAsia" w:hAnsi="Century Gothic"/>
          <w:sz w:val="20"/>
          <w:szCs w:val="20"/>
        </w:rPr>
      </w:pPr>
    </w:p>
    <w:p w14:paraId="1B58D856" w14:textId="77777777" w:rsidR="007F43C3" w:rsidRPr="00730C0D" w:rsidRDefault="007F43C3" w:rsidP="006A7659">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Some stakeholders believe, too, that the ‘Australian University of Specialisation’ category should be removed as the requirement for research in only one or two broad fields is not viewed as adequate or broad enough to warrant the title ‘university’. </w:t>
      </w:r>
    </w:p>
    <w:p w14:paraId="54E5A9BE" w14:textId="77777777" w:rsidR="00AC7D05" w:rsidRPr="00730C0D" w:rsidRDefault="00AC7D05" w:rsidP="00D31B9A">
      <w:pPr>
        <w:spacing w:before="0" w:after="0"/>
        <w:rPr>
          <w:rFonts w:ascii="Century Gothic" w:eastAsiaTheme="minorEastAsia" w:hAnsi="Century Gothic"/>
          <w:sz w:val="20"/>
          <w:szCs w:val="20"/>
        </w:rPr>
      </w:pPr>
    </w:p>
    <w:p w14:paraId="09ADC401" w14:textId="59C73F96" w:rsidR="00AC7D05" w:rsidRPr="00730C0D" w:rsidRDefault="007F07EE" w:rsidP="00D31B9A">
      <w:pPr>
        <w:spacing w:before="0" w:after="0"/>
        <w:rPr>
          <w:rFonts w:ascii="Century Gothic" w:eastAsiaTheme="minorEastAsia" w:hAnsi="Century Gothic"/>
          <w:sz w:val="20"/>
          <w:szCs w:val="20"/>
        </w:rPr>
      </w:pPr>
      <w:r>
        <w:rPr>
          <w:rFonts w:ascii="Century Gothic" w:eastAsiaTheme="minorEastAsia" w:hAnsi="Century Gothic"/>
          <w:sz w:val="20"/>
          <w:szCs w:val="20"/>
        </w:rPr>
        <w:t>However, t</w:t>
      </w:r>
      <w:r w:rsidR="00AC7D05" w:rsidRPr="00730C0D">
        <w:rPr>
          <w:rFonts w:ascii="Century Gothic" w:eastAsiaTheme="minorEastAsia" w:hAnsi="Century Gothic"/>
          <w:sz w:val="20"/>
          <w:szCs w:val="20"/>
        </w:rPr>
        <w:t xml:space="preserve">here is merit in continuing to have </w:t>
      </w:r>
      <w:r w:rsidR="00733D85" w:rsidRPr="00730C0D">
        <w:rPr>
          <w:rFonts w:ascii="Century Gothic" w:eastAsiaTheme="minorEastAsia" w:hAnsi="Century Gothic"/>
          <w:sz w:val="20"/>
          <w:szCs w:val="20"/>
        </w:rPr>
        <w:t xml:space="preserve">available </w:t>
      </w:r>
      <w:r w:rsidR="00AC7D05" w:rsidRPr="00730C0D">
        <w:rPr>
          <w:rFonts w:ascii="Century Gothic" w:eastAsiaTheme="minorEastAsia" w:hAnsi="Century Gothic"/>
          <w:sz w:val="20"/>
          <w:szCs w:val="20"/>
        </w:rPr>
        <w:t xml:space="preserve">a suitable category for those providers wishing to specialise in one or two broad fields of education and also attain university status. Universities of specialisation </w:t>
      </w:r>
      <w:r w:rsidR="00DB29C3" w:rsidRPr="00730C0D">
        <w:rPr>
          <w:rFonts w:ascii="Century Gothic" w:eastAsiaTheme="minorEastAsia" w:hAnsi="Century Gothic"/>
          <w:sz w:val="20"/>
          <w:szCs w:val="20"/>
        </w:rPr>
        <w:t xml:space="preserve">can </w:t>
      </w:r>
      <w:r w:rsidR="00AC7D05" w:rsidRPr="00730C0D">
        <w:rPr>
          <w:rFonts w:ascii="Century Gothic" w:eastAsiaTheme="minorEastAsia" w:hAnsi="Century Gothic"/>
          <w:sz w:val="20"/>
          <w:szCs w:val="20"/>
        </w:rPr>
        <w:t>offer an extra layer of diversity to Australia’s higher education landscape and can be leaders in teaching and research. Internationally, there are a number of highly regarded univers</w:t>
      </w:r>
      <w:r w:rsidR="00DB29C3" w:rsidRPr="00730C0D">
        <w:rPr>
          <w:rFonts w:ascii="Century Gothic" w:eastAsiaTheme="minorEastAsia" w:hAnsi="Century Gothic"/>
          <w:sz w:val="20"/>
          <w:szCs w:val="20"/>
        </w:rPr>
        <w:t>ities with a specialised focus</w:t>
      </w:r>
      <w:r w:rsidR="00AC7D05" w:rsidRPr="00730C0D">
        <w:rPr>
          <w:rFonts w:ascii="Century Gothic" w:eastAsiaTheme="minorEastAsia" w:hAnsi="Century Gothic"/>
          <w:sz w:val="20"/>
          <w:szCs w:val="20"/>
        </w:rPr>
        <w:t xml:space="preserve"> in a range of fields including fine arts, performing arts, sport</w:t>
      </w:r>
      <w:r w:rsidR="00D61509" w:rsidRPr="00730C0D">
        <w:rPr>
          <w:rFonts w:ascii="Century Gothic" w:eastAsiaTheme="minorEastAsia" w:hAnsi="Century Gothic"/>
          <w:sz w:val="20"/>
          <w:szCs w:val="20"/>
        </w:rPr>
        <w:t>,</w:t>
      </w:r>
      <w:r w:rsidR="00AC7D05" w:rsidRPr="00730C0D">
        <w:rPr>
          <w:rFonts w:ascii="Century Gothic" w:eastAsiaTheme="minorEastAsia" w:hAnsi="Century Gothic"/>
          <w:sz w:val="20"/>
          <w:szCs w:val="20"/>
        </w:rPr>
        <w:t xml:space="preserve"> and law</w:t>
      </w:r>
      <w:r w:rsidR="0004722E" w:rsidRPr="00730C0D">
        <w:rPr>
          <w:rFonts w:ascii="Century Gothic" w:eastAsiaTheme="minorEastAsia" w:hAnsi="Century Gothic"/>
          <w:sz w:val="20"/>
          <w:szCs w:val="20"/>
        </w:rPr>
        <w:t>. These include, for example:</w:t>
      </w:r>
      <w:r>
        <w:rPr>
          <w:rFonts w:ascii="Century Gothic" w:eastAsiaTheme="minorEastAsia" w:hAnsi="Century Gothic"/>
          <w:sz w:val="20"/>
          <w:szCs w:val="20"/>
        </w:rPr>
        <w:t xml:space="preserve"> </w:t>
      </w:r>
      <w:r w:rsidR="00733D85" w:rsidRPr="00730C0D">
        <w:rPr>
          <w:rFonts w:ascii="Century Gothic" w:eastAsiaTheme="minorEastAsia" w:hAnsi="Century Gothic"/>
          <w:sz w:val="20"/>
          <w:szCs w:val="20"/>
        </w:rPr>
        <w:t>T</w:t>
      </w:r>
      <w:r w:rsidR="00A051C9" w:rsidRPr="00730C0D">
        <w:rPr>
          <w:rFonts w:ascii="Century Gothic" w:eastAsiaTheme="minorEastAsia" w:hAnsi="Century Gothic"/>
          <w:sz w:val="20"/>
          <w:szCs w:val="20"/>
        </w:rPr>
        <w:t>he </w:t>
      </w:r>
      <w:r w:rsidR="00AC7D05" w:rsidRPr="00730C0D">
        <w:rPr>
          <w:rFonts w:ascii="Century Gothic" w:eastAsiaTheme="minorEastAsia" w:hAnsi="Century Gothic"/>
          <w:sz w:val="20"/>
          <w:szCs w:val="20"/>
        </w:rPr>
        <w:t>Rockefeller University in the United States which specialises in biomedical science, chemistry</w:t>
      </w:r>
      <w:r w:rsidR="00DD07F6" w:rsidRPr="00730C0D">
        <w:rPr>
          <w:rFonts w:ascii="Century Gothic" w:eastAsiaTheme="minorEastAsia" w:hAnsi="Century Gothic"/>
          <w:sz w:val="20"/>
          <w:szCs w:val="20"/>
        </w:rPr>
        <w:t>,</w:t>
      </w:r>
      <w:r w:rsidR="00AC7D05" w:rsidRPr="00730C0D">
        <w:rPr>
          <w:rFonts w:ascii="Century Gothic" w:eastAsiaTheme="minorEastAsia" w:hAnsi="Century Gothic"/>
          <w:sz w:val="20"/>
          <w:szCs w:val="20"/>
        </w:rPr>
        <w:t xml:space="preserve"> and physics</w:t>
      </w:r>
      <w:r w:rsidR="00D61509" w:rsidRPr="00730C0D">
        <w:rPr>
          <w:rFonts w:ascii="Century Gothic" w:eastAsiaTheme="minorEastAsia" w:hAnsi="Century Gothic"/>
          <w:sz w:val="20"/>
          <w:szCs w:val="20"/>
        </w:rPr>
        <w:t>,</w:t>
      </w:r>
      <w:r w:rsidR="00AC7D05" w:rsidRPr="00730C0D">
        <w:rPr>
          <w:rFonts w:ascii="Century Gothic" w:eastAsiaTheme="minorEastAsia" w:hAnsi="Century Gothic"/>
          <w:sz w:val="20"/>
          <w:szCs w:val="20"/>
        </w:rPr>
        <w:t xml:space="preserve"> and whose scientists have w</w:t>
      </w:r>
      <w:r w:rsidR="0004722E" w:rsidRPr="00730C0D">
        <w:rPr>
          <w:rFonts w:ascii="Century Gothic" w:eastAsiaTheme="minorEastAsia" w:hAnsi="Century Gothic"/>
          <w:sz w:val="20"/>
          <w:szCs w:val="20"/>
        </w:rPr>
        <w:t>on a collective 25 Nobel Prizes;</w:t>
      </w:r>
      <w:r w:rsidR="00AC7D05" w:rsidRPr="00730C0D">
        <w:rPr>
          <w:rFonts w:ascii="Century Gothic" w:eastAsiaTheme="minorEastAsia" w:hAnsi="Century Gothic"/>
          <w:sz w:val="20"/>
          <w:szCs w:val="20"/>
          <w:vertAlign w:val="superscript"/>
        </w:rPr>
        <w:footnoteReference w:id="41"/>
      </w:r>
      <w:r w:rsidR="00AC7D05" w:rsidRPr="00730C0D">
        <w:rPr>
          <w:rFonts w:ascii="Century Gothic" w:eastAsiaTheme="minorEastAsia" w:hAnsi="Century Gothic"/>
          <w:sz w:val="20"/>
          <w:szCs w:val="20"/>
        </w:rPr>
        <w:t xml:space="preserve"> </w:t>
      </w:r>
      <w:r w:rsidR="00733D85" w:rsidRPr="00730C0D">
        <w:rPr>
          <w:rFonts w:ascii="Century Gothic" w:eastAsiaTheme="minorEastAsia" w:hAnsi="Century Gothic"/>
          <w:sz w:val="20"/>
          <w:szCs w:val="20"/>
        </w:rPr>
        <w:t>T</w:t>
      </w:r>
      <w:r w:rsidR="00A051C9" w:rsidRPr="00730C0D">
        <w:rPr>
          <w:rFonts w:ascii="Century Gothic" w:eastAsiaTheme="minorEastAsia" w:hAnsi="Century Gothic"/>
          <w:sz w:val="20"/>
          <w:szCs w:val="20"/>
        </w:rPr>
        <w:t>he </w:t>
      </w:r>
      <w:r w:rsidR="00AC7D05" w:rsidRPr="00730C0D">
        <w:rPr>
          <w:rFonts w:ascii="Century Gothic" w:eastAsiaTheme="minorEastAsia" w:hAnsi="Century Gothic"/>
          <w:sz w:val="20"/>
          <w:szCs w:val="20"/>
        </w:rPr>
        <w:t>London School of Economics and Political Science, one of the foremost social science universities in the world</w:t>
      </w:r>
      <w:r w:rsidR="0004722E" w:rsidRPr="00730C0D">
        <w:rPr>
          <w:rFonts w:ascii="Century Gothic" w:eastAsiaTheme="minorEastAsia" w:hAnsi="Century Gothic"/>
          <w:sz w:val="20"/>
          <w:szCs w:val="20"/>
        </w:rPr>
        <w:t>;</w:t>
      </w:r>
      <w:r w:rsidR="00733D85" w:rsidRPr="00730C0D">
        <w:rPr>
          <w:rFonts w:ascii="Century Gothic" w:eastAsiaTheme="minorEastAsia" w:hAnsi="Century Gothic"/>
          <w:sz w:val="20"/>
          <w:szCs w:val="20"/>
        </w:rPr>
        <w:t xml:space="preserve"> and</w:t>
      </w:r>
      <w:r w:rsidR="00AC7D05" w:rsidRPr="00730C0D">
        <w:rPr>
          <w:rFonts w:ascii="Century Gothic" w:eastAsiaTheme="minorEastAsia" w:hAnsi="Century Gothic"/>
          <w:sz w:val="20"/>
          <w:szCs w:val="20"/>
        </w:rPr>
        <w:t xml:space="preserve"> the University of the Arts London</w:t>
      </w:r>
      <w:r w:rsidR="00733D85" w:rsidRPr="00730C0D">
        <w:rPr>
          <w:rFonts w:ascii="Century Gothic" w:eastAsiaTheme="minorEastAsia" w:hAnsi="Century Gothic"/>
          <w:sz w:val="20"/>
          <w:szCs w:val="20"/>
        </w:rPr>
        <w:t>. The latter focusses</w:t>
      </w:r>
      <w:r w:rsidR="00AC7D05" w:rsidRPr="00730C0D">
        <w:rPr>
          <w:rFonts w:ascii="Century Gothic" w:eastAsiaTheme="minorEastAsia" w:hAnsi="Century Gothic"/>
          <w:sz w:val="20"/>
          <w:szCs w:val="20"/>
        </w:rPr>
        <w:t xml:space="preserve"> on fashion, design and communication.  </w:t>
      </w:r>
    </w:p>
    <w:p w14:paraId="6A451601" w14:textId="77777777" w:rsidR="00AC7D05" w:rsidRPr="00730C0D" w:rsidRDefault="00AC7D05" w:rsidP="00D31B9A">
      <w:pPr>
        <w:spacing w:before="0" w:after="0"/>
        <w:rPr>
          <w:rFonts w:ascii="Century Gothic" w:eastAsiaTheme="minorEastAsia" w:hAnsi="Century Gothic"/>
          <w:sz w:val="20"/>
          <w:szCs w:val="20"/>
        </w:rPr>
      </w:pPr>
    </w:p>
    <w:p w14:paraId="776A14AD" w14:textId="6D6189BF"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During the public consultation and submission process, a number of providers in the current ‘Higher Education Provider’ category indicated their intent to apply for ‘University of Specialisation’ status. As such, it can be argued that the category has the potential to grow in the future and</w:t>
      </w:r>
      <w:r w:rsidR="00733D85"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therefore</w:t>
      </w:r>
      <w:r w:rsidR="00733D85"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is still fit for purpose, despite its current underutilisation.</w:t>
      </w:r>
    </w:p>
    <w:p w14:paraId="3BA83BC4" w14:textId="77777777" w:rsidR="00AC7D05" w:rsidRPr="00730C0D" w:rsidRDefault="00AC7D05" w:rsidP="00D31B9A">
      <w:pPr>
        <w:spacing w:before="0" w:after="0"/>
        <w:rPr>
          <w:rFonts w:ascii="Century Gothic" w:eastAsiaTheme="minorEastAsia" w:hAnsi="Century Gothic"/>
          <w:sz w:val="20"/>
          <w:szCs w:val="20"/>
        </w:rPr>
      </w:pPr>
    </w:p>
    <w:p w14:paraId="40099F0D" w14:textId="15DE34BF"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However, the continuing provision for universities</w:t>
      </w:r>
      <w:r w:rsidR="00D61509" w:rsidRPr="00730C0D">
        <w:rPr>
          <w:rFonts w:ascii="Century Gothic" w:eastAsiaTheme="minorEastAsia" w:hAnsi="Century Gothic"/>
          <w:sz w:val="20"/>
          <w:szCs w:val="20"/>
        </w:rPr>
        <w:t xml:space="preserve"> with a specialised focus</w:t>
      </w:r>
      <w:r w:rsidRPr="00730C0D">
        <w:rPr>
          <w:rFonts w:ascii="Century Gothic" w:eastAsiaTheme="minorEastAsia" w:hAnsi="Century Gothic"/>
          <w:sz w:val="20"/>
          <w:szCs w:val="20"/>
        </w:rPr>
        <w:t xml:space="preserve"> does not necessarily warrant a discrete category for such providers. As the University of Divinity</w:t>
      </w:r>
      <w:r w:rsidR="00F9411B" w:rsidRPr="00730C0D">
        <w:rPr>
          <w:rFonts w:ascii="Century Gothic" w:eastAsiaTheme="minorEastAsia" w:hAnsi="Century Gothic"/>
          <w:sz w:val="20"/>
          <w:szCs w:val="20"/>
        </w:rPr>
        <w:t xml:space="preserve"> advocates</w:t>
      </w:r>
      <w:r w:rsidRPr="00730C0D">
        <w:rPr>
          <w:rFonts w:ascii="Century Gothic" w:eastAsiaTheme="minorEastAsia" w:hAnsi="Century Gothic"/>
          <w:sz w:val="20"/>
          <w:szCs w:val="20"/>
        </w:rPr>
        <w:t>, “both applications for university status and TEQSA audits of universities should be against the same accountability and quality standards, irrespective of the entity’s number of specialisations or broad fields of study”.</w:t>
      </w:r>
      <w:r w:rsidRPr="00730C0D">
        <w:rPr>
          <w:rFonts w:ascii="Century Gothic" w:eastAsiaTheme="minorEastAsia" w:hAnsi="Century Gothic"/>
          <w:sz w:val="20"/>
          <w:szCs w:val="20"/>
          <w:vertAlign w:val="superscript"/>
        </w:rPr>
        <w:footnoteReference w:id="42"/>
      </w:r>
      <w:r w:rsidRPr="00730C0D">
        <w:rPr>
          <w:rFonts w:ascii="Century Gothic" w:eastAsiaTheme="minorEastAsia" w:hAnsi="Century Gothic"/>
          <w:sz w:val="20"/>
          <w:szCs w:val="20"/>
        </w:rPr>
        <w:t xml:space="preserve"> Universities </w:t>
      </w:r>
      <w:r w:rsidR="00483E2A" w:rsidRPr="00730C0D">
        <w:rPr>
          <w:rFonts w:ascii="Century Gothic" w:eastAsiaTheme="minorEastAsia" w:hAnsi="Century Gothic"/>
          <w:sz w:val="20"/>
          <w:szCs w:val="20"/>
        </w:rPr>
        <w:t>with a specialised focus</w:t>
      </w:r>
      <w:r w:rsidRPr="00730C0D">
        <w:rPr>
          <w:rFonts w:ascii="Century Gothic" w:eastAsiaTheme="minorEastAsia" w:hAnsi="Century Gothic"/>
          <w:sz w:val="20"/>
          <w:szCs w:val="20"/>
        </w:rPr>
        <w:t xml:space="preserve"> could therefore be incorporated into the ‘Australian University’ category, thereby simplifying the PCS and ensuring that the same standards apply to all universities. </w:t>
      </w:r>
    </w:p>
    <w:p w14:paraId="4C278F30" w14:textId="77777777" w:rsidR="00AC7D05" w:rsidRPr="00730C0D" w:rsidRDefault="00AC7D05" w:rsidP="00D31B9A">
      <w:pPr>
        <w:spacing w:before="0" w:after="0"/>
        <w:rPr>
          <w:rFonts w:ascii="Century Gothic" w:eastAsiaTheme="minorEastAsia" w:hAnsi="Century Gothic"/>
          <w:sz w:val="20"/>
          <w:szCs w:val="20"/>
        </w:rPr>
      </w:pPr>
    </w:p>
    <w:p w14:paraId="1AF1837C" w14:textId="128CEABE"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This Review </w:t>
      </w:r>
      <w:r w:rsidR="00483E2A" w:rsidRPr="00730C0D">
        <w:rPr>
          <w:rFonts w:ascii="Century Gothic" w:eastAsiaTheme="minorEastAsia" w:hAnsi="Century Gothic"/>
          <w:sz w:val="20"/>
          <w:szCs w:val="20"/>
        </w:rPr>
        <w:t>recommend</w:t>
      </w:r>
      <w:r w:rsidRPr="00730C0D">
        <w:rPr>
          <w:rFonts w:ascii="Century Gothic" w:eastAsiaTheme="minorEastAsia" w:hAnsi="Century Gothic"/>
          <w:sz w:val="20"/>
          <w:szCs w:val="20"/>
        </w:rPr>
        <w:t xml:space="preserve">s that the criteria for the ‘Australian University’ category be amended to incorporate universities which TEQSA deem to have a specialised </w:t>
      </w:r>
      <w:r w:rsidR="00D61509" w:rsidRPr="00730C0D">
        <w:rPr>
          <w:rFonts w:ascii="Century Gothic" w:eastAsiaTheme="minorEastAsia" w:hAnsi="Century Gothic"/>
          <w:sz w:val="20"/>
          <w:szCs w:val="20"/>
        </w:rPr>
        <w:t>focus</w:t>
      </w:r>
      <w:r w:rsidRPr="00730C0D">
        <w:rPr>
          <w:rFonts w:ascii="Century Gothic" w:eastAsiaTheme="minorEastAsia" w:hAnsi="Century Gothic"/>
          <w:sz w:val="20"/>
          <w:szCs w:val="20"/>
        </w:rPr>
        <w:t xml:space="preserve">. </w:t>
      </w:r>
      <w:r w:rsidR="007F07EE">
        <w:rPr>
          <w:rFonts w:ascii="Century Gothic" w:eastAsiaTheme="minorEastAsia" w:hAnsi="Century Gothic"/>
          <w:sz w:val="20"/>
          <w:szCs w:val="20"/>
        </w:rPr>
        <w:br/>
      </w:r>
      <w:r w:rsidRPr="00730C0D">
        <w:rPr>
          <w:rFonts w:ascii="Century Gothic" w:eastAsiaTheme="minorEastAsia" w:hAnsi="Century Gothic"/>
          <w:sz w:val="20"/>
          <w:szCs w:val="20"/>
        </w:rPr>
        <w:t>For such universities, requirements relating to course offerings and research will be capped at either one or two broad fields of education and self-accrediting authority will be lik</w:t>
      </w:r>
      <w:r w:rsidR="00BB4A66" w:rsidRPr="00730C0D">
        <w:rPr>
          <w:rFonts w:ascii="Century Gothic" w:eastAsiaTheme="minorEastAsia" w:hAnsi="Century Gothic"/>
          <w:sz w:val="20"/>
          <w:szCs w:val="20"/>
        </w:rPr>
        <w:t>ewise limited. As such, Section </w:t>
      </w:r>
      <w:r w:rsidRPr="00730C0D">
        <w:rPr>
          <w:rFonts w:ascii="Century Gothic" w:eastAsiaTheme="minorEastAsia" w:hAnsi="Century Gothic"/>
          <w:sz w:val="20"/>
          <w:szCs w:val="20"/>
        </w:rPr>
        <w:t xml:space="preserve">45(1) of the </w:t>
      </w:r>
      <w:r w:rsidRPr="00730C0D">
        <w:rPr>
          <w:rFonts w:ascii="Century Gothic" w:eastAsiaTheme="minorEastAsia" w:hAnsi="Century Gothic"/>
          <w:i/>
          <w:sz w:val="20"/>
          <w:szCs w:val="20"/>
        </w:rPr>
        <w:t>TEQSA Act 2011</w:t>
      </w:r>
      <w:r w:rsidRPr="00730C0D">
        <w:rPr>
          <w:rFonts w:ascii="Century Gothic" w:eastAsiaTheme="minorEastAsia" w:hAnsi="Century Gothic"/>
          <w:sz w:val="20"/>
          <w:szCs w:val="20"/>
        </w:rPr>
        <w:t xml:space="preserve"> which sets out self-accrediting authority for Australian universities, will </w:t>
      </w:r>
      <w:r w:rsidR="00F9411B" w:rsidRPr="00730C0D">
        <w:rPr>
          <w:rFonts w:ascii="Century Gothic" w:eastAsiaTheme="minorEastAsia" w:hAnsi="Century Gothic"/>
          <w:sz w:val="20"/>
          <w:szCs w:val="20"/>
        </w:rPr>
        <w:t>require amendment</w:t>
      </w:r>
      <w:r w:rsidRPr="00730C0D">
        <w:rPr>
          <w:rFonts w:ascii="Century Gothic" w:eastAsiaTheme="minorEastAsia" w:hAnsi="Century Gothic"/>
          <w:sz w:val="20"/>
          <w:szCs w:val="20"/>
        </w:rPr>
        <w:t xml:space="preserve"> to </w:t>
      </w:r>
      <w:r w:rsidR="0053218F" w:rsidRPr="00730C0D">
        <w:rPr>
          <w:rFonts w:ascii="Century Gothic" w:eastAsiaTheme="minorEastAsia" w:hAnsi="Century Gothic"/>
          <w:sz w:val="20"/>
          <w:szCs w:val="20"/>
        </w:rPr>
        <w:t>accommodate</w:t>
      </w:r>
      <w:r w:rsidR="00483E2A" w:rsidRPr="00730C0D">
        <w:rPr>
          <w:rFonts w:ascii="Century Gothic" w:eastAsiaTheme="minorEastAsia" w:hAnsi="Century Gothic"/>
          <w:sz w:val="20"/>
          <w:szCs w:val="20"/>
        </w:rPr>
        <w:t xml:space="preserve"> </w:t>
      </w:r>
      <w:r w:rsidRPr="00730C0D">
        <w:rPr>
          <w:rFonts w:ascii="Century Gothic" w:eastAsiaTheme="minorEastAsia" w:hAnsi="Century Gothic"/>
          <w:sz w:val="20"/>
          <w:szCs w:val="20"/>
        </w:rPr>
        <w:t>universiti</w:t>
      </w:r>
      <w:r w:rsidR="00BB4A66" w:rsidRPr="00730C0D">
        <w:rPr>
          <w:rFonts w:ascii="Century Gothic" w:eastAsiaTheme="minorEastAsia" w:hAnsi="Century Gothic"/>
          <w:sz w:val="20"/>
          <w:szCs w:val="20"/>
        </w:rPr>
        <w:t xml:space="preserve">es with a specialised </w:t>
      </w:r>
      <w:r w:rsidR="00D61509" w:rsidRPr="00730C0D">
        <w:rPr>
          <w:rFonts w:ascii="Century Gothic" w:eastAsiaTheme="minorEastAsia" w:hAnsi="Century Gothic"/>
          <w:sz w:val="20"/>
          <w:szCs w:val="20"/>
        </w:rPr>
        <w:t>focus</w:t>
      </w:r>
      <w:r w:rsidR="00BB4A66" w:rsidRPr="00730C0D">
        <w:rPr>
          <w:rFonts w:ascii="Century Gothic" w:eastAsiaTheme="minorEastAsia" w:hAnsi="Century Gothic"/>
          <w:sz w:val="20"/>
          <w:szCs w:val="20"/>
        </w:rPr>
        <w:t xml:space="preserve">. </w:t>
      </w:r>
    </w:p>
    <w:p w14:paraId="4CE4F029" w14:textId="77777777" w:rsidR="00BB4A66" w:rsidRPr="00730C0D" w:rsidRDefault="00BB4A66" w:rsidP="00D31B9A">
      <w:pPr>
        <w:spacing w:before="0" w:after="0"/>
        <w:rPr>
          <w:rFonts w:ascii="Century Gothic" w:eastAsiaTheme="minorEastAsia" w:hAnsi="Century Gothic"/>
          <w:sz w:val="20"/>
          <w:szCs w:val="20"/>
        </w:rPr>
      </w:pPr>
    </w:p>
    <w:p w14:paraId="695621CE" w14:textId="139D78DE" w:rsidR="003F32B4" w:rsidRPr="00730C0D" w:rsidRDefault="00F9411B" w:rsidP="001D2737">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T</w:t>
      </w:r>
      <w:r w:rsidR="00AC7D05" w:rsidRPr="00730C0D">
        <w:rPr>
          <w:rFonts w:ascii="Century Gothic" w:eastAsiaTheme="minorEastAsia" w:hAnsi="Century Gothic"/>
          <w:sz w:val="20"/>
          <w:szCs w:val="20"/>
        </w:rPr>
        <w:t xml:space="preserve">he </w:t>
      </w:r>
      <w:r w:rsidR="00483E2A" w:rsidRPr="00730C0D">
        <w:rPr>
          <w:rFonts w:ascii="Century Gothic" w:eastAsiaTheme="minorEastAsia" w:hAnsi="Century Gothic"/>
          <w:sz w:val="20"/>
          <w:szCs w:val="20"/>
        </w:rPr>
        <w:t xml:space="preserve">proposed </w:t>
      </w:r>
      <w:r w:rsidR="00AC7D05" w:rsidRPr="00730C0D">
        <w:rPr>
          <w:rFonts w:ascii="Century Gothic" w:eastAsiaTheme="minorEastAsia" w:hAnsi="Century Gothic"/>
          <w:sz w:val="20"/>
          <w:szCs w:val="20"/>
        </w:rPr>
        <w:t>‘Australian University’ category</w:t>
      </w:r>
      <w:r w:rsidRPr="00730C0D">
        <w:rPr>
          <w:rFonts w:ascii="Century Gothic" w:eastAsiaTheme="minorEastAsia" w:hAnsi="Century Gothic"/>
          <w:sz w:val="20"/>
          <w:szCs w:val="20"/>
        </w:rPr>
        <w:t xml:space="preserve"> will consist of </w:t>
      </w:r>
      <w:r w:rsidR="00AC7D05" w:rsidRPr="00730C0D">
        <w:rPr>
          <w:rFonts w:ascii="Century Gothic" w:eastAsiaTheme="minorEastAsia" w:hAnsi="Century Gothic"/>
          <w:sz w:val="20"/>
          <w:szCs w:val="20"/>
        </w:rPr>
        <w:t>all the current Australian universities, both public and private</w:t>
      </w:r>
      <w:r w:rsidRPr="00730C0D">
        <w:rPr>
          <w:rFonts w:ascii="Century Gothic" w:eastAsiaTheme="minorEastAsia" w:hAnsi="Century Gothic"/>
          <w:sz w:val="20"/>
          <w:szCs w:val="20"/>
        </w:rPr>
        <w:t xml:space="preserve">, and the current </w:t>
      </w:r>
      <w:r w:rsidR="00483E2A" w:rsidRPr="00730C0D">
        <w:rPr>
          <w:rFonts w:ascii="Century Gothic" w:eastAsiaTheme="minorEastAsia" w:hAnsi="Century Gothic"/>
          <w:sz w:val="20"/>
          <w:szCs w:val="20"/>
        </w:rPr>
        <w:t>u</w:t>
      </w:r>
      <w:r w:rsidRPr="00730C0D">
        <w:rPr>
          <w:rFonts w:ascii="Century Gothic" w:eastAsiaTheme="minorEastAsia" w:hAnsi="Century Gothic"/>
          <w:sz w:val="20"/>
          <w:szCs w:val="20"/>
        </w:rPr>
        <w:t xml:space="preserve">niversity of </w:t>
      </w:r>
      <w:r w:rsidR="00483E2A" w:rsidRPr="00730C0D">
        <w:rPr>
          <w:rFonts w:ascii="Century Gothic" w:eastAsiaTheme="minorEastAsia" w:hAnsi="Century Gothic"/>
          <w:sz w:val="20"/>
          <w:szCs w:val="20"/>
        </w:rPr>
        <w:t>s</w:t>
      </w:r>
      <w:r w:rsidRPr="00730C0D">
        <w:rPr>
          <w:rFonts w:ascii="Century Gothic" w:eastAsiaTheme="minorEastAsia" w:hAnsi="Century Gothic"/>
          <w:sz w:val="20"/>
          <w:szCs w:val="20"/>
        </w:rPr>
        <w:t>pecialisation.</w:t>
      </w:r>
      <w:r w:rsidR="003F32B4" w:rsidRPr="00730C0D">
        <w:rPr>
          <w:rFonts w:ascii="Century Gothic" w:eastAsiaTheme="minorEastAsia" w:hAnsi="Century Gothic"/>
          <w:sz w:val="20"/>
          <w:szCs w:val="20"/>
        </w:rPr>
        <w:t xml:space="preserve"> </w:t>
      </w:r>
      <w:r w:rsidR="0053218F" w:rsidRPr="00730C0D">
        <w:rPr>
          <w:rFonts w:ascii="Century Gothic" w:eastAsiaTheme="minorEastAsia" w:hAnsi="Century Gothic"/>
          <w:sz w:val="20"/>
          <w:szCs w:val="20"/>
        </w:rPr>
        <w:t>The criteria in this category</w:t>
      </w:r>
      <w:r w:rsidR="003F32B4" w:rsidRPr="00730C0D">
        <w:rPr>
          <w:rFonts w:ascii="Century Gothic" w:eastAsiaTheme="minorEastAsia" w:hAnsi="Century Gothic"/>
          <w:sz w:val="20"/>
          <w:szCs w:val="20"/>
        </w:rPr>
        <w:t xml:space="preserve"> will include provision for universities with a specialised focus to broaden their fields of education in consultation with</w:t>
      </w:r>
      <w:r w:rsidR="00483E2A" w:rsidRPr="00730C0D">
        <w:rPr>
          <w:rFonts w:ascii="Century Gothic" w:eastAsiaTheme="minorEastAsia" w:hAnsi="Century Gothic"/>
          <w:sz w:val="20"/>
          <w:szCs w:val="20"/>
        </w:rPr>
        <w:t>,</w:t>
      </w:r>
      <w:r w:rsidR="003F32B4" w:rsidRPr="00730C0D">
        <w:rPr>
          <w:rFonts w:ascii="Century Gothic" w:eastAsiaTheme="minorEastAsia" w:hAnsi="Century Gothic"/>
          <w:sz w:val="20"/>
          <w:szCs w:val="20"/>
        </w:rPr>
        <w:t xml:space="preserve"> and guidance from</w:t>
      </w:r>
      <w:r w:rsidR="00483E2A" w:rsidRPr="00730C0D">
        <w:rPr>
          <w:rFonts w:ascii="Century Gothic" w:eastAsiaTheme="minorEastAsia" w:hAnsi="Century Gothic"/>
          <w:sz w:val="20"/>
          <w:szCs w:val="20"/>
        </w:rPr>
        <w:t>,</w:t>
      </w:r>
      <w:r w:rsidR="003F32B4" w:rsidRPr="00730C0D">
        <w:rPr>
          <w:rFonts w:ascii="Century Gothic" w:eastAsiaTheme="minorEastAsia" w:hAnsi="Century Gothic"/>
          <w:sz w:val="20"/>
          <w:szCs w:val="20"/>
        </w:rPr>
        <w:t xml:space="preserve"> TEQSA. </w:t>
      </w:r>
    </w:p>
    <w:p w14:paraId="627AABF3" w14:textId="77777777" w:rsidR="001D2737" w:rsidRPr="00730C0D" w:rsidRDefault="001D2737" w:rsidP="001D2737">
      <w:pPr>
        <w:spacing w:before="0" w:after="0"/>
        <w:rPr>
          <w:rFonts w:ascii="Century Gothic" w:eastAsiaTheme="minorEastAsia" w:hAnsi="Century Gothic"/>
          <w:sz w:val="20"/>
          <w:szCs w:val="20"/>
        </w:rPr>
      </w:pPr>
    </w:p>
    <w:p w14:paraId="254A4EC9" w14:textId="4B9E4615" w:rsidR="00AC7D05" w:rsidRPr="00730C0D" w:rsidRDefault="003806EF" w:rsidP="004978DA">
      <w:pPr>
        <w:pStyle w:val="Heading3"/>
      </w:pPr>
      <w:bookmarkStart w:id="48" w:name="_2.1.3_‘Overseas_University’"/>
      <w:bookmarkStart w:id="49" w:name="_Toc18592327"/>
      <w:bookmarkEnd w:id="48"/>
      <w:r w:rsidRPr="00730C0D">
        <w:t>2.1.3</w:t>
      </w:r>
      <w:r w:rsidRPr="00730C0D">
        <w:tab/>
      </w:r>
      <w:r w:rsidR="00AC7D05" w:rsidRPr="00730C0D">
        <w:t>‘Overseas University’ and ‘Overseas University of Specialisation’ Categories</w:t>
      </w:r>
      <w:bookmarkEnd w:id="49"/>
      <w:r w:rsidR="00AC7D05" w:rsidRPr="00730C0D">
        <w:t xml:space="preserve"> </w:t>
      </w:r>
    </w:p>
    <w:p w14:paraId="2F2E039B" w14:textId="43AB73D5"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Since the inception of the PCS, there have been only two registered ‘Overseas University’ providers</w:t>
      </w:r>
      <w:r w:rsidR="004E1EA1"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Carnegie Mellon University</w:t>
      </w:r>
      <w:r w:rsidR="004E1EA1"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and University College London</w:t>
      </w:r>
      <w:r w:rsidR="0053218F" w:rsidRPr="00730C0D">
        <w:rPr>
          <w:rFonts w:ascii="Century Gothic" w:eastAsiaTheme="minorEastAsia" w:hAnsi="Century Gothic"/>
          <w:sz w:val="20"/>
          <w:szCs w:val="20"/>
        </w:rPr>
        <w:t>, although t</w:t>
      </w:r>
      <w:r w:rsidRPr="00730C0D">
        <w:rPr>
          <w:rFonts w:ascii="Century Gothic" w:eastAsiaTheme="minorEastAsia" w:hAnsi="Century Gothic"/>
          <w:sz w:val="20"/>
          <w:szCs w:val="20"/>
        </w:rPr>
        <w:t>he latter</w:t>
      </w:r>
      <w:r w:rsidR="0053218F" w:rsidRPr="00730C0D">
        <w:rPr>
          <w:rFonts w:ascii="Century Gothic" w:eastAsiaTheme="minorEastAsia" w:hAnsi="Century Gothic"/>
          <w:sz w:val="20"/>
          <w:szCs w:val="20"/>
        </w:rPr>
        <w:t xml:space="preserve"> neither has</w:t>
      </w:r>
      <w:r w:rsidRPr="00730C0D">
        <w:rPr>
          <w:rFonts w:ascii="Century Gothic" w:eastAsiaTheme="minorEastAsia" w:hAnsi="Century Gothic"/>
          <w:sz w:val="20"/>
          <w:szCs w:val="20"/>
        </w:rPr>
        <w:t xml:space="preserve"> a dedicated campus nor </w:t>
      </w:r>
      <w:r w:rsidR="0053218F" w:rsidRPr="00730C0D">
        <w:rPr>
          <w:rFonts w:ascii="Century Gothic" w:eastAsiaTheme="minorEastAsia" w:hAnsi="Century Gothic"/>
          <w:sz w:val="20"/>
          <w:szCs w:val="20"/>
        </w:rPr>
        <w:t>offers</w:t>
      </w:r>
      <w:r w:rsidRPr="00730C0D">
        <w:rPr>
          <w:rFonts w:ascii="Century Gothic" w:eastAsiaTheme="minorEastAsia" w:hAnsi="Century Gothic"/>
          <w:sz w:val="20"/>
          <w:szCs w:val="20"/>
        </w:rPr>
        <w:t xml:space="preserve"> courses in Australia. An ‘Overseas University of Specialisation’ provider</w:t>
      </w:r>
      <w:r w:rsidR="00DC77B4" w:rsidRPr="00730C0D">
        <w:rPr>
          <w:rFonts w:ascii="Century Gothic" w:eastAsiaTheme="minorEastAsia" w:hAnsi="Century Gothic"/>
          <w:sz w:val="20"/>
          <w:szCs w:val="20"/>
        </w:rPr>
        <w:t>, on the other hand,</w:t>
      </w:r>
      <w:r w:rsidRPr="00730C0D">
        <w:rPr>
          <w:rFonts w:ascii="Century Gothic" w:eastAsiaTheme="minorEastAsia" w:hAnsi="Century Gothic"/>
          <w:sz w:val="20"/>
          <w:szCs w:val="20"/>
        </w:rPr>
        <w:t xml:space="preserve"> has never been registered. </w:t>
      </w:r>
    </w:p>
    <w:p w14:paraId="0E91EF9D" w14:textId="77777777" w:rsidR="00AC7D05" w:rsidRPr="00730C0D" w:rsidRDefault="00AC7D05" w:rsidP="00D31B9A">
      <w:pPr>
        <w:spacing w:before="0" w:after="0"/>
        <w:rPr>
          <w:rFonts w:ascii="Century Gothic" w:hAnsi="Century Gothic"/>
          <w:sz w:val="20"/>
          <w:szCs w:val="20"/>
        </w:rPr>
      </w:pPr>
    </w:p>
    <w:p w14:paraId="0FA21FDF" w14:textId="77777777" w:rsidR="00AC7D05" w:rsidRPr="00730C0D" w:rsidRDefault="00AC7D05" w:rsidP="007F07EE">
      <w:pPr>
        <w:spacing w:before="0" w:after="0"/>
        <w:ind w:right="-330"/>
        <w:rPr>
          <w:rFonts w:ascii="Century Gothic" w:eastAsiaTheme="minorEastAsia" w:hAnsi="Century Gothic"/>
          <w:sz w:val="20"/>
          <w:szCs w:val="20"/>
        </w:rPr>
      </w:pPr>
      <w:r w:rsidRPr="00730C0D">
        <w:rPr>
          <w:rFonts w:ascii="Century Gothic" w:eastAsiaTheme="minorEastAsia" w:hAnsi="Century Gothic"/>
          <w:sz w:val="20"/>
          <w:szCs w:val="20"/>
        </w:rPr>
        <w:t>Some reasons for the lack of uptake by overseas universities to operate in Australia may include:</w:t>
      </w:r>
    </w:p>
    <w:p w14:paraId="59AD6C93" w14:textId="5541BBE2" w:rsidR="00AC7D05" w:rsidRPr="00730C0D" w:rsidRDefault="00AC7D05" w:rsidP="0024520B">
      <w:pPr>
        <w:numPr>
          <w:ilvl w:val="0"/>
          <w:numId w:val="49"/>
        </w:numPr>
        <w:spacing w:before="0" w:after="0"/>
        <w:ind w:left="714" w:hanging="357"/>
        <w:contextualSpacing/>
        <w:rPr>
          <w:rFonts w:ascii="Century Gothic" w:eastAsiaTheme="minorEastAsia" w:hAnsi="Century Gothic"/>
          <w:sz w:val="20"/>
          <w:szCs w:val="20"/>
        </w:rPr>
      </w:pPr>
      <w:r w:rsidRPr="00730C0D">
        <w:rPr>
          <w:rFonts w:ascii="Century Gothic" w:eastAsiaTheme="minorEastAsia" w:hAnsi="Century Gothic"/>
          <w:sz w:val="20"/>
          <w:szCs w:val="20"/>
        </w:rPr>
        <w:t>different funding entitlements for Australian public universities and overseas universities, including access to public research grants</w:t>
      </w:r>
      <w:r w:rsidR="00DC77B4" w:rsidRPr="00730C0D">
        <w:rPr>
          <w:rFonts w:ascii="Century Gothic" w:eastAsiaTheme="minorEastAsia" w:hAnsi="Century Gothic"/>
          <w:sz w:val="20"/>
          <w:szCs w:val="20"/>
        </w:rPr>
        <w:t>;</w:t>
      </w:r>
      <w:r w:rsidRPr="00730C0D">
        <w:rPr>
          <w:rFonts w:ascii="Century Gothic" w:eastAsiaTheme="minorEastAsia" w:hAnsi="Century Gothic"/>
          <w:sz w:val="20"/>
          <w:szCs w:val="20"/>
        </w:rPr>
        <w:t xml:space="preserve"> </w:t>
      </w:r>
    </w:p>
    <w:p w14:paraId="6D2B36F0" w14:textId="1DC13E0E" w:rsidR="00AC7D05" w:rsidRPr="00730C0D" w:rsidRDefault="00AC7D05" w:rsidP="0024520B">
      <w:pPr>
        <w:numPr>
          <w:ilvl w:val="0"/>
          <w:numId w:val="49"/>
        </w:numPr>
        <w:spacing w:before="0" w:after="0"/>
        <w:contextualSpacing/>
        <w:rPr>
          <w:rFonts w:ascii="Century Gothic" w:eastAsiaTheme="minorEastAsia" w:hAnsi="Century Gothic"/>
          <w:sz w:val="20"/>
          <w:szCs w:val="20"/>
        </w:rPr>
      </w:pPr>
      <w:r w:rsidRPr="00730C0D">
        <w:rPr>
          <w:rFonts w:ascii="Century Gothic" w:eastAsiaTheme="minorEastAsia" w:hAnsi="Century Gothic"/>
          <w:sz w:val="20"/>
          <w:szCs w:val="20"/>
        </w:rPr>
        <w:t xml:space="preserve">the relatively small Australian student population and </w:t>
      </w:r>
      <w:r w:rsidR="00722BDB">
        <w:rPr>
          <w:rFonts w:ascii="Century Gothic" w:eastAsiaTheme="minorEastAsia" w:hAnsi="Century Gothic"/>
          <w:sz w:val="20"/>
          <w:szCs w:val="20"/>
        </w:rPr>
        <w:t>a level of</w:t>
      </w:r>
      <w:r w:rsidR="00722BDB" w:rsidRPr="00730C0D">
        <w:rPr>
          <w:rFonts w:ascii="Century Gothic" w:eastAsiaTheme="minorEastAsia" w:hAnsi="Century Gothic"/>
          <w:sz w:val="20"/>
          <w:szCs w:val="20"/>
        </w:rPr>
        <w:t xml:space="preserve"> </w:t>
      </w:r>
      <w:r w:rsidRPr="00730C0D">
        <w:rPr>
          <w:rFonts w:ascii="Century Gothic" w:eastAsiaTheme="minorEastAsia" w:hAnsi="Century Gothic"/>
          <w:sz w:val="20"/>
          <w:szCs w:val="20"/>
        </w:rPr>
        <w:t xml:space="preserve">comfort by prospective students </w:t>
      </w:r>
      <w:r w:rsidR="008441D0" w:rsidRPr="00730C0D">
        <w:rPr>
          <w:rFonts w:ascii="Century Gothic" w:eastAsiaTheme="minorEastAsia" w:hAnsi="Century Gothic"/>
          <w:sz w:val="20"/>
          <w:szCs w:val="20"/>
        </w:rPr>
        <w:t xml:space="preserve">with </w:t>
      </w:r>
      <w:r w:rsidRPr="00730C0D">
        <w:rPr>
          <w:rFonts w:ascii="Century Gothic" w:eastAsiaTheme="minorEastAsia" w:hAnsi="Century Gothic"/>
          <w:sz w:val="20"/>
          <w:szCs w:val="20"/>
        </w:rPr>
        <w:t>the quality of Australian universities</w:t>
      </w:r>
      <w:r w:rsidR="00DC77B4" w:rsidRPr="00730C0D">
        <w:rPr>
          <w:rFonts w:ascii="Century Gothic" w:eastAsiaTheme="minorEastAsia" w:hAnsi="Century Gothic"/>
          <w:sz w:val="20"/>
          <w:szCs w:val="20"/>
        </w:rPr>
        <w:t>; and</w:t>
      </w:r>
    </w:p>
    <w:p w14:paraId="2DE798D7" w14:textId="4D491343" w:rsidR="00AC7D05" w:rsidRPr="00730C0D" w:rsidRDefault="00AC7D05" w:rsidP="0024520B">
      <w:pPr>
        <w:numPr>
          <w:ilvl w:val="0"/>
          <w:numId w:val="49"/>
        </w:numPr>
        <w:spacing w:before="0" w:after="0"/>
        <w:contextualSpacing/>
        <w:rPr>
          <w:rFonts w:ascii="Century Gothic" w:eastAsiaTheme="minorEastAsia" w:hAnsi="Century Gothic"/>
          <w:sz w:val="20"/>
          <w:szCs w:val="20"/>
        </w:rPr>
      </w:pPr>
      <w:r w:rsidRPr="00730C0D">
        <w:rPr>
          <w:rFonts w:ascii="Century Gothic" w:eastAsiaTheme="minorEastAsia" w:hAnsi="Century Gothic"/>
          <w:sz w:val="20"/>
          <w:szCs w:val="20"/>
        </w:rPr>
        <w:t>the costs and risks associated with running an overseas campus.</w:t>
      </w:r>
    </w:p>
    <w:p w14:paraId="7A366131" w14:textId="77777777" w:rsidR="00F9411B" w:rsidRPr="00730C0D" w:rsidRDefault="00F9411B" w:rsidP="00F9411B">
      <w:pPr>
        <w:spacing w:before="0" w:after="0"/>
        <w:rPr>
          <w:rFonts w:ascii="Century Gothic" w:eastAsiaTheme="minorEastAsia" w:hAnsi="Century Gothic"/>
          <w:sz w:val="20"/>
          <w:szCs w:val="20"/>
        </w:rPr>
      </w:pPr>
    </w:p>
    <w:p w14:paraId="701342CD" w14:textId="0774C1F7" w:rsidR="00F9411B" w:rsidRPr="00730C0D" w:rsidRDefault="00F9411B" w:rsidP="00F9411B">
      <w:pPr>
        <w:spacing w:before="0" w:after="0"/>
        <w:rPr>
          <w:rFonts w:ascii="Century Gothic" w:hAnsi="Century Gothic"/>
          <w:sz w:val="20"/>
          <w:szCs w:val="20"/>
        </w:rPr>
      </w:pPr>
      <w:r w:rsidRPr="00730C0D">
        <w:rPr>
          <w:rFonts w:ascii="Century Gothic" w:eastAsiaTheme="minorEastAsia" w:hAnsi="Century Gothic"/>
          <w:sz w:val="20"/>
          <w:szCs w:val="20"/>
        </w:rPr>
        <w:t xml:space="preserve">To operate in Australia, an overseas university </w:t>
      </w:r>
      <w:r w:rsidRPr="00730C0D">
        <w:rPr>
          <w:rFonts w:ascii="Century Gothic" w:hAnsi="Century Gothic"/>
          <w:sz w:val="20"/>
          <w:szCs w:val="20"/>
        </w:rPr>
        <w:t>must be recognised as a university by its home country and</w:t>
      </w:r>
      <w:r w:rsidR="00DC77B4" w:rsidRPr="00730C0D">
        <w:rPr>
          <w:rFonts w:ascii="Century Gothic" w:hAnsi="Century Gothic"/>
          <w:sz w:val="20"/>
          <w:szCs w:val="20"/>
        </w:rPr>
        <w:t>, in addition,</w:t>
      </w:r>
      <w:r w:rsidRPr="00730C0D">
        <w:rPr>
          <w:rFonts w:ascii="Century Gothic" w:hAnsi="Century Gothic"/>
          <w:sz w:val="20"/>
          <w:szCs w:val="20"/>
        </w:rPr>
        <w:t xml:space="preserve"> meet criteria equivalent to the ‘Australian University’ category. There was consensus among stakeholders that these requirements are </w:t>
      </w:r>
      <w:r w:rsidR="00DC77B4" w:rsidRPr="00730C0D">
        <w:rPr>
          <w:rFonts w:ascii="Century Gothic" w:hAnsi="Century Gothic"/>
          <w:sz w:val="20"/>
          <w:szCs w:val="20"/>
        </w:rPr>
        <w:t>appropriate</w:t>
      </w:r>
      <w:r w:rsidRPr="00730C0D">
        <w:rPr>
          <w:rFonts w:ascii="Century Gothic" w:hAnsi="Century Gothic"/>
          <w:sz w:val="20"/>
          <w:szCs w:val="20"/>
        </w:rPr>
        <w:t xml:space="preserve">. </w:t>
      </w:r>
    </w:p>
    <w:p w14:paraId="28DF2921" w14:textId="77777777" w:rsidR="00AC7D05" w:rsidRPr="00730C0D" w:rsidRDefault="00AC7D05" w:rsidP="00D31B9A">
      <w:pPr>
        <w:spacing w:before="0" w:after="0"/>
        <w:rPr>
          <w:rFonts w:ascii="Century Gothic" w:eastAsiaTheme="minorEastAsia" w:hAnsi="Century Gothic"/>
          <w:sz w:val="20"/>
          <w:szCs w:val="20"/>
        </w:rPr>
      </w:pPr>
    </w:p>
    <w:p w14:paraId="7FD219C5" w14:textId="2209D2CB"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Some stakeholders suggest that the overseas university categories could be merged with the ‘Australian University’ category. However, the overseas university categories remain useful in helping consumers to differentiate those providers </w:t>
      </w:r>
      <w:r w:rsidR="008441D0" w:rsidRPr="00730C0D">
        <w:rPr>
          <w:rFonts w:ascii="Century Gothic" w:eastAsiaTheme="minorEastAsia" w:hAnsi="Century Gothic"/>
          <w:sz w:val="20"/>
          <w:szCs w:val="20"/>
        </w:rPr>
        <w:t>that have their primary operations overseas</w:t>
      </w:r>
      <w:r w:rsidRPr="00730C0D">
        <w:rPr>
          <w:rFonts w:ascii="Century Gothic" w:eastAsiaTheme="minorEastAsia" w:hAnsi="Century Gothic"/>
          <w:sz w:val="20"/>
          <w:szCs w:val="20"/>
        </w:rPr>
        <w:t>. Furthermore, that the PCS have discrete categories for overseas universities projects an important signal to the world</w:t>
      </w:r>
      <w:r w:rsidR="00D8100C" w:rsidRPr="00730C0D">
        <w:rPr>
          <w:rFonts w:ascii="Century Gothic" w:eastAsiaTheme="minorEastAsia" w:hAnsi="Century Gothic"/>
          <w:sz w:val="20"/>
          <w:szCs w:val="20"/>
        </w:rPr>
        <w:t>, namely,</w:t>
      </w:r>
      <w:r w:rsidRPr="00730C0D">
        <w:rPr>
          <w:rFonts w:ascii="Century Gothic" w:eastAsiaTheme="minorEastAsia" w:hAnsi="Century Gothic"/>
          <w:sz w:val="20"/>
          <w:szCs w:val="20"/>
        </w:rPr>
        <w:t xml:space="preserve"> that Australia is willing and confident to open its doors and work alongside (and in competition with) the best in the world. </w:t>
      </w:r>
    </w:p>
    <w:p w14:paraId="70861BDA" w14:textId="77777777" w:rsidR="004E3FAD" w:rsidRPr="00730C0D" w:rsidRDefault="004E3FAD" w:rsidP="00D31B9A">
      <w:pPr>
        <w:spacing w:before="0" w:after="0"/>
        <w:rPr>
          <w:rFonts w:ascii="Century Gothic" w:eastAsiaTheme="minorEastAsia" w:hAnsi="Century Gothic"/>
          <w:sz w:val="20"/>
          <w:szCs w:val="20"/>
        </w:rPr>
      </w:pPr>
    </w:p>
    <w:p w14:paraId="3A338484" w14:textId="19765B68" w:rsidR="00AC7D05" w:rsidRPr="00730C0D" w:rsidRDefault="00AC7D05" w:rsidP="00D31B9A">
      <w:pPr>
        <w:spacing w:before="0" w:after="0"/>
        <w:rPr>
          <w:rFonts w:ascii="Century Gothic" w:eastAsiaTheme="minorEastAsia" w:hAnsi="Century Gothic"/>
          <w:sz w:val="20"/>
          <w:szCs w:val="20"/>
        </w:rPr>
      </w:pPr>
      <w:r w:rsidRPr="00730C0D">
        <w:rPr>
          <w:rFonts w:ascii="Century Gothic" w:eastAsiaTheme="minorEastAsia" w:hAnsi="Century Gothic"/>
          <w:sz w:val="20"/>
          <w:szCs w:val="20"/>
        </w:rPr>
        <w:t xml:space="preserve">However, following </w:t>
      </w:r>
      <w:r w:rsidR="00D8100C" w:rsidRPr="00730C0D">
        <w:rPr>
          <w:rFonts w:ascii="Century Gothic" w:eastAsiaTheme="minorEastAsia" w:hAnsi="Century Gothic"/>
          <w:sz w:val="20"/>
          <w:szCs w:val="20"/>
        </w:rPr>
        <w:t>a similar</w:t>
      </w:r>
      <w:r w:rsidRPr="00730C0D">
        <w:rPr>
          <w:rFonts w:ascii="Century Gothic" w:eastAsiaTheme="minorEastAsia" w:hAnsi="Century Gothic"/>
          <w:sz w:val="20"/>
          <w:szCs w:val="20"/>
        </w:rPr>
        <w:t xml:space="preserve"> streamlining and simplification approach as the ‘Australian University’ category, it is recommended that there be a single overseas university category that also includes </w:t>
      </w:r>
      <w:r w:rsidR="00722BDB">
        <w:rPr>
          <w:rFonts w:ascii="Century Gothic" w:eastAsiaTheme="minorEastAsia" w:hAnsi="Century Gothic"/>
          <w:sz w:val="20"/>
          <w:szCs w:val="20"/>
        </w:rPr>
        <w:t>provision</w:t>
      </w:r>
      <w:r w:rsidR="00722BDB" w:rsidRPr="00730C0D">
        <w:rPr>
          <w:rFonts w:ascii="Century Gothic" w:eastAsiaTheme="minorEastAsia" w:hAnsi="Century Gothic"/>
          <w:sz w:val="20"/>
          <w:szCs w:val="20"/>
        </w:rPr>
        <w:t xml:space="preserve"> </w:t>
      </w:r>
      <w:r w:rsidRPr="00730C0D">
        <w:rPr>
          <w:rFonts w:ascii="Century Gothic" w:eastAsiaTheme="minorEastAsia" w:hAnsi="Century Gothic"/>
          <w:sz w:val="20"/>
          <w:szCs w:val="20"/>
        </w:rPr>
        <w:t xml:space="preserve">for those that wish to </w:t>
      </w:r>
      <w:r w:rsidR="002C2E0D" w:rsidRPr="00730C0D">
        <w:rPr>
          <w:rFonts w:ascii="Century Gothic" w:eastAsiaTheme="minorEastAsia" w:hAnsi="Century Gothic"/>
          <w:sz w:val="20"/>
          <w:szCs w:val="20"/>
        </w:rPr>
        <w:t xml:space="preserve">have a </w:t>
      </w:r>
      <w:r w:rsidRPr="00730C0D">
        <w:rPr>
          <w:rFonts w:ascii="Century Gothic" w:eastAsiaTheme="minorEastAsia" w:hAnsi="Century Gothic"/>
          <w:sz w:val="20"/>
          <w:szCs w:val="20"/>
        </w:rPr>
        <w:t>specialise</w:t>
      </w:r>
      <w:r w:rsidR="002C2E0D" w:rsidRPr="00730C0D">
        <w:rPr>
          <w:rFonts w:ascii="Century Gothic" w:eastAsiaTheme="minorEastAsia" w:hAnsi="Century Gothic"/>
          <w:sz w:val="20"/>
          <w:szCs w:val="20"/>
        </w:rPr>
        <w:t>d focus</w:t>
      </w:r>
      <w:r w:rsidRPr="00730C0D">
        <w:rPr>
          <w:rFonts w:ascii="Century Gothic" w:eastAsiaTheme="minorEastAsia" w:hAnsi="Century Gothic"/>
          <w:sz w:val="20"/>
          <w:szCs w:val="20"/>
        </w:rPr>
        <w:t xml:space="preserve">. To </w:t>
      </w:r>
      <w:r w:rsidR="004E1EA1" w:rsidRPr="00730C0D">
        <w:rPr>
          <w:rFonts w:ascii="Century Gothic" w:eastAsiaTheme="minorEastAsia" w:hAnsi="Century Gothic"/>
          <w:sz w:val="20"/>
          <w:szCs w:val="20"/>
        </w:rPr>
        <w:t>provide appropriate</w:t>
      </w:r>
      <w:r w:rsidRPr="00730C0D">
        <w:rPr>
          <w:rFonts w:ascii="Century Gothic" w:eastAsiaTheme="minorEastAsia" w:hAnsi="Century Gothic"/>
          <w:sz w:val="20"/>
          <w:szCs w:val="20"/>
        </w:rPr>
        <w:t xml:space="preserve"> transparency, it is proposed that this category be </w:t>
      </w:r>
      <w:r w:rsidR="00D8100C" w:rsidRPr="00730C0D">
        <w:rPr>
          <w:rFonts w:ascii="Century Gothic" w:eastAsiaTheme="minorEastAsia" w:hAnsi="Century Gothic"/>
          <w:sz w:val="20"/>
          <w:szCs w:val="20"/>
        </w:rPr>
        <w:t xml:space="preserve">designated </w:t>
      </w:r>
      <w:r w:rsidR="007F07EE">
        <w:rPr>
          <w:rFonts w:ascii="Century Gothic" w:eastAsiaTheme="minorEastAsia" w:hAnsi="Century Gothic"/>
          <w:sz w:val="20"/>
          <w:szCs w:val="20"/>
        </w:rPr>
        <w:br/>
      </w:r>
      <w:r w:rsidRPr="00730C0D">
        <w:rPr>
          <w:rFonts w:ascii="Century Gothic" w:eastAsiaTheme="minorEastAsia" w:hAnsi="Century Gothic"/>
          <w:sz w:val="20"/>
          <w:szCs w:val="20"/>
        </w:rPr>
        <w:t xml:space="preserve">‘Overseas University in Australia’. </w:t>
      </w:r>
    </w:p>
    <w:p w14:paraId="656F8FCC" w14:textId="77777777" w:rsidR="00AC7D05" w:rsidRPr="00730C0D" w:rsidRDefault="00AC7D05" w:rsidP="00D31B9A">
      <w:pPr>
        <w:spacing w:before="0" w:after="0"/>
        <w:rPr>
          <w:rFonts w:ascii="Century Gothic" w:eastAsiaTheme="minorEastAsia" w:hAnsi="Century Gothic"/>
          <w:sz w:val="20"/>
          <w:szCs w:val="20"/>
        </w:rPr>
      </w:pPr>
    </w:p>
    <w:p w14:paraId="03EC68C5" w14:textId="1D4B3FFA" w:rsidR="00AC7D05" w:rsidRDefault="00AC7D05" w:rsidP="007F07EE">
      <w:pPr>
        <w:spacing w:before="0" w:after="0"/>
        <w:rPr>
          <w:rFonts w:ascii="Century Gothic" w:hAnsi="Century Gothic"/>
          <w:sz w:val="20"/>
          <w:szCs w:val="20"/>
        </w:rPr>
      </w:pPr>
      <w:r w:rsidRPr="00730C0D">
        <w:rPr>
          <w:rFonts w:ascii="Century Gothic" w:hAnsi="Century Gothic"/>
          <w:sz w:val="20"/>
          <w:szCs w:val="20"/>
        </w:rPr>
        <w:t>Considering the sum of the issues with the current complex set of university categories, there is a strong case to simplify the PCS to ensure all categories are transparent, usable and</w:t>
      </w:r>
      <w:r w:rsidR="00D8100C" w:rsidRPr="00730C0D">
        <w:rPr>
          <w:rFonts w:ascii="Century Gothic" w:hAnsi="Century Gothic"/>
          <w:sz w:val="20"/>
          <w:szCs w:val="20"/>
        </w:rPr>
        <w:t xml:space="preserve"> </w:t>
      </w:r>
      <w:r w:rsidRPr="00730C0D">
        <w:rPr>
          <w:rFonts w:ascii="Century Gothic" w:hAnsi="Century Gothic"/>
          <w:sz w:val="20"/>
          <w:szCs w:val="20"/>
        </w:rPr>
        <w:t>fit for purpose. The Review proposes the current five university categories be replaced with two categories for universities: ‘Australian University’ and ‘Overseas University in Australia’.</w:t>
      </w:r>
    </w:p>
    <w:p w14:paraId="6AE22E0A" w14:textId="77777777" w:rsidR="007F07EE" w:rsidRPr="00730C0D" w:rsidRDefault="007F07EE" w:rsidP="007F07EE">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47"/>
      </w:tblGrid>
      <w:tr w:rsidR="00AC7D05" w:rsidRPr="00730C0D" w14:paraId="70D9B057" w14:textId="77777777" w:rsidTr="00D31B9A">
        <w:tc>
          <w:tcPr>
            <w:tcW w:w="9016" w:type="dxa"/>
            <w:gridSpan w:val="2"/>
            <w:tcBorders>
              <w:bottom w:val="single" w:sz="12" w:space="0" w:color="00B050"/>
            </w:tcBorders>
            <w:shd w:val="clear" w:color="auto" w:fill="2763AC"/>
          </w:tcPr>
          <w:p w14:paraId="1F7BF103" w14:textId="77777777"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Recommendation 1</w:t>
            </w:r>
          </w:p>
        </w:tc>
      </w:tr>
      <w:tr w:rsidR="00AC7D05" w:rsidRPr="00730C0D" w14:paraId="72AFCD7F" w14:textId="77777777" w:rsidTr="00D31B9A">
        <w:tc>
          <w:tcPr>
            <w:tcW w:w="9016" w:type="dxa"/>
            <w:gridSpan w:val="2"/>
            <w:tcBorders>
              <w:top w:val="single" w:sz="12" w:space="0" w:color="00B050"/>
            </w:tcBorders>
            <w:shd w:val="clear" w:color="auto" w:fill="D5DCE4" w:themeFill="text2" w:themeFillTint="33"/>
          </w:tcPr>
          <w:p w14:paraId="6A4EF8E8" w14:textId="0BD556E0" w:rsidR="00AC7D05" w:rsidRPr="00730C0D" w:rsidRDefault="00AC7D05" w:rsidP="00D31B9A">
            <w:pPr>
              <w:spacing w:before="160" w:after="160" w:line="259" w:lineRule="auto"/>
              <w:rPr>
                <w:rFonts w:ascii="Century Gothic" w:hAnsi="Century Gothic"/>
                <w:b/>
                <w:sz w:val="20"/>
                <w:szCs w:val="20"/>
              </w:rPr>
            </w:pPr>
            <w:r w:rsidRPr="00730C0D">
              <w:rPr>
                <w:rFonts w:ascii="Century Gothic" w:hAnsi="Century Gothic"/>
                <w:b/>
                <w:sz w:val="20"/>
                <w:szCs w:val="20"/>
              </w:rPr>
              <w:t>There should be a simplification of the current provider categories. Our universities are currently over-categorised, while all other higher education providers are grouped in a single</w:t>
            </w:r>
            <w:r w:rsidR="00EE1848" w:rsidRPr="00730C0D">
              <w:rPr>
                <w:rFonts w:ascii="Century Gothic" w:hAnsi="Century Gothic"/>
                <w:b/>
                <w:sz w:val="20"/>
                <w:szCs w:val="20"/>
              </w:rPr>
              <w:t xml:space="preserve"> undifferentiated</w:t>
            </w:r>
            <w:r w:rsidRPr="00730C0D">
              <w:rPr>
                <w:rFonts w:ascii="Century Gothic" w:hAnsi="Century Gothic"/>
                <w:b/>
                <w:sz w:val="20"/>
                <w:szCs w:val="20"/>
              </w:rPr>
              <w:t xml:space="preserve"> category. </w:t>
            </w:r>
            <w:r w:rsidR="00CF3DD2" w:rsidRPr="00730C0D">
              <w:rPr>
                <w:rFonts w:ascii="Century Gothic" w:hAnsi="Century Gothic"/>
                <w:b/>
                <w:sz w:val="20"/>
                <w:szCs w:val="20"/>
              </w:rPr>
              <w:t>The current five university categories should be reduced to two categories and the current single category for other higher education providers (that are not universities) should be increased to two categories.</w:t>
            </w:r>
            <w:r w:rsidR="00CF3DD2" w:rsidRPr="00730C0D">
              <w:rPr>
                <w:rFonts w:ascii="Century Gothic" w:hAnsi="Century Gothic"/>
                <w:sz w:val="20"/>
                <w:szCs w:val="20"/>
              </w:rPr>
              <w:t xml:space="preserve">   </w:t>
            </w:r>
            <w:r w:rsidRPr="00730C0D">
              <w:rPr>
                <w:rFonts w:ascii="Century Gothic" w:hAnsi="Century Gothic"/>
                <w:b/>
                <w:sz w:val="20"/>
                <w:szCs w:val="20"/>
              </w:rPr>
              <w:t xml:space="preserve"> </w:t>
            </w:r>
          </w:p>
        </w:tc>
      </w:tr>
      <w:tr w:rsidR="00AC7D05" w:rsidRPr="00730C0D" w14:paraId="6E788135" w14:textId="77777777" w:rsidTr="004E1EA1">
        <w:tc>
          <w:tcPr>
            <w:tcW w:w="3969" w:type="dxa"/>
            <w:tcBorders>
              <w:bottom w:val="single" w:sz="4" w:space="0" w:color="auto"/>
            </w:tcBorders>
            <w:shd w:val="clear" w:color="auto" w:fill="D5DCE4" w:themeFill="text2" w:themeFillTint="33"/>
            <w:vAlign w:val="center"/>
          </w:tcPr>
          <w:p w14:paraId="5D6B6C95" w14:textId="1276584A" w:rsidR="00AC7D05" w:rsidRPr="00730C0D" w:rsidRDefault="004E1EA1" w:rsidP="004E1EA1">
            <w:pPr>
              <w:spacing w:before="0" w:after="0" w:line="259" w:lineRule="auto"/>
              <w:rPr>
                <w:rFonts w:ascii="Century Gothic" w:hAnsi="Century Gothic"/>
                <w:b/>
                <w:sz w:val="20"/>
                <w:szCs w:val="20"/>
              </w:rPr>
            </w:pPr>
            <w:r w:rsidRPr="00730C0D">
              <w:rPr>
                <w:rFonts w:ascii="Century Gothic" w:hAnsi="Century Gothic"/>
                <w:b/>
                <w:sz w:val="20"/>
                <w:szCs w:val="20"/>
              </w:rPr>
              <w:t>Current Categories</w:t>
            </w:r>
          </w:p>
        </w:tc>
        <w:tc>
          <w:tcPr>
            <w:tcW w:w="5047" w:type="dxa"/>
            <w:tcBorders>
              <w:bottom w:val="single" w:sz="4" w:space="0" w:color="auto"/>
            </w:tcBorders>
            <w:shd w:val="clear" w:color="auto" w:fill="D5DCE4" w:themeFill="text2" w:themeFillTint="33"/>
            <w:vAlign w:val="center"/>
          </w:tcPr>
          <w:p w14:paraId="7D317C3F" w14:textId="0BBCD77B" w:rsidR="00AC7D05" w:rsidRPr="00730C0D" w:rsidRDefault="00A711A4" w:rsidP="004E1EA1">
            <w:pPr>
              <w:spacing w:before="0" w:after="0" w:line="259" w:lineRule="auto"/>
              <w:rPr>
                <w:rFonts w:ascii="Century Gothic" w:hAnsi="Century Gothic"/>
                <w:b/>
                <w:sz w:val="20"/>
                <w:szCs w:val="20"/>
              </w:rPr>
            </w:pPr>
            <w:r w:rsidRPr="00730C0D">
              <w:rPr>
                <w:rFonts w:ascii="Century Gothic" w:hAnsi="Century Gothic"/>
                <w:b/>
                <w:sz w:val="20"/>
                <w:szCs w:val="20"/>
              </w:rPr>
              <w:t>Proposed Revised Categories</w:t>
            </w:r>
          </w:p>
        </w:tc>
      </w:tr>
      <w:tr w:rsidR="007F07EE" w:rsidRPr="00730C0D" w14:paraId="602B93DA" w14:textId="77777777" w:rsidTr="00FE78DE">
        <w:trPr>
          <w:trHeight w:val="1658"/>
        </w:trPr>
        <w:tc>
          <w:tcPr>
            <w:tcW w:w="3969" w:type="dxa"/>
            <w:tcBorders>
              <w:top w:val="single" w:sz="4" w:space="0" w:color="auto"/>
            </w:tcBorders>
            <w:shd w:val="clear" w:color="auto" w:fill="D5DCE4" w:themeFill="text2" w:themeFillTint="33"/>
          </w:tcPr>
          <w:p w14:paraId="0B136A2C" w14:textId="77777777" w:rsidR="007F07EE" w:rsidRPr="00730C0D" w:rsidRDefault="007F07EE" w:rsidP="007F07EE">
            <w:pPr>
              <w:spacing w:before="40" w:after="0" w:line="259" w:lineRule="auto"/>
              <w:rPr>
                <w:rFonts w:ascii="Century Gothic" w:hAnsi="Century Gothic"/>
                <w:sz w:val="20"/>
                <w:szCs w:val="20"/>
              </w:rPr>
            </w:pPr>
            <w:r w:rsidRPr="00730C0D">
              <w:rPr>
                <w:rFonts w:ascii="Century Gothic" w:hAnsi="Century Gothic"/>
                <w:sz w:val="20"/>
                <w:szCs w:val="20"/>
              </w:rPr>
              <w:t>Higher Education Provider</w:t>
            </w:r>
          </w:p>
          <w:p w14:paraId="02DCCC44" w14:textId="77777777" w:rsidR="007F07EE" w:rsidRPr="00730C0D" w:rsidDel="004E1EA1" w:rsidRDefault="007F07EE" w:rsidP="001A13EC">
            <w:pPr>
              <w:spacing w:before="0" w:after="0" w:line="259" w:lineRule="auto"/>
              <w:rPr>
                <w:rFonts w:ascii="Century Gothic" w:hAnsi="Century Gothic"/>
                <w:sz w:val="20"/>
                <w:szCs w:val="20"/>
              </w:rPr>
            </w:pPr>
            <w:r w:rsidRPr="00730C0D">
              <w:rPr>
                <w:rFonts w:ascii="Century Gothic" w:hAnsi="Century Gothic"/>
                <w:sz w:val="20"/>
                <w:szCs w:val="20"/>
              </w:rPr>
              <w:t>Australian University</w:t>
            </w:r>
          </w:p>
          <w:p w14:paraId="6B94FB9B" w14:textId="77777777" w:rsidR="007F07EE" w:rsidRPr="00730C0D" w:rsidRDefault="007F07EE" w:rsidP="001A13EC">
            <w:pPr>
              <w:spacing w:before="0" w:after="0" w:line="259" w:lineRule="auto"/>
              <w:rPr>
                <w:rFonts w:ascii="Century Gothic" w:hAnsi="Century Gothic"/>
                <w:b/>
                <w:sz w:val="20"/>
                <w:szCs w:val="20"/>
              </w:rPr>
            </w:pPr>
            <w:r w:rsidRPr="00730C0D">
              <w:rPr>
                <w:rFonts w:ascii="Century Gothic" w:hAnsi="Century Gothic"/>
                <w:sz w:val="20"/>
                <w:szCs w:val="20"/>
              </w:rPr>
              <w:t>Australian University College</w:t>
            </w:r>
          </w:p>
          <w:p w14:paraId="4D855E46" w14:textId="77777777" w:rsidR="007F07EE" w:rsidRPr="00730C0D" w:rsidRDefault="007F07EE" w:rsidP="001A13EC">
            <w:pPr>
              <w:spacing w:before="0" w:after="0" w:line="259" w:lineRule="auto"/>
              <w:rPr>
                <w:rFonts w:ascii="Century Gothic" w:hAnsi="Century Gothic"/>
                <w:b/>
                <w:sz w:val="20"/>
                <w:szCs w:val="20"/>
              </w:rPr>
            </w:pPr>
            <w:r w:rsidRPr="00730C0D">
              <w:rPr>
                <w:rFonts w:ascii="Century Gothic" w:hAnsi="Century Gothic"/>
                <w:sz w:val="20"/>
                <w:szCs w:val="20"/>
              </w:rPr>
              <w:t>Australian University of Specialisation</w:t>
            </w:r>
          </w:p>
          <w:p w14:paraId="107E82AB" w14:textId="77777777" w:rsidR="007F07EE" w:rsidRPr="00730C0D" w:rsidDel="004E1EA1" w:rsidRDefault="007F07EE" w:rsidP="001A13EC">
            <w:pPr>
              <w:spacing w:before="0" w:after="0" w:line="259" w:lineRule="auto"/>
              <w:rPr>
                <w:rFonts w:ascii="Century Gothic" w:hAnsi="Century Gothic"/>
                <w:sz w:val="20"/>
                <w:szCs w:val="20"/>
              </w:rPr>
            </w:pPr>
            <w:r w:rsidRPr="00730C0D">
              <w:rPr>
                <w:rFonts w:ascii="Century Gothic" w:hAnsi="Century Gothic"/>
                <w:sz w:val="20"/>
                <w:szCs w:val="20"/>
              </w:rPr>
              <w:t xml:space="preserve">Overseas University </w:t>
            </w:r>
          </w:p>
          <w:p w14:paraId="2001C611" w14:textId="6067886D" w:rsidR="007F07EE" w:rsidRPr="00730C0D" w:rsidRDefault="007F07EE" w:rsidP="007F07EE">
            <w:pPr>
              <w:spacing w:before="0" w:after="60" w:line="259" w:lineRule="auto"/>
              <w:rPr>
                <w:rFonts w:ascii="Century Gothic" w:hAnsi="Century Gothic"/>
                <w:sz w:val="20"/>
                <w:szCs w:val="20"/>
              </w:rPr>
            </w:pPr>
            <w:r w:rsidRPr="00730C0D">
              <w:rPr>
                <w:rFonts w:ascii="Century Gothic" w:hAnsi="Century Gothic"/>
                <w:sz w:val="20"/>
                <w:szCs w:val="20"/>
              </w:rPr>
              <w:t>Overseas University of Specialisation</w:t>
            </w:r>
          </w:p>
        </w:tc>
        <w:tc>
          <w:tcPr>
            <w:tcW w:w="5047" w:type="dxa"/>
            <w:tcBorders>
              <w:top w:val="single" w:sz="4" w:space="0" w:color="auto"/>
            </w:tcBorders>
            <w:shd w:val="clear" w:color="auto" w:fill="D5DCE4" w:themeFill="text2" w:themeFillTint="33"/>
            <w:vAlign w:val="center"/>
          </w:tcPr>
          <w:p w14:paraId="205D51E8" w14:textId="77777777" w:rsidR="00C776B4" w:rsidRPr="00730C0D" w:rsidRDefault="00C776B4" w:rsidP="00C776B4">
            <w:pPr>
              <w:spacing w:before="0" w:after="0"/>
              <w:rPr>
                <w:rFonts w:ascii="Century Gothic" w:hAnsi="Century Gothic"/>
                <w:sz w:val="20"/>
                <w:szCs w:val="20"/>
              </w:rPr>
            </w:pPr>
            <w:r>
              <w:rPr>
                <w:rFonts w:ascii="Century Gothic" w:hAnsi="Century Gothic"/>
                <w:sz w:val="20"/>
                <w:szCs w:val="20"/>
              </w:rPr>
              <w:t>Institute of Higher Education</w:t>
            </w:r>
          </w:p>
          <w:p w14:paraId="796CA18D" w14:textId="626B689E" w:rsidR="007F07EE" w:rsidRPr="00730C0D" w:rsidRDefault="007F07EE" w:rsidP="007F07EE">
            <w:pPr>
              <w:spacing w:before="0" w:after="0" w:line="259" w:lineRule="auto"/>
              <w:rPr>
                <w:rFonts w:ascii="Century Gothic" w:hAnsi="Century Gothic"/>
                <w:sz w:val="20"/>
                <w:szCs w:val="20"/>
              </w:rPr>
            </w:pPr>
            <w:r w:rsidRPr="00730C0D">
              <w:rPr>
                <w:rFonts w:ascii="Century Gothic" w:hAnsi="Century Gothic"/>
                <w:sz w:val="20"/>
                <w:szCs w:val="20"/>
              </w:rPr>
              <w:t xml:space="preserve">National Institute of Higher Education </w:t>
            </w:r>
          </w:p>
          <w:p w14:paraId="577E9BCD" w14:textId="77777777" w:rsidR="007F07EE" w:rsidRPr="00730C0D" w:rsidRDefault="007F07EE" w:rsidP="007F07EE">
            <w:pPr>
              <w:spacing w:before="0" w:after="0" w:line="259" w:lineRule="auto"/>
              <w:rPr>
                <w:rFonts w:ascii="Century Gothic" w:hAnsi="Century Gothic"/>
                <w:b/>
                <w:sz w:val="20"/>
                <w:szCs w:val="20"/>
              </w:rPr>
            </w:pPr>
            <w:r w:rsidRPr="00730C0D">
              <w:rPr>
                <w:rFonts w:ascii="Century Gothic" w:hAnsi="Century Gothic"/>
                <w:sz w:val="20"/>
                <w:szCs w:val="20"/>
              </w:rPr>
              <w:t xml:space="preserve">Australian University  </w:t>
            </w:r>
          </w:p>
          <w:p w14:paraId="7F183EBB" w14:textId="2F2BF1CC" w:rsidR="007F07EE" w:rsidRPr="00730C0D" w:rsidRDefault="007F07EE" w:rsidP="007F07EE">
            <w:pPr>
              <w:spacing w:before="0" w:after="0" w:line="259" w:lineRule="auto"/>
              <w:rPr>
                <w:rFonts w:ascii="Century Gothic" w:hAnsi="Century Gothic"/>
                <w:sz w:val="20"/>
                <w:szCs w:val="20"/>
              </w:rPr>
            </w:pPr>
            <w:r w:rsidRPr="00730C0D">
              <w:rPr>
                <w:rFonts w:ascii="Century Gothic" w:hAnsi="Century Gothic"/>
                <w:sz w:val="20"/>
                <w:szCs w:val="20"/>
              </w:rPr>
              <w:t xml:space="preserve">Overseas University in Australia </w:t>
            </w:r>
          </w:p>
        </w:tc>
      </w:tr>
    </w:tbl>
    <w:p w14:paraId="6BE9147C" w14:textId="77777777" w:rsidR="001F554F" w:rsidRDefault="001F554F" w:rsidP="00A759EA">
      <w:pPr>
        <w:pStyle w:val="Heading2"/>
        <w:spacing w:after="140"/>
        <w:ind w:left="720" w:hanging="720"/>
      </w:pPr>
      <w:bookmarkStart w:id="50" w:name="_2.2__The"/>
      <w:bookmarkEnd w:id="50"/>
    </w:p>
    <w:p w14:paraId="3DDE52D6" w14:textId="77777777" w:rsidR="001F554F" w:rsidRDefault="001F554F">
      <w:pPr>
        <w:spacing w:before="0" w:after="160"/>
        <w:rPr>
          <w:rFonts w:ascii="Century Gothic" w:eastAsiaTheme="majorEastAsia" w:hAnsi="Century Gothic" w:cstheme="majorBidi"/>
          <w:b/>
          <w:color w:val="2763AC"/>
          <w:sz w:val="28"/>
          <w:szCs w:val="28"/>
        </w:rPr>
      </w:pPr>
      <w:r>
        <w:br w:type="page"/>
      </w:r>
    </w:p>
    <w:p w14:paraId="783DBAE9" w14:textId="19286603" w:rsidR="00AC7D05" w:rsidRPr="00730C0D" w:rsidRDefault="00AE1672" w:rsidP="00A759EA">
      <w:pPr>
        <w:pStyle w:val="Heading2"/>
        <w:spacing w:after="140"/>
        <w:ind w:left="720" w:hanging="720"/>
      </w:pPr>
      <w:bookmarkStart w:id="51" w:name="_Toc18592328"/>
      <w:r w:rsidRPr="00730C0D">
        <w:t xml:space="preserve">2.2 </w:t>
      </w:r>
      <w:r w:rsidRPr="00730C0D">
        <w:tab/>
      </w:r>
      <w:r w:rsidR="00AC7D05" w:rsidRPr="00730C0D">
        <w:t>The Undiffe</w:t>
      </w:r>
      <w:r w:rsidR="00A759EA">
        <w:t xml:space="preserve">rentiated Nature of the Current </w:t>
      </w:r>
      <w:r w:rsidR="00A759EA">
        <w:br/>
        <w:t xml:space="preserve">‘Higher Education </w:t>
      </w:r>
      <w:r w:rsidR="00AC7D05" w:rsidRPr="00730C0D">
        <w:t>Provider’ Category</w:t>
      </w:r>
      <w:bookmarkEnd w:id="51"/>
      <w:r w:rsidR="00AC7D05" w:rsidRPr="00730C0D">
        <w:t xml:space="preserve"> </w:t>
      </w:r>
    </w:p>
    <w:p w14:paraId="72E8E5BF" w14:textId="17DA506B" w:rsidR="00136141" w:rsidRPr="009E4019" w:rsidRDefault="00AC7D05" w:rsidP="00D31B9A">
      <w:pPr>
        <w:spacing w:before="0" w:after="0"/>
        <w:rPr>
          <w:rFonts w:ascii="Century Gothic" w:hAnsi="Century Gothic"/>
          <w:sz w:val="20"/>
          <w:szCs w:val="20"/>
        </w:rPr>
      </w:pPr>
      <w:r w:rsidRPr="009E4019">
        <w:rPr>
          <w:rFonts w:ascii="Century Gothic" w:hAnsi="Century Gothic"/>
          <w:sz w:val="20"/>
          <w:szCs w:val="20"/>
        </w:rPr>
        <w:t xml:space="preserve">In the current PCS, 75 per cent of Australia’s higher education providers are grouped into a single category, while the remaining providers – universities – </w:t>
      </w:r>
      <w:r w:rsidR="00203E58">
        <w:rPr>
          <w:rFonts w:ascii="Century Gothic" w:hAnsi="Century Gothic"/>
          <w:sz w:val="20"/>
          <w:szCs w:val="20"/>
        </w:rPr>
        <w:t>may occupy</w:t>
      </w:r>
      <w:r w:rsidR="00722BDB" w:rsidRPr="009E4019">
        <w:rPr>
          <w:rFonts w:ascii="Century Gothic" w:hAnsi="Century Gothic"/>
          <w:sz w:val="20"/>
          <w:szCs w:val="20"/>
        </w:rPr>
        <w:t xml:space="preserve"> </w:t>
      </w:r>
      <w:r w:rsidRPr="009E4019">
        <w:rPr>
          <w:rFonts w:ascii="Century Gothic" w:hAnsi="Century Gothic"/>
          <w:sz w:val="20"/>
          <w:szCs w:val="20"/>
        </w:rPr>
        <w:t xml:space="preserve">five different categories. </w:t>
      </w:r>
      <w:r w:rsidR="00136141" w:rsidRPr="009E4019">
        <w:rPr>
          <w:rFonts w:ascii="Century Gothic" w:hAnsi="Century Gothic"/>
          <w:sz w:val="20"/>
          <w:szCs w:val="20"/>
        </w:rPr>
        <w:t>With 13</w:t>
      </w:r>
      <w:r w:rsidR="008A6C47" w:rsidRPr="009E4019">
        <w:rPr>
          <w:rFonts w:ascii="Century Gothic" w:hAnsi="Century Gothic"/>
          <w:sz w:val="20"/>
          <w:szCs w:val="20"/>
        </w:rPr>
        <w:t>1</w:t>
      </w:r>
      <w:r w:rsidR="00136141" w:rsidRPr="009E4019">
        <w:rPr>
          <w:rFonts w:ascii="Century Gothic" w:hAnsi="Century Gothic"/>
          <w:sz w:val="20"/>
          <w:szCs w:val="20"/>
        </w:rPr>
        <w:t xml:space="preserve"> registered providers, this one </w:t>
      </w:r>
      <w:r w:rsidR="007F07EE" w:rsidRPr="009E4019">
        <w:rPr>
          <w:rFonts w:ascii="Century Gothic" w:hAnsi="Century Gothic"/>
          <w:sz w:val="20"/>
          <w:szCs w:val="20"/>
        </w:rPr>
        <w:t xml:space="preserve">‘Higher Education Provider’ </w:t>
      </w:r>
      <w:r w:rsidR="00136141" w:rsidRPr="009E4019">
        <w:rPr>
          <w:rFonts w:ascii="Century Gothic" w:hAnsi="Century Gothic"/>
          <w:sz w:val="20"/>
          <w:szCs w:val="20"/>
        </w:rPr>
        <w:t>category represents the much larger share of providers, despite the vast majority of higher education students attending universities.</w:t>
      </w:r>
      <w:r w:rsidR="00136141" w:rsidRPr="009E4019">
        <w:rPr>
          <w:rFonts w:ascii="Century Gothic" w:hAnsi="Century Gothic"/>
          <w:sz w:val="20"/>
          <w:szCs w:val="20"/>
          <w:vertAlign w:val="superscript"/>
        </w:rPr>
        <w:footnoteReference w:id="43"/>
      </w:r>
      <w:r w:rsidR="007F07EE" w:rsidRPr="009E4019">
        <w:rPr>
          <w:rFonts w:ascii="Century Gothic" w:hAnsi="Century Gothic"/>
          <w:sz w:val="20"/>
          <w:szCs w:val="20"/>
        </w:rPr>
        <w:t xml:space="preserve"> </w:t>
      </w:r>
      <w:r w:rsidR="00136141" w:rsidRPr="009E4019">
        <w:rPr>
          <w:rFonts w:ascii="Century Gothic" w:hAnsi="Century Gothic"/>
          <w:sz w:val="20"/>
          <w:szCs w:val="20"/>
        </w:rPr>
        <w:t xml:space="preserve">The </w:t>
      </w:r>
      <w:r w:rsidR="00543D43" w:rsidRPr="009E4019">
        <w:rPr>
          <w:rFonts w:ascii="Century Gothic" w:hAnsi="Century Gothic"/>
          <w:sz w:val="20"/>
          <w:szCs w:val="20"/>
        </w:rPr>
        <w:t xml:space="preserve">‘Higher Education Provider’ </w:t>
      </w:r>
      <w:r w:rsidR="00136141" w:rsidRPr="009E4019">
        <w:rPr>
          <w:rFonts w:ascii="Century Gothic" w:hAnsi="Century Gothic"/>
          <w:sz w:val="20"/>
          <w:szCs w:val="20"/>
        </w:rPr>
        <w:t xml:space="preserve">category encompasses a large range of institutions which vary in breadth, size, and quality (see </w:t>
      </w:r>
      <w:hyperlink w:anchor="_1.1.4_Shape_of" w:history="1">
        <w:r w:rsidR="00136141" w:rsidRPr="009E4019">
          <w:rPr>
            <w:rStyle w:val="Hyperlink"/>
            <w:rFonts w:ascii="Century Gothic" w:hAnsi="Century Gothic"/>
            <w:sz w:val="20"/>
            <w:szCs w:val="20"/>
          </w:rPr>
          <w:t>Section 1.1.4</w:t>
        </w:r>
      </w:hyperlink>
      <w:r w:rsidR="00136141" w:rsidRPr="009E4019">
        <w:rPr>
          <w:rFonts w:ascii="Century Gothic" w:hAnsi="Century Gothic"/>
          <w:sz w:val="20"/>
          <w:szCs w:val="20"/>
        </w:rPr>
        <w:t xml:space="preserve">). </w:t>
      </w:r>
      <w:r w:rsidR="00203E58">
        <w:rPr>
          <w:rFonts w:ascii="Century Gothic" w:hAnsi="Century Gothic"/>
          <w:sz w:val="20"/>
          <w:szCs w:val="20"/>
        </w:rPr>
        <w:br/>
      </w:r>
      <w:r w:rsidR="00136141" w:rsidRPr="009E4019">
        <w:rPr>
          <w:rFonts w:ascii="Century Gothic" w:hAnsi="Century Gothic"/>
          <w:sz w:val="20"/>
          <w:szCs w:val="20"/>
        </w:rPr>
        <w:t xml:space="preserve">The variety of these institutions assists in meeting different student and industry needs. </w:t>
      </w:r>
    </w:p>
    <w:p w14:paraId="6C688BCF" w14:textId="77777777" w:rsidR="00136141" w:rsidRPr="009E4019" w:rsidRDefault="00136141" w:rsidP="00D31B9A">
      <w:pPr>
        <w:spacing w:before="0" w:after="0"/>
        <w:rPr>
          <w:rFonts w:ascii="Century Gothic" w:hAnsi="Century Gothic"/>
          <w:sz w:val="20"/>
          <w:szCs w:val="20"/>
        </w:rPr>
      </w:pPr>
    </w:p>
    <w:p w14:paraId="12C8BBCF" w14:textId="4C23EA08" w:rsidR="00136141" w:rsidRPr="009E4019" w:rsidRDefault="00AC7D05" w:rsidP="00D31B9A">
      <w:pPr>
        <w:spacing w:before="0" w:after="0"/>
        <w:rPr>
          <w:rFonts w:ascii="Century Gothic" w:hAnsi="Century Gothic"/>
          <w:sz w:val="20"/>
          <w:szCs w:val="20"/>
        </w:rPr>
      </w:pPr>
      <w:r w:rsidRPr="009E4019">
        <w:rPr>
          <w:rFonts w:ascii="Century Gothic" w:hAnsi="Century Gothic"/>
          <w:sz w:val="20"/>
          <w:szCs w:val="20"/>
        </w:rPr>
        <w:t>Although it is t</w:t>
      </w:r>
      <w:r w:rsidR="004E1EA1" w:rsidRPr="009E4019">
        <w:rPr>
          <w:rFonts w:ascii="Century Gothic" w:hAnsi="Century Gothic"/>
          <w:sz w:val="20"/>
          <w:szCs w:val="20"/>
        </w:rPr>
        <w:t>he case</w:t>
      </w:r>
      <w:r w:rsidRPr="009E4019">
        <w:rPr>
          <w:rFonts w:ascii="Century Gothic" w:hAnsi="Century Gothic"/>
          <w:sz w:val="20"/>
          <w:szCs w:val="20"/>
        </w:rPr>
        <w:t xml:space="preserve"> that universities currently dominate higher education enrolments in Australia, </w:t>
      </w:r>
      <w:r w:rsidR="004E1EA1" w:rsidRPr="009E4019">
        <w:rPr>
          <w:rFonts w:ascii="Century Gothic" w:hAnsi="Century Gothic"/>
          <w:sz w:val="20"/>
          <w:szCs w:val="20"/>
        </w:rPr>
        <w:t xml:space="preserve">and will </w:t>
      </w:r>
      <w:r w:rsidR="002C2E0D" w:rsidRPr="009E4019">
        <w:rPr>
          <w:rFonts w:ascii="Century Gothic" w:hAnsi="Century Gothic"/>
          <w:sz w:val="20"/>
          <w:szCs w:val="20"/>
        </w:rPr>
        <w:t xml:space="preserve">likely </w:t>
      </w:r>
      <w:r w:rsidR="004E1EA1" w:rsidRPr="009E4019">
        <w:rPr>
          <w:rFonts w:ascii="Century Gothic" w:hAnsi="Century Gothic"/>
          <w:sz w:val="20"/>
          <w:szCs w:val="20"/>
        </w:rPr>
        <w:t xml:space="preserve">continue to do so, </w:t>
      </w:r>
      <w:r w:rsidRPr="009E4019">
        <w:rPr>
          <w:rFonts w:ascii="Century Gothic" w:hAnsi="Century Gothic"/>
          <w:sz w:val="20"/>
          <w:szCs w:val="20"/>
        </w:rPr>
        <w:t xml:space="preserve">this imbalanced categorisation structure </w:t>
      </w:r>
      <w:r w:rsidR="00D8100C" w:rsidRPr="009E4019">
        <w:rPr>
          <w:rFonts w:ascii="Century Gothic" w:hAnsi="Century Gothic"/>
          <w:sz w:val="20"/>
          <w:szCs w:val="20"/>
        </w:rPr>
        <w:t>provides a somewhat idiosyncratic</w:t>
      </w:r>
      <w:r w:rsidRPr="009E4019">
        <w:rPr>
          <w:rFonts w:ascii="Century Gothic" w:hAnsi="Century Gothic"/>
          <w:sz w:val="20"/>
          <w:szCs w:val="20"/>
        </w:rPr>
        <w:t xml:space="preserve"> representation of the sector. </w:t>
      </w:r>
      <w:r w:rsidR="00136141" w:rsidRPr="009E4019">
        <w:rPr>
          <w:rFonts w:ascii="Century Gothic" w:hAnsi="Century Gothic"/>
          <w:sz w:val="20"/>
          <w:szCs w:val="20"/>
        </w:rPr>
        <w:t xml:space="preserve">Providers in the ‘Higher Education Provider’ </w:t>
      </w:r>
      <w:r w:rsidR="00B57B7F" w:rsidRPr="009E4019">
        <w:rPr>
          <w:rFonts w:ascii="Century Gothic" w:hAnsi="Century Gothic"/>
          <w:sz w:val="20"/>
          <w:szCs w:val="20"/>
        </w:rPr>
        <w:t xml:space="preserve">category also operate under different policy and funding arrangements to universities, which can pose competition challenges. </w:t>
      </w:r>
      <w:r w:rsidR="00722BDB">
        <w:rPr>
          <w:rFonts w:ascii="Century Gothic" w:hAnsi="Century Gothic"/>
          <w:sz w:val="20"/>
          <w:szCs w:val="20"/>
        </w:rPr>
        <w:t>A sharp focus on university-level education and research is both appropriate and understandable. However, the university ‘verse’ should not be (as it largely has become) the only one in Australia’s post-secondary song</w:t>
      </w:r>
      <w:r w:rsidR="002E1536">
        <w:rPr>
          <w:rFonts w:ascii="Century Gothic" w:hAnsi="Century Gothic"/>
          <w:sz w:val="20"/>
          <w:szCs w:val="20"/>
        </w:rPr>
        <w:t xml:space="preserve"> </w:t>
      </w:r>
      <w:r w:rsidR="00722BDB">
        <w:rPr>
          <w:rFonts w:ascii="Century Gothic" w:hAnsi="Century Gothic"/>
          <w:sz w:val="20"/>
          <w:szCs w:val="20"/>
        </w:rPr>
        <w:t xml:space="preserve">sheet. </w:t>
      </w:r>
      <w:r w:rsidR="00B57B7F" w:rsidRPr="009E4019">
        <w:rPr>
          <w:rFonts w:ascii="Century Gothic" w:hAnsi="Century Gothic"/>
          <w:sz w:val="20"/>
          <w:szCs w:val="20"/>
        </w:rPr>
        <w:t xml:space="preserve"> </w:t>
      </w:r>
    </w:p>
    <w:p w14:paraId="7E8462D7" w14:textId="77777777" w:rsidR="009A4B86" w:rsidRPr="009E4019" w:rsidRDefault="009A4B86" w:rsidP="009A4B86">
      <w:pPr>
        <w:spacing w:before="0" w:after="0"/>
        <w:rPr>
          <w:rFonts w:ascii="Century Gothic" w:hAnsi="Century Gothic"/>
          <w:sz w:val="20"/>
          <w:szCs w:val="20"/>
        </w:rPr>
      </w:pPr>
    </w:p>
    <w:p w14:paraId="12513118" w14:textId="01917EDE" w:rsidR="00AC7D05" w:rsidRPr="009E4019" w:rsidRDefault="00AC7D05" w:rsidP="00DB501F">
      <w:pPr>
        <w:spacing w:before="0" w:after="0"/>
        <w:rPr>
          <w:rFonts w:ascii="Century Gothic" w:hAnsi="Century Gothic"/>
          <w:sz w:val="20"/>
          <w:szCs w:val="20"/>
        </w:rPr>
      </w:pPr>
      <w:r w:rsidRPr="009E4019">
        <w:rPr>
          <w:rFonts w:ascii="Century Gothic" w:hAnsi="Century Gothic"/>
          <w:sz w:val="20"/>
          <w:szCs w:val="20"/>
        </w:rPr>
        <w:t xml:space="preserve">The characteristics of </w:t>
      </w:r>
      <w:r w:rsidR="00543D43" w:rsidRPr="009E4019">
        <w:rPr>
          <w:rFonts w:ascii="Century Gothic" w:hAnsi="Century Gothic"/>
          <w:sz w:val="20"/>
          <w:szCs w:val="20"/>
        </w:rPr>
        <w:t>providers in the ‘Higher Education Provider’ category</w:t>
      </w:r>
      <w:r w:rsidRPr="009E4019">
        <w:rPr>
          <w:rFonts w:ascii="Century Gothic" w:hAnsi="Century Gothic"/>
          <w:sz w:val="20"/>
          <w:szCs w:val="20"/>
        </w:rPr>
        <w:t xml:space="preserve"> vary significantly. For example, some providers specialise in only one or two fields of education, while others offer qualifications across a broad range of fields. Providers are diverse in size</w:t>
      </w:r>
      <w:r w:rsidR="00D8100C" w:rsidRPr="009E4019">
        <w:rPr>
          <w:rFonts w:ascii="Century Gothic" w:hAnsi="Century Gothic"/>
          <w:sz w:val="20"/>
          <w:szCs w:val="20"/>
        </w:rPr>
        <w:t>,</w:t>
      </w:r>
      <w:r w:rsidRPr="009E4019">
        <w:rPr>
          <w:rFonts w:ascii="Century Gothic" w:hAnsi="Century Gothic"/>
          <w:sz w:val="20"/>
          <w:szCs w:val="20"/>
        </w:rPr>
        <w:t xml:space="preserve"> ranging from fewer than 50 students to more than 4,000.</w:t>
      </w:r>
      <w:r w:rsidRPr="009E4019">
        <w:rPr>
          <w:rFonts w:ascii="Century Gothic" w:hAnsi="Century Gothic"/>
          <w:sz w:val="20"/>
          <w:szCs w:val="20"/>
          <w:vertAlign w:val="superscript"/>
        </w:rPr>
        <w:footnoteReference w:id="44"/>
      </w:r>
      <w:r w:rsidRPr="009E4019">
        <w:rPr>
          <w:rFonts w:ascii="Century Gothic" w:hAnsi="Century Gothic"/>
          <w:sz w:val="20"/>
          <w:szCs w:val="20"/>
        </w:rPr>
        <w:t xml:space="preserve"> Some providers have established research programs </w:t>
      </w:r>
      <w:r w:rsidR="001153C7" w:rsidRPr="009E4019">
        <w:rPr>
          <w:rFonts w:ascii="Century Gothic" w:hAnsi="Century Gothic"/>
          <w:sz w:val="20"/>
          <w:szCs w:val="20"/>
        </w:rPr>
        <w:t>and offer qualifications up to D</w:t>
      </w:r>
      <w:r w:rsidRPr="009E4019">
        <w:rPr>
          <w:rFonts w:ascii="Century Gothic" w:hAnsi="Century Gothic"/>
          <w:sz w:val="20"/>
          <w:szCs w:val="20"/>
        </w:rPr>
        <w:t>octora</w:t>
      </w:r>
      <w:r w:rsidR="009A4B86" w:rsidRPr="009E4019">
        <w:rPr>
          <w:rFonts w:ascii="Century Gothic" w:hAnsi="Century Gothic"/>
          <w:sz w:val="20"/>
          <w:szCs w:val="20"/>
        </w:rPr>
        <w:t>l</w:t>
      </w:r>
      <w:r w:rsidRPr="009E4019">
        <w:rPr>
          <w:rFonts w:ascii="Century Gothic" w:hAnsi="Century Gothic"/>
          <w:sz w:val="20"/>
          <w:szCs w:val="20"/>
        </w:rPr>
        <w:t xml:space="preserve"> level (currently AQF Level 10), whereas others focus on teaching and learning across lower AQ</w:t>
      </w:r>
      <w:r w:rsidR="00CF3DD2" w:rsidRPr="009E4019">
        <w:rPr>
          <w:rFonts w:ascii="Century Gothic" w:hAnsi="Century Gothic"/>
          <w:sz w:val="20"/>
          <w:szCs w:val="20"/>
        </w:rPr>
        <w:t>F levels. There are currently ten</w:t>
      </w:r>
      <w:r w:rsidRPr="009E4019">
        <w:rPr>
          <w:rFonts w:ascii="Century Gothic" w:hAnsi="Century Gothic"/>
          <w:sz w:val="20"/>
          <w:szCs w:val="20"/>
        </w:rPr>
        <w:t xml:space="preserve"> higher education providers that have limited se</w:t>
      </w:r>
      <w:r w:rsidR="00CF3DD2" w:rsidRPr="009E4019">
        <w:rPr>
          <w:rFonts w:ascii="Century Gothic" w:hAnsi="Century Gothic"/>
          <w:sz w:val="20"/>
          <w:szCs w:val="20"/>
        </w:rPr>
        <w:t xml:space="preserve">lf-accrediting authority and </w:t>
      </w:r>
      <w:r w:rsidR="008A6C47" w:rsidRPr="009E4019">
        <w:rPr>
          <w:rFonts w:ascii="Century Gothic" w:hAnsi="Century Gothic"/>
          <w:sz w:val="20"/>
          <w:szCs w:val="20"/>
        </w:rPr>
        <w:t>one</w:t>
      </w:r>
      <w:r w:rsidRPr="009E4019">
        <w:rPr>
          <w:rFonts w:ascii="Century Gothic" w:hAnsi="Century Gothic"/>
          <w:sz w:val="20"/>
          <w:szCs w:val="20"/>
        </w:rPr>
        <w:t xml:space="preserve"> with unlimited </w:t>
      </w:r>
      <w:r w:rsidR="00543D43" w:rsidRPr="009E4019">
        <w:rPr>
          <w:rFonts w:ascii="Century Gothic" w:hAnsi="Century Gothic"/>
          <w:sz w:val="20"/>
          <w:szCs w:val="20"/>
        </w:rPr>
        <w:br/>
      </w:r>
      <w:r w:rsidRPr="009E4019">
        <w:rPr>
          <w:rFonts w:ascii="Century Gothic" w:hAnsi="Century Gothic"/>
          <w:sz w:val="20"/>
          <w:szCs w:val="20"/>
        </w:rPr>
        <w:t>self-accrediting authority.</w:t>
      </w:r>
      <w:r w:rsidR="003A6A20" w:rsidRPr="009E4019">
        <w:rPr>
          <w:rStyle w:val="FootnoteReference"/>
          <w:rFonts w:ascii="Century Gothic" w:hAnsi="Century Gothic"/>
          <w:sz w:val="20"/>
          <w:szCs w:val="20"/>
        </w:rPr>
        <w:footnoteReference w:id="45"/>
      </w:r>
      <w:r w:rsidRPr="009E4019">
        <w:rPr>
          <w:rFonts w:ascii="Century Gothic" w:hAnsi="Century Gothic"/>
          <w:sz w:val="20"/>
          <w:szCs w:val="20"/>
        </w:rPr>
        <w:t xml:space="preserve"> </w:t>
      </w:r>
      <w:r w:rsidR="00DB501F" w:rsidRPr="009E4019">
        <w:rPr>
          <w:rFonts w:ascii="Century Gothic" w:hAnsi="Century Gothic"/>
          <w:sz w:val="20"/>
          <w:szCs w:val="20"/>
        </w:rPr>
        <w:t>In addition to TEQSA, so</w:t>
      </w:r>
      <w:r w:rsidRPr="009E4019">
        <w:rPr>
          <w:rFonts w:ascii="Century Gothic" w:hAnsi="Century Gothic"/>
          <w:sz w:val="20"/>
          <w:szCs w:val="20"/>
        </w:rPr>
        <w:t>me providers seek third-party approval or endorsement of their courses, for example</w:t>
      </w:r>
      <w:r w:rsidR="00D8100C" w:rsidRPr="009E4019">
        <w:rPr>
          <w:rFonts w:ascii="Century Gothic" w:hAnsi="Century Gothic"/>
          <w:sz w:val="20"/>
          <w:szCs w:val="20"/>
        </w:rPr>
        <w:t>,</w:t>
      </w:r>
      <w:r w:rsidRPr="009E4019">
        <w:rPr>
          <w:rFonts w:ascii="Century Gothic" w:hAnsi="Century Gothic"/>
          <w:sz w:val="20"/>
          <w:szCs w:val="20"/>
        </w:rPr>
        <w:t xml:space="preserve"> from professional accreditation bodies. </w:t>
      </w:r>
      <w:r w:rsidR="00543D43" w:rsidRPr="009E4019">
        <w:rPr>
          <w:rFonts w:ascii="Century Gothic" w:hAnsi="Century Gothic"/>
          <w:sz w:val="20"/>
          <w:szCs w:val="20"/>
        </w:rPr>
        <w:br/>
      </w:r>
      <w:r w:rsidR="00B94BA7" w:rsidRPr="009E4019">
        <w:rPr>
          <w:rFonts w:ascii="Century Gothic" w:hAnsi="Century Gothic"/>
          <w:sz w:val="20"/>
          <w:szCs w:val="20"/>
        </w:rPr>
        <w:t xml:space="preserve">Around </w:t>
      </w:r>
      <w:r w:rsidR="002C2E0D" w:rsidRPr="009E4019">
        <w:rPr>
          <w:rFonts w:ascii="Century Gothic" w:hAnsi="Century Gothic"/>
          <w:sz w:val="20"/>
          <w:szCs w:val="20"/>
        </w:rPr>
        <w:t>half</w:t>
      </w:r>
      <w:r w:rsidRPr="009E4019">
        <w:rPr>
          <w:rFonts w:ascii="Century Gothic" w:hAnsi="Century Gothic"/>
          <w:sz w:val="20"/>
          <w:szCs w:val="20"/>
        </w:rPr>
        <w:t xml:space="preserve"> of</w:t>
      </w:r>
      <w:r w:rsidR="002C2E0D" w:rsidRPr="009E4019">
        <w:rPr>
          <w:rFonts w:ascii="Century Gothic" w:hAnsi="Century Gothic"/>
          <w:sz w:val="20"/>
          <w:szCs w:val="20"/>
        </w:rPr>
        <w:t xml:space="preserve"> the</w:t>
      </w:r>
      <w:r w:rsidRPr="009E4019">
        <w:rPr>
          <w:rFonts w:ascii="Century Gothic" w:hAnsi="Century Gothic"/>
          <w:sz w:val="20"/>
          <w:szCs w:val="20"/>
        </w:rPr>
        <w:t xml:space="preserve"> providers in the ‘Higher Education Provider’ category are dual sector providers, registered with both TEQSA and the Australian Skills Quality Authority (ASQA) </w:t>
      </w:r>
      <w:r w:rsidR="00F90894" w:rsidRPr="009E4019">
        <w:rPr>
          <w:rFonts w:ascii="Century Gothic" w:hAnsi="Century Gothic"/>
          <w:sz w:val="20"/>
          <w:szCs w:val="20"/>
        </w:rPr>
        <w:br/>
      </w:r>
      <w:r w:rsidR="004C6D3D" w:rsidRPr="009E4019">
        <w:rPr>
          <w:rFonts w:ascii="Century Gothic" w:hAnsi="Century Gothic"/>
          <w:sz w:val="20"/>
          <w:szCs w:val="20"/>
        </w:rPr>
        <w:t xml:space="preserve">(or in some cases a state regulator) </w:t>
      </w:r>
      <w:r w:rsidRPr="009E4019">
        <w:rPr>
          <w:rFonts w:ascii="Century Gothic" w:hAnsi="Century Gothic"/>
          <w:sz w:val="20"/>
          <w:szCs w:val="20"/>
        </w:rPr>
        <w:t>to deliver both higher education and VET.</w:t>
      </w:r>
      <w:r w:rsidRPr="009E4019">
        <w:rPr>
          <w:rFonts w:ascii="Century Gothic" w:hAnsi="Century Gothic"/>
          <w:sz w:val="20"/>
          <w:szCs w:val="20"/>
          <w:vertAlign w:val="superscript"/>
        </w:rPr>
        <w:footnoteReference w:id="46"/>
      </w:r>
      <w:r w:rsidRPr="009E4019">
        <w:rPr>
          <w:rFonts w:ascii="Century Gothic" w:hAnsi="Century Gothic"/>
          <w:sz w:val="20"/>
          <w:szCs w:val="20"/>
        </w:rPr>
        <w:t xml:space="preserve"> </w:t>
      </w:r>
      <w:r w:rsidR="00CB1BFD" w:rsidRPr="009E4019">
        <w:rPr>
          <w:rFonts w:ascii="Century Gothic" w:hAnsi="Century Gothic"/>
          <w:sz w:val="20"/>
          <w:szCs w:val="20"/>
        </w:rPr>
        <w:t xml:space="preserve">Providers in the ‘Higher Education Provider’ category are not required to undertake research; however, </w:t>
      </w:r>
      <w:r w:rsidR="00F90894" w:rsidRPr="009E4019">
        <w:rPr>
          <w:rFonts w:ascii="Century Gothic" w:hAnsi="Century Gothic"/>
          <w:sz w:val="20"/>
          <w:szCs w:val="20"/>
        </w:rPr>
        <w:br/>
      </w:r>
      <w:r w:rsidR="00CB1BFD" w:rsidRPr="009E4019">
        <w:rPr>
          <w:rFonts w:ascii="Century Gothic" w:hAnsi="Century Gothic"/>
          <w:sz w:val="20"/>
          <w:szCs w:val="20"/>
        </w:rPr>
        <w:t>if a provider chooses to do so, that research must meet the standards in Domain 4: Research and Research Training of Part A of the Threshold Standards.</w:t>
      </w:r>
    </w:p>
    <w:p w14:paraId="4FD529AE" w14:textId="77777777" w:rsidR="00AC7D05" w:rsidRPr="009E4019" w:rsidRDefault="00AC7D05" w:rsidP="00D31B9A">
      <w:pPr>
        <w:spacing w:before="0" w:after="0"/>
        <w:rPr>
          <w:rFonts w:ascii="Century Gothic" w:hAnsi="Century Gothic"/>
          <w:sz w:val="20"/>
          <w:szCs w:val="20"/>
        </w:rPr>
      </w:pPr>
    </w:p>
    <w:p w14:paraId="3FACC862" w14:textId="295638DB" w:rsidR="00AC7D05" w:rsidRPr="009E4019" w:rsidRDefault="00AC7D05" w:rsidP="00D31B9A">
      <w:pPr>
        <w:spacing w:before="0" w:after="0"/>
        <w:rPr>
          <w:rFonts w:ascii="Century Gothic" w:hAnsi="Century Gothic"/>
          <w:sz w:val="20"/>
          <w:szCs w:val="20"/>
        </w:rPr>
      </w:pPr>
      <w:r w:rsidRPr="009E4019">
        <w:rPr>
          <w:rFonts w:ascii="Century Gothic" w:hAnsi="Century Gothic"/>
          <w:sz w:val="20"/>
          <w:szCs w:val="20"/>
        </w:rPr>
        <w:t xml:space="preserve">The missions of these providers are often also very different, particularly as they seek to cater to different student groups, address varying community and industry needs, and adopt diverse teaching and learning approaches. </w:t>
      </w:r>
      <w:r w:rsidR="00CB1BFD" w:rsidRPr="009E4019">
        <w:rPr>
          <w:rFonts w:ascii="Century Gothic" w:hAnsi="Century Gothic"/>
          <w:sz w:val="20"/>
          <w:szCs w:val="20"/>
        </w:rPr>
        <w:t>The “emergence of tertiary offerings outside the public university sector is indicative of student interest in greater choice. Some students want vocationally oriented courses, more flexible delivery, access to faith-based qualifications [</w:t>
      </w:r>
      <w:r w:rsidR="00C07218" w:rsidRPr="009E4019">
        <w:rPr>
          <w:rFonts w:ascii="Century Gothic" w:hAnsi="Century Gothic"/>
          <w:sz w:val="20"/>
          <w:szCs w:val="20"/>
        </w:rPr>
        <w:t>and</w:t>
      </w:r>
      <w:r w:rsidR="00CB1BFD" w:rsidRPr="009E4019">
        <w:rPr>
          <w:rFonts w:ascii="Century Gothic" w:hAnsi="Century Gothic"/>
          <w:sz w:val="20"/>
          <w:szCs w:val="20"/>
        </w:rPr>
        <w:t>] programs focussed on a particular area of employment”.</w:t>
      </w:r>
      <w:r w:rsidR="00CB1BFD" w:rsidRPr="009E4019">
        <w:rPr>
          <w:rStyle w:val="FootnoteReference"/>
          <w:rFonts w:ascii="Century Gothic" w:hAnsi="Century Gothic"/>
          <w:sz w:val="20"/>
          <w:szCs w:val="20"/>
        </w:rPr>
        <w:footnoteReference w:id="47"/>
      </w:r>
      <w:r w:rsidR="00872B2E" w:rsidRPr="009E4019">
        <w:rPr>
          <w:rFonts w:ascii="Century Gothic" w:hAnsi="Century Gothic"/>
          <w:sz w:val="20"/>
          <w:szCs w:val="20"/>
        </w:rPr>
        <w:t xml:space="preserve"> Such higher education providers often point to their performance </w:t>
      </w:r>
      <w:r w:rsidR="00F90894" w:rsidRPr="009E4019">
        <w:rPr>
          <w:rFonts w:ascii="Century Gothic" w:hAnsi="Century Gothic"/>
          <w:sz w:val="20"/>
          <w:szCs w:val="20"/>
        </w:rPr>
        <w:t>–</w:t>
      </w:r>
      <w:r w:rsidR="00872B2E" w:rsidRPr="009E4019">
        <w:rPr>
          <w:rFonts w:ascii="Century Gothic" w:hAnsi="Century Gothic"/>
          <w:sz w:val="20"/>
          <w:szCs w:val="20"/>
        </w:rPr>
        <w:t xml:space="preserve"> particularly</w:t>
      </w:r>
      <w:r w:rsidR="00F90894" w:rsidRPr="009E4019">
        <w:rPr>
          <w:rFonts w:ascii="Century Gothic" w:hAnsi="Century Gothic"/>
          <w:sz w:val="20"/>
          <w:szCs w:val="20"/>
        </w:rPr>
        <w:t xml:space="preserve"> </w:t>
      </w:r>
      <w:r w:rsidR="00872B2E" w:rsidRPr="009E4019">
        <w:rPr>
          <w:rFonts w:ascii="Century Gothic" w:hAnsi="Century Gothic"/>
          <w:sz w:val="20"/>
          <w:szCs w:val="20"/>
        </w:rPr>
        <w:t xml:space="preserve">in learning, teaching, and student outcomes </w:t>
      </w:r>
      <w:r w:rsidR="00F90894" w:rsidRPr="009E4019">
        <w:rPr>
          <w:rFonts w:ascii="Century Gothic" w:hAnsi="Century Gothic"/>
          <w:sz w:val="20"/>
          <w:szCs w:val="20"/>
        </w:rPr>
        <w:t>–</w:t>
      </w:r>
      <w:r w:rsidR="00872B2E" w:rsidRPr="009E4019">
        <w:rPr>
          <w:rFonts w:ascii="Century Gothic" w:hAnsi="Century Gothic"/>
          <w:sz w:val="20"/>
          <w:szCs w:val="20"/>
        </w:rPr>
        <w:t xml:space="preserve"> to</w:t>
      </w:r>
      <w:r w:rsidR="00F90894" w:rsidRPr="009E4019">
        <w:rPr>
          <w:rFonts w:ascii="Century Gothic" w:hAnsi="Century Gothic"/>
          <w:sz w:val="20"/>
          <w:szCs w:val="20"/>
        </w:rPr>
        <w:t xml:space="preserve"> </w:t>
      </w:r>
      <w:r w:rsidR="00872B2E" w:rsidRPr="009E4019">
        <w:rPr>
          <w:rFonts w:ascii="Century Gothic" w:hAnsi="Century Gothic"/>
          <w:sz w:val="20"/>
          <w:szCs w:val="20"/>
        </w:rPr>
        <w:t>compare themselves favourably with universities.</w:t>
      </w:r>
    </w:p>
    <w:p w14:paraId="62903F13" w14:textId="77777777" w:rsidR="00AC7D05" w:rsidRPr="00730C0D" w:rsidRDefault="00AC7D05" w:rsidP="00D31B9A">
      <w:pPr>
        <w:spacing w:before="0" w:after="0"/>
        <w:rPr>
          <w:rFonts w:ascii="Century Gothic" w:hAnsi="Century Gothic"/>
          <w:sz w:val="20"/>
          <w:szCs w:val="20"/>
        </w:rPr>
      </w:pPr>
    </w:p>
    <w:p w14:paraId="2BEA13B3" w14:textId="4136F2C2" w:rsidR="00AC7D05" w:rsidRPr="009E4019" w:rsidRDefault="00AC7D05" w:rsidP="00D31B9A">
      <w:pPr>
        <w:spacing w:before="0" w:after="0"/>
        <w:rPr>
          <w:rFonts w:ascii="Century Gothic" w:hAnsi="Century Gothic"/>
          <w:sz w:val="20"/>
          <w:szCs w:val="20"/>
        </w:rPr>
      </w:pPr>
      <w:r w:rsidRPr="009E4019">
        <w:rPr>
          <w:rFonts w:ascii="Century Gothic" w:hAnsi="Century Gothic"/>
          <w:sz w:val="20"/>
          <w:szCs w:val="20"/>
        </w:rPr>
        <w:t xml:space="preserve">There is a significant level of discomfort with the current PCS </w:t>
      </w:r>
      <w:r w:rsidR="00D8100C" w:rsidRPr="009E4019">
        <w:rPr>
          <w:rFonts w:ascii="Century Gothic" w:hAnsi="Century Gothic"/>
          <w:sz w:val="20"/>
          <w:szCs w:val="20"/>
        </w:rPr>
        <w:t xml:space="preserve">expressed by </w:t>
      </w:r>
      <w:r w:rsidRPr="009E4019">
        <w:rPr>
          <w:rFonts w:ascii="Century Gothic" w:hAnsi="Century Gothic"/>
          <w:sz w:val="20"/>
          <w:szCs w:val="20"/>
        </w:rPr>
        <w:t xml:space="preserve">higher education providers who are not universities. The discomfort covers </w:t>
      </w:r>
      <w:r w:rsidR="00F9411B" w:rsidRPr="009E4019">
        <w:rPr>
          <w:rFonts w:ascii="Century Gothic" w:hAnsi="Century Gothic"/>
          <w:sz w:val="20"/>
          <w:szCs w:val="20"/>
        </w:rPr>
        <w:t xml:space="preserve">areas such as </w:t>
      </w:r>
      <w:r w:rsidRPr="009E4019">
        <w:rPr>
          <w:rFonts w:ascii="Century Gothic" w:hAnsi="Century Gothic"/>
          <w:sz w:val="20"/>
          <w:szCs w:val="20"/>
        </w:rPr>
        <w:t>access to Commonwealth funding, market perception of disadvantage, cost</w:t>
      </w:r>
      <w:r w:rsidR="00C07218" w:rsidRPr="009E4019">
        <w:rPr>
          <w:rFonts w:ascii="Century Gothic" w:hAnsi="Century Gothic"/>
          <w:sz w:val="20"/>
          <w:szCs w:val="20"/>
        </w:rPr>
        <w:t>s</w:t>
      </w:r>
      <w:r w:rsidRPr="009E4019">
        <w:rPr>
          <w:rFonts w:ascii="Century Gothic" w:hAnsi="Century Gothic"/>
          <w:sz w:val="20"/>
          <w:szCs w:val="20"/>
        </w:rPr>
        <w:t xml:space="preserve"> to students</w:t>
      </w:r>
      <w:r w:rsidR="00DB501F" w:rsidRPr="009E4019">
        <w:rPr>
          <w:rFonts w:ascii="Century Gothic" w:hAnsi="Century Gothic"/>
          <w:sz w:val="20"/>
          <w:szCs w:val="20"/>
        </w:rPr>
        <w:t>,</w:t>
      </w:r>
      <w:r w:rsidRPr="009E4019">
        <w:rPr>
          <w:rFonts w:ascii="Century Gothic" w:hAnsi="Century Gothic"/>
          <w:sz w:val="20"/>
          <w:szCs w:val="20"/>
        </w:rPr>
        <w:t xml:space="preserve"> and differential regulatory requirements, specifically:</w:t>
      </w:r>
    </w:p>
    <w:p w14:paraId="2B7564B0" w14:textId="33EBF184" w:rsidR="00826449" w:rsidRPr="009E4019" w:rsidRDefault="00826449"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 xml:space="preserve">access to </w:t>
      </w:r>
      <w:r w:rsidR="00B767A5" w:rsidRPr="009E4019">
        <w:rPr>
          <w:rFonts w:ascii="Century Gothic" w:hAnsi="Century Gothic"/>
          <w:sz w:val="20"/>
          <w:szCs w:val="20"/>
        </w:rPr>
        <w:t>CSPs</w:t>
      </w:r>
      <w:r w:rsidRPr="009E4019">
        <w:rPr>
          <w:rFonts w:ascii="Century Gothic" w:hAnsi="Century Gothic"/>
          <w:sz w:val="20"/>
          <w:szCs w:val="20"/>
        </w:rPr>
        <w:t xml:space="preserve"> being largely restricted to public universities (see </w:t>
      </w:r>
      <w:hyperlink w:anchor="_2.2.1_Access_to" w:history="1">
        <w:r w:rsidRPr="009E4019">
          <w:rPr>
            <w:rStyle w:val="Hyperlink"/>
            <w:rFonts w:ascii="Century Gothic" w:hAnsi="Century Gothic"/>
            <w:sz w:val="20"/>
            <w:szCs w:val="20"/>
          </w:rPr>
          <w:t>Section 2.2.1</w:t>
        </w:r>
      </w:hyperlink>
      <w:r w:rsidRPr="009E4019">
        <w:rPr>
          <w:rFonts w:ascii="Century Gothic" w:hAnsi="Century Gothic"/>
          <w:sz w:val="20"/>
          <w:szCs w:val="20"/>
        </w:rPr>
        <w:t xml:space="preserve">); </w:t>
      </w:r>
    </w:p>
    <w:p w14:paraId="4E027FB6" w14:textId="36825C60" w:rsidR="00AC7D05" w:rsidRPr="009E4019" w:rsidRDefault="00AC7D05"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the 25 per cent administration loan fee which providers</w:t>
      </w:r>
      <w:r w:rsidR="00C07218" w:rsidRPr="009E4019">
        <w:rPr>
          <w:rFonts w:ascii="Century Gothic" w:hAnsi="Century Gothic"/>
          <w:sz w:val="20"/>
          <w:szCs w:val="20"/>
        </w:rPr>
        <w:t xml:space="preserve"> may</w:t>
      </w:r>
      <w:r w:rsidRPr="009E4019">
        <w:rPr>
          <w:rFonts w:ascii="Century Gothic" w:hAnsi="Century Gothic"/>
          <w:sz w:val="20"/>
          <w:szCs w:val="20"/>
        </w:rPr>
        <w:t xml:space="preserve"> perceive as signalling to the market that the government views such providers as being of lesser quality and higher risk</w:t>
      </w:r>
      <w:r w:rsidR="00826449" w:rsidRPr="009E4019">
        <w:rPr>
          <w:rFonts w:ascii="Century Gothic" w:hAnsi="Century Gothic"/>
          <w:sz w:val="20"/>
          <w:szCs w:val="20"/>
        </w:rPr>
        <w:t xml:space="preserve"> (see </w:t>
      </w:r>
      <w:hyperlink w:anchor="_2.2.2_FEE-HELP_Loan" w:history="1">
        <w:r w:rsidR="00826449" w:rsidRPr="009E4019">
          <w:rPr>
            <w:rStyle w:val="Hyperlink"/>
            <w:rFonts w:ascii="Century Gothic" w:hAnsi="Century Gothic"/>
            <w:sz w:val="20"/>
            <w:szCs w:val="20"/>
          </w:rPr>
          <w:t>Section 2.2.2</w:t>
        </w:r>
      </w:hyperlink>
      <w:r w:rsidR="00826449" w:rsidRPr="009E4019">
        <w:rPr>
          <w:rFonts w:ascii="Century Gothic" w:hAnsi="Century Gothic"/>
          <w:sz w:val="20"/>
          <w:szCs w:val="20"/>
        </w:rPr>
        <w:t>)</w:t>
      </w:r>
      <w:r w:rsidR="00D8100C" w:rsidRPr="009E4019">
        <w:rPr>
          <w:rFonts w:ascii="Century Gothic" w:hAnsi="Century Gothic"/>
          <w:sz w:val="20"/>
          <w:szCs w:val="20"/>
        </w:rPr>
        <w:t>;</w:t>
      </w:r>
      <w:r w:rsidRPr="009E4019">
        <w:rPr>
          <w:rFonts w:ascii="Century Gothic" w:hAnsi="Century Gothic"/>
          <w:sz w:val="20"/>
          <w:szCs w:val="20"/>
        </w:rPr>
        <w:t xml:space="preserve"> </w:t>
      </w:r>
    </w:p>
    <w:p w14:paraId="45AA4797" w14:textId="00E0660E" w:rsidR="00AC7D05" w:rsidRPr="009E4019" w:rsidRDefault="00AC7D05"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 xml:space="preserve">the perception of an overly arduous </w:t>
      </w:r>
      <w:r w:rsidR="00F9411B" w:rsidRPr="009E4019">
        <w:rPr>
          <w:rFonts w:ascii="Century Gothic" w:hAnsi="Century Gothic"/>
          <w:sz w:val="20"/>
          <w:szCs w:val="20"/>
        </w:rPr>
        <w:t xml:space="preserve">course </w:t>
      </w:r>
      <w:r w:rsidRPr="009E4019">
        <w:rPr>
          <w:rFonts w:ascii="Century Gothic" w:hAnsi="Century Gothic"/>
          <w:sz w:val="20"/>
          <w:szCs w:val="20"/>
        </w:rPr>
        <w:t>accreditation process for most higher education providers compared to the self-accrediting authority held by universities</w:t>
      </w:r>
      <w:r w:rsidR="00D8100C" w:rsidRPr="009E4019">
        <w:rPr>
          <w:rFonts w:ascii="Century Gothic" w:hAnsi="Century Gothic"/>
          <w:sz w:val="20"/>
          <w:szCs w:val="20"/>
        </w:rPr>
        <w:t>;</w:t>
      </w:r>
    </w:p>
    <w:p w14:paraId="30894865" w14:textId="26F17CE7" w:rsidR="00AC7D05" w:rsidRPr="009E4019" w:rsidRDefault="00AC7D05"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 xml:space="preserve">the lack of public knowledge about providers in the ‘Higher Education Provider’ category and consequent limited </w:t>
      </w:r>
      <w:r w:rsidR="00F9411B" w:rsidRPr="009E4019">
        <w:rPr>
          <w:rFonts w:ascii="Century Gothic" w:hAnsi="Century Gothic"/>
          <w:sz w:val="20"/>
          <w:szCs w:val="20"/>
        </w:rPr>
        <w:t>careers advice to students about these providers</w:t>
      </w:r>
      <w:r w:rsidR="00D8100C" w:rsidRPr="009E4019">
        <w:rPr>
          <w:rFonts w:ascii="Century Gothic" w:hAnsi="Century Gothic"/>
          <w:sz w:val="20"/>
          <w:szCs w:val="20"/>
        </w:rPr>
        <w:t>;</w:t>
      </w:r>
      <w:r w:rsidRPr="009E4019">
        <w:rPr>
          <w:rFonts w:ascii="Century Gothic" w:hAnsi="Century Gothic"/>
          <w:sz w:val="20"/>
          <w:szCs w:val="20"/>
        </w:rPr>
        <w:t xml:space="preserve"> </w:t>
      </w:r>
    </w:p>
    <w:p w14:paraId="1DAB0AAF" w14:textId="5CC869D4" w:rsidR="00AC7D05" w:rsidRPr="009E4019" w:rsidRDefault="00AC7D05"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 xml:space="preserve">the lack of access to the university title and </w:t>
      </w:r>
      <w:r w:rsidR="00C07218" w:rsidRPr="009E4019">
        <w:rPr>
          <w:rFonts w:ascii="Century Gothic" w:hAnsi="Century Gothic"/>
          <w:sz w:val="20"/>
          <w:szCs w:val="20"/>
        </w:rPr>
        <w:t xml:space="preserve">the </w:t>
      </w:r>
      <w:r w:rsidRPr="009E4019">
        <w:rPr>
          <w:rFonts w:ascii="Century Gothic" w:hAnsi="Century Gothic"/>
          <w:sz w:val="20"/>
          <w:szCs w:val="20"/>
        </w:rPr>
        <w:t>undeniable cachet it holds</w:t>
      </w:r>
      <w:r w:rsidR="00462D0C" w:rsidRPr="009E4019">
        <w:rPr>
          <w:rFonts w:ascii="Century Gothic" w:hAnsi="Century Gothic"/>
          <w:sz w:val="20"/>
          <w:szCs w:val="20"/>
        </w:rPr>
        <w:t xml:space="preserve"> </w:t>
      </w:r>
      <w:r w:rsidR="00C07218" w:rsidRPr="009E4019">
        <w:rPr>
          <w:rFonts w:ascii="Century Gothic" w:hAnsi="Century Gothic"/>
          <w:sz w:val="20"/>
          <w:szCs w:val="20"/>
        </w:rPr>
        <w:br/>
      </w:r>
      <w:r w:rsidR="00462D0C" w:rsidRPr="009E4019">
        <w:rPr>
          <w:rFonts w:ascii="Century Gothic" w:hAnsi="Century Gothic"/>
          <w:sz w:val="20"/>
          <w:szCs w:val="20"/>
        </w:rPr>
        <w:t xml:space="preserve">(see </w:t>
      </w:r>
      <w:hyperlink w:anchor="_2.2.3_Nomenclature" w:history="1">
        <w:r w:rsidR="00462D0C" w:rsidRPr="009E4019">
          <w:rPr>
            <w:rStyle w:val="Hyperlink"/>
            <w:rFonts w:ascii="Century Gothic" w:hAnsi="Century Gothic"/>
            <w:sz w:val="20"/>
            <w:szCs w:val="20"/>
          </w:rPr>
          <w:t>Section </w:t>
        </w:r>
        <w:r w:rsidR="00826449" w:rsidRPr="009E4019">
          <w:rPr>
            <w:rStyle w:val="Hyperlink"/>
            <w:rFonts w:ascii="Century Gothic" w:hAnsi="Century Gothic"/>
            <w:sz w:val="20"/>
            <w:szCs w:val="20"/>
          </w:rPr>
          <w:t>2.2.3</w:t>
        </w:r>
      </w:hyperlink>
      <w:r w:rsidR="00826449" w:rsidRPr="009E4019">
        <w:rPr>
          <w:rFonts w:ascii="Century Gothic" w:hAnsi="Century Gothic"/>
          <w:sz w:val="20"/>
          <w:szCs w:val="20"/>
        </w:rPr>
        <w:t>)</w:t>
      </w:r>
      <w:r w:rsidR="00D8100C" w:rsidRPr="009E4019">
        <w:rPr>
          <w:rFonts w:ascii="Century Gothic" w:hAnsi="Century Gothic"/>
          <w:sz w:val="20"/>
          <w:szCs w:val="20"/>
        </w:rPr>
        <w:t>;</w:t>
      </w:r>
    </w:p>
    <w:p w14:paraId="45C593B2" w14:textId="0D4B7EDC" w:rsidR="00AC7D05" w:rsidRPr="009E4019" w:rsidRDefault="00AC7D05"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the undifferentiated nature of the single category for higher education providers which “fails to accord consideration to specialisation, excellence, maturity, reputation</w:t>
      </w:r>
      <w:r w:rsidR="00C07218" w:rsidRPr="009E4019">
        <w:rPr>
          <w:rFonts w:ascii="Century Gothic" w:hAnsi="Century Gothic"/>
          <w:sz w:val="20"/>
          <w:szCs w:val="20"/>
        </w:rPr>
        <w:t>,</w:t>
      </w:r>
      <w:r w:rsidRPr="009E4019">
        <w:rPr>
          <w:rFonts w:ascii="Century Gothic" w:hAnsi="Century Gothic"/>
          <w:sz w:val="20"/>
          <w:szCs w:val="20"/>
        </w:rPr>
        <w:t xml:space="preserve"> or risk”</w:t>
      </w:r>
      <w:r w:rsidR="00826449" w:rsidRPr="009E4019">
        <w:rPr>
          <w:rFonts w:ascii="Century Gothic" w:hAnsi="Century Gothic"/>
          <w:sz w:val="20"/>
          <w:szCs w:val="20"/>
        </w:rPr>
        <w:t xml:space="preserve"> (see </w:t>
      </w:r>
      <w:hyperlink w:anchor="_2.2.4_Differentiation" w:history="1">
        <w:r w:rsidR="00826449" w:rsidRPr="009E4019">
          <w:rPr>
            <w:rStyle w:val="Hyperlink"/>
            <w:rFonts w:ascii="Century Gothic" w:hAnsi="Century Gothic"/>
            <w:sz w:val="20"/>
            <w:szCs w:val="20"/>
          </w:rPr>
          <w:t>Section 2.2.4</w:t>
        </w:r>
      </w:hyperlink>
      <w:r w:rsidR="00826449" w:rsidRPr="009E4019">
        <w:rPr>
          <w:rFonts w:ascii="Century Gothic" w:hAnsi="Century Gothic"/>
          <w:sz w:val="20"/>
          <w:szCs w:val="20"/>
        </w:rPr>
        <w:t>)</w:t>
      </w:r>
      <w:r w:rsidR="00D8100C" w:rsidRPr="009E4019">
        <w:rPr>
          <w:rFonts w:ascii="Century Gothic" w:hAnsi="Century Gothic"/>
          <w:sz w:val="20"/>
          <w:szCs w:val="20"/>
        </w:rPr>
        <w:t>;</w:t>
      </w:r>
      <w:r w:rsidRPr="009E4019">
        <w:rPr>
          <w:rFonts w:ascii="Century Gothic" w:hAnsi="Century Gothic"/>
          <w:sz w:val="20"/>
          <w:szCs w:val="20"/>
          <w:vertAlign w:val="superscript"/>
        </w:rPr>
        <w:t xml:space="preserve"> </w:t>
      </w:r>
      <w:r w:rsidRPr="009E4019">
        <w:rPr>
          <w:rFonts w:ascii="Century Gothic" w:hAnsi="Century Gothic"/>
          <w:sz w:val="20"/>
          <w:szCs w:val="20"/>
          <w:vertAlign w:val="superscript"/>
        </w:rPr>
        <w:footnoteReference w:id="48"/>
      </w:r>
      <w:r w:rsidRPr="009E4019">
        <w:rPr>
          <w:rFonts w:ascii="Century Gothic" w:hAnsi="Century Gothic"/>
          <w:sz w:val="20"/>
          <w:szCs w:val="20"/>
        </w:rPr>
        <w:t xml:space="preserve"> </w:t>
      </w:r>
      <w:r w:rsidR="00D8100C" w:rsidRPr="009E4019">
        <w:rPr>
          <w:rFonts w:ascii="Century Gothic" w:hAnsi="Century Gothic"/>
          <w:sz w:val="20"/>
          <w:szCs w:val="20"/>
        </w:rPr>
        <w:t>and</w:t>
      </w:r>
    </w:p>
    <w:p w14:paraId="47BFEF60" w14:textId="47EED0AD" w:rsidR="00AC7D05" w:rsidRPr="009E4019" w:rsidRDefault="00AC7D05" w:rsidP="0024520B">
      <w:pPr>
        <w:numPr>
          <w:ilvl w:val="0"/>
          <w:numId w:val="46"/>
        </w:numPr>
        <w:spacing w:before="0" w:after="0"/>
        <w:ind w:left="714" w:hanging="357"/>
        <w:contextualSpacing/>
        <w:rPr>
          <w:rFonts w:ascii="Century Gothic" w:hAnsi="Century Gothic"/>
          <w:sz w:val="20"/>
          <w:szCs w:val="20"/>
        </w:rPr>
      </w:pPr>
      <w:r w:rsidRPr="009E4019">
        <w:rPr>
          <w:rFonts w:ascii="Century Gothic" w:hAnsi="Century Gothic"/>
          <w:sz w:val="20"/>
          <w:szCs w:val="20"/>
        </w:rPr>
        <w:t>a focus on broad minimum requirements rather than differentiation and excellence in the current ‘Higher Education Provider’ category</w:t>
      </w:r>
      <w:r w:rsidR="00826449" w:rsidRPr="009E4019">
        <w:rPr>
          <w:rFonts w:ascii="Century Gothic" w:hAnsi="Century Gothic"/>
          <w:sz w:val="20"/>
          <w:szCs w:val="20"/>
        </w:rPr>
        <w:t xml:space="preserve"> (see </w:t>
      </w:r>
      <w:hyperlink w:anchor="_2.2.4_Differentiation" w:history="1">
        <w:r w:rsidR="00826449" w:rsidRPr="009E4019">
          <w:rPr>
            <w:rStyle w:val="Hyperlink"/>
            <w:rFonts w:ascii="Century Gothic" w:hAnsi="Century Gothic"/>
            <w:sz w:val="20"/>
            <w:szCs w:val="20"/>
          </w:rPr>
          <w:t>Section 2.2.4</w:t>
        </w:r>
      </w:hyperlink>
      <w:r w:rsidR="00826449" w:rsidRPr="009E4019">
        <w:rPr>
          <w:rFonts w:ascii="Century Gothic" w:hAnsi="Century Gothic"/>
          <w:sz w:val="20"/>
          <w:szCs w:val="20"/>
        </w:rPr>
        <w:t>)</w:t>
      </w:r>
      <w:r w:rsidRPr="009E4019">
        <w:rPr>
          <w:rFonts w:ascii="Century Gothic" w:hAnsi="Century Gothic"/>
          <w:sz w:val="20"/>
          <w:szCs w:val="20"/>
        </w:rPr>
        <w:t>.</w:t>
      </w:r>
    </w:p>
    <w:p w14:paraId="1759025E" w14:textId="77777777" w:rsidR="00DB501F" w:rsidRPr="009E4019" w:rsidRDefault="00DB501F" w:rsidP="00D31B9A">
      <w:pPr>
        <w:spacing w:before="0" w:after="0"/>
        <w:rPr>
          <w:rFonts w:ascii="Century Gothic" w:hAnsi="Century Gothic"/>
          <w:sz w:val="20"/>
          <w:szCs w:val="20"/>
        </w:rPr>
      </w:pPr>
    </w:p>
    <w:p w14:paraId="5AFD9B6D" w14:textId="083FEC4D" w:rsidR="00AC7D05" w:rsidRPr="009E4019" w:rsidRDefault="00AC7D05" w:rsidP="00D31B9A">
      <w:pPr>
        <w:spacing w:before="0" w:after="0"/>
        <w:rPr>
          <w:rFonts w:ascii="Century Gothic" w:hAnsi="Century Gothic"/>
          <w:sz w:val="20"/>
          <w:szCs w:val="20"/>
        </w:rPr>
      </w:pPr>
      <w:r w:rsidRPr="009E4019">
        <w:rPr>
          <w:rFonts w:ascii="Century Gothic" w:hAnsi="Century Gothic"/>
          <w:sz w:val="20"/>
          <w:szCs w:val="20"/>
        </w:rPr>
        <w:t>While some of these matters are not directly within the remit of this Review, the Review does note the concerns.</w:t>
      </w:r>
      <w:r w:rsidR="00B121EE" w:rsidRPr="009E4019">
        <w:rPr>
          <w:rFonts w:ascii="Century Gothic" w:hAnsi="Century Gothic"/>
          <w:sz w:val="20"/>
          <w:szCs w:val="20"/>
        </w:rPr>
        <w:t xml:space="preserve"> </w:t>
      </w:r>
      <w:r w:rsidRPr="009E4019">
        <w:rPr>
          <w:rFonts w:ascii="Century Gothic" w:hAnsi="Century Gothic"/>
          <w:sz w:val="20"/>
          <w:szCs w:val="20"/>
        </w:rPr>
        <w:t>The recommendations seek to address</w:t>
      </w:r>
      <w:r w:rsidR="006F5AC8" w:rsidRPr="009E4019">
        <w:rPr>
          <w:rFonts w:ascii="Century Gothic" w:hAnsi="Century Gothic"/>
          <w:sz w:val="20"/>
          <w:szCs w:val="20"/>
        </w:rPr>
        <w:t xml:space="preserve"> some of these issues</w:t>
      </w:r>
      <w:r w:rsidRPr="009E4019">
        <w:rPr>
          <w:rFonts w:ascii="Century Gothic" w:hAnsi="Century Gothic"/>
          <w:sz w:val="20"/>
          <w:szCs w:val="20"/>
        </w:rPr>
        <w:t xml:space="preserve">. </w:t>
      </w:r>
      <w:r w:rsidR="00B121EE" w:rsidRPr="009E4019">
        <w:rPr>
          <w:rFonts w:ascii="Century Gothic" w:hAnsi="Century Gothic"/>
          <w:sz w:val="20"/>
          <w:szCs w:val="20"/>
        </w:rPr>
        <w:t>It is important to note that some of the discomfort may reflect self-interest and does not necessarily mean that the public policy settings are unsound. However, the concerns are sufficiently noisy as to justify being unpacked</w:t>
      </w:r>
      <w:r w:rsidR="00826449" w:rsidRPr="009E4019">
        <w:rPr>
          <w:rFonts w:ascii="Century Gothic" w:hAnsi="Century Gothic"/>
          <w:sz w:val="20"/>
          <w:szCs w:val="20"/>
        </w:rPr>
        <w:t xml:space="preserve"> in the following sections</w:t>
      </w:r>
      <w:r w:rsidR="00B121EE" w:rsidRPr="009E4019">
        <w:rPr>
          <w:rFonts w:ascii="Century Gothic" w:hAnsi="Century Gothic"/>
          <w:sz w:val="20"/>
          <w:szCs w:val="20"/>
        </w:rPr>
        <w:t>.</w:t>
      </w:r>
    </w:p>
    <w:p w14:paraId="7126B5A7" w14:textId="254F5BF8" w:rsidR="00826449" w:rsidRPr="00730C0D" w:rsidRDefault="00826449" w:rsidP="00D31B9A">
      <w:pPr>
        <w:spacing w:before="0" w:after="0"/>
        <w:rPr>
          <w:rFonts w:ascii="Century Gothic" w:hAnsi="Century Gothic"/>
          <w:sz w:val="20"/>
          <w:szCs w:val="20"/>
        </w:rPr>
      </w:pPr>
    </w:p>
    <w:p w14:paraId="4E407C30" w14:textId="562F291E" w:rsidR="00AC7D05" w:rsidRPr="00730C0D" w:rsidRDefault="00826449" w:rsidP="004978DA">
      <w:pPr>
        <w:pStyle w:val="Heading3"/>
      </w:pPr>
      <w:bookmarkStart w:id="52" w:name="_2.2.1_Access_to"/>
      <w:bookmarkStart w:id="53" w:name="_Toc18592329"/>
      <w:bookmarkEnd w:id="52"/>
      <w:r w:rsidRPr="00730C0D">
        <w:t>2.2.1</w:t>
      </w:r>
      <w:r w:rsidRPr="00730C0D">
        <w:tab/>
        <w:t xml:space="preserve">Access to </w:t>
      </w:r>
      <w:r w:rsidR="00B767A5" w:rsidRPr="00730C0D">
        <w:t>Commonwealth Supported Places (CSPs)</w:t>
      </w:r>
      <w:bookmarkEnd w:id="53"/>
    </w:p>
    <w:p w14:paraId="6C294A0B" w14:textId="7182059D" w:rsidR="00801A65" w:rsidRPr="009E4019" w:rsidRDefault="004C0870" w:rsidP="004C0870">
      <w:pPr>
        <w:spacing w:before="0" w:after="0"/>
        <w:rPr>
          <w:rFonts w:ascii="Century Gothic" w:hAnsi="Century Gothic"/>
          <w:sz w:val="20"/>
          <w:szCs w:val="20"/>
        </w:rPr>
      </w:pPr>
      <w:r w:rsidRPr="00730C0D">
        <w:rPr>
          <w:rFonts w:ascii="Century Gothic" w:hAnsi="Century Gothic"/>
          <w:sz w:val="20"/>
          <w:szCs w:val="20"/>
        </w:rPr>
        <w:t>One of the strategic goals of the 2008 Bradley Revi</w:t>
      </w:r>
      <w:r w:rsidR="00462D0C" w:rsidRPr="00730C0D">
        <w:rPr>
          <w:rFonts w:ascii="Century Gothic" w:hAnsi="Century Gothic"/>
          <w:sz w:val="20"/>
          <w:szCs w:val="20"/>
        </w:rPr>
        <w:t>ew was that there should be “an </w:t>
      </w:r>
      <w:r w:rsidRPr="00730C0D">
        <w:rPr>
          <w:rFonts w:ascii="Century Gothic" w:hAnsi="Century Gothic"/>
          <w:sz w:val="20"/>
          <w:szCs w:val="20"/>
        </w:rPr>
        <w:t xml:space="preserve">entitlement to a CSP for all </w:t>
      </w:r>
      <w:r w:rsidRPr="009E4019">
        <w:rPr>
          <w:rFonts w:ascii="Century Gothic" w:hAnsi="Century Gothic"/>
          <w:sz w:val="20"/>
          <w:szCs w:val="20"/>
        </w:rPr>
        <w:t>domestic students accepted into an eligible, accredited higher education course at a recognised higher education provider”.</w:t>
      </w:r>
      <w:r w:rsidRPr="009E4019">
        <w:rPr>
          <w:rStyle w:val="FootnoteReference"/>
          <w:rFonts w:ascii="Century Gothic" w:hAnsi="Century Gothic"/>
          <w:sz w:val="20"/>
          <w:szCs w:val="20"/>
        </w:rPr>
        <w:footnoteReference w:id="49"/>
      </w:r>
      <w:r w:rsidRPr="009E4019">
        <w:rPr>
          <w:rFonts w:ascii="Century Gothic" w:hAnsi="Century Gothic"/>
          <w:sz w:val="20"/>
          <w:szCs w:val="20"/>
        </w:rPr>
        <w:t xml:space="preserve"> However, with the exception of a few higher education providers with CSPs are</w:t>
      </w:r>
      <w:r w:rsidR="00C4797D" w:rsidRPr="009E4019">
        <w:rPr>
          <w:rFonts w:ascii="Century Gothic" w:hAnsi="Century Gothic"/>
          <w:sz w:val="20"/>
          <w:szCs w:val="20"/>
        </w:rPr>
        <w:t xml:space="preserve"> still</w:t>
      </w:r>
      <w:r w:rsidRPr="009E4019">
        <w:rPr>
          <w:rFonts w:ascii="Century Gothic" w:hAnsi="Century Gothic"/>
          <w:sz w:val="20"/>
          <w:szCs w:val="20"/>
        </w:rPr>
        <w:t xml:space="preserve"> largely restricted to public universities</w:t>
      </w:r>
      <w:r w:rsidR="009E4019">
        <w:rPr>
          <w:rFonts w:ascii="Century Gothic" w:hAnsi="Century Gothic"/>
          <w:sz w:val="20"/>
          <w:szCs w:val="20"/>
        </w:rPr>
        <w:t xml:space="preserve"> </w:t>
      </w:r>
      <w:r w:rsidR="009E4019" w:rsidRPr="009E4019">
        <w:rPr>
          <w:rFonts w:ascii="Century Gothic" w:hAnsi="Century Gothic"/>
          <w:sz w:val="20"/>
          <w:szCs w:val="20"/>
        </w:rPr>
        <w:t xml:space="preserve">(see </w:t>
      </w:r>
      <w:hyperlink w:anchor="_Appendix_E._1" w:history="1">
        <w:r w:rsidR="009E4019" w:rsidRPr="009E4019">
          <w:rPr>
            <w:rStyle w:val="Hyperlink"/>
            <w:rFonts w:ascii="Century Gothic" w:hAnsi="Century Gothic"/>
            <w:sz w:val="20"/>
            <w:szCs w:val="20"/>
          </w:rPr>
          <w:t>Appendix E</w:t>
        </w:r>
      </w:hyperlink>
      <w:r w:rsidR="009E4019" w:rsidRPr="009E4019">
        <w:rPr>
          <w:rFonts w:ascii="Century Gothic" w:hAnsi="Century Gothic"/>
          <w:sz w:val="20"/>
          <w:szCs w:val="20"/>
        </w:rPr>
        <w:t>)</w:t>
      </w:r>
      <w:r w:rsidRPr="009E4019">
        <w:rPr>
          <w:rFonts w:ascii="Century Gothic" w:hAnsi="Century Gothic"/>
          <w:sz w:val="20"/>
          <w:szCs w:val="20"/>
        </w:rPr>
        <w:t>.</w:t>
      </w:r>
      <w:r w:rsidRPr="009E4019">
        <w:rPr>
          <w:rStyle w:val="FootnoteReference"/>
          <w:rFonts w:ascii="Century Gothic" w:hAnsi="Century Gothic"/>
          <w:sz w:val="20"/>
          <w:szCs w:val="20"/>
        </w:rPr>
        <w:footnoteReference w:id="50"/>
      </w:r>
      <w:r w:rsidR="00462D0C" w:rsidRPr="009E4019">
        <w:rPr>
          <w:rFonts w:ascii="Century Gothic" w:hAnsi="Century Gothic"/>
          <w:sz w:val="20"/>
          <w:szCs w:val="20"/>
        </w:rPr>
        <w:t xml:space="preserve"> This </w:t>
      </w:r>
      <w:r w:rsidRPr="009E4019">
        <w:rPr>
          <w:rFonts w:ascii="Century Gothic" w:hAnsi="Century Gothic"/>
          <w:sz w:val="20"/>
          <w:szCs w:val="20"/>
        </w:rPr>
        <w:t xml:space="preserve">means that students attending providers in the </w:t>
      </w:r>
      <w:r w:rsidR="00C4797D" w:rsidRPr="009E4019">
        <w:rPr>
          <w:rFonts w:ascii="Century Gothic" w:hAnsi="Century Gothic"/>
          <w:sz w:val="20"/>
          <w:szCs w:val="20"/>
        </w:rPr>
        <w:br/>
      </w:r>
      <w:r w:rsidRPr="009E4019">
        <w:rPr>
          <w:rFonts w:ascii="Century Gothic" w:hAnsi="Century Gothic"/>
          <w:sz w:val="20"/>
          <w:szCs w:val="20"/>
        </w:rPr>
        <w:t xml:space="preserve">‘Higher Education Provider’ category are required to meet the full costs of an unsubsidised place. </w:t>
      </w:r>
      <w:r w:rsidR="009E4019">
        <w:rPr>
          <w:rFonts w:ascii="Century Gothic" w:hAnsi="Century Gothic"/>
          <w:sz w:val="20"/>
          <w:szCs w:val="20"/>
        </w:rPr>
        <w:t xml:space="preserve"> </w:t>
      </w:r>
    </w:p>
    <w:p w14:paraId="576B0C59" w14:textId="77777777" w:rsidR="00801A65" w:rsidRPr="00730C0D" w:rsidRDefault="00801A65" w:rsidP="004C0870">
      <w:pPr>
        <w:spacing w:before="0" w:after="0"/>
        <w:rPr>
          <w:rFonts w:ascii="Century Gothic" w:hAnsi="Century Gothic"/>
          <w:sz w:val="20"/>
          <w:szCs w:val="20"/>
        </w:rPr>
      </w:pPr>
    </w:p>
    <w:p w14:paraId="3F1320B2" w14:textId="176F0605" w:rsidR="004C0870" w:rsidRPr="00730C0D" w:rsidRDefault="004C0870" w:rsidP="004C0870">
      <w:pPr>
        <w:spacing w:before="0" w:after="0"/>
        <w:rPr>
          <w:rFonts w:ascii="Century Gothic" w:hAnsi="Century Gothic"/>
          <w:sz w:val="20"/>
          <w:szCs w:val="20"/>
        </w:rPr>
      </w:pPr>
      <w:r w:rsidRPr="00730C0D">
        <w:rPr>
          <w:rFonts w:ascii="Century Gothic" w:hAnsi="Century Gothic"/>
          <w:sz w:val="20"/>
          <w:szCs w:val="20"/>
        </w:rPr>
        <w:t>Some stakeholders believe that this could affect student choices about where to undertake higher education</w:t>
      </w:r>
      <w:r w:rsidR="00C4797D" w:rsidRPr="00730C0D">
        <w:rPr>
          <w:rFonts w:ascii="Century Gothic" w:hAnsi="Century Gothic"/>
          <w:sz w:val="20"/>
          <w:szCs w:val="20"/>
        </w:rPr>
        <w:t>. Students may make choices</w:t>
      </w:r>
      <w:r w:rsidRPr="00730C0D">
        <w:rPr>
          <w:rFonts w:ascii="Century Gothic" w:hAnsi="Century Gothic"/>
          <w:sz w:val="20"/>
          <w:szCs w:val="20"/>
        </w:rPr>
        <w:t xml:space="preserve"> based on course costs instead of a provider’s particular specialisation, resources</w:t>
      </w:r>
      <w:r w:rsidR="00801A65" w:rsidRPr="00730C0D">
        <w:rPr>
          <w:rFonts w:ascii="Century Gothic" w:hAnsi="Century Gothic"/>
          <w:sz w:val="20"/>
          <w:szCs w:val="20"/>
        </w:rPr>
        <w:t>,</w:t>
      </w:r>
      <w:r w:rsidRPr="00730C0D">
        <w:rPr>
          <w:rFonts w:ascii="Century Gothic" w:hAnsi="Century Gothic"/>
          <w:sz w:val="20"/>
          <w:szCs w:val="20"/>
        </w:rPr>
        <w:t xml:space="preserve"> or location </w:t>
      </w:r>
      <w:r w:rsidR="00C4797D" w:rsidRPr="00730C0D">
        <w:rPr>
          <w:rFonts w:ascii="Century Gothic" w:hAnsi="Century Gothic"/>
          <w:sz w:val="20"/>
          <w:szCs w:val="20"/>
        </w:rPr>
        <w:t>even when such providers may</w:t>
      </w:r>
      <w:r w:rsidRPr="00730C0D">
        <w:rPr>
          <w:rFonts w:ascii="Century Gothic" w:hAnsi="Century Gothic"/>
          <w:sz w:val="20"/>
          <w:szCs w:val="20"/>
        </w:rPr>
        <w:t xml:space="preserve"> place that student in a better position for graduate outcomes and career success.  </w:t>
      </w:r>
    </w:p>
    <w:p w14:paraId="04BEAFB9" w14:textId="77777777" w:rsidR="004C0870" w:rsidRPr="00730C0D" w:rsidRDefault="004C0870" w:rsidP="00D31B9A">
      <w:pPr>
        <w:keepNext/>
        <w:keepLines/>
        <w:spacing w:before="0" w:after="0"/>
        <w:outlineLvl w:val="2"/>
        <w:rPr>
          <w:rFonts w:ascii="Century Gothic" w:eastAsiaTheme="majorEastAsia" w:hAnsi="Century Gothic" w:cstheme="majorBidi"/>
          <w:b/>
          <w:sz w:val="20"/>
          <w:szCs w:val="20"/>
        </w:rPr>
      </w:pPr>
    </w:p>
    <w:p w14:paraId="480011D7" w14:textId="77777777" w:rsidR="00C93260" w:rsidRDefault="00C93260">
      <w:pPr>
        <w:spacing w:before="0" w:after="160"/>
        <w:rPr>
          <w:rFonts w:ascii="Century Gothic" w:eastAsiaTheme="majorEastAsia" w:hAnsi="Century Gothic" w:cstheme="majorBidi"/>
          <w:b/>
        </w:rPr>
      </w:pPr>
      <w:bookmarkStart w:id="54" w:name="_2.2.2_FEE-HELP_Loan"/>
      <w:bookmarkEnd w:id="54"/>
      <w:r>
        <w:br w:type="page"/>
      </w:r>
    </w:p>
    <w:p w14:paraId="2AE16040" w14:textId="4BCB0EB5" w:rsidR="00826449" w:rsidRPr="00730C0D" w:rsidRDefault="00826449" w:rsidP="004978DA">
      <w:pPr>
        <w:pStyle w:val="Heading3"/>
      </w:pPr>
      <w:bookmarkStart w:id="55" w:name="_Toc18592330"/>
      <w:r w:rsidRPr="00730C0D">
        <w:t>2.2.2</w:t>
      </w:r>
      <w:r w:rsidRPr="00730C0D">
        <w:tab/>
        <w:t>FEE-HELP Loan Fee</w:t>
      </w:r>
      <w:bookmarkEnd w:id="55"/>
      <w:r w:rsidRPr="00730C0D">
        <w:t xml:space="preserve"> </w:t>
      </w:r>
    </w:p>
    <w:p w14:paraId="62A310F4" w14:textId="38A15D97" w:rsidR="004C0870" w:rsidRDefault="004C0870" w:rsidP="004C0870">
      <w:pPr>
        <w:spacing w:before="0" w:after="0"/>
        <w:rPr>
          <w:rFonts w:ascii="Century Gothic" w:hAnsi="Century Gothic"/>
          <w:sz w:val="20"/>
          <w:szCs w:val="20"/>
        </w:rPr>
      </w:pPr>
      <w:r w:rsidRPr="00730C0D">
        <w:rPr>
          <w:rFonts w:ascii="Century Gothic" w:hAnsi="Century Gothic"/>
          <w:sz w:val="20"/>
          <w:szCs w:val="20"/>
        </w:rPr>
        <w:t xml:space="preserve">Students enrolled in higher education courses can receive </w:t>
      </w:r>
      <w:r w:rsidR="005A6603" w:rsidRPr="00730C0D">
        <w:rPr>
          <w:rFonts w:ascii="Century Gothic" w:hAnsi="Century Gothic"/>
          <w:sz w:val="20"/>
          <w:szCs w:val="20"/>
        </w:rPr>
        <w:t>different types of</w:t>
      </w:r>
      <w:r w:rsidRPr="00730C0D">
        <w:rPr>
          <w:rFonts w:ascii="Century Gothic" w:hAnsi="Century Gothic"/>
          <w:sz w:val="20"/>
          <w:szCs w:val="20"/>
        </w:rPr>
        <w:t xml:space="preserve"> funding to help cover the costs of their education depending on the types of providers they attend. </w:t>
      </w:r>
      <w:r w:rsidR="005A6603" w:rsidRPr="00730C0D">
        <w:rPr>
          <w:rFonts w:ascii="Century Gothic" w:hAnsi="Century Gothic"/>
          <w:sz w:val="20"/>
          <w:szCs w:val="20"/>
        </w:rPr>
        <w:br/>
      </w:r>
      <w:r w:rsidRPr="00730C0D">
        <w:rPr>
          <w:rFonts w:ascii="Century Gothic" w:hAnsi="Century Gothic"/>
          <w:sz w:val="20"/>
          <w:szCs w:val="20"/>
        </w:rPr>
        <w:t>If</w:t>
      </w:r>
      <w:r w:rsidR="005A6603" w:rsidRPr="00730C0D">
        <w:rPr>
          <w:rFonts w:ascii="Century Gothic" w:hAnsi="Century Gothic"/>
          <w:sz w:val="20"/>
          <w:szCs w:val="20"/>
        </w:rPr>
        <w:t xml:space="preserve"> an undergraduate</w:t>
      </w:r>
      <w:r w:rsidRPr="00730C0D">
        <w:rPr>
          <w:rFonts w:ascii="Century Gothic" w:hAnsi="Century Gothic"/>
          <w:sz w:val="20"/>
          <w:szCs w:val="20"/>
        </w:rPr>
        <w:t xml:space="preserve"> student attend</w:t>
      </w:r>
      <w:r w:rsidR="005A6603" w:rsidRPr="00730C0D">
        <w:rPr>
          <w:rFonts w:ascii="Century Gothic" w:hAnsi="Century Gothic"/>
          <w:sz w:val="20"/>
          <w:szCs w:val="20"/>
        </w:rPr>
        <w:t>s</w:t>
      </w:r>
      <w:r w:rsidRPr="00730C0D">
        <w:rPr>
          <w:rFonts w:ascii="Century Gothic" w:hAnsi="Century Gothic"/>
          <w:sz w:val="20"/>
          <w:szCs w:val="20"/>
        </w:rPr>
        <w:t xml:space="preserve"> an institution that is not eligible</w:t>
      </w:r>
      <w:r w:rsidR="0084519E" w:rsidRPr="00730C0D">
        <w:rPr>
          <w:rFonts w:ascii="Century Gothic" w:hAnsi="Century Gothic"/>
          <w:sz w:val="20"/>
          <w:szCs w:val="20"/>
        </w:rPr>
        <w:t xml:space="preserve"> to offer</w:t>
      </w:r>
      <w:r w:rsidRPr="00730C0D">
        <w:rPr>
          <w:rFonts w:ascii="Century Gothic" w:hAnsi="Century Gothic"/>
          <w:sz w:val="20"/>
          <w:szCs w:val="20"/>
        </w:rPr>
        <w:t xml:space="preserve"> CSPs, or </w:t>
      </w:r>
      <w:r w:rsidR="009E4019">
        <w:rPr>
          <w:rFonts w:ascii="Century Gothic" w:hAnsi="Century Gothic"/>
          <w:sz w:val="20"/>
          <w:szCs w:val="20"/>
        </w:rPr>
        <w:t xml:space="preserve">the student </w:t>
      </w:r>
      <w:r w:rsidR="005A6603" w:rsidRPr="00730C0D">
        <w:rPr>
          <w:rFonts w:ascii="Century Gothic" w:hAnsi="Century Gothic"/>
          <w:sz w:val="20"/>
          <w:szCs w:val="20"/>
        </w:rPr>
        <w:t>is</w:t>
      </w:r>
      <w:r w:rsidRPr="00730C0D">
        <w:rPr>
          <w:rFonts w:ascii="Century Gothic" w:hAnsi="Century Gothic"/>
          <w:sz w:val="20"/>
          <w:szCs w:val="20"/>
        </w:rPr>
        <w:t xml:space="preserve"> not offered a CSP, the student </w:t>
      </w:r>
      <w:r w:rsidR="00AD791A" w:rsidRPr="00730C0D">
        <w:rPr>
          <w:rFonts w:ascii="Century Gothic" w:hAnsi="Century Gothic"/>
          <w:sz w:val="20"/>
          <w:szCs w:val="20"/>
        </w:rPr>
        <w:t>will be</w:t>
      </w:r>
      <w:r w:rsidR="0084519E" w:rsidRPr="00730C0D">
        <w:rPr>
          <w:rFonts w:ascii="Century Gothic" w:hAnsi="Century Gothic"/>
          <w:sz w:val="20"/>
          <w:szCs w:val="20"/>
        </w:rPr>
        <w:t xml:space="preserve"> in a full fee paying place</w:t>
      </w:r>
      <w:r w:rsidRPr="00730C0D">
        <w:rPr>
          <w:rFonts w:ascii="Century Gothic" w:hAnsi="Century Gothic"/>
          <w:sz w:val="20"/>
          <w:szCs w:val="20"/>
        </w:rPr>
        <w:t xml:space="preserve">. The majority of these students attend providers in the current ‘Higher Education Provider’ category and may be eligible for a FEE-HELP loan to pay all or part of their tuition fees. </w:t>
      </w:r>
    </w:p>
    <w:p w14:paraId="2190299F" w14:textId="77777777" w:rsidR="00C93260" w:rsidRPr="00730C0D" w:rsidRDefault="00C93260" w:rsidP="004C0870">
      <w:pPr>
        <w:spacing w:before="0" w:after="0"/>
        <w:rPr>
          <w:rFonts w:ascii="Century Gothic" w:hAnsi="Century Gothic"/>
          <w:sz w:val="20"/>
          <w:szCs w:val="20"/>
        </w:rPr>
      </w:pPr>
    </w:p>
    <w:p w14:paraId="24CE5741" w14:textId="212E3069" w:rsidR="004C0870" w:rsidRPr="00730C0D" w:rsidRDefault="004C0870" w:rsidP="004C0870">
      <w:pPr>
        <w:spacing w:before="0" w:after="0"/>
        <w:rPr>
          <w:rFonts w:ascii="Century Gothic" w:hAnsi="Century Gothic"/>
          <w:sz w:val="20"/>
          <w:szCs w:val="20"/>
        </w:rPr>
      </w:pPr>
      <w:r w:rsidRPr="00730C0D">
        <w:rPr>
          <w:rFonts w:ascii="Century Gothic" w:hAnsi="Century Gothic"/>
          <w:sz w:val="20"/>
          <w:szCs w:val="20"/>
        </w:rPr>
        <w:t>However, FEE-HELP students who are studying undergraduate courses must pay a 25 per cent loan fee (unless they are studying at a Table B provider).</w:t>
      </w:r>
      <w:r w:rsidRPr="00730C0D">
        <w:rPr>
          <w:rStyle w:val="FootnoteReference"/>
          <w:rFonts w:ascii="Century Gothic" w:hAnsi="Century Gothic"/>
          <w:sz w:val="20"/>
          <w:szCs w:val="20"/>
        </w:rPr>
        <w:footnoteReference w:id="51"/>
      </w:r>
      <w:r w:rsidR="00801A65" w:rsidRPr="00730C0D">
        <w:rPr>
          <w:rFonts w:ascii="Century Gothic" w:hAnsi="Century Gothic"/>
          <w:sz w:val="20"/>
          <w:szCs w:val="20"/>
        </w:rPr>
        <w:t xml:space="preserve"> As a consequence, </w:t>
      </w:r>
      <w:r w:rsidRPr="00730C0D">
        <w:rPr>
          <w:rFonts w:ascii="Century Gothic" w:hAnsi="Century Gothic"/>
          <w:sz w:val="20"/>
          <w:szCs w:val="20"/>
        </w:rPr>
        <w:t>undergraduate students with FEE-HELP loans can end up paying 125 per cent of their course costs</w:t>
      </w:r>
      <w:r w:rsidR="0084519E" w:rsidRPr="00730C0D">
        <w:rPr>
          <w:rFonts w:ascii="Century Gothic" w:hAnsi="Century Gothic"/>
          <w:sz w:val="20"/>
          <w:szCs w:val="20"/>
        </w:rPr>
        <w:t>, plus indexation on the debt</w:t>
      </w:r>
      <w:r w:rsidRPr="00730C0D">
        <w:rPr>
          <w:rFonts w:ascii="Century Gothic" w:hAnsi="Century Gothic"/>
          <w:sz w:val="20"/>
          <w:szCs w:val="20"/>
        </w:rPr>
        <w:t xml:space="preserve">. This can create a cost difference between the same course of study offered by providers in different categories. </w:t>
      </w:r>
    </w:p>
    <w:p w14:paraId="25A6AEBC" w14:textId="03B342AB" w:rsidR="001D2737" w:rsidRPr="00730C0D" w:rsidRDefault="001D2737" w:rsidP="004C0870">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1D2737" w:rsidRPr="00730C0D" w14:paraId="0D445D7F"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2A5C5055" w14:textId="77777777" w:rsidR="001D2737" w:rsidRPr="00730C0D" w:rsidRDefault="001D2737" w:rsidP="00C86660">
            <w:pPr>
              <w:spacing w:before="0" w:after="0" w:line="259" w:lineRule="auto"/>
              <w:jc w:val="both"/>
              <w:rPr>
                <w:rFonts w:ascii="Century Gothic" w:hAnsi="Century Gothic"/>
                <w:b w:val="0"/>
                <w:i/>
                <w:color w:val="auto"/>
                <w:sz w:val="20"/>
                <w:szCs w:val="20"/>
              </w:rPr>
            </w:pPr>
          </w:p>
          <w:p w14:paraId="32829184" w14:textId="2C972B75" w:rsidR="001D2737" w:rsidRPr="00730C0D" w:rsidRDefault="001D2737"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“Non-university high</w:t>
            </w:r>
            <w:r w:rsidR="00955DF2" w:rsidRPr="00730C0D">
              <w:rPr>
                <w:rFonts w:ascii="Century Gothic" w:hAnsi="Century Gothic" w:cstheme="minorHAnsi"/>
                <w:b w:val="0"/>
                <w:color w:val="2763AC"/>
                <w:sz w:val="20"/>
                <w:szCs w:val="20"/>
              </w:rPr>
              <w:t xml:space="preserve">er education providers (NUHEPs), such as TAFE Queensland, </w:t>
            </w:r>
            <w:r w:rsidRPr="00730C0D">
              <w:rPr>
                <w:rFonts w:ascii="Century Gothic" w:hAnsi="Century Gothic" w:cstheme="minorHAnsi"/>
                <w:b w:val="0"/>
                <w:color w:val="2763AC"/>
                <w:sz w:val="20"/>
                <w:szCs w:val="20"/>
              </w:rPr>
              <w:t>while expected to participate in the same field as a university, do so without the same financial support and benefits for students”.</w:t>
            </w:r>
          </w:p>
          <w:p w14:paraId="5615371D" w14:textId="77777777" w:rsidR="001D2737" w:rsidRPr="00730C0D" w:rsidRDefault="001D2737" w:rsidP="00C86660">
            <w:pPr>
              <w:spacing w:before="0" w:after="0" w:line="259" w:lineRule="auto"/>
              <w:jc w:val="both"/>
              <w:rPr>
                <w:rFonts w:ascii="Century Gothic" w:hAnsi="Century Gothic" w:cstheme="minorHAnsi"/>
                <w:color w:val="auto"/>
                <w:sz w:val="20"/>
                <w:szCs w:val="20"/>
              </w:rPr>
            </w:pPr>
          </w:p>
          <w:p w14:paraId="06F03C4A" w14:textId="23EDDC8B" w:rsidR="001D2737" w:rsidRPr="00730C0D" w:rsidRDefault="001D2737"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TAFE Queensland submission to the PCS Review 2019, p.2</w:t>
            </w:r>
          </w:p>
          <w:p w14:paraId="494593D0" w14:textId="77777777" w:rsidR="001D2737" w:rsidRPr="00730C0D" w:rsidRDefault="001D2737" w:rsidP="00C86660">
            <w:pPr>
              <w:spacing w:before="0" w:after="0" w:line="259" w:lineRule="auto"/>
              <w:jc w:val="right"/>
              <w:rPr>
                <w:rFonts w:ascii="Century Gothic" w:hAnsi="Century Gothic"/>
                <w:b w:val="0"/>
                <w:color w:val="auto"/>
                <w:sz w:val="20"/>
                <w:szCs w:val="20"/>
              </w:rPr>
            </w:pPr>
          </w:p>
        </w:tc>
      </w:tr>
    </w:tbl>
    <w:p w14:paraId="0AEA510C" w14:textId="7D2B0BC0" w:rsidR="004C0870" w:rsidRPr="00730C0D" w:rsidRDefault="004C0870" w:rsidP="004C0870">
      <w:pPr>
        <w:spacing w:before="0" w:after="0"/>
        <w:rPr>
          <w:rFonts w:ascii="Century Gothic" w:hAnsi="Century Gothic"/>
          <w:sz w:val="20"/>
          <w:szCs w:val="20"/>
        </w:rPr>
      </w:pPr>
    </w:p>
    <w:p w14:paraId="12251C70" w14:textId="45400EFC" w:rsidR="00442664" w:rsidRPr="00730C0D" w:rsidRDefault="004C0870" w:rsidP="00F43130">
      <w:pPr>
        <w:spacing w:before="0" w:after="0"/>
        <w:rPr>
          <w:rFonts w:ascii="Century Gothic" w:hAnsi="Century Gothic"/>
          <w:sz w:val="20"/>
          <w:szCs w:val="20"/>
        </w:rPr>
      </w:pPr>
      <w:r w:rsidRPr="00730C0D">
        <w:rPr>
          <w:rFonts w:ascii="Century Gothic" w:hAnsi="Century Gothic"/>
          <w:sz w:val="20"/>
          <w:szCs w:val="20"/>
        </w:rPr>
        <w:t>The disparity is evident when considering</w:t>
      </w:r>
      <w:r w:rsidR="004E1EA1" w:rsidRPr="00730C0D">
        <w:rPr>
          <w:rFonts w:ascii="Century Gothic" w:hAnsi="Century Gothic"/>
          <w:sz w:val="20"/>
          <w:szCs w:val="20"/>
        </w:rPr>
        <w:t xml:space="preserve"> that</w:t>
      </w:r>
      <w:r w:rsidRPr="00730C0D">
        <w:rPr>
          <w:rFonts w:ascii="Century Gothic" w:hAnsi="Century Gothic"/>
          <w:sz w:val="20"/>
          <w:szCs w:val="20"/>
        </w:rPr>
        <w:t xml:space="preserve"> there is no loan fee applied to HECS-HELP loans, the financial loan scheme for domestic students enrolling in</w:t>
      </w:r>
      <w:r w:rsidR="0084519E" w:rsidRPr="00730C0D">
        <w:rPr>
          <w:rFonts w:ascii="Century Gothic" w:hAnsi="Century Gothic"/>
          <w:sz w:val="20"/>
          <w:szCs w:val="20"/>
        </w:rPr>
        <w:t xml:space="preserve"> a</w:t>
      </w:r>
      <w:r w:rsidRPr="00730C0D">
        <w:rPr>
          <w:rFonts w:ascii="Century Gothic" w:hAnsi="Century Gothic"/>
          <w:sz w:val="20"/>
          <w:szCs w:val="20"/>
        </w:rPr>
        <w:t xml:space="preserve"> CSP place (the majority of </w:t>
      </w:r>
      <w:r w:rsidR="004E1EA1" w:rsidRPr="00730C0D">
        <w:rPr>
          <w:rFonts w:ascii="Century Gothic" w:hAnsi="Century Gothic"/>
          <w:sz w:val="20"/>
          <w:szCs w:val="20"/>
        </w:rPr>
        <w:t xml:space="preserve">whom </w:t>
      </w:r>
      <w:r w:rsidRPr="00730C0D">
        <w:rPr>
          <w:rFonts w:ascii="Century Gothic" w:hAnsi="Century Gothic"/>
          <w:sz w:val="20"/>
          <w:szCs w:val="20"/>
        </w:rPr>
        <w:t>are at universities). The</w:t>
      </w:r>
      <w:r w:rsidR="005A6603" w:rsidRPr="00730C0D">
        <w:rPr>
          <w:rFonts w:ascii="Century Gothic" w:hAnsi="Century Gothic"/>
          <w:sz w:val="20"/>
          <w:szCs w:val="20"/>
        </w:rPr>
        <w:t xml:space="preserve"> FEE-HELP</w:t>
      </w:r>
      <w:r w:rsidRPr="00730C0D">
        <w:rPr>
          <w:rFonts w:ascii="Century Gothic" w:hAnsi="Century Gothic"/>
          <w:sz w:val="20"/>
          <w:szCs w:val="20"/>
        </w:rPr>
        <w:t xml:space="preserve"> loan fee therefore may drive student volume towards universities, thus</w:t>
      </w:r>
      <w:r w:rsidR="004E1EA1" w:rsidRPr="00730C0D">
        <w:rPr>
          <w:rFonts w:ascii="Century Gothic" w:hAnsi="Century Gothic"/>
          <w:sz w:val="20"/>
          <w:szCs w:val="20"/>
        </w:rPr>
        <w:t xml:space="preserve"> affecting</w:t>
      </w:r>
      <w:r w:rsidRPr="00730C0D">
        <w:rPr>
          <w:rFonts w:ascii="Century Gothic" w:hAnsi="Century Gothic"/>
          <w:sz w:val="20"/>
          <w:szCs w:val="20"/>
        </w:rPr>
        <w:t xml:space="preserve"> student choice and the competitiveness of providers in the current ‘Higher Education Provider’ category. Hence, “a non-university student is arguably disadvantaged twice, that is, no </w:t>
      </w:r>
      <w:r w:rsidR="0084519E" w:rsidRPr="00730C0D">
        <w:rPr>
          <w:rFonts w:ascii="Century Gothic" w:hAnsi="Century Gothic"/>
          <w:sz w:val="20"/>
          <w:szCs w:val="20"/>
        </w:rPr>
        <w:t>CGS</w:t>
      </w:r>
      <w:r w:rsidRPr="00730C0D">
        <w:rPr>
          <w:rFonts w:ascii="Century Gothic" w:hAnsi="Century Gothic"/>
          <w:sz w:val="20"/>
          <w:szCs w:val="20"/>
        </w:rPr>
        <w:t xml:space="preserve"> funding and incurrence of additional debt to obtain a student loan”.</w:t>
      </w:r>
      <w:r w:rsidRPr="00730C0D">
        <w:rPr>
          <w:rStyle w:val="FootnoteReference"/>
          <w:rFonts w:ascii="Century Gothic" w:hAnsi="Century Gothic"/>
          <w:sz w:val="20"/>
          <w:szCs w:val="20"/>
        </w:rPr>
        <w:footnoteReference w:id="52"/>
      </w:r>
      <w:r w:rsidRPr="00730C0D">
        <w:rPr>
          <w:rFonts w:ascii="Century Gothic" w:hAnsi="Century Gothic"/>
          <w:sz w:val="20"/>
          <w:szCs w:val="20"/>
        </w:rPr>
        <w:t xml:space="preserve"> </w:t>
      </w:r>
      <w:r w:rsidR="00442664" w:rsidRPr="00730C0D">
        <w:rPr>
          <w:rFonts w:ascii="Century Gothic" w:hAnsi="Century Gothic"/>
          <w:sz w:val="20"/>
          <w:szCs w:val="20"/>
        </w:rPr>
        <w:t>For example</w:t>
      </w:r>
      <w:r w:rsidR="004E1EA1" w:rsidRPr="00730C0D">
        <w:rPr>
          <w:rFonts w:ascii="Century Gothic" w:hAnsi="Century Gothic"/>
          <w:sz w:val="20"/>
          <w:szCs w:val="20"/>
        </w:rPr>
        <w:t>,</w:t>
      </w:r>
      <w:r w:rsidR="00442664" w:rsidRPr="00730C0D">
        <w:rPr>
          <w:rFonts w:ascii="Century Gothic" w:hAnsi="Century Gothic"/>
          <w:sz w:val="20"/>
          <w:szCs w:val="20"/>
        </w:rPr>
        <w:t xml:space="preserve"> the total cost of a Bachelor of Business Studies at both a fictional </w:t>
      </w:r>
      <w:r w:rsidR="00462D0C" w:rsidRPr="00730C0D">
        <w:rPr>
          <w:rFonts w:ascii="Century Gothic" w:hAnsi="Century Gothic"/>
          <w:sz w:val="20"/>
          <w:szCs w:val="20"/>
        </w:rPr>
        <w:t xml:space="preserve">Table A </w:t>
      </w:r>
      <w:r w:rsidR="00442664" w:rsidRPr="00730C0D">
        <w:rPr>
          <w:rFonts w:ascii="Century Gothic" w:hAnsi="Century Gothic"/>
          <w:sz w:val="20"/>
          <w:szCs w:val="20"/>
        </w:rPr>
        <w:t xml:space="preserve">‘Australian University’, ‘Seamore University’, and a fictional ‘Higher Education Provider’, ‘Victoria Business and Management School’, may be $10,000. </w:t>
      </w:r>
      <w:r w:rsidR="006F5AC8" w:rsidRPr="00730C0D">
        <w:rPr>
          <w:rFonts w:ascii="Century Gothic" w:hAnsi="Century Gothic"/>
          <w:sz w:val="20"/>
          <w:szCs w:val="20"/>
        </w:rPr>
        <w:t>A</w:t>
      </w:r>
      <w:r w:rsidR="004E1EA1" w:rsidRPr="00730C0D">
        <w:rPr>
          <w:rFonts w:ascii="Century Gothic" w:hAnsi="Century Gothic"/>
          <w:sz w:val="20"/>
          <w:szCs w:val="20"/>
        </w:rPr>
        <w:t> </w:t>
      </w:r>
      <w:r w:rsidR="00442664" w:rsidRPr="00730C0D">
        <w:rPr>
          <w:rFonts w:ascii="Century Gothic" w:hAnsi="Century Gothic"/>
          <w:sz w:val="20"/>
          <w:szCs w:val="20"/>
        </w:rPr>
        <w:t xml:space="preserve">domestic undergraduate student studying their first degree at Seamore University </w:t>
      </w:r>
      <w:r w:rsidR="00474B80" w:rsidRPr="00730C0D">
        <w:rPr>
          <w:rFonts w:ascii="Century Gothic" w:hAnsi="Century Gothic"/>
          <w:sz w:val="20"/>
          <w:szCs w:val="20"/>
        </w:rPr>
        <w:t>with</w:t>
      </w:r>
      <w:r w:rsidR="0084519E" w:rsidRPr="00730C0D">
        <w:rPr>
          <w:rFonts w:ascii="Century Gothic" w:hAnsi="Century Gothic"/>
          <w:sz w:val="20"/>
          <w:szCs w:val="20"/>
        </w:rPr>
        <w:t xml:space="preserve"> </w:t>
      </w:r>
      <w:r w:rsidR="00442664" w:rsidRPr="00730C0D">
        <w:rPr>
          <w:rFonts w:ascii="Century Gothic" w:hAnsi="Century Gothic"/>
          <w:sz w:val="20"/>
          <w:szCs w:val="20"/>
        </w:rPr>
        <w:t>a CSP would have some government subsidy towards the total course cost and no loan fee</w:t>
      </w:r>
      <w:r w:rsidR="006F5AC8" w:rsidRPr="00730C0D">
        <w:rPr>
          <w:rFonts w:ascii="Century Gothic" w:hAnsi="Century Gothic"/>
          <w:sz w:val="20"/>
          <w:szCs w:val="20"/>
        </w:rPr>
        <w:t>. However,</w:t>
      </w:r>
      <w:r w:rsidR="00442664" w:rsidRPr="00730C0D">
        <w:rPr>
          <w:rFonts w:ascii="Century Gothic" w:hAnsi="Century Gothic"/>
          <w:sz w:val="20"/>
          <w:szCs w:val="20"/>
        </w:rPr>
        <w:t xml:space="preserve"> the same student at Victoria Business and Management School </w:t>
      </w:r>
      <w:r w:rsidR="00462D0C" w:rsidRPr="00730C0D">
        <w:rPr>
          <w:rFonts w:ascii="Century Gothic" w:hAnsi="Century Gothic"/>
          <w:sz w:val="20"/>
          <w:szCs w:val="20"/>
        </w:rPr>
        <w:t>is unlikely to</w:t>
      </w:r>
      <w:r w:rsidR="006F5AC8" w:rsidRPr="00730C0D">
        <w:rPr>
          <w:rFonts w:ascii="Century Gothic" w:hAnsi="Century Gothic"/>
          <w:sz w:val="20"/>
          <w:szCs w:val="20"/>
        </w:rPr>
        <w:t xml:space="preserve"> have</w:t>
      </w:r>
      <w:r w:rsidR="00462D0C" w:rsidRPr="00730C0D">
        <w:rPr>
          <w:rFonts w:ascii="Century Gothic" w:hAnsi="Century Gothic"/>
          <w:sz w:val="20"/>
          <w:szCs w:val="20"/>
        </w:rPr>
        <w:t xml:space="preserve"> access to a CSP, would </w:t>
      </w:r>
      <w:r w:rsidR="006F5AC8" w:rsidRPr="00730C0D">
        <w:rPr>
          <w:rFonts w:ascii="Century Gothic" w:hAnsi="Century Gothic"/>
          <w:sz w:val="20"/>
          <w:szCs w:val="20"/>
        </w:rPr>
        <w:t>be required to pay</w:t>
      </w:r>
      <w:r w:rsidR="00442664" w:rsidRPr="00730C0D">
        <w:rPr>
          <w:rFonts w:ascii="Century Gothic" w:hAnsi="Century Gothic"/>
          <w:sz w:val="20"/>
          <w:szCs w:val="20"/>
        </w:rPr>
        <w:t xml:space="preserve"> the total cost of the course with no government subsidy and would also </w:t>
      </w:r>
      <w:r w:rsidR="006F5AC8" w:rsidRPr="00730C0D">
        <w:rPr>
          <w:rFonts w:ascii="Century Gothic" w:hAnsi="Century Gothic"/>
          <w:sz w:val="20"/>
          <w:szCs w:val="20"/>
        </w:rPr>
        <w:t>be required</w:t>
      </w:r>
      <w:r w:rsidR="00442664" w:rsidRPr="00730C0D">
        <w:rPr>
          <w:rFonts w:ascii="Century Gothic" w:hAnsi="Century Gothic"/>
          <w:sz w:val="20"/>
          <w:szCs w:val="20"/>
        </w:rPr>
        <w:t xml:space="preserve"> to pay an additional $2,500 to cover the cost of the</w:t>
      </w:r>
      <w:r w:rsidR="009E4019">
        <w:rPr>
          <w:rFonts w:ascii="Century Gothic" w:hAnsi="Century Gothic"/>
          <w:sz w:val="20"/>
          <w:szCs w:val="20"/>
        </w:rPr>
        <w:t xml:space="preserve"> </w:t>
      </w:r>
      <w:r w:rsidR="00F43130">
        <w:rPr>
          <w:rFonts w:ascii="Century Gothic" w:hAnsi="Century Gothic"/>
          <w:sz w:val="20"/>
          <w:szCs w:val="20"/>
        </w:rPr>
        <w:br/>
      </w:r>
      <w:r w:rsidR="006C0323" w:rsidRPr="00730C0D">
        <w:rPr>
          <w:rFonts w:ascii="Century Gothic" w:hAnsi="Century Gothic"/>
          <w:sz w:val="20"/>
          <w:szCs w:val="20"/>
        </w:rPr>
        <w:t>FEE-HELP</w:t>
      </w:r>
      <w:r w:rsidR="00442664" w:rsidRPr="00730C0D">
        <w:rPr>
          <w:rFonts w:ascii="Century Gothic" w:hAnsi="Century Gothic"/>
          <w:sz w:val="20"/>
          <w:szCs w:val="20"/>
        </w:rPr>
        <w:t xml:space="preserve"> loan.</w:t>
      </w:r>
    </w:p>
    <w:p w14:paraId="140C0B30" w14:textId="5B73F6EA" w:rsidR="004C0870" w:rsidRPr="00730C0D" w:rsidRDefault="004C0870" w:rsidP="004C0870">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C77F22" w:rsidRPr="00730C0D" w14:paraId="43824B61"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53B05AA2" w14:textId="77777777" w:rsidR="00C77F22" w:rsidRPr="00730C0D" w:rsidRDefault="00C77F22" w:rsidP="00C86660">
            <w:pPr>
              <w:spacing w:before="0" w:after="0" w:line="259" w:lineRule="auto"/>
              <w:jc w:val="both"/>
              <w:rPr>
                <w:rFonts w:ascii="Century Gothic" w:hAnsi="Century Gothic"/>
                <w:b w:val="0"/>
                <w:i/>
                <w:color w:val="auto"/>
                <w:sz w:val="20"/>
                <w:szCs w:val="20"/>
              </w:rPr>
            </w:pPr>
          </w:p>
          <w:p w14:paraId="2F91D52A" w14:textId="17112E68" w:rsidR="00C77F22" w:rsidRPr="00730C0D" w:rsidRDefault="00C77F22"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“The funding model applied to students of Higher Educ</w:t>
            </w:r>
            <w:r w:rsidR="00955DF2" w:rsidRPr="00730C0D">
              <w:rPr>
                <w:rFonts w:ascii="Century Gothic" w:hAnsi="Century Gothic" w:cstheme="minorHAnsi"/>
                <w:b w:val="0"/>
                <w:color w:val="2763AC"/>
                <w:sz w:val="20"/>
                <w:szCs w:val="20"/>
              </w:rPr>
              <w:t>ation Providers (including a 25 per cent</w:t>
            </w:r>
            <w:r w:rsidRPr="00730C0D">
              <w:rPr>
                <w:rFonts w:ascii="Century Gothic" w:hAnsi="Century Gothic" w:cstheme="minorHAnsi"/>
                <w:b w:val="0"/>
                <w:color w:val="2763AC"/>
                <w:sz w:val="20"/>
                <w:szCs w:val="20"/>
              </w:rPr>
              <w:t xml:space="preserve"> Administrative Fee</w:t>
            </w:r>
            <w:r w:rsidR="005A6603" w:rsidRPr="00730C0D">
              <w:rPr>
                <w:rFonts w:ascii="Century Gothic" w:hAnsi="Century Gothic" w:cstheme="minorHAnsi"/>
                <w:b w:val="0"/>
                <w:color w:val="2763AC"/>
                <w:sz w:val="20"/>
                <w:szCs w:val="20"/>
              </w:rPr>
              <w:t xml:space="preserve"> [loan fee]</w:t>
            </w:r>
            <w:r w:rsidRPr="00730C0D">
              <w:rPr>
                <w:rFonts w:ascii="Century Gothic" w:hAnsi="Century Gothic" w:cstheme="minorHAnsi"/>
                <w:b w:val="0"/>
                <w:color w:val="2763AC"/>
                <w:sz w:val="20"/>
                <w:szCs w:val="20"/>
              </w:rPr>
              <w:t xml:space="preserve">) is not recognised in the PCS but certainly reinforces differentiation of status. The market </w:t>
            </w:r>
            <w:r w:rsidR="00955DF2" w:rsidRPr="00730C0D">
              <w:rPr>
                <w:rFonts w:ascii="Century Gothic" w:hAnsi="Century Gothic" w:cstheme="minorHAnsi"/>
                <w:b w:val="0"/>
                <w:color w:val="2763AC"/>
                <w:sz w:val="20"/>
                <w:szCs w:val="20"/>
              </w:rPr>
              <w:t xml:space="preserve">quite </w:t>
            </w:r>
            <w:r w:rsidRPr="00730C0D">
              <w:rPr>
                <w:rFonts w:ascii="Century Gothic" w:hAnsi="Century Gothic" w:cstheme="minorHAnsi"/>
                <w:b w:val="0"/>
                <w:color w:val="2763AC"/>
                <w:sz w:val="20"/>
                <w:szCs w:val="20"/>
              </w:rPr>
              <w:t>rightly assumes that this fee is a reflection of a real difference in the degree to which the government recognises the quality of what is on offer – it does not assume the difference is merely administrative”.</w:t>
            </w:r>
          </w:p>
          <w:p w14:paraId="08AB7DB5" w14:textId="77777777" w:rsidR="00C77F22" w:rsidRPr="00730C0D" w:rsidRDefault="00C77F22" w:rsidP="00C86660">
            <w:pPr>
              <w:spacing w:before="0" w:after="0" w:line="259" w:lineRule="auto"/>
              <w:jc w:val="both"/>
              <w:rPr>
                <w:rFonts w:ascii="Century Gothic" w:hAnsi="Century Gothic" w:cstheme="minorHAnsi"/>
                <w:color w:val="auto"/>
                <w:sz w:val="20"/>
                <w:szCs w:val="20"/>
              </w:rPr>
            </w:pPr>
          </w:p>
          <w:p w14:paraId="36024D3D" w14:textId="369B0875" w:rsidR="00C77F22" w:rsidRPr="00730C0D" w:rsidRDefault="00C77F22"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Macleay College submission to the PCS Review 2019, p.3</w:t>
            </w:r>
          </w:p>
          <w:p w14:paraId="1159F7C0" w14:textId="77777777" w:rsidR="00C77F22" w:rsidRPr="00730C0D" w:rsidRDefault="00C77F22" w:rsidP="00C86660">
            <w:pPr>
              <w:spacing w:before="0" w:after="0" w:line="259" w:lineRule="auto"/>
              <w:jc w:val="right"/>
              <w:rPr>
                <w:rFonts w:ascii="Century Gothic" w:hAnsi="Century Gothic"/>
                <w:b w:val="0"/>
                <w:color w:val="auto"/>
                <w:sz w:val="20"/>
                <w:szCs w:val="20"/>
              </w:rPr>
            </w:pPr>
          </w:p>
        </w:tc>
      </w:tr>
    </w:tbl>
    <w:p w14:paraId="5F706924" w14:textId="02AABE6F" w:rsidR="004C0870" w:rsidRPr="00730C0D" w:rsidRDefault="004C0870" w:rsidP="00D31B9A">
      <w:pPr>
        <w:keepNext/>
        <w:keepLines/>
        <w:spacing w:before="0" w:after="0"/>
        <w:outlineLvl w:val="2"/>
        <w:rPr>
          <w:rFonts w:ascii="Century Gothic" w:eastAsiaTheme="majorEastAsia" w:hAnsi="Century Gothic" w:cstheme="majorBidi"/>
          <w:b/>
          <w:sz w:val="20"/>
          <w:szCs w:val="20"/>
        </w:rPr>
      </w:pPr>
    </w:p>
    <w:p w14:paraId="1AE9243E" w14:textId="4B7FE287" w:rsidR="00AC7D05" w:rsidRPr="00730C0D" w:rsidRDefault="003806EF" w:rsidP="004978DA">
      <w:pPr>
        <w:pStyle w:val="Heading3"/>
      </w:pPr>
      <w:bookmarkStart w:id="56" w:name="_2.2.3_Nomenclature"/>
      <w:bookmarkStart w:id="57" w:name="_Toc18592331"/>
      <w:bookmarkEnd w:id="56"/>
      <w:r w:rsidRPr="00730C0D">
        <w:t>2.2.</w:t>
      </w:r>
      <w:r w:rsidR="00826449" w:rsidRPr="00730C0D">
        <w:t>3</w:t>
      </w:r>
      <w:r w:rsidRPr="00730C0D">
        <w:tab/>
      </w:r>
      <w:r w:rsidR="00AC7D05" w:rsidRPr="00730C0D">
        <w:t>Nomenclature</w:t>
      </w:r>
      <w:bookmarkEnd w:id="57"/>
    </w:p>
    <w:p w14:paraId="3E30B92B" w14:textId="2B5B8CBD" w:rsidR="00375815" w:rsidRPr="00730C0D" w:rsidRDefault="00375815" w:rsidP="00F43130">
      <w:pPr>
        <w:spacing w:before="0" w:after="0"/>
        <w:rPr>
          <w:rFonts w:ascii="Century Gothic" w:hAnsi="Century Gothic"/>
          <w:sz w:val="20"/>
          <w:szCs w:val="20"/>
        </w:rPr>
      </w:pPr>
      <w:r w:rsidRPr="00730C0D">
        <w:rPr>
          <w:rFonts w:ascii="Century Gothic" w:hAnsi="Century Gothic"/>
          <w:sz w:val="20"/>
          <w:szCs w:val="20"/>
        </w:rPr>
        <w:t xml:space="preserve">All providers of higher education (including universities) that gain registration by TEQSA through meeting Part A of the Threshold Standards become a ‘higher education provider’, as set out in Section 5 of the </w:t>
      </w:r>
      <w:r w:rsidRPr="00730C0D">
        <w:rPr>
          <w:rFonts w:ascii="Century Gothic" w:hAnsi="Century Gothic"/>
          <w:i/>
          <w:sz w:val="20"/>
          <w:szCs w:val="20"/>
        </w:rPr>
        <w:t>TEQSA Act 2011</w:t>
      </w:r>
      <w:r w:rsidRPr="00730C0D">
        <w:rPr>
          <w:rFonts w:ascii="Century Gothic" w:hAnsi="Century Gothic"/>
          <w:sz w:val="20"/>
          <w:szCs w:val="20"/>
        </w:rPr>
        <w:t xml:space="preserve">. While the term ‘non-university higher education provider’ is not adopted in the </w:t>
      </w:r>
      <w:r w:rsidRPr="00730C0D">
        <w:rPr>
          <w:rFonts w:ascii="Century Gothic" w:hAnsi="Century Gothic"/>
          <w:i/>
          <w:sz w:val="20"/>
          <w:szCs w:val="20"/>
        </w:rPr>
        <w:t>TEQSA Act 2011</w:t>
      </w:r>
      <w:r w:rsidRPr="00730C0D">
        <w:rPr>
          <w:rFonts w:ascii="Century Gothic" w:hAnsi="Century Gothic"/>
          <w:sz w:val="20"/>
          <w:szCs w:val="20"/>
        </w:rPr>
        <w:t xml:space="preserve"> or the PCS, it has become a vernacular label within the sector to help differentiate between </w:t>
      </w:r>
      <w:r w:rsidR="006C0323" w:rsidRPr="00730C0D">
        <w:rPr>
          <w:rFonts w:ascii="Century Gothic" w:hAnsi="Century Gothic"/>
          <w:sz w:val="20"/>
          <w:szCs w:val="20"/>
        </w:rPr>
        <w:t xml:space="preserve">higher education providers and universities. </w:t>
      </w:r>
    </w:p>
    <w:p w14:paraId="1FFAB308" w14:textId="24318A33" w:rsidR="00C77F22" w:rsidRPr="00730C0D" w:rsidRDefault="00C77F22" w:rsidP="0045440C">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C77F22" w:rsidRPr="00730C0D" w14:paraId="7E17F0E6"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11DF0E95" w14:textId="77777777" w:rsidR="00C77F22" w:rsidRPr="00730C0D" w:rsidRDefault="00C77F22" w:rsidP="00C86660">
            <w:pPr>
              <w:spacing w:before="0" w:after="0" w:line="259" w:lineRule="auto"/>
              <w:jc w:val="both"/>
              <w:rPr>
                <w:rFonts w:ascii="Century Gothic" w:hAnsi="Century Gothic"/>
                <w:b w:val="0"/>
                <w:i/>
                <w:color w:val="auto"/>
                <w:sz w:val="20"/>
                <w:szCs w:val="20"/>
              </w:rPr>
            </w:pPr>
          </w:p>
          <w:p w14:paraId="353F361B" w14:textId="3439B87F" w:rsidR="00C77F22" w:rsidRPr="00730C0D" w:rsidRDefault="00C77F22"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 xml:space="preserve">“The term HEP [Higher Education </w:t>
            </w:r>
            <w:r w:rsidR="00AD791A" w:rsidRPr="00730C0D">
              <w:rPr>
                <w:rFonts w:ascii="Century Gothic" w:hAnsi="Century Gothic" w:cstheme="minorHAnsi"/>
                <w:b w:val="0"/>
                <w:color w:val="2763AC"/>
                <w:sz w:val="20"/>
                <w:szCs w:val="20"/>
              </w:rPr>
              <w:t>P</w:t>
            </w:r>
            <w:r w:rsidRPr="00730C0D">
              <w:rPr>
                <w:rFonts w:ascii="Century Gothic" w:hAnsi="Century Gothic" w:cstheme="minorHAnsi"/>
                <w:b w:val="0"/>
                <w:color w:val="2763AC"/>
                <w:sz w:val="20"/>
                <w:szCs w:val="20"/>
              </w:rPr>
              <w:t xml:space="preserve">rovider] is very generic and since universities are also HEPs, perhaps there needs to be a different term or terms used for </w:t>
            </w:r>
            <w:r w:rsidR="00955DF2" w:rsidRPr="00730C0D">
              <w:rPr>
                <w:rFonts w:ascii="Century Gothic" w:hAnsi="Century Gothic" w:cstheme="minorHAnsi"/>
                <w:b w:val="0"/>
                <w:color w:val="2763AC"/>
                <w:sz w:val="20"/>
                <w:szCs w:val="20"/>
              </w:rPr>
              <w:br/>
            </w:r>
            <w:r w:rsidRPr="00730C0D">
              <w:rPr>
                <w:rFonts w:ascii="Century Gothic" w:hAnsi="Century Gothic" w:cstheme="minorHAnsi"/>
                <w:b w:val="0"/>
                <w:color w:val="2763AC"/>
                <w:sz w:val="20"/>
                <w:szCs w:val="20"/>
              </w:rPr>
              <w:t>non-university HEPs to distinguish them from universities”.</w:t>
            </w:r>
          </w:p>
          <w:p w14:paraId="550B8AB1" w14:textId="77777777" w:rsidR="00C77F22" w:rsidRPr="00730C0D" w:rsidRDefault="00C77F22" w:rsidP="00C86660">
            <w:pPr>
              <w:spacing w:before="0" w:after="0" w:line="259" w:lineRule="auto"/>
              <w:jc w:val="both"/>
              <w:rPr>
                <w:rFonts w:ascii="Century Gothic" w:hAnsi="Century Gothic" w:cstheme="minorHAnsi"/>
                <w:color w:val="auto"/>
                <w:sz w:val="20"/>
                <w:szCs w:val="20"/>
              </w:rPr>
            </w:pPr>
          </w:p>
          <w:p w14:paraId="36D47CD2" w14:textId="31C1FE88" w:rsidR="00C77F22" w:rsidRPr="00730C0D" w:rsidRDefault="00C77F22"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Charles Darwin University submission to the PCS Review 2019, p.3</w:t>
            </w:r>
          </w:p>
          <w:p w14:paraId="10C559EF" w14:textId="77777777" w:rsidR="00C77F22" w:rsidRPr="00730C0D" w:rsidRDefault="00C77F22" w:rsidP="00C86660">
            <w:pPr>
              <w:spacing w:before="0" w:after="0" w:line="259" w:lineRule="auto"/>
              <w:jc w:val="right"/>
              <w:rPr>
                <w:rFonts w:ascii="Century Gothic" w:hAnsi="Century Gothic"/>
                <w:b w:val="0"/>
                <w:color w:val="auto"/>
                <w:sz w:val="20"/>
                <w:szCs w:val="20"/>
              </w:rPr>
            </w:pPr>
          </w:p>
        </w:tc>
      </w:tr>
    </w:tbl>
    <w:p w14:paraId="2DC088E6" w14:textId="115D2B9B" w:rsidR="00AC7D05" w:rsidRPr="00730C0D" w:rsidRDefault="00AC7D05" w:rsidP="00D31B9A">
      <w:pPr>
        <w:spacing w:before="0" w:after="0"/>
        <w:rPr>
          <w:rFonts w:ascii="Century Gothic" w:hAnsi="Century Gothic"/>
          <w:sz w:val="20"/>
          <w:szCs w:val="20"/>
        </w:rPr>
      </w:pPr>
    </w:p>
    <w:p w14:paraId="4E50BBDE" w14:textId="476CF979"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Perhaps unsurprisingly though, the label ‘non-university’ does not sit well with many stakeholders. The </w:t>
      </w:r>
      <w:r w:rsidR="00D8100C" w:rsidRPr="00730C0D">
        <w:rPr>
          <w:rFonts w:ascii="Century Gothic" w:hAnsi="Century Gothic"/>
          <w:sz w:val="20"/>
          <w:szCs w:val="20"/>
        </w:rPr>
        <w:t>term</w:t>
      </w:r>
      <w:r w:rsidRPr="00730C0D">
        <w:rPr>
          <w:rFonts w:ascii="Century Gothic" w:hAnsi="Century Gothic"/>
          <w:sz w:val="20"/>
          <w:szCs w:val="20"/>
        </w:rPr>
        <w:t xml:space="preserve"> is criticised for its potential to transmit a negative and </w:t>
      </w:r>
      <w:r w:rsidR="00D8100C" w:rsidRPr="00730C0D">
        <w:rPr>
          <w:rFonts w:ascii="Century Gothic" w:hAnsi="Century Gothic"/>
          <w:sz w:val="20"/>
          <w:szCs w:val="20"/>
        </w:rPr>
        <w:t xml:space="preserve">subordinate </w:t>
      </w:r>
      <w:r w:rsidRPr="00730C0D">
        <w:rPr>
          <w:rFonts w:ascii="Century Gothic" w:hAnsi="Century Gothic"/>
          <w:sz w:val="20"/>
          <w:szCs w:val="20"/>
        </w:rPr>
        <w:t xml:space="preserve">connotation and </w:t>
      </w:r>
      <w:r w:rsidR="00D8100C" w:rsidRPr="00730C0D">
        <w:rPr>
          <w:rFonts w:ascii="Century Gothic" w:hAnsi="Century Gothic"/>
          <w:sz w:val="20"/>
          <w:szCs w:val="20"/>
        </w:rPr>
        <w:t xml:space="preserve">one which </w:t>
      </w:r>
      <w:r w:rsidRPr="00730C0D">
        <w:rPr>
          <w:rFonts w:ascii="Century Gothic" w:hAnsi="Century Gothic"/>
          <w:sz w:val="20"/>
          <w:szCs w:val="20"/>
        </w:rPr>
        <w:t xml:space="preserve">emphasises the characteristics a provider does </w:t>
      </w:r>
      <w:r w:rsidRPr="00730C0D">
        <w:rPr>
          <w:rFonts w:ascii="Century Gothic" w:hAnsi="Century Gothic"/>
          <w:i/>
          <w:sz w:val="20"/>
          <w:szCs w:val="20"/>
        </w:rPr>
        <w:t>not</w:t>
      </w:r>
      <w:r w:rsidRPr="00730C0D">
        <w:rPr>
          <w:rFonts w:ascii="Century Gothic" w:hAnsi="Century Gothic"/>
          <w:sz w:val="20"/>
          <w:szCs w:val="20"/>
        </w:rPr>
        <w:t xml:space="preserve"> have rather than those </w:t>
      </w:r>
      <w:r w:rsidR="00D8100C" w:rsidRPr="00730C0D">
        <w:rPr>
          <w:rFonts w:ascii="Century Gothic" w:hAnsi="Century Gothic"/>
          <w:sz w:val="20"/>
          <w:szCs w:val="20"/>
        </w:rPr>
        <w:t>it does</w:t>
      </w:r>
      <w:r w:rsidRPr="00730C0D">
        <w:rPr>
          <w:rFonts w:ascii="Century Gothic" w:hAnsi="Century Gothic"/>
          <w:sz w:val="20"/>
          <w:szCs w:val="20"/>
        </w:rPr>
        <w:t>. Similarly, the once common use of the term ‘private higher education provider’ is now less preferred, with the sector increasingly favouring ‘independent higher education provider’.</w:t>
      </w:r>
      <w:r w:rsidRPr="00730C0D">
        <w:rPr>
          <w:rFonts w:ascii="Century Gothic" w:hAnsi="Century Gothic"/>
          <w:sz w:val="20"/>
          <w:szCs w:val="20"/>
          <w:vertAlign w:val="superscript"/>
        </w:rPr>
        <w:footnoteReference w:id="53"/>
      </w:r>
      <w:r w:rsidRPr="00730C0D">
        <w:rPr>
          <w:rFonts w:ascii="Century Gothic" w:hAnsi="Century Gothic"/>
          <w:sz w:val="20"/>
          <w:szCs w:val="20"/>
        </w:rPr>
        <w:t xml:space="preserve"> </w:t>
      </w:r>
    </w:p>
    <w:p w14:paraId="52FEFA39" w14:textId="77777777" w:rsidR="00D8100C" w:rsidRPr="00730C0D" w:rsidRDefault="00D8100C" w:rsidP="00D31B9A">
      <w:pPr>
        <w:spacing w:before="0" w:after="0"/>
        <w:rPr>
          <w:rFonts w:ascii="Century Gothic" w:hAnsi="Century Gothic"/>
          <w:sz w:val="20"/>
          <w:szCs w:val="20"/>
        </w:rPr>
      </w:pPr>
    </w:p>
    <w:p w14:paraId="0A440519" w14:textId="2A7B0C7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Some stakeholders believe the label ‘higher education provider’ also fails to resonate well internationally, leading to difficulties for providers in both attracting international students and having their qualifications recognised by overseas bodies. There are</w:t>
      </w:r>
      <w:r w:rsidR="00D8100C" w:rsidRPr="00730C0D">
        <w:rPr>
          <w:rFonts w:ascii="Century Gothic" w:hAnsi="Century Gothic"/>
          <w:sz w:val="20"/>
          <w:szCs w:val="20"/>
        </w:rPr>
        <w:t xml:space="preserve"> </w:t>
      </w:r>
      <w:r w:rsidR="006C0323" w:rsidRPr="00730C0D">
        <w:rPr>
          <w:rFonts w:ascii="Century Gothic" w:hAnsi="Century Gothic"/>
          <w:sz w:val="20"/>
          <w:szCs w:val="20"/>
        </w:rPr>
        <w:t>difficulties</w:t>
      </w:r>
      <w:r w:rsidRPr="00730C0D">
        <w:rPr>
          <w:rFonts w:ascii="Century Gothic" w:hAnsi="Century Gothic"/>
          <w:sz w:val="20"/>
          <w:szCs w:val="20"/>
        </w:rPr>
        <w:t xml:space="preserve"> for some providers explaining to international markets that they can confer </w:t>
      </w:r>
      <w:r w:rsidR="00DC3D74" w:rsidRPr="00730C0D">
        <w:rPr>
          <w:rFonts w:ascii="Century Gothic" w:hAnsi="Century Gothic"/>
          <w:sz w:val="20"/>
          <w:szCs w:val="20"/>
        </w:rPr>
        <w:t xml:space="preserve">qualifications </w:t>
      </w:r>
      <w:r w:rsidRPr="00730C0D">
        <w:rPr>
          <w:rFonts w:ascii="Century Gothic" w:hAnsi="Century Gothic"/>
          <w:sz w:val="20"/>
          <w:szCs w:val="20"/>
        </w:rPr>
        <w:t>across all AQF levels, i</w:t>
      </w:r>
      <w:r w:rsidR="00D8100C" w:rsidRPr="00730C0D">
        <w:rPr>
          <w:rFonts w:ascii="Century Gothic" w:hAnsi="Century Gothic"/>
          <w:sz w:val="20"/>
          <w:szCs w:val="20"/>
        </w:rPr>
        <w:t>n the circumstance</w:t>
      </w:r>
      <w:r w:rsidRPr="00730C0D">
        <w:rPr>
          <w:rFonts w:ascii="Century Gothic" w:hAnsi="Century Gothic"/>
          <w:sz w:val="20"/>
          <w:szCs w:val="20"/>
        </w:rPr>
        <w:t xml:space="preserve"> they are accredited to do so. There are also challenges domestically, with some prospective students and their parents unaware that there are providers beyond universities that can offer higher education qualifications. </w:t>
      </w:r>
    </w:p>
    <w:p w14:paraId="33EAD88F" w14:textId="77777777" w:rsidR="006C0323" w:rsidRPr="00730C0D" w:rsidRDefault="006C0323" w:rsidP="00D31B9A">
      <w:pPr>
        <w:spacing w:before="0" w:after="0"/>
        <w:rPr>
          <w:rFonts w:ascii="Century Gothic" w:hAnsi="Century Gothic"/>
          <w:sz w:val="20"/>
          <w:szCs w:val="20"/>
        </w:rPr>
      </w:pPr>
    </w:p>
    <w:p w14:paraId="65AD1943" w14:textId="2662D515"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In order to resolve these issues concerning nomenclature, </w:t>
      </w:r>
      <w:r w:rsidR="00872B2E" w:rsidRPr="00730C0D">
        <w:rPr>
          <w:rFonts w:ascii="Century Gothic" w:hAnsi="Century Gothic"/>
          <w:sz w:val="20"/>
          <w:szCs w:val="20"/>
        </w:rPr>
        <w:t xml:space="preserve">a few </w:t>
      </w:r>
      <w:r w:rsidRPr="00730C0D">
        <w:rPr>
          <w:rFonts w:ascii="Century Gothic" w:hAnsi="Century Gothic"/>
          <w:sz w:val="20"/>
          <w:szCs w:val="20"/>
        </w:rPr>
        <w:t xml:space="preserve">stakeholders argue that all higher education providers should have access to the ‘university’ title. However, the majority of stakeholders favour continued stringent protection </w:t>
      </w:r>
      <w:r w:rsidR="00AD791A" w:rsidRPr="00730C0D">
        <w:rPr>
          <w:rFonts w:ascii="Century Gothic" w:hAnsi="Century Gothic"/>
          <w:sz w:val="20"/>
          <w:szCs w:val="20"/>
        </w:rPr>
        <w:t xml:space="preserve">of </w:t>
      </w:r>
      <w:r w:rsidRPr="00730C0D">
        <w:rPr>
          <w:rFonts w:ascii="Century Gothic" w:hAnsi="Century Gothic"/>
          <w:sz w:val="20"/>
          <w:szCs w:val="20"/>
        </w:rPr>
        <w:t>the use of the</w:t>
      </w:r>
      <w:r w:rsidR="00F9411B" w:rsidRPr="00730C0D">
        <w:rPr>
          <w:rFonts w:ascii="Century Gothic" w:hAnsi="Century Gothic"/>
          <w:sz w:val="20"/>
          <w:szCs w:val="20"/>
        </w:rPr>
        <w:t xml:space="preserve"> ‘university’</w:t>
      </w:r>
      <w:r w:rsidRPr="00730C0D">
        <w:rPr>
          <w:rFonts w:ascii="Century Gothic" w:hAnsi="Century Gothic"/>
          <w:sz w:val="20"/>
          <w:szCs w:val="20"/>
        </w:rPr>
        <w:t xml:space="preserve"> title, noting that all providers have the right to apply to TEQSA to become an ‘Australian University’ if they meet the additional requirements expected of that category. </w:t>
      </w:r>
      <w:r w:rsidR="00505938" w:rsidRPr="00730C0D">
        <w:rPr>
          <w:rFonts w:ascii="Century Gothic" w:hAnsi="Century Gothic"/>
          <w:sz w:val="20"/>
          <w:szCs w:val="20"/>
        </w:rPr>
        <w:t>The main purpose of regulating the nomenclature of institutions</w:t>
      </w:r>
      <w:r w:rsidR="00520FB5" w:rsidRPr="00730C0D">
        <w:rPr>
          <w:rFonts w:ascii="Century Gothic" w:hAnsi="Century Gothic"/>
          <w:sz w:val="20"/>
          <w:szCs w:val="20"/>
        </w:rPr>
        <w:t xml:space="preserve"> is consumer protection. </w:t>
      </w:r>
      <w:r w:rsidR="00872B2E" w:rsidRPr="00730C0D">
        <w:rPr>
          <w:rFonts w:ascii="Century Gothic" w:hAnsi="Century Gothic"/>
          <w:sz w:val="20"/>
          <w:szCs w:val="20"/>
        </w:rPr>
        <w:t>Nevertheless, i</w:t>
      </w:r>
      <w:r w:rsidR="00520FB5" w:rsidRPr="00730C0D">
        <w:rPr>
          <w:rFonts w:ascii="Century Gothic" w:hAnsi="Century Gothic"/>
          <w:sz w:val="20"/>
          <w:szCs w:val="20"/>
        </w:rPr>
        <w:t xml:space="preserve">n </w:t>
      </w:r>
      <w:r w:rsidR="00505938" w:rsidRPr="00730C0D">
        <w:rPr>
          <w:rFonts w:ascii="Century Gothic" w:hAnsi="Century Gothic"/>
          <w:sz w:val="20"/>
          <w:szCs w:val="20"/>
        </w:rPr>
        <w:t>categories that do not have access to the ‘university’ title, there needs to be an appropriate title that recognises and values the contributions such providers make to students who choose to attend these institutions.</w:t>
      </w:r>
    </w:p>
    <w:p w14:paraId="3CAF1068" w14:textId="77777777" w:rsidR="00AC7D05" w:rsidRPr="00730C0D" w:rsidRDefault="00AC7D05" w:rsidP="00D31B9A">
      <w:pPr>
        <w:spacing w:before="0" w:after="0"/>
        <w:rPr>
          <w:rFonts w:ascii="Century Gothic" w:hAnsi="Century Gothic"/>
          <w:sz w:val="20"/>
          <w:szCs w:val="20"/>
        </w:rPr>
      </w:pPr>
    </w:p>
    <w:p w14:paraId="01C3621A" w14:textId="7CC3A8DD"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This Review recognises the important and complementary role of both universities and other higher education providers within the sector. Perceptions of disadvantage due to nomenclature should be addressed to support and lift all provider categories in the sector. In</w:t>
      </w:r>
      <w:r w:rsidR="00462D0C" w:rsidRPr="00730C0D">
        <w:rPr>
          <w:rFonts w:ascii="Century Gothic" w:hAnsi="Century Gothic"/>
          <w:sz w:val="20"/>
          <w:szCs w:val="20"/>
        </w:rPr>
        <w:t> </w:t>
      </w:r>
      <w:r w:rsidRPr="00730C0D">
        <w:rPr>
          <w:rFonts w:ascii="Century Gothic" w:hAnsi="Century Gothic"/>
          <w:sz w:val="20"/>
          <w:szCs w:val="20"/>
        </w:rPr>
        <w:t>doing so, it is important to be cognisant of how a new category title might avoid some of the existing challenges with the ‘higher education provider’ label and help to raise cachet within the sector. A new title will also help to promote providers domestically and internationally, and reflect the distinction between universities and other higher education providers</w:t>
      </w:r>
      <w:r w:rsidR="00CB712C" w:rsidRPr="00730C0D">
        <w:rPr>
          <w:rFonts w:ascii="Century Gothic" w:hAnsi="Century Gothic"/>
          <w:sz w:val="20"/>
          <w:szCs w:val="20"/>
        </w:rPr>
        <w:t xml:space="preserve"> </w:t>
      </w:r>
      <w:r w:rsidR="004E1EA1" w:rsidRPr="00730C0D">
        <w:rPr>
          <w:rFonts w:ascii="Century Gothic" w:hAnsi="Century Gothic"/>
          <w:sz w:val="20"/>
          <w:szCs w:val="20"/>
        </w:rPr>
        <w:t xml:space="preserve">in order </w:t>
      </w:r>
      <w:r w:rsidR="00CB712C" w:rsidRPr="00730C0D">
        <w:rPr>
          <w:rFonts w:ascii="Century Gothic" w:hAnsi="Century Gothic"/>
          <w:sz w:val="20"/>
          <w:szCs w:val="20"/>
        </w:rPr>
        <w:t>to better inform student choices</w:t>
      </w:r>
      <w:r w:rsidRPr="00730C0D">
        <w:rPr>
          <w:rFonts w:ascii="Century Gothic" w:hAnsi="Century Gothic"/>
          <w:sz w:val="20"/>
          <w:szCs w:val="20"/>
        </w:rPr>
        <w:t xml:space="preserve">. </w:t>
      </w:r>
    </w:p>
    <w:p w14:paraId="4C22CBB0" w14:textId="77777777" w:rsidR="00C776B4" w:rsidRDefault="00C776B4" w:rsidP="00D31B9A">
      <w:pPr>
        <w:spacing w:before="0" w:after="0"/>
        <w:rPr>
          <w:rFonts w:ascii="Century Gothic" w:hAnsi="Century Gothic"/>
          <w:sz w:val="20"/>
          <w:szCs w:val="20"/>
        </w:rPr>
      </w:pPr>
    </w:p>
    <w:p w14:paraId="2D113777" w14:textId="6E7092E9" w:rsidR="00541ED4" w:rsidRPr="00730C0D" w:rsidRDefault="006050EC" w:rsidP="00D31B9A">
      <w:pPr>
        <w:spacing w:before="0" w:after="0"/>
        <w:rPr>
          <w:rFonts w:ascii="Century Gothic" w:hAnsi="Century Gothic"/>
          <w:sz w:val="20"/>
          <w:szCs w:val="20"/>
        </w:rPr>
      </w:pPr>
      <w:r>
        <w:rPr>
          <w:rFonts w:ascii="Century Gothic" w:hAnsi="Century Gothic"/>
          <w:sz w:val="20"/>
          <w:szCs w:val="20"/>
        </w:rPr>
        <w:t xml:space="preserve">The </w:t>
      </w:r>
      <w:r w:rsidRPr="00730C0D">
        <w:rPr>
          <w:rFonts w:ascii="Century Gothic" w:hAnsi="Century Gothic"/>
          <w:i/>
          <w:sz w:val="20"/>
          <w:szCs w:val="20"/>
        </w:rPr>
        <w:t>TEQSA Act 2011</w:t>
      </w:r>
      <w:r>
        <w:rPr>
          <w:rFonts w:ascii="Century Gothic" w:hAnsi="Century Gothic"/>
          <w:sz w:val="20"/>
          <w:szCs w:val="20"/>
        </w:rPr>
        <w:t xml:space="preserve"> uses the term ‘higher education provider’ to encompass</w:t>
      </w:r>
      <w:r w:rsidRPr="00730C0D">
        <w:rPr>
          <w:rFonts w:ascii="Century Gothic" w:hAnsi="Century Gothic"/>
          <w:sz w:val="20"/>
          <w:szCs w:val="20"/>
        </w:rPr>
        <w:t xml:space="preserve"> both universities and other higher education providers</w:t>
      </w:r>
      <w:r>
        <w:rPr>
          <w:rFonts w:ascii="Century Gothic" w:hAnsi="Century Gothic"/>
          <w:sz w:val="20"/>
          <w:szCs w:val="20"/>
        </w:rPr>
        <w:t>.</w:t>
      </w:r>
      <w:r w:rsidRPr="00730C0D">
        <w:rPr>
          <w:rFonts w:ascii="Century Gothic" w:hAnsi="Century Gothic"/>
          <w:sz w:val="20"/>
          <w:szCs w:val="20"/>
        </w:rPr>
        <w:t xml:space="preserve"> </w:t>
      </w:r>
      <w:r w:rsidR="00EB4923">
        <w:rPr>
          <w:rFonts w:ascii="Century Gothic" w:hAnsi="Century Gothic"/>
          <w:sz w:val="20"/>
          <w:szCs w:val="20"/>
        </w:rPr>
        <w:t xml:space="preserve">This is confusing to the public when one provider category is also given the dedicated title of ‘Higher Education Provider’. </w:t>
      </w:r>
      <w:r w:rsidR="00E02422">
        <w:rPr>
          <w:rFonts w:ascii="Century Gothic" w:hAnsi="Century Gothic"/>
          <w:sz w:val="20"/>
          <w:szCs w:val="20"/>
        </w:rPr>
        <w:t>Each provider c</w:t>
      </w:r>
      <w:r w:rsidR="00EB4923">
        <w:rPr>
          <w:rFonts w:ascii="Century Gothic" w:hAnsi="Century Gothic"/>
          <w:sz w:val="20"/>
          <w:szCs w:val="20"/>
        </w:rPr>
        <w:t xml:space="preserve">ategory </w:t>
      </w:r>
      <w:r w:rsidR="00E02422">
        <w:rPr>
          <w:rFonts w:ascii="Century Gothic" w:hAnsi="Century Gothic"/>
          <w:sz w:val="20"/>
          <w:szCs w:val="20"/>
        </w:rPr>
        <w:t xml:space="preserve">should </w:t>
      </w:r>
      <w:r w:rsidR="00EB4923">
        <w:rPr>
          <w:rFonts w:ascii="Century Gothic" w:hAnsi="Century Gothic"/>
          <w:sz w:val="20"/>
          <w:szCs w:val="20"/>
        </w:rPr>
        <w:t>have its own distinctive title</w:t>
      </w:r>
      <w:r w:rsidR="00E02422">
        <w:rPr>
          <w:rFonts w:ascii="Century Gothic" w:hAnsi="Century Gothic"/>
          <w:sz w:val="20"/>
          <w:szCs w:val="20"/>
        </w:rPr>
        <w:t>.</w:t>
      </w:r>
      <w:r w:rsidR="00EB4923">
        <w:rPr>
          <w:rFonts w:ascii="Century Gothic" w:hAnsi="Century Gothic"/>
          <w:sz w:val="20"/>
          <w:szCs w:val="20"/>
        </w:rPr>
        <w:t xml:space="preserve"> </w:t>
      </w:r>
      <w:r w:rsidR="00E02422">
        <w:rPr>
          <w:rFonts w:ascii="Century Gothic" w:hAnsi="Century Gothic"/>
          <w:sz w:val="20"/>
          <w:szCs w:val="20"/>
        </w:rPr>
        <w:t xml:space="preserve">Therefore, </w:t>
      </w:r>
      <w:r w:rsidR="00EB4923">
        <w:rPr>
          <w:rFonts w:ascii="Century Gothic" w:hAnsi="Century Gothic"/>
          <w:sz w:val="20"/>
          <w:szCs w:val="20"/>
        </w:rPr>
        <w:t xml:space="preserve">this Review recommends </w:t>
      </w:r>
      <w:r>
        <w:rPr>
          <w:rFonts w:ascii="Century Gothic" w:hAnsi="Century Gothic"/>
          <w:sz w:val="20"/>
          <w:szCs w:val="20"/>
        </w:rPr>
        <w:t>th</w:t>
      </w:r>
      <w:r w:rsidR="00AC7D05" w:rsidRPr="00730C0D">
        <w:rPr>
          <w:rFonts w:ascii="Century Gothic" w:hAnsi="Century Gothic"/>
          <w:sz w:val="20"/>
          <w:szCs w:val="20"/>
        </w:rPr>
        <w:t>e title ‘</w:t>
      </w:r>
      <w:r w:rsidR="00C776B4">
        <w:rPr>
          <w:rFonts w:ascii="Century Gothic" w:hAnsi="Century Gothic"/>
          <w:sz w:val="20"/>
          <w:szCs w:val="20"/>
        </w:rPr>
        <w:t xml:space="preserve">Institute of Higher Education’ </w:t>
      </w:r>
      <w:r w:rsidR="00EB4923">
        <w:rPr>
          <w:rFonts w:ascii="Century Gothic" w:hAnsi="Century Gothic"/>
          <w:sz w:val="20"/>
          <w:szCs w:val="20"/>
        </w:rPr>
        <w:t xml:space="preserve">be adopted for </w:t>
      </w:r>
      <w:r w:rsidR="00E02422">
        <w:rPr>
          <w:rFonts w:ascii="Century Gothic" w:hAnsi="Century Gothic"/>
          <w:sz w:val="20"/>
          <w:szCs w:val="20"/>
        </w:rPr>
        <w:t xml:space="preserve">the current ‘Higher Education Provider’ category. </w:t>
      </w:r>
      <w:r w:rsidR="00AC7D05" w:rsidRPr="00730C0D">
        <w:rPr>
          <w:rFonts w:ascii="Century Gothic" w:hAnsi="Century Gothic"/>
          <w:sz w:val="20"/>
          <w:szCs w:val="20"/>
        </w:rPr>
        <w:t xml:space="preserve">Given that </w:t>
      </w:r>
      <w:r w:rsidR="00A22C9B" w:rsidRPr="00730C0D">
        <w:rPr>
          <w:rFonts w:ascii="Century Gothic" w:hAnsi="Century Gothic"/>
          <w:sz w:val="20"/>
          <w:szCs w:val="20"/>
        </w:rPr>
        <w:t>about half of the</w:t>
      </w:r>
      <w:r w:rsidR="00AC7D05" w:rsidRPr="00730C0D">
        <w:rPr>
          <w:rFonts w:ascii="Century Gothic" w:hAnsi="Century Gothic"/>
          <w:sz w:val="20"/>
          <w:szCs w:val="20"/>
        </w:rPr>
        <w:t xml:space="preserve"> current providers in that category already use the term ‘institute’ in their trading titles, ‘institute’ was deemed a natural distinguishing title above other considered alternatives including ‘academy’, ‘institution’</w:t>
      </w:r>
      <w:r w:rsidR="00A22C9B" w:rsidRPr="00730C0D">
        <w:rPr>
          <w:rFonts w:ascii="Century Gothic" w:hAnsi="Century Gothic"/>
          <w:sz w:val="20"/>
          <w:szCs w:val="20"/>
        </w:rPr>
        <w:t>,</w:t>
      </w:r>
      <w:r w:rsidR="00AC7D05" w:rsidRPr="00730C0D">
        <w:rPr>
          <w:rFonts w:ascii="Century Gothic" w:hAnsi="Century Gothic"/>
          <w:sz w:val="20"/>
          <w:szCs w:val="20"/>
        </w:rPr>
        <w:t xml:space="preserve"> or ‘college’. </w:t>
      </w:r>
    </w:p>
    <w:p w14:paraId="0D521FAE" w14:textId="77777777" w:rsidR="00541ED4" w:rsidRPr="00730C0D" w:rsidRDefault="00541ED4" w:rsidP="00D31B9A">
      <w:pPr>
        <w:spacing w:before="0" w:after="0"/>
        <w:rPr>
          <w:rFonts w:ascii="Century Gothic" w:hAnsi="Century Gothic"/>
          <w:sz w:val="20"/>
          <w:szCs w:val="20"/>
        </w:rPr>
      </w:pPr>
    </w:p>
    <w:p w14:paraId="3F97285B" w14:textId="38D0FE64" w:rsidR="00AC7D05" w:rsidRPr="00730C0D" w:rsidRDefault="00541ED4" w:rsidP="00C93260">
      <w:pPr>
        <w:spacing w:before="0" w:after="0"/>
        <w:rPr>
          <w:rFonts w:ascii="Century Gothic" w:hAnsi="Century Gothic"/>
          <w:sz w:val="20"/>
          <w:szCs w:val="20"/>
        </w:rPr>
      </w:pPr>
      <w:r w:rsidRPr="00730C0D">
        <w:rPr>
          <w:rFonts w:ascii="Century Gothic" w:hAnsi="Century Gothic"/>
          <w:sz w:val="20"/>
          <w:szCs w:val="20"/>
        </w:rPr>
        <w:t>The category title will not</w:t>
      </w:r>
      <w:r w:rsidR="00872B2E" w:rsidRPr="00730C0D">
        <w:rPr>
          <w:rFonts w:ascii="Century Gothic" w:hAnsi="Century Gothic"/>
          <w:sz w:val="20"/>
          <w:szCs w:val="20"/>
        </w:rPr>
        <w:t xml:space="preserve"> have an</w:t>
      </w:r>
      <w:r w:rsidRPr="00730C0D">
        <w:rPr>
          <w:rFonts w:ascii="Century Gothic" w:hAnsi="Century Gothic"/>
          <w:sz w:val="20"/>
          <w:szCs w:val="20"/>
        </w:rPr>
        <w:t xml:space="preserve"> impact on existing provider trading names</w:t>
      </w:r>
      <w:r w:rsidR="00D8100C" w:rsidRPr="00730C0D">
        <w:rPr>
          <w:rFonts w:ascii="Century Gothic" w:hAnsi="Century Gothic"/>
          <w:sz w:val="20"/>
          <w:szCs w:val="20"/>
        </w:rPr>
        <w:t>.</w:t>
      </w:r>
      <w:r w:rsidRPr="00730C0D">
        <w:rPr>
          <w:rFonts w:ascii="Century Gothic" w:hAnsi="Century Gothic"/>
          <w:sz w:val="20"/>
          <w:szCs w:val="20"/>
        </w:rPr>
        <w:t xml:space="preserve"> </w:t>
      </w:r>
      <w:r w:rsidR="00D8100C" w:rsidRPr="00730C0D">
        <w:rPr>
          <w:rFonts w:ascii="Century Gothic" w:hAnsi="Century Gothic"/>
          <w:sz w:val="20"/>
          <w:szCs w:val="20"/>
        </w:rPr>
        <w:t>H</w:t>
      </w:r>
      <w:r w:rsidRPr="00730C0D">
        <w:rPr>
          <w:rFonts w:ascii="Century Gothic" w:hAnsi="Century Gothic"/>
          <w:sz w:val="20"/>
          <w:szCs w:val="20"/>
        </w:rPr>
        <w:t>owever</w:t>
      </w:r>
      <w:r w:rsidR="004E1EA1" w:rsidRPr="00730C0D">
        <w:rPr>
          <w:rFonts w:ascii="Century Gothic" w:hAnsi="Century Gothic"/>
          <w:sz w:val="20"/>
          <w:szCs w:val="20"/>
        </w:rPr>
        <w:t>,</w:t>
      </w:r>
      <w:r w:rsidRPr="00730C0D">
        <w:rPr>
          <w:rFonts w:ascii="Century Gothic" w:hAnsi="Century Gothic"/>
          <w:sz w:val="20"/>
          <w:szCs w:val="20"/>
        </w:rPr>
        <w:t xml:space="preserve"> it will allow providers to market themselves as registered by </w:t>
      </w:r>
      <w:r w:rsidR="007E1EC0" w:rsidRPr="00730C0D">
        <w:rPr>
          <w:rFonts w:ascii="Century Gothic" w:hAnsi="Century Gothic"/>
          <w:sz w:val="20"/>
          <w:szCs w:val="20"/>
        </w:rPr>
        <w:t xml:space="preserve">TEQSA </w:t>
      </w:r>
      <w:r w:rsidRPr="00730C0D">
        <w:rPr>
          <w:rFonts w:ascii="Century Gothic" w:hAnsi="Century Gothic"/>
          <w:sz w:val="20"/>
          <w:szCs w:val="20"/>
        </w:rPr>
        <w:t>as an ‘</w:t>
      </w:r>
      <w:r w:rsidR="00C776B4">
        <w:rPr>
          <w:rFonts w:ascii="Century Gothic" w:hAnsi="Century Gothic"/>
          <w:sz w:val="20"/>
          <w:szCs w:val="20"/>
        </w:rPr>
        <w:t>Institute of Higher Education</w:t>
      </w:r>
      <w:r w:rsidRPr="00730C0D">
        <w:rPr>
          <w:rFonts w:ascii="Century Gothic" w:hAnsi="Century Gothic"/>
          <w:sz w:val="20"/>
          <w:szCs w:val="20"/>
        </w:rPr>
        <w:t xml:space="preserve">’. </w:t>
      </w:r>
      <w:r w:rsidR="009B6E9F" w:rsidRPr="00730C0D">
        <w:rPr>
          <w:rFonts w:ascii="Century Gothic" w:hAnsi="Century Gothic"/>
          <w:sz w:val="20"/>
          <w:szCs w:val="20"/>
        </w:rPr>
        <w:t xml:space="preserve">As an example, </w:t>
      </w:r>
      <w:r w:rsidR="00D8100C" w:rsidRPr="00730C0D">
        <w:rPr>
          <w:rFonts w:ascii="Century Gothic" w:hAnsi="Century Gothic"/>
          <w:sz w:val="20"/>
          <w:szCs w:val="20"/>
        </w:rPr>
        <w:t xml:space="preserve">a </w:t>
      </w:r>
      <w:r w:rsidR="009B6E9F" w:rsidRPr="00730C0D">
        <w:rPr>
          <w:rFonts w:ascii="Century Gothic" w:hAnsi="Century Gothic"/>
          <w:sz w:val="20"/>
          <w:szCs w:val="20"/>
        </w:rPr>
        <w:t xml:space="preserve">fictional Canberra College of Design may wish to market itself as ‘Canberra College of Design, a registered </w:t>
      </w:r>
      <w:r w:rsidR="00C776B4">
        <w:rPr>
          <w:rFonts w:ascii="Century Gothic" w:hAnsi="Century Gothic"/>
          <w:sz w:val="20"/>
          <w:szCs w:val="20"/>
        </w:rPr>
        <w:t>Institute of Higher Education</w:t>
      </w:r>
      <w:r w:rsidR="009B6E9F" w:rsidRPr="00730C0D">
        <w:rPr>
          <w:rFonts w:ascii="Century Gothic" w:hAnsi="Century Gothic"/>
          <w:sz w:val="20"/>
          <w:szCs w:val="20"/>
        </w:rPr>
        <w:t>’.</w:t>
      </w:r>
    </w:p>
    <w:p w14:paraId="24F40BA5" w14:textId="77777777" w:rsidR="00AC7D05" w:rsidRPr="00730C0D" w:rsidRDefault="00AC7D05" w:rsidP="00D31B9A">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C7D05" w:rsidRPr="00730C0D" w14:paraId="6ED7E5EA" w14:textId="77777777" w:rsidTr="00D31B9A">
        <w:tc>
          <w:tcPr>
            <w:tcW w:w="9016" w:type="dxa"/>
            <w:tcBorders>
              <w:bottom w:val="single" w:sz="12" w:space="0" w:color="00B050"/>
            </w:tcBorders>
            <w:shd w:val="clear" w:color="auto" w:fill="2763AC"/>
          </w:tcPr>
          <w:p w14:paraId="416F8897" w14:textId="77777777"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Recommendation 2</w:t>
            </w:r>
          </w:p>
        </w:tc>
      </w:tr>
      <w:tr w:rsidR="00AC7D05" w:rsidRPr="00730C0D" w14:paraId="6254BE01" w14:textId="77777777" w:rsidTr="00D31B9A">
        <w:tc>
          <w:tcPr>
            <w:tcW w:w="9016" w:type="dxa"/>
            <w:tcBorders>
              <w:top w:val="single" w:sz="12" w:space="0" w:color="00B050"/>
            </w:tcBorders>
            <w:shd w:val="clear" w:color="auto" w:fill="D5DCE4" w:themeFill="text2" w:themeFillTint="33"/>
          </w:tcPr>
          <w:p w14:paraId="6B9C32C6" w14:textId="0FD0C64B" w:rsidR="00AC7D05" w:rsidRPr="00730C0D" w:rsidRDefault="00C200CB">
            <w:pPr>
              <w:spacing w:before="160" w:after="160" w:line="259" w:lineRule="auto"/>
              <w:rPr>
                <w:rFonts w:ascii="Century Gothic" w:hAnsi="Century Gothic"/>
                <w:b/>
                <w:sz w:val="20"/>
                <w:szCs w:val="20"/>
              </w:rPr>
            </w:pPr>
            <w:r w:rsidRPr="00D87B23">
              <w:rPr>
                <w:rFonts w:ascii="Century Gothic" w:hAnsi="Century Gothic"/>
                <w:b/>
                <w:sz w:val="20"/>
                <w:szCs w:val="20"/>
              </w:rPr>
              <w:t xml:space="preserve">In line with Recommendation 1, the current ‘Higher Education Provider’ category should be renamed ‘Institute of Higher Education’ category to build distinctiveness and to avoid confusion with the broad definition of ‘higher education provider’ under the </w:t>
            </w:r>
            <w:r>
              <w:rPr>
                <w:rFonts w:ascii="Century Gothic" w:hAnsi="Century Gothic"/>
                <w:b/>
                <w:sz w:val="20"/>
                <w:szCs w:val="20"/>
              </w:rPr>
              <w:br/>
            </w:r>
            <w:r w:rsidRPr="00D87B23">
              <w:rPr>
                <w:rFonts w:ascii="Century Gothic" w:hAnsi="Century Gothic"/>
                <w:b/>
                <w:i/>
                <w:sz w:val="20"/>
                <w:szCs w:val="20"/>
              </w:rPr>
              <w:t>Tertiary Education Quality and Standards Agency Act 2011</w:t>
            </w:r>
            <w:r w:rsidRPr="00D87B23">
              <w:rPr>
                <w:rFonts w:ascii="Century Gothic" w:hAnsi="Century Gothic"/>
                <w:b/>
                <w:sz w:val="20"/>
                <w:szCs w:val="20"/>
              </w:rPr>
              <w:t>.</w:t>
            </w:r>
          </w:p>
        </w:tc>
      </w:tr>
    </w:tbl>
    <w:p w14:paraId="680A11BD" w14:textId="77777777" w:rsidR="00AC7D05" w:rsidRPr="00730C0D" w:rsidRDefault="00AC7D05" w:rsidP="00F43130">
      <w:pPr>
        <w:keepNext/>
        <w:keepLines/>
        <w:spacing w:before="80" w:after="80"/>
        <w:outlineLvl w:val="2"/>
        <w:rPr>
          <w:rFonts w:ascii="Century Gothic" w:eastAsiaTheme="majorEastAsia" w:hAnsi="Century Gothic" w:cstheme="majorBidi"/>
          <w:b/>
          <w:sz w:val="20"/>
          <w:szCs w:val="20"/>
        </w:rPr>
      </w:pPr>
    </w:p>
    <w:p w14:paraId="676F82DD" w14:textId="6EB27D86" w:rsidR="00AC7D05" w:rsidRPr="00730C0D" w:rsidRDefault="003806EF" w:rsidP="004978DA">
      <w:pPr>
        <w:pStyle w:val="Heading3"/>
      </w:pPr>
      <w:bookmarkStart w:id="58" w:name="_2.2.4_Differentiation"/>
      <w:bookmarkStart w:id="59" w:name="_Toc18592332"/>
      <w:bookmarkEnd w:id="58"/>
      <w:r w:rsidRPr="00730C0D">
        <w:t>2.2.</w:t>
      </w:r>
      <w:r w:rsidR="00826449" w:rsidRPr="00730C0D">
        <w:t>4</w:t>
      </w:r>
      <w:r w:rsidRPr="00730C0D">
        <w:tab/>
      </w:r>
      <w:r w:rsidR="00AC7D05" w:rsidRPr="00730C0D">
        <w:t>Differentiation</w:t>
      </w:r>
      <w:bookmarkEnd w:id="59"/>
    </w:p>
    <w:p w14:paraId="3BFC39D8" w14:textId="71E54807"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There </w:t>
      </w:r>
      <w:r w:rsidR="00F9411B" w:rsidRPr="00730C0D">
        <w:rPr>
          <w:rFonts w:ascii="Century Gothic" w:hAnsi="Century Gothic"/>
          <w:sz w:val="20"/>
          <w:szCs w:val="20"/>
        </w:rPr>
        <w:t>i</w:t>
      </w:r>
      <w:r w:rsidRPr="00730C0D">
        <w:rPr>
          <w:rFonts w:ascii="Century Gothic" w:hAnsi="Century Gothic"/>
          <w:sz w:val="20"/>
          <w:szCs w:val="20"/>
        </w:rPr>
        <w:t>s an almost unanimous view from respondents</w:t>
      </w:r>
      <w:r w:rsidR="00527A0F">
        <w:rPr>
          <w:rFonts w:ascii="Century Gothic" w:hAnsi="Century Gothic"/>
          <w:sz w:val="20"/>
          <w:szCs w:val="20"/>
        </w:rPr>
        <w:t xml:space="preserve"> </w:t>
      </w:r>
      <w:r w:rsidR="002E1536">
        <w:rPr>
          <w:rFonts w:ascii="Century Gothic" w:hAnsi="Century Gothic"/>
          <w:sz w:val="20"/>
          <w:szCs w:val="20"/>
        </w:rPr>
        <w:t>–</w:t>
      </w:r>
      <w:r w:rsidR="00527A0F">
        <w:rPr>
          <w:rFonts w:ascii="Century Gothic" w:hAnsi="Century Gothic"/>
          <w:sz w:val="20"/>
          <w:szCs w:val="20"/>
        </w:rPr>
        <w:t xml:space="preserve"> </w:t>
      </w:r>
      <w:r w:rsidRPr="00730C0D">
        <w:rPr>
          <w:rFonts w:ascii="Century Gothic" w:hAnsi="Century Gothic"/>
          <w:sz w:val="20"/>
          <w:szCs w:val="20"/>
        </w:rPr>
        <w:t>universities</w:t>
      </w:r>
      <w:r w:rsidR="002E1536">
        <w:rPr>
          <w:rFonts w:ascii="Century Gothic" w:hAnsi="Century Gothic"/>
          <w:sz w:val="20"/>
          <w:szCs w:val="20"/>
        </w:rPr>
        <w:t xml:space="preserve"> </w:t>
      </w:r>
      <w:r w:rsidRPr="00730C0D">
        <w:rPr>
          <w:rFonts w:ascii="Century Gothic" w:hAnsi="Century Gothic"/>
          <w:sz w:val="20"/>
          <w:szCs w:val="20"/>
        </w:rPr>
        <w:t>and other higher education providers alike</w:t>
      </w:r>
      <w:r w:rsidR="00527A0F">
        <w:rPr>
          <w:rFonts w:ascii="Century Gothic" w:hAnsi="Century Gothic"/>
          <w:sz w:val="20"/>
          <w:szCs w:val="20"/>
        </w:rPr>
        <w:t xml:space="preserve"> </w:t>
      </w:r>
      <w:r w:rsidR="002E1536">
        <w:rPr>
          <w:rFonts w:ascii="Century Gothic" w:hAnsi="Century Gothic"/>
          <w:sz w:val="20"/>
          <w:szCs w:val="20"/>
        </w:rPr>
        <w:t>–</w:t>
      </w:r>
      <w:r w:rsidR="00527A0F">
        <w:rPr>
          <w:rFonts w:ascii="Century Gothic" w:hAnsi="Century Gothic"/>
          <w:sz w:val="20"/>
          <w:szCs w:val="20"/>
        </w:rPr>
        <w:t xml:space="preserve"> </w:t>
      </w:r>
      <w:r w:rsidRPr="00730C0D">
        <w:rPr>
          <w:rFonts w:ascii="Century Gothic" w:hAnsi="Century Gothic"/>
          <w:sz w:val="20"/>
          <w:szCs w:val="20"/>
        </w:rPr>
        <w:t>that</w:t>
      </w:r>
      <w:r w:rsidR="002E1536">
        <w:rPr>
          <w:rFonts w:ascii="Century Gothic" w:hAnsi="Century Gothic"/>
          <w:sz w:val="20"/>
          <w:szCs w:val="20"/>
        </w:rPr>
        <w:t xml:space="preserve"> </w:t>
      </w:r>
      <w:r w:rsidRPr="00730C0D">
        <w:rPr>
          <w:rFonts w:ascii="Century Gothic" w:hAnsi="Century Gothic"/>
          <w:sz w:val="20"/>
          <w:szCs w:val="20"/>
        </w:rPr>
        <w:t xml:space="preserve">a single ‘Higher Education Provider’ category does not sufficiently represent the differentiation of providers in this category. </w:t>
      </w:r>
      <w:r w:rsidR="00D8100C" w:rsidRPr="00730C0D">
        <w:rPr>
          <w:rFonts w:ascii="Century Gothic" w:hAnsi="Century Gothic"/>
          <w:sz w:val="20"/>
          <w:szCs w:val="20"/>
        </w:rPr>
        <w:t>Furthermore, “categorising all higher education providers together does not support providers to strive for excellence, merely providing a broad minimum category standard”.</w:t>
      </w:r>
      <w:r w:rsidR="00D8100C" w:rsidRPr="00730C0D">
        <w:rPr>
          <w:rFonts w:ascii="Century Gothic" w:hAnsi="Century Gothic"/>
          <w:sz w:val="20"/>
          <w:szCs w:val="20"/>
          <w:vertAlign w:val="superscript"/>
        </w:rPr>
        <w:footnoteReference w:id="54"/>
      </w:r>
    </w:p>
    <w:p w14:paraId="5AFB40BA" w14:textId="7253A9B2" w:rsidR="00C77F22" w:rsidRPr="00730C0D" w:rsidRDefault="00C77F22"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C77F22" w:rsidRPr="00730C0D" w14:paraId="4AA20660"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63BD4668" w14:textId="77777777" w:rsidR="00C77F22" w:rsidRPr="00730C0D" w:rsidRDefault="00C77F22" w:rsidP="00C86660">
            <w:pPr>
              <w:spacing w:before="0" w:after="0" w:line="259" w:lineRule="auto"/>
              <w:jc w:val="both"/>
              <w:rPr>
                <w:rFonts w:ascii="Century Gothic" w:hAnsi="Century Gothic"/>
                <w:b w:val="0"/>
                <w:i/>
                <w:color w:val="auto"/>
                <w:sz w:val="20"/>
                <w:szCs w:val="20"/>
              </w:rPr>
            </w:pPr>
          </w:p>
          <w:p w14:paraId="6F42DDD8" w14:textId="1FC1A51C" w:rsidR="00C77F22" w:rsidRPr="00730C0D" w:rsidRDefault="00C77F22"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“Australia’s growing independent higher education sector however is currently grouped into a single category. This fails to recognise the diversity of providers in the independent educatio</w:t>
            </w:r>
            <w:r w:rsidR="00955DF2" w:rsidRPr="00730C0D">
              <w:rPr>
                <w:rFonts w:ascii="Century Gothic" w:hAnsi="Century Gothic" w:cstheme="minorHAnsi"/>
                <w:b w:val="0"/>
                <w:color w:val="2763AC"/>
                <w:sz w:val="20"/>
                <w:szCs w:val="20"/>
              </w:rPr>
              <w:t>n sector. […]</w:t>
            </w:r>
            <w:r w:rsidRPr="00730C0D">
              <w:rPr>
                <w:rFonts w:ascii="Century Gothic" w:hAnsi="Century Gothic" w:cstheme="minorHAnsi"/>
                <w:b w:val="0"/>
                <w:color w:val="2763AC"/>
                <w:sz w:val="20"/>
                <w:szCs w:val="20"/>
              </w:rPr>
              <w:t xml:space="preserve"> Greater category diversification within the HEP category would be more transparent, more facilitative, and more encouraging of development”.</w:t>
            </w:r>
          </w:p>
          <w:p w14:paraId="73458E0B" w14:textId="77777777" w:rsidR="00C77F22" w:rsidRPr="00730C0D" w:rsidRDefault="00C77F22" w:rsidP="00C86660">
            <w:pPr>
              <w:spacing w:before="0" w:after="0" w:line="259" w:lineRule="auto"/>
              <w:jc w:val="both"/>
              <w:rPr>
                <w:rFonts w:ascii="Century Gothic" w:hAnsi="Century Gothic" w:cstheme="minorHAnsi"/>
                <w:color w:val="auto"/>
                <w:sz w:val="20"/>
                <w:szCs w:val="20"/>
              </w:rPr>
            </w:pPr>
          </w:p>
          <w:p w14:paraId="4E672F76" w14:textId="09C33867" w:rsidR="00C77F22" w:rsidRPr="00730C0D" w:rsidRDefault="00C77F22"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 xml:space="preserve">Independent Higher Education </w:t>
            </w:r>
            <w:r w:rsidR="00EA67CB" w:rsidRPr="00730C0D">
              <w:rPr>
                <w:rFonts w:ascii="Century Gothic" w:hAnsi="Century Gothic" w:cstheme="minorHAnsi"/>
                <w:color w:val="2763AC"/>
                <w:sz w:val="18"/>
                <w:szCs w:val="18"/>
              </w:rPr>
              <w:t xml:space="preserve">Australia </w:t>
            </w:r>
            <w:r w:rsidRPr="00730C0D">
              <w:rPr>
                <w:rFonts w:ascii="Century Gothic" w:hAnsi="Century Gothic" w:cstheme="minorHAnsi"/>
                <w:color w:val="2763AC"/>
                <w:sz w:val="18"/>
                <w:szCs w:val="18"/>
              </w:rPr>
              <w:t>submission to the PCS Review 2019, pp.1,4</w:t>
            </w:r>
          </w:p>
          <w:p w14:paraId="67949842" w14:textId="77777777" w:rsidR="00C77F22" w:rsidRPr="00730C0D" w:rsidRDefault="00C77F22" w:rsidP="00C86660">
            <w:pPr>
              <w:spacing w:before="0" w:after="0" w:line="259" w:lineRule="auto"/>
              <w:jc w:val="right"/>
              <w:rPr>
                <w:rFonts w:ascii="Century Gothic" w:hAnsi="Century Gothic"/>
                <w:b w:val="0"/>
                <w:color w:val="auto"/>
                <w:sz w:val="20"/>
                <w:szCs w:val="20"/>
              </w:rPr>
            </w:pPr>
          </w:p>
        </w:tc>
      </w:tr>
    </w:tbl>
    <w:p w14:paraId="4578F0C3" w14:textId="2FD07D85" w:rsidR="00AC7D05" w:rsidRPr="00730C0D" w:rsidRDefault="00AC7D05" w:rsidP="00D31B9A">
      <w:pPr>
        <w:spacing w:before="0" w:after="0"/>
        <w:rPr>
          <w:rFonts w:ascii="Century Gothic" w:hAnsi="Century Gothic"/>
          <w:sz w:val="20"/>
          <w:szCs w:val="20"/>
        </w:rPr>
      </w:pPr>
    </w:p>
    <w:p w14:paraId="77353EB8" w14:textId="6C84BFCF" w:rsidR="00F43130" w:rsidRDefault="00AC7D05" w:rsidP="00F43130">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hAnsi="Century Gothic"/>
          <w:sz w:val="20"/>
          <w:szCs w:val="20"/>
        </w:rPr>
        <w:t xml:space="preserve">Multiple options to </w:t>
      </w:r>
      <w:r w:rsidR="00527A0F">
        <w:rPr>
          <w:rFonts w:ascii="Century Gothic" w:hAnsi="Century Gothic"/>
          <w:sz w:val="20"/>
          <w:szCs w:val="20"/>
        </w:rPr>
        <w:t>subdivide</w:t>
      </w:r>
      <w:r w:rsidR="00527A0F" w:rsidRPr="00730C0D">
        <w:rPr>
          <w:rFonts w:ascii="Century Gothic" w:hAnsi="Century Gothic"/>
          <w:sz w:val="20"/>
          <w:szCs w:val="20"/>
        </w:rPr>
        <w:t xml:space="preserve"> </w:t>
      </w:r>
      <w:r w:rsidRPr="00730C0D">
        <w:rPr>
          <w:rFonts w:ascii="Century Gothic" w:hAnsi="Century Gothic"/>
          <w:sz w:val="20"/>
          <w:szCs w:val="20"/>
        </w:rPr>
        <w:t xml:space="preserve">the current ‘Higher Education Provider’ category were identified, two of which found most support – differentiation by provider type and by accreditation status. </w:t>
      </w:r>
      <w:r w:rsidR="00506767" w:rsidRPr="00730C0D">
        <w:rPr>
          <w:rFonts w:ascii="Century Gothic" w:hAnsi="Century Gothic"/>
          <w:sz w:val="20"/>
          <w:szCs w:val="20"/>
        </w:rPr>
        <w:t xml:space="preserve">These have been considered in light of the </w:t>
      </w:r>
      <w:r w:rsidR="00527A0F">
        <w:rPr>
          <w:rFonts w:ascii="Century Gothic" w:hAnsi="Century Gothic"/>
          <w:sz w:val="20"/>
          <w:szCs w:val="20"/>
        </w:rPr>
        <w:t>preference</w:t>
      </w:r>
      <w:r w:rsidR="00527A0F" w:rsidRPr="00730C0D">
        <w:rPr>
          <w:rFonts w:ascii="Century Gothic" w:hAnsi="Century Gothic"/>
          <w:sz w:val="20"/>
          <w:szCs w:val="20"/>
        </w:rPr>
        <w:t xml:space="preserve"> </w:t>
      </w:r>
      <w:r w:rsidR="00506767" w:rsidRPr="00730C0D">
        <w:rPr>
          <w:rFonts w:ascii="Century Gothic" w:hAnsi="Century Gothic"/>
          <w:sz w:val="20"/>
          <w:szCs w:val="20"/>
        </w:rPr>
        <w:t xml:space="preserve">to simplify </w:t>
      </w:r>
      <w:r w:rsidR="002E1536">
        <w:rPr>
          <w:rFonts w:ascii="Century Gothic" w:hAnsi="Century Gothic"/>
          <w:sz w:val="20"/>
          <w:szCs w:val="20"/>
        </w:rPr>
        <w:br/>
      </w:r>
      <w:r w:rsidR="00506767" w:rsidRPr="00730C0D">
        <w:rPr>
          <w:rFonts w:ascii="Century Gothic" w:hAnsi="Century Gothic"/>
          <w:sz w:val="20"/>
          <w:szCs w:val="20"/>
        </w:rPr>
        <w:t>the PCS.</w:t>
      </w:r>
    </w:p>
    <w:p w14:paraId="4108AD31" w14:textId="77777777" w:rsidR="00F43130" w:rsidRDefault="00F43130" w:rsidP="00F43130">
      <w:pPr>
        <w:spacing w:before="0" w:after="0"/>
        <w:rPr>
          <w:rFonts w:ascii="Century Gothic" w:eastAsiaTheme="majorEastAsia" w:hAnsi="Century Gothic" w:cstheme="majorBidi"/>
          <w:i/>
          <w:iCs/>
          <w:color w:val="2E74B5" w:themeColor="accent1" w:themeShade="BF"/>
          <w:sz w:val="20"/>
          <w:szCs w:val="20"/>
        </w:rPr>
      </w:pPr>
    </w:p>
    <w:p w14:paraId="02DE4BF7" w14:textId="77777777" w:rsidR="00A76EB6" w:rsidRDefault="00A76EB6">
      <w:pPr>
        <w:spacing w:before="0" w:after="160"/>
        <w:rPr>
          <w:rFonts w:ascii="Century Gothic" w:eastAsiaTheme="majorEastAsia" w:hAnsi="Century Gothic" w:cstheme="majorBidi"/>
          <w:i/>
          <w:iCs/>
          <w:color w:val="2E74B5" w:themeColor="accent1" w:themeShade="BF"/>
          <w:sz w:val="20"/>
          <w:szCs w:val="20"/>
        </w:rPr>
      </w:pPr>
      <w:r>
        <w:rPr>
          <w:rFonts w:ascii="Century Gothic" w:eastAsiaTheme="majorEastAsia" w:hAnsi="Century Gothic" w:cstheme="majorBidi"/>
          <w:i/>
          <w:iCs/>
          <w:color w:val="2E74B5" w:themeColor="accent1" w:themeShade="BF"/>
          <w:sz w:val="20"/>
          <w:szCs w:val="20"/>
        </w:rPr>
        <w:br w:type="page"/>
      </w:r>
    </w:p>
    <w:p w14:paraId="1BCC1B8D" w14:textId="09184366" w:rsidR="00AC7D05" w:rsidRPr="00F43130" w:rsidRDefault="00AC7D05" w:rsidP="00F43130">
      <w:pPr>
        <w:spacing w:before="0" w:after="0"/>
        <w:rPr>
          <w:rFonts w:ascii="Century Gothic" w:hAnsi="Century Gothic"/>
          <w:sz w:val="20"/>
          <w:szCs w:val="20"/>
        </w:rPr>
      </w:pPr>
      <w:r w:rsidRPr="00730C0D">
        <w:rPr>
          <w:rFonts w:ascii="Century Gothic" w:eastAsiaTheme="majorEastAsia" w:hAnsi="Century Gothic" w:cstheme="majorBidi"/>
          <w:i/>
          <w:iCs/>
          <w:color w:val="2E74B5" w:themeColor="accent1" w:themeShade="BF"/>
          <w:sz w:val="20"/>
          <w:szCs w:val="20"/>
        </w:rPr>
        <w:t xml:space="preserve">Differentiation by Provider Type </w:t>
      </w:r>
    </w:p>
    <w:p w14:paraId="0049A61A" w14:textId="2D0B773A" w:rsidR="00AC7D05"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Two current provider types </w:t>
      </w:r>
      <w:r w:rsidR="00E02775" w:rsidRPr="00730C0D">
        <w:rPr>
          <w:rFonts w:ascii="Century Gothic" w:hAnsi="Century Gothic"/>
          <w:sz w:val="20"/>
          <w:szCs w:val="20"/>
        </w:rPr>
        <w:t>are</w:t>
      </w:r>
      <w:r w:rsidRPr="00730C0D">
        <w:rPr>
          <w:rFonts w:ascii="Century Gothic" w:hAnsi="Century Gothic"/>
          <w:sz w:val="20"/>
          <w:szCs w:val="20"/>
        </w:rPr>
        <w:t xml:space="preserve"> identified by stakeholders as relatively distinct – pathway providers and TAFEs – and one potential future provider type – polytechnics. These providers are recognised for their distinct missions and operating structures, student profiles, and accountability and regulatory oversight arrangements.  </w:t>
      </w:r>
    </w:p>
    <w:p w14:paraId="2BE9C17D" w14:textId="77777777" w:rsidR="00A76EB6" w:rsidRPr="00730C0D" w:rsidRDefault="00A76EB6" w:rsidP="00D31B9A">
      <w:pPr>
        <w:spacing w:before="0" w:after="0"/>
        <w:rPr>
          <w:rFonts w:ascii="Century Gothic" w:hAnsi="Century Gothic"/>
          <w:sz w:val="20"/>
          <w:szCs w:val="20"/>
        </w:rPr>
      </w:pPr>
    </w:p>
    <w:p w14:paraId="57DB77EB" w14:textId="0C41EDD5" w:rsidR="00AC7D05" w:rsidRPr="00730C0D" w:rsidRDefault="00AC7D05" w:rsidP="00D31B9A">
      <w:pPr>
        <w:spacing w:before="0" w:after="0"/>
        <w:rPr>
          <w:rFonts w:ascii="Century Gothic" w:hAnsi="Century Gothic"/>
          <w:i/>
          <w:sz w:val="20"/>
          <w:szCs w:val="20"/>
        </w:rPr>
      </w:pPr>
      <w:r w:rsidRPr="00730C0D">
        <w:rPr>
          <w:rFonts w:ascii="Century Gothic" w:hAnsi="Century Gothic"/>
          <w:i/>
          <w:sz w:val="20"/>
          <w:szCs w:val="20"/>
        </w:rPr>
        <w:t>Pathway providers</w:t>
      </w:r>
    </w:p>
    <w:p w14:paraId="19945AF9" w14:textId="78AE321D"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There are 14 pathway providers currently registered with TEQSA in the ‘Higher Education Provider’ category.</w:t>
      </w:r>
      <w:r w:rsidRPr="00730C0D">
        <w:rPr>
          <w:rFonts w:ascii="Century Gothic" w:hAnsi="Century Gothic"/>
          <w:sz w:val="20"/>
          <w:szCs w:val="20"/>
          <w:vertAlign w:val="superscript"/>
        </w:rPr>
        <w:footnoteReference w:id="55"/>
      </w:r>
      <w:r w:rsidRPr="00730C0D">
        <w:rPr>
          <w:rFonts w:ascii="Century Gothic" w:hAnsi="Century Gothic"/>
          <w:sz w:val="20"/>
          <w:szCs w:val="20"/>
        </w:rPr>
        <w:t xml:space="preserve"> Pathway providers serve an important function in offering diploma or foundational courses to help prepare students for entry into higher degrees, often into the second year of a university course. Generally, pathway providers have a relationship with a specific university through articulation and credit recognition arrangements, but others may </w:t>
      </w:r>
      <w:r w:rsidR="00EC7FDB" w:rsidRPr="00730C0D">
        <w:rPr>
          <w:rFonts w:ascii="Century Gothic" w:hAnsi="Century Gothic"/>
          <w:sz w:val="20"/>
          <w:szCs w:val="20"/>
        </w:rPr>
        <w:t xml:space="preserve">admit </w:t>
      </w:r>
      <w:r w:rsidRPr="00730C0D">
        <w:rPr>
          <w:rFonts w:ascii="Century Gothic" w:hAnsi="Century Gothic"/>
          <w:sz w:val="20"/>
          <w:szCs w:val="20"/>
        </w:rPr>
        <w:t xml:space="preserve">students into multiple universities. </w:t>
      </w:r>
    </w:p>
    <w:p w14:paraId="6B72CBCF" w14:textId="77777777" w:rsidR="00AC7D05" w:rsidRPr="00730C0D" w:rsidRDefault="00AC7D05" w:rsidP="00D31B9A">
      <w:pPr>
        <w:spacing w:before="0" w:after="0"/>
        <w:rPr>
          <w:rFonts w:ascii="Century Gothic" w:hAnsi="Century Gothic"/>
          <w:sz w:val="20"/>
          <w:szCs w:val="20"/>
        </w:rPr>
      </w:pPr>
    </w:p>
    <w:p w14:paraId="2E01BDBC" w14:textId="5D15FDC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A number of stakeholders suggest a discrete category for pathway providers for several reasons, including:</w:t>
      </w:r>
    </w:p>
    <w:p w14:paraId="13D8A0C1" w14:textId="38AF7979" w:rsidR="00AC7D05" w:rsidRPr="00730C0D" w:rsidRDefault="00AC7D05" w:rsidP="0024520B">
      <w:pPr>
        <w:numPr>
          <w:ilvl w:val="0"/>
          <w:numId w:val="43"/>
        </w:numPr>
        <w:spacing w:before="0" w:after="0"/>
        <w:contextualSpacing/>
        <w:rPr>
          <w:rFonts w:ascii="Century Gothic" w:hAnsi="Century Gothic"/>
          <w:sz w:val="20"/>
          <w:szCs w:val="20"/>
        </w:rPr>
      </w:pPr>
      <w:r w:rsidRPr="00730C0D">
        <w:rPr>
          <w:rFonts w:ascii="Century Gothic" w:hAnsi="Century Gothic"/>
          <w:sz w:val="20"/>
          <w:szCs w:val="20"/>
        </w:rPr>
        <w:t>pathway providers’ courses do not extend beyond</w:t>
      </w:r>
      <w:r w:rsidR="00F2494B" w:rsidRPr="00730C0D">
        <w:rPr>
          <w:rFonts w:ascii="Century Gothic" w:hAnsi="Century Gothic"/>
          <w:sz w:val="20"/>
          <w:szCs w:val="20"/>
        </w:rPr>
        <w:t xml:space="preserve"> the current AQF Level 6 (Advanced Diploma and Associate Degree)</w:t>
      </w:r>
      <w:r w:rsidRPr="00730C0D">
        <w:rPr>
          <w:rFonts w:ascii="Century Gothic" w:hAnsi="Century Gothic"/>
          <w:sz w:val="20"/>
          <w:szCs w:val="20"/>
        </w:rPr>
        <w:t xml:space="preserve"> and are therefore distinct provider types in the higher education landscape</w:t>
      </w:r>
      <w:r w:rsidR="00D8100C" w:rsidRPr="00730C0D">
        <w:rPr>
          <w:rFonts w:ascii="Century Gothic" w:hAnsi="Century Gothic"/>
          <w:sz w:val="20"/>
          <w:szCs w:val="20"/>
        </w:rPr>
        <w:t>;</w:t>
      </w:r>
      <w:r w:rsidRPr="00730C0D">
        <w:rPr>
          <w:rFonts w:ascii="Century Gothic" w:hAnsi="Century Gothic"/>
          <w:sz w:val="20"/>
          <w:szCs w:val="20"/>
          <w:vertAlign w:val="superscript"/>
        </w:rPr>
        <w:footnoteReference w:id="56"/>
      </w:r>
    </w:p>
    <w:p w14:paraId="789BBC37" w14:textId="1E5CF918" w:rsidR="00AC7D05" w:rsidRPr="00730C0D" w:rsidRDefault="00AC7D05" w:rsidP="0024520B">
      <w:pPr>
        <w:numPr>
          <w:ilvl w:val="0"/>
          <w:numId w:val="43"/>
        </w:numPr>
        <w:spacing w:before="0" w:after="0"/>
        <w:contextualSpacing/>
        <w:rPr>
          <w:rFonts w:ascii="Century Gothic" w:hAnsi="Century Gothic"/>
          <w:sz w:val="20"/>
          <w:szCs w:val="20"/>
        </w:rPr>
      </w:pPr>
      <w:r w:rsidRPr="00730C0D">
        <w:rPr>
          <w:rFonts w:ascii="Century Gothic" w:hAnsi="Century Gothic"/>
          <w:sz w:val="20"/>
          <w:szCs w:val="20"/>
        </w:rPr>
        <w:t>pathway providers are often low risk providers and “by virtue of both academic outcomes and brand association, a significant portion of academic risk related to pathways provision is borne by the destination or ‘owning’ university”</w:t>
      </w:r>
      <w:r w:rsidR="00D8100C" w:rsidRPr="00730C0D">
        <w:rPr>
          <w:rFonts w:ascii="Century Gothic" w:hAnsi="Century Gothic"/>
          <w:sz w:val="20"/>
          <w:szCs w:val="20"/>
        </w:rPr>
        <w:t>;</w:t>
      </w:r>
      <w:r w:rsidRPr="00730C0D">
        <w:rPr>
          <w:rFonts w:ascii="Century Gothic" w:hAnsi="Century Gothic"/>
          <w:sz w:val="20"/>
          <w:szCs w:val="20"/>
          <w:vertAlign w:val="superscript"/>
        </w:rPr>
        <w:footnoteReference w:id="57"/>
      </w:r>
      <w:r w:rsidRPr="00730C0D">
        <w:rPr>
          <w:rFonts w:ascii="Century Gothic" w:hAnsi="Century Gothic"/>
          <w:sz w:val="20"/>
          <w:szCs w:val="20"/>
        </w:rPr>
        <w:t xml:space="preserve"> </w:t>
      </w:r>
      <w:r w:rsidR="00D8100C" w:rsidRPr="00730C0D">
        <w:rPr>
          <w:rFonts w:ascii="Century Gothic" w:hAnsi="Century Gothic"/>
          <w:sz w:val="20"/>
          <w:szCs w:val="20"/>
        </w:rPr>
        <w:t>and</w:t>
      </w:r>
    </w:p>
    <w:p w14:paraId="06D8D86E" w14:textId="5CDC46E0" w:rsidR="00AC7D05" w:rsidRPr="00730C0D" w:rsidRDefault="00AC7D05" w:rsidP="0024520B">
      <w:pPr>
        <w:numPr>
          <w:ilvl w:val="0"/>
          <w:numId w:val="43"/>
        </w:numPr>
        <w:spacing w:before="0" w:after="0"/>
        <w:contextualSpacing/>
        <w:rPr>
          <w:rFonts w:ascii="Century Gothic" w:hAnsi="Century Gothic"/>
          <w:sz w:val="20"/>
          <w:szCs w:val="20"/>
        </w:rPr>
      </w:pPr>
      <w:r w:rsidRPr="00730C0D">
        <w:rPr>
          <w:rFonts w:ascii="Century Gothic" w:hAnsi="Century Gothic"/>
          <w:sz w:val="20"/>
          <w:szCs w:val="20"/>
        </w:rPr>
        <w:t xml:space="preserve">pathway providers often have complex accountability and regulatory requirements requiring oversight from both their affiliated university and TEQSA. </w:t>
      </w:r>
    </w:p>
    <w:p w14:paraId="0997F611" w14:textId="77777777" w:rsidR="002A3212" w:rsidRPr="00730C0D" w:rsidRDefault="002A3212" w:rsidP="002A3212">
      <w:pPr>
        <w:spacing w:before="0" w:after="0"/>
        <w:ind w:left="775"/>
        <w:contextualSpacing/>
        <w:rPr>
          <w:rFonts w:ascii="Century Gothic" w:hAnsi="Century Gothic"/>
          <w:sz w:val="20"/>
          <w:szCs w:val="20"/>
        </w:rPr>
      </w:pPr>
    </w:p>
    <w:p w14:paraId="47F3B84C" w14:textId="77777777" w:rsidR="00AC7D05" w:rsidRPr="00730C0D" w:rsidRDefault="00AC7D05" w:rsidP="00D31B9A">
      <w:pPr>
        <w:spacing w:before="0" w:after="0"/>
        <w:rPr>
          <w:rFonts w:ascii="Century Gothic" w:hAnsi="Century Gothic"/>
          <w:i/>
          <w:sz w:val="20"/>
          <w:szCs w:val="20"/>
        </w:rPr>
      </w:pPr>
      <w:r w:rsidRPr="00730C0D">
        <w:rPr>
          <w:rFonts w:ascii="Century Gothic" w:hAnsi="Century Gothic"/>
          <w:i/>
          <w:sz w:val="20"/>
          <w:szCs w:val="20"/>
        </w:rPr>
        <w:t>TAFE providers</w:t>
      </w:r>
    </w:p>
    <w:p w14:paraId="6BF20842" w14:textId="7709C03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There are 1</w:t>
      </w:r>
      <w:r w:rsidR="00AD352D" w:rsidRPr="00730C0D">
        <w:rPr>
          <w:rFonts w:ascii="Century Gothic" w:hAnsi="Century Gothic"/>
          <w:sz w:val="20"/>
          <w:szCs w:val="20"/>
        </w:rPr>
        <w:t>1</w:t>
      </w:r>
      <w:r w:rsidRPr="00730C0D">
        <w:rPr>
          <w:rFonts w:ascii="Century Gothic" w:hAnsi="Century Gothic"/>
          <w:sz w:val="20"/>
          <w:szCs w:val="20"/>
        </w:rPr>
        <w:t xml:space="preserve"> TAFEs currently registered with TEQSA in the ‘Higher Education Provider’ category.</w:t>
      </w:r>
      <w:r w:rsidR="00EC7FDB" w:rsidRPr="00730C0D">
        <w:rPr>
          <w:rStyle w:val="FootnoteReference"/>
          <w:rFonts w:ascii="Century Gothic" w:hAnsi="Century Gothic"/>
          <w:sz w:val="20"/>
          <w:szCs w:val="20"/>
        </w:rPr>
        <w:footnoteReference w:id="58"/>
      </w:r>
      <w:r w:rsidRPr="00730C0D">
        <w:rPr>
          <w:rFonts w:ascii="Century Gothic" w:hAnsi="Century Gothic"/>
          <w:sz w:val="20"/>
          <w:szCs w:val="20"/>
        </w:rPr>
        <w:t xml:space="preserve"> TAFEs are publicly funded, highly regulated institutions with strong links to industry. All 1</w:t>
      </w:r>
      <w:r w:rsidR="00364895" w:rsidRPr="00730C0D">
        <w:rPr>
          <w:rFonts w:ascii="Century Gothic" w:hAnsi="Century Gothic"/>
          <w:sz w:val="20"/>
          <w:szCs w:val="20"/>
        </w:rPr>
        <w:t>1</w:t>
      </w:r>
      <w:r w:rsidRPr="00730C0D">
        <w:rPr>
          <w:rFonts w:ascii="Century Gothic" w:hAnsi="Century Gothic"/>
          <w:sz w:val="20"/>
          <w:szCs w:val="20"/>
        </w:rPr>
        <w:t xml:space="preserve"> </w:t>
      </w:r>
      <w:r w:rsidR="00A27F9B" w:rsidRPr="00730C0D">
        <w:rPr>
          <w:rFonts w:ascii="Century Gothic" w:hAnsi="Century Gothic"/>
          <w:sz w:val="20"/>
          <w:szCs w:val="20"/>
        </w:rPr>
        <w:t xml:space="preserve">of these </w:t>
      </w:r>
      <w:r w:rsidRPr="00730C0D">
        <w:rPr>
          <w:rFonts w:ascii="Century Gothic" w:hAnsi="Century Gothic"/>
          <w:sz w:val="20"/>
          <w:szCs w:val="20"/>
        </w:rPr>
        <w:t>TAFEs are dual sector providers and, for most of them, higher education forms a small component of their total course offerings and</w:t>
      </w:r>
      <w:r w:rsidR="0000777E" w:rsidRPr="00730C0D">
        <w:rPr>
          <w:rFonts w:ascii="Century Gothic" w:hAnsi="Century Gothic"/>
          <w:sz w:val="20"/>
          <w:szCs w:val="20"/>
        </w:rPr>
        <w:t xml:space="preserve"> a</w:t>
      </w:r>
      <w:r w:rsidRPr="00730C0D">
        <w:rPr>
          <w:rFonts w:ascii="Century Gothic" w:hAnsi="Century Gothic"/>
          <w:sz w:val="20"/>
          <w:szCs w:val="20"/>
        </w:rPr>
        <w:t xml:space="preserve"> </w:t>
      </w:r>
      <w:r w:rsidR="0000777E" w:rsidRPr="00730C0D">
        <w:rPr>
          <w:rFonts w:ascii="Century Gothic" w:hAnsi="Century Gothic"/>
          <w:sz w:val="20"/>
          <w:szCs w:val="20"/>
        </w:rPr>
        <w:t xml:space="preserve">minor </w:t>
      </w:r>
      <w:r w:rsidRPr="00730C0D">
        <w:rPr>
          <w:rFonts w:ascii="Century Gothic" w:hAnsi="Century Gothic"/>
          <w:sz w:val="20"/>
          <w:szCs w:val="20"/>
        </w:rPr>
        <w:t>proportion of their enrolments.</w:t>
      </w:r>
      <w:r w:rsidR="00E5771B" w:rsidRPr="00730C0D">
        <w:rPr>
          <w:rStyle w:val="FootnoteReference"/>
          <w:rFonts w:ascii="Century Gothic" w:hAnsi="Century Gothic"/>
          <w:sz w:val="20"/>
          <w:szCs w:val="20"/>
        </w:rPr>
        <w:footnoteReference w:id="59"/>
      </w:r>
      <w:r w:rsidRPr="00730C0D">
        <w:rPr>
          <w:rFonts w:ascii="Century Gothic" w:hAnsi="Century Gothic"/>
          <w:sz w:val="20"/>
          <w:szCs w:val="20"/>
        </w:rPr>
        <w:t xml:space="preserve"> As of </w:t>
      </w:r>
      <w:r w:rsidR="00364895" w:rsidRPr="00730C0D">
        <w:rPr>
          <w:rFonts w:ascii="Century Gothic" w:hAnsi="Century Gothic"/>
          <w:sz w:val="20"/>
          <w:szCs w:val="20"/>
        </w:rPr>
        <w:t>July </w:t>
      </w:r>
      <w:r w:rsidRPr="00730C0D">
        <w:rPr>
          <w:rFonts w:ascii="Century Gothic" w:hAnsi="Century Gothic"/>
          <w:sz w:val="20"/>
          <w:szCs w:val="20"/>
        </w:rPr>
        <w:t>2019, no TAFEs have applied to TEQSA for limited or unlimited self-accrediting authority</w:t>
      </w:r>
      <w:r w:rsidR="00F43130">
        <w:rPr>
          <w:rFonts w:ascii="Century Gothic" w:hAnsi="Century Gothic"/>
          <w:sz w:val="20"/>
          <w:szCs w:val="20"/>
        </w:rPr>
        <w:t>.</w:t>
      </w:r>
      <w:r w:rsidR="0000777E" w:rsidRPr="00730C0D">
        <w:rPr>
          <w:rStyle w:val="FootnoteReference"/>
          <w:rFonts w:ascii="Century Gothic" w:hAnsi="Century Gothic"/>
          <w:sz w:val="20"/>
          <w:szCs w:val="20"/>
        </w:rPr>
        <w:footnoteReference w:id="60"/>
      </w:r>
      <w:r w:rsidR="00D8100C" w:rsidRPr="00730C0D">
        <w:rPr>
          <w:rFonts w:ascii="Century Gothic" w:hAnsi="Century Gothic"/>
          <w:sz w:val="20"/>
          <w:szCs w:val="20"/>
        </w:rPr>
        <w:t xml:space="preserve"> This</w:t>
      </w:r>
      <w:r w:rsidR="00462D0C" w:rsidRPr="00730C0D">
        <w:rPr>
          <w:rFonts w:ascii="Century Gothic" w:hAnsi="Century Gothic"/>
          <w:sz w:val="20"/>
          <w:szCs w:val="20"/>
        </w:rPr>
        <w:t> </w:t>
      </w:r>
      <w:r w:rsidRPr="00730C0D">
        <w:rPr>
          <w:rFonts w:ascii="Century Gothic" w:hAnsi="Century Gothic"/>
          <w:sz w:val="20"/>
          <w:szCs w:val="20"/>
        </w:rPr>
        <w:t>may be due to cost and time constraints given th</w:t>
      </w:r>
      <w:r w:rsidR="00D8100C" w:rsidRPr="00730C0D">
        <w:rPr>
          <w:rFonts w:ascii="Century Gothic" w:hAnsi="Century Gothic"/>
          <w:sz w:val="20"/>
          <w:szCs w:val="20"/>
        </w:rPr>
        <w:t>eir</w:t>
      </w:r>
      <w:r w:rsidRPr="00730C0D">
        <w:rPr>
          <w:rFonts w:ascii="Century Gothic" w:hAnsi="Century Gothic"/>
          <w:sz w:val="20"/>
          <w:szCs w:val="20"/>
        </w:rPr>
        <w:t xml:space="preserve"> small higher education focus. Many</w:t>
      </w:r>
      <w:r w:rsidR="00462D0C" w:rsidRPr="00730C0D">
        <w:rPr>
          <w:rFonts w:ascii="Century Gothic" w:hAnsi="Century Gothic"/>
          <w:sz w:val="20"/>
          <w:szCs w:val="20"/>
        </w:rPr>
        <w:t> </w:t>
      </w:r>
      <w:r w:rsidRPr="00730C0D">
        <w:rPr>
          <w:rFonts w:ascii="Century Gothic" w:hAnsi="Century Gothic"/>
          <w:sz w:val="20"/>
          <w:szCs w:val="20"/>
        </w:rPr>
        <w:t>students who enrol in higher education programs at TAFEs are</w:t>
      </w:r>
      <w:r w:rsidR="0000777E" w:rsidRPr="00730C0D">
        <w:rPr>
          <w:rFonts w:ascii="Century Gothic" w:hAnsi="Century Gothic"/>
          <w:sz w:val="20"/>
          <w:szCs w:val="20"/>
        </w:rPr>
        <w:t xml:space="preserve"> </w:t>
      </w:r>
      <w:r w:rsidRPr="00730C0D">
        <w:rPr>
          <w:rFonts w:ascii="Century Gothic" w:hAnsi="Century Gothic"/>
          <w:sz w:val="20"/>
          <w:szCs w:val="20"/>
        </w:rPr>
        <w:t>mature age</w:t>
      </w:r>
      <w:r w:rsidR="0000777E" w:rsidRPr="00730C0D">
        <w:rPr>
          <w:rFonts w:ascii="Century Gothic" w:hAnsi="Century Gothic"/>
          <w:sz w:val="20"/>
          <w:szCs w:val="20"/>
        </w:rPr>
        <w:t xml:space="preserve"> and come </w:t>
      </w:r>
      <w:r w:rsidRPr="00730C0D">
        <w:rPr>
          <w:rFonts w:ascii="Century Gothic" w:hAnsi="Century Gothic"/>
          <w:sz w:val="20"/>
          <w:szCs w:val="20"/>
        </w:rPr>
        <w:t>from disadvantaged cohorts</w:t>
      </w:r>
      <w:r w:rsidR="0000777E" w:rsidRPr="00730C0D">
        <w:rPr>
          <w:rFonts w:ascii="Century Gothic" w:hAnsi="Century Gothic"/>
          <w:sz w:val="20"/>
          <w:szCs w:val="20"/>
        </w:rPr>
        <w:t>. They may be</w:t>
      </w:r>
      <w:r w:rsidRPr="00730C0D">
        <w:rPr>
          <w:rFonts w:ascii="Century Gothic" w:hAnsi="Century Gothic"/>
          <w:sz w:val="20"/>
          <w:szCs w:val="20"/>
        </w:rPr>
        <w:t xml:space="preserve"> career changers or </w:t>
      </w:r>
      <w:r w:rsidR="0000777E" w:rsidRPr="00730C0D">
        <w:rPr>
          <w:rFonts w:ascii="Century Gothic" w:hAnsi="Century Gothic"/>
          <w:sz w:val="20"/>
          <w:szCs w:val="20"/>
        </w:rPr>
        <w:t xml:space="preserve">have strong connections </w:t>
      </w:r>
      <w:r w:rsidRPr="00730C0D">
        <w:rPr>
          <w:rFonts w:ascii="Century Gothic" w:hAnsi="Century Gothic"/>
          <w:sz w:val="20"/>
          <w:szCs w:val="20"/>
        </w:rPr>
        <w:t>to their industry.</w:t>
      </w:r>
      <w:r w:rsidRPr="00730C0D">
        <w:rPr>
          <w:rFonts w:ascii="Century Gothic" w:hAnsi="Century Gothic"/>
          <w:sz w:val="20"/>
          <w:szCs w:val="20"/>
          <w:vertAlign w:val="superscript"/>
        </w:rPr>
        <w:footnoteReference w:id="61"/>
      </w:r>
      <w:r w:rsidRPr="00730C0D">
        <w:rPr>
          <w:rFonts w:ascii="Century Gothic" w:hAnsi="Century Gothic"/>
          <w:sz w:val="20"/>
          <w:szCs w:val="20"/>
        </w:rPr>
        <w:t xml:space="preserve"> A key aim of TAFEs across Australia is to respond to industry skill shortage needs and produce highly skilled and employable graduates. </w:t>
      </w:r>
    </w:p>
    <w:p w14:paraId="3F33C536" w14:textId="77777777" w:rsidR="00AC7D05" w:rsidRPr="00730C0D" w:rsidRDefault="00AC7D05" w:rsidP="00D31B9A">
      <w:pPr>
        <w:spacing w:before="0" w:after="0"/>
        <w:rPr>
          <w:rFonts w:ascii="Century Gothic" w:hAnsi="Century Gothic"/>
          <w:sz w:val="20"/>
          <w:szCs w:val="20"/>
        </w:rPr>
      </w:pPr>
    </w:p>
    <w:p w14:paraId="40217E8F" w14:textId="5FB65983"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Advocates for a discrete TAFE provider category argue: </w:t>
      </w:r>
    </w:p>
    <w:p w14:paraId="60011AE6" w14:textId="2783F14C" w:rsidR="00AC7D05" w:rsidRPr="00730C0D" w:rsidRDefault="00AC7D05" w:rsidP="0024520B">
      <w:pPr>
        <w:numPr>
          <w:ilvl w:val="0"/>
          <w:numId w:val="45"/>
        </w:numPr>
        <w:spacing w:before="0" w:after="0"/>
        <w:contextualSpacing/>
        <w:rPr>
          <w:rFonts w:ascii="Century Gothic" w:hAnsi="Century Gothic"/>
          <w:sz w:val="20"/>
          <w:szCs w:val="20"/>
        </w:rPr>
      </w:pPr>
      <w:r w:rsidRPr="00730C0D">
        <w:rPr>
          <w:rFonts w:ascii="Century Gothic" w:hAnsi="Century Gothic"/>
          <w:sz w:val="20"/>
          <w:szCs w:val="20"/>
        </w:rPr>
        <w:t>the public ownership and rigorous governance and corporate requirements set TAFEs apart from other higher education providers</w:t>
      </w:r>
      <w:r w:rsidR="00D8100C" w:rsidRPr="00730C0D">
        <w:rPr>
          <w:rFonts w:ascii="Century Gothic" w:hAnsi="Century Gothic"/>
          <w:sz w:val="20"/>
          <w:szCs w:val="20"/>
        </w:rPr>
        <w:t>;</w:t>
      </w:r>
      <w:r w:rsidRPr="00730C0D">
        <w:rPr>
          <w:rFonts w:ascii="Century Gothic" w:hAnsi="Century Gothic"/>
          <w:sz w:val="20"/>
          <w:szCs w:val="20"/>
        </w:rPr>
        <w:t xml:space="preserve"> </w:t>
      </w:r>
    </w:p>
    <w:p w14:paraId="2571D96D" w14:textId="2CF92EC2" w:rsidR="00AC7D05" w:rsidRPr="00730C0D" w:rsidRDefault="00AC7D05" w:rsidP="0024520B">
      <w:pPr>
        <w:numPr>
          <w:ilvl w:val="0"/>
          <w:numId w:val="45"/>
        </w:numPr>
        <w:spacing w:before="0" w:after="0"/>
        <w:contextualSpacing/>
        <w:rPr>
          <w:rFonts w:ascii="Century Gothic" w:hAnsi="Century Gothic"/>
          <w:sz w:val="20"/>
          <w:szCs w:val="20"/>
        </w:rPr>
      </w:pPr>
      <w:r w:rsidRPr="00730C0D">
        <w:rPr>
          <w:rFonts w:ascii="Century Gothic" w:hAnsi="Century Gothic"/>
          <w:sz w:val="20"/>
          <w:szCs w:val="20"/>
        </w:rPr>
        <w:t>TAFEs are mature institutions with long histories of quality education provision</w:t>
      </w:r>
      <w:r w:rsidR="00D8100C" w:rsidRPr="00730C0D">
        <w:rPr>
          <w:rFonts w:ascii="Century Gothic" w:hAnsi="Century Gothic"/>
          <w:sz w:val="20"/>
          <w:szCs w:val="20"/>
        </w:rPr>
        <w:t>; and</w:t>
      </w:r>
    </w:p>
    <w:p w14:paraId="1BAEE558" w14:textId="008FBFA1" w:rsidR="00AC7D05" w:rsidRPr="00730C0D" w:rsidRDefault="00AC7D05" w:rsidP="0024520B">
      <w:pPr>
        <w:numPr>
          <w:ilvl w:val="0"/>
          <w:numId w:val="45"/>
        </w:numPr>
        <w:spacing w:before="0" w:after="0"/>
        <w:contextualSpacing/>
        <w:rPr>
          <w:rFonts w:ascii="Century Gothic" w:hAnsi="Century Gothic"/>
          <w:sz w:val="20"/>
          <w:szCs w:val="20"/>
        </w:rPr>
      </w:pPr>
      <w:r w:rsidRPr="00730C0D">
        <w:rPr>
          <w:rFonts w:ascii="Century Gothic" w:hAnsi="Century Gothic"/>
          <w:sz w:val="20"/>
          <w:szCs w:val="20"/>
        </w:rPr>
        <w:t>TEQSA has begun to separate TAFE data analytics in recent reports, indicating</w:t>
      </w:r>
      <w:r w:rsidR="00462D0C" w:rsidRPr="00730C0D">
        <w:rPr>
          <w:rFonts w:ascii="Century Gothic" w:hAnsi="Century Gothic"/>
          <w:sz w:val="20"/>
          <w:szCs w:val="20"/>
        </w:rPr>
        <w:t xml:space="preserve"> that a </w:t>
      </w:r>
      <w:r w:rsidRPr="00730C0D">
        <w:rPr>
          <w:rFonts w:ascii="Century Gothic" w:hAnsi="Century Gothic"/>
          <w:sz w:val="20"/>
          <w:szCs w:val="20"/>
        </w:rPr>
        <w:t>TAFE category would be a natural demarcation.</w:t>
      </w:r>
      <w:r w:rsidRPr="00730C0D">
        <w:rPr>
          <w:rFonts w:ascii="Century Gothic" w:hAnsi="Century Gothic"/>
          <w:sz w:val="20"/>
          <w:szCs w:val="20"/>
          <w:vertAlign w:val="superscript"/>
        </w:rPr>
        <w:footnoteReference w:id="62"/>
      </w:r>
    </w:p>
    <w:p w14:paraId="1FA12408" w14:textId="77777777" w:rsidR="00AC7D05" w:rsidRPr="00730C0D" w:rsidRDefault="00AC7D05" w:rsidP="00D31B9A">
      <w:pPr>
        <w:spacing w:before="0" w:after="0"/>
        <w:rPr>
          <w:rFonts w:ascii="Century Gothic" w:hAnsi="Century Gothic"/>
          <w:b/>
          <w:sz w:val="20"/>
          <w:szCs w:val="20"/>
          <w:highlight w:val="yellow"/>
        </w:rPr>
      </w:pPr>
    </w:p>
    <w:p w14:paraId="03F01031" w14:textId="6A562096" w:rsidR="00AC7D05" w:rsidRPr="00730C0D" w:rsidRDefault="00AC7D05" w:rsidP="00D31B9A">
      <w:pPr>
        <w:spacing w:before="0" w:after="0"/>
        <w:rPr>
          <w:rFonts w:ascii="Century Gothic" w:hAnsi="Century Gothic"/>
          <w:i/>
          <w:sz w:val="20"/>
          <w:szCs w:val="20"/>
        </w:rPr>
      </w:pPr>
      <w:r w:rsidRPr="00730C0D">
        <w:rPr>
          <w:rFonts w:ascii="Century Gothic" w:hAnsi="Century Gothic"/>
          <w:i/>
          <w:sz w:val="20"/>
          <w:szCs w:val="20"/>
        </w:rPr>
        <w:t>Polytechnics</w:t>
      </w:r>
    </w:p>
    <w:p w14:paraId="2BA9CDA4" w14:textId="7A81221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There is no single accepted definition of a ‘polytechnic’ and</w:t>
      </w:r>
      <w:r w:rsidR="00D8100C" w:rsidRPr="00730C0D">
        <w:rPr>
          <w:rFonts w:ascii="Century Gothic" w:hAnsi="Century Gothic"/>
          <w:sz w:val="20"/>
          <w:szCs w:val="20"/>
        </w:rPr>
        <w:t>,</w:t>
      </w:r>
      <w:r w:rsidRPr="00730C0D">
        <w:rPr>
          <w:rFonts w:ascii="Century Gothic" w:hAnsi="Century Gothic"/>
          <w:sz w:val="20"/>
          <w:szCs w:val="20"/>
        </w:rPr>
        <w:t xml:space="preserve"> consequently, the term is n</w:t>
      </w:r>
      <w:r w:rsidR="00D8100C" w:rsidRPr="00730C0D">
        <w:rPr>
          <w:rFonts w:ascii="Century Gothic" w:hAnsi="Century Gothic"/>
          <w:sz w:val="20"/>
          <w:szCs w:val="20"/>
        </w:rPr>
        <w:t>either</w:t>
      </w:r>
      <w:r w:rsidRPr="00730C0D">
        <w:rPr>
          <w:rFonts w:ascii="Century Gothic" w:hAnsi="Century Gothic"/>
          <w:sz w:val="20"/>
          <w:szCs w:val="20"/>
        </w:rPr>
        <w:t xml:space="preserve"> currently well understood </w:t>
      </w:r>
      <w:r w:rsidR="00D8100C" w:rsidRPr="00730C0D">
        <w:rPr>
          <w:rFonts w:ascii="Century Gothic" w:hAnsi="Century Gothic"/>
          <w:sz w:val="20"/>
          <w:szCs w:val="20"/>
        </w:rPr>
        <w:t>n</w:t>
      </w:r>
      <w:r w:rsidRPr="00730C0D">
        <w:rPr>
          <w:rFonts w:ascii="Century Gothic" w:hAnsi="Century Gothic"/>
          <w:sz w:val="20"/>
          <w:szCs w:val="20"/>
        </w:rPr>
        <w:t xml:space="preserve">or </w:t>
      </w:r>
      <w:r w:rsidR="00D8100C" w:rsidRPr="00730C0D">
        <w:rPr>
          <w:rFonts w:ascii="Century Gothic" w:hAnsi="Century Gothic"/>
          <w:sz w:val="20"/>
          <w:szCs w:val="20"/>
        </w:rPr>
        <w:t xml:space="preserve">consistently </w:t>
      </w:r>
      <w:r w:rsidRPr="00730C0D">
        <w:rPr>
          <w:rFonts w:ascii="Century Gothic" w:hAnsi="Century Gothic"/>
          <w:sz w:val="20"/>
          <w:szCs w:val="20"/>
        </w:rPr>
        <w:t xml:space="preserve">conceptualised in Australia or internationally. In broad terms, however, a polytechnic is typically </w:t>
      </w:r>
      <w:r w:rsidR="00B94BA7" w:rsidRPr="00730C0D">
        <w:rPr>
          <w:rFonts w:ascii="Century Gothic" w:hAnsi="Century Gothic"/>
          <w:bCs/>
          <w:sz w:val="20"/>
          <w:szCs w:val="20"/>
        </w:rPr>
        <w:t xml:space="preserve">a dual </w:t>
      </w:r>
      <w:r w:rsidRPr="00730C0D">
        <w:rPr>
          <w:rFonts w:ascii="Century Gothic" w:hAnsi="Century Gothic"/>
          <w:bCs/>
          <w:sz w:val="20"/>
          <w:szCs w:val="20"/>
        </w:rPr>
        <w:t xml:space="preserve">sector institute of tertiary education, </w:t>
      </w:r>
      <w:r w:rsidR="00E02775" w:rsidRPr="00730C0D">
        <w:rPr>
          <w:rFonts w:ascii="Century Gothic" w:hAnsi="Century Gothic"/>
          <w:bCs/>
          <w:sz w:val="20"/>
          <w:szCs w:val="20"/>
        </w:rPr>
        <w:t xml:space="preserve">with most </w:t>
      </w:r>
      <w:r w:rsidR="00A27F9B" w:rsidRPr="00730C0D">
        <w:rPr>
          <w:rFonts w:ascii="Century Gothic" w:hAnsi="Century Gothic"/>
          <w:bCs/>
          <w:sz w:val="20"/>
          <w:szCs w:val="20"/>
        </w:rPr>
        <w:t>qualifications</w:t>
      </w:r>
      <w:r w:rsidRPr="00730C0D">
        <w:rPr>
          <w:rFonts w:ascii="Century Gothic" w:hAnsi="Century Gothic"/>
          <w:bCs/>
          <w:sz w:val="20"/>
          <w:szCs w:val="20"/>
        </w:rPr>
        <w:t xml:space="preserve"> focus</w:t>
      </w:r>
      <w:r w:rsidR="00E02775" w:rsidRPr="00730C0D">
        <w:rPr>
          <w:rFonts w:ascii="Century Gothic" w:hAnsi="Century Gothic"/>
          <w:bCs/>
          <w:sz w:val="20"/>
          <w:szCs w:val="20"/>
        </w:rPr>
        <w:t>sing</w:t>
      </w:r>
      <w:r w:rsidRPr="00730C0D">
        <w:rPr>
          <w:rFonts w:ascii="Century Gothic" w:hAnsi="Century Gothic"/>
          <w:bCs/>
          <w:sz w:val="20"/>
          <w:szCs w:val="20"/>
        </w:rPr>
        <w:t xml:space="preserve"> on education </w:t>
      </w:r>
      <w:r w:rsidR="00D8100C" w:rsidRPr="00730C0D">
        <w:rPr>
          <w:rFonts w:ascii="Century Gothic" w:hAnsi="Century Gothic"/>
          <w:bCs/>
          <w:sz w:val="20"/>
          <w:szCs w:val="20"/>
        </w:rPr>
        <w:t xml:space="preserve">around </w:t>
      </w:r>
      <w:r w:rsidRPr="00730C0D">
        <w:rPr>
          <w:rFonts w:ascii="Century Gothic" w:hAnsi="Century Gothic"/>
          <w:bCs/>
          <w:sz w:val="20"/>
          <w:szCs w:val="20"/>
        </w:rPr>
        <w:t>applied technology</w:t>
      </w:r>
      <w:r w:rsidRPr="00730C0D">
        <w:rPr>
          <w:rFonts w:ascii="Century Gothic" w:hAnsi="Century Gothic"/>
          <w:sz w:val="20"/>
          <w:szCs w:val="20"/>
        </w:rPr>
        <w:t xml:space="preserve">. Polytechnics typically serve their local communities and are closely aligned with industry and the professions. There are currently </w:t>
      </w:r>
      <w:r w:rsidR="00A27F9B" w:rsidRPr="00730C0D">
        <w:rPr>
          <w:rFonts w:ascii="Century Gothic" w:hAnsi="Century Gothic"/>
          <w:sz w:val="20"/>
          <w:szCs w:val="20"/>
        </w:rPr>
        <w:t xml:space="preserve">three </w:t>
      </w:r>
      <w:r w:rsidRPr="00730C0D">
        <w:rPr>
          <w:rFonts w:ascii="Century Gothic" w:hAnsi="Century Gothic"/>
          <w:sz w:val="20"/>
          <w:szCs w:val="20"/>
        </w:rPr>
        <w:t>providers registered with TEQSA using the polytechnic label</w:t>
      </w:r>
      <w:r w:rsidR="00A27F9B" w:rsidRPr="00730C0D">
        <w:rPr>
          <w:rStyle w:val="FootnoteReference"/>
          <w:rFonts w:ascii="Century Gothic" w:hAnsi="Century Gothic"/>
          <w:sz w:val="20"/>
          <w:szCs w:val="20"/>
        </w:rPr>
        <w:footnoteReference w:id="63"/>
      </w:r>
      <w:r w:rsidRPr="00730C0D">
        <w:rPr>
          <w:rFonts w:ascii="Century Gothic" w:hAnsi="Century Gothic"/>
          <w:sz w:val="20"/>
          <w:szCs w:val="20"/>
        </w:rPr>
        <w:t xml:space="preserve"> and </w:t>
      </w:r>
      <w:r w:rsidR="00F43130">
        <w:rPr>
          <w:rFonts w:ascii="Century Gothic" w:hAnsi="Century Gothic"/>
          <w:sz w:val="20"/>
          <w:szCs w:val="20"/>
        </w:rPr>
        <w:t>other</w:t>
      </w:r>
      <w:r w:rsidR="00F43130" w:rsidRPr="00F43130">
        <w:rPr>
          <w:rFonts w:ascii="Century Gothic" w:hAnsi="Century Gothic"/>
          <w:sz w:val="20"/>
          <w:szCs w:val="20"/>
        </w:rPr>
        <w:t>s who may</w:t>
      </w:r>
      <w:r w:rsidRPr="00F43130">
        <w:rPr>
          <w:rFonts w:ascii="Century Gothic" w:hAnsi="Century Gothic"/>
          <w:sz w:val="20"/>
          <w:szCs w:val="20"/>
        </w:rPr>
        <w:t xml:space="preserve"> market themselves as polytechnics internationally.</w:t>
      </w:r>
      <w:r w:rsidRPr="00730C0D">
        <w:rPr>
          <w:rFonts w:ascii="Century Gothic" w:hAnsi="Century Gothic"/>
          <w:sz w:val="20"/>
          <w:szCs w:val="20"/>
        </w:rPr>
        <w:t xml:space="preserve"> </w:t>
      </w:r>
    </w:p>
    <w:p w14:paraId="2C42DC01" w14:textId="77777777" w:rsidR="00AC7D05" w:rsidRPr="00730C0D" w:rsidRDefault="00AC7D05" w:rsidP="00D31B9A">
      <w:pPr>
        <w:spacing w:before="0" w:after="0"/>
        <w:rPr>
          <w:rFonts w:ascii="Century Gothic" w:hAnsi="Century Gothic"/>
          <w:sz w:val="20"/>
          <w:szCs w:val="20"/>
        </w:rPr>
      </w:pPr>
    </w:p>
    <w:p w14:paraId="1BFEDA86" w14:textId="66663EFB"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Advocates for a new category for polytechnics argue the category could:</w:t>
      </w:r>
    </w:p>
    <w:p w14:paraId="1B11F716" w14:textId="26BAD6FD" w:rsidR="00AC7D05" w:rsidRPr="00730C0D" w:rsidRDefault="00AC7D05" w:rsidP="0024520B">
      <w:pPr>
        <w:numPr>
          <w:ilvl w:val="0"/>
          <w:numId w:val="51"/>
        </w:numPr>
        <w:spacing w:before="0" w:after="160"/>
        <w:contextualSpacing/>
        <w:rPr>
          <w:rFonts w:ascii="Century Gothic" w:hAnsi="Century Gothic"/>
          <w:sz w:val="20"/>
          <w:szCs w:val="20"/>
        </w:rPr>
      </w:pPr>
      <w:r w:rsidRPr="00730C0D">
        <w:rPr>
          <w:rFonts w:ascii="Century Gothic" w:hAnsi="Century Gothic"/>
          <w:sz w:val="20"/>
          <w:szCs w:val="20"/>
        </w:rPr>
        <w:t xml:space="preserve">capture the increasing number of providers who deliver across both higher education and </w:t>
      </w:r>
      <w:r w:rsidR="008E0591" w:rsidRPr="00730C0D">
        <w:rPr>
          <w:rFonts w:ascii="Century Gothic" w:hAnsi="Century Gothic"/>
          <w:sz w:val="20"/>
          <w:szCs w:val="20"/>
        </w:rPr>
        <w:t>VET</w:t>
      </w:r>
      <w:r w:rsidRPr="00730C0D">
        <w:rPr>
          <w:rFonts w:ascii="Century Gothic" w:hAnsi="Century Gothic"/>
          <w:sz w:val="20"/>
          <w:szCs w:val="20"/>
        </w:rPr>
        <w:t xml:space="preserve"> in Australia</w:t>
      </w:r>
      <w:r w:rsidR="0043141C" w:rsidRPr="00730C0D">
        <w:rPr>
          <w:rFonts w:ascii="Century Gothic" w:hAnsi="Century Gothic"/>
          <w:sz w:val="20"/>
          <w:szCs w:val="20"/>
        </w:rPr>
        <w:t>;</w:t>
      </w:r>
      <w:r w:rsidRPr="00730C0D">
        <w:rPr>
          <w:rFonts w:ascii="Century Gothic" w:hAnsi="Century Gothic"/>
          <w:sz w:val="20"/>
          <w:szCs w:val="20"/>
        </w:rPr>
        <w:t xml:space="preserve"> </w:t>
      </w:r>
    </w:p>
    <w:p w14:paraId="1B40C782" w14:textId="6FFE026E" w:rsidR="00AC7D05" w:rsidRPr="00730C0D" w:rsidRDefault="00AC7D05" w:rsidP="0024520B">
      <w:pPr>
        <w:numPr>
          <w:ilvl w:val="0"/>
          <w:numId w:val="51"/>
        </w:numPr>
        <w:spacing w:before="0" w:after="160"/>
        <w:contextualSpacing/>
        <w:rPr>
          <w:rFonts w:ascii="Century Gothic" w:hAnsi="Century Gothic"/>
          <w:sz w:val="20"/>
          <w:szCs w:val="20"/>
        </w:rPr>
      </w:pPr>
      <w:r w:rsidRPr="00730C0D">
        <w:rPr>
          <w:rFonts w:ascii="Century Gothic" w:hAnsi="Century Gothic"/>
          <w:sz w:val="20"/>
          <w:szCs w:val="20"/>
        </w:rPr>
        <w:t>create more of a ‘third sector’ which would “allow for a higher education institution to demonstrate evidence of scholarly depth in its teaching staff, without the requirement to meet the research standards required by a university”</w:t>
      </w:r>
      <w:r w:rsidR="0043141C" w:rsidRPr="00730C0D">
        <w:rPr>
          <w:rFonts w:ascii="Century Gothic" w:hAnsi="Century Gothic"/>
          <w:sz w:val="20"/>
          <w:szCs w:val="20"/>
        </w:rPr>
        <w:t>;</w:t>
      </w:r>
      <w:r w:rsidRPr="00730C0D">
        <w:rPr>
          <w:rFonts w:ascii="Century Gothic" w:hAnsi="Century Gothic"/>
          <w:sz w:val="20"/>
          <w:szCs w:val="20"/>
          <w:vertAlign w:val="superscript"/>
        </w:rPr>
        <w:footnoteReference w:id="64"/>
      </w:r>
      <w:r w:rsidR="0043141C" w:rsidRPr="00730C0D">
        <w:rPr>
          <w:rFonts w:ascii="Century Gothic" w:hAnsi="Century Gothic"/>
          <w:sz w:val="20"/>
          <w:szCs w:val="20"/>
        </w:rPr>
        <w:t xml:space="preserve"> and</w:t>
      </w:r>
    </w:p>
    <w:p w14:paraId="1F3288C4" w14:textId="6B158E62" w:rsidR="00AC7D05" w:rsidRPr="00730C0D" w:rsidRDefault="00AC7D05" w:rsidP="0024520B">
      <w:pPr>
        <w:numPr>
          <w:ilvl w:val="0"/>
          <w:numId w:val="51"/>
        </w:numPr>
        <w:spacing w:before="0" w:after="160"/>
        <w:contextualSpacing/>
        <w:rPr>
          <w:rFonts w:ascii="Century Gothic" w:hAnsi="Century Gothic"/>
          <w:sz w:val="20"/>
          <w:szCs w:val="20"/>
        </w:rPr>
      </w:pPr>
      <w:r w:rsidRPr="00730C0D">
        <w:rPr>
          <w:rFonts w:ascii="Century Gothic" w:hAnsi="Century Gothic"/>
          <w:sz w:val="20"/>
          <w:szCs w:val="20"/>
        </w:rPr>
        <w:t xml:space="preserve">incentivise the creation of new, quality providers to develop technical skills needed for the future. </w:t>
      </w:r>
    </w:p>
    <w:p w14:paraId="191E2A28" w14:textId="77777777" w:rsidR="00AC7D05" w:rsidRPr="00730C0D" w:rsidRDefault="00AC7D05" w:rsidP="00D31B9A">
      <w:pPr>
        <w:spacing w:before="0" w:after="0"/>
        <w:rPr>
          <w:rFonts w:ascii="Century Gothic" w:hAnsi="Century Gothic"/>
          <w:sz w:val="20"/>
          <w:szCs w:val="20"/>
        </w:rPr>
      </w:pPr>
    </w:p>
    <w:p w14:paraId="62FDCD2F" w14:textId="350431E0" w:rsidR="00AC7D05" w:rsidRPr="00730C0D" w:rsidRDefault="00AC7D05" w:rsidP="004E1EA1">
      <w:pPr>
        <w:spacing w:before="0" w:after="0"/>
        <w:rPr>
          <w:rFonts w:ascii="Century Gothic" w:hAnsi="Century Gothic"/>
          <w:sz w:val="20"/>
          <w:szCs w:val="20"/>
        </w:rPr>
      </w:pPr>
      <w:r w:rsidRPr="00730C0D">
        <w:rPr>
          <w:rFonts w:ascii="Century Gothic" w:hAnsi="Century Gothic"/>
          <w:sz w:val="20"/>
          <w:szCs w:val="20"/>
        </w:rPr>
        <w:t>It is the case that TAFEs and pathway providers are distinctive, play vital roles in Australia’s higher education sector</w:t>
      </w:r>
      <w:r w:rsidR="00F31A03" w:rsidRPr="00730C0D">
        <w:rPr>
          <w:rFonts w:ascii="Century Gothic" w:hAnsi="Century Gothic"/>
          <w:sz w:val="20"/>
          <w:szCs w:val="20"/>
        </w:rPr>
        <w:t>,</w:t>
      </w:r>
      <w:r w:rsidRPr="00730C0D">
        <w:rPr>
          <w:rFonts w:ascii="Century Gothic" w:hAnsi="Century Gothic"/>
          <w:sz w:val="20"/>
          <w:szCs w:val="20"/>
        </w:rPr>
        <w:t xml:space="preserve"> and exhibit differences in scope, funding</w:t>
      </w:r>
      <w:r w:rsidR="00F31A03" w:rsidRPr="00730C0D">
        <w:rPr>
          <w:rFonts w:ascii="Century Gothic" w:hAnsi="Century Gothic"/>
          <w:sz w:val="20"/>
          <w:szCs w:val="20"/>
        </w:rPr>
        <w:t>,</w:t>
      </w:r>
      <w:r w:rsidRPr="00730C0D">
        <w:rPr>
          <w:rFonts w:ascii="Century Gothic" w:hAnsi="Century Gothic"/>
          <w:sz w:val="20"/>
          <w:szCs w:val="20"/>
        </w:rPr>
        <w:t xml:space="preserve"> and purpose from other higher education providers. However, the Review is not </w:t>
      </w:r>
      <w:r w:rsidR="0043141C" w:rsidRPr="00730C0D">
        <w:rPr>
          <w:rFonts w:ascii="Century Gothic" w:hAnsi="Century Gothic"/>
          <w:sz w:val="20"/>
          <w:szCs w:val="20"/>
        </w:rPr>
        <w:t>persuaded</w:t>
      </w:r>
      <w:r w:rsidRPr="00730C0D">
        <w:rPr>
          <w:rFonts w:ascii="Century Gothic" w:hAnsi="Century Gothic"/>
          <w:sz w:val="20"/>
          <w:szCs w:val="20"/>
        </w:rPr>
        <w:t xml:space="preserve"> that there is a clear regulatory or marketing benefit </w:t>
      </w:r>
      <w:r w:rsidR="00E02775" w:rsidRPr="00730C0D">
        <w:rPr>
          <w:rFonts w:ascii="Century Gothic" w:hAnsi="Century Gothic"/>
          <w:sz w:val="20"/>
          <w:szCs w:val="20"/>
        </w:rPr>
        <w:t xml:space="preserve">in </w:t>
      </w:r>
      <w:r w:rsidRPr="00730C0D">
        <w:rPr>
          <w:rFonts w:ascii="Century Gothic" w:hAnsi="Century Gothic"/>
          <w:sz w:val="20"/>
          <w:szCs w:val="20"/>
        </w:rPr>
        <w:t>creating discrete categories for pathway providers, TAFEs</w:t>
      </w:r>
      <w:r w:rsidR="00F31A03" w:rsidRPr="00730C0D">
        <w:rPr>
          <w:rFonts w:ascii="Century Gothic" w:hAnsi="Century Gothic"/>
          <w:sz w:val="20"/>
          <w:szCs w:val="20"/>
        </w:rPr>
        <w:t>,</w:t>
      </w:r>
      <w:r w:rsidRPr="00730C0D">
        <w:rPr>
          <w:rFonts w:ascii="Century Gothic" w:hAnsi="Century Gothic"/>
          <w:sz w:val="20"/>
          <w:szCs w:val="20"/>
        </w:rPr>
        <w:t xml:space="preserve"> or polytechnics. Although there are no specific categories in the PCS for such providers, there are also no limitations on polytechnics, TAFEs (within the constraints of State legislation)</w:t>
      </w:r>
      <w:r w:rsidR="00F31A03" w:rsidRPr="00730C0D">
        <w:rPr>
          <w:rFonts w:ascii="Century Gothic" w:hAnsi="Century Gothic"/>
          <w:sz w:val="20"/>
          <w:szCs w:val="20"/>
        </w:rPr>
        <w:t>,</w:t>
      </w:r>
      <w:r w:rsidRPr="00730C0D">
        <w:rPr>
          <w:rFonts w:ascii="Century Gothic" w:hAnsi="Century Gothic"/>
          <w:sz w:val="20"/>
          <w:szCs w:val="20"/>
        </w:rPr>
        <w:t xml:space="preserve"> or pathway providers being established, an</w:t>
      </w:r>
      <w:r w:rsidR="00B94BA7" w:rsidRPr="00730C0D">
        <w:rPr>
          <w:rFonts w:ascii="Century Gothic" w:hAnsi="Century Gothic"/>
          <w:sz w:val="20"/>
          <w:szCs w:val="20"/>
        </w:rPr>
        <w:t xml:space="preserve">d the increasing number of dual </w:t>
      </w:r>
      <w:r w:rsidRPr="00730C0D">
        <w:rPr>
          <w:rFonts w:ascii="Century Gothic" w:hAnsi="Century Gothic"/>
          <w:sz w:val="20"/>
          <w:szCs w:val="20"/>
        </w:rPr>
        <w:t xml:space="preserve">sector providers in Australia confirms this reality. Furthermore, this Review has highlighted a desire to simplify the PCS </w:t>
      </w:r>
      <w:r w:rsidR="00F31A03" w:rsidRPr="00730C0D">
        <w:rPr>
          <w:rFonts w:ascii="Century Gothic" w:hAnsi="Century Gothic"/>
          <w:sz w:val="20"/>
          <w:szCs w:val="20"/>
        </w:rPr>
        <w:t>by streamlining</w:t>
      </w:r>
      <w:r w:rsidRPr="00730C0D">
        <w:rPr>
          <w:rFonts w:ascii="Century Gothic" w:hAnsi="Century Gothic"/>
          <w:sz w:val="20"/>
          <w:szCs w:val="20"/>
        </w:rPr>
        <w:t xml:space="preserve"> the number of categories listed in the PCS.</w:t>
      </w:r>
    </w:p>
    <w:p w14:paraId="70B58611" w14:textId="07159B91"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 </w:t>
      </w:r>
    </w:p>
    <w:p w14:paraId="7EE52339" w14:textId="0AD65629" w:rsidR="00AC7D05" w:rsidRPr="00730C0D" w:rsidRDefault="00AC7D05" w:rsidP="00D31B9A">
      <w:pPr>
        <w:spacing w:before="0" w:after="0"/>
        <w:rPr>
          <w:rFonts w:ascii="Century Gothic" w:hAnsi="Century Gothic"/>
          <w:sz w:val="20"/>
          <w:szCs w:val="20"/>
        </w:rPr>
      </w:pPr>
      <w:r w:rsidRPr="00730C0D">
        <w:rPr>
          <w:rFonts w:ascii="Century Gothic" w:eastAsiaTheme="majorEastAsia" w:hAnsi="Century Gothic" w:cstheme="majorBidi"/>
          <w:i/>
          <w:iCs/>
          <w:color w:val="2E74B5" w:themeColor="accent1" w:themeShade="BF"/>
          <w:sz w:val="20"/>
          <w:szCs w:val="20"/>
        </w:rPr>
        <w:t xml:space="preserve">Differentiation by Self-Accreditation Status </w:t>
      </w:r>
    </w:p>
    <w:p w14:paraId="661F4EDB" w14:textId="7767E810" w:rsidR="00542AF2" w:rsidRPr="00F304E7" w:rsidRDefault="00AC7D05" w:rsidP="00D31B9A">
      <w:pPr>
        <w:spacing w:before="0" w:after="0"/>
        <w:rPr>
          <w:rFonts w:ascii="Century Gothic" w:hAnsi="Century Gothic"/>
          <w:sz w:val="20"/>
          <w:szCs w:val="20"/>
        </w:rPr>
      </w:pPr>
      <w:r w:rsidRPr="00F304E7">
        <w:rPr>
          <w:rFonts w:ascii="Century Gothic" w:hAnsi="Century Gothic"/>
          <w:sz w:val="20"/>
          <w:szCs w:val="20"/>
        </w:rPr>
        <w:t xml:space="preserve">There are </w:t>
      </w:r>
      <w:r w:rsidR="004E7033" w:rsidRPr="00F304E7">
        <w:rPr>
          <w:rFonts w:ascii="Century Gothic" w:hAnsi="Century Gothic"/>
          <w:sz w:val="20"/>
          <w:szCs w:val="20"/>
        </w:rPr>
        <w:t xml:space="preserve">presently </w:t>
      </w:r>
      <w:r w:rsidR="00D55D9D" w:rsidRPr="00F304E7">
        <w:rPr>
          <w:rFonts w:ascii="Century Gothic" w:hAnsi="Century Gothic"/>
          <w:sz w:val="20"/>
          <w:szCs w:val="20"/>
        </w:rPr>
        <w:t>11</w:t>
      </w:r>
      <w:r w:rsidRPr="00F304E7">
        <w:rPr>
          <w:rFonts w:ascii="Century Gothic" w:hAnsi="Century Gothic"/>
          <w:sz w:val="20"/>
          <w:szCs w:val="20"/>
        </w:rPr>
        <w:t xml:space="preserve"> providers in the current ‘Higher Education Pro</w:t>
      </w:r>
      <w:r w:rsidR="00CF3DD2" w:rsidRPr="00F304E7">
        <w:rPr>
          <w:rFonts w:ascii="Century Gothic" w:hAnsi="Century Gothic"/>
          <w:sz w:val="20"/>
          <w:szCs w:val="20"/>
        </w:rPr>
        <w:t>vider’ category with limited (ten) or unlimited (</w:t>
      </w:r>
      <w:r w:rsidR="00D55D9D" w:rsidRPr="00F304E7">
        <w:rPr>
          <w:rFonts w:ascii="Century Gothic" w:hAnsi="Century Gothic"/>
          <w:sz w:val="20"/>
          <w:szCs w:val="20"/>
        </w:rPr>
        <w:t>one</w:t>
      </w:r>
      <w:r w:rsidRPr="00F304E7">
        <w:rPr>
          <w:rFonts w:ascii="Century Gothic" w:hAnsi="Century Gothic"/>
          <w:sz w:val="20"/>
          <w:szCs w:val="20"/>
        </w:rPr>
        <w:t>) self-accrediting authority (</w:t>
      </w:r>
      <w:r w:rsidR="004E7033" w:rsidRPr="00F304E7">
        <w:rPr>
          <w:rFonts w:ascii="Century Gothic" w:hAnsi="Century Gothic"/>
          <w:sz w:val="20"/>
          <w:szCs w:val="20"/>
        </w:rPr>
        <w:t xml:space="preserve">see </w:t>
      </w:r>
      <w:hyperlink w:anchor="_2.6_Self-Accrediting_Authority" w:history="1">
        <w:r w:rsidR="0084519E" w:rsidRPr="00F304E7">
          <w:rPr>
            <w:rStyle w:val="Hyperlink"/>
            <w:rFonts w:ascii="Century Gothic" w:hAnsi="Century Gothic"/>
            <w:sz w:val="20"/>
            <w:szCs w:val="20"/>
          </w:rPr>
          <w:t>Section 2.6</w:t>
        </w:r>
      </w:hyperlink>
      <w:r w:rsidRPr="00F304E7">
        <w:rPr>
          <w:rFonts w:ascii="Century Gothic" w:hAnsi="Century Gothic"/>
          <w:sz w:val="20"/>
          <w:szCs w:val="20"/>
        </w:rPr>
        <w:t>).</w:t>
      </w:r>
      <w:r w:rsidRPr="00F304E7">
        <w:rPr>
          <w:rStyle w:val="FootnoteReference"/>
          <w:rFonts w:ascii="Century Gothic" w:hAnsi="Century Gothic"/>
          <w:sz w:val="20"/>
          <w:szCs w:val="20"/>
        </w:rPr>
        <w:footnoteReference w:id="65"/>
      </w:r>
      <w:r w:rsidRPr="00F304E7">
        <w:rPr>
          <w:rFonts w:ascii="Century Gothic" w:hAnsi="Century Gothic"/>
          <w:sz w:val="20"/>
          <w:szCs w:val="20"/>
        </w:rPr>
        <w:t xml:space="preserve"> Many of these providers are well-known for their specialised and high quality higher education offerings. For</w:t>
      </w:r>
      <w:r w:rsidR="00AF7E44" w:rsidRPr="00F304E7">
        <w:rPr>
          <w:rFonts w:ascii="Century Gothic" w:hAnsi="Century Gothic"/>
          <w:sz w:val="20"/>
          <w:szCs w:val="20"/>
        </w:rPr>
        <w:t> </w:t>
      </w:r>
      <w:r w:rsidR="00526D3F" w:rsidRPr="00F304E7">
        <w:rPr>
          <w:rFonts w:ascii="Century Gothic" w:hAnsi="Century Gothic"/>
          <w:sz w:val="20"/>
          <w:szCs w:val="20"/>
        </w:rPr>
        <w:t>example, the Australian Film</w:t>
      </w:r>
      <w:r w:rsidRPr="00F304E7">
        <w:rPr>
          <w:rFonts w:ascii="Century Gothic" w:hAnsi="Century Gothic"/>
          <w:sz w:val="20"/>
          <w:szCs w:val="20"/>
        </w:rPr>
        <w:t xml:space="preserve"> Television and Radio School is </w:t>
      </w:r>
      <w:r w:rsidR="00984F2D">
        <w:rPr>
          <w:rFonts w:ascii="Century Gothic" w:hAnsi="Century Gothic"/>
          <w:sz w:val="20"/>
          <w:szCs w:val="20"/>
        </w:rPr>
        <w:t>a</w:t>
      </w:r>
      <w:r w:rsidR="00984F2D" w:rsidRPr="00F304E7">
        <w:rPr>
          <w:rFonts w:ascii="Century Gothic" w:hAnsi="Century Gothic"/>
          <w:sz w:val="20"/>
          <w:szCs w:val="20"/>
        </w:rPr>
        <w:t xml:space="preserve"> </w:t>
      </w:r>
      <w:r w:rsidRPr="00F304E7">
        <w:rPr>
          <w:rFonts w:ascii="Century Gothic" w:hAnsi="Century Gothic"/>
          <w:sz w:val="20"/>
          <w:szCs w:val="20"/>
        </w:rPr>
        <w:t xml:space="preserve">premier screen arts and broadcast institution in Australia, Sydney College of Divinity is a leading provider of studies in theology and ministry, and the College of Law is the largest provider of practice-focussed legal education in the country. </w:t>
      </w:r>
    </w:p>
    <w:p w14:paraId="7096446D" w14:textId="3FC2D8E7" w:rsidR="004E7033" w:rsidRPr="00F304E7" w:rsidRDefault="004E7033" w:rsidP="00D31B9A">
      <w:pPr>
        <w:spacing w:before="0" w:after="0"/>
        <w:rPr>
          <w:rFonts w:ascii="Century Gothic" w:hAnsi="Century Gothic"/>
          <w:sz w:val="20"/>
          <w:szCs w:val="20"/>
        </w:rPr>
      </w:pPr>
    </w:p>
    <w:p w14:paraId="7CC1B59E" w14:textId="77777777" w:rsidR="00547C99" w:rsidRPr="00F304E7" w:rsidRDefault="004E7033" w:rsidP="00547C99">
      <w:pPr>
        <w:spacing w:before="0" w:after="0"/>
        <w:rPr>
          <w:rFonts w:ascii="Century Gothic" w:hAnsi="Century Gothic"/>
          <w:sz w:val="20"/>
          <w:szCs w:val="20"/>
        </w:rPr>
      </w:pPr>
      <w:r w:rsidRPr="00F304E7">
        <w:rPr>
          <w:rFonts w:ascii="Century Gothic" w:hAnsi="Century Gothic"/>
          <w:sz w:val="20"/>
          <w:szCs w:val="20"/>
        </w:rPr>
        <w:t xml:space="preserve">There is a level of agreement among stakeholders that accreditation status is an appropriate distinction to signal differentiation </w:t>
      </w:r>
      <w:r w:rsidR="00A4399D" w:rsidRPr="00F304E7">
        <w:rPr>
          <w:rFonts w:ascii="Century Gothic" w:hAnsi="Century Gothic"/>
          <w:sz w:val="20"/>
          <w:szCs w:val="20"/>
        </w:rPr>
        <w:t>of higher education providers that are not universities</w:t>
      </w:r>
      <w:r w:rsidRPr="00F304E7">
        <w:rPr>
          <w:rFonts w:ascii="Century Gothic" w:hAnsi="Century Gothic"/>
          <w:sz w:val="20"/>
          <w:szCs w:val="20"/>
        </w:rPr>
        <w:t xml:space="preserve">. Achieving self-accrediting authority is a clear demonstration that a provider has established a track-record of trust, accountability, and compliance with TEQSA, and </w:t>
      </w:r>
      <w:r w:rsidR="00E817AD" w:rsidRPr="00F304E7">
        <w:rPr>
          <w:rFonts w:ascii="Century Gothic" w:hAnsi="Century Gothic"/>
          <w:sz w:val="20"/>
          <w:szCs w:val="20"/>
        </w:rPr>
        <w:t>shows</w:t>
      </w:r>
      <w:r w:rsidRPr="00F304E7">
        <w:rPr>
          <w:rFonts w:ascii="Century Gothic" w:hAnsi="Century Gothic"/>
          <w:sz w:val="20"/>
          <w:szCs w:val="20"/>
        </w:rPr>
        <w:t xml:space="preserve"> a particular level of institutional maturity and quali</w:t>
      </w:r>
      <w:r w:rsidR="00547C99" w:rsidRPr="00F304E7">
        <w:rPr>
          <w:rFonts w:ascii="Century Gothic" w:hAnsi="Century Gothic"/>
          <w:sz w:val="20"/>
          <w:szCs w:val="20"/>
        </w:rPr>
        <w:t xml:space="preserve">ty in governance and teaching. </w:t>
      </w:r>
    </w:p>
    <w:p w14:paraId="559E1CF9" w14:textId="77777777" w:rsidR="00547C99" w:rsidRPr="00F304E7" w:rsidRDefault="00547C99" w:rsidP="00547C99">
      <w:pPr>
        <w:spacing w:before="0" w:after="0"/>
        <w:rPr>
          <w:rFonts w:ascii="Century Gothic" w:hAnsi="Century Gothic"/>
          <w:sz w:val="20"/>
          <w:szCs w:val="20"/>
        </w:rPr>
      </w:pPr>
    </w:p>
    <w:p w14:paraId="6F2F4ADB" w14:textId="76B71518" w:rsidR="00547C99" w:rsidRPr="00F304E7" w:rsidRDefault="00547C99" w:rsidP="00547C99">
      <w:pPr>
        <w:spacing w:before="0" w:after="0"/>
        <w:rPr>
          <w:rFonts w:ascii="Century Gothic" w:hAnsi="Century Gothic"/>
          <w:sz w:val="20"/>
          <w:szCs w:val="20"/>
        </w:rPr>
      </w:pPr>
      <w:r w:rsidRPr="00F304E7">
        <w:rPr>
          <w:rFonts w:ascii="Century Gothic" w:hAnsi="Century Gothic"/>
          <w:sz w:val="20"/>
          <w:szCs w:val="20"/>
        </w:rPr>
        <w:t xml:space="preserve">Some self-accrediting providers may have aspirations to become a university, but others do not as they have built their reputations and value on their distinctive roles and missions. Understandably, they tend to be both proud and protective of their identities.  </w:t>
      </w:r>
    </w:p>
    <w:p w14:paraId="3DF09FF5" w14:textId="5038846D" w:rsidR="00AC7D05" w:rsidRPr="00730C0D" w:rsidRDefault="00AC7D05" w:rsidP="00D31B9A">
      <w:pPr>
        <w:spacing w:before="0" w:after="0"/>
        <w:rPr>
          <w:rFonts w:ascii="Century Gothic" w:hAnsi="Century Gothic"/>
          <w:sz w:val="20"/>
          <w:szCs w:val="20"/>
        </w:rPr>
      </w:pPr>
    </w:p>
    <w:p w14:paraId="620A80E2" w14:textId="005FD7CA" w:rsidR="00AC7D05" w:rsidRPr="00730C0D" w:rsidRDefault="00826449" w:rsidP="004978DA">
      <w:pPr>
        <w:pStyle w:val="Heading3"/>
      </w:pPr>
      <w:bookmarkStart w:id="60" w:name="_2.2.5_Standing_and"/>
      <w:bookmarkStart w:id="61" w:name="_2.2.5_A_New"/>
      <w:bookmarkStart w:id="62" w:name="_Toc18592333"/>
      <w:bookmarkEnd w:id="60"/>
      <w:bookmarkEnd w:id="61"/>
      <w:r w:rsidRPr="00730C0D">
        <w:t>2.2.5</w:t>
      </w:r>
      <w:r w:rsidR="003806EF" w:rsidRPr="00730C0D">
        <w:tab/>
      </w:r>
      <w:r w:rsidR="00AC7D05" w:rsidRPr="00730C0D">
        <w:t>A New Provider Category</w:t>
      </w:r>
      <w:r w:rsidR="00D9389A" w:rsidRPr="00730C0D">
        <w:t xml:space="preserve"> </w:t>
      </w:r>
      <w:r w:rsidR="00E817AD" w:rsidRPr="00730C0D">
        <w:t>R</w:t>
      </w:r>
      <w:r w:rsidR="00474B80" w:rsidRPr="00730C0D">
        <w:t xml:space="preserve">eflecting </w:t>
      </w:r>
      <w:r w:rsidR="00E817AD" w:rsidRPr="00730C0D">
        <w:t>S</w:t>
      </w:r>
      <w:r w:rsidR="00474B80" w:rsidRPr="00730C0D">
        <w:t xml:space="preserve">tanding and </w:t>
      </w:r>
      <w:r w:rsidR="00E817AD" w:rsidRPr="00730C0D">
        <w:t>E</w:t>
      </w:r>
      <w:r w:rsidR="00D9389A" w:rsidRPr="00730C0D">
        <w:t>xcellence</w:t>
      </w:r>
      <w:bookmarkEnd w:id="62"/>
    </w:p>
    <w:p w14:paraId="2BE9E4A7" w14:textId="57955D8C"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In line with stakeholder views and to promote providers of high quality, the Review recommends the creation of a new provider category. This subsection explores the benefits of the proposed category, the requirements</w:t>
      </w:r>
      <w:r w:rsidR="0038116E" w:rsidRPr="00730C0D">
        <w:rPr>
          <w:rFonts w:ascii="Century Gothic" w:hAnsi="Century Gothic"/>
          <w:sz w:val="20"/>
          <w:szCs w:val="20"/>
        </w:rPr>
        <w:t xml:space="preserve"> such</w:t>
      </w:r>
      <w:r w:rsidRPr="00730C0D">
        <w:rPr>
          <w:rFonts w:ascii="Century Gothic" w:hAnsi="Century Gothic"/>
          <w:sz w:val="20"/>
          <w:szCs w:val="20"/>
        </w:rPr>
        <w:t xml:space="preserve"> providers </w:t>
      </w:r>
      <w:r w:rsidR="00126449" w:rsidRPr="00730C0D">
        <w:rPr>
          <w:rFonts w:ascii="Century Gothic" w:hAnsi="Century Gothic"/>
          <w:sz w:val="20"/>
          <w:szCs w:val="20"/>
        </w:rPr>
        <w:t xml:space="preserve">would </w:t>
      </w:r>
      <w:r w:rsidRPr="00730C0D">
        <w:rPr>
          <w:rFonts w:ascii="Century Gothic" w:hAnsi="Century Gothic"/>
          <w:sz w:val="20"/>
          <w:szCs w:val="20"/>
        </w:rPr>
        <w:t>be expected to meet,</w:t>
      </w:r>
      <w:r w:rsidR="00126449" w:rsidRPr="00730C0D">
        <w:rPr>
          <w:rFonts w:ascii="Century Gothic" w:hAnsi="Century Gothic"/>
          <w:sz w:val="20"/>
          <w:szCs w:val="20"/>
        </w:rPr>
        <w:t xml:space="preserve"> </w:t>
      </w:r>
      <w:r w:rsidR="00547C99">
        <w:rPr>
          <w:rFonts w:ascii="Century Gothic" w:hAnsi="Century Gothic"/>
          <w:sz w:val="20"/>
          <w:szCs w:val="20"/>
        </w:rPr>
        <w:br/>
      </w:r>
      <w:r w:rsidR="00126449" w:rsidRPr="00730C0D">
        <w:rPr>
          <w:rFonts w:ascii="Century Gothic" w:hAnsi="Century Gothic"/>
          <w:sz w:val="20"/>
          <w:szCs w:val="20"/>
        </w:rPr>
        <w:t>the</w:t>
      </w:r>
      <w:r w:rsidRPr="00730C0D">
        <w:rPr>
          <w:rFonts w:ascii="Century Gothic" w:hAnsi="Century Gothic"/>
          <w:sz w:val="20"/>
          <w:szCs w:val="20"/>
        </w:rPr>
        <w:t xml:space="preserve"> functions of the category, and the purpose of the</w:t>
      </w:r>
      <w:r w:rsidR="00126449" w:rsidRPr="00730C0D">
        <w:rPr>
          <w:rFonts w:ascii="Century Gothic" w:hAnsi="Century Gothic"/>
          <w:sz w:val="20"/>
          <w:szCs w:val="20"/>
        </w:rPr>
        <w:t xml:space="preserve"> proposed</w:t>
      </w:r>
      <w:r w:rsidRPr="00730C0D">
        <w:rPr>
          <w:rFonts w:ascii="Century Gothic" w:hAnsi="Century Gothic"/>
          <w:sz w:val="20"/>
          <w:szCs w:val="20"/>
        </w:rPr>
        <w:t xml:space="preserve"> title </w:t>
      </w:r>
      <w:r w:rsidR="00126449" w:rsidRPr="00730C0D">
        <w:rPr>
          <w:rFonts w:ascii="Century Gothic" w:hAnsi="Century Gothic"/>
          <w:sz w:val="20"/>
          <w:szCs w:val="20"/>
        </w:rPr>
        <w:t>to</w:t>
      </w:r>
      <w:r w:rsidRPr="00730C0D">
        <w:rPr>
          <w:rFonts w:ascii="Century Gothic" w:hAnsi="Century Gothic"/>
          <w:sz w:val="20"/>
          <w:szCs w:val="20"/>
        </w:rPr>
        <w:t xml:space="preserve"> be attached to </w:t>
      </w:r>
      <w:r w:rsidR="00547C99">
        <w:rPr>
          <w:rFonts w:ascii="Century Gothic" w:hAnsi="Century Gothic"/>
          <w:sz w:val="20"/>
          <w:szCs w:val="20"/>
        </w:rPr>
        <w:br/>
      </w:r>
      <w:r w:rsidRPr="00730C0D">
        <w:rPr>
          <w:rFonts w:ascii="Century Gothic" w:hAnsi="Century Gothic"/>
          <w:sz w:val="20"/>
          <w:szCs w:val="20"/>
        </w:rPr>
        <w:t xml:space="preserve">the category. </w:t>
      </w:r>
    </w:p>
    <w:p w14:paraId="2C8E5494" w14:textId="77777777" w:rsidR="00AC7D05" w:rsidRPr="00730C0D" w:rsidRDefault="00AC7D05" w:rsidP="00D31B9A">
      <w:pPr>
        <w:spacing w:before="0" w:after="0"/>
        <w:rPr>
          <w:rFonts w:ascii="Century Gothic" w:hAnsi="Century Gothic"/>
          <w:sz w:val="20"/>
          <w:szCs w:val="20"/>
        </w:rPr>
      </w:pPr>
    </w:p>
    <w:p w14:paraId="39C28D6B" w14:textId="1F252603" w:rsidR="00AC7D05" w:rsidRPr="00730C0D" w:rsidRDefault="00AC7D05" w:rsidP="00D31B9A">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 xml:space="preserve">Requirements </w:t>
      </w:r>
    </w:p>
    <w:p w14:paraId="07E54350" w14:textId="036D921F" w:rsidR="00AC7D05" w:rsidRDefault="00AC7D05" w:rsidP="00D31B9A">
      <w:pPr>
        <w:spacing w:before="0" w:after="0"/>
        <w:rPr>
          <w:rFonts w:ascii="Century Gothic" w:hAnsi="Century Gothic"/>
          <w:sz w:val="20"/>
          <w:szCs w:val="20"/>
        </w:rPr>
      </w:pPr>
      <w:r w:rsidRPr="00730C0D">
        <w:rPr>
          <w:rFonts w:ascii="Century Gothic" w:hAnsi="Century Gothic"/>
          <w:sz w:val="20"/>
          <w:szCs w:val="20"/>
        </w:rPr>
        <w:t>Due to the high bar associated with self-accreditation, as explored in the previous subsection, the Review recommends that self-accreditation be one of the defining features of the propose</w:t>
      </w:r>
      <w:r w:rsidR="006E23B7" w:rsidRPr="00730C0D">
        <w:rPr>
          <w:rFonts w:ascii="Century Gothic" w:hAnsi="Century Gothic"/>
          <w:sz w:val="20"/>
          <w:szCs w:val="20"/>
        </w:rPr>
        <w:t>d</w:t>
      </w:r>
      <w:r w:rsidRPr="00730C0D">
        <w:rPr>
          <w:rFonts w:ascii="Century Gothic" w:hAnsi="Century Gothic"/>
          <w:sz w:val="20"/>
          <w:szCs w:val="20"/>
        </w:rPr>
        <w:t xml:space="preserve"> category. </w:t>
      </w:r>
      <w:r w:rsidR="002E6AC4" w:rsidRPr="00730C0D">
        <w:rPr>
          <w:rFonts w:ascii="Century Gothic" w:hAnsi="Century Gothic"/>
          <w:sz w:val="20"/>
          <w:szCs w:val="20"/>
        </w:rPr>
        <w:t xml:space="preserve">To enter this category, providers </w:t>
      </w:r>
      <w:r w:rsidR="00126449" w:rsidRPr="00730C0D">
        <w:rPr>
          <w:rFonts w:ascii="Century Gothic" w:hAnsi="Century Gothic"/>
          <w:sz w:val="20"/>
          <w:szCs w:val="20"/>
        </w:rPr>
        <w:t xml:space="preserve">would </w:t>
      </w:r>
      <w:r w:rsidR="002E6AC4" w:rsidRPr="00730C0D">
        <w:rPr>
          <w:rFonts w:ascii="Century Gothic" w:hAnsi="Century Gothic"/>
          <w:sz w:val="20"/>
          <w:szCs w:val="20"/>
        </w:rPr>
        <w:t xml:space="preserve">be required to have </w:t>
      </w:r>
      <w:r w:rsidR="00AF7E44" w:rsidRPr="00730C0D">
        <w:rPr>
          <w:rFonts w:ascii="Century Gothic" w:hAnsi="Century Gothic"/>
          <w:sz w:val="20"/>
          <w:szCs w:val="20"/>
        </w:rPr>
        <w:br/>
      </w:r>
      <w:r w:rsidR="002E6AC4" w:rsidRPr="00730C0D">
        <w:rPr>
          <w:rFonts w:ascii="Century Gothic" w:hAnsi="Century Gothic"/>
          <w:sz w:val="20"/>
          <w:szCs w:val="20"/>
        </w:rPr>
        <w:t>self-accrediting</w:t>
      </w:r>
      <w:r w:rsidR="00AF7E44" w:rsidRPr="00730C0D">
        <w:rPr>
          <w:rFonts w:ascii="Century Gothic" w:hAnsi="Century Gothic"/>
          <w:sz w:val="20"/>
          <w:szCs w:val="20"/>
        </w:rPr>
        <w:t> </w:t>
      </w:r>
      <w:r w:rsidR="002E6AC4" w:rsidRPr="00730C0D">
        <w:rPr>
          <w:rFonts w:ascii="Century Gothic" w:hAnsi="Century Gothic"/>
          <w:sz w:val="20"/>
          <w:szCs w:val="20"/>
        </w:rPr>
        <w:t xml:space="preserve">authority for at least 70 per cent of the courses </w:t>
      </w:r>
      <w:r w:rsidR="00126449" w:rsidRPr="00730C0D">
        <w:rPr>
          <w:rFonts w:ascii="Century Gothic" w:hAnsi="Century Gothic"/>
          <w:sz w:val="20"/>
          <w:szCs w:val="20"/>
        </w:rPr>
        <w:t>they deliver</w:t>
      </w:r>
      <w:r w:rsidR="002E6AC4" w:rsidRPr="00730C0D">
        <w:rPr>
          <w:rFonts w:ascii="Century Gothic" w:hAnsi="Century Gothic"/>
          <w:sz w:val="20"/>
          <w:szCs w:val="20"/>
        </w:rPr>
        <w:t>.</w:t>
      </w:r>
      <w:r w:rsidR="00151C74" w:rsidRPr="00730C0D">
        <w:rPr>
          <w:rFonts w:ascii="Century Gothic" w:hAnsi="Century Gothic"/>
          <w:sz w:val="20"/>
          <w:szCs w:val="20"/>
        </w:rPr>
        <w:t xml:space="preserve"> </w:t>
      </w:r>
      <w:r w:rsidR="00364895" w:rsidRPr="00730C0D">
        <w:rPr>
          <w:rFonts w:ascii="Century Gothic" w:hAnsi="Century Gothic"/>
          <w:sz w:val="20"/>
          <w:szCs w:val="20"/>
        </w:rPr>
        <w:t>This </w:t>
      </w:r>
      <w:r w:rsidR="00126449" w:rsidRPr="00730C0D">
        <w:rPr>
          <w:rFonts w:ascii="Century Gothic" w:hAnsi="Century Gothic"/>
          <w:sz w:val="20"/>
          <w:szCs w:val="20"/>
        </w:rPr>
        <w:t>threshold would</w:t>
      </w:r>
      <w:r w:rsidR="002E6AC4" w:rsidRPr="00730C0D">
        <w:rPr>
          <w:rFonts w:ascii="Century Gothic" w:hAnsi="Century Gothic"/>
          <w:sz w:val="20"/>
          <w:szCs w:val="20"/>
        </w:rPr>
        <w:t xml:space="preserve"> ensure that those in the category have a large majority of </w:t>
      </w:r>
      <w:r w:rsidR="00126449" w:rsidRPr="00730C0D">
        <w:rPr>
          <w:rFonts w:ascii="Century Gothic" w:hAnsi="Century Gothic"/>
          <w:sz w:val="20"/>
          <w:szCs w:val="20"/>
        </w:rPr>
        <w:t xml:space="preserve">their </w:t>
      </w:r>
      <w:r w:rsidR="002E6AC4" w:rsidRPr="00730C0D">
        <w:rPr>
          <w:rFonts w:ascii="Century Gothic" w:hAnsi="Century Gothic"/>
          <w:sz w:val="20"/>
          <w:szCs w:val="20"/>
        </w:rPr>
        <w:t>courses</w:t>
      </w:r>
      <w:r w:rsidR="00A212F7">
        <w:rPr>
          <w:rFonts w:ascii="Century Gothic" w:hAnsi="Century Gothic"/>
          <w:sz w:val="20"/>
          <w:szCs w:val="20"/>
        </w:rPr>
        <w:t xml:space="preserve"> having</w:t>
      </w:r>
      <w:r w:rsidR="002E6AC4" w:rsidRPr="00730C0D">
        <w:rPr>
          <w:rFonts w:ascii="Century Gothic" w:hAnsi="Century Gothic"/>
          <w:sz w:val="20"/>
          <w:szCs w:val="20"/>
        </w:rPr>
        <w:t xml:space="preserve"> met additional quality criteria</w:t>
      </w:r>
      <w:r w:rsidR="002E1536">
        <w:rPr>
          <w:rFonts w:ascii="Century Gothic" w:hAnsi="Century Gothic"/>
          <w:sz w:val="20"/>
          <w:szCs w:val="20"/>
        </w:rPr>
        <w:t>,</w:t>
      </w:r>
      <w:r w:rsidR="00984F2D">
        <w:rPr>
          <w:rFonts w:ascii="Century Gothic" w:hAnsi="Century Gothic"/>
          <w:sz w:val="20"/>
          <w:szCs w:val="20"/>
        </w:rPr>
        <w:t xml:space="preserve"> thus demonstrating </w:t>
      </w:r>
      <w:r w:rsidR="00836D9D" w:rsidRPr="00730C0D">
        <w:rPr>
          <w:rFonts w:ascii="Century Gothic" w:hAnsi="Century Gothic"/>
          <w:sz w:val="20"/>
          <w:szCs w:val="20"/>
        </w:rPr>
        <w:t>the high standing and maturity of the provider</w:t>
      </w:r>
      <w:r w:rsidR="002E6AC4" w:rsidRPr="00730C0D">
        <w:rPr>
          <w:rFonts w:ascii="Century Gothic" w:hAnsi="Century Gothic"/>
          <w:sz w:val="20"/>
          <w:szCs w:val="20"/>
        </w:rPr>
        <w:t xml:space="preserve">. </w:t>
      </w:r>
    </w:p>
    <w:p w14:paraId="3954C02D" w14:textId="5566ECF2" w:rsidR="00547C99" w:rsidRDefault="00547C99"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547C99" w:rsidRPr="00730C0D" w14:paraId="0713A81C"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4FC17383" w14:textId="77777777" w:rsidR="00547C99" w:rsidRPr="00730C0D" w:rsidRDefault="00547C99" w:rsidP="00FE78DE">
            <w:pPr>
              <w:spacing w:before="0" w:after="0" w:line="259" w:lineRule="auto"/>
              <w:jc w:val="both"/>
              <w:rPr>
                <w:rFonts w:ascii="Century Gothic" w:hAnsi="Century Gothic"/>
                <w:b w:val="0"/>
                <w:i/>
                <w:color w:val="auto"/>
                <w:sz w:val="20"/>
                <w:szCs w:val="20"/>
              </w:rPr>
            </w:pPr>
          </w:p>
          <w:p w14:paraId="4B7945CD" w14:textId="77777777" w:rsidR="00547C99" w:rsidRPr="00730C0D" w:rsidRDefault="00547C99" w:rsidP="00FE78DE">
            <w:pPr>
              <w:spacing w:before="0" w:after="0" w:line="259" w:lineRule="auto"/>
              <w:ind w:left="169" w:right="171"/>
              <w:jc w:val="both"/>
              <w:rPr>
                <w:rFonts w:ascii="Century Gothic" w:hAnsi="Century Gothic" w:cstheme="minorHAnsi"/>
                <w:i/>
                <w:color w:val="2763AC"/>
                <w:sz w:val="20"/>
                <w:szCs w:val="20"/>
              </w:rPr>
            </w:pPr>
            <w:r w:rsidRPr="00730C0D">
              <w:rPr>
                <w:rFonts w:ascii="Century Gothic" w:hAnsi="Century Gothic" w:cstheme="minorHAnsi"/>
                <w:b w:val="0"/>
                <w:color w:val="2763AC"/>
                <w:sz w:val="20"/>
                <w:szCs w:val="20"/>
              </w:rPr>
              <w:t>“Given the significant status that is associated with holding SAA [self-accrediting authority], and the practical consequences of not having to seek TEQSA accreditation of courses within SAA scope, and that SAA is a fixed stepping stone to gaining registration in a university category, it is proposed that SAA warrants inclusion as a separate HEP category.”.</w:t>
            </w:r>
            <w:r w:rsidRPr="00730C0D">
              <w:rPr>
                <w:rFonts w:ascii="Century Gothic" w:hAnsi="Century Gothic" w:cstheme="minorHAnsi"/>
                <w:i/>
                <w:color w:val="2763AC"/>
                <w:sz w:val="20"/>
                <w:szCs w:val="20"/>
              </w:rPr>
              <w:t xml:space="preserve"> </w:t>
            </w:r>
          </w:p>
          <w:p w14:paraId="0677A1D1" w14:textId="77777777" w:rsidR="00547C99" w:rsidRPr="00730C0D" w:rsidRDefault="00547C99" w:rsidP="00FE78DE">
            <w:pPr>
              <w:spacing w:before="0" w:after="0" w:line="259" w:lineRule="auto"/>
              <w:jc w:val="both"/>
              <w:rPr>
                <w:rFonts w:ascii="Century Gothic" w:hAnsi="Century Gothic" w:cstheme="minorHAnsi"/>
                <w:color w:val="auto"/>
                <w:sz w:val="20"/>
                <w:szCs w:val="20"/>
              </w:rPr>
            </w:pPr>
          </w:p>
          <w:p w14:paraId="36878852" w14:textId="77777777" w:rsidR="00547C99" w:rsidRPr="00730C0D" w:rsidRDefault="00547C99" w:rsidP="00FE78DE">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Independent Higher Education Australia submission to the PCS Review 2019, p.5</w:t>
            </w:r>
          </w:p>
          <w:p w14:paraId="088590E0" w14:textId="77777777" w:rsidR="00547C99" w:rsidRPr="00730C0D" w:rsidRDefault="00547C99" w:rsidP="00FE78DE">
            <w:pPr>
              <w:spacing w:before="0" w:after="0" w:line="259" w:lineRule="auto"/>
              <w:jc w:val="right"/>
              <w:rPr>
                <w:rFonts w:ascii="Century Gothic" w:hAnsi="Century Gothic"/>
                <w:b w:val="0"/>
                <w:color w:val="auto"/>
                <w:sz w:val="20"/>
                <w:szCs w:val="20"/>
              </w:rPr>
            </w:pPr>
          </w:p>
        </w:tc>
      </w:tr>
    </w:tbl>
    <w:p w14:paraId="0AAAC3F7" w14:textId="23A0DA79" w:rsidR="00AC7D05" w:rsidRPr="00730C0D" w:rsidRDefault="00AC7D05" w:rsidP="00D31B9A">
      <w:pPr>
        <w:spacing w:before="0" w:after="0"/>
        <w:rPr>
          <w:rFonts w:ascii="Century Gothic" w:hAnsi="Century Gothic"/>
          <w:sz w:val="20"/>
          <w:szCs w:val="20"/>
        </w:rPr>
      </w:pPr>
    </w:p>
    <w:p w14:paraId="1D2FC8E6" w14:textId="72DF6CD9" w:rsidR="00BB4A66" w:rsidRPr="00F304E7" w:rsidRDefault="00EA67CB" w:rsidP="00D31B9A">
      <w:pPr>
        <w:spacing w:before="0" w:after="0"/>
        <w:rPr>
          <w:rFonts w:ascii="Century Gothic" w:hAnsi="Century Gothic"/>
          <w:sz w:val="20"/>
          <w:szCs w:val="20"/>
        </w:rPr>
      </w:pPr>
      <w:r w:rsidRPr="00F304E7">
        <w:rPr>
          <w:rFonts w:ascii="Century Gothic" w:hAnsi="Century Gothic"/>
          <w:sz w:val="20"/>
          <w:szCs w:val="20"/>
        </w:rPr>
        <w:t>P</w:t>
      </w:r>
      <w:r w:rsidR="00AC7D05" w:rsidRPr="00F304E7">
        <w:rPr>
          <w:rFonts w:ascii="Century Gothic" w:hAnsi="Century Gothic"/>
          <w:sz w:val="20"/>
          <w:szCs w:val="20"/>
        </w:rPr>
        <w:t xml:space="preserve">roviders </w:t>
      </w:r>
      <w:r w:rsidR="00126449" w:rsidRPr="00F304E7">
        <w:rPr>
          <w:rFonts w:ascii="Century Gothic" w:hAnsi="Century Gothic"/>
          <w:sz w:val="20"/>
          <w:szCs w:val="20"/>
        </w:rPr>
        <w:t xml:space="preserve">would </w:t>
      </w:r>
      <w:r w:rsidR="00AC7D05" w:rsidRPr="00F304E7">
        <w:rPr>
          <w:rFonts w:ascii="Century Gothic" w:hAnsi="Century Gothic"/>
          <w:sz w:val="20"/>
          <w:szCs w:val="20"/>
        </w:rPr>
        <w:t xml:space="preserve">also be expected to meet a range of quality benchmarks in addition to </w:t>
      </w:r>
      <w:r w:rsidRPr="00F304E7">
        <w:rPr>
          <w:rFonts w:ascii="Century Gothic" w:hAnsi="Century Gothic"/>
          <w:sz w:val="20"/>
          <w:szCs w:val="20"/>
        </w:rPr>
        <w:br/>
      </w:r>
      <w:r w:rsidR="00AC7D05" w:rsidRPr="00F304E7">
        <w:rPr>
          <w:rFonts w:ascii="Century Gothic" w:hAnsi="Century Gothic"/>
          <w:sz w:val="20"/>
          <w:szCs w:val="20"/>
        </w:rPr>
        <w:t xml:space="preserve">self-accrediting status, </w:t>
      </w:r>
      <w:r w:rsidR="00462D0C" w:rsidRPr="00F304E7">
        <w:rPr>
          <w:rFonts w:ascii="Century Gothic" w:hAnsi="Century Gothic"/>
          <w:sz w:val="20"/>
          <w:szCs w:val="20"/>
        </w:rPr>
        <w:t>a </w:t>
      </w:r>
      <w:r w:rsidR="0038116E" w:rsidRPr="00F304E7">
        <w:rPr>
          <w:rFonts w:ascii="Century Gothic" w:hAnsi="Century Gothic"/>
          <w:sz w:val="20"/>
          <w:szCs w:val="20"/>
        </w:rPr>
        <w:t xml:space="preserve">number </w:t>
      </w:r>
      <w:r w:rsidR="00AC7D05" w:rsidRPr="00F304E7">
        <w:rPr>
          <w:rFonts w:ascii="Century Gothic" w:hAnsi="Century Gothic"/>
          <w:sz w:val="20"/>
          <w:szCs w:val="20"/>
        </w:rPr>
        <w:t xml:space="preserve">of which are the same as those expected of providers in the ‘Australian University’ category. This parity </w:t>
      </w:r>
      <w:r w:rsidR="00126449" w:rsidRPr="00F304E7">
        <w:rPr>
          <w:rFonts w:ascii="Century Gothic" w:hAnsi="Century Gothic"/>
          <w:sz w:val="20"/>
          <w:szCs w:val="20"/>
        </w:rPr>
        <w:t>would</w:t>
      </w:r>
      <w:r w:rsidR="00AC7D05" w:rsidRPr="00F304E7">
        <w:rPr>
          <w:rFonts w:ascii="Century Gothic" w:hAnsi="Century Gothic"/>
          <w:sz w:val="20"/>
          <w:szCs w:val="20"/>
        </w:rPr>
        <w:t xml:space="preserve"> further elevate the </w:t>
      </w:r>
      <w:r w:rsidR="0038116E" w:rsidRPr="00F304E7">
        <w:rPr>
          <w:rFonts w:ascii="Century Gothic" w:hAnsi="Century Gothic"/>
          <w:sz w:val="20"/>
          <w:szCs w:val="20"/>
        </w:rPr>
        <w:t xml:space="preserve">standing </w:t>
      </w:r>
      <w:r w:rsidR="00AC7D05" w:rsidRPr="00F304E7">
        <w:rPr>
          <w:rFonts w:ascii="Century Gothic" w:hAnsi="Century Gothic"/>
          <w:sz w:val="20"/>
          <w:szCs w:val="20"/>
        </w:rPr>
        <w:t xml:space="preserve">of the new category and recognise the ability of these providers to meet additional </w:t>
      </w:r>
      <w:r w:rsidR="0038116E" w:rsidRPr="00F304E7">
        <w:rPr>
          <w:rFonts w:ascii="Century Gothic" w:hAnsi="Century Gothic"/>
          <w:sz w:val="20"/>
          <w:szCs w:val="20"/>
        </w:rPr>
        <w:t>requirements</w:t>
      </w:r>
      <w:r w:rsidR="00AC7D05" w:rsidRPr="00F304E7">
        <w:rPr>
          <w:rFonts w:ascii="Century Gothic" w:hAnsi="Century Gothic"/>
          <w:sz w:val="20"/>
          <w:szCs w:val="20"/>
        </w:rPr>
        <w:t xml:space="preserve">. </w:t>
      </w:r>
    </w:p>
    <w:p w14:paraId="47FF388A" w14:textId="6AA6EACF" w:rsidR="00AC7D05" w:rsidRPr="00F304E7" w:rsidRDefault="00AC7D05" w:rsidP="00D31B9A">
      <w:pPr>
        <w:spacing w:before="0" w:after="0"/>
        <w:rPr>
          <w:rFonts w:ascii="Century Gothic" w:hAnsi="Century Gothic"/>
          <w:sz w:val="20"/>
          <w:szCs w:val="20"/>
        </w:rPr>
      </w:pPr>
      <w:r w:rsidRPr="00F304E7">
        <w:rPr>
          <w:rFonts w:ascii="Century Gothic" w:hAnsi="Century Gothic"/>
          <w:sz w:val="20"/>
          <w:szCs w:val="20"/>
        </w:rPr>
        <w:t>The</w:t>
      </w:r>
      <w:r w:rsidR="00126449" w:rsidRPr="00F304E7">
        <w:rPr>
          <w:rFonts w:ascii="Century Gothic" w:hAnsi="Century Gothic"/>
          <w:sz w:val="20"/>
          <w:szCs w:val="20"/>
        </w:rPr>
        <w:t xml:space="preserve"> proposed</w:t>
      </w:r>
      <w:r w:rsidRPr="00F304E7">
        <w:rPr>
          <w:rFonts w:ascii="Century Gothic" w:hAnsi="Century Gothic"/>
          <w:sz w:val="20"/>
          <w:szCs w:val="20"/>
        </w:rPr>
        <w:t xml:space="preserve"> additional criteria, set out in detail in </w:t>
      </w:r>
      <w:hyperlink w:anchor="_Appendix_D." w:history="1">
        <w:r w:rsidR="008E0591" w:rsidRPr="00F304E7">
          <w:rPr>
            <w:rStyle w:val="Hyperlink"/>
            <w:rFonts w:ascii="Century Gothic" w:hAnsi="Century Gothic"/>
            <w:sz w:val="20"/>
            <w:szCs w:val="20"/>
          </w:rPr>
          <w:t xml:space="preserve">Appendix </w:t>
        </w:r>
        <w:r w:rsidRPr="00F304E7">
          <w:rPr>
            <w:rStyle w:val="Hyperlink"/>
            <w:rFonts w:ascii="Century Gothic" w:hAnsi="Century Gothic"/>
            <w:sz w:val="20"/>
            <w:szCs w:val="20"/>
          </w:rPr>
          <w:t>D</w:t>
        </w:r>
      </w:hyperlink>
      <w:r w:rsidRPr="00F304E7">
        <w:rPr>
          <w:rFonts w:ascii="Century Gothic" w:hAnsi="Century Gothic"/>
          <w:sz w:val="20"/>
          <w:szCs w:val="20"/>
        </w:rPr>
        <w:t xml:space="preserve">, relate to: </w:t>
      </w:r>
    </w:p>
    <w:p w14:paraId="2528E931" w14:textId="7DA40AB6" w:rsidR="00AC7D05" w:rsidRPr="00F304E7" w:rsidRDefault="00AC7D05" w:rsidP="0024520B">
      <w:pPr>
        <w:numPr>
          <w:ilvl w:val="0"/>
          <w:numId w:val="53"/>
        </w:numPr>
        <w:spacing w:before="0" w:after="0"/>
        <w:contextualSpacing/>
        <w:rPr>
          <w:rFonts w:ascii="Century Gothic" w:hAnsi="Century Gothic"/>
          <w:sz w:val="20"/>
          <w:szCs w:val="20"/>
        </w:rPr>
      </w:pPr>
      <w:r w:rsidRPr="00F304E7">
        <w:rPr>
          <w:rFonts w:ascii="Century Gothic" w:hAnsi="Century Gothic"/>
          <w:sz w:val="20"/>
          <w:szCs w:val="20"/>
        </w:rPr>
        <w:t>superior student outcomes</w:t>
      </w:r>
      <w:r w:rsidR="0038116E" w:rsidRPr="00F304E7">
        <w:rPr>
          <w:rFonts w:ascii="Century Gothic" w:hAnsi="Century Gothic"/>
          <w:sz w:val="20"/>
          <w:szCs w:val="20"/>
        </w:rPr>
        <w:t>;</w:t>
      </w:r>
    </w:p>
    <w:p w14:paraId="2D86B539" w14:textId="438C1A55" w:rsidR="00AC7D05" w:rsidRPr="00F304E7" w:rsidRDefault="00AC7D05" w:rsidP="0024520B">
      <w:pPr>
        <w:numPr>
          <w:ilvl w:val="0"/>
          <w:numId w:val="53"/>
        </w:numPr>
        <w:spacing w:before="0" w:after="0"/>
        <w:contextualSpacing/>
        <w:rPr>
          <w:rFonts w:ascii="Century Gothic" w:hAnsi="Century Gothic"/>
          <w:sz w:val="20"/>
          <w:szCs w:val="20"/>
        </w:rPr>
      </w:pPr>
      <w:r w:rsidRPr="00F304E7">
        <w:rPr>
          <w:rFonts w:ascii="Century Gothic" w:hAnsi="Century Gothic"/>
          <w:sz w:val="20"/>
          <w:szCs w:val="20"/>
        </w:rPr>
        <w:t>mature processes for course design, quality assurance and maintenance of academic integrity</w:t>
      </w:r>
      <w:r w:rsidR="0038116E" w:rsidRPr="00F304E7">
        <w:rPr>
          <w:rFonts w:ascii="Century Gothic" w:hAnsi="Century Gothic"/>
          <w:sz w:val="20"/>
          <w:szCs w:val="20"/>
        </w:rPr>
        <w:t>;</w:t>
      </w:r>
    </w:p>
    <w:p w14:paraId="23E31CEE" w14:textId="71D2A682" w:rsidR="00AC7D05" w:rsidRPr="00F304E7" w:rsidRDefault="00AC7D05" w:rsidP="0024520B">
      <w:pPr>
        <w:numPr>
          <w:ilvl w:val="0"/>
          <w:numId w:val="53"/>
        </w:numPr>
        <w:spacing w:before="0" w:after="0"/>
        <w:contextualSpacing/>
        <w:rPr>
          <w:rFonts w:ascii="Century Gothic" w:hAnsi="Century Gothic"/>
          <w:sz w:val="20"/>
          <w:szCs w:val="20"/>
        </w:rPr>
      </w:pPr>
      <w:r w:rsidRPr="00F304E7">
        <w:rPr>
          <w:rFonts w:ascii="Century Gothic" w:hAnsi="Century Gothic"/>
          <w:sz w:val="20"/>
          <w:szCs w:val="20"/>
        </w:rPr>
        <w:t>systematic support for scholarship</w:t>
      </w:r>
      <w:r w:rsidR="0038116E" w:rsidRPr="00F304E7">
        <w:rPr>
          <w:rFonts w:ascii="Century Gothic" w:hAnsi="Century Gothic"/>
          <w:sz w:val="20"/>
          <w:szCs w:val="20"/>
        </w:rPr>
        <w:t>;</w:t>
      </w:r>
      <w:r w:rsidRPr="00F304E7">
        <w:rPr>
          <w:rFonts w:ascii="Century Gothic" w:hAnsi="Century Gothic"/>
          <w:sz w:val="20"/>
          <w:szCs w:val="20"/>
        </w:rPr>
        <w:t xml:space="preserve"> </w:t>
      </w:r>
    </w:p>
    <w:p w14:paraId="5AD9AC67" w14:textId="47C99A0A" w:rsidR="00AC7D05" w:rsidRPr="00F304E7" w:rsidRDefault="00AC7D05" w:rsidP="0024520B">
      <w:pPr>
        <w:numPr>
          <w:ilvl w:val="0"/>
          <w:numId w:val="53"/>
        </w:numPr>
        <w:spacing w:before="0" w:after="0"/>
        <w:contextualSpacing/>
        <w:rPr>
          <w:rFonts w:ascii="Century Gothic" w:hAnsi="Century Gothic"/>
          <w:sz w:val="20"/>
          <w:szCs w:val="20"/>
        </w:rPr>
      </w:pPr>
      <w:r w:rsidRPr="00F304E7">
        <w:rPr>
          <w:rFonts w:ascii="Century Gothic" w:hAnsi="Century Gothic"/>
          <w:sz w:val="20"/>
          <w:szCs w:val="20"/>
        </w:rPr>
        <w:t>depth of academic leadership</w:t>
      </w:r>
      <w:r w:rsidR="0038116E" w:rsidRPr="00F304E7">
        <w:rPr>
          <w:rFonts w:ascii="Century Gothic" w:hAnsi="Century Gothic"/>
          <w:sz w:val="20"/>
          <w:szCs w:val="20"/>
        </w:rPr>
        <w:t>;</w:t>
      </w:r>
    </w:p>
    <w:p w14:paraId="6BB7D25E" w14:textId="6CADA35B" w:rsidR="00AC7D05" w:rsidRPr="00F304E7" w:rsidRDefault="00AC7D05" w:rsidP="0024520B">
      <w:pPr>
        <w:numPr>
          <w:ilvl w:val="0"/>
          <w:numId w:val="53"/>
        </w:numPr>
        <w:spacing w:before="0" w:after="0"/>
        <w:contextualSpacing/>
        <w:rPr>
          <w:rFonts w:ascii="Century Gothic" w:hAnsi="Century Gothic"/>
          <w:sz w:val="20"/>
          <w:szCs w:val="20"/>
        </w:rPr>
      </w:pPr>
      <w:r w:rsidRPr="00F304E7">
        <w:rPr>
          <w:rFonts w:ascii="Century Gothic" w:hAnsi="Century Gothic"/>
          <w:sz w:val="20"/>
          <w:szCs w:val="20"/>
        </w:rPr>
        <w:t>good practices for teaching and learning that can be shared with the sector</w:t>
      </w:r>
      <w:r w:rsidR="0038116E" w:rsidRPr="00F304E7">
        <w:rPr>
          <w:rFonts w:ascii="Century Gothic" w:hAnsi="Century Gothic"/>
          <w:sz w:val="20"/>
          <w:szCs w:val="20"/>
        </w:rPr>
        <w:t>; and</w:t>
      </w:r>
    </w:p>
    <w:p w14:paraId="060E5005" w14:textId="77777777" w:rsidR="00AC7D05" w:rsidRPr="00F304E7" w:rsidRDefault="00AC7D05" w:rsidP="0024520B">
      <w:pPr>
        <w:numPr>
          <w:ilvl w:val="0"/>
          <w:numId w:val="53"/>
        </w:numPr>
        <w:spacing w:before="0" w:after="0"/>
        <w:contextualSpacing/>
        <w:rPr>
          <w:rFonts w:ascii="Century Gothic" w:hAnsi="Century Gothic"/>
          <w:sz w:val="20"/>
          <w:szCs w:val="20"/>
        </w:rPr>
      </w:pPr>
      <w:r w:rsidRPr="00F304E7">
        <w:rPr>
          <w:rFonts w:ascii="Century Gothic" w:hAnsi="Century Gothic"/>
          <w:sz w:val="20"/>
          <w:szCs w:val="20"/>
        </w:rPr>
        <w:t>genuine engagement with employers, industry and/or the professions to inform teaching and learning.</w:t>
      </w:r>
    </w:p>
    <w:p w14:paraId="4C627CF0" w14:textId="77777777"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 </w:t>
      </w:r>
    </w:p>
    <w:p w14:paraId="6E208AA2" w14:textId="3935A096" w:rsidR="00AC7D05" w:rsidRPr="00730C0D" w:rsidRDefault="00AC7D05" w:rsidP="00D31B9A">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Functions and Purpose</w:t>
      </w:r>
    </w:p>
    <w:p w14:paraId="7173593E" w14:textId="449D4BC5"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 creation of a </w:t>
      </w:r>
      <w:r w:rsidR="0038116E" w:rsidRPr="00730C0D">
        <w:rPr>
          <w:rFonts w:ascii="Century Gothic" w:hAnsi="Century Gothic"/>
          <w:sz w:val="20"/>
          <w:szCs w:val="20"/>
        </w:rPr>
        <w:t>discrete</w:t>
      </w:r>
      <w:r w:rsidRPr="00730C0D">
        <w:rPr>
          <w:rFonts w:ascii="Century Gothic" w:hAnsi="Century Gothic"/>
          <w:sz w:val="20"/>
          <w:szCs w:val="20"/>
        </w:rPr>
        <w:t xml:space="preserve"> category based on self-accrediting authority status and other quality criteria </w:t>
      </w:r>
      <w:r w:rsidR="00126449" w:rsidRPr="00730C0D">
        <w:rPr>
          <w:rFonts w:ascii="Century Gothic" w:hAnsi="Century Gothic"/>
          <w:sz w:val="20"/>
          <w:szCs w:val="20"/>
        </w:rPr>
        <w:t xml:space="preserve">would </w:t>
      </w:r>
      <w:r w:rsidRPr="00730C0D">
        <w:rPr>
          <w:rFonts w:ascii="Century Gothic" w:hAnsi="Century Gothic"/>
          <w:sz w:val="20"/>
          <w:szCs w:val="20"/>
        </w:rPr>
        <w:t>recognise the achievements of high performing providers, elevate their standing</w:t>
      </w:r>
      <w:r w:rsidR="0038116E" w:rsidRPr="00730C0D">
        <w:rPr>
          <w:rFonts w:ascii="Century Gothic" w:hAnsi="Century Gothic"/>
          <w:sz w:val="20"/>
          <w:szCs w:val="20"/>
        </w:rPr>
        <w:t>,</w:t>
      </w:r>
      <w:r w:rsidRPr="00730C0D">
        <w:rPr>
          <w:rFonts w:ascii="Century Gothic" w:hAnsi="Century Gothic"/>
          <w:sz w:val="20"/>
          <w:szCs w:val="20"/>
        </w:rPr>
        <w:t xml:space="preserve"> and build distincti</w:t>
      </w:r>
      <w:r w:rsidR="0038116E" w:rsidRPr="00730C0D">
        <w:rPr>
          <w:rFonts w:ascii="Century Gothic" w:hAnsi="Century Gothic"/>
          <w:sz w:val="20"/>
          <w:szCs w:val="20"/>
        </w:rPr>
        <w:t>veness</w:t>
      </w:r>
      <w:r w:rsidR="00E02775" w:rsidRPr="00730C0D">
        <w:rPr>
          <w:rFonts w:ascii="Century Gothic" w:hAnsi="Century Gothic"/>
          <w:sz w:val="20"/>
          <w:szCs w:val="20"/>
        </w:rPr>
        <w:t>.</w:t>
      </w:r>
      <w:r w:rsidRPr="00730C0D">
        <w:rPr>
          <w:rFonts w:ascii="Century Gothic" w:hAnsi="Century Gothic"/>
          <w:sz w:val="20"/>
          <w:szCs w:val="20"/>
        </w:rPr>
        <w:t xml:space="preserve"> For providers, the category </w:t>
      </w:r>
      <w:r w:rsidR="00126449" w:rsidRPr="00730C0D">
        <w:rPr>
          <w:rFonts w:ascii="Century Gothic" w:hAnsi="Century Gothic"/>
          <w:sz w:val="20"/>
          <w:szCs w:val="20"/>
        </w:rPr>
        <w:t xml:space="preserve">would </w:t>
      </w:r>
      <w:r w:rsidRPr="00730C0D">
        <w:rPr>
          <w:rFonts w:ascii="Century Gothic" w:hAnsi="Century Gothic"/>
          <w:sz w:val="20"/>
          <w:szCs w:val="20"/>
        </w:rPr>
        <w:t>serve multiple functions:</w:t>
      </w:r>
    </w:p>
    <w:p w14:paraId="71338B0B" w14:textId="6A75EDD3" w:rsidR="00AC7D05" w:rsidRPr="00730C0D" w:rsidRDefault="00AC7D05" w:rsidP="0024520B">
      <w:pPr>
        <w:numPr>
          <w:ilvl w:val="0"/>
          <w:numId w:val="51"/>
        </w:numPr>
        <w:spacing w:before="0" w:after="160"/>
        <w:contextualSpacing/>
        <w:rPr>
          <w:rFonts w:ascii="Century Gothic" w:hAnsi="Century Gothic"/>
          <w:sz w:val="20"/>
          <w:szCs w:val="20"/>
        </w:rPr>
      </w:pPr>
      <w:r w:rsidRPr="00730C0D">
        <w:rPr>
          <w:rFonts w:ascii="Century Gothic" w:hAnsi="Century Gothic"/>
          <w:sz w:val="20"/>
          <w:szCs w:val="20"/>
        </w:rPr>
        <w:t xml:space="preserve">an </w:t>
      </w:r>
      <w:r w:rsidRPr="00730C0D">
        <w:rPr>
          <w:rFonts w:ascii="Century Gothic" w:hAnsi="Century Gothic"/>
          <w:b/>
          <w:sz w:val="20"/>
          <w:szCs w:val="20"/>
        </w:rPr>
        <w:t>aspiration</w:t>
      </w:r>
      <w:r w:rsidRPr="00730C0D">
        <w:rPr>
          <w:rFonts w:ascii="Century Gothic" w:hAnsi="Century Gothic"/>
          <w:sz w:val="20"/>
          <w:szCs w:val="20"/>
        </w:rPr>
        <w:t xml:space="preserve"> category for providers to reach</w:t>
      </w:r>
      <w:r w:rsidR="0038116E" w:rsidRPr="00730C0D">
        <w:rPr>
          <w:rFonts w:ascii="Century Gothic" w:hAnsi="Century Gothic"/>
          <w:sz w:val="20"/>
          <w:szCs w:val="20"/>
        </w:rPr>
        <w:t>;</w:t>
      </w:r>
    </w:p>
    <w:p w14:paraId="616A1802" w14:textId="69407EDD" w:rsidR="00AC7D05" w:rsidRPr="00730C0D" w:rsidRDefault="00AC7D05" w:rsidP="0024520B">
      <w:pPr>
        <w:numPr>
          <w:ilvl w:val="0"/>
          <w:numId w:val="52"/>
        </w:numPr>
        <w:spacing w:before="0" w:after="0"/>
        <w:contextualSpacing/>
        <w:rPr>
          <w:rFonts w:ascii="Century Gothic" w:hAnsi="Century Gothic"/>
          <w:sz w:val="20"/>
          <w:szCs w:val="20"/>
        </w:rPr>
      </w:pPr>
      <w:r w:rsidRPr="00730C0D">
        <w:rPr>
          <w:rFonts w:ascii="Century Gothic" w:hAnsi="Century Gothic"/>
          <w:sz w:val="20"/>
          <w:szCs w:val="20"/>
        </w:rPr>
        <w:t xml:space="preserve">a </w:t>
      </w:r>
      <w:r w:rsidRPr="00730C0D">
        <w:rPr>
          <w:rFonts w:ascii="Century Gothic" w:hAnsi="Century Gothic"/>
          <w:b/>
          <w:sz w:val="20"/>
          <w:szCs w:val="20"/>
        </w:rPr>
        <w:t>destination</w:t>
      </w:r>
      <w:r w:rsidRPr="00730C0D">
        <w:rPr>
          <w:rFonts w:ascii="Century Gothic" w:hAnsi="Century Gothic"/>
          <w:sz w:val="20"/>
          <w:szCs w:val="20"/>
        </w:rPr>
        <w:t xml:space="preserve"> category for providers to remain </w:t>
      </w:r>
      <w:r w:rsidR="0038116E" w:rsidRPr="00730C0D">
        <w:rPr>
          <w:rFonts w:ascii="Century Gothic" w:hAnsi="Century Gothic"/>
          <w:sz w:val="20"/>
          <w:szCs w:val="20"/>
        </w:rPr>
        <w:t>with</w:t>
      </w:r>
      <w:r w:rsidRPr="00730C0D">
        <w:rPr>
          <w:rFonts w:ascii="Century Gothic" w:hAnsi="Century Gothic"/>
          <w:sz w:val="20"/>
          <w:szCs w:val="20"/>
        </w:rPr>
        <w:t>in so long as they continue to meet the additional standards</w:t>
      </w:r>
      <w:r w:rsidR="0038116E" w:rsidRPr="00730C0D">
        <w:rPr>
          <w:rFonts w:ascii="Century Gothic" w:hAnsi="Century Gothic"/>
          <w:sz w:val="20"/>
          <w:szCs w:val="20"/>
        </w:rPr>
        <w:t>;</w:t>
      </w:r>
      <w:r w:rsidRPr="00730C0D">
        <w:rPr>
          <w:rFonts w:ascii="Century Gothic" w:hAnsi="Century Gothic"/>
          <w:sz w:val="20"/>
          <w:szCs w:val="20"/>
        </w:rPr>
        <w:t xml:space="preserve"> or </w:t>
      </w:r>
    </w:p>
    <w:p w14:paraId="3E27FE09" w14:textId="2584F4E9" w:rsidR="00AC7D05" w:rsidRPr="00730C0D" w:rsidRDefault="00AC7D05" w:rsidP="0024520B">
      <w:pPr>
        <w:numPr>
          <w:ilvl w:val="0"/>
          <w:numId w:val="52"/>
        </w:numPr>
        <w:spacing w:before="0" w:after="0"/>
        <w:contextualSpacing/>
        <w:rPr>
          <w:rFonts w:ascii="Century Gothic" w:hAnsi="Century Gothic"/>
          <w:sz w:val="20"/>
          <w:szCs w:val="20"/>
        </w:rPr>
      </w:pPr>
      <w:r w:rsidRPr="00730C0D">
        <w:rPr>
          <w:rFonts w:ascii="Century Gothic" w:hAnsi="Century Gothic"/>
          <w:sz w:val="20"/>
          <w:szCs w:val="20"/>
        </w:rPr>
        <w:t xml:space="preserve">a </w:t>
      </w:r>
      <w:r w:rsidRPr="00730C0D">
        <w:rPr>
          <w:rFonts w:ascii="Century Gothic" w:hAnsi="Century Gothic"/>
          <w:b/>
          <w:sz w:val="20"/>
          <w:szCs w:val="20"/>
        </w:rPr>
        <w:t>progression</w:t>
      </w:r>
      <w:r w:rsidRPr="00730C0D">
        <w:rPr>
          <w:rFonts w:ascii="Century Gothic" w:hAnsi="Century Gothic"/>
          <w:sz w:val="20"/>
          <w:szCs w:val="20"/>
        </w:rPr>
        <w:t xml:space="preserve"> category for those providers with plans to become a university in the future. </w:t>
      </w:r>
    </w:p>
    <w:p w14:paraId="519E0DF7" w14:textId="77777777" w:rsidR="00AC7D05" w:rsidRPr="00730C0D" w:rsidRDefault="00AC7D05" w:rsidP="00D31B9A">
      <w:pPr>
        <w:spacing w:before="0" w:after="0"/>
        <w:rPr>
          <w:rFonts w:ascii="Century Gothic" w:hAnsi="Century Gothic"/>
          <w:sz w:val="20"/>
          <w:szCs w:val="20"/>
        </w:rPr>
      </w:pPr>
    </w:p>
    <w:p w14:paraId="79F8FE4E" w14:textId="77777777" w:rsidR="00C34A35" w:rsidRDefault="00C34A35">
      <w:pPr>
        <w:spacing w:before="0" w:after="160"/>
        <w:rPr>
          <w:rFonts w:ascii="Century Gothic" w:hAnsi="Century Gothic"/>
          <w:sz w:val="20"/>
          <w:szCs w:val="20"/>
        </w:rPr>
      </w:pPr>
      <w:r>
        <w:rPr>
          <w:rFonts w:ascii="Century Gothic" w:hAnsi="Century Gothic"/>
          <w:sz w:val="20"/>
          <w:szCs w:val="20"/>
        </w:rPr>
        <w:br w:type="page"/>
      </w:r>
    </w:p>
    <w:p w14:paraId="1F497C08" w14:textId="422AAB43" w:rsidR="00AC7D05" w:rsidRPr="00730C0D" w:rsidRDefault="00AC7D05" w:rsidP="006E6616">
      <w:pPr>
        <w:spacing w:before="0" w:after="0"/>
        <w:ind w:right="-188"/>
        <w:rPr>
          <w:rFonts w:ascii="Century Gothic" w:hAnsi="Century Gothic"/>
          <w:sz w:val="20"/>
          <w:szCs w:val="20"/>
        </w:rPr>
      </w:pPr>
      <w:r w:rsidRPr="00730C0D">
        <w:rPr>
          <w:rFonts w:ascii="Century Gothic" w:hAnsi="Century Gothic"/>
          <w:sz w:val="20"/>
          <w:szCs w:val="20"/>
        </w:rPr>
        <w:t xml:space="preserve">Unlike the existing ‘Australian University College’ category, which was originally designed for </w:t>
      </w:r>
      <w:r w:rsidR="0038116E" w:rsidRPr="00730C0D">
        <w:rPr>
          <w:rFonts w:ascii="Century Gothic" w:hAnsi="Century Gothic"/>
          <w:sz w:val="20"/>
          <w:szCs w:val="20"/>
        </w:rPr>
        <w:t xml:space="preserve">the </w:t>
      </w:r>
      <w:r w:rsidRPr="00730C0D">
        <w:rPr>
          <w:rFonts w:ascii="Century Gothic" w:hAnsi="Century Gothic"/>
          <w:sz w:val="20"/>
          <w:szCs w:val="20"/>
        </w:rPr>
        <w:t xml:space="preserve">last </w:t>
      </w:r>
      <w:r w:rsidR="0038116E" w:rsidRPr="00730C0D">
        <w:rPr>
          <w:rFonts w:ascii="Century Gothic" w:hAnsi="Century Gothic"/>
          <w:sz w:val="20"/>
          <w:szCs w:val="20"/>
        </w:rPr>
        <w:t xml:space="preserve">of those </w:t>
      </w:r>
      <w:r w:rsidRPr="00730C0D">
        <w:rPr>
          <w:rFonts w:ascii="Century Gothic" w:hAnsi="Century Gothic"/>
          <w:sz w:val="20"/>
          <w:szCs w:val="20"/>
        </w:rPr>
        <w:t>purpose</w:t>
      </w:r>
      <w:r w:rsidR="0038116E" w:rsidRPr="00730C0D">
        <w:rPr>
          <w:rFonts w:ascii="Century Gothic" w:hAnsi="Century Gothic"/>
          <w:sz w:val="20"/>
          <w:szCs w:val="20"/>
        </w:rPr>
        <w:t>s</w:t>
      </w:r>
      <w:r w:rsidRPr="00730C0D">
        <w:rPr>
          <w:rFonts w:ascii="Century Gothic" w:hAnsi="Century Gothic"/>
          <w:sz w:val="20"/>
          <w:szCs w:val="20"/>
        </w:rPr>
        <w:t xml:space="preserve">, there </w:t>
      </w:r>
      <w:r w:rsidR="00126449" w:rsidRPr="00730C0D">
        <w:rPr>
          <w:rFonts w:ascii="Century Gothic" w:hAnsi="Century Gothic"/>
          <w:sz w:val="20"/>
          <w:szCs w:val="20"/>
        </w:rPr>
        <w:t xml:space="preserve">would </w:t>
      </w:r>
      <w:r w:rsidRPr="00730C0D">
        <w:rPr>
          <w:rFonts w:ascii="Century Gothic" w:hAnsi="Century Gothic"/>
          <w:sz w:val="20"/>
          <w:szCs w:val="20"/>
        </w:rPr>
        <w:t xml:space="preserve">be no limitation on the length of time a provider </w:t>
      </w:r>
      <w:r w:rsidR="0038116E" w:rsidRPr="00730C0D">
        <w:rPr>
          <w:rFonts w:ascii="Century Gothic" w:hAnsi="Century Gothic"/>
          <w:sz w:val="20"/>
          <w:szCs w:val="20"/>
        </w:rPr>
        <w:t>may</w:t>
      </w:r>
      <w:r w:rsidRPr="00730C0D">
        <w:rPr>
          <w:rFonts w:ascii="Century Gothic" w:hAnsi="Century Gothic"/>
          <w:sz w:val="20"/>
          <w:szCs w:val="20"/>
        </w:rPr>
        <w:t xml:space="preserve"> remain in the category and no requirement to indicate an intention to apply for university status. That the category </w:t>
      </w:r>
      <w:r w:rsidR="00126449" w:rsidRPr="00730C0D">
        <w:rPr>
          <w:rFonts w:ascii="Century Gothic" w:hAnsi="Century Gothic"/>
          <w:sz w:val="20"/>
          <w:szCs w:val="20"/>
        </w:rPr>
        <w:t xml:space="preserve">would </w:t>
      </w:r>
      <w:r w:rsidRPr="00730C0D">
        <w:rPr>
          <w:rFonts w:ascii="Century Gothic" w:hAnsi="Century Gothic"/>
          <w:sz w:val="20"/>
          <w:szCs w:val="20"/>
        </w:rPr>
        <w:t xml:space="preserve">also function as a destination category in its own right is vital for </w:t>
      </w:r>
      <w:r w:rsidR="0038116E" w:rsidRPr="00730C0D">
        <w:rPr>
          <w:rFonts w:ascii="Century Gothic" w:hAnsi="Century Gothic"/>
          <w:sz w:val="20"/>
          <w:szCs w:val="20"/>
        </w:rPr>
        <w:t xml:space="preserve">those </w:t>
      </w:r>
      <w:r w:rsidRPr="00730C0D">
        <w:rPr>
          <w:rFonts w:ascii="Century Gothic" w:hAnsi="Century Gothic"/>
          <w:sz w:val="20"/>
          <w:szCs w:val="20"/>
        </w:rPr>
        <w:t xml:space="preserve">high performing higher education providers that have no desire to become a university. </w:t>
      </w:r>
    </w:p>
    <w:p w14:paraId="00940DB0" w14:textId="658B0002" w:rsidR="00C77F22" w:rsidRPr="00730C0D" w:rsidRDefault="00C77F22"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C77F22" w:rsidRPr="00730C0D" w14:paraId="53966062"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6203F0E6" w14:textId="77777777" w:rsidR="00C77F22" w:rsidRPr="00730C0D" w:rsidRDefault="00C77F22" w:rsidP="00C86660">
            <w:pPr>
              <w:spacing w:before="0" w:after="0" w:line="259" w:lineRule="auto"/>
              <w:jc w:val="both"/>
              <w:rPr>
                <w:rFonts w:ascii="Century Gothic" w:hAnsi="Century Gothic"/>
                <w:b w:val="0"/>
                <w:i/>
                <w:color w:val="auto"/>
                <w:sz w:val="20"/>
                <w:szCs w:val="20"/>
              </w:rPr>
            </w:pPr>
          </w:p>
          <w:p w14:paraId="0BA5972A" w14:textId="77777777" w:rsidR="00BD4487" w:rsidRPr="00730C0D" w:rsidRDefault="00BD4487" w:rsidP="00BD4487">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 xml:space="preserve">“Many students enrol at AFTRS because we are </w:t>
            </w:r>
            <w:r w:rsidRPr="00730C0D">
              <w:rPr>
                <w:rFonts w:ascii="Century Gothic" w:hAnsi="Century Gothic" w:cstheme="minorHAnsi"/>
                <w:b w:val="0"/>
                <w:i/>
                <w:color w:val="2763AC"/>
                <w:sz w:val="20"/>
                <w:szCs w:val="20"/>
              </w:rPr>
              <w:t>not</w:t>
            </w:r>
            <w:r w:rsidRPr="00730C0D">
              <w:rPr>
                <w:rFonts w:ascii="Century Gothic" w:hAnsi="Century Gothic" w:cstheme="minorHAnsi"/>
                <w:b w:val="0"/>
                <w:color w:val="2763AC"/>
                <w:sz w:val="20"/>
                <w:szCs w:val="20"/>
              </w:rPr>
              <w:t xml:space="preserve"> a university”.</w:t>
            </w:r>
          </w:p>
          <w:p w14:paraId="6AA4D563" w14:textId="77777777" w:rsidR="00BD4487" w:rsidRPr="00730C0D" w:rsidRDefault="00BD4487" w:rsidP="00BD4487">
            <w:pPr>
              <w:spacing w:before="0" w:after="0" w:line="259" w:lineRule="auto"/>
              <w:jc w:val="both"/>
              <w:rPr>
                <w:rFonts w:ascii="Century Gothic" w:hAnsi="Century Gothic" w:cstheme="minorHAnsi"/>
                <w:color w:val="auto"/>
                <w:sz w:val="20"/>
                <w:szCs w:val="20"/>
              </w:rPr>
            </w:pPr>
          </w:p>
          <w:p w14:paraId="509B1A78" w14:textId="77777777" w:rsidR="00BD4487" w:rsidRPr="00730C0D" w:rsidRDefault="00BD4487" w:rsidP="00BD4487">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Australian Film Television and Radio School submission to the PCS Review 2019, p.2</w:t>
            </w:r>
          </w:p>
          <w:p w14:paraId="3239198F" w14:textId="77777777" w:rsidR="00C77F22" w:rsidRPr="00730C0D" w:rsidRDefault="00C77F22" w:rsidP="00C86660">
            <w:pPr>
              <w:spacing w:before="0" w:after="0" w:line="259" w:lineRule="auto"/>
              <w:jc w:val="right"/>
              <w:rPr>
                <w:rFonts w:ascii="Century Gothic" w:hAnsi="Century Gothic"/>
                <w:b w:val="0"/>
                <w:color w:val="auto"/>
                <w:sz w:val="20"/>
                <w:szCs w:val="20"/>
              </w:rPr>
            </w:pPr>
          </w:p>
        </w:tc>
      </w:tr>
    </w:tbl>
    <w:p w14:paraId="54EB318E" w14:textId="5B45A80C" w:rsidR="00AC7D05" w:rsidRPr="00730C0D" w:rsidRDefault="00AC7D05" w:rsidP="00D31B9A">
      <w:pPr>
        <w:spacing w:before="0" w:after="0"/>
        <w:rPr>
          <w:rFonts w:ascii="Century Gothic" w:hAnsi="Century Gothic"/>
          <w:sz w:val="20"/>
          <w:szCs w:val="20"/>
        </w:rPr>
      </w:pPr>
    </w:p>
    <w:p w14:paraId="1154FA9A" w14:textId="5178BE15" w:rsidR="0084519E" w:rsidRPr="00730C0D" w:rsidRDefault="006B7DF7" w:rsidP="00B9072B">
      <w:pPr>
        <w:spacing w:before="0" w:after="0"/>
        <w:rPr>
          <w:rFonts w:ascii="Century Gothic" w:hAnsi="Century Gothic"/>
          <w:sz w:val="20"/>
          <w:szCs w:val="20"/>
        </w:rPr>
      </w:pPr>
      <w:r w:rsidRPr="00730C0D">
        <w:rPr>
          <w:rFonts w:ascii="Century Gothic" w:hAnsi="Century Gothic"/>
          <w:sz w:val="20"/>
          <w:szCs w:val="20"/>
        </w:rPr>
        <w:t xml:space="preserve">The category </w:t>
      </w:r>
      <w:r w:rsidR="007C6B53" w:rsidRPr="00730C0D">
        <w:rPr>
          <w:rFonts w:ascii="Century Gothic" w:hAnsi="Century Gothic"/>
          <w:sz w:val="20"/>
          <w:szCs w:val="20"/>
        </w:rPr>
        <w:t xml:space="preserve">could be </w:t>
      </w:r>
      <w:r w:rsidRPr="00730C0D">
        <w:rPr>
          <w:rFonts w:ascii="Century Gothic" w:hAnsi="Century Gothic"/>
          <w:sz w:val="20"/>
          <w:szCs w:val="20"/>
        </w:rPr>
        <w:t xml:space="preserve">useful for students </w:t>
      </w:r>
      <w:r w:rsidR="007C6B53" w:rsidRPr="00730C0D">
        <w:rPr>
          <w:rFonts w:ascii="Century Gothic" w:hAnsi="Century Gothic"/>
          <w:sz w:val="20"/>
          <w:szCs w:val="20"/>
        </w:rPr>
        <w:t>by differentiating</w:t>
      </w:r>
      <w:r w:rsidRPr="00730C0D">
        <w:rPr>
          <w:rFonts w:ascii="Century Gothic" w:hAnsi="Century Gothic"/>
          <w:sz w:val="20"/>
          <w:szCs w:val="20"/>
        </w:rPr>
        <w:t xml:space="preserve"> providers to </w:t>
      </w:r>
      <w:r w:rsidR="0090580A" w:rsidRPr="00730C0D">
        <w:rPr>
          <w:rFonts w:ascii="Century Gothic" w:hAnsi="Century Gothic"/>
          <w:sz w:val="20"/>
          <w:szCs w:val="20"/>
        </w:rPr>
        <w:t xml:space="preserve">enable </w:t>
      </w:r>
      <w:r w:rsidR="004E1EA1" w:rsidRPr="00730C0D">
        <w:rPr>
          <w:rFonts w:ascii="Century Gothic" w:hAnsi="Century Gothic"/>
          <w:sz w:val="20"/>
          <w:szCs w:val="20"/>
        </w:rPr>
        <w:t xml:space="preserve">them </w:t>
      </w:r>
      <w:r w:rsidR="0090580A" w:rsidRPr="00730C0D">
        <w:rPr>
          <w:rFonts w:ascii="Century Gothic" w:hAnsi="Century Gothic"/>
          <w:sz w:val="20"/>
          <w:szCs w:val="20"/>
        </w:rPr>
        <w:t xml:space="preserve">to </w:t>
      </w:r>
      <w:r w:rsidRPr="00730C0D">
        <w:rPr>
          <w:rFonts w:ascii="Century Gothic" w:hAnsi="Century Gothic"/>
          <w:sz w:val="20"/>
          <w:szCs w:val="20"/>
        </w:rPr>
        <w:t xml:space="preserve">make better choices about their post-school education options. The creation of a new category may also assist students in the international recognition of their qualifications. </w:t>
      </w:r>
      <w:r w:rsidR="00547C99">
        <w:rPr>
          <w:rFonts w:ascii="Century Gothic" w:hAnsi="Century Gothic"/>
          <w:sz w:val="20"/>
          <w:szCs w:val="20"/>
        </w:rPr>
        <w:br/>
      </w:r>
      <w:r w:rsidR="0090580A" w:rsidRPr="00730C0D">
        <w:rPr>
          <w:rFonts w:ascii="Century Gothic" w:hAnsi="Century Gothic"/>
          <w:sz w:val="20"/>
          <w:szCs w:val="20"/>
        </w:rPr>
        <w:t xml:space="preserve">The proposed category </w:t>
      </w:r>
      <w:r w:rsidR="007C6B53" w:rsidRPr="00730C0D">
        <w:rPr>
          <w:rFonts w:ascii="Century Gothic" w:hAnsi="Century Gothic"/>
          <w:sz w:val="20"/>
          <w:szCs w:val="20"/>
        </w:rPr>
        <w:t xml:space="preserve">would </w:t>
      </w:r>
      <w:r w:rsidR="0090580A" w:rsidRPr="00730C0D">
        <w:rPr>
          <w:rFonts w:ascii="Century Gothic" w:hAnsi="Century Gothic"/>
          <w:sz w:val="20"/>
          <w:szCs w:val="20"/>
        </w:rPr>
        <w:t xml:space="preserve">be a positive addition to the higher education landscape for students who choose to study </w:t>
      </w:r>
      <w:r w:rsidR="00505938" w:rsidRPr="00730C0D">
        <w:rPr>
          <w:rFonts w:ascii="Century Gothic" w:hAnsi="Century Gothic"/>
          <w:sz w:val="20"/>
          <w:szCs w:val="20"/>
        </w:rPr>
        <w:t>with</w:t>
      </w:r>
      <w:r w:rsidR="0090580A" w:rsidRPr="00730C0D">
        <w:rPr>
          <w:rFonts w:ascii="Century Gothic" w:hAnsi="Century Gothic"/>
          <w:sz w:val="20"/>
          <w:szCs w:val="20"/>
        </w:rPr>
        <w:t xml:space="preserve"> these</w:t>
      </w:r>
      <w:r w:rsidR="00505938" w:rsidRPr="00730C0D">
        <w:rPr>
          <w:rFonts w:ascii="Century Gothic" w:hAnsi="Century Gothic"/>
          <w:sz w:val="20"/>
          <w:szCs w:val="20"/>
        </w:rPr>
        <w:t xml:space="preserve"> high-performing</w:t>
      </w:r>
      <w:r w:rsidR="0090580A" w:rsidRPr="00730C0D">
        <w:rPr>
          <w:rFonts w:ascii="Century Gothic" w:hAnsi="Century Gothic"/>
          <w:sz w:val="20"/>
          <w:szCs w:val="20"/>
        </w:rPr>
        <w:t xml:space="preserve"> provider</w:t>
      </w:r>
      <w:r w:rsidR="00505938" w:rsidRPr="00730C0D">
        <w:rPr>
          <w:rFonts w:ascii="Century Gothic" w:hAnsi="Century Gothic"/>
          <w:sz w:val="20"/>
          <w:szCs w:val="20"/>
        </w:rPr>
        <w:t>s.</w:t>
      </w:r>
      <w:r w:rsidR="0090580A" w:rsidRPr="00730C0D">
        <w:rPr>
          <w:rFonts w:ascii="Century Gothic" w:hAnsi="Century Gothic"/>
          <w:sz w:val="20"/>
          <w:szCs w:val="20"/>
        </w:rPr>
        <w:t xml:space="preserve"> </w:t>
      </w:r>
    </w:p>
    <w:p w14:paraId="0F063587" w14:textId="081AD5A9" w:rsidR="00FE5C9A" w:rsidRPr="00730C0D" w:rsidRDefault="00FE5C9A" w:rsidP="00B9072B">
      <w:pPr>
        <w:spacing w:before="0" w:after="0"/>
        <w:rPr>
          <w:rFonts w:ascii="Century Gothic" w:hAnsi="Century Gothic"/>
          <w:sz w:val="20"/>
          <w:szCs w:val="20"/>
        </w:rPr>
      </w:pPr>
    </w:p>
    <w:p w14:paraId="1F620B37" w14:textId="3E2F21FF" w:rsidR="002548E1" w:rsidRPr="00730C0D" w:rsidRDefault="002548E1" w:rsidP="002548E1">
      <w:pPr>
        <w:spacing w:before="0" w:after="0"/>
        <w:rPr>
          <w:rFonts w:ascii="Century Gothic" w:hAnsi="Century Gothic"/>
          <w:sz w:val="20"/>
          <w:szCs w:val="20"/>
        </w:rPr>
      </w:pPr>
      <w:r w:rsidRPr="00730C0D">
        <w:rPr>
          <w:rFonts w:ascii="Century Gothic" w:hAnsi="Century Gothic"/>
          <w:sz w:val="20"/>
          <w:szCs w:val="20"/>
        </w:rPr>
        <w:t xml:space="preserve">While the </w:t>
      </w:r>
      <w:r w:rsidR="00E64554" w:rsidRPr="00730C0D">
        <w:rPr>
          <w:rFonts w:ascii="Century Gothic" w:hAnsi="Century Gothic"/>
          <w:sz w:val="20"/>
          <w:szCs w:val="20"/>
        </w:rPr>
        <w:t>threshold</w:t>
      </w:r>
      <w:r w:rsidRPr="00730C0D">
        <w:rPr>
          <w:rFonts w:ascii="Century Gothic" w:hAnsi="Century Gothic"/>
          <w:sz w:val="20"/>
          <w:szCs w:val="20"/>
        </w:rPr>
        <w:t xml:space="preserve"> for institutions entering the category is high, it is envisioned that </w:t>
      </w:r>
      <w:r w:rsidR="00984F2D">
        <w:rPr>
          <w:rFonts w:ascii="Century Gothic" w:hAnsi="Century Gothic"/>
          <w:sz w:val="20"/>
          <w:szCs w:val="20"/>
        </w:rPr>
        <w:t>a number of</w:t>
      </w:r>
      <w:r w:rsidR="00984F2D" w:rsidRPr="00730C0D">
        <w:rPr>
          <w:rFonts w:ascii="Century Gothic" w:hAnsi="Century Gothic"/>
          <w:sz w:val="20"/>
          <w:szCs w:val="20"/>
        </w:rPr>
        <w:t xml:space="preserve"> </w:t>
      </w:r>
      <w:r w:rsidRPr="00730C0D">
        <w:rPr>
          <w:rFonts w:ascii="Century Gothic" w:hAnsi="Century Gothic"/>
          <w:sz w:val="20"/>
          <w:szCs w:val="20"/>
        </w:rPr>
        <w:t xml:space="preserve">different types of providers will be eligible to enter the category. For example, there are no requirements for breadth of courses, provider size, or AQF offerings. As such, specialised or </w:t>
      </w:r>
      <w:r w:rsidR="00E64554" w:rsidRPr="00730C0D">
        <w:rPr>
          <w:rFonts w:ascii="Century Gothic" w:hAnsi="Century Gothic"/>
          <w:sz w:val="20"/>
          <w:szCs w:val="20"/>
        </w:rPr>
        <w:t xml:space="preserve">comprehensive institutions </w:t>
      </w:r>
      <w:r w:rsidRPr="00730C0D">
        <w:rPr>
          <w:rFonts w:ascii="Century Gothic" w:hAnsi="Century Gothic"/>
          <w:sz w:val="20"/>
          <w:szCs w:val="20"/>
        </w:rPr>
        <w:t>offering postgraduate and/or undergraduate qualifications may be able to enter the category. There is also the possibility that universities may wish to partner with institutions in the category, or create subsidiary providers to be registered in the category</w:t>
      </w:r>
      <w:r w:rsidR="00E64554" w:rsidRPr="00730C0D">
        <w:rPr>
          <w:rFonts w:ascii="Century Gothic" w:hAnsi="Century Gothic"/>
          <w:sz w:val="20"/>
          <w:szCs w:val="20"/>
        </w:rPr>
        <w:t>,</w:t>
      </w:r>
      <w:r w:rsidRPr="00730C0D">
        <w:rPr>
          <w:rFonts w:ascii="Century Gothic" w:hAnsi="Century Gothic"/>
          <w:sz w:val="20"/>
          <w:szCs w:val="20"/>
        </w:rPr>
        <w:t xml:space="preserve"> to increase their scope of delivery.</w:t>
      </w:r>
    </w:p>
    <w:p w14:paraId="4BB11129" w14:textId="77777777" w:rsidR="00B9072B" w:rsidRPr="00730C0D" w:rsidRDefault="00B9072B" w:rsidP="00B9072B">
      <w:pPr>
        <w:spacing w:before="0" w:after="0"/>
        <w:rPr>
          <w:rFonts w:ascii="Century Gothic" w:hAnsi="Century Gothic"/>
          <w:sz w:val="20"/>
          <w:szCs w:val="20"/>
        </w:rPr>
      </w:pPr>
    </w:p>
    <w:p w14:paraId="6A1EC525" w14:textId="6A8397A4" w:rsidR="00151C74" w:rsidRPr="00730C0D" w:rsidRDefault="00AC7D05" w:rsidP="006E6616">
      <w:pPr>
        <w:spacing w:before="0" w:after="0"/>
        <w:ind w:right="-46"/>
        <w:rPr>
          <w:rFonts w:ascii="Century Gothic" w:hAnsi="Century Gothic"/>
          <w:sz w:val="20"/>
          <w:szCs w:val="20"/>
        </w:rPr>
      </w:pPr>
      <w:r w:rsidRPr="00730C0D">
        <w:rPr>
          <w:rFonts w:ascii="Century Gothic" w:hAnsi="Century Gothic"/>
          <w:sz w:val="20"/>
          <w:szCs w:val="20"/>
        </w:rPr>
        <w:t xml:space="preserve">There </w:t>
      </w:r>
      <w:r w:rsidR="00984F2D">
        <w:rPr>
          <w:rFonts w:ascii="Century Gothic" w:hAnsi="Century Gothic"/>
          <w:sz w:val="20"/>
          <w:szCs w:val="20"/>
        </w:rPr>
        <w:t>also could</w:t>
      </w:r>
      <w:r w:rsidR="00E64554" w:rsidRPr="00730C0D">
        <w:rPr>
          <w:rFonts w:ascii="Century Gothic" w:hAnsi="Century Gothic"/>
          <w:sz w:val="20"/>
          <w:szCs w:val="20"/>
        </w:rPr>
        <w:t xml:space="preserve"> be </w:t>
      </w:r>
      <w:r w:rsidRPr="00730C0D">
        <w:rPr>
          <w:rFonts w:ascii="Century Gothic" w:hAnsi="Century Gothic"/>
          <w:sz w:val="20"/>
          <w:szCs w:val="20"/>
        </w:rPr>
        <w:t>opportunities for Government to consider how</w:t>
      </w:r>
      <w:r w:rsidR="00A212F7">
        <w:rPr>
          <w:rFonts w:ascii="Century Gothic" w:hAnsi="Century Gothic"/>
          <w:sz w:val="20"/>
          <w:szCs w:val="20"/>
        </w:rPr>
        <w:t xml:space="preserve"> it may best support and utilise</w:t>
      </w:r>
      <w:r w:rsidRPr="00730C0D">
        <w:rPr>
          <w:rFonts w:ascii="Century Gothic" w:hAnsi="Century Gothic"/>
          <w:sz w:val="20"/>
          <w:szCs w:val="20"/>
        </w:rPr>
        <w:t xml:space="preserve"> providers </w:t>
      </w:r>
      <w:r w:rsidR="0038116E" w:rsidRPr="00730C0D">
        <w:rPr>
          <w:rFonts w:ascii="Century Gothic" w:hAnsi="Century Gothic"/>
          <w:sz w:val="20"/>
          <w:szCs w:val="20"/>
        </w:rPr>
        <w:t xml:space="preserve">designated in </w:t>
      </w:r>
      <w:r w:rsidRPr="00730C0D">
        <w:rPr>
          <w:rFonts w:ascii="Century Gothic" w:hAnsi="Century Gothic"/>
          <w:sz w:val="20"/>
          <w:szCs w:val="20"/>
        </w:rPr>
        <w:t xml:space="preserve">the proposed category. </w:t>
      </w:r>
      <w:r w:rsidR="00E64554" w:rsidRPr="00730C0D">
        <w:rPr>
          <w:rFonts w:ascii="Century Gothic" w:hAnsi="Century Gothic"/>
          <w:sz w:val="20"/>
          <w:szCs w:val="20"/>
        </w:rPr>
        <w:t>This</w:t>
      </w:r>
      <w:r w:rsidR="004E1EA1" w:rsidRPr="00730C0D">
        <w:rPr>
          <w:rFonts w:ascii="Century Gothic" w:hAnsi="Century Gothic"/>
          <w:sz w:val="20"/>
          <w:szCs w:val="20"/>
        </w:rPr>
        <w:t xml:space="preserve"> </w:t>
      </w:r>
      <w:r w:rsidRPr="00730C0D">
        <w:rPr>
          <w:rFonts w:ascii="Century Gothic" w:hAnsi="Century Gothic"/>
          <w:sz w:val="20"/>
          <w:szCs w:val="20"/>
        </w:rPr>
        <w:t>include</w:t>
      </w:r>
      <w:r w:rsidR="00E64554" w:rsidRPr="00730C0D">
        <w:rPr>
          <w:rFonts w:ascii="Century Gothic" w:hAnsi="Century Gothic"/>
          <w:sz w:val="20"/>
          <w:szCs w:val="20"/>
        </w:rPr>
        <w:t>s</w:t>
      </w:r>
      <w:r w:rsidRPr="00730C0D">
        <w:rPr>
          <w:rFonts w:ascii="Century Gothic" w:hAnsi="Century Gothic"/>
          <w:sz w:val="20"/>
          <w:szCs w:val="20"/>
        </w:rPr>
        <w:t xml:space="preserve"> how Government may wish to strategically target these providers to help meet policy objectives and stimulate differentiation, innovation</w:t>
      </w:r>
      <w:r w:rsidR="006E6616" w:rsidRPr="00730C0D">
        <w:rPr>
          <w:rFonts w:ascii="Century Gothic" w:hAnsi="Century Gothic"/>
          <w:sz w:val="20"/>
          <w:szCs w:val="20"/>
        </w:rPr>
        <w:t>,</w:t>
      </w:r>
      <w:r w:rsidRPr="00730C0D">
        <w:rPr>
          <w:rFonts w:ascii="Century Gothic" w:hAnsi="Century Gothic"/>
          <w:sz w:val="20"/>
          <w:szCs w:val="20"/>
        </w:rPr>
        <w:t xml:space="preserve"> and excellence</w:t>
      </w:r>
      <w:r w:rsidR="006A7BAC" w:rsidRPr="00730C0D">
        <w:rPr>
          <w:rFonts w:ascii="Century Gothic" w:hAnsi="Century Gothic"/>
          <w:sz w:val="20"/>
          <w:szCs w:val="20"/>
        </w:rPr>
        <w:t xml:space="preserve">. This may be </w:t>
      </w:r>
      <w:r w:rsidR="004E1EA1" w:rsidRPr="00730C0D">
        <w:rPr>
          <w:rFonts w:ascii="Century Gothic" w:hAnsi="Century Gothic"/>
          <w:sz w:val="20"/>
          <w:szCs w:val="20"/>
        </w:rPr>
        <w:t xml:space="preserve">the case </w:t>
      </w:r>
      <w:r w:rsidR="006A7BAC" w:rsidRPr="00730C0D">
        <w:rPr>
          <w:rFonts w:ascii="Century Gothic" w:hAnsi="Century Gothic"/>
          <w:sz w:val="20"/>
          <w:szCs w:val="20"/>
        </w:rPr>
        <w:t>going forward</w:t>
      </w:r>
      <w:r w:rsidR="00E64554" w:rsidRPr="00730C0D">
        <w:rPr>
          <w:rFonts w:ascii="Century Gothic" w:hAnsi="Century Gothic"/>
          <w:sz w:val="20"/>
          <w:szCs w:val="20"/>
        </w:rPr>
        <w:t xml:space="preserve"> </w:t>
      </w:r>
      <w:r w:rsidR="006A7BAC" w:rsidRPr="00730C0D">
        <w:rPr>
          <w:rFonts w:ascii="Century Gothic" w:hAnsi="Century Gothic"/>
          <w:sz w:val="20"/>
          <w:szCs w:val="20"/>
        </w:rPr>
        <w:t>in areas of regional or national need</w:t>
      </w:r>
      <w:r w:rsidR="00CB712C" w:rsidRPr="00730C0D">
        <w:rPr>
          <w:rFonts w:ascii="Century Gothic" w:hAnsi="Century Gothic"/>
          <w:sz w:val="20"/>
          <w:szCs w:val="20"/>
        </w:rPr>
        <w:t xml:space="preserve"> and job growth</w:t>
      </w:r>
      <w:r w:rsidR="00AF1641" w:rsidRPr="00730C0D">
        <w:rPr>
          <w:rFonts w:ascii="Century Gothic" w:hAnsi="Century Gothic"/>
          <w:sz w:val="20"/>
          <w:szCs w:val="20"/>
        </w:rPr>
        <w:t xml:space="preserve">. </w:t>
      </w:r>
      <w:r w:rsidR="00A212F7">
        <w:rPr>
          <w:rFonts w:ascii="Century Gothic" w:hAnsi="Century Gothic"/>
          <w:sz w:val="20"/>
          <w:szCs w:val="20"/>
        </w:rPr>
        <w:t>Examples might include</w:t>
      </w:r>
      <w:r w:rsidR="006A7BAC" w:rsidRPr="00730C0D">
        <w:rPr>
          <w:rFonts w:ascii="Century Gothic" w:hAnsi="Century Gothic"/>
          <w:sz w:val="20"/>
          <w:szCs w:val="20"/>
        </w:rPr>
        <w:t xml:space="preserve"> </w:t>
      </w:r>
      <w:r w:rsidR="00CB712C" w:rsidRPr="00730C0D">
        <w:rPr>
          <w:rFonts w:ascii="Century Gothic" w:hAnsi="Century Gothic"/>
          <w:sz w:val="20"/>
          <w:szCs w:val="20"/>
        </w:rPr>
        <w:t>health care and social assistance, construction (including architecture and civil engineering professionals), education and training</w:t>
      </w:r>
      <w:r w:rsidR="00FB0206" w:rsidRPr="00730C0D">
        <w:rPr>
          <w:rFonts w:ascii="Century Gothic" w:hAnsi="Century Gothic"/>
          <w:sz w:val="20"/>
          <w:szCs w:val="20"/>
        </w:rPr>
        <w:t>,</w:t>
      </w:r>
      <w:r w:rsidR="00CB712C" w:rsidRPr="00730C0D">
        <w:rPr>
          <w:rFonts w:ascii="Century Gothic" w:hAnsi="Century Gothic"/>
          <w:sz w:val="20"/>
          <w:szCs w:val="20"/>
        </w:rPr>
        <w:t xml:space="preserve"> and professional scientific and technical services</w:t>
      </w:r>
      <w:r w:rsidR="00FB0206" w:rsidRPr="00730C0D">
        <w:rPr>
          <w:rFonts w:ascii="Century Gothic" w:hAnsi="Century Gothic"/>
          <w:sz w:val="20"/>
          <w:szCs w:val="20"/>
        </w:rPr>
        <w:t>. Almost two</w:t>
      </w:r>
      <w:r w:rsidR="00CB712C" w:rsidRPr="00730C0D">
        <w:rPr>
          <w:rFonts w:ascii="Century Gothic" w:hAnsi="Century Gothic"/>
          <w:sz w:val="20"/>
          <w:szCs w:val="20"/>
        </w:rPr>
        <w:t xml:space="preserve"> in every </w:t>
      </w:r>
      <w:r w:rsidR="00FB0206" w:rsidRPr="00730C0D">
        <w:rPr>
          <w:rFonts w:ascii="Century Gothic" w:hAnsi="Century Gothic"/>
          <w:sz w:val="20"/>
          <w:szCs w:val="20"/>
        </w:rPr>
        <w:t>three</w:t>
      </w:r>
      <w:r w:rsidR="00CB712C" w:rsidRPr="00730C0D">
        <w:rPr>
          <w:rFonts w:ascii="Century Gothic" w:hAnsi="Century Gothic"/>
          <w:sz w:val="20"/>
          <w:szCs w:val="20"/>
        </w:rPr>
        <w:t xml:space="preserve"> new jobs created in the next five years will</w:t>
      </w:r>
      <w:r w:rsidR="00984F2D">
        <w:rPr>
          <w:rFonts w:ascii="Century Gothic" w:hAnsi="Century Gothic"/>
          <w:sz w:val="20"/>
          <w:szCs w:val="20"/>
        </w:rPr>
        <w:t xml:space="preserve"> likely</w:t>
      </w:r>
      <w:r w:rsidR="00CB712C" w:rsidRPr="00730C0D">
        <w:rPr>
          <w:rFonts w:ascii="Century Gothic" w:hAnsi="Century Gothic"/>
          <w:sz w:val="20"/>
          <w:szCs w:val="20"/>
        </w:rPr>
        <w:t xml:space="preserve"> come from these four industries.</w:t>
      </w:r>
      <w:r w:rsidR="00CB712C" w:rsidRPr="00730C0D">
        <w:rPr>
          <w:rStyle w:val="FootnoteReference"/>
          <w:rFonts w:ascii="Century Gothic" w:hAnsi="Century Gothic"/>
          <w:sz w:val="20"/>
          <w:szCs w:val="20"/>
        </w:rPr>
        <w:footnoteReference w:id="66"/>
      </w:r>
      <w:r w:rsidR="00AF7E44" w:rsidRPr="00730C0D" w:rsidDel="00AF7E44">
        <w:rPr>
          <w:rFonts w:ascii="Century Gothic" w:hAnsi="Century Gothic"/>
          <w:sz w:val="20"/>
          <w:szCs w:val="20"/>
        </w:rPr>
        <w:t xml:space="preserve"> </w:t>
      </w:r>
    </w:p>
    <w:p w14:paraId="0DBA61B5" w14:textId="77777777" w:rsidR="0022393A" w:rsidRPr="00730C0D" w:rsidRDefault="0022393A" w:rsidP="00D31B9A">
      <w:pPr>
        <w:spacing w:before="0" w:after="0"/>
        <w:rPr>
          <w:rFonts w:ascii="Century Gothic" w:eastAsiaTheme="majorEastAsia" w:hAnsi="Century Gothic" w:cstheme="majorBidi"/>
          <w:i/>
          <w:iCs/>
          <w:color w:val="2E74B5" w:themeColor="accent1" w:themeShade="BF"/>
          <w:sz w:val="20"/>
          <w:szCs w:val="20"/>
        </w:rPr>
      </w:pPr>
    </w:p>
    <w:p w14:paraId="3DD7E590" w14:textId="61DA45F3" w:rsidR="00AC7D05" w:rsidRPr="00730C0D" w:rsidRDefault="00AC7D05" w:rsidP="00D31B9A">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 xml:space="preserve">Category Title </w:t>
      </w:r>
    </w:p>
    <w:p w14:paraId="23689FD5" w14:textId="03A771DA"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It is </w:t>
      </w:r>
      <w:r w:rsidR="0038116E" w:rsidRPr="00730C0D">
        <w:rPr>
          <w:rFonts w:ascii="Century Gothic" w:hAnsi="Century Gothic"/>
          <w:sz w:val="20"/>
          <w:szCs w:val="20"/>
        </w:rPr>
        <w:t xml:space="preserve">essential </w:t>
      </w:r>
      <w:r w:rsidRPr="00730C0D">
        <w:rPr>
          <w:rFonts w:ascii="Century Gothic" w:hAnsi="Century Gothic"/>
          <w:sz w:val="20"/>
          <w:szCs w:val="20"/>
        </w:rPr>
        <w:t xml:space="preserve">that a category of such national standing </w:t>
      </w:r>
      <w:r w:rsidR="0038116E" w:rsidRPr="00730C0D">
        <w:rPr>
          <w:rFonts w:ascii="Century Gothic" w:hAnsi="Century Gothic"/>
          <w:sz w:val="20"/>
          <w:szCs w:val="20"/>
        </w:rPr>
        <w:t>attract</w:t>
      </w:r>
      <w:r w:rsidRPr="00730C0D">
        <w:rPr>
          <w:rFonts w:ascii="Century Gothic" w:hAnsi="Century Gothic"/>
          <w:sz w:val="20"/>
          <w:szCs w:val="20"/>
        </w:rPr>
        <w:t xml:space="preserve"> a distinctive title that conveys a </w:t>
      </w:r>
      <w:r w:rsidR="004E1EA1" w:rsidRPr="00730C0D">
        <w:rPr>
          <w:rFonts w:ascii="Century Gothic" w:hAnsi="Century Gothic"/>
          <w:sz w:val="20"/>
          <w:szCs w:val="20"/>
        </w:rPr>
        <w:t xml:space="preserve">clear signal </w:t>
      </w:r>
      <w:r w:rsidRPr="00730C0D">
        <w:rPr>
          <w:rFonts w:ascii="Century Gothic" w:hAnsi="Century Gothic"/>
          <w:sz w:val="20"/>
          <w:szCs w:val="20"/>
        </w:rPr>
        <w:t xml:space="preserve">of national quality recognition. The Review has carefully considered </w:t>
      </w:r>
      <w:r w:rsidR="00A212F7">
        <w:rPr>
          <w:rFonts w:ascii="Century Gothic" w:hAnsi="Century Gothic"/>
          <w:sz w:val="20"/>
          <w:szCs w:val="20"/>
        </w:rPr>
        <w:t>a wide array of possible</w:t>
      </w:r>
      <w:r w:rsidRPr="00730C0D">
        <w:rPr>
          <w:rFonts w:ascii="Century Gothic" w:hAnsi="Century Gothic"/>
          <w:sz w:val="20"/>
          <w:szCs w:val="20"/>
        </w:rPr>
        <w:t xml:space="preserve"> </w:t>
      </w:r>
      <w:r w:rsidR="0038116E" w:rsidRPr="00730C0D">
        <w:rPr>
          <w:rFonts w:ascii="Century Gothic" w:hAnsi="Century Gothic"/>
          <w:sz w:val="20"/>
          <w:szCs w:val="20"/>
        </w:rPr>
        <w:t xml:space="preserve">labels </w:t>
      </w:r>
      <w:r w:rsidRPr="00730C0D">
        <w:rPr>
          <w:rFonts w:ascii="Century Gothic" w:hAnsi="Century Gothic"/>
          <w:sz w:val="20"/>
          <w:szCs w:val="20"/>
        </w:rPr>
        <w:t>for this category</w:t>
      </w:r>
      <w:r w:rsidR="004E1EA1" w:rsidRPr="00730C0D">
        <w:rPr>
          <w:rFonts w:ascii="Century Gothic" w:hAnsi="Century Gothic"/>
          <w:sz w:val="20"/>
          <w:szCs w:val="20"/>
        </w:rPr>
        <w:t xml:space="preserve">, including </w:t>
      </w:r>
      <w:r w:rsidR="00984F2D">
        <w:rPr>
          <w:rFonts w:ascii="Century Gothic" w:hAnsi="Century Gothic"/>
          <w:sz w:val="20"/>
          <w:szCs w:val="20"/>
        </w:rPr>
        <w:t>the many</w:t>
      </w:r>
      <w:r w:rsidR="00984F2D" w:rsidRPr="00730C0D">
        <w:rPr>
          <w:rFonts w:ascii="Century Gothic" w:hAnsi="Century Gothic"/>
          <w:sz w:val="20"/>
          <w:szCs w:val="20"/>
        </w:rPr>
        <w:t xml:space="preserve"> </w:t>
      </w:r>
      <w:r w:rsidRPr="00730C0D">
        <w:rPr>
          <w:rFonts w:ascii="Century Gothic" w:hAnsi="Century Gothic"/>
          <w:sz w:val="20"/>
          <w:szCs w:val="20"/>
        </w:rPr>
        <w:t>put forward by stakeholders</w:t>
      </w:r>
      <w:r w:rsidR="0038116E" w:rsidRPr="00730C0D">
        <w:rPr>
          <w:rFonts w:ascii="Century Gothic" w:hAnsi="Century Gothic"/>
          <w:sz w:val="20"/>
          <w:szCs w:val="20"/>
        </w:rPr>
        <w:t xml:space="preserve">. </w:t>
      </w:r>
      <w:r w:rsidRPr="00730C0D">
        <w:rPr>
          <w:rFonts w:ascii="Century Gothic" w:hAnsi="Century Gothic"/>
          <w:sz w:val="20"/>
          <w:szCs w:val="20"/>
        </w:rPr>
        <w:t xml:space="preserve">Such titles included variations </w:t>
      </w:r>
      <w:r w:rsidR="00E02775" w:rsidRPr="00730C0D">
        <w:rPr>
          <w:rFonts w:ascii="Century Gothic" w:hAnsi="Century Gothic"/>
          <w:sz w:val="20"/>
          <w:szCs w:val="20"/>
        </w:rPr>
        <w:t xml:space="preserve">of </w:t>
      </w:r>
      <w:r w:rsidRPr="00730C0D">
        <w:rPr>
          <w:rFonts w:ascii="Century Gothic" w:hAnsi="Century Gothic"/>
          <w:sz w:val="20"/>
          <w:szCs w:val="20"/>
        </w:rPr>
        <w:t>terms such as polytechnics, advanced colleges, advanced institutes, national academies</w:t>
      </w:r>
      <w:r w:rsidR="008F0476" w:rsidRPr="00730C0D">
        <w:rPr>
          <w:rFonts w:ascii="Century Gothic" w:hAnsi="Century Gothic"/>
          <w:sz w:val="20"/>
          <w:szCs w:val="20"/>
        </w:rPr>
        <w:t>,</w:t>
      </w:r>
      <w:r w:rsidRPr="00730C0D">
        <w:rPr>
          <w:rFonts w:ascii="Century Gothic" w:hAnsi="Century Gothic"/>
          <w:sz w:val="20"/>
          <w:szCs w:val="20"/>
        </w:rPr>
        <w:t xml:space="preserve"> and institutes of national standing. These </w:t>
      </w:r>
      <w:r w:rsidR="00AE53B3" w:rsidRPr="00730C0D">
        <w:rPr>
          <w:rFonts w:ascii="Century Gothic" w:hAnsi="Century Gothic"/>
          <w:sz w:val="20"/>
          <w:szCs w:val="20"/>
        </w:rPr>
        <w:t>options were not preferred</w:t>
      </w:r>
      <w:r w:rsidRPr="00730C0D">
        <w:rPr>
          <w:rFonts w:ascii="Century Gothic" w:hAnsi="Century Gothic"/>
          <w:sz w:val="20"/>
          <w:szCs w:val="20"/>
        </w:rPr>
        <w:t xml:space="preserve"> for various reasons, the most common of which was that the terms were already being used, or have been used in the past, for different purposes in the tertiary sector. This Review </w:t>
      </w:r>
      <w:r w:rsidR="00AE53B3" w:rsidRPr="00730C0D">
        <w:rPr>
          <w:rFonts w:ascii="Century Gothic" w:hAnsi="Century Gothic"/>
          <w:sz w:val="20"/>
          <w:szCs w:val="20"/>
        </w:rPr>
        <w:t>took the view that</w:t>
      </w:r>
      <w:r w:rsidR="00984F2D">
        <w:rPr>
          <w:rFonts w:ascii="Century Gothic" w:hAnsi="Century Gothic"/>
          <w:sz w:val="20"/>
          <w:szCs w:val="20"/>
        </w:rPr>
        <w:t xml:space="preserve"> some</w:t>
      </w:r>
      <w:r w:rsidR="00AE53B3" w:rsidRPr="00730C0D">
        <w:rPr>
          <w:rFonts w:ascii="Century Gothic" w:hAnsi="Century Gothic"/>
          <w:sz w:val="20"/>
          <w:szCs w:val="20"/>
        </w:rPr>
        <w:t xml:space="preserve"> past associations of particular terminology </w:t>
      </w:r>
      <w:r w:rsidR="00984F2D">
        <w:rPr>
          <w:rFonts w:ascii="Century Gothic" w:hAnsi="Century Gothic"/>
          <w:sz w:val="20"/>
          <w:szCs w:val="20"/>
        </w:rPr>
        <w:t>was problematic</w:t>
      </w:r>
      <w:r w:rsidRPr="00730C0D">
        <w:rPr>
          <w:rFonts w:ascii="Century Gothic" w:hAnsi="Century Gothic"/>
          <w:sz w:val="20"/>
          <w:szCs w:val="20"/>
        </w:rPr>
        <w:t xml:space="preserve">.   </w:t>
      </w:r>
    </w:p>
    <w:p w14:paraId="7FC8763B" w14:textId="77777777" w:rsidR="00AC7D05" w:rsidRPr="00730C0D" w:rsidRDefault="00AC7D05" w:rsidP="00D31B9A">
      <w:pPr>
        <w:spacing w:before="0" w:after="0"/>
        <w:rPr>
          <w:rFonts w:ascii="Century Gothic" w:hAnsi="Century Gothic"/>
          <w:sz w:val="20"/>
          <w:szCs w:val="20"/>
        </w:rPr>
      </w:pPr>
    </w:p>
    <w:p w14:paraId="6E5FCD9C" w14:textId="77777777" w:rsidR="00F304E7" w:rsidRDefault="00F304E7">
      <w:pPr>
        <w:spacing w:before="0" w:after="160"/>
        <w:rPr>
          <w:rFonts w:ascii="Century Gothic" w:hAnsi="Century Gothic"/>
          <w:sz w:val="20"/>
          <w:szCs w:val="20"/>
        </w:rPr>
      </w:pPr>
      <w:r>
        <w:rPr>
          <w:rFonts w:ascii="Century Gothic" w:hAnsi="Century Gothic"/>
          <w:sz w:val="20"/>
          <w:szCs w:val="20"/>
        </w:rPr>
        <w:br w:type="page"/>
      </w:r>
    </w:p>
    <w:p w14:paraId="486CBD0E" w14:textId="6290C448" w:rsidR="00AC7D05" w:rsidRPr="00F304E7" w:rsidRDefault="00AC7D05" w:rsidP="00D31B9A">
      <w:pPr>
        <w:spacing w:before="0" w:after="0"/>
        <w:rPr>
          <w:rFonts w:ascii="Century Gothic" w:hAnsi="Century Gothic"/>
          <w:sz w:val="20"/>
          <w:szCs w:val="20"/>
        </w:rPr>
      </w:pPr>
      <w:r w:rsidRPr="00F304E7">
        <w:rPr>
          <w:rFonts w:ascii="Century Gothic" w:hAnsi="Century Gothic"/>
          <w:sz w:val="20"/>
          <w:szCs w:val="20"/>
        </w:rPr>
        <w:t xml:space="preserve">From the range of </w:t>
      </w:r>
      <w:r w:rsidR="00984F2D">
        <w:rPr>
          <w:rFonts w:ascii="Century Gothic" w:hAnsi="Century Gothic"/>
          <w:sz w:val="20"/>
          <w:szCs w:val="20"/>
        </w:rPr>
        <w:t>options considered</w:t>
      </w:r>
      <w:r w:rsidRPr="00F304E7">
        <w:rPr>
          <w:rFonts w:ascii="Century Gothic" w:hAnsi="Century Gothic"/>
          <w:sz w:val="20"/>
          <w:szCs w:val="20"/>
        </w:rPr>
        <w:t xml:space="preserve">, the title ‘National Institute of Higher Education’ was viewed as the most </w:t>
      </w:r>
      <w:r w:rsidR="00AE53B3" w:rsidRPr="00F304E7">
        <w:rPr>
          <w:rFonts w:ascii="Century Gothic" w:hAnsi="Century Gothic"/>
          <w:sz w:val="20"/>
          <w:szCs w:val="20"/>
        </w:rPr>
        <w:t xml:space="preserve">appropriate </w:t>
      </w:r>
      <w:r w:rsidRPr="00F304E7">
        <w:rPr>
          <w:rFonts w:ascii="Century Gothic" w:hAnsi="Century Gothic"/>
          <w:sz w:val="20"/>
          <w:szCs w:val="20"/>
        </w:rPr>
        <w:t xml:space="preserve">term to project and reflect the quality and standing of providers in the proposed category. The use of the term ‘national’, particularly, reflects the </w:t>
      </w:r>
      <w:r w:rsidR="00AE53B3" w:rsidRPr="00F304E7">
        <w:rPr>
          <w:rFonts w:ascii="Century Gothic" w:hAnsi="Century Gothic"/>
          <w:sz w:val="20"/>
          <w:szCs w:val="20"/>
        </w:rPr>
        <w:t xml:space="preserve">intended </w:t>
      </w:r>
      <w:r w:rsidRPr="00F304E7">
        <w:rPr>
          <w:rFonts w:ascii="Century Gothic" w:hAnsi="Century Gothic"/>
          <w:sz w:val="20"/>
          <w:szCs w:val="20"/>
        </w:rPr>
        <w:t xml:space="preserve">national standing of these providers, rather than their geographical location. </w:t>
      </w:r>
      <w:r w:rsidR="008F0476" w:rsidRPr="00F304E7">
        <w:rPr>
          <w:rFonts w:ascii="Century Gothic" w:hAnsi="Century Gothic"/>
          <w:sz w:val="20"/>
          <w:szCs w:val="20"/>
        </w:rPr>
        <w:br/>
      </w:r>
      <w:r w:rsidR="00F413EB" w:rsidRPr="00F304E7">
        <w:rPr>
          <w:rFonts w:ascii="Century Gothic" w:hAnsi="Century Gothic"/>
          <w:sz w:val="20"/>
          <w:szCs w:val="20"/>
        </w:rPr>
        <w:t xml:space="preserve">The likeness of the </w:t>
      </w:r>
      <w:r w:rsidR="008F0476" w:rsidRPr="00F304E7">
        <w:rPr>
          <w:rFonts w:ascii="Century Gothic" w:hAnsi="Century Gothic"/>
          <w:sz w:val="20"/>
          <w:szCs w:val="20"/>
        </w:rPr>
        <w:t xml:space="preserve">proposed </w:t>
      </w:r>
      <w:r w:rsidR="00F413EB" w:rsidRPr="00F304E7">
        <w:rPr>
          <w:rFonts w:ascii="Century Gothic" w:hAnsi="Century Gothic"/>
          <w:sz w:val="20"/>
          <w:szCs w:val="20"/>
        </w:rPr>
        <w:t>category name to the National Institutes Program</w:t>
      </w:r>
      <w:r w:rsidR="00F413EB" w:rsidRPr="00F304E7">
        <w:rPr>
          <w:rStyle w:val="FootnoteReference"/>
          <w:rFonts w:ascii="Century Gothic" w:hAnsi="Century Gothic"/>
          <w:sz w:val="20"/>
          <w:szCs w:val="20"/>
        </w:rPr>
        <w:footnoteReference w:id="67"/>
      </w:r>
      <w:r w:rsidR="008F0476" w:rsidRPr="00F304E7">
        <w:rPr>
          <w:rFonts w:ascii="Century Gothic" w:hAnsi="Century Gothic"/>
          <w:sz w:val="20"/>
          <w:szCs w:val="20"/>
        </w:rPr>
        <w:t xml:space="preserve"> is noted, however, this R</w:t>
      </w:r>
      <w:r w:rsidR="00F413EB" w:rsidRPr="00F304E7">
        <w:rPr>
          <w:rFonts w:ascii="Century Gothic" w:hAnsi="Century Gothic"/>
          <w:sz w:val="20"/>
          <w:szCs w:val="20"/>
        </w:rPr>
        <w:t xml:space="preserve">eview is of the opinion that given the small-scale nature of that program, </w:t>
      </w:r>
      <w:r w:rsidR="00F304E7" w:rsidRPr="00F304E7">
        <w:rPr>
          <w:rFonts w:ascii="Century Gothic" w:hAnsi="Century Gothic"/>
          <w:sz w:val="20"/>
          <w:szCs w:val="20"/>
        </w:rPr>
        <w:br/>
      </w:r>
      <w:r w:rsidR="00F413EB" w:rsidRPr="00F304E7">
        <w:rPr>
          <w:rFonts w:ascii="Century Gothic" w:hAnsi="Century Gothic"/>
          <w:sz w:val="20"/>
          <w:szCs w:val="20"/>
        </w:rPr>
        <w:t>it should not be an issue of major concern.</w:t>
      </w:r>
    </w:p>
    <w:p w14:paraId="437BF4E8" w14:textId="569E087B" w:rsidR="009B6E9F" w:rsidRPr="00F304E7" w:rsidRDefault="009B6E9F" w:rsidP="00D31B9A">
      <w:pPr>
        <w:spacing w:before="0" w:after="0"/>
        <w:rPr>
          <w:rFonts w:ascii="Century Gothic" w:hAnsi="Century Gothic"/>
          <w:sz w:val="20"/>
          <w:szCs w:val="20"/>
        </w:rPr>
      </w:pPr>
    </w:p>
    <w:p w14:paraId="10FFD94F" w14:textId="34B46053" w:rsidR="009B6E9F" w:rsidRPr="00F304E7" w:rsidRDefault="009B6E9F" w:rsidP="009B6E9F">
      <w:pPr>
        <w:spacing w:before="0" w:after="0"/>
        <w:rPr>
          <w:rFonts w:ascii="Century Gothic" w:hAnsi="Century Gothic"/>
          <w:sz w:val="20"/>
          <w:szCs w:val="20"/>
        </w:rPr>
      </w:pPr>
      <w:r w:rsidRPr="00F304E7">
        <w:rPr>
          <w:rFonts w:ascii="Century Gothic" w:hAnsi="Century Gothic"/>
          <w:sz w:val="20"/>
          <w:szCs w:val="20"/>
        </w:rPr>
        <w:t xml:space="preserve">The </w:t>
      </w:r>
      <w:r w:rsidR="00AE53B3" w:rsidRPr="00F304E7">
        <w:rPr>
          <w:rFonts w:ascii="Century Gothic" w:hAnsi="Century Gothic"/>
          <w:sz w:val="20"/>
          <w:szCs w:val="20"/>
        </w:rPr>
        <w:t xml:space="preserve">proposed </w:t>
      </w:r>
      <w:r w:rsidRPr="00F304E7">
        <w:rPr>
          <w:rFonts w:ascii="Century Gothic" w:hAnsi="Century Gothic"/>
          <w:sz w:val="20"/>
          <w:szCs w:val="20"/>
        </w:rPr>
        <w:t xml:space="preserve">title is not intended to replace the marketing or branding of the providers </w:t>
      </w:r>
      <w:r w:rsidR="008F0476" w:rsidRPr="00F304E7">
        <w:rPr>
          <w:rFonts w:ascii="Century Gothic" w:hAnsi="Century Gothic"/>
          <w:sz w:val="20"/>
          <w:szCs w:val="20"/>
        </w:rPr>
        <w:t>who would apply to enter the</w:t>
      </w:r>
      <w:r w:rsidRPr="00F304E7">
        <w:rPr>
          <w:rFonts w:ascii="Century Gothic" w:hAnsi="Century Gothic"/>
          <w:sz w:val="20"/>
          <w:szCs w:val="20"/>
        </w:rPr>
        <w:t xml:space="preserve"> category. Providers may use the category title as they see fit in relation to th</w:t>
      </w:r>
      <w:r w:rsidR="004B6F81" w:rsidRPr="00F304E7">
        <w:rPr>
          <w:rFonts w:ascii="Century Gothic" w:hAnsi="Century Gothic"/>
          <w:sz w:val="20"/>
          <w:szCs w:val="20"/>
        </w:rPr>
        <w:t xml:space="preserve">eir broader marketing strategy. As an example, </w:t>
      </w:r>
      <w:r w:rsidR="00AE53B3" w:rsidRPr="00F304E7">
        <w:rPr>
          <w:rFonts w:ascii="Century Gothic" w:hAnsi="Century Gothic"/>
          <w:sz w:val="20"/>
          <w:szCs w:val="20"/>
        </w:rPr>
        <w:t xml:space="preserve">a </w:t>
      </w:r>
      <w:r w:rsidR="004B6F81" w:rsidRPr="00F304E7">
        <w:rPr>
          <w:rFonts w:ascii="Century Gothic" w:hAnsi="Century Gothic"/>
          <w:sz w:val="20"/>
          <w:szCs w:val="20"/>
        </w:rPr>
        <w:t xml:space="preserve">fictional </w:t>
      </w:r>
      <w:r w:rsidR="006E6616" w:rsidRPr="00F304E7">
        <w:rPr>
          <w:rFonts w:ascii="Century Gothic" w:hAnsi="Century Gothic"/>
          <w:sz w:val="20"/>
          <w:szCs w:val="20"/>
        </w:rPr>
        <w:t>‘</w:t>
      </w:r>
      <w:r w:rsidR="004B6F81" w:rsidRPr="00F304E7">
        <w:rPr>
          <w:rFonts w:ascii="Century Gothic" w:hAnsi="Century Gothic"/>
          <w:sz w:val="20"/>
          <w:szCs w:val="20"/>
        </w:rPr>
        <w:t>Queensland Academy of Business</w:t>
      </w:r>
      <w:r w:rsidR="006E6616" w:rsidRPr="00F304E7">
        <w:rPr>
          <w:rFonts w:ascii="Century Gothic" w:hAnsi="Century Gothic"/>
          <w:sz w:val="20"/>
          <w:szCs w:val="20"/>
        </w:rPr>
        <w:t>’</w:t>
      </w:r>
      <w:r w:rsidR="004B6F81" w:rsidRPr="00F304E7">
        <w:rPr>
          <w:rFonts w:ascii="Century Gothic" w:hAnsi="Century Gothic"/>
          <w:sz w:val="20"/>
          <w:szCs w:val="20"/>
        </w:rPr>
        <w:t xml:space="preserve"> might retain the brand but promote itself as ‘Queensland Academy </w:t>
      </w:r>
      <w:r w:rsidR="00F304E7" w:rsidRPr="00F304E7">
        <w:rPr>
          <w:rFonts w:ascii="Century Gothic" w:hAnsi="Century Gothic"/>
          <w:sz w:val="20"/>
          <w:szCs w:val="20"/>
        </w:rPr>
        <w:br/>
      </w:r>
      <w:r w:rsidR="004B6F81" w:rsidRPr="00F304E7">
        <w:rPr>
          <w:rFonts w:ascii="Century Gothic" w:hAnsi="Century Gothic"/>
          <w:sz w:val="20"/>
          <w:szCs w:val="20"/>
        </w:rPr>
        <w:t>of Business, a</w:t>
      </w:r>
      <w:r w:rsidR="00986E98">
        <w:rPr>
          <w:rFonts w:ascii="Century Gothic" w:hAnsi="Century Gothic"/>
          <w:sz w:val="20"/>
          <w:szCs w:val="20"/>
        </w:rPr>
        <w:t xml:space="preserve"> </w:t>
      </w:r>
      <w:r w:rsidR="004B6F81" w:rsidRPr="00F304E7">
        <w:rPr>
          <w:rFonts w:ascii="Century Gothic" w:hAnsi="Century Gothic"/>
          <w:sz w:val="20"/>
          <w:szCs w:val="20"/>
        </w:rPr>
        <w:t>National Institute of Higher Education’.</w:t>
      </w:r>
    </w:p>
    <w:p w14:paraId="4D05BA9B" w14:textId="1CC72B46" w:rsidR="00950633" w:rsidRPr="00F304E7" w:rsidRDefault="00950633" w:rsidP="009B6E9F">
      <w:pPr>
        <w:spacing w:before="0" w:after="0"/>
        <w:rPr>
          <w:rFonts w:ascii="Century Gothic" w:hAnsi="Century Gothic"/>
          <w:sz w:val="20"/>
          <w:szCs w:val="20"/>
        </w:rPr>
      </w:pPr>
    </w:p>
    <w:p w14:paraId="6AC1D6ED" w14:textId="76087B6B" w:rsidR="00462D0C" w:rsidRPr="00F304E7" w:rsidRDefault="00462D0C" w:rsidP="00462D0C">
      <w:pPr>
        <w:spacing w:before="0" w:after="0"/>
        <w:rPr>
          <w:rFonts w:ascii="Century Gothic" w:hAnsi="Century Gothic"/>
          <w:sz w:val="20"/>
          <w:szCs w:val="20"/>
        </w:rPr>
      </w:pPr>
      <w:r w:rsidRPr="00F304E7">
        <w:rPr>
          <w:rFonts w:ascii="Century Gothic" w:hAnsi="Century Gothic"/>
          <w:sz w:val="20"/>
          <w:szCs w:val="20"/>
        </w:rPr>
        <w:t>There is a strong case for the title ‘National Institute of Higher Education’ to be a legally protected term. This would</w:t>
      </w:r>
      <w:r w:rsidR="008F0476" w:rsidRPr="00F304E7">
        <w:rPr>
          <w:rFonts w:ascii="Century Gothic" w:hAnsi="Century Gothic"/>
          <w:sz w:val="20"/>
          <w:szCs w:val="20"/>
        </w:rPr>
        <w:t xml:space="preserve"> ensure consumer protection and</w:t>
      </w:r>
      <w:r w:rsidRPr="00F304E7">
        <w:rPr>
          <w:rFonts w:ascii="Century Gothic" w:hAnsi="Century Gothic"/>
          <w:sz w:val="20"/>
          <w:szCs w:val="20"/>
        </w:rPr>
        <w:t xml:space="preserve"> prevent institutions that have not met the quality benchmarks of the category to use the title in a business or company name, or represent themselves as registered within the category if they are not. If the term ‘National Institute of Higher Education’ is not protected, there is a risk that the term could be devalued, and the benefits of the new category could be diminished. Protection of the term could be afforded through </w:t>
      </w:r>
      <w:r w:rsidR="008F0476" w:rsidRPr="00F304E7">
        <w:rPr>
          <w:rFonts w:ascii="Century Gothic" w:hAnsi="Century Gothic"/>
          <w:sz w:val="20"/>
          <w:szCs w:val="20"/>
        </w:rPr>
        <w:t xml:space="preserve">amending the </w:t>
      </w:r>
      <w:r w:rsidRPr="00F304E7">
        <w:rPr>
          <w:rFonts w:ascii="Century Gothic" w:hAnsi="Century Gothic"/>
          <w:i/>
          <w:iCs/>
          <w:sz w:val="20"/>
          <w:szCs w:val="20"/>
        </w:rPr>
        <w:t>Business Names Registration (Availability of Names) Determination 2015</w:t>
      </w:r>
      <w:r w:rsidR="00730C0D" w:rsidRPr="00F304E7">
        <w:rPr>
          <w:rFonts w:ascii="Century Gothic" w:hAnsi="Century Gothic"/>
          <w:sz w:val="20"/>
          <w:szCs w:val="20"/>
        </w:rPr>
        <w:t xml:space="preserve">, </w:t>
      </w:r>
      <w:r w:rsidRPr="00F304E7">
        <w:rPr>
          <w:rFonts w:ascii="Century Gothic" w:hAnsi="Century Gothic"/>
          <w:sz w:val="20"/>
          <w:szCs w:val="20"/>
        </w:rPr>
        <w:t xml:space="preserve">the </w:t>
      </w:r>
      <w:r w:rsidRPr="00F304E7">
        <w:rPr>
          <w:rFonts w:ascii="Century Gothic" w:hAnsi="Century Gothic"/>
          <w:i/>
          <w:iCs/>
          <w:sz w:val="20"/>
          <w:szCs w:val="20"/>
        </w:rPr>
        <w:t xml:space="preserve">Corporations </w:t>
      </w:r>
      <w:r w:rsidR="00730C0D" w:rsidRPr="00F304E7">
        <w:rPr>
          <w:rFonts w:ascii="Century Gothic" w:hAnsi="Century Gothic"/>
          <w:i/>
          <w:iCs/>
          <w:sz w:val="20"/>
          <w:szCs w:val="20"/>
        </w:rPr>
        <w:t>Act</w:t>
      </w:r>
      <w:r w:rsidRPr="00F304E7">
        <w:rPr>
          <w:rFonts w:ascii="Century Gothic" w:hAnsi="Century Gothic"/>
          <w:i/>
          <w:iCs/>
          <w:sz w:val="20"/>
          <w:szCs w:val="20"/>
        </w:rPr>
        <w:t xml:space="preserve"> 2001</w:t>
      </w:r>
      <w:r w:rsidR="00730C0D" w:rsidRPr="00F304E7">
        <w:rPr>
          <w:rFonts w:ascii="Century Gothic" w:hAnsi="Century Gothic"/>
          <w:iCs/>
          <w:sz w:val="20"/>
          <w:szCs w:val="20"/>
        </w:rPr>
        <w:t>,</w:t>
      </w:r>
      <w:r w:rsidR="00730C0D" w:rsidRPr="00F304E7">
        <w:rPr>
          <w:rFonts w:ascii="Century Gothic" w:hAnsi="Century Gothic"/>
          <w:i/>
          <w:iCs/>
          <w:sz w:val="20"/>
          <w:szCs w:val="20"/>
        </w:rPr>
        <w:t xml:space="preserve"> </w:t>
      </w:r>
      <w:r w:rsidR="00730C0D" w:rsidRPr="00F304E7">
        <w:rPr>
          <w:rFonts w:ascii="Century Gothic" w:hAnsi="Century Gothic"/>
          <w:iCs/>
          <w:sz w:val="20"/>
          <w:szCs w:val="20"/>
        </w:rPr>
        <w:t>and associated regulations</w:t>
      </w:r>
      <w:r w:rsidRPr="00F304E7">
        <w:rPr>
          <w:rFonts w:ascii="Century Gothic" w:hAnsi="Century Gothic"/>
          <w:sz w:val="20"/>
          <w:szCs w:val="20"/>
        </w:rPr>
        <w:t>, similar to the protections currently in place for the ‘university’ title</w:t>
      </w:r>
      <w:r w:rsidR="008F0476" w:rsidRPr="00F304E7">
        <w:rPr>
          <w:rFonts w:ascii="Century Gothic" w:hAnsi="Century Gothic"/>
          <w:sz w:val="20"/>
          <w:szCs w:val="20"/>
        </w:rPr>
        <w:t xml:space="preserve"> (see </w:t>
      </w:r>
      <w:hyperlink w:anchor="_2.4.1_The_‘University’" w:history="1">
        <w:r w:rsidR="008F0476" w:rsidRPr="00F304E7">
          <w:rPr>
            <w:rStyle w:val="Hyperlink"/>
            <w:rFonts w:ascii="Century Gothic" w:hAnsi="Century Gothic"/>
            <w:sz w:val="20"/>
            <w:szCs w:val="20"/>
          </w:rPr>
          <w:t>Section 2.4.1</w:t>
        </w:r>
      </w:hyperlink>
      <w:r w:rsidR="008F0476" w:rsidRPr="00F304E7">
        <w:rPr>
          <w:rFonts w:ascii="Century Gothic" w:hAnsi="Century Gothic"/>
          <w:sz w:val="20"/>
          <w:szCs w:val="20"/>
        </w:rPr>
        <w:t>)</w:t>
      </w:r>
      <w:r w:rsidRPr="00F304E7">
        <w:rPr>
          <w:rFonts w:ascii="Century Gothic" w:hAnsi="Century Gothic"/>
          <w:sz w:val="20"/>
          <w:szCs w:val="20"/>
        </w:rPr>
        <w:t xml:space="preserve">. </w:t>
      </w:r>
    </w:p>
    <w:p w14:paraId="78474C9D" w14:textId="77777777" w:rsidR="0084519E" w:rsidRPr="00730C0D" w:rsidRDefault="0084519E" w:rsidP="00D31B9A">
      <w:pPr>
        <w:spacing w:before="0" w:after="0"/>
        <w:rPr>
          <w:rFonts w:ascii="Century Gothic" w:hAnsi="Century Gothic"/>
          <w:sz w:val="20"/>
          <w:szCs w:val="20"/>
        </w:rPr>
      </w:pPr>
    </w:p>
    <w:p w14:paraId="3EF17C67" w14:textId="1FCDEB46" w:rsidR="00AC7D05" w:rsidRPr="00730C0D" w:rsidRDefault="00AC7D05" w:rsidP="00D31B9A">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 xml:space="preserve">Other Considerations </w:t>
      </w:r>
    </w:p>
    <w:p w14:paraId="4E2633C5" w14:textId="012CF389" w:rsidR="00AC7D05" w:rsidRPr="00730C0D" w:rsidRDefault="00AC7D05" w:rsidP="006E6616">
      <w:pPr>
        <w:spacing w:before="0" w:after="0"/>
        <w:ind w:right="-46"/>
        <w:rPr>
          <w:rFonts w:ascii="Century Gothic" w:hAnsi="Century Gothic"/>
          <w:sz w:val="20"/>
          <w:szCs w:val="20"/>
        </w:rPr>
      </w:pPr>
      <w:r w:rsidRPr="00730C0D">
        <w:rPr>
          <w:rFonts w:ascii="Century Gothic" w:hAnsi="Century Gothic"/>
          <w:sz w:val="20"/>
          <w:szCs w:val="20"/>
        </w:rPr>
        <w:t xml:space="preserve">There was consideration of creating an additional category for providers with self-accrediting authority who also </w:t>
      </w:r>
      <w:r w:rsidR="001732E5" w:rsidRPr="00730C0D">
        <w:rPr>
          <w:rFonts w:ascii="Century Gothic" w:hAnsi="Century Gothic"/>
          <w:sz w:val="20"/>
          <w:szCs w:val="20"/>
        </w:rPr>
        <w:t xml:space="preserve">conduct </w:t>
      </w:r>
      <w:r w:rsidRPr="00730C0D">
        <w:rPr>
          <w:rFonts w:ascii="Century Gothic" w:hAnsi="Century Gothic"/>
          <w:sz w:val="20"/>
          <w:szCs w:val="20"/>
        </w:rPr>
        <w:t xml:space="preserve">research. </w:t>
      </w:r>
      <w:r w:rsidR="00AE53B3" w:rsidRPr="00730C0D">
        <w:rPr>
          <w:rFonts w:ascii="Century Gothic" w:hAnsi="Century Gothic"/>
          <w:sz w:val="20"/>
          <w:szCs w:val="20"/>
        </w:rPr>
        <w:t>On balance, h</w:t>
      </w:r>
      <w:r w:rsidRPr="00730C0D">
        <w:rPr>
          <w:rFonts w:ascii="Century Gothic" w:hAnsi="Century Gothic"/>
          <w:sz w:val="20"/>
          <w:szCs w:val="20"/>
        </w:rPr>
        <w:t xml:space="preserve">owever, there were </w:t>
      </w:r>
      <w:r w:rsidR="00AE53B3" w:rsidRPr="00730C0D">
        <w:rPr>
          <w:rFonts w:ascii="Century Gothic" w:hAnsi="Century Gothic"/>
          <w:sz w:val="20"/>
          <w:szCs w:val="20"/>
        </w:rPr>
        <w:t>in</w:t>
      </w:r>
      <w:r w:rsidRPr="00730C0D">
        <w:rPr>
          <w:rFonts w:ascii="Century Gothic" w:hAnsi="Century Gothic"/>
          <w:sz w:val="20"/>
          <w:szCs w:val="20"/>
        </w:rPr>
        <w:t>sufficient</w:t>
      </w:r>
      <w:r w:rsidR="00986E98">
        <w:rPr>
          <w:rFonts w:ascii="Century Gothic" w:hAnsi="Century Gothic"/>
          <w:sz w:val="20"/>
          <w:szCs w:val="20"/>
        </w:rPr>
        <w:t xml:space="preserve"> </w:t>
      </w:r>
      <w:r w:rsidRPr="00730C0D">
        <w:rPr>
          <w:rFonts w:ascii="Century Gothic" w:hAnsi="Century Gothic"/>
          <w:sz w:val="20"/>
          <w:szCs w:val="20"/>
        </w:rPr>
        <w:t xml:space="preserve">advantages to warrant creation of a third category of </w:t>
      </w:r>
      <w:r w:rsidR="00462D0C" w:rsidRPr="00730C0D">
        <w:rPr>
          <w:rFonts w:ascii="Century Gothic" w:hAnsi="Century Gothic"/>
          <w:sz w:val="20"/>
          <w:szCs w:val="20"/>
        </w:rPr>
        <w:t>higher education provider.</w:t>
      </w:r>
      <w:r w:rsidR="00986E98">
        <w:rPr>
          <w:rFonts w:ascii="Century Gothic" w:hAnsi="Century Gothic"/>
          <w:sz w:val="20"/>
          <w:szCs w:val="20"/>
        </w:rPr>
        <w:t xml:space="preserve"> </w:t>
      </w:r>
      <w:r w:rsidR="00462D0C" w:rsidRPr="00730C0D">
        <w:rPr>
          <w:rFonts w:ascii="Century Gothic" w:hAnsi="Century Gothic"/>
          <w:sz w:val="20"/>
          <w:szCs w:val="20"/>
        </w:rPr>
        <w:t>The </w:t>
      </w:r>
      <w:r w:rsidRPr="00730C0D">
        <w:rPr>
          <w:rFonts w:ascii="Century Gothic" w:hAnsi="Century Gothic"/>
          <w:sz w:val="20"/>
          <w:szCs w:val="20"/>
        </w:rPr>
        <w:t xml:space="preserve">recommended ‘National Institute of Higher Education’ category </w:t>
      </w:r>
      <w:r w:rsidR="00115430" w:rsidRPr="00730C0D">
        <w:rPr>
          <w:rFonts w:ascii="Century Gothic" w:hAnsi="Century Gothic"/>
          <w:sz w:val="20"/>
          <w:szCs w:val="20"/>
        </w:rPr>
        <w:t xml:space="preserve">would have </w:t>
      </w:r>
      <w:r w:rsidRPr="00730C0D">
        <w:rPr>
          <w:rFonts w:ascii="Century Gothic" w:hAnsi="Century Gothic"/>
          <w:sz w:val="20"/>
          <w:szCs w:val="20"/>
        </w:rPr>
        <w:t xml:space="preserve">the </w:t>
      </w:r>
      <w:r w:rsidR="00986E98">
        <w:rPr>
          <w:rFonts w:ascii="Century Gothic" w:hAnsi="Century Gothic"/>
          <w:sz w:val="20"/>
          <w:szCs w:val="20"/>
        </w:rPr>
        <w:br/>
      </w:r>
      <w:r w:rsidRPr="00730C0D">
        <w:rPr>
          <w:rFonts w:ascii="Century Gothic" w:hAnsi="Century Gothic"/>
          <w:sz w:val="20"/>
          <w:szCs w:val="20"/>
        </w:rPr>
        <w:t xml:space="preserve">flexibility to accommodate providers that may </w:t>
      </w:r>
      <w:r w:rsidR="00115430" w:rsidRPr="00730C0D">
        <w:rPr>
          <w:rFonts w:ascii="Century Gothic" w:hAnsi="Century Gothic"/>
          <w:sz w:val="20"/>
          <w:szCs w:val="20"/>
        </w:rPr>
        <w:t xml:space="preserve">conduct </w:t>
      </w:r>
      <w:r w:rsidRPr="00730C0D">
        <w:rPr>
          <w:rFonts w:ascii="Century Gothic" w:hAnsi="Century Gothic"/>
          <w:sz w:val="20"/>
          <w:szCs w:val="20"/>
        </w:rPr>
        <w:t xml:space="preserve">research without requiring such providers to do so. </w:t>
      </w:r>
    </w:p>
    <w:p w14:paraId="2A9CF7A4" w14:textId="77777777" w:rsidR="00AC7D05" w:rsidRPr="00730C0D" w:rsidRDefault="00AC7D05" w:rsidP="00D31B9A">
      <w:pPr>
        <w:spacing w:before="0" w:after="0"/>
        <w:rPr>
          <w:rFonts w:ascii="Century Gothic" w:hAnsi="Century Gothic"/>
          <w:sz w:val="20"/>
          <w:szCs w:val="20"/>
        </w:rPr>
      </w:pPr>
    </w:p>
    <w:p w14:paraId="6218C71C" w14:textId="752AC819"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Consideration </w:t>
      </w:r>
      <w:r w:rsidR="006B0B11" w:rsidRPr="00730C0D">
        <w:rPr>
          <w:rFonts w:ascii="Century Gothic" w:hAnsi="Century Gothic"/>
          <w:sz w:val="20"/>
          <w:szCs w:val="20"/>
        </w:rPr>
        <w:t>was also</w:t>
      </w:r>
      <w:r w:rsidRPr="00730C0D">
        <w:rPr>
          <w:rFonts w:ascii="Century Gothic" w:hAnsi="Century Gothic"/>
          <w:sz w:val="20"/>
          <w:szCs w:val="20"/>
        </w:rPr>
        <w:t xml:space="preserve"> given to drafting the criteria to allow entry of providers that may not have self-accrediting authority, but otherwise meet criteria of a similar standing to </w:t>
      </w:r>
      <w:r w:rsidR="00131DB7" w:rsidRPr="00730C0D">
        <w:rPr>
          <w:rFonts w:ascii="Century Gothic" w:hAnsi="Century Gothic"/>
          <w:sz w:val="20"/>
          <w:szCs w:val="20"/>
        </w:rPr>
        <w:br/>
      </w:r>
      <w:r w:rsidRPr="00730C0D">
        <w:rPr>
          <w:rFonts w:ascii="Century Gothic" w:hAnsi="Century Gothic"/>
          <w:sz w:val="20"/>
          <w:szCs w:val="20"/>
        </w:rPr>
        <w:t>self-accrediting authority. However, when considering the future architecture of the higher education system, a move towards more providers striving for self-accrediting authority is advantageous</w:t>
      </w:r>
      <w:r w:rsidR="00A849A0" w:rsidRPr="00730C0D">
        <w:rPr>
          <w:rFonts w:ascii="Century Gothic" w:hAnsi="Century Gothic"/>
          <w:sz w:val="20"/>
          <w:szCs w:val="20"/>
        </w:rPr>
        <w:t>.</w:t>
      </w:r>
      <w:r w:rsidRPr="00730C0D">
        <w:rPr>
          <w:rFonts w:ascii="Century Gothic" w:hAnsi="Century Gothic"/>
          <w:sz w:val="20"/>
          <w:szCs w:val="20"/>
        </w:rPr>
        <w:t xml:space="preserve"> Gaining self-accrediting authority signals that providers are </w:t>
      </w:r>
      <w:r w:rsidR="00A849A0" w:rsidRPr="00730C0D">
        <w:rPr>
          <w:rFonts w:ascii="Century Gothic" w:hAnsi="Century Gothic"/>
          <w:sz w:val="20"/>
          <w:szCs w:val="20"/>
        </w:rPr>
        <w:t>progressing</w:t>
      </w:r>
      <w:r w:rsidR="00A56951" w:rsidRPr="00730C0D">
        <w:rPr>
          <w:rFonts w:ascii="Century Gothic" w:hAnsi="Century Gothic"/>
          <w:sz w:val="20"/>
          <w:szCs w:val="20"/>
        </w:rPr>
        <w:t>.</w:t>
      </w:r>
      <w:r w:rsidR="00AE53B3" w:rsidRPr="00730C0D">
        <w:rPr>
          <w:rFonts w:ascii="Century Gothic" w:hAnsi="Century Gothic"/>
          <w:sz w:val="20"/>
          <w:szCs w:val="20"/>
        </w:rPr>
        <w:t xml:space="preserve"> </w:t>
      </w:r>
      <w:r w:rsidR="00F304E7">
        <w:rPr>
          <w:rFonts w:ascii="Century Gothic" w:hAnsi="Century Gothic"/>
          <w:sz w:val="20"/>
          <w:szCs w:val="20"/>
        </w:rPr>
        <w:br/>
      </w:r>
      <w:r w:rsidR="00A56951" w:rsidRPr="00730C0D">
        <w:rPr>
          <w:rFonts w:ascii="Century Gothic" w:hAnsi="Century Gothic"/>
          <w:sz w:val="20"/>
          <w:szCs w:val="20"/>
        </w:rPr>
        <w:t>T</w:t>
      </w:r>
      <w:r w:rsidR="00462D0C" w:rsidRPr="00730C0D">
        <w:rPr>
          <w:rFonts w:ascii="Century Gothic" w:hAnsi="Century Gothic"/>
          <w:sz w:val="20"/>
          <w:szCs w:val="20"/>
        </w:rPr>
        <w:t>hat is to say, </w:t>
      </w:r>
      <w:r w:rsidRPr="00730C0D">
        <w:rPr>
          <w:rFonts w:ascii="Century Gothic" w:hAnsi="Century Gothic"/>
          <w:sz w:val="20"/>
          <w:szCs w:val="20"/>
        </w:rPr>
        <w:t>self-regulation</w:t>
      </w:r>
      <w:r w:rsidR="00A56951" w:rsidRPr="00730C0D">
        <w:rPr>
          <w:rFonts w:ascii="Century Gothic" w:hAnsi="Century Gothic"/>
          <w:sz w:val="20"/>
          <w:szCs w:val="20"/>
        </w:rPr>
        <w:t xml:space="preserve"> carries </w:t>
      </w:r>
      <w:r w:rsidR="00984F2D">
        <w:rPr>
          <w:rFonts w:ascii="Century Gothic" w:hAnsi="Century Gothic"/>
          <w:sz w:val="20"/>
          <w:szCs w:val="20"/>
        </w:rPr>
        <w:t>a level of trust and</w:t>
      </w:r>
      <w:r w:rsidR="00984F2D" w:rsidRPr="00730C0D">
        <w:rPr>
          <w:rFonts w:ascii="Century Gothic" w:hAnsi="Century Gothic"/>
          <w:sz w:val="20"/>
          <w:szCs w:val="20"/>
        </w:rPr>
        <w:t xml:space="preserve"> </w:t>
      </w:r>
      <w:r w:rsidR="00A56951" w:rsidRPr="00730C0D">
        <w:rPr>
          <w:rFonts w:ascii="Century Gothic" w:hAnsi="Century Gothic"/>
          <w:sz w:val="20"/>
          <w:szCs w:val="20"/>
        </w:rPr>
        <w:t xml:space="preserve">understanding that </w:t>
      </w:r>
      <w:r w:rsidRPr="00730C0D">
        <w:rPr>
          <w:rFonts w:ascii="Century Gothic" w:hAnsi="Century Gothic"/>
          <w:sz w:val="20"/>
          <w:szCs w:val="20"/>
        </w:rPr>
        <w:t>a provider engages TEQSA where necessary, and TEQSA intervenes only when providers prove to be unable to meet their responsibilities.</w:t>
      </w:r>
      <w:r w:rsidRPr="00730C0D">
        <w:rPr>
          <w:rFonts w:ascii="Century Gothic" w:hAnsi="Century Gothic"/>
          <w:sz w:val="20"/>
          <w:szCs w:val="20"/>
          <w:vertAlign w:val="superscript"/>
        </w:rPr>
        <w:footnoteReference w:id="68"/>
      </w:r>
      <w:r w:rsidRPr="00730C0D">
        <w:rPr>
          <w:rFonts w:ascii="Century Gothic" w:hAnsi="Century Gothic"/>
          <w:sz w:val="20"/>
          <w:szCs w:val="20"/>
        </w:rPr>
        <w:t xml:space="preserve"> </w:t>
      </w:r>
    </w:p>
    <w:p w14:paraId="6176B68B" w14:textId="23205B38" w:rsidR="00F304E7" w:rsidRDefault="00F304E7">
      <w:pPr>
        <w:spacing w:before="0" w:after="160"/>
        <w:rPr>
          <w:rFonts w:ascii="Century Gothic" w:hAnsi="Century Gothic"/>
          <w:sz w:val="20"/>
          <w:szCs w:val="20"/>
        </w:rPr>
      </w:pPr>
      <w:r>
        <w:rPr>
          <w:rFonts w:ascii="Century Gothic" w:hAnsi="Century Gothic"/>
          <w:sz w:val="20"/>
          <w:szCs w:val="20"/>
        </w:rPr>
        <w:br w:type="page"/>
      </w:r>
    </w:p>
    <w:p w14:paraId="2B584265" w14:textId="77777777" w:rsidR="00115430" w:rsidRPr="00730C0D" w:rsidRDefault="00115430" w:rsidP="00D31B9A">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AC7D05" w:rsidRPr="00730C0D" w14:paraId="40A1C079" w14:textId="77777777" w:rsidTr="00D31B9A">
        <w:tc>
          <w:tcPr>
            <w:tcW w:w="9016" w:type="dxa"/>
            <w:gridSpan w:val="2"/>
            <w:tcBorders>
              <w:bottom w:val="single" w:sz="12" w:space="0" w:color="00B050"/>
            </w:tcBorders>
            <w:shd w:val="clear" w:color="auto" w:fill="2763AC"/>
          </w:tcPr>
          <w:p w14:paraId="7D870A44" w14:textId="77777777"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Recommendation 3</w:t>
            </w:r>
          </w:p>
        </w:tc>
      </w:tr>
      <w:tr w:rsidR="00AC7D05" w:rsidRPr="00730C0D" w14:paraId="79098BCB" w14:textId="77777777" w:rsidTr="00D31B9A">
        <w:tc>
          <w:tcPr>
            <w:tcW w:w="9016" w:type="dxa"/>
            <w:gridSpan w:val="2"/>
            <w:tcBorders>
              <w:top w:val="single" w:sz="12" w:space="0" w:color="00B050"/>
            </w:tcBorders>
            <w:shd w:val="clear" w:color="auto" w:fill="D5DCE4" w:themeFill="text2" w:themeFillTint="33"/>
          </w:tcPr>
          <w:p w14:paraId="1861BFD8" w14:textId="14B01CD5" w:rsidR="00AC7D05" w:rsidRPr="00730C0D" w:rsidRDefault="00984F2D">
            <w:pPr>
              <w:spacing w:before="160" w:afterLines="160" w:after="384"/>
              <w:rPr>
                <w:rFonts w:ascii="Century Gothic" w:hAnsi="Century Gothic"/>
                <w:b/>
                <w:sz w:val="20"/>
                <w:szCs w:val="20"/>
              </w:rPr>
            </w:pPr>
            <w:r w:rsidRPr="00D87B23">
              <w:rPr>
                <w:rFonts w:ascii="Century Gothic" w:hAnsi="Century Gothic"/>
                <w:b/>
                <w:sz w:val="20"/>
                <w:szCs w:val="20"/>
              </w:rPr>
              <w:t xml:space="preserve">In line with Recommendation 1, a new category titled ‘National Institute of Higher Education’ should be created to serve aspiration, destination, or progression purposes. This category will be reserved for the highest performing higher education providers which are not universities. National Institutes of Higher Education will be recognised for meeting additional criteria to those required of other higher education providers outside the universities and will have a significant measure of self-accrediting authority status. </w:t>
            </w:r>
          </w:p>
        </w:tc>
      </w:tr>
      <w:tr w:rsidR="00AC7D05" w:rsidRPr="00730C0D" w14:paraId="401E021E" w14:textId="77777777" w:rsidTr="00B9072B">
        <w:tc>
          <w:tcPr>
            <w:tcW w:w="3261" w:type="dxa"/>
            <w:tcBorders>
              <w:bottom w:val="single" w:sz="2" w:space="0" w:color="auto"/>
            </w:tcBorders>
            <w:shd w:val="clear" w:color="auto" w:fill="D5DCE4" w:themeFill="text2" w:themeFillTint="33"/>
            <w:vAlign w:val="center"/>
          </w:tcPr>
          <w:p w14:paraId="7E44F223"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Item</w:t>
            </w:r>
          </w:p>
        </w:tc>
        <w:tc>
          <w:tcPr>
            <w:tcW w:w="5755" w:type="dxa"/>
            <w:tcBorders>
              <w:bottom w:val="single" w:sz="2" w:space="0" w:color="auto"/>
            </w:tcBorders>
            <w:shd w:val="clear" w:color="auto" w:fill="D5DCE4" w:themeFill="text2" w:themeFillTint="33"/>
            <w:vAlign w:val="center"/>
          </w:tcPr>
          <w:p w14:paraId="360A319C" w14:textId="77777777" w:rsidR="00AC7D05" w:rsidRPr="00730C0D" w:rsidRDefault="00AC7D05" w:rsidP="00D31B9A">
            <w:pPr>
              <w:spacing w:before="0" w:after="0" w:line="259" w:lineRule="auto"/>
              <w:rPr>
                <w:rFonts w:ascii="Century Gothic" w:hAnsi="Century Gothic"/>
                <w:b/>
                <w:sz w:val="20"/>
                <w:szCs w:val="20"/>
              </w:rPr>
            </w:pPr>
            <w:r w:rsidRPr="00730C0D">
              <w:rPr>
                <w:rFonts w:ascii="Century Gothic" w:hAnsi="Century Gothic"/>
                <w:b/>
                <w:sz w:val="20"/>
                <w:szCs w:val="20"/>
              </w:rPr>
              <w:t>Related Action</w:t>
            </w:r>
          </w:p>
        </w:tc>
      </w:tr>
      <w:tr w:rsidR="00AC7D05" w:rsidRPr="00730C0D" w14:paraId="74242A8F" w14:textId="77777777" w:rsidTr="00B9072B">
        <w:tc>
          <w:tcPr>
            <w:tcW w:w="3261" w:type="dxa"/>
            <w:tcBorders>
              <w:top w:val="single" w:sz="2" w:space="0" w:color="auto"/>
            </w:tcBorders>
            <w:shd w:val="clear" w:color="auto" w:fill="D5DCE4" w:themeFill="text2" w:themeFillTint="33"/>
          </w:tcPr>
          <w:p w14:paraId="5A440792" w14:textId="52369C83" w:rsidR="00AC7D05" w:rsidRPr="00730C0D" w:rsidRDefault="00A711A4">
            <w:pPr>
              <w:spacing w:before="160" w:afterLines="160" w:after="384" w:line="259" w:lineRule="auto"/>
              <w:rPr>
                <w:rFonts w:ascii="Century Gothic" w:hAnsi="Century Gothic"/>
                <w:sz w:val="20"/>
                <w:szCs w:val="20"/>
              </w:rPr>
            </w:pPr>
            <w:r w:rsidRPr="00730C0D">
              <w:rPr>
                <w:rFonts w:ascii="Century Gothic" w:hAnsi="Century Gothic"/>
                <w:sz w:val="20"/>
                <w:szCs w:val="20"/>
              </w:rPr>
              <w:t>‘</w:t>
            </w:r>
            <w:r w:rsidR="006E6616" w:rsidRPr="00730C0D">
              <w:rPr>
                <w:rFonts w:ascii="Century Gothic" w:hAnsi="Century Gothic"/>
                <w:sz w:val="20"/>
                <w:szCs w:val="20"/>
              </w:rPr>
              <w:t>National Institute of Higher Education</w:t>
            </w:r>
            <w:r w:rsidRPr="00730C0D">
              <w:rPr>
                <w:rFonts w:ascii="Century Gothic" w:hAnsi="Century Gothic"/>
                <w:sz w:val="20"/>
                <w:szCs w:val="20"/>
              </w:rPr>
              <w:t>’ category</w:t>
            </w:r>
          </w:p>
        </w:tc>
        <w:tc>
          <w:tcPr>
            <w:tcW w:w="5755" w:type="dxa"/>
            <w:tcBorders>
              <w:top w:val="single" w:sz="2" w:space="0" w:color="auto"/>
            </w:tcBorders>
            <w:shd w:val="clear" w:color="auto" w:fill="D5DCE4" w:themeFill="text2" w:themeFillTint="33"/>
            <w:vAlign w:val="center"/>
          </w:tcPr>
          <w:p w14:paraId="7EE36199" w14:textId="68911B1D" w:rsidR="00AC7D05" w:rsidRPr="00730C0D" w:rsidRDefault="00AC7D05">
            <w:pPr>
              <w:spacing w:before="160" w:after="160" w:line="259" w:lineRule="auto"/>
              <w:rPr>
                <w:rFonts w:ascii="Century Gothic" w:hAnsi="Century Gothic"/>
                <w:sz w:val="20"/>
                <w:szCs w:val="20"/>
              </w:rPr>
            </w:pPr>
            <w:r w:rsidRPr="00730C0D">
              <w:rPr>
                <w:rFonts w:ascii="Century Gothic" w:hAnsi="Century Gothic"/>
                <w:sz w:val="20"/>
                <w:szCs w:val="20"/>
              </w:rPr>
              <w:t xml:space="preserve">The Australian Government should consider policy arrangements that may support high quality providers that can meet the standards of the new </w:t>
            </w:r>
            <w:r w:rsidR="006050EC">
              <w:rPr>
                <w:rFonts w:ascii="Century Gothic" w:hAnsi="Century Gothic"/>
                <w:sz w:val="20"/>
                <w:szCs w:val="20"/>
              </w:rPr>
              <w:br/>
            </w:r>
            <w:r w:rsidRPr="00730C0D">
              <w:rPr>
                <w:rFonts w:ascii="Century Gothic" w:hAnsi="Century Gothic"/>
                <w:sz w:val="20"/>
                <w:szCs w:val="20"/>
              </w:rPr>
              <w:t>‘National Institute</w:t>
            </w:r>
            <w:r w:rsidR="0082441F" w:rsidRPr="00730C0D">
              <w:rPr>
                <w:rFonts w:ascii="Century Gothic" w:hAnsi="Century Gothic"/>
                <w:sz w:val="20"/>
                <w:szCs w:val="20"/>
              </w:rPr>
              <w:t xml:space="preserve"> of Higher Education</w:t>
            </w:r>
            <w:r w:rsidRPr="00730C0D">
              <w:rPr>
                <w:rFonts w:ascii="Century Gothic" w:hAnsi="Century Gothic"/>
                <w:sz w:val="20"/>
                <w:szCs w:val="20"/>
              </w:rPr>
              <w:t>’ category.</w:t>
            </w:r>
          </w:p>
        </w:tc>
      </w:tr>
    </w:tbl>
    <w:p w14:paraId="2A819315" w14:textId="77777777" w:rsidR="00AC7D05" w:rsidRPr="00730C0D" w:rsidRDefault="00AC7D05" w:rsidP="00D31B9A">
      <w:pPr>
        <w:spacing w:before="0" w:after="0"/>
        <w:rPr>
          <w:rFonts w:ascii="Century Gothic" w:hAnsi="Century Gothic"/>
          <w:sz w:val="20"/>
          <w:szCs w:val="20"/>
        </w:rPr>
      </w:pPr>
    </w:p>
    <w:p w14:paraId="47F44C18" w14:textId="77777777" w:rsidR="00AC7D05" w:rsidRPr="00730C0D" w:rsidRDefault="00AC7D05" w:rsidP="00D31B9A">
      <w:pPr>
        <w:spacing w:before="0" w:after="0"/>
        <w:rPr>
          <w:rFonts w:ascii="Century Gothic" w:hAnsi="Century Gothic"/>
          <w:sz w:val="20"/>
          <w:szCs w:val="20"/>
        </w:rPr>
      </w:pPr>
    </w:p>
    <w:p w14:paraId="021808CB" w14:textId="7DF599E4" w:rsidR="00AC7D05" w:rsidRPr="00730C0D" w:rsidRDefault="00AE1672" w:rsidP="004978DA">
      <w:pPr>
        <w:pStyle w:val="Heading2"/>
      </w:pPr>
      <w:bookmarkStart w:id="63" w:name="_Toc18592334"/>
      <w:r w:rsidRPr="00730C0D">
        <w:t>2.3</w:t>
      </w:r>
      <w:r w:rsidRPr="00730C0D">
        <w:tab/>
      </w:r>
      <w:r w:rsidR="00AC7D05" w:rsidRPr="00730C0D">
        <w:t>Diversity and Expansion of the Higher Education Sector</w:t>
      </w:r>
      <w:bookmarkEnd w:id="63"/>
    </w:p>
    <w:p w14:paraId="6F15FF94" w14:textId="457C898E" w:rsidR="00AC7D05" w:rsidRPr="008A5B65" w:rsidRDefault="00AC7D05" w:rsidP="00D31B9A">
      <w:pPr>
        <w:spacing w:before="0" w:after="0"/>
        <w:rPr>
          <w:rFonts w:ascii="Century Gothic" w:hAnsi="Century Gothic"/>
          <w:sz w:val="20"/>
          <w:szCs w:val="20"/>
        </w:rPr>
      </w:pPr>
      <w:r w:rsidRPr="008A5B65">
        <w:rPr>
          <w:rFonts w:ascii="Century Gothic" w:hAnsi="Century Gothic"/>
          <w:sz w:val="20"/>
          <w:szCs w:val="20"/>
        </w:rPr>
        <w:t>The number of universities in Australia has stayed relatively static since the Dawkins reforms in the late 1980s. Over a similar period the number of other higher education providers has increased, but still represent</w:t>
      </w:r>
      <w:r w:rsidR="00A212F7">
        <w:rPr>
          <w:rFonts w:ascii="Century Gothic" w:hAnsi="Century Gothic"/>
          <w:sz w:val="20"/>
          <w:szCs w:val="20"/>
        </w:rPr>
        <w:t>s</w:t>
      </w:r>
      <w:r w:rsidRPr="008A5B65">
        <w:rPr>
          <w:rFonts w:ascii="Century Gothic" w:hAnsi="Century Gothic"/>
          <w:sz w:val="20"/>
          <w:szCs w:val="20"/>
        </w:rPr>
        <w:t xml:space="preserve"> </w:t>
      </w:r>
      <w:r w:rsidR="00984F2D">
        <w:rPr>
          <w:rFonts w:ascii="Century Gothic" w:hAnsi="Century Gothic"/>
          <w:sz w:val="20"/>
          <w:szCs w:val="20"/>
        </w:rPr>
        <w:t>only around</w:t>
      </w:r>
      <w:r w:rsidRPr="008A5B65">
        <w:rPr>
          <w:rFonts w:ascii="Century Gothic" w:hAnsi="Century Gothic"/>
          <w:sz w:val="20"/>
          <w:szCs w:val="20"/>
        </w:rPr>
        <w:t xml:space="preserve"> 10 per cent of the total higher education student cohort</w:t>
      </w:r>
      <w:r w:rsidR="008A6C47" w:rsidRPr="008A5B65">
        <w:rPr>
          <w:rFonts w:ascii="Century Gothic" w:hAnsi="Century Gothic"/>
          <w:sz w:val="20"/>
          <w:szCs w:val="20"/>
        </w:rPr>
        <w:t>.</w:t>
      </w:r>
      <w:r w:rsidR="00950C2E" w:rsidRPr="008A5B65">
        <w:rPr>
          <w:rStyle w:val="FootnoteReference"/>
          <w:rFonts w:ascii="Century Gothic" w:hAnsi="Century Gothic"/>
          <w:sz w:val="20"/>
          <w:szCs w:val="20"/>
        </w:rPr>
        <w:footnoteReference w:id="69"/>
      </w:r>
      <w:r w:rsidRPr="008A5B65">
        <w:rPr>
          <w:rFonts w:ascii="Century Gothic" w:hAnsi="Century Gothic"/>
          <w:sz w:val="20"/>
          <w:szCs w:val="20"/>
        </w:rPr>
        <w:t xml:space="preserve"> </w:t>
      </w:r>
      <w:r w:rsidR="00950633" w:rsidRPr="008A5B65">
        <w:rPr>
          <w:rFonts w:ascii="Century Gothic" w:hAnsi="Century Gothic"/>
          <w:sz w:val="20"/>
          <w:szCs w:val="20"/>
        </w:rPr>
        <w:t xml:space="preserve">The rate of growth </w:t>
      </w:r>
      <w:r w:rsidR="00587A29" w:rsidRPr="008A5B65">
        <w:rPr>
          <w:rFonts w:ascii="Century Gothic" w:hAnsi="Century Gothic"/>
          <w:sz w:val="20"/>
          <w:szCs w:val="20"/>
        </w:rPr>
        <w:t>of higher education providers has been</w:t>
      </w:r>
      <w:r w:rsidR="00950633" w:rsidRPr="008A5B65">
        <w:rPr>
          <w:rFonts w:ascii="Century Gothic" w:hAnsi="Century Gothic"/>
          <w:sz w:val="20"/>
          <w:szCs w:val="20"/>
        </w:rPr>
        <w:t xml:space="preserve"> significant over a relatively short period of time</w:t>
      </w:r>
      <w:r w:rsidR="00775EF7" w:rsidRPr="008A5B65">
        <w:rPr>
          <w:rFonts w:ascii="Century Gothic" w:hAnsi="Century Gothic"/>
          <w:sz w:val="20"/>
          <w:szCs w:val="20"/>
        </w:rPr>
        <w:t xml:space="preserve">, with the number of providers almost doubling between </w:t>
      </w:r>
      <w:r w:rsidR="00894EC9" w:rsidRPr="008A5B65">
        <w:rPr>
          <w:rFonts w:ascii="Century Gothic" w:hAnsi="Century Gothic"/>
          <w:sz w:val="20"/>
          <w:szCs w:val="20"/>
        </w:rPr>
        <w:br/>
      </w:r>
      <w:r w:rsidR="00775EF7" w:rsidRPr="008A5B65">
        <w:rPr>
          <w:rFonts w:ascii="Century Gothic" w:hAnsi="Century Gothic"/>
          <w:sz w:val="20"/>
          <w:szCs w:val="20"/>
        </w:rPr>
        <w:t>2008 and 2019.</w:t>
      </w:r>
      <w:r w:rsidR="00775EF7" w:rsidRPr="008A5B65">
        <w:rPr>
          <w:rStyle w:val="FootnoteReference"/>
          <w:rFonts w:ascii="Century Gothic" w:hAnsi="Century Gothic"/>
          <w:sz w:val="20"/>
          <w:szCs w:val="20"/>
        </w:rPr>
        <w:footnoteReference w:id="70"/>
      </w:r>
      <w:r w:rsidR="00775EF7" w:rsidRPr="008A5B65">
        <w:rPr>
          <w:rFonts w:ascii="Century Gothic" w:hAnsi="Century Gothic"/>
          <w:sz w:val="20"/>
          <w:szCs w:val="20"/>
        </w:rPr>
        <w:t xml:space="preserve"> </w:t>
      </w:r>
    </w:p>
    <w:p w14:paraId="0B06F35A" w14:textId="77777777" w:rsidR="00B57B7F" w:rsidRPr="008A5B65" w:rsidRDefault="00B57B7F" w:rsidP="00B57B7F">
      <w:pPr>
        <w:spacing w:before="0" w:after="0"/>
        <w:rPr>
          <w:rFonts w:ascii="Century Gothic" w:hAnsi="Century Gothic"/>
          <w:sz w:val="20"/>
          <w:szCs w:val="20"/>
        </w:rPr>
      </w:pPr>
    </w:p>
    <w:p w14:paraId="24B26FC2" w14:textId="44FC14DD" w:rsidR="00B57B7F" w:rsidRPr="008A5B65" w:rsidRDefault="00B57B7F" w:rsidP="00B57B7F">
      <w:pPr>
        <w:spacing w:before="0" w:after="0"/>
        <w:rPr>
          <w:rFonts w:ascii="Century Gothic" w:hAnsi="Century Gothic"/>
          <w:sz w:val="20"/>
          <w:szCs w:val="20"/>
        </w:rPr>
      </w:pPr>
      <w:r w:rsidRPr="008A5B65">
        <w:rPr>
          <w:rFonts w:ascii="Century Gothic" w:hAnsi="Century Gothic"/>
          <w:sz w:val="20"/>
          <w:szCs w:val="20"/>
        </w:rPr>
        <w:t xml:space="preserve">Part of this Review’s remit is to consider how the PCS will serve populations into the future. Although Australia already has a comprehensive and, many argue, diverse higher education sector, it is likely that Australia will continue to need an increased variety and range of offerings for the ever changing world of work. It is, and will be, critical that the higher education sector is </w:t>
      </w:r>
      <w:r w:rsidR="00984F2D">
        <w:rPr>
          <w:rFonts w:ascii="Century Gothic" w:hAnsi="Century Gothic"/>
          <w:sz w:val="20"/>
          <w:szCs w:val="20"/>
        </w:rPr>
        <w:t>comprised</w:t>
      </w:r>
      <w:r w:rsidR="00984F2D" w:rsidRPr="008A5B65">
        <w:rPr>
          <w:rFonts w:ascii="Century Gothic" w:hAnsi="Century Gothic"/>
          <w:sz w:val="20"/>
          <w:szCs w:val="20"/>
        </w:rPr>
        <w:t xml:space="preserve"> </w:t>
      </w:r>
      <w:r w:rsidRPr="008A5B65">
        <w:rPr>
          <w:rFonts w:ascii="Century Gothic" w:hAnsi="Century Gothic"/>
          <w:sz w:val="20"/>
          <w:szCs w:val="20"/>
        </w:rPr>
        <w:t xml:space="preserve">of higher education providers of different sizes, locations, </w:t>
      </w:r>
      <w:r w:rsidR="00E334A7" w:rsidRPr="008A5B65">
        <w:rPr>
          <w:rFonts w:ascii="Century Gothic" w:hAnsi="Century Gothic"/>
          <w:sz w:val="20"/>
          <w:szCs w:val="20"/>
        </w:rPr>
        <w:br/>
      </w:r>
      <w:r w:rsidRPr="008A5B65">
        <w:rPr>
          <w:rFonts w:ascii="Century Gothic" w:hAnsi="Century Gothic"/>
          <w:sz w:val="20"/>
          <w:szCs w:val="20"/>
        </w:rPr>
        <w:t xml:space="preserve">and missions offering differentiated, innovative, and flexible higher education options </w:t>
      </w:r>
      <w:r w:rsidR="00F8433A" w:rsidRPr="008A5B65">
        <w:rPr>
          <w:rFonts w:ascii="Century Gothic" w:hAnsi="Century Gothic"/>
          <w:sz w:val="20"/>
          <w:szCs w:val="20"/>
        </w:rPr>
        <w:t>to accommodate</w:t>
      </w:r>
      <w:r w:rsidRPr="008A5B65">
        <w:rPr>
          <w:rFonts w:ascii="Century Gothic" w:hAnsi="Century Gothic"/>
          <w:sz w:val="20"/>
          <w:szCs w:val="20"/>
        </w:rPr>
        <w:t xml:space="preserve"> diverse student populations and communities. Such differentiation encourages and enables students to choose institutions that best suit their educational goals and abilities, stimulates social mobility, enables the higher education sector to meet labour market needs, and encourages competition which can help continuously lift performance of the sector.</w:t>
      </w:r>
      <w:r w:rsidRPr="008A5B65">
        <w:rPr>
          <w:rStyle w:val="FootnoteReference"/>
          <w:rFonts w:ascii="Century Gothic" w:hAnsi="Century Gothic"/>
          <w:sz w:val="20"/>
          <w:szCs w:val="20"/>
        </w:rPr>
        <w:footnoteReference w:id="71"/>
      </w:r>
    </w:p>
    <w:p w14:paraId="4A313244" w14:textId="6B8CC73B" w:rsidR="007F4E99" w:rsidRPr="008A5B65" w:rsidRDefault="007F4E99" w:rsidP="00D31B9A">
      <w:pPr>
        <w:spacing w:before="0" w:after="0"/>
        <w:rPr>
          <w:rFonts w:ascii="Century Gothic" w:hAnsi="Century Gothic"/>
          <w:sz w:val="20"/>
          <w:szCs w:val="20"/>
        </w:rPr>
      </w:pPr>
    </w:p>
    <w:p w14:paraId="16CC5879" w14:textId="15B934EF" w:rsidR="00AE53B3" w:rsidRDefault="00AC7D05" w:rsidP="00C34A35">
      <w:pPr>
        <w:spacing w:before="0" w:after="0"/>
        <w:ind w:right="237"/>
        <w:rPr>
          <w:rFonts w:ascii="Century Gothic" w:hAnsi="Century Gothic"/>
          <w:sz w:val="20"/>
          <w:szCs w:val="20"/>
        </w:rPr>
      </w:pPr>
      <w:r w:rsidRPr="008A5B65">
        <w:rPr>
          <w:rFonts w:ascii="Century Gothic" w:hAnsi="Century Gothic"/>
          <w:sz w:val="20"/>
          <w:szCs w:val="20"/>
        </w:rPr>
        <w:t xml:space="preserve">The previous </w:t>
      </w:r>
      <w:r w:rsidR="00AE53B3" w:rsidRPr="008A5B65">
        <w:rPr>
          <w:rFonts w:ascii="Century Gothic" w:hAnsi="Century Gothic"/>
          <w:sz w:val="20"/>
          <w:szCs w:val="20"/>
        </w:rPr>
        <w:t xml:space="preserve">discussion </w:t>
      </w:r>
      <w:r w:rsidR="00A30027" w:rsidRPr="008A5B65">
        <w:rPr>
          <w:rFonts w:ascii="Century Gothic" w:hAnsi="Century Gothic"/>
          <w:sz w:val="20"/>
          <w:szCs w:val="20"/>
        </w:rPr>
        <w:t xml:space="preserve">in </w:t>
      </w:r>
      <w:hyperlink w:anchor="_2.2.5_Standing_and" w:history="1">
        <w:r w:rsidR="00A30027" w:rsidRPr="008A5B65">
          <w:rPr>
            <w:rStyle w:val="Hyperlink"/>
            <w:rFonts w:ascii="Century Gothic" w:hAnsi="Century Gothic"/>
            <w:sz w:val="20"/>
            <w:szCs w:val="20"/>
          </w:rPr>
          <w:t>Section 2.2.5</w:t>
        </w:r>
      </w:hyperlink>
      <w:r w:rsidR="00A30027" w:rsidRPr="008A5B65">
        <w:rPr>
          <w:rFonts w:ascii="Century Gothic" w:hAnsi="Century Gothic"/>
          <w:sz w:val="20"/>
          <w:szCs w:val="20"/>
        </w:rPr>
        <w:t xml:space="preserve"> </w:t>
      </w:r>
      <w:r w:rsidRPr="008A5B65">
        <w:rPr>
          <w:rFonts w:ascii="Century Gothic" w:hAnsi="Century Gothic"/>
          <w:sz w:val="20"/>
          <w:szCs w:val="20"/>
        </w:rPr>
        <w:t>introduced the proposal of a new ‘National Institute of Higher Education’ category to, in part, serve this purpose. In the future, there</w:t>
      </w:r>
      <w:r w:rsidR="00984F2D">
        <w:rPr>
          <w:rFonts w:ascii="Century Gothic" w:hAnsi="Century Gothic"/>
          <w:sz w:val="20"/>
          <w:szCs w:val="20"/>
        </w:rPr>
        <w:t xml:space="preserve"> also</w:t>
      </w:r>
      <w:r w:rsidRPr="008A5B65">
        <w:rPr>
          <w:rFonts w:ascii="Century Gothic" w:hAnsi="Century Gothic"/>
          <w:sz w:val="20"/>
          <w:szCs w:val="20"/>
        </w:rPr>
        <w:t xml:space="preserve"> may be the potential for the number of universities, specialised or comprehensive</w:t>
      </w:r>
      <w:r w:rsidR="00B94BA7" w:rsidRPr="008A5B65">
        <w:rPr>
          <w:rFonts w:ascii="Century Gothic" w:hAnsi="Century Gothic"/>
          <w:sz w:val="20"/>
          <w:szCs w:val="20"/>
        </w:rPr>
        <w:t xml:space="preserve">, to expand. The number of dual </w:t>
      </w:r>
      <w:r w:rsidRPr="008A5B65">
        <w:rPr>
          <w:rFonts w:ascii="Century Gothic" w:hAnsi="Century Gothic"/>
          <w:sz w:val="20"/>
          <w:szCs w:val="20"/>
        </w:rPr>
        <w:t>sector providers also</w:t>
      </w:r>
      <w:r w:rsidR="00AE53B3" w:rsidRPr="008A5B65">
        <w:rPr>
          <w:rFonts w:ascii="Century Gothic" w:hAnsi="Century Gothic"/>
          <w:sz w:val="20"/>
          <w:szCs w:val="20"/>
        </w:rPr>
        <w:t xml:space="preserve"> may</w:t>
      </w:r>
      <w:r w:rsidRPr="008A5B65">
        <w:rPr>
          <w:rFonts w:ascii="Century Gothic" w:hAnsi="Century Gothic"/>
          <w:sz w:val="20"/>
          <w:szCs w:val="20"/>
        </w:rPr>
        <w:t xml:space="preserve"> rise as students seek education that merges the benefits of both the </w:t>
      </w:r>
      <w:r w:rsidR="00717063" w:rsidRPr="008A5B65">
        <w:rPr>
          <w:rFonts w:ascii="Century Gothic" w:hAnsi="Century Gothic"/>
          <w:sz w:val="20"/>
          <w:szCs w:val="20"/>
        </w:rPr>
        <w:t xml:space="preserve">VET </w:t>
      </w:r>
      <w:r w:rsidRPr="008A5B65">
        <w:rPr>
          <w:rFonts w:ascii="Century Gothic" w:hAnsi="Century Gothic"/>
          <w:sz w:val="20"/>
          <w:szCs w:val="20"/>
        </w:rPr>
        <w:t>an</w:t>
      </w:r>
      <w:r w:rsidR="00520FB5" w:rsidRPr="008A5B65">
        <w:rPr>
          <w:rFonts w:ascii="Century Gothic" w:hAnsi="Century Gothic"/>
          <w:sz w:val="20"/>
          <w:szCs w:val="20"/>
        </w:rPr>
        <w:t>d higher education sectors</w:t>
      </w:r>
      <w:r w:rsidRPr="008A5B65">
        <w:rPr>
          <w:rFonts w:ascii="Century Gothic" w:hAnsi="Century Gothic"/>
          <w:sz w:val="20"/>
          <w:szCs w:val="20"/>
        </w:rPr>
        <w:t xml:space="preserve">. </w:t>
      </w:r>
      <w:r w:rsidR="00160A4E" w:rsidRPr="008A5B65">
        <w:rPr>
          <w:rFonts w:ascii="Century Gothic" w:hAnsi="Century Gothic"/>
          <w:sz w:val="20"/>
          <w:szCs w:val="20"/>
        </w:rPr>
        <w:t xml:space="preserve"> </w:t>
      </w:r>
    </w:p>
    <w:p w14:paraId="67919A4B" w14:textId="77777777" w:rsidR="00986E98" w:rsidRPr="008A5B65" w:rsidRDefault="00986E98" w:rsidP="00D31B9A">
      <w:pPr>
        <w:spacing w:before="0" w:after="0"/>
        <w:rPr>
          <w:rFonts w:ascii="Century Gothic" w:hAnsi="Century Gothic"/>
          <w:sz w:val="20"/>
          <w:szCs w:val="20"/>
        </w:rPr>
      </w:pPr>
    </w:p>
    <w:p w14:paraId="06B39AB6" w14:textId="3B9CA079"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No matter the scenario, or choice of provider type, it is likely that the number of students seeking higher education qualifications will rise in the future</w:t>
      </w:r>
      <w:r w:rsidR="00D52B55" w:rsidRPr="00730C0D">
        <w:rPr>
          <w:rFonts w:ascii="Century Gothic" w:hAnsi="Century Gothic"/>
          <w:sz w:val="20"/>
          <w:szCs w:val="20"/>
        </w:rPr>
        <w:t>. This is</w:t>
      </w:r>
      <w:r w:rsidRPr="00730C0D">
        <w:rPr>
          <w:rFonts w:ascii="Century Gothic" w:hAnsi="Century Gothic"/>
          <w:sz w:val="20"/>
          <w:szCs w:val="20"/>
        </w:rPr>
        <w:t xml:space="preserve"> in part due to population growth, international reputation</w:t>
      </w:r>
      <w:r w:rsidR="006E6616" w:rsidRPr="00730C0D">
        <w:rPr>
          <w:rFonts w:ascii="Century Gothic" w:hAnsi="Century Gothic"/>
          <w:sz w:val="20"/>
          <w:szCs w:val="20"/>
        </w:rPr>
        <w:t>,</w:t>
      </w:r>
      <w:r w:rsidRPr="00730C0D">
        <w:rPr>
          <w:rFonts w:ascii="Century Gothic" w:hAnsi="Century Gothic"/>
          <w:sz w:val="20"/>
          <w:szCs w:val="20"/>
        </w:rPr>
        <w:t xml:space="preserve"> and the continued importance of higher education qualifications for the workforce. This </w:t>
      </w:r>
      <w:r w:rsidR="006062C1" w:rsidRPr="00730C0D">
        <w:rPr>
          <w:rFonts w:ascii="Century Gothic" w:hAnsi="Century Gothic"/>
          <w:sz w:val="20"/>
          <w:szCs w:val="20"/>
        </w:rPr>
        <w:t xml:space="preserve">also </w:t>
      </w:r>
      <w:r w:rsidRPr="00730C0D">
        <w:rPr>
          <w:rFonts w:ascii="Century Gothic" w:hAnsi="Century Gothic"/>
          <w:sz w:val="20"/>
          <w:szCs w:val="20"/>
        </w:rPr>
        <w:t xml:space="preserve">has been historically the case, with the number of </w:t>
      </w:r>
      <w:r w:rsidR="00D52B55" w:rsidRPr="00730C0D">
        <w:rPr>
          <w:rFonts w:ascii="Century Gothic" w:hAnsi="Century Gothic"/>
          <w:sz w:val="20"/>
          <w:szCs w:val="20"/>
        </w:rPr>
        <w:t xml:space="preserve">domestic </w:t>
      </w:r>
      <w:r w:rsidR="00A849A0" w:rsidRPr="00730C0D">
        <w:rPr>
          <w:rFonts w:ascii="Century Gothic" w:hAnsi="Century Gothic"/>
          <w:sz w:val="20"/>
          <w:szCs w:val="20"/>
        </w:rPr>
        <w:t xml:space="preserve">higher education </w:t>
      </w:r>
      <w:r w:rsidRPr="00730C0D">
        <w:rPr>
          <w:rFonts w:ascii="Century Gothic" w:hAnsi="Century Gothic"/>
          <w:sz w:val="20"/>
          <w:szCs w:val="20"/>
        </w:rPr>
        <w:t>students increasing by more than 700,000 since the year 2000.</w:t>
      </w:r>
      <w:r w:rsidRPr="00730C0D">
        <w:rPr>
          <w:rFonts w:ascii="Century Gothic" w:hAnsi="Century Gothic"/>
          <w:sz w:val="20"/>
          <w:szCs w:val="20"/>
          <w:vertAlign w:val="superscript"/>
        </w:rPr>
        <w:footnoteReference w:id="72"/>
      </w:r>
      <w:r w:rsidRPr="00730C0D">
        <w:rPr>
          <w:rFonts w:ascii="Century Gothic" w:hAnsi="Century Gothic"/>
          <w:sz w:val="20"/>
          <w:szCs w:val="20"/>
        </w:rPr>
        <w:t xml:space="preserve"> </w:t>
      </w:r>
    </w:p>
    <w:p w14:paraId="3342F51C" w14:textId="77777777" w:rsidR="00AC7D05" w:rsidRPr="00730C0D" w:rsidRDefault="00AC7D05" w:rsidP="00D31B9A">
      <w:pPr>
        <w:spacing w:before="0" w:after="0"/>
        <w:rPr>
          <w:rFonts w:ascii="Century Gothic" w:hAnsi="Century Gothic"/>
          <w:sz w:val="20"/>
          <w:szCs w:val="20"/>
        </w:rPr>
      </w:pPr>
    </w:p>
    <w:p w14:paraId="2AC20778" w14:textId="6499783A"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To prepare for the possibility of growth, support differentiation, innovation</w:t>
      </w:r>
      <w:r w:rsidR="00C13BBC" w:rsidRPr="00730C0D">
        <w:rPr>
          <w:rFonts w:ascii="Century Gothic" w:hAnsi="Century Gothic"/>
          <w:sz w:val="20"/>
          <w:szCs w:val="20"/>
        </w:rPr>
        <w:t>,</w:t>
      </w:r>
      <w:r w:rsidRPr="00730C0D">
        <w:rPr>
          <w:rFonts w:ascii="Century Gothic" w:hAnsi="Century Gothic"/>
          <w:sz w:val="20"/>
          <w:szCs w:val="20"/>
        </w:rPr>
        <w:t xml:space="preserve"> and excellence, and to enable the higher education sector in Australia to maintain its strong reputation, TEQSA should develop a framework to guide providers who wish to change provider category. </w:t>
      </w:r>
      <w:r w:rsidR="00D47582" w:rsidRPr="00730C0D">
        <w:rPr>
          <w:rFonts w:ascii="Century Gothic" w:hAnsi="Century Gothic"/>
          <w:sz w:val="20"/>
          <w:szCs w:val="20"/>
        </w:rPr>
        <w:t xml:space="preserve">Such providers </w:t>
      </w:r>
      <w:r w:rsidRPr="00730C0D">
        <w:rPr>
          <w:rFonts w:ascii="Century Gothic" w:hAnsi="Century Gothic"/>
          <w:sz w:val="20"/>
          <w:szCs w:val="20"/>
        </w:rPr>
        <w:t xml:space="preserve">could include </w:t>
      </w:r>
      <w:r w:rsidR="00AE53B3" w:rsidRPr="00730C0D">
        <w:rPr>
          <w:rFonts w:ascii="Century Gothic" w:hAnsi="Century Gothic"/>
          <w:sz w:val="20"/>
          <w:szCs w:val="20"/>
        </w:rPr>
        <w:t xml:space="preserve">those </w:t>
      </w:r>
      <w:r w:rsidRPr="00730C0D">
        <w:rPr>
          <w:rFonts w:ascii="Century Gothic" w:hAnsi="Century Gothic"/>
          <w:sz w:val="20"/>
          <w:szCs w:val="20"/>
        </w:rPr>
        <w:t xml:space="preserve">seeking to enter the higher education sector, providers who wish to attain self-accrediting status and apply for registration in the </w:t>
      </w:r>
      <w:r w:rsidR="00986E98">
        <w:rPr>
          <w:rFonts w:ascii="Century Gothic" w:hAnsi="Century Gothic"/>
          <w:sz w:val="20"/>
          <w:szCs w:val="20"/>
        </w:rPr>
        <w:t xml:space="preserve">proposed </w:t>
      </w:r>
      <w:r w:rsidRPr="00730C0D">
        <w:rPr>
          <w:rFonts w:ascii="Century Gothic" w:hAnsi="Century Gothic"/>
          <w:sz w:val="20"/>
          <w:szCs w:val="20"/>
        </w:rPr>
        <w:t>‘National Institute of Higher Education’ category</w:t>
      </w:r>
      <w:r w:rsidR="00D52B55" w:rsidRPr="00730C0D">
        <w:rPr>
          <w:rFonts w:ascii="Century Gothic" w:hAnsi="Century Gothic"/>
          <w:sz w:val="20"/>
          <w:szCs w:val="20"/>
        </w:rPr>
        <w:t>,</w:t>
      </w:r>
      <w:r w:rsidR="00701F73" w:rsidRPr="00730C0D">
        <w:rPr>
          <w:rFonts w:ascii="Century Gothic" w:hAnsi="Century Gothic"/>
          <w:sz w:val="20"/>
          <w:szCs w:val="20"/>
        </w:rPr>
        <w:t xml:space="preserve"> or, i</w:t>
      </w:r>
      <w:r w:rsidR="00AE53B3" w:rsidRPr="00730C0D">
        <w:rPr>
          <w:rFonts w:ascii="Century Gothic" w:hAnsi="Century Gothic"/>
          <w:sz w:val="20"/>
          <w:szCs w:val="20"/>
        </w:rPr>
        <w:t>ndeed,</w:t>
      </w:r>
      <w:r w:rsidRPr="00730C0D">
        <w:rPr>
          <w:rFonts w:ascii="Century Gothic" w:hAnsi="Century Gothic"/>
          <w:sz w:val="20"/>
          <w:szCs w:val="20"/>
        </w:rPr>
        <w:t xml:space="preserve"> for</w:t>
      </w:r>
      <w:r w:rsidR="00AE53B3" w:rsidRPr="00730C0D">
        <w:rPr>
          <w:rFonts w:ascii="Century Gothic" w:hAnsi="Century Gothic"/>
          <w:sz w:val="20"/>
          <w:szCs w:val="20"/>
        </w:rPr>
        <w:t xml:space="preserve"> those</w:t>
      </w:r>
      <w:r w:rsidRPr="00730C0D">
        <w:rPr>
          <w:rFonts w:ascii="Century Gothic" w:hAnsi="Century Gothic"/>
          <w:sz w:val="20"/>
          <w:szCs w:val="20"/>
        </w:rPr>
        <w:t xml:space="preserve"> providers seeking ‘Australian University’ status. </w:t>
      </w:r>
      <w:r w:rsidR="00D47582" w:rsidRPr="00730C0D">
        <w:rPr>
          <w:rFonts w:ascii="Century Gothic" w:hAnsi="Century Gothic"/>
          <w:sz w:val="20"/>
          <w:szCs w:val="20"/>
        </w:rPr>
        <w:t>In addition to TEQSA’s current extensive range of guidance notes,</w:t>
      </w:r>
      <w:r w:rsidR="00D47582" w:rsidRPr="00730C0D">
        <w:rPr>
          <w:rStyle w:val="FootnoteReference"/>
          <w:rFonts w:ascii="Century Gothic" w:hAnsi="Century Gothic"/>
          <w:sz w:val="20"/>
          <w:szCs w:val="20"/>
        </w:rPr>
        <w:footnoteReference w:id="73"/>
      </w:r>
      <w:r w:rsidR="00D47582" w:rsidRPr="00730C0D">
        <w:rPr>
          <w:rFonts w:ascii="Century Gothic" w:hAnsi="Century Gothic"/>
          <w:sz w:val="20"/>
          <w:szCs w:val="20"/>
        </w:rPr>
        <w:t xml:space="preserve"> such a framework may assist providers with more transparent and clear directions on requirements and procedures</w:t>
      </w:r>
      <w:r w:rsidR="006062C1" w:rsidRPr="00730C0D">
        <w:rPr>
          <w:rFonts w:ascii="Century Gothic" w:hAnsi="Century Gothic"/>
          <w:sz w:val="20"/>
          <w:szCs w:val="20"/>
        </w:rPr>
        <w:t xml:space="preserve">. Such guidance </w:t>
      </w:r>
      <w:r w:rsidR="00D52B55" w:rsidRPr="00730C0D">
        <w:rPr>
          <w:rFonts w:ascii="Century Gothic" w:hAnsi="Century Gothic"/>
          <w:sz w:val="20"/>
          <w:szCs w:val="20"/>
        </w:rPr>
        <w:t xml:space="preserve">could </w:t>
      </w:r>
      <w:r w:rsidR="00D47582" w:rsidRPr="00730C0D">
        <w:rPr>
          <w:rFonts w:ascii="Century Gothic" w:hAnsi="Century Gothic"/>
          <w:sz w:val="20"/>
          <w:szCs w:val="20"/>
        </w:rPr>
        <w:t>encourage new entrants, foster innovation</w:t>
      </w:r>
      <w:r w:rsidR="00D52B55" w:rsidRPr="00730C0D">
        <w:rPr>
          <w:rFonts w:ascii="Century Gothic" w:hAnsi="Century Gothic"/>
          <w:sz w:val="20"/>
          <w:szCs w:val="20"/>
        </w:rPr>
        <w:t>,</w:t>
      </w:r>
      <w:r w:rsidR="00D47582" w:rsidRPr="00730C0D">
        <w:rPr>
          <w:rFonts w:ascii="Century Gothic" w:hAnsi="Century Gothic"/>
          <w:sz w:val="20"/>
          <w:szCs w:val="20"/>
        </w:rPr>
        <w:t xml:space="preserve"> and ensure stakeholders are aware of TEQSA’s processes. </w:t>
      </w:r>
    </w:p>
    <w:p w14:paraId="70A54754" w14:textId="77777777" w:rsidR="00AC7D05" w:rsidRPr="00730C0D" w:rsidRDefault="00AC7D05" w:rsidP="00D31B9A">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C7D05" w:rsidRPr="00730C0D" w14:paraId="2F8BA5BB" w14:textId="77777777" w:rsidTr="00D31B9A">
        <w:tc>
          <w:tcPr>
            <w:tcW w:w="9016" w:type="dxa"/>
            <w:tcBorders>
              <w:bottom w:val="single" w:sz="12" w:space="0" w:color="00B050"/>
            </w:tcBorders>
            <w:shd w:val="clear" w:color="auto" w:fill="2763AC"/>
          </w:tcPr>
          <w:p w14:paraId="0FAE5F53" w14:textId="77777777"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Recommendation 4</w:t>
            </w:r>
          </w:p>
        </w:tc>
      </w:tr>
      <w:tr w:rsidR="00AC7D05" w:rsidRPr="00730C0D" w14:paraId="10514799" w14:textId="77777777" w:rsidTr="00D31B9A">
        <w:tc>
          <w:tcPr>
            <w:tcW w:w="9016" w:type="dxa"/>
            <w:tcBorders>
              <w:top w:val="single" w:sz="12" w:space="0" w:color="00B050"/>
            </w:tcBorders>
            <w:shd w:val="clear" w:color="auto" w:fill="D5DCE4" w:themeFill="text2" w:themeFillTint="33"/>
          </w:tcPr>
          <w:p w14:paraId="1B61C1B7" w14:textId="4B8654D6" w:rsidR="00AC7D05" w:rsidRPr="00730C0D" w:rsidRDefault="006050EC">
            <w:pPr>
              <w:spacing w:before="160" w:after="160"/>
              <w:rPr>
                <w:rFonts w:ascii="Century Gothic" w:hAnsi="Century Gothic"/>
                <w:b/>
                <w:sz w:val="20"/>
                <w:szCs w:val="20"/>
              </w:rPr>
            </w:pPr>
            <w:r w:rsidRPr="006050EC">
              <w:rPr>
                <w:rFonts w:ascii="Century Gothic" w:hAnsi="Century Gothic"/>
                <w:b/>
                <w:sz w:val="20"/>
                <w:szCs w:val="20"/>
              </w:rPr>
              <w:t xml:space="preserve">The Higher Education Provider Category Standards must enable providers to transition </w:t>
            </w:r>
            <w:r>
              <w:rPr>
                <w:rFonts w:ascii="Century Gothic" w:hAnsi="Century Gothic"/>
                <w:b/>
                <w:sz w:val="20"/>
                <w:szCs w:val="20"/>
              </w:rPr>
              <w:br/>
            </w:r>
            <w:r w:rsidRPr="006050EC">
              <w:rPr>
                <w:rFonts w:ascii="Century Gothic" w:hAnsi="Century Gothic"/>
                <w:b/>
                <w:sz w:val="20"/>
                <w:szCs w:val="20"/>
              </w:rPr>
              <w:t xml:space="preserve">to other categories and grow their course and research offerings. This should be complemented by a guidance framework developed by the Tertiary Education Quality and Standards Agency. This will better assist providers in their successful transition to </w:t>
            </w:r>
            <w:r>
              <w:rPr>
                <w:rFonts w:ascii="Century Gothic" w:hAnsi="Century Gothic"/>
                <w:b/>
                <w:sz w:val="20"/>
                <w:szCs w:val="20"/>
              </w:rPr>
              <w:br/>
            </w:r>
            <w:r w:rsidRPr="006050EC">
              <w:rPr>
                <w:rFonts w:ascii="Century Gothic" w:hAnsi="Century Gothic"/>
                <w:b/>
                <w:sz w:val="20"/>
                <w:szCs w:val="20"/>
              </w:rPr>
              <w:t xml:space="preserve">other categories and will both encourage and support excellence, differentiation, </w:t>
            </w:r>
            <w:r>
              <w:rPr>
                <w:rFonts w:ascii="Century Gothic" w:hAnsi="Century Gothic"/>
                <w:b/>
                <w:sz w:val="20"/>
                <w:szCs w:val="20"/>
              </w:rPr>
              <w:br/>
            </w:r>
            <w:r w:rsidRPr="006050EC">
              <w:rPr>
                <w:rFonts w:ascii="Century Gothic" w:hAnsi="Century Gothic"/>
                <w:b/>
                <w:sz w:val="20"/>
                <w:szCs w:val="20"/>
              </w:rPr>
              <w:t xml:space="preserve">and innovation. </w:t>
            </w:r>
          </w:p>
        </w:tc>
      </w:tr>
    </w:tbl>
    <w:p w14:paraId="296223C2" w14:textId="069E04D4" w:rsidR="00AC7D05" w:rsidRDefault="00AC7D05" w:rsidP="00C13BBC">
      <w:pPr>
        <w:spacing w:before="80" w:after="80"/>
        <w:rPr>
          <w:rFonts w:ascii="Century Gothic" w:hAnsi="Century Gothic"/>
          <w:sz w:val="8"/>
          <w:szCs w:val="8"/>
        </w:rPr>
      </w:pPr>
    </w:p>
    <w:p w14:paraId="772BEF43" w14:textId="77777777" w:rsidR="00C34A35" w:rsidRPr="00730C0D" w:rsidRDefault="00C34A35" w:rsidP="00C13BBC">
      <w:pPr>
        <w:spacing w:before="80" w:after="80"/>
        <w:rPr>
          <w:rFonts w:ascii="Century Gothic" w:hAnsi="Century Gothic"/>
          <w:sz w:val="8"/>
          <w:szCs w:val="8"/>
        </w:rPr>
      </w:pPr>
    </w:p>
    <w:p w14:paraId="0E7806B7" w14:textId="19C3CF83" w:rsidR="00AC7D05" w:rsidRPr="00730C0D" w:rsidRDefault="00AE1672" w:rsidP="004978DA">
      <w:pPr>
        <w:pStyle w:val="Heading2"/>
      </w:pPr>
      <w:bookmarkStart w:id="64" w:name="_Toc18592335"/>
      <w:r w:rsidRPr="00730C0D">
        <w:t>2.4</w:t>
      </w:r>
      <w:r w:rsidRPr="00730C0D">
        <w:tab/>
      </w:r>
      <w:r w:rsidR="00AC7D05" w:rsidRPr="00730C0D">
        <w:t>‘Australian University’ Category</w:t>
      </w:r>
      <w:bookmarkEnd w:id="64"/>
    </w:p>
    <w:p w14:paraId="56294EC2" w14:textId="6AC4B867" w:rsidR="00AC7D05" w:rsidRPr="00730C0D" w:rsidRDefault="00AC7D05" w:rsidP="008A5B65">
      <w:pPr>
        <w:spacing w:before="0" w:after="0"/>
        <w:ind w:right="-46"/>
        <w:rPr>
          <w:rFonts w:ascii="Century Gothic" w:hAnsi="Century Gothic"/>
          <w:sz w:val="20"/>
          <w:szCs w:val="20"/>
        </w:rPr>
      </w:pPr>
      <w:r w:rsidRPr="00730C0D">
        <w:rPr>
          <w:rFonts w:ascii="Century Gothic" w:hAnsi="Century Gothic"/>
          <w:sz w:val="20"/>
          <w:szCs w:val="20"/>
        </w:rPr>
        <w:t xml:space="preserve">There are currently 40 </w:t>
      </w:r>
      <w:r w:rsidR="00D52B55" w:rsidRPr="00730C0D">
        <w:rPr>
          <w:rFonts w:ascii="Century Gothic" w:hAnsi="Century Gothic"/>
          <w:sz w:val="20"/>
          <w:szCs w:val="20"/>
        </w:rPr>
        <w:t>providers registered in the ‘Australian University’ category</w:t>
      </w:r>
      <w:r w:rsidRPr="00730C0D">
        <w:rPr>
          <w:rFonts w:ascii="Century Gothic" w:hAnsi="Century Gothic"/>
          <w:sz w:val="20"/>
          <w:szCs w:val="20"/>
        </w:rPr>
        <w:t>, which account for over 90 per</w:t>
      </w:r>
      <w:r w:rsidR="00EA67CB" w:rsidRPr="00730C0D">
        <w:rPr>
          <w:rFonts w:ascii="Century Gothic" w:hAnsi="Century Gothic"/>
          <w:sz w:val="20"/>
          <w:szCs w:val="20"/>
        </w:rPr>
        <w:t> </w:t>
      </w:r>
      <w:r w:rsidRPr="00730C0D">
        <w:rPr>
          <w:rFonts w:ascii="Century Gothic" w:hAnsi="Century Gothic"/>
          <w:sz w:val="20"/>
          <w:szCs w:val="20"/>
        </w:rPr>
        <w:t>cent of higher education student enrolments.</w:t>
      </w:r>
      <w:r w:rsidRPr="00730C0D">
        <w:rPr>
          <w:rStyle w:val="FootnoteReference"/>
          <w:rFonts w:ascii="Century Gothic" w:hAnsi="Century Gothic"/>
          <w:sz w:val="20"/>
          <w:szCs w:val="20"/>
        </w:rPr>
        <w:footnoteReference w:id="74"/>
      </w:r>
      <w:r w:rsidRPr="00730C0D">
        <w:rPr>
          <w:rFonts w:ascii="Century Gothic" w:hAnsi="Century Gothic"/>
          <w:sz w:val="20"/>
          <w:szCs w:val="20"/>
        </w:rPr>
        <w:t xml:space="preserve"> The PCS </w:t>
      </w:r>
      <w:r w:rsidR="00701F73" w:rsidRPr="00730C0D">
        <w:rPr>
          <w:rFonts w:ascii="Century Gothic" w:hAnsi="Century Gothic"/>
          <w:sz w:val="20"/>
          <w:szCs w:val="20"/>
        </w:rPr>
        <w:t xml:space="preserve">framework </w:t>
      </w:r>
      <w:r w:rsidRPr="00730C0D">
        <w:rPr>
          <w:rFonts w:ascii="Century Gothic" w:hAnsi="Century Gothic"/>
          <w:sz w:val="20"/>
          <w:szCs w:val="20"/>
        </w:rPr>
        <w:t>set</w:t>
      </w:r>
      <w:r w:rsidR="00701F73" w:rsidRPr="00730C0D">
        <w:rPr>
          <w:rFonts w:ascii="Century Gothic" w:hAnsi="Century Gothic"/>
          <w:sz w:val="20"/>
          <w:szCs w:val="20"/>
        </w:rPr>
        <w:t>s</w:t>
      </w:r>
      <w:r w:rsidRPr="00730C0D">
        <w:rPr>
          <w:rFonts w:ascii="Century Gothic" w:hAnsi="Century Gothic"/>
          <w:sz w:val="20"/>
          <w:szCs w:val="20"/>
        </w:rPr>
        <w:t xml:space="preserve"> out the established norm of what it means to be a</w:t>
      </w:r>
      <w:r w:rsidR="00D52B55" w:rsidRPr="00730C0D">
        <w:rPr>
          <w:rFonts w:ascii="Century Gothic" w:hAnsi="Century Gothic"/>
          <w:sz w:val="20"/>
          <w:szCs w:val="20"/>
        </w:rPr>
        <w:t xml:space="preserve"> university in Australia</w:t>
      </w:r>
      <w:r w:rsidRPr="00730C0D">
        <w:rPr>
          <w:rFonts w:ascii="Century Gothic" w:hAnsi="Century Gothic"/>
          <w:sz w:val="20"/>
          <w:szCs w:val="20"/>
        </w:rPr>
        <w:t>. The requirements to be registered in the ‘Australian University’ category include teaching, research, sustained scholarship, community engagement</w:t>
      </w:r>
      <w:r w:rsidR="00C13BBC" w:rsidRPr="00730C0D">
        <w:rPr>
          <w:rFonts w:ascii="Century Gothic" w:hAnsi="Century Gothic"/>
          <w:sz w:val="20"/>
          <w:szCs w:val="20"/>
        </w:rPr>
        <w:t>,</w:t>
      </w:r>
      <w:r w:rsidRPr="00730C0D">
        <w:rPr>
          <w:rFonts w:ascii="Century Gothic" w:hAnsi="Century Gothic"/>
          <w:sz w:val="20"/>
          <w:szCs w:val="20"/>
        </w:rPr>
        <w:t xml:space="preserve"> and mature quality assurance processes. </w:t>
      </w:r>
    </w:p>
    <w:p w14:paraId="7214B6DF" w14:textId="086A4F29" w:rsidR="00AC7D05" w:rsidRPr="00730C0D" w:rsidRDefault="00AC7D05" w:rsidP="00E71113">
      <w:pPr>
        <w:spacing w:before="0" w:after="0"/>
        <w:rPr>
          <w:rFonts w:ascii="Century Gothic" w:hAnsi="Century Gothic"/>
          <w:sz w:val="20"/>
          <w:szCs w:val="20"/>
        </w:rPr>
      </w:pPr>
    </w:p>
    <w:p w14:paraId="63A038A1" w14:textId="27B00331" w:rsidR="008A7920" w:rsidRPr="00730C0D" w:rsidRDefault="00AC7D05" w:rsidP="00E71113">
      <w:pPr>
        <w:spacing w:before="0" w:after="0"/>
        <w:rPr>
          <w:rFonts w:ascii="Century Gothic" w:hAnsi="Century Gothic"/>
          <w:sz w:val="20"/>
          <w:szCs w:val="20"/>
        </w:rPr>
      </w:pPr>
      <w:r w:rsidRPr="00730C0D">
        <w:rPr>
          <w:rFonts w:ascii="Century Gothic" w:hAnsi="Century Gothic"/>
          <w:sz w:val="20"/>
          <w:szCs w:val="20"/>
        </w:rPr>
        <w:t xml:space="preserve">As with providers in the current ‘Higher Education Provider’ category, Australia’s universities </w:t>
      </w:r>
      <w:r w:rsidR="00701F73" w:rsidRPr="00730C0D">
        <w:rPr>
          <w:rFonts w:ascii="Century Gothic" w:hAnsi="Century Gothic"/>
          <w:sz w:val="20"/>
          <w:szCs w:val="20"/>
        </w:rPr>
        <w:t xml:space="preserve">exhibit </w:t>
      </w:r>
      <w:r w:rsidRPr="00730C0D">
        <w:rPr>
          <w:rFonts w:ascii="Century Gothic" w:hAnsi="Century Gothic"/>
          <w:sz w:val="20"/>
          <w:szCs w:val="20"/>
        </w:rPr>
        <w:t xml:space="preserve">a range of characteristics. Some universities are set in regional </w:t>
      </w:r>
      <w:r w:rsidR="00D52B55" w:rsidRPr="00730C0D">
        <w:rPr>
          <w:rFonts w:ascii="Century Gothic" w:hAnsi="Century Gothic"/>
          <w:sz w:val="20"/>
          <w:szCs w:val="20"/>
        </w:rPr>
        <w:t>areas</w:t>
      </w:r>
      <w:r w:rsidRPr="00730C0D">
        <w:rPr>
          <w:rFonts w:ascii="Century Gothic" w:hAnsi="Century Gothic"/>
          <w:sz w:val="20"/>
          <w:szCs w:val="20"/>
        </w:rPr>
        <w:t xml:space="preserve">, others in metropolitan </w:t>
      </w:r>
      <w:r w:rsidR="00D52B55" w:rsidRPr="00730C0D">
        <w:rPr>
          <w:rFonts w:ascii="Century Gothic" w:hAnsi="Century Gothic"/>
          <w:sz w:val="20"/>
          <w:szCs w:val="20"/>
        </w:rPr>
        <w:t>centres</w:t>
      </w:r>
      <w:r w:rsidRPr="00730C0D">
        <w:rPr>
          <w:rFonts w:ascii="Century Gothic" w:hAnsi="Century Gothic"/>
          <w:sz w:val="20"/>
          <w:szCs w:val="20"/>
        </w:rPr>
        <w:t xml:space="preserve">. </w:t>
      </w:r>
      <w:r w:rsidR="001E2CBF" w:rsidRPr="00730C0D">
        <w:rPr>
          <w:rFonts w:ascii="Century Gothic" w:hAnsi="Century Gothic"/>
          <w:sz w:val="20"/>
          <w:szCs w:val="20"/>
        </w:rPr>
        <w:t>Most are</w:t>
      </w:r>
      <w:r w:rsidRPr="00730C0D">
        <w:rPr>
          <w:rFonts w:ascii="Century Gothic" w:hAnsi="Century Gothic"/>
          <w:sz w:val="20"/>
          <w:szCs w:val="20"/>
        </w:rPr>
        <w:t xml:space="preserve"> publicly funded. Universities are diverse in size ranging from fewer than </w:t>
      </w:r>
      <w:r w:rsidR="008608FC" w:rsidRPr="00730C0D">
        <w:rPr>
          <w:rFonts w:ascii="Century Gothic" w:hAnsi="Century Gothic"/>
          <w:sz w:val="20"/>
          <w:szCs w:val="20"/>
        </w:rPr>
        <w:t>1,0</w:t>
      </w:r>
      <w:r w:rsidRPr="00730C0D">
        <w:rPr>
          <w:rFonts w:ascii="Century Gothic" w:hAnsi="Century Gothic"/>
          <w:sz w:val="20"/>
          <w:szCs w:val="20"/>
        </w:rPr>
        <w:t xml:space="preserve">00 students to more than </w:t>
      </w:r>
      <w:r w:rsidR="008608FC" w:rsidRPr="00730C0D">
        <w:rPr>
          <w:rFonts w:ascii="Century Gothic" w:hAnsi="Century Gothic"/>
          <w:sz w:val="20"/>
          <w:szCs w:val="20"/>
        </w:rPr>
        <w:t>6</w:t>
      </w:r>
      <w:r w:rsidRPr="00730C0D">
        <w:rPr>
          <w:rFonts w:ascii="Century Gothic" w:hAnsi="Century Gothic"/>
          <w:sz w:val="20"/>
          <w:szCs w:val="20"/>
        </w:rPr>
        <w:t xml:space="preserve">0,000 students </w:t>
      </w:r>
      <w:r w:rsidR="001E2CBF" w:rsidRPr="00730C0D">
        <w:rPr>
          <w:rFonts w:ascii="Century Gothic" w:hAnsi="Century Gothic"/>
          <w:sz w:val="20"/>
          <w:szCs w:val="20"/>
        </w:rPr>
        <w:t>with</w:t>
      </w:r>
      <w:r w:rsidRPr="00730C0D">
        <w:rPr>
          <w:rFonts w:ascii="Century Gothic" w:hAnsi="Century Gothic"/>
          <w:sz w:val="20"/>
          <w:szCs w:val="20"/>
        </w:rPr>
        <w:t xml:space="preserve"> 90 per</w:t>
      </w:r>
      <w:r w:rsidR="00EA67CB" w:rsidRPr="00730C0D">
        <w:rPr>
          <w:rFonts w:ascii="Century Gothic" w:hAnsi="Century Gothic"/>
          <w:sz w:val="20"/>
          <w:szCs w:val="20"/>
        </w:rPr>
        <w:t> </w:t>
      </w:r>
      <w:r w:rsidRPr="00730C0D">
        <w:rPr>
          <w:rFonts w:ascii="Century Gothic" w:hAnsi="Century Gothic"/>
          <w:sz w:val="20"/>
          <w:szCs w:val="20"/>
        </w:rPr>
        <w:t xml:space="preserve">cent of providers </w:t>
      </w:r>
      <w:r w:rsidR="00701F73" w:rsidRPr="00730C0D">
        <w:rPr>
          <w:rFonts w:ascii="Century Gothic" w:hAnsi="Century Gothic"/>
          <w:sz w:val="20"/>
          <w:szCs w:val="20"/>
        </w:rPr>
        <w:t>enro</w:t>
      </w:r>
      <w:r w:rsidR="001E2CBF" w:rsidRPr="00730C0D">
        <w:rPr>
          <w:rFonts w:ascii="Century Gothic" w:hAnsi="Century Gothic"/>
          <w:sz w:val="20"/>
          <w:szCs w:val="20"/>
        </w:rPr>
        <w:t>lling</w:t>
      </w:r>
      <w:r w:rsidR="00701F73" w:rsidRPr="00730C0D">
        <w:rPr>
          <w:rFonts w:ascii="Century Gothic" w:hAnsi="Century Gothic"/>
          <w:sz w:val="20"/>
          <w:szCs w:val="20"/>
        </w:rPr>
        <w:t xml:space="preserve"> </w:t>
      </w:r>
      <w:r w:rsidRPr="00730C0D">
        <w:rPr>
          <w:rFonts w:ascii="Century Gothic" w:hAnsi="Century Gothic"/>
          <w:sz w:val="20"/>
          <w:szCs w:val="20"/>
        </w:rPr>
        <w:t>more than 5,000 students.</w:t>
      </w:r>
      <w:r w:rsidR="00C13BBC" w:rsidRPr="00730C0D">
        <w:rPr>
          <w:rStyle w:val="FootnoteReference"/>
          <w:rFonts w:ascii="Century Gothic" w:hAnsi="Century Gothic"/>
          <w:sz w:val="20"/>
          <w:szCs w:val="20"/>
        </w:rPr>
        <w:footnoteReference w:id="75"/>
      </w:r>
      <w:r w:rsidR="00ED14B9" w:rsidRPr="00730C0D">
        <w:rPr>
          <w:rFonts w:ascii="Century Gothic" w:hAnsi="Century Gothic"/>
          <w:sz w:val="20"/>
          <w:szCs w:val="20"/>
        </w:rPr>
        <w:t xml:space="preserve"> The number of PhD completions per university varies from more than 700 to </w:t>
      </w:r>
      <w:r w:rsidR="00701F73" w:rsidRPr="00730C0D">
        <w:rPr>
          <w:rFonts w:ascii="Century Gothic" w:hAnsi="Century Gothic"/>
          <w:sz w:val="20"/>
          <w:szCs w:val="20"/>
        </w:rPr>
        <w:t xml:space="preserve">fewer </w:t>
      </w:r>
      <w:r w:rsidR="00ED14B9" w:rsidRPr="00730C0D">
        <w:rPr>
          <w:rFonts w:ascii="Century Gothic" w:hAnsi="Century Gothic"/>
          <w:sz w:val="20"/>
          <w:szCs w:val="20"/>
        </w:rPr>
        <w:t>than 20 a year.</w:t>
      </w:r>
      <w:r w:rsidR="00ED14B9" w:rsidRPr="00730C0D">
        <w:rPr>
          <w:rStyle w:val="FootnoteReference"/>
          <w:rFonts w:ascii="Century Gothic" w:hAnsi="Century Gothic"/>
          <w:sz w:val="20"/>
          <w:szCs w:val="20"/>
        </w:rPr>
        <w:footnoteReference w:id="76"/>
      </w:r>
      <w:r w:rsidR="00ED14B9" w:rsidRPr="00730C0D">
        <w:rPr>
          <w:rFonts w:ascii="Century Gothic" w:hAnsi="Century Gothic"/>
          <w:sz w:val="20"/>
          <w:szCs w:val="20"/>
        </w:rPr>
        <w:t xml:space="preserve"> </w:t>
      </w:r>
      <w:r w:rsidRPr="00730C0D">
        <w:rPr>
          <w:rFonts w:ascii="Century Gothic" w:hAnsi="Century Gothic"/>
          <w:sz w:val="20"/>
          <w:szCs w:val="20"/>
        </w:rPr>
        <w:t>All universities are self-accrediting and most also seek external accreditation or recognition, for example</w:t>
      </w:r>
      <w:r w:rsidR="006062C1" w:rsidRPr="00730C0D">
        <w:rPr>
          <w:rFonts w:ascii="Century Gothic" w:hAnsi="Century Gothic"/>
          <w:sz w:val="20"/>
          <w:szCs w:val="20"/>
        </w:rPr>
        <w:t>,</w:t>
      </w:r>
      <w:r w:rsidRPr="00730C0D">
        <w:rPr>
          <w:rFonts w:ascii="Century Gothic" w:hAnsi="Century Gothic"/>
          <w:sz w:val="20"/>
          <w:szCs w:val="20"/>
        </w:rPr>
        <w:t xml:space="preserve"> from professional bodies. </w:t>
      </w:r>
      <w:r w:rsidR="00E5771B" w:rsidRPr="00730C0D">
        <w:rPr>
          <w:rFonts w:ascii="Century Gothic" w:hAnsi="Century Gothic"/>
          <w:sz w:val="20"/>
          <w:szCs w:val="20"/>
        </w:rPr>
        <w:t>There are 15</w:t>
      </w:r>
      <w:r w:rsidR="001031EA" w:rsidRPr="00730C0D">
        <w:rPr>
          <w:rFonts w:ascii="Century Gothic" w:hAnsi="Century Gothic"/>
          <w:sz w:val="20"/>
          <w:szCs w:val="20"/>
        </w:rPr>
        <w:t> </w:t>
      </w:r>
      <w:r w:rsidR="00E5771B" w:rsidRPr="00730C0D">
        <w:rPr>
          <w:rFonts w:ascii="Century Gothic" w:hAnsi="Century Gothic"/>
          <w:sz w:val="20"/>
          <w:szCs w:val="20"/>
        </w:rPr>
        <w:t xml:space="preserve">dual sector </w:t>
      </w:r>
      <w:r w:rsidRPr="00730C0D">
        <w:rPr>
          <w:rFonts w:ascii="Century Gothic" w:hAnsi="Century Gothic"/>
          <w:sz w:val="20"/>
          <w:szCs w:val="20"/>
        </w:rPr>
        <w:t>universities</w:t>
      </w:r>
      <w:r w:rsidR="00E5771B" w:rsidRPr="00730C0D">
        <w:rPr>
          <w:rFonts w:ascii="Century Gothic" w:hAnsi="Century Gothic"/>
          <w:sz w:val="20"/>
          <w:szCs w:val="20"/>
        </w:rPr>
        <w:t xml:space="preserve"> </w:t>
      </w:r>
      <w:r w:rsidR="00A060DA" w:rsidRPr="00730C0D">
        <w:rPr>
          <w:rFonts w:ascii="Century Gothic" w:hAnsi="Century Gothic"/>
          <w:sz w:val="20"/>
          <w:szCs w:val="20"/>
        </w:rPr>
        <w:t xml:space="preserve">that </w:t>
      </w:r>
      <w:r w:rsidRPr="00730C0D">
        <w:rPr>
          <w:rFonts w:ascii="Century Gothic" w:hAnsi="Century Gothic"/>
          <w:sz w:val="20"/>
          <w:szCs w:val="20"/>
        </w:rPr>
        <w:t xml:space="preserve">also cater </w:t>
      </w:r>
      <w:r w:rsidR="00EA67CB" w:rsidRPr="00730C0D">
        <w:rPr>
          <w:rFonts w:ascii="Century Gothic" w:hAnsi="Century Gothic"/>
          <w:sz w:val="20"/>
          <w:szCs w:val="20"/>
        </w:rPr>
        <w:t>to</w:t>
      </w:r>
      <w:r w:rsidRPr="00730C0D">
        <w:rPr>
          <w:rFonts w:ascii="Century Gothic" w:hAnsi="Century Gothic"/>
          <w:sz w:val="20"/>
          <w:szCs w:val="20"/>
        </w:rPr>
        <w:t xml:space="preserve"> VET students, while other</w:t>
      </w:r>
      <w:r w:rsidR="00E5771B" w:rsidRPr="00730C0D">
        <w:rPr>
          <w:rFonts w:ascii="Century Gothic" w:hAnsi="Century Gothic"/>
          <w:sz w:val="20"/>
          <w:szCs w:val="20"/>
        </w:rPr>
        <w:t xml:space="preserve"> universities</w:t>
      </w:r>
      <w:r w:rsidRPr="00730C0D">
        <w:rPr>
          <w:rFonts w:ascii="Century Gothic" w:hAnsi="Century Gothic"/>
          <w:sz w:val="20"/>
          <w:szCs w:val="20"/>
        </w:rPr>
        <w:t xml:space="preserve"> focus on higher education</w:t>
      </w:r>
      <w:r w:rsidR="00EA67CB" w:rsidRPr="00730C0D">
        <w:rPr>
          <w:rFonts w:ascii="Century Gothic" w:hAnsi="Century Gothic"/>
          <w:sz w:val="20"/>
          <w:szCs w:val="20"/>
        </w:rPr>
        <w:t xml:space="preserve"> alone</w:t>
      </w:r>
      <w:r w:rsidRPr="00730C0D">
        <w:rPr>
          <w:rFonts w:ascii="Century Gothic" w:hAnsi="Century Gothic"/>
          <w:sz w:val="20"/>
          <w:szCs w:val="20"/>
        </w:rPr>
        <w:t>.</w:t>
      </w:r>
      <w:r w:rsidR="00E5771B" w:rsidRPr="00730C0D">
        <w:rPr>
          <w:rStyle w:val="FootnoteReference"/>
          <w:rFonts w:ascii="Century Gothic" w:hAnsi="Century Gothic"/>
          <w:sz w:val="20"/>
          <w:szCs w:val="20"/>
        </w:rPr>
        <w:footnoteReference w:id="77"/>
      </w:r>
      <w:r w:rsidRPr="00730C0D">
        <w:rPr>
          <w:rFonts w:ascii="Century Gothic" w:hAnsi="Century Gothic"/>
          <w:sz w:val="20"/>
          <w:szCs w:val="20"/>
        </w:rPr>
        <w:t xml:space="preserve"> </w:t>
      </w:r>
    </w:p>
    <w:p w14:paraId="78EF587B" w14:textId="062ABC7E" w:rsidR="00AC7D05" w:rsidRPr="00730C0D" w:rsidRDefault="003806EF" w:rsidP="004978DA">
      <w:pPr>
        <w:pStyle w:val="Heading3"/>
      </w:pPr>
      <w:bookmarkStart w:id="65" w:name="_2.4.1_The_‘University’"/>
      <w:bookmarkStart w:id="66" w:name="_Toc18592336"/>
      <w:bookmarkEnd w:id="65"/>
      <w:r w:rsidRPr="00730C0D">
        <w:t>2.4.1</w:t>
      </w:r>
      <w:r w:rsidRPr="00730C0D">
        <w:tab/>
      </w:r>
      <w:r w:rsidR="00AC7D05" w:rsidRPr="00730C0D">
        <w:t>The ‘University’ Title</w:t>
      </w:r>
      <w:bookmarkEnd w:id="66"/>
    </w:p>
    <w:p w14:paraId="6CB7BAAA" w14:textId="5C96AE32" w:rsidR="00AC7D05" w:rsidRPr="00730C0D" w:rsidRDefault="00AC7D05" w:rsidP="00E71113">
      <w:pPr>
        <w:spacing w:before="0" w:after="0"/>
        <w:rPr>
          <w:rFonts w:ascii="Century Gothic" w:hAnsi="Century Gothic"/>
          <w:sz w:val="20"/>
          <w:szCs w:val="20"/>
        </w:rPr>
      </w:pPr>
      <w:r w:rsidRPr="00730C0D">
        <w:rPr>
          <w:rFonts w:ascii="Century Gothic" w:hAnsi="Century Gothic"/>
          <w:sz w:val="20"/>
          <w:szCs w:val="20"/>
        </w:rPr>
        <w:t xml:space="preserve">The term ‘university’ is highly protected and regulated in Australia. Under Section 108 of the </w:t>
      </w:r>
      <w:r w:rsidRPr="00730C0D">
        <w:rPr>
          <w:rFonts w:ascii="Century Gothic" w:hAnsi="Century Gothic"/>
          <w:i/>
          <w:sz w:val="20"/>
          <w:szCs w:val="20"/>
        </w:rPr>
        <w:t>TEQSA Act 2011</w:t>
      </w:r>
      <w:r w:rsidRPr="00730C0D">
        <w:rPr>
          <w:rFonts w:ascii="Century Gothic" w:hAnsi="Century Gothic"/>
          <w:sz w:val="20"/>
          <w:szCs w:val="20"/>
        </w:rPr>
        <w:t xml:space="preserve">, only providers registered in one of the current university provider categories are eligible to use the title ‘university’. Furthermore, under the </w:t>
      </w:r>
      <w:r w:rsidRPr="00730C0D">
        <w:rPr>
          <w:rFonts w:ascii="Century Gothic" w:hAnsi="Century Gothic"/>
          <w:i/>
          <w:sz w:val="20"/>
          <w:szCs w:val="20"/>
        </w:rPr>
        <w:t>Business Names Registration Act 2011</w:t>
      </w:r>
      <w:r w:rsidRPr="00730C0D">
        <w:rPr>
          <w:rFonts w:ascii="Century Gothic" w:hAnsi="Century Gothic"/>
          <w:sz w:val="20"/>
          <w:szCs w:val="20"/>
        </w:rPr>
        <w:t>,</w:t>
      </w:r>
      <w:r w:rsidR="00730C0D">
        <w:rPr>
          <w:rFonts w:ascii="Century Gothic" w:hAnsi="Century Gothic"/>
          <w:sz w:val="20"/>
          <w:szCs w:val="20"/>
        </w:rPr>
        <w:t xml:space="preserve"> </w:t>
      </w:r>
      <w:r w:rsidR="00730C0D" w:rsidRPr="00730C0D">
        <w:rPr>
          <w:rFonts w:ascii="Century Gothic" w:hAnsi="Century Gothic"/>
          <w:sz w:val="20"/>
          <w:szCs w:val="20"/>
        </w:rPr>
        <w:t xml:space="preserve">the </w:t>
      </w:r>
      <w:r w:rsidR="00730C0D" w:rsidRPr="00730C0D">
        <w:rPr>
          <w:rFonts w:ascii="Century Gothic" w:hAnsi="Century Gothic"/>
          <w:i/>
          <w:iCs/>
          <w:sz w:val="20"/>
          <w:szCs w:val="20"/>
        </w:rPr>
        <w:t>Corporations Act 2001</w:t>
      </w:r>
      <w:r w:rsidR="00730C0D">
        <w:rPr>
          <w:rFonts w:ascii="Century Gothic" w:hAnsi="Century Gothic"/>
          <w:iCs/>
          <w:sz w:val="20"/>
          <w:szCs w:val="20"/>
        </w:rPr>
        <w:t>,</w:t>
      </w:r>
      <w:r w:rsidR="00730C0D" w:rsidRPr="00730C0D">
        <w:rPr>
          <w:rFonts w:ascii="Century Gothic" w:hAnsi="Century Gothic"/>
          <w:i/>
          <w:iCs/>
          <w:sz w:val="20"/>
          <w:szCs w:val="20"/>
        </w:rPr>
        <w:t xml:space="preserve"> </w:t>
      </w:r>
      <w:r w:rsidR="00730C0D" w:rsidRPr="00730C0D">
        <w:rPr>
          <w:rFonts w:ascii="Century Gothic" w:hAnsi="Century Gothic"/>
          <w:iCs/>
          <w:sz w:val="20"/>
          <w:szCs w:val="20"/>
        </w:rPr>
        <w:t>and associated regulations</w:t>
      </w:r>
      <w:r w:rsidR="00730C0D">
        <w:rPr>
          <w:rFonts w:ascii="Century Gothic" w:hAnsi="Century Gothic"/>
          <w:iCs/>
          <w:sz w:val="20"/>
          <w:szCs w:val="20"/>
        </w:rPr>
        <w:t>,</w:t>
      </w:r>
      <w:r w:rsidRPr="00730C0D">
        <w:rPr>
          <w:rFonts w:ascii="Century Gothic" w:hAnsi="Century Gothic"/>
          <w:sz w:val="20"/>
          <w:szCs w:val="20"/>
        </w:rPr>
        <w:t xml:space="preserve"> an application to register a business or company name with the Australian Securities and Investments Commission (ASIC) that includes the word ‘university’ must be accompanied </w:t>
      </w:r>
      <w:r w:rsidR="001E2CBF" w:rsidRPr="00730C0D">
        <w:rPr>
          <w:rFonts w:ascii="Century Gothic" w:hAnsi="Century Gothic"/>
          <w:sz w:val="20"/>
          <w:szCs w:val="20"/>
        </w:rPr>
        <w:t xml:space="preserve">with </w:t>
      </w:r>
      <w:r w:rsidRPr="00730C0D">
        <w:rPr>
          <w:rFonts w:ascii="Century Gothic" w:hAnsi="Century Gothic"/>
          <w:sz w:val="20"/>
          <w:szCs w:val="20"/>
        </w:rPr>
        <w:t xml:space="preserve">the consent of the Minister for Education. Stakeholders overwhelmingly support continuing stringent protections for the </w:t>
      </w:r>
      <w:r w:rsidR="00665E5C">
        <w:rPr>
          <w:rFonts w:ascii="Century Gothic" w:hAnsi="Century Gothic"/>
          <w:sz w:val="20"/>
          <w:szCs w:val="20"/>
        </w:rPr>
        <w:br/>
      </w:r>
      <w:r w:rsidRPr="00730C0D">
        <w:rPr>
          <w:rFonts w:ascii="Century Gothic" w:hAnsi="Century Gothic"/>
          <w:sz w:val="20"/>
          <w:szCs w:val="20"/>
        </w:rPr>
        <w:t>title ‘university’.</w:t>
      </w:r>
    </w:p>
    <w:p w14:paraId="32FB8991" w14:textId="6A46D1B6" w:rsidR="00B9072B" w:rsidRPr="00730C0D" w:rsidRDefault="00B9072B" w:rsidP="00E71113">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B9072B" w:rsidRPr="00730C0D" w14:paraId="707DC2F3"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62A7DB91" w14:textId="77777777" w:rsidR="00B9072B" w:rsidRPr="00730C0D" w:rsidRDefault="00B9072B" w:rsidP="00C86660">
            <w:pPr>
              <w:spacing w:before="0" w:after="0" w:line="259" w:lineRule="auto"/>
              <w:jc w:val="both"/>
              <w:rPr>
                <w:rFonts w:ascii="Century Gothic" w:hAnsi="Century Gothic"/>
                <w:b w:val="0"/>
                <w:i/>
                <w:color w:val="auto"/>
                <w:sz w:val="20"/>
                <w:szCs w:val="20"/>
              </w:rPr>
            </w:pPr>
          </w:p>
          <w:p w14:paraId="5C9F253D" w14:textId="3DF75F0B" w:rsidR="00B9072B" w:rsidRPr="00730C0D" w:rsidRDefault="00B9072B"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 xml:space="preserve">“The term ‘university’ is emblematic of the reputation for excellence that our higher education system enjoys. To an external audience, the term </w:t>
            </w:r>
            <w:r w:rsidR="001E2CBF" w:rsidRPr="00730C0D">
              <w:rPr>
                <w:rFonts w:ascii="Century Gothic" w:hAnsi="Century Gothic" w:cstheme="minorHAnsi"/>
                <w:b w:val="0"/>
                <w:color w:val="2763AC"/>
                <w:sz w:val="20"/>
                <w:szCs w:val="20"/>
              </w:rPr>
              <w:br/>
            </w:r>
            <w:r w:rsidRPr="00730C0D">
              <w:rPr>
                <w:rFonts w:ascii="Century Gothic" w:hAnsi="Century Gothic" w:cstheme="minorHAnsi"/>
                <w:b w:val="0"/>
                <w:color w:val="2763AC"/>
                <w:sz w:val="20"/>
                <w:szCs w:val="20"/>
              </w:rPr>
              <w:t xml:space="preserve">‘Australian University’ represents the sum of the elements of all Australian universities – student-centric regulated high-quality research-informed higher education. </w:t>
            </w:r>
            <w:r w:rsidR="001E2CBF" w:rsidRPr="00730C0D">
              <w:rPr>
                <w:rFonts w:ascii="Century Gothic" w:hAnsi="Century Gothic" w:cstheme="minorHAnsi"/>
                <w:b w:val="0"/>
                <w:color w:val="2763AC"/>
                <w:sz w:val="20"/>
                <w:szCs w:val="20"/>
              </w:rPr>
              <w:t>I</w:t>
            </w:r>
            <w:r w:rsidRPr="00730C0D">
              <w:rPr>
                <w:rFonts w:ascii="Century Gothic" w:hAnsi="Century Gothic" w:cstheme="minorHAnsi"/>
                <w:b w:val="0"/>
                <w:color w:val="2763AC"/>
                <w:sz w:val="20"/>
                <w:szCs w:val="20"/>
              </w:rPr>
              <w:t>t is well understood and trusted”.</w:t>
            </w:r>
          </w:p>
          <w:p w14:paraId="60646DA6" w14:textId="77777777" w:rsidR="00B9072B" w:rsidRPr="00730C0D" w:rsidRDefault="00B9072B" w:rsidP="00C86660">
            <w:pPr>
              <w:spacing w:before="0" w:after="0" w:line="259" w:lineRule="auto"/>
              <w:jc w:val="both"/>
              <w:rPr>
                <w:rFonts w:ascii="Century Gothic" w:hAnsi="Century Gothic" w:cstheme="minorHAnsi"/>
                <w:color w:val="auto"/>
                <w:sz w:val="20"/>
                <w:szCs w:val="20"/>
              </w:rPr>
            </w:pPr>
          </w:p>
          <w:p w14:paraId="07CF6701" w14:textId="4ECE13D4" w:rsidR="00B9072B" w:rsidRPr="00730C0D" w:rsidRDefault="00B9072B"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University of Canberra submission to the PCS Review 2019, p.1</w:t>
            </w:r>
          </w:p>
          <w:p w14:paraId="3AAF41D8" w14:textId="77777777" w:rsidR="00B9072B" w:rsidRPr="00730C0D" w:rsidRDefault="00B9072B" w:rsidP="00C86660">
            <w:pPr>
              <w:spacing w:before="0" w:after="0" w:line="259" w:lineRule="auto"/>
              <w:jc w:val="right"/>
              <w:rPr>
                <w:rFonts w:ascii="Century Gothic" w:hAnsi="Century Gothic"/>
                <w:b w:val="0"/>
                <w:color w:val="auto"/>
                <w:sz w:val="20"/>
                <w:szCs w:val="20"/>
              </w:rPr>
            </w:pPr>
          </w:p>
        </w:tc>
      </w:tr>
    </w:tbl>
    <w:p w14:paraId="2E8C7D17" w14:textId="23019051" w:rsidR="00AC7D05" w:rsidRPr="00730C0D" w:rsidRDefault="00AC7D05" w:rsidP="00E71113">
      <w:pPr>
        <w:spacing w:before="0" w:after="0"/>
        <w:rPr>
          <w:rFonts w:ascii="Century Gothic" w:hAnsi="Century Gothic"/>
          <w:sz w:val="20"/>
          <w:szCs w:val="20"/>
        </w:rPr>
      </w:pPr>
    </w:p>
    <w:p w14:paraId="5E6C881F" w14:textId="1D9700DA" w:rsidR="00131DB7" w:rsidRPr="00730C0D" w:rsidRDefault="00AC7D05" w:rsidP="003D3B09">
      <w:pPr>
        <w:spacing w:before="0" w:after="0"/>
        <w:rPr>
          <w:rFonts w:ascii="Century Gothic" w:hAnsi="Century Gothic"/>
          <w:sz w:val="20"/>
          <w:szCs w:val="20"/>
        </w:rPr>
      </w:pPr>
      <w:r w:rsidRPr="00730C0D">
        <w:rPr>
          <w:rFonts w:ascii="Century Gothic" w:hAnsi="Century Gothic"/>
          <w:sz w:val="20"/>
          <w:szCs w:val="20"/>
        </w:rPr>
        <w:t xml:space="preserve">There is a distinct market advantage for use of the </w:t>
      </w:r>
      <w:r w:rsidR="001E2CBF" w:rsidRPr="00730C0D">
        <w:rPr>
          <w:rFonts w:ascii="Century Gothic" w:hAnsi="Century Gothic"/>
          <w:sz w:val="20"/>
          <w:szCs w:val="20"/>
        </w:rPr>
        <w:t>‘</w:t>
      </w:r>
      <w:r w:rsidRPr="00730C0D">
        <w:rPr>
          <w:rFonts w:ascii="Century Gothic" w:hAnsi="Century Gothic"/>
          <w:sz w:val="20"/>
          <w:szCs w:val="20"/>
        </w:rPr>
        <w:t>university</w:t>
      </w:r>
      <w:r w:rsidR="001E2CBF" w:rsidRPr="00730C0D">
        <w:rPr>
          <w:rFonts w:ascii="Century Gothic" w:hAnsi="Century Gothic"/>
          <w:sz w:val="20"/>
          <w:szCs w:val="20"/>
        </w:rPr>
        <w:t>’</w:t>
      </w:r>
      <w:r w:rsidRPr="00730C0D">
        <w:rPr>
          <w:rFonts w:ascii="Century Gothic" w:hAnsi="Century Gothic"/>
          <w:sz w:val="20"/>
          <w:szCs w:val="20"/>
        </w:rPr>
        <w:t xml:space="preserve"> title. The term is well understood internationally and is “synonymous with high quality tertiary-level education”.</w:t>
      </w:r>
      <w:r w:rsidRPr="00730C0D">
        <w:rPr>
          <w:rStyle w:val="FootnoteReference"/>
          <w:rFonts w:ascii="Century Gothic" w:hAnsi="Century Gothic"/>
          <w:sz w:val="20"/>
          <w:szCs w:val="20"/>
        </w:rPr>
        <w:footnoteReference w:id="78"/>
      </w:r>
      <w:r w:rsidRPr="00730C0D">
        <w:rPr>
          <w:rFonts w:ascii="Century Gothic" w:hAnsi="Century Gothic"/>
          <w:sz w:val="20"/>
          <w:szCs w:val="20"/>
        </w:rPr>
        <w:t xml:space="preserve"> The title ‘university’ carries connotations of high quality, high statu</w:t>
      </w:r>
      <w:r w:rsidR="0084519E" w:rsidRPr="00730C0D">
        <w:rPr>
          <w:rFonts w:ascii="Century Gothic" w:hAnsi="Century Gothic"/>
          <w:sz w:val="20"/>
          <w:szCs w:val="20"/>
        </w:rPr>
        <w:t xml:space="preserve">s and a strong reputation. </w:t>
      </w:r>
      <w:r w:rsidR="00131DB7" w:rsidRPr="00730C0D">
        <w:rPr>
          <w:rFonts w:ascii="Century Gothic" w:hAnsi="Century Gothic"/>
          <w:sz w:val="20"/>
          <w:szCs w:val="20"/>
        </w:rPr>
        <w:br/>
      </w:r>
    </w:p>
    <w:p w14:paraId="19A4F35F" w14:textId="1D7FB102" w:rsidR="00AC7D05" w:rsidRPr="00730C0D" w:rsidRDefault="0084519E" w:rsidP="003D3B09">
      <w:pPr>
        <w:spacing w:before="0" w:after="0"/>
        <w:rPr>
          <w:rFonts w:ascii="Century Gothic" w:hAnsi="Century Gothic"/>
          <w:sz w:val="20"/>
          <w:szCs w:val="20"/>
        </w:rPr>
      </w:pPr>
      <w:r w:rsidRPr="00730C0D">
        <w:rPr>
          <w:rFonts w:ascii="Century Gothic" w:hAnsi="Century Gothic"/>
          <w:sz w:val="20"/>
          <w:szCs w:val="20"/>
        </w:rPr>
        <w:t>This </w:t>
      </w:r>
      <w:r w:rsidR="00AC7D05" w:rsidRPr="00730C0D">
        <w:rPr>
          <w:rFonts w:ascii="Century Gothic" w:hAnsi="Century Gothic"/>
          <w:sz w:val="20"/>
          <w:szCs w:val="20"/>
        </w:rPr>
        <w:t>reputation draws both domestic and international students, facilitates recognition of qualifications</w:t>
      </w:r>
      <w:r w:rsidR="001E2CBF" w:rsidRPr="00730C0D">
        <w:rPr>
          <w:rFonts w:ascii="Century Gothic" w:hAnsi="Century Gothic"/>
          <w:sz w:val="20"/>
          <w:szCs w:val="20"/>
        </w:rPr>
        <w:t>,</w:t>
      </w:r>
      <w:r w:rsidR="00AC7D05" w:rsidRPr="00730C0D">
        <w:rPr>
          <w:rFonts w:ascii="Century Gothic" w:hAnsi="Century Gothic"/>
          <w:sz w:val="20"/>
          <w:szCs w:val="20"/>
        </w:rPr>
        <w:t xml:space="preserve"> and helps raise the employability of graduates</w:t>
      </w:r>
      <w:r w:rsidRPr="00730C0D">
        <w:rPr>
          <w:rFonts w:ascii="Century Gothic" w:hAnsi="Century Gothic"/>
          <w:sz w:val="20"/>
          <w:szCs w:val="20"/>
        </w:rPr>
        <w:t xml:space="preserve"> </w:t>
      </w:r>
      <w:r w:rsidR="00EA67CB" w:rsidRPr="00730C0D">
        <w:rPr>
          <w:rFonts w:ascii="Century Gothic" w:hAnsi="Century Gothic"/>
          <w:sz w:val="20"/>
          <w:szCs w:val="20"/>
        </w:rPr>
        <w:t>from</w:t>
      </w:r>
      <w:r w:rsidRPr="00730C0D">
        <w:rPr>
          <w:rFonts w:ascii="Century Gothic" w:hAnsi="Century Gothic"/>
          <w:sz w:val="20"/>
          <w:szCs w:val="20"/>
        </w:rPr>
        <w:t xml:space="preserve"> Australian universities. In </w:t>
      </w:r>
      <w:r w:rsidR="00AC7D05" w:rsidRPr="00730C0D">
        <w:rPr>
          <w:rFonts w:ascii="Century Gothic" w:hAnsi="Century Gothic"/>
          <w:sz w:val="20"/>
          <w:szCs w:val="20"/>
        </w:rPr>
        <w:t xml:space="preserve">Australia, </w:t>
      </w:r>
      <w:r w:rsidR="00701F73" w:rsidRPr="00730C0D">
        <w:rPr>
          <w:rFonts w:ascii="Century Gothic" w:hAnsi="Century Gothic"/>
          <w:sz w:val="20"/>
          <w:szCs w:val="20"/>
        </w:rPr>
        <w:t>as is mostly the case internationally</w:t>
      </w:r>
      <w:r w:rsidR="00AC7D05" w:rsidRPr="00730C0D">
        <w:rPr>
          <w:rFonts w:ascii="Century Gothic" w:hAnsi="Century Gothic"/>
          <w:sz w:val="20"/>
          <w:szCs w:val="20"/>
        </w:rPr>
        <w:t xml:space="preserve">, the term ‘university’ is also associated with the dual functions of teaching and research. </w:t>
      </w:r>
    </w:p>
    <w:p w14:paraId="1B4A8A53" w14:textId="77777777" w:rsidR="00AC7D05" w:rsidRPr="00730C0D" w:rsidRDefault="00AC7D05" w:rsidP="00E71113">
      <w:pPr>
        <w:spacing w:before="0" w:after="0"/>
        <w:rPr>
          <w:rFonts w:ascii="Century Gothic" w:hAnsi="Century Gothic"/>
          <w:sz w:val="20"/>
          <w:szCs w:val="20"/>
        </w:rPr>
      </w:pPr>
    </w:p>
    <w:p w14:paraId="1F5483CF" w14:textId="1DBC2757" w:rsidR="00AC7D05" w:rsidRPr="00730C0D" w:rsidRDefault="003806EF" w:rsidP="004978DA">
      <w:pPr>
        <w:pStyle w:val="Heading3"/>
      </w:pPr>
      <w:bookmarkStart w:id="67" w:name="_Toc18592337"/>
      <w:r w:rsidRPr="00730C0D">
        <w:t>2.4.2</w:t>
      </w:r>
      <w:r w:rsidRPr="00730C0D">
        <w:tab/>
      </w:r>
      <w:r w:rsidR="00AC7D05" w:rsidRPr="00730C0D">
        <w:t>Teaching and Research in Universities</w:t>
      </w:r>
      <w:bookmarkEnd w:id="67"/>
      <w:r w:rsidR="00AC7D05" w:rsidRPr="00730C0D">
        <w:t xml:space="preserve"> </w:t>
      </w:r>
    </w:p>
    <w:p w14:paraId="79F7FE24" w14:textId="761A663B" w:rsidR="00AC7D05" w:rsidRPr="00730C0D" w:rsidRDefault="00AC7D05" w:rsidP="00C30873">
      <w:pPr>
        <w:spacing w:before="0" w:after="0"/>
        <w:rPr>
          <w:rFonts w:ascii="Century Gothic" w:hAnsi="Century Gothic"/>
          <w:sz w:val="20"/>
          <w:szCs w:val="20"/>
        </w:rPr>
      </w:pPr>
      <w:r w:rsidRPr="00730C0D">
        <w:rPr>
          <w:rFonts w:ascii="Century Gothic" w:hAnsi="Century Gothic"/>
          <w:sz w:val="20"/>
          <w:szCs w:val="20"/>
        </w:rPr>
        <w:t xml:space="preserve">The university cachet derives from the valued international reputation of our universities and the common international association of universities as places in which teaching, and the creation of new knowledge are pursued (notwithstanding some international exceptions). </w:t>
      </w:r>
    </w:p>
    <w:p w14:paraId="6A3D383B" w14:textId="77777777" w:rsidR="00B9072B" w:rsidRPr="00730C0D" w:rsidRDefault="00B9072B" w:rsidP="00C30873">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B9072B" w:rsidRPr="00730C0D" w14:paraId="014FE593"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227071EF" w14:textId="77777777" w:rsidR="00B9072B" w:rsidRPr="00730C0D" w:rsidRDefault="00B9072B" w:rsidP="00C86660">
            <w:pPr>
              <w:spacing w:before="0" w:after="0" w:line="259" w:lineRule="auto"/>
              <w:jc w:val="both"/>
              <w:rPr>
                <w:rFonts w:ascii="Century Gothic" w:hAnsi="Century Gothic"/>
                <w:b w:val="0"/>
                <w:i/>
                <w:color w:val="auto"/>
                <w:sz w:val="20"/>
                <w:szCs w:val="20"/>
              </w:rPr>
            </w:pPr>
          </w:p>
          <w:p w14:paraId="4ECF92B9" w14:textId="3F3A6254" w:rsidR="00B9072B" w:rsidRPr="00730C0D" w:rsidRDefault="00B9072B"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“At universities in Australia and around the world, research informs teaching and contributes to the educational environment of the institution. This means that university teaching is up</w:t>
            </w:r>
            <w:r w:rsidR="001E2CBF" w:rsidRPr="00730C0D">
              <w:rPr>
                <w:rFonts w:ascii="Century Gothic" w:hAnsi="Century Gothic" w:cstheme="minorHAnsi"/>
                <w:b w:val="0"/>
                <w:color w:val="2763AC"/>
                <w:sz w:val="20"/>
                <w:szCs w:val="20"/>
              </w:rPr>
              <w:t>-</w:t>
            </w:r>
            <w:r w:rsidRPr="00730C0D">
              <w:rPr>
                <w:rFonts w:ascii="Century Gothic" w:hAnsi="Century Gothic" w:cstheme="minorHAnsi"/>
                <w:b w:val="0"/>
                <w:color w:val="2763AC"/>
                <w:sz w:val="20"/>
                <w:szCs w:val="20"/>
              </w:rPr>
              <w:t>to</w:t>
            </w:r>
            <w:r w:rsidR="001E2CBF" w:rsidRPr="00730C0D">
              <w:rPr>
                <w:rFonts w:ascii="Century Gothic" w:hAnsi="Century Gothic" w:cstheme="minorHAnsi"/>
                <w:b w:val="0"/>
                <w:color w:val="2763AC"/>
                <w:sz w:val="20"/>
                <w:szCs w:val="20"/>
              </w:rPr>
              <w:t>-</w:t>
            </w:r>
            <w:r w:rsidRPr="00730C0D">
              <w:rPr>
                <w:rFonts w:ascii="Century Gothic" w:hAnsi="Century Gothic" w:cstheme="minorHAnsi"/>
                <w:b w:val="0"/>
                <w:color w:val="2763AC"/>
                <w:sz w:val="20"/>
                <w:szCs w:val="20"/>
              </w:rPr>
              <w:t>date with the latest knowledge and findings in the field. It also supports the open-ended, critical, enquiry-based learning that is fundamental to university teaching and learning, and to the university student experience”.</w:t>
            </w:r>
          </w:p>
          <w:p w14:paraId="0C3CA631" w14:textId="77777777" w:rsidR="00B9072B" w:rsidRPr="00730C0D" w:rsidRDefault="00B9072B" w:rsidP="00C86660">
            <w:pPr>
              <w:spacing w:before="0" w:after="0" w:line="259" w:lineRule="auto"/>
              <w:jc w:val="both"/>
              <w:rPr>
                <w:rFonts w:ascii="Century Gothic" w:hAnsi="Century Gothic" w:cstheme="minorHAnsi"/>
                <w:color w:val="auto"/>
                <w:sz w:val="20"/>
                <w:szCs w:val="20"/>
              </w:rPr>
            </w:pPr>
          </w:p>
          <w:p w14:paraId="0DC05742" w14:textId="2AAE7A1A" w:rsidR="00B9072B" w:rsidRPr="00730C0D" w:rsidRDefault="00B9072B"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Universities Australia submission to the PCS Review 2019, p</w:t>
            </w:r>
            <w:r w:rsidR="00A13008" w:rsidRPr="00730C0D">
              <w:rPr>
                <w:rFonts w:ascii="Century Gothic" w:hAnsi="Century Gothic" w:cstheme="minorHAnsi"/>
                <w:color w:val="2763AC"/>
                <w:sz w:val="18"/>
                <w:szCs w:val="18"/>
              </w:rPr>
              <w:t>p</w:t>
            </w:r>
            <w:r w:rsidRPr="00730C0D">
              <w:rPr>
                <w:rFonts w:ascii="Century Gothic" w:hAnsi="Century Gothic" w:cstheme="minorHAnsi"/>
                <w:color w:val="2763AC"/>
                <w:sz w:val="18"/>
                <w:szCs w:val="18"/>
              </w:rPr>
              <w:t>.1</w:t>
            </w:r>
            <w:r w:rsidR="00A13008" w:rsidRPr="00730C0D">
              <w:rPr>
                <w:rFonts w:ascii="Century Gothic" w:hAnsi="Century Gothic" w:cstheme="minorHAnsi"/>
                <w:color w:val="2763AC"/>
                <w:sz w:val="18"/>
                <w:szCs w:val="18"/>
              </w:rPr>
              <w:t>-2</w:t>
            </w:r>
          </w:p>
          <w:p w14:paraId="26E02DF5" w14:textId="77777777" w:rsidR="00B9072B" w:rsidRPr="00730C0D" w:rsidRDefault="00B9072B" w:rsidP="00C86660">
            <w:pPr>
              <w:spacing w:before="0" w:after="0" w:line="259" w:lineRule="auto"/>
              <w:jc w:val="right"/>
              <w:rPr>
                <w:rFonts w:ascii="Century Gothic" w:hAnsi="Century Gothic"/>
                <w:b w:val="0"/>
                <w:color w:val="auto"/>
                <w:sz w:val="20"/>
                <w:szCs w:val="20"/>
              </w:rPr>
            </w:pPr>
          </w:p>
        </w:tc>
      </w:tr>
    </w:tbl>
    <w:p w14:paraId="6D946C88" w14:textId="3B003701" w:rsidR="00AC7D05" w:rsidRPr="00730C0D" w:rsidRDefault="00AC7D05" w:rsidP="00D31B9A">
      <w:pPr>
        <w:spacing w:before="0" w:after="0"/>
        <w:rPr>
          <w:rFonts w:ascii="Century Gothic" w:hAnsi="Century Gothic"/>
          <w:sz w:val="20"/>
          <w:szCs w:val="20"/>
        </w:rPr>
      </w:pPr>
    </w:p>
    <w:p w14:paraId="49AA302C" w14:textId="77777777" w:rsidR="00665E5C" w:rsidRDefault="00665E5C">
      <w:pPr>
        <w:spacing w:before="0" w:after="160"/>
        <w:rPr>
          <w:rFonts w:ascii="Century Gothic" w:hAnsi="Century Gothic"/>
          <w:sz w:val="20"/>
          <w:szCs w:val="20"/>
        </w:rPr>
      </w:pPr>
      <w:r>
        <w:rPr>
          <w:rFonts w:ascii="Century Gothic" w:hAnsi="Century Gothic"/>
          <w:sz w:val="20"/>
          <w:szCs w:val="20"/>
        </w:rPr>
        <w:br w:type="page"/>
      </w:r>
    </w:p>
    <w:p w14:paraId="0BC440FE" w14:textId="235687F3"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In Australia, </w:t>
      </w:r>
      <w:r w:rsidR="00EE00B4" w:rsidRPr="00730C0D">
        <w:rPr>
          <w:rFonts w:ascii="Century Gothic" w:hAnsi="Century Gothic"/>
          <w:sz w:val="20"/>
          <w:szCs w:val="20"/>
        </w:rPr>
        <w:t xml:space="preserve">a requirement for </w:t>
      </w:r>
      <w:r w:rsidRPr="00730C0D">
        <w:rPr>
          <w:rFonts w:ascii="Century Gothic" w:hAnsi="Century Gothic"/>
          <w:sz w:val="20"/>
          <w:szCs w:val="20"/>
        </w:rPr>
        <w:t xml:space="preserve">providers that hold the ‘university’ title </w:t>
      </w:r>
      <w:r w:rsidR="00EE00B4" w:rsidRPr="00730C0D">
        <w:rPr>
          <w:rFonts w:ascii="Century Gothic" w:hAnsi="Century Gothic"/>
          <w:sz w:val="20"/>
          <w:szCs w:val="20"/>
        </w:rPr>
        <w:t>is</w:t>
      </w:r>
      <w:r w:rsidRPr="00730C0D">
        <w:rPr>
          <w:rFonts w:ascii="Century Gothic" w:hAnsi="Century Gothic"/>
          <w:sz w:val="20"/>
          <w:szCs w:val="20"/>
        </w:rPr>
        <w:t xml:space="preserve"> to conduct teaching and research. This is a requirement under the PCS and the majority of </w:t>
      </w:r>
      <w:r w:rsidR="006062C1" w:rsidRPr="00730C0D">
        <w:rPr>
          <w:rFonts w:ascii="Century Gothic" w:hAnsi="Century Gothic"/>
          <w:sz w:val="20"/>
          <w:szCs w:val="20"/>
        </w:rPr>
        <w:t>S</w:t>
      </w:r>
      <w:r w:rsidRPr="00730C0D">
        <w:rPr>
          <w:rFonts w:ascii="Century Gothic" w:hAnsi="Century Gothic"/>
          <w:sz w:val="20"/>
          <w:szCs w:val="20"/>
        </w:rPr>
        <w:t xml:space="preserve">tate and </w:t>
      </w:r>
      <w:r w:rsidR="006062C1" w:rsidRPr="00730C0D">
        <w:rPr>
          <w:rFonts w:ascii="Century Gothic" w:hAnsi="Century Gothic"/>
          <w:sz w:val="20"/>
          <w:szCs w:val="20"/>
        </w:rPr>
        <w:t>T</w:t>
      </w:r>
      <w:r w:rsidRPr="00730C0D">
        <w:rPr>
          <w:rFonts w:ascii="Century Gothic" w:hAnsi="Century Gothic"/>
          <w:sz w:val="20"/>
          <w:szCs w:val="20"/>
        </w:rPr>
        <w:t>erritory legislation establishing universities. It is also an expectation of students and the broader community. The rationale for this requirement includes:</w:t>
      </w:r>
    </w:p>
    <w:p w14:paraId="5882E4FB" w14:textId="2040C164" w:rsidR="00AC7D05" w:rsidRPr="00730C0D" w:rsidRDefault="00AC7D05" w:rsidP="0024520B">
      <w:pPr>
        <w:pStyle w:val="ListParagraph"/>
        <w:numPr>
          <w:ilvl w:val="0"/>
          <w:numId w:val="57"/>
        </w:numPr>
        <w:spacing w:before="0" w:after="0"/>
        <w:rPr>
          <w:rFonts w:ascii="Century Gothic" w:hAnsi="Century Gothic"/>
          <w:sz w:val="20"/>
          <w:szCs w:val="20"/>
        </w:rPr>
      </w:pPr>
      <w:r w:rsidRPr="00730C0D">
        <w:rPr>
          <w:rFonts w:ascii="Century Gothic" w:hAnsi="Century Gothic"/>
          <w:sz w:val="20"/>
          <w:szCs w:val="20"/>
        </w:rPr>
        <w:t>the positive and long-lasting impact research can have on transforming society</w:t>
      </w:r>
      <w:r w:rsidR="00ED1489" w:rsidRPr="00730C0D">
        <w:rPr>
          <w:rFonts w:ascii="Century Gothic" w:hAnsi="Century Gothic"/>
          <w:sz w:val="20"/>
          <w:szCs w:val="20"/>
        </w:rPr>
        <w:t xml:space="preserve"> and industry</w:t>
      </w:r>
      <w:r w:rsidRPr="00730C0D">
        <w:rPr>
          <w:rFonts w:ascii="Century Gothic" w:hAnsi="Century Gothic"/>
          <w:sz w:val="20"/>
          <w:szCs w:val="20"/>
        </w:rPr>
        <w:t xml:space="preserve"> through strong collaboration with </w:t>
      </w:r>
      <w:r w:rsidR="00ED1489" w:rsidRPr="00730C0D">
        <w:rPr>
          <w:rFonts w:ascii="Century Gothic" w:hAnsi="Century Gothic"/>
          <w:sz w:val="20"/>
          <w:szCs w:val="20"/>
        </w:rPr>
        <w:t>community and industry</w:t>
      </w:r>
      <w:r w:rsidR="00701F73" w:rsidRPr="00730C0D">
        <w:rPr>
          <w:rFonts w:ascii="Century Gothic" w:hAnsi="Century Gothic"/>
          <w:sz w:val="20"/>
          <w:szCs w:val="20"/>
        </w:rPr>
        <w:t>;</w:t>
      </w:r>
    </w:p>
    <w:p w14:paraId="280E22B6" w14:textId="7C0F02C1" w:rsidR="00AC7D05" w:rsidRPr="00730C0D" w:rsidRDefault="00AC7D05" w:rsidP="0024520B">
      <w:pPr>
        <w:pStyle w:val="ListParagraph"/>
        <w:numPr>
          <w:ilvl w:val="0"/>
          <w:numId w:val="57"/>
        </w:numPr>
        <w:spacing w:before="0" w:after="0"/>
        <w:rPr>
          <w:rFonts w:ascii="Century Gothic" w:hAnsi="Century Gothic"/>
          <w:sz w:val="20"/>
          <w:szCs w:val="20"/>
        </w:rPr>
      </w:pPr>
      <w:r w:rsidRPr="00730C0D">
        <w:rPr>
          <w:rFonts w:ascii="Century Gothic" w:hAnsi="Century Gothic"/>
          <w:sz w:val="20"/>
          <w:szCs w:val="20"/>
        </w:rPr>
        <w:t>the enhancement of the global competiveness and prestige of Australia’s universities through strong performance in international rankings</w:t>
      </w:r>
      <w:r w:rsidR="00701F73" w:rsidRPr="00730C0D">
        <w:rPr>
          <w:rFonts w:ascii="Century Gothic" w:hAnsi="Century Gothic"/>
          <w:sz w:val="20"/>
          <w:szCs w:val="20"/>
        </w:rPr>
        <w:t>;</w:t>
      </w:r>
      <w:r w:rsidRPr="00730C0D">
        <w:rPr>
          <w:rFonts w:ascii="Century Gothic" w:hAnsi="Century Gothic"/>
          <w:sz w:val="20"/>
          <w:szCs w:val="20"/>
        </w:rPr>
        <w:t xml:space="preserve">  </w:t>
      </w:r>
    </w:p>
    <w:p w14:paraId="7FCA3DE6" w14:textId="16015157" w:rsidR="00AC7D05" w:rsidRPr="00730C0D" w:rsidRDefault="00AC7D05" w:rsidP="0024520B">
      <w:pPr>
        <w:pStyle w:val="ListParagraph"/>
        <w:numPr>
          <w:ilvl w:val="0"/>
          <w:numId w:val="57"/>
        </w:numPr>
        <w:spacing w:before="0" w:after="0"/>
        <w:ind w:right="-330"/>
        <w:rPr>
          <w:rFonts w:ascii="Century Gothic" w:hAnsi="Century Gothic"/>
          <w:sz w:val="20"/>
          <w:szCs w:val="20"/>
        </w:rPr>
      </w:pPr>
      <w:r w:rsidRPr="00730C0D">
        <w:rPr>
          <w:rFonts w:ascii="Century Gothic" w:hAnsi="Century Gothic"/>
          <w:sz w:val="20"/>
          <w:szCs w:val="20"/>
        </w:rPr>
        <w:t>the creation of quality pedagogical practices and teaching based on current research</w:t>
      </w:r>
      <w:r w:rsidR="00701F73" w:rsidRPr="00730C0D">
        <w:rPr>
          <w:rFonts w:ascii="Century Gothic" w:hAnsi="Century Gothic"/>
          <w:sz w:val="20"/>
          <w:szCs w:val="20"/>
        </w:rPr>
        <w:t>;</w:t>
      </w:r>
      <w:r w:rsidRPr="00730C0D">
        <w:rPr>
          <w:rFonts w:ascii="Century Gothic" w:hAnsi="Century Gothic"/>
          <w:sz w:val="20"/>
          <w:szCs w:val="20"/>
        </w:rPr>
        <w:t xml:space="preserve"> </w:t>
      </w:r>
    </w:p>
    <w:p w14:paraId="111EC02C" w14:textId="03EB3C44" w:rsidR="00AC7D05" w:rsidRPr="00730C0D" w:rsidRDefault="00AC7D05" w:rsidP="0024520B">
      <w:pPr>
        <w:pStyle w:val="ListParagraph"/>
        <w:numPr>
          <w:ilvl w:val="0"/>
          <w:numId w:val="57"/>
        </w:numPr>
        <w:spacing w:before="0" w:after="0"/>
        <w:rPr>
          <w:rFonts w:ascii="Century Gothic" w:hAnsi="Century Gothic"/>
          <w:sz w:val="20"/>
          <w:szCs w:val="20"/>
        </w:rPr>
      </w:pPr>
      <w:r w:rsidRPr="00730C0D">
        <w:rPr>
          <w:rFonts w:ascii="Century Gothic" w:hAnsi="Century Gothic"/>
          <w:sz w:val="20"/>
          <w:szCs w:val="20"/>
        </w:rPr>
        <w:t>the importance of creating up-to-date and innovative knowledge and ensuring students are educated with this latest knowledge</w:t>
      </w:r>
      <w:r w:rsidR="00701F73" w:rsidRPr="00730C0D">
        <w:rPr>
          <w:rFonts w:ascii="Century Gothic" w:hAnsi="Century Gothic"/>
          <w:sz w:val="20"/>
          <w:szCs w:val="20"/>
        </w:rPr>
        <w:t>;</w:t>
      </w:r>
      <w:r w:rsidRPr="00730C0D">
        <w:rPr>
          <w:rFonts w:ascii="Century Gothic" w:hAnsi="Century Gothic"/>
          <w:sz w:val="20"/>
          <w:szCs w:val="20"/>
        </w:rPr>
        <w:t xml:space="preserve"> </w:t>
      </w:r>
    </w:p>
    <w:p w14:paraId="24FEED70" w14:textId="23CE9613" w:rsidR="00AC7D05" w:rsidRPr="00730C0D" w:rsidRDefault="00AC7D05" w:rsidP="0024520B">
      <w:pPr>
        <w:pStyle w:val="ListParagraph"/>
        <w:numPr>
          <w:ilvl w:val="0"/>
          <w:numId w:val="57"/>
        </w:numPr>
        <w:spacing w:before="0" w:after="0"/>
        <w:rPr>
          <w:rFonts w:ascii="Century Gothic" w:hAnsi="Century Gothic"/>
          <w:sz w:val="20"/>
          <w:szCs w:val="20"/>
        </w:rPr>
      </w:pPr>
      <w:r w:rsidRPr="00730C0D">
        <w:rPr>
          <w:rFonts w:ascii="Century Gothic" w:hAnsi="Century Gothic"/>
          <w:sz w:val="20"/>
          <w:szCs w:val="20"/>
        </w:rPr>
        <w:t>the exposure of students to leading researchers which can</w:t>
      </w:r>
      <w:r w:rsidR="00701F73" w:rsidRPr="00730C0D">
        <w:rPr>
          <w:rFonts w:ascii="Century Gothic" w:hAnsi="Century Gothic"/>
          <w:sz w:val="20"/>
          <w:szCs w:val="20"/>
        </w:rPr>
        <w:t>, in turn,</w:t>
      </w:r>
      <w:r w:rsidRPr="00730C0D">
        <w:rPr>
          <w:rFonts w:ascii="Century Gothic" w:hAnsi="Century Gothic"/>
          <w:sz w:val="20"/>
          <w:szCs w:val="20"/>
        </w:rPr>
        <w:t xml:space="preserve"> equip students with the ability to conduct their own research and discovery</w:t>
      </w:r>
      <w:r w:rsidR="00701F73" w:rsidRPr="00730C0D">
        <w:rPr>
          <w:rFonts w:ascii="Century Gothic" w:hAnsi="Century Gothic"/>
          <w:sz w:val="20"/>
          <w:szCs w:val="20"/>
        </w:rPr>
        <w:t>;</w:t>
      </w:r>
      <w:r w:rsidRPr="00730C0D">
        <w:rPr>
          <w:rFonts w:ascii="Century Gothic" w:hAnsi="Century Gothic"/>
          <w:sz w:val="20"/>
          <w:szCs w:val="20"/>
        </w:rPr>
        <w:t xml:space="preserve">  </w:t>
      </w:r>
    </w:p>
    <w:p w14:paraId="6D4D3E1D" w14:textId="66AC7B5F" w:rsidR="00AC7D05" w:rsidRPr="00730C0D" w:rsidRDefault="00AC7D05" w:rsidP="0024520B">
      <w:pPr>
        <w:pStyle w:val="ListParagraph"/>
        <w:numPr>
          <w:ilvl w:val="0"/>
          <w:numId w:val="57"/>
        </w:numPr>
        <w:spacing w:before="0" w:after="0"/>
        <w:rPr>
          <w:rFonts w:ascii="Century Gothic" w:hAnsi="Century Gothic"/>
          <w:sz w:val="20"/>
          <w:szCs w:val="20"/>
        </w:rPr>
      </w:pPr>
      <w:r w:rsidRPr="00730C0D">
        <w:rPr>
          <w:rFonts w:ascii="Century Gothic" w:hAnsi="Century Gothic"/>
          <w:sz w:val="20"/>
          <w:szCs w:val="20"/>
        </w:rPr>
        <w:t>the contribution of research to Australia’s economic and social prosperity</w:t>
      </w:r>
      <w:r w:rsidR="00701F73" w:rsidRPr="00730C0D">
        <w:rPr>
          <w:rFonts w:ascii="Century Gothic" w:hAnsi="Century Gothic"/>
          <w:sz w:val="20"/>
          <w:szCs w:val="20"/>
        </w:rPr>
        <w:t>; and</w:t>
      </w:r>
    </w:p>
    <w:p w14:paraId="44B928B8" w14:textId="6F47CEAD" w:rsidR="00AC7D05" w:rsidRPr="00730C0D" w:rsidRDefault="00AC7D05" w:rsidP="0024520B">
      <w:pPr>
        <w:pStyle w:val="ListParagraph"/>
        <w:numPr>
          <w:ilvl w:val="0"/>
          <w:numId w:val="57"/>
        </w:numPr>
        <w:spacing w:before="0" w:after="0"/>
        <w:rPr>
          <w:rFonts w:ascii="Century Gothic" w:hAnsi="Century Gothic"/>
          <w:sz w:val="20"/>
          <w:szCs w:val="20"/>
        </w:rPr>
      </w:pPr>
      <w:r w:rsidRPr="00730C0D">
        <w:rPr>
          <w:rFonts w:ascii="Century Gothic" w:hAnsi="Century Gothic"/>
          <w:sz w:val="20"/>
          <w:szCs w:val="20"/>
        </w:rPr>
        <w:t>the connection between research, quality teaching and positive student outcomes (</w:t>
      </w:r>
      <w:r w:rsidR="00C12ACC" w:rsidRPr="00730C0D">
        <w:rPr>
          <w:rFonts w:ascii="Century Gothic" w:hAnsi="Century Gothic"/>
          <w:sz w:val="20"/>
          <w:szCs w:val="20"/>
        </w:rPr>
        <w:t>commonly known as the</w:t>
      </w:r>
      <w:r w:rsidR="00701F73" w:rsidRPr="00730C0D">
        <w:rPr>
          <w:rFonts w:ascii="Century Gothic" w:hAnsi="Century Gothic"/>
          <w:sz w:val="20"/>
          <w:szCs w:val="20"/>
        </w:rPr>
        <w:t xml:space="preserve"> </w:t>
      </w:r>
      <w:r w:rsidRPr="00730C0D">
        <w:rPr>
          <w:rFonts w:ascii="Century Gothic" w:hAnsi="Century Gothic"/>
          <w:sz w:val="20"/>
          <w:szCs w:val="20"/>
        </w:rPr>
        <w:t>teaching-research nexus).</w:t>
      </w:r>
    </w:p>
    <w:p w14:paraId="69B0A1DD" w14:textId="77777777" w:rsidR="00AC7D05" w:rsidRPr="00730C0D" w:rsidRDefault="00AC7D05" w:rsidP="00D31B9A">
      <w:pPr>
        <w:spacing w:before="0" w:after="0"/>
        <w:rPr>
          <w:rFonts w:ascii="Century Gothic" w:hAnsi="Century Gothic"/>
          <w:sz w:val="20"/>
          <w:szCs w:val="20"/>
        </w:rPr>
      </w:pPr>
    </w:p>
    <w:p w14:paraId="24F8B9E6" w14:textId="3CA982BA" w:rsidR="00BF131A" w:rsidRPr="00730C0D" w:rsidRDefault="00AC7D05">
      <w:pPr>
        <w:spacing w:before="0" w:after="0"/>
        <w:rPr>
          <w:rFonts w:ascii="Century Gothic" w:hAnsi="Century Gothic"/>
          <w:sz w:val="20"/>
          <w:szCs w:val="20"/>
        </w:rPr>
      </w:pPr>
      <w:r w:rsidRPr="00730C0D">
        <w:rPr>
          <w:rFonts w:ascii="Century Gothic" w:hAnsi="Century Gothic"/>
          <w:sz w:val="20"/>
          <w:szCs w:val="20"/>
        </w:rPr>
        <w:t>Among the many justifications for conducting teaching and research in universities is the ‘teaching-research nexus’</w:t>
      </w:r>
      <w:r w:rsidR="00701F73" w:rsidRPr="00730C0D">
        <w:rPr>
          <w:rFonts w:ascii="Century Gothic" w:hAnsi="Century Gothic"/>
          <w:sz w:val="20"/>
          <w:szCs w:val="20"/>
        </w:rPr>
        <w:t>, that is,</w:t>
      </w:r>
      <w:r w:rsidRPr="00730C0D">
        <w:rPr>
          <w:rFonts w:ascii="Century Gothic" w:hAnsi="Century Gothic"/>
          <w:sz w:val="20"/>
          <w:szCs w:val="20"/>
        </w:rPr>
        <w:t xml:space="preserve"> the principle that “close proximity to world</w:t>
      </w:r>
      <w:r w:rsidRPr="00730C0D">
        <w:rPr>
          <w:rFonts w:ascii="Century Gothic" w:hAnsi="Century Gothic"/>
          <w:sz w:val="20"/>
          <w:szCs w:val="20"/>
        </w:rPr>
        <w:noBreakHyphen/>
        <w:t>class researchers makes students more engaged, develops their critical thinking, aids their research skills</w:t>
      </w:r>
      <w:r w:rsidR="00C12ACC" w:rsidRPr="00730C0D">
        <w:rPr>
          <w:rFonts w:ascii="Century Gothic" w:hAnsi="Century Gothic"/>
          <w:sz w:val="20"/>
          <w:szCs w:val="20"/>
        </w:rPr>
        <w:t>,</w:t>
      </w:r>
      <w:r w:rsidRPr="00730C0D">
        <w:rPr>
          <w:rFonts w:ascii="Century Gothic" w:hAnsi="Century Gothic"/>
          <w:sz w:val="20"/>
          <w:szCs w:val="20"/>
        </w:rPr>
        <w:t xml:space="preserve"> and keeps them up to date with the latest research findings”.</w:t>
      </w:r>
      <w:r w:rsidRPr="00730C0D">
        <w:rPr>
          <w:rFonts w:ascii="Century Gothic" w:hAnsi="Century Gothic"/>
          <w:sz w:val="20"/>
          <w:szCs w:val="20"/>
          <w:vertAlign w:val="superscript"/>
        </w:rPr>
        <w:footnoteReference w:id="79"/>
      </w:r>
      <w:r w:rsidRPr="00730C0D">
        <w:rPr>
          <w:rFonts w:ascii="Century Gothic" w:hAnsi="Century Gothic"/>
          <w:sz w:val="20"/>
          <w:szCs w:val="20"/>
        </w:rPr>
        <w:t xml:space="preserve"> This principle </w:t>
      </w:r>
      <w:r w:rsidR="00EE00B4" w:rsidRPr="00730C0D">
        <w:rPr>
          <w:rFonts w:ascii="Century Gothic" w:hAnsi="Century Gothic"/>
          <w:sz w:val="20"/>
          <w:szCs w:val="20"/>
        </w:rPr>
        <w:t>attracted</w:t>
      </w:r>
      <w:r w:rsidRPr="00730C0D">
        <w:rPr>
          <w:rFonts w:ascii="Century Gothic" w:hAnsi="Century Gothic"/>
          <w:sz w:val="20"/>
          <w:szCs w:val="20"/>
        </w:rPr>
        <w:t xml:space="preserve"> significant attention by stakeholders during this Review. While </w:t>
      </w:r>
      <w:r w:rsidR="008C6D7C">
        <w:rPr>
          <w:rFonts w:ascii="Century Gothic" w:hAnsi="Century Gothic"/>
          <w:sz w:val="20"/>
          <w:szCs w:val="20"/>
        </w:rPr>
        <w:t>most</w:t>
      </w:r>
      <w:r w:rsidR="008C6D7C" w:rsidRPr="00730C0D">
        <w:rPr>
          <w:rFonts w:ascii="Century Gothic" w:hAnsi="Century Gothic"/>
          <w:sz w:val="20"/>
          <w:szCs w:val="20"/>
        </w:rPr>
        <w:t xml:space="preserve"> </w:t>
      </w:r>
      <w:r w:rsidRPr="00730C0D">
        <w:rPr>
          <w:rFonts w:ascii="Century Gothic" w:hAnsi="Century Gothic"/>
          <w:sz w:val="20"/>
          <w:szCs w:val="20"/>
        </w:rPr>
        <w:t xml:space="preserve">stakeholders are supportive of the synergies between teaching and research, others point to </w:t>
      </w:r>
      <w:r w:rsidR="00701F73" w:rsidRPr="00730C0D">
        <w:rPr>
          <w:rFonts w:ascii="Century Gothic" w:hAnsi="Century Gothic"/>
          <w:sz w:val="20"/>
          <w:szCs w:val="20"/>
        </w:rPr>
        <w:t>contested</w:t>
      </w:r>
      <w:r w:rsidRPr="00730C0D">
        <w:rPr>
          <w:rFonts w:ascii="Century Gothic" w:hAnsi="Century Gothic"/>
          <w:sz w:val="20"/>
          <w:szCs w:val="20"/>
        </w:rPr>
        <w:t xml:space="preserve"> empirical e</w:t>
      </w:r>
      <w:r w:rsidR="00A212F7">
        <w:rPr>
          <w:rFonts w:ascii="Century Gothic" w:hAnsi="Century Gothic"/>
          <w:sz w:val="20"/>
          <w:szCs w:val="20"/>
        </w:rPr>
        <w:t>vidence to support the nexus in practice</w:t>
      </w:r>
      <w:r w:rsidRPr="00730C0D">
        <w:rPr>
          <w:rFonts w:ascii="Century Gothic" w:hAnsi="Century Gothic"/>
          <w:sz w:val="20"/>
          <w:szCs w:val="20"/>
        </w:rPr>
        <w:t xml:space="preserve">. </w:t>
      </w:r>
    </w:p>
    <w:p w14:paraId="162504C7" w14:textId="77777777" w:rsidR="00CF2679" w:rsidRPr="00730C0D" w:rsidRDefault="00CF2679" w:rsidP="00D31B9A">
      <w:pPr>
        <w:spacing w:before="0" w:after="0"/>
        <w:rPr>
          <w:rFonts w:ascii="Century Gothic" w:hAnsi="Century Gothic"/>
          <w:sz w:val="20"/>
          <w:szCs w:val="20"/>
        </w:rPr>
      </w:pPr>
    </w:p>
    <w:p w14:paraId="01ABF5E4" w14:textId="63E828D2" w:rsidR="00B9072B" w:rsidRPr="00730C0D" w:rsidRDefault="006062C1" w:rsidP="00665E5C">
      <w:pPr>
        <w:spacing w:before="0" w:after="0"/>
        <w:ind w:right="-46"/>
        <w:rPr>
          <w:rFonts w:ascii="Century Gothic" w:hAnsi="Century Gothic"/>
          <w:sz w:val="20"/>
          <w:szCs w:val="20"/>
        </w:rPr>
      </w:pPr>
      <w:r w:rsidRPr="00730C0D">
        <w:rPr>
          <w:rFonts w:ascii="Century Gothic" w:hAnsi="Century Gothic"/>
          <w:sz w:val="20"/>
          <w:szCs w:val="20"/>
        </w:rPr>
        <w:t xml:space="preserve">While the teaching-research nexus </w:t>
      </w:r>
      <w:r w:rsidR="00C12ACC" w:rsidRPr="00730C0D">
        <w:rPr>
          <w:rFonts w:ascii="Century Gothic" w:hAnsi="Century Gothic"/>
          <w:sz w:val="20"/>
          <w:szCs w:val="20"/>
        </w:rPr>
        <w:t>may sometimes</w:t>
      </w:r>
      <w:r w:rsidRPr="00730C0D">
        <w:rPr>
          <w:rFonts w:ascii="Century Gothic" w:hAnsi="Century Gothic"/>
          <w:sz w:val="20"/>
          <w:szCs w:val="20"/>
        </w:rPr>
        <w:t xml:space="preserve"> be contested at the level of the individual academic, there was very strong support during the Review’s consultations – from both the universities themselves as well as from other higher education providers – for the cachet of the term ‘university’ to be maintained and, indeed, strengthened. Specifically, </w:t>
      </w:r>
      <w:r w:rsidR="00C12ACC" w:rsidRPr="00730C0D">
        <w:rPr>
          <w:rFonts w:ascii="Century Gothic" w:hAnsi="Century Gothic"/>
          <w:sz w:val="20"/>
          <w:szCs w:val="20"/>
        </w:rPr>
        <w:t xml:space="preserve">there </w:t>
      </w:r>
      <w:r w:rsidR="008C6D7C">
        <w:rPr>
          <w:rFonts w:ascii="Century Gothic" w:hAnsi="Century Gothic"/>
          <w:sz w:val="20"/>
          <w:szCs w:val="20"/>
        </w:rPr>
        <w:t>remains a</w:t>
      </w:r>
      <w:r w:rsidR="00C12ACC" w:rsidRPr="00730C0D">
        <w:rPr>
          <w:rFonts w:ascii="Century Gothic" w:hAnsi="Century Gothic"/>
          <w:sz w:val="20"/>
          <w:szCs w:val="20"/>
        </w:rPr>
        <w:t xml:space="preserve"> strong view </w:t>
      </w:r>
      <w:r w:rsidRPr="00730C0D">
        <w:rPr>
          <w:rFonts w:ascii="Century Gothic" w:hAnsi="Century Gothic"/>
          <w:sz w:val="20"/>
          <w:szCs w:val="20"/>
        </w:rPr>
        <w:t xml:space="preserve">that a university should be a place of both teaching and research, nourishing a rich scholarly environment for students and for the benefit of the broader community.  </w:t>
      </w:r>
    </w:p>
    <w:p w14:paraId="6A419297" w14:textId="77777777" w:rsidR="00C86660" w:rsidRPr="00730C0D" w:rsidRDefault="00C86660" w:rsidP="00B9072B">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B9072B" w:rsidRPr="00730C0D" w14:paraId="5861A79C"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4894D865" w14:textId="77777777" w:rsidR="00B9072B" w:rsidRPr="00730C0D" w:rsidRDefault="00B9072B" w:rsidP="00C86660">
            <w:pPr>
              <w:spacing w:before="0" w:after="0" w:line="259" w:lineRule="auto"/>
              <w:jc w:val="both"/>
              <w:rPr>
                <w:rFonts w:ascii="Century Gothic" w:hAnsi="Century Gothic"/>
                <w:b w:val="0"/>
                <w:i/>
                <w:color w:val="auto"/>
                <w:sz w:val="20"/>
                <w:szCs w:val="20"/>
              </w:rPr>
            </w:pPr>
          </w:p>
          <w:p w14:paraId="113E72E3" w14:textId="21AFE40C" w:rsidR="00B9072B" w:rsidRPr="00730C0D" w:rsidRDefault="00B9072B"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“Research enriches teaching and learning, particularly where teaching staff are also involved in research. Research activities and the advancement of knowledge enrich the intellectual life of a university and contribute to an environment where academic excellence and independent inquiry are encouraged.</w:t>
            </w:r>
            <w:r w:rsidR="00A13008" w:rsidRPr="00730C0D">
              <w:rPr>
                <w:rFonts w:ascii="Century Gothic" w:hAnsi="Century Gothic" w:cstheme="minorHAnsi"/>
                <w:b w:val="0"/>
                <w:color w:val="2763AC"/>
                <w:sz w:val="20"/>
                <w:szCs w:val="20"/>
              </w:rPr>
              <w:t xml:space="preserve"> […]</w:t>
            </w:r>
            <w:r w:rsidRPr="00730C0D">
              <w:rPr>
                <w:rFonts w:ascii="Century Gothic" w:hAnsi="Century Gothic" w:cstheme="minorHAnsi"/>
                <w:b w:val="0"/>
                <w:color w:val="2763AC"/>
                <w:sz w:val="20"/>
                <w:szCs w:val="20"/>
              </w:rPr>
              <w:t xml:space="preserve"> [It provides students] with exposure to career options and endeavours that they would otherwise not see. It provides inspiration for regional, rural and remote students to pursue higher degrees by research”.</w:t>
            </w:r>
          </w:p>
          <w:p w14:paraId="23CA19ED" w14:textId="77777777" w:rsidR="00B9072B" w:rsidRPr="00730C0D" w:rsidRDefault="00B9072B" w:rsidP="00C86660">
            <w:pPr>
              <w:spacing w:before="0" w:after="0" w:line="259" w:lineRule="auto"/>
              <w:jc w:val="both"/>
              <w:rPr>
                <w:rFonts w:ascii="Century Gothic" w:hAnsi="Century Gothic" w:cstheme="minorHAnsi"/>
                <w:color w:val="auto"/>
                <w:sz w:val="20"/>
                <w:szCs w:val="20"/>
              </w:rPr>
            </w:pPr>
          </w:p>
          <w:p w14:paraId="1B515A10" w14:textId="7164FB72" w:rsidR="00B9072B" w:rsidRPr="00730C0D" w:rsidRDefault="00B9072B"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Regional Universities Network submission to the PCS Review 2019, p.2</w:t>
            </w:r>
          </w:p>
          <w:p w14:paraId="1AF8DDCC" w14:textId="77777777" w:rsidR="00B9072B" w:rsidRPr="00730C0D" w:rsidRDefault="00B9072B" w:rsidP="00C86660">
            <w:pPr>
              <w:spacing w:before="0" w:after="0" w:line="259" w:lineRule="auto"/>
              <w:jc w:val="right"/>
              <w:rPr>
                <w:rFonts w:ascii="Century Gothic" w:hAnsi="Century Gothic"/>
                <w:b w:val="0"/>
                <w:color w:val="auto"/>
                <w:sz w:val="20"/>
                <w:szCs w:val="20"/>
              </w:rPr>
            </w:pPr>
          </w:p>
        </w:tc>
      </w:tr>
    </w:tbl>
    <w:p w14:paraId="7BFD7A01" w14:textId="77777777" w:rsidR="00E335E8" w:rsidRPr="00730C0D" w:rsidRDefault="00E335E8" w:rsidP="00D31B9A">
      <w:pPr>
        <w:spacing w:before="0" w:after="0"/>
        <w:rPr>
          <w:rFonts w:ascii="Century Gothic" w:hAnsi="Century Gothic"/>
          <w:sz w:val="20"/>
          <w:szCs w:val="20"/>
        </w:rPr>
      </w:pPr>
    </w:p>
    <w:p w14:paraId="5675FDAA" w14:textId="30D4DFCE" w:rsidR="00AC7D05" w:rsidRPr="00730C0D" w:rsidRDefault="00D176DF" w:rsidP="00D31B9A">
      <w:pPr>
        <w:spacing w:before="0" w:after="0"/>
        <w:rPr>
          <w:rFonts w:ascii="Century Gothic" w:hAnsi="Century Gothic"/>
          <w:sz w:val="20"/>
          <w:szCs w:val="20"/>
        </w:rPr>
      </w:pPr>
      <w:r w:rsidRPr="00730C0D">
        <w:rPr>
          <w:rFonts w:ascii="Century Gothic" w:hAnsi="Century Gothic"/>
          <w:sz w:val="20"/>
          <w:szCs w:val="20"/>
        </w:rPr>
        <w:t>Nevertheless, some associated views with our understanding of the term ‘university’ were aired during consultations. Those included the current lack of definitions for research quality and quantity, scholarship</w:t>
      </w:r>
      <w:r w:rsidR="00E335E8" w:rsidRPr="00730C0D">
        <w:rPr>
          <w:rFonts w:ascii="Century Gothic" w:hAnsi="Century Gothic"/>
          <w:sz w:val="20"/>
          <w:szCs w:val="20"/>
        </w:rPr>
        <w:t>,</w:t>
      </w:r>
      <w:r w:rsidRPr="00730C0D">
        <w:rPr>
          <w:rFonts w:ascii="Century Gothic" w:hAnsi="Century Gothic"/>
          <w:sz w:val="20"/>
          <w:szCs w:val="20"/>
        </w:rPr>
        <w:t xml:space="preserve"> and the link between research and student experience. </w:t>
      </w:r>
      <w:r w:rsidR="00665E5C">
        <w:rPr>
          <w:rFonts w:ascii="Century Gothic" w:hAnsi="Century Gothic"/>
          <w:sz w:val="20"/>
          <w:szCs w:val="20"/>
        </w:rPr>
        <w:br/>
      </w:r>
      <w:r w:rsidRPr="00730C0D">
        <w:rPr>
          <w:rFonts w:ascii="Century Gothic" w:hAnsi="Century Gothic"/>
          <w:sz w:val="20"/>
          <w:szCs w:val="20"/>
        </w:rPr>
        <w:t>Th</w:t>
      </w:r>
      <w:r w:rsidR="00C93260">
        <w:rPr>
          <w:rFonts w:ascii="Century Gothic" w:hAnsi="Century Gothic"/>
          <w:sz w:val="20"/>
          <w:szCs w:val="20"/>
        </w:rPr>
        <w:t>is</w:t>
      </w:r>
      <w:r w:rsidRPr="00730C0D">
        <w:rPr>
          <w:rFonts w:ascii="Century Gothic" w:hAnsi="Century Gothic"/>
          <w:sz w:val="20"/>
          <w:szCs w:val="20"/>
        </w:rPr>
        <w:t xml:space="preserve"> Review also invited views regarding the possibility of ‘teaching-only’ and ‘research-only’ universities in the future. </w:t>
      </w:r>
    </w:p>
    <w:p w14:paraId="6FFA7C49" w14:textId="77777777" w:rsidR="00C34A35" w:rsidRDefault="00C34A35">
      <w:pPr>
        <w:spacing w:before="0" w:after="160"/>
        <w:rPr>
          <w:rFonts w:ascii="Century Gothic" w:eastAsiaTheme="majorEastAsia" w:hAnsi="Century Gothic" w:cstheme="majorBidi"/>
          <w:i/>
          <w:iCs/>
          <w:color w:val="2E74B5" w:themeColor="accent1" w:themeShade="BF"/>
          <w:sz w:val="20"/>
          <w:szCs w:val="20"/>
        </w:rPr>
      </w:pPr>
      <w:r>
        <w:rPr>
          <w:rFonts w:ascii="Century Gothic" w:eastAsiaTheme="majorEastAsia" w:hAnsi="Century Gothic" w:cstheme="majorBidi"/>
          <w:i/>
          <w:iCs/>
          <w:color w:val="2E74B5" w:themeColor="accent1" w:themeShade="BF"/>
          <w:sz w:val="20"/>
          <w:szCs w:val="20"/>
        </w:rPr>
        <w:br w:type="page"/>
      </w:r>
    </w:p>
    <w:p w14:paraId="6B0ABD07" w14:textId="6D304601" w:rsidR="00AC7D05" w:rsidRPr="00730C0D" w:rsidRDefault="00AC7D05" w:rsidP="00D31B9A">
      <w:pPr>
        <w:spacing w:before="0" w:after="0"/>
        <w:rPr>
          <w:rFonts w:ascii="Century Gothic" w:hAnsi="Century Gothic"/>
          <w:sz w:val="20"/>
          <w:szCs w:val="20"/>
        </w:rPr>
      </w:pPr>
      <w:r w:rsidRPr="00730C0D">
        <w:rPr>
          <w:rFonts w:ascii="Century Gothic" w:eastAsiaTheme="majorEastAsia" w:hAnsi="Century Gothic" w:cstheme="majorBidi"/>
          <w:i/>
          <w:iCs/>
          <w:color w:val="2E74B5" w:themeColor="accent1" w:themeShade="BF"/>
          <w:sz w:val="20"/>
          <w:szCs w:val="20"/>
        </w:rPr>
        <w:t>Teaching-Only and Research-Only Universities</w:t>
      </w:r>
      <w:r w:rsidRPr="00730C0D">
        <w:rPr>
          <w:rFonts w:ascii="Century Gothic" w:hAnsi="Century Gothic"/>
          <w:sz w:val="20"/>
          <w:szCs w:val="20"/>
        </w:rPr>
        <w:t xml:space="preserve"> </w:t>
      </w:r>
    </w:p>
    <w:p w14:paraId="160295FB" w14:textId="3718C02D"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 2017-2018 Higher Education Budget Reform Package that </w:t>
      </w:r>
      <w:r w:rsidR="00701F73" w:rsidRPr="00730C0D">
        <w:rPr>
          <w:rFonts w:ascii="Century Gothic" w:hAnsi="Century Gothic"/>
          <w:sz w:val="20"/>
          <w:szCs w:val="20"/>
        </w:rPr>
        <w:t xml:space="preserve">included </w:t>
      </w:r>
      <w:r w:rsidRPr="00730C0D">
        <w:rPr>
          <w:rFonts w:ascii="Century Gothic" w:hAnsi="Century Gothic"/>
          <w:sz w:val="20"/>
          <w:szCs w:val="20"/>
        </w:rPr>
        <w:t>announce</w:t>
      </w:r>
      <w:r w:rsidR="00701F73" w:rsidRPr="00730C0D">
        <w:rPr>
          <w:rFonts w:ascii="Century Gothic" w:hAnsi="Century Gothic"/>
          <w:sz w:val="20"/>
          <w:szCs w:val="20"/>
        </w:rPr>
        <w:t>ment of</w:t>
      </w:r>
      <w:r w:rsidRPr="00730C0D">
        <w:rPr>
          <w:rFonts w:ascii="Century Gothic" w:hAnsi="Century Gothic"/>
          <w:sz w:val="20"/>
          <w:szCs w:val="20"/>
        </w:rPr>
        <w:t xml:space="preserve"> this Review indicated that teaching-only universities would be considered as part of this work. The overwhelming majority of stakeholders do not support the idea of a university that does not undertake research. Stakeholders appreciate that a large part of the strong international reputation of Australian universities lies with the</w:t>
      </w:r>
      <w:r w:rsidR="008C6D7C">
        <w:rPr>
          <w:rFonts w:ascii="Century Gothic" w:hAnsi="Century Gothic"/>
          <w:sz w:val="20"/>
          <w:szCs w:val="20"/>
        </w:rPr>
        <w:t xml:space="preserve"> role and</w:t>
      </w:r>
      <w:r w:rsidRPr="00730C0D">
        <w:rPr>
          <w:rFonts w:ascii="Century Gothic" w:hAnsi="Century Gothic"/>
          <w:sz w:val="20"/>
          <w:szCs w:val="20"/>
        </w:rPr>
        <w:t xml:space="preserve"> impact of research. Almost all stakeholders are amenable to teaching-only providers existing in the higher education sector, as they currently do, but </w:t>
      </w:r>
      <w:r w:rsidR="00701F73" w:rsidRPr="00730C0D">
        <w:rPr>
          <w:rFonts w:ascii="Century Gothic" w:hAnsi="Century Gothic"/>
          <w:sz w:val="20"/>
          <w:szCs w:val="20"/>
        </w:rPr>
        <w:t>question such providers having</w:t>
      </w:r>
      <w:r w:rsidRPr="00730C0D">
        <w:rPr>
          <w:rFonts w:ascii="Century Gothic" w:hAnsi="Century Gothic"/>
          <w:sz w:val="20"/>
          <w:szCs w:val="20"/>
        </w:rPr>
        <w:t xml:space="preserve"> access to the university title.</w:t>
      </w:r>
    </w:p>
    <w:p w14:paraId="7C4068F7" w14:textId="77777777" w:rsidR="00AC7D05" w:rsidRPr="00730C0D" w:rsidRDefault="00AC7D05" w:rsidP="00D31B9A">
      <w:pPr>
        <w:spacing w:before="0" w:after="0"/>
        <w:rPr>
          <w:rFonts w:ascii="Century Gothic" w:hAnsi="Century Gothic"/>
          <w:sz w:val="20"/>
          <w:szCs w:val="20"/>
        </w:rPr>
      </w:pPr>
    </w:p>
    <w:p w14:paraId="114A1255" w14:textId="2808EF98" w:rsidR="00D85D34" w:rsidRPr="00730C0D" w:rsidRDefault="00AC7D05" w:rsidP="00FD6110">
      <w:pPr>
        <w:spacing w:before="0" w:after="0"/>
        <w:ind w:right="-46"/>
        <w:rPr>
          <w:rFonts w:ascii="Century Gothic" w:hAnsi="Century Gothic"/>
          <w:sz w:val="20"/>
          <w:szCs w:val="20"/>
        </w:rPr>
      </w:pPr>
      <w:r w:rsidRPr="00730C0D">
        <w:rPr>
          <w:rFonts w:ascii="Century Gothic" w:hAnsi="Century Gothic"/>
          <w:sz w:val="20"/>
          <w:szCs w:val="20"/>
        </w:rPr>
        <w:t xml:space="preserve">The limited number of stakeholders </w:t>
      </w:r>
      <w:r w:rsidR="00701F73" w:rsidRPr="00730C0D">
        <w:rPr>
          <w:rFonts w:ascii="Century Gothic" w:hAnsi="Century Gothic"/>
          <w:sz w:val="20"/>
          <w:szCs w:val="20"/>
        </w:rPr>
        <w:t>who</w:t>
      </w:r>
      <w:r w:rsidRPr="00730C0D">
        <w:rPr>
          <w:rFonts w:ascii="Century Gothic" w:hAnsi="Century Gothic"/>
          <w:sz w:val="20"/>
          <w:szCs w:val="20"/>
        </w:rPr>
        <w:t xml:space="preserve"> do advocate for teaching-only universities point to the creation of universities that would be focussed on providing high quality teaching. These</w:t>
      </w:r>
      <w:r w:rsidR="00E335E8" w:rsidRPr="00730C0D">
        <w:rPr>
          <w:rFonts w:ascii="Century Gothic" w:hAnsi="Century Gothic"/>
          <w:sz w:val="20"/>
          <w:szCs w:val="20"/>
        </w:rPr>
        <w:t> </w:t>
      </w:r>
      <w:r w:rsidRPr="00730C0D">
        <w:rPr>
          <w:rFonts w:ascii="Century Gothic" w:hAnsi="Century Gothic"/>
          <w:sz w:val="20"/>
          <w:szCs w:val="20"/>
        </w:rPr>
        <w:t xml:space="preserve">stakeholders argue that greater recognition and emphasis on teaching profiles within universities would boost Australia’s international </w:t>
      </w:r>
      <w:r w:rsidR="00EA67CB" w:rsidRPr="00730C0D">
        <w:rPr>
          <w:rFonts w:ascii="Century Gothic" w:hAnsi="Century Gothic"/>
          <w:sz w:val="20"/>
          <w:szCs w:val="20"/>
        </w:rPr>
        <w:t>standing</w:t>
      </w:r>
      <w:r w:rsidRPr="00730C0D">
        <w:rPr>
          <w:rFonts w:ascii="Century Gothic" w:hAnsi="Century Gothic"/>
          <w:sz w:val="20"/>
          <w:szCs w:val="20"/>
        </w:rPr>
        <w:t>. Some stakeholders put forward the view that removing research requirements would allow universities to more closely focus on their other fundamental features such as teaching, community engagement, and student experience.</w:t>
      </w:r>
      <w:r w:rsidR="00D85D34" w:rsidRPr="00730C0D">
        <w:rPr>
          <w:rFonts w:ascii="Century Gothic" w:hAnsi="Century Gothic"/>
          <w:sz w:val="20"/>
          <w:szCs w:val="20"/>
        </w:rPr>
        <w:t xml:space="preserve"> However, this Review strongly supports the notion that universities should conduct both teaching and research. </w:t>
      </w:r>
    </w:p>
    <w:p w14:paraId="37F7E41F" w14:textId="77777777" w:rsidR="00AC7D05" w:rsidRPr="00730C0D" w:rsidRDefault="00AC7D05" w:rsidP="00D31B9A">
      <w:pPr>
        <w:spacing w:before="0" w:after="0"/>
        <w:rPr>
          <w:rFonts w:ascii="Century Gothic" w:hAnsi="Century Gothic"/>
          <w:sz w:val="20"/>
          <w:szCs w:val="20"/>
        </w:rPr>
      </w:pPr>
    </w:p>
    <w:p w14:paraId="3BF755A6" w14:textId="5C72DAA7"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This Review also considered the possibility of introducing research-only universities</w:t>
      </w:r>
      <w:r w:rsidR="008C6D7C">
        <w:rPr>
          <w:rFonts w:ascii="Century Gothic" w:hAnsi="Century Gothic"/>
          <w:sz w:val="20"/>
          <w:szCs w:val="20"/>
        </w:rPr>
        <w:t>, t</w:t>
      </w:r>
      <w:r w:rsidRPr="00730C0D">
        <w:rPr>
          <w:rFonts w:ascii="Century Gothic" w:hAnsi="Century Gothic"/>
          <w:sz w:val="20"/>
          <w:szCs w:val="20"/>
        </w:rPr>
        <w:t>hat is, universities that would only be required to undertake higher degrees by research without teaching undergraduate students. There is very limited support for this concept</w:t>
      </w:r>
      <w:r w:rsidR="00424CDD" w:rsidRPr="00730C0D">
        <w:rPr>
          <w:rFonts w:ascii="Century Gothic" w:hAnsi="Century Gothic"/>
          <w:sz w:val="20"/>
          <w:szCs w:val="20"/>
        </w:rPr>
        <w:t>;</w:t>
      </w:r>
      <w:r w:rsidRPr="00730C0D">
        <w:rPr>
          <w:rFonts w:ascii="Century Gothic" w:hAnsi="Century Gothic"/>
          <w:sz w:val="20"/>
          <w:szCs w:val="20"/>
        </w:rPr>
        <w:t xml:space="preserve"> most </w:t>
      </w:r>
      <w:r w:rsidR="00424CDD" w:rsidRPr="00730C0D">
        <w:rPr>
          <w:rFonts w:ascii="Century Gothic" w:hAnsi="Century Gothic"/>
          <w:sz w:val="20"/>
          <w:szCs w:val="20"/>
        </w:rPr>
        <w:t xml:space="preserve">argue </w:t>
      </w:r>
      <w:r w:rsidRPr="00730C0D">
        <w:rPr>
          <w:rFonts w:ascii="Century Gothic" w:hAnsi="Century Gothic"/>
          <w:sz w:val="20"/>
          <w:szCs w:val="20"/>
        </w:rPr>
        <w:t xml:space="preserve">that research institutes </w:t>
      </w:r>
      <w:r w:rsidR="0068429E" w:rsidRPr="00730C0D">
        <w:rPr>
          <w:rFonts w:ascii="Century Gothic" w:hAnsi="Century Gothic"/>
          <w:sz w:val="20"/>
          <w:szCs w:val="20"/>
        </w:rPr>
        <w:t xml:space="preserve">that </w:t>
      </w:r>
      <w:r w:rsidRPr="00730C0D">
        <w:rPr>
          <w:rFonts w:ascii="Century Gothic" w:hAnsi="Century Gothic"/>
          <w:sz w:val="20"/>
          <w:szCs w:val="20"/>
        </w:rPr>
        <w:t xml:space="preserve">only offer </w:t>
      </w:r>
      <w:r w:rsidR="001153C7" w:rsidRPr="00730C0D">
        <w:rPr>
          <w:rFonts w:ascii="Century Gothic" w:hAnsi="Century Gothic"/>
          <w:sz w:val="20"/>
          <w:szCs w:val="20"/>
        </w:rPr>
        <w:t>D</w:t>
      </w:r>
      <w:r w:rsidRPr="00730C0D">
        <w:rPr>
          <w:rFonts w:ascii="Century Gothic" w:hAnsi="Century Gothic"/>
          <w:sz w:val="20"/>
          <w:szCs w:val="20"/>
        </w:rPr>
        <w:t xml:space="preserve">octoral degrees would not be able to provide a </w:t>
      </w:r>
      <w:r w:rsidR="00424CDD" w:rsidRPr="00730C0D">
        <w:rPr>
          <w:rFonts w:ascii="Century Gothic" w:hAnsi="Century Gothic"/>
          <w:sz w:val="20"/>
          <w:szCs w:val="20"/>
        </w:rPr>
        <w:t xml:space="preserve">sufficiently </w:t>
      </w:r>
      <w:r w:rsidRPr="00730C0D">
        <w:rPr>
          <w:rFonts w:ascii="Century Gothic" w:hAnsi="Century Gothic"/>
          <w:sz w:val="20"/>
          <w:szCs w:val="20"/>
        </w:rPr>
        <w:t xml:space="preserve">supportive </w:t>
      </w:r>
      <w:r w:rsidR="00EE00B4" w:rsidRPr="00730C0D">
        <w:rPr>
          <w:rFonts w:ascii="Century Gothic" w:hAnsi="Century Gothic"/>
          <w:sz w:val="20"/>
          <w:szCs w:val="20"/>
        </w:rPr>
        <w:t xml:space="preserve">teaching </w:t>
      </w:r>
      <w:r w:rsidRPr="00730C0D">
        <w:rPr>
          <w:rFonts w:ascii="Century Gothic" w:hAnsi="Century Gothic"/>
          <w:sz w:val="20"/>
          <w:szCs w:val="20"/>
        </w:rPr>
        <w:t>environment that would extend outside of specific fields of research. Nor would this type of institute</w:t>
      </w:r>
      <w:r w:rsidR="00EE00B4" w:rsidRPr="00730C0D">
        <w:rPr>
          <w:rFonts w:ascii="Century Gothic" w:hAnsi="Century Gothic"/>
          <w:sz w:val="20"/>
          <w:szCs w:val="20"/>
        </w:rPr>
        <w:t>, that does not teach undergraduate students,</w:t>
      </w:r>
      <w:r w:rsidRPr="00730C0D">
        <w:rPr>
          <w:rFonts w:ascii="Century Gothic" w:hAnsi="Century Gothic"/>
          <w:sz w:val="20"/>
          <w:szCs w:val="20"/>
        </w:rPr>
        <w:t xml:space="preserve"> satisfy community expectations of an Australian university. </w:t>
      </w:r>
    </w:p>
    <w:p w14:paraId="1A9D99B9" w14:textId="77777777" w:rsidR="00AC7D05" w:rsidRPr="00730C0D" w:rsidRDefault="00AC7D05" w:rsidP="00D31B9A">
      <w:pPr>
        <w:spacing w:before="0" w:after="0"/>
        <w:rPr>
          <w:rFonts w:ascii="Century Gothic" w:hAnsi="Century Gothic"/>
          <w:sz w:val="20"/>
          <w:szCs w:val="20"/>
        </w:rPr>
      </w:pPr>
    </w:p>
    <w:p w14:paraId="594B3778" w14:textId="392510FE" w:rsidR="00AC7D05" w:rsidRPr="00730C0D" w:rsidRDefault="003806EF" w:rsidP="004978DA">
      <w:pPr>
        <w:pStyle w:val="Heading3"/>
      </w:pPr>
      <w:bookmarkStart w:id="68" w:name="_2.4.3_Research_Requirements"/>
      <w:bookmarkStart w:id="69" w:name="_Toc18592338"/>
      <w:bookmarkEnd w:id="68"/>
      <w:r w:rsidRPr="00730C0D">
        <w:t>2.4.3</w:t>
      </w:r>
      <w:r w:rsidRPr="00730C0D">
        <w:tab/>
      </w:r>
      <w:r w:rsidR="00AC7D05" w:rsidRPr="00730C0D">
        <w:t>Research Requirements</w:t>
      </w:r>
      <w:bookmarkEnd w:id="69"/>
      <w:r w:rsidR="00AC7D05" w:rsidRPr="00730C0D">
        <w:t xml:space="preserve"> </w:t>
      </w:r>
    </w:p>
    <w:p w14:paraId="359BDEE5" w14:textId="0FB420AA" w:rsidR="00AC7D05" w:rsidRPr="00730C0D" w:rsidRDefault="00AC7D05" w:rsidP="00C93260">
      <w:pPr>
        <w:spacing w:before="0" w:after="0"/>
        <w:rPr>
          <w:rFonts w:ascii="Century Gothic" w:hAnsi="Century Gothic"/>
          <w:sz w:val="20"/>
          <w:szCs w:val="20"/>
          <w:lang w:val="en"/>
        </w:rPr>
      </w:pPr>
      <w:r w:rsidRPr="00730C0D">
        <w:rPr>
          <w:rFonts w:ascii="Century Gothic" w:hAnsi="Century Gothic"/>
          <w:sz w:val="20"/>
          <w:szCs w:val="20"/>
        </w:rPr>
        <w:t>There are many definitions of research. For the purposes of the Threshold Standards, TEQSA defines research as “</w:t>
      </w:r>
      <w:r w:rsidRPr="00730C0D">
        <w:rPr>
          <w:rFonts w:ascii="Century Gothic" w:hAnsi="Century Gothic"/>
          <w:iCs/>
          <w:sz w:val="20"/>
          <w:szCs w:val="20"/>
          <w:lang w:val="en"/>
        </w:rPr>
        <w:t>academic activities of a higher education provider that contribute to new knowledge through original investigation</w:t>
      </w:r>
      <w:r w:rsidRPr="00730C0D">
        <w:rPr>
          <w:rFonts w:ascii="Century Gothic" w:hAnsi="Century Gothic"/>
          <w:sz w:val="20"/>
          <w:szCs w:val="20"/>
          <w:lang w:val="en"/>
        </w:rPr>
        <w:t>”.</w:t>
      </w:r>
      <w:r w:rsidRPr="00730C0D">
        <w:rPr>
          <w:rFonts w:ascii="Century Gothic" w:hAnsi="Century Gothic"/>
          <w:sz w:val="20"/>
          <w:szCs w:val="20"/>
          <w:vertAlign w:val="superscript"/>
          <w:lang w:val="en"/>
        </w:rPr>
        <w:footnoteReference w:id="80"/>
      </w:r>
      <w:r w:rsidRPr="00730C0D">
        <w:rPr>
          <w:rFonts w:ascii="Century Gothic" w:hAnsi="Century Gothic"/>
          <w:sz w:val="20"/>
          <w:szCs w:val="20"/>
          <w:lang w:val="en"/>
        </w:rPr>
        <w:t xml:space="preserve"> This definition points to </w:t>
      </w:r>
      <w:r w:rsidR="00424CDD" w:rsidRPr="00730C0D">
        <w:rPr>
          <w:rFonts w:ascii="Century Gothic" w:hAnsi="Century Gothic"/>
          <w:sz w:val="20"/>
          <w:szCs w:val="20"/>
          <w:lang w:val="en"/>
        </w:rPr>
        <w:t>a requirement</w:t>
      </w:r>
      <w:r w:rsidRPr="00730C0D">
        <w:rPr>
          <w:rFonts w:ascii="Century Gothic" w:hAnsi="Century Gothic"/>
          <w:sz w:val="20"/>
          <w:szCs w:val="20"/>
          <w:lang w:val="en"/>
        </w:rPr>
        <w:t xml:space="preserve"> that research </w:t>
      </w:r>
      <w:r w:rsidR="00424CDD" w:rsidRPr="00730C0D">
        <w:rPr>
          <w:rFonts w:ascii="Century Gothic" w:hAnsi="Century Gothic"/>
          <w:sz w:val="20"/>
          <w:szCs w:val="20"/>
          <w:lang w:val="en"/>
        </w:rPr>
        <w:t>be</w:t>
      </w:r>
      <w:r w:rsidRPr="00730C0D">
        <w:rPr>
          <w:rFonts w:ascii="Century Gothic" w:hAnsi="Century Gothic"/>
          <w:sz w:val="20"/>
          <w:szCs w:val="20"/>
          <w:lang w:val="en"/>
        </w:rPr>
        <w:t xml:space="preserve"> systematic, planned</w:t>
      </w:r>
      <w:r w:rsidR="0068429E" w:rsidRPr="00730C0D">
        <w:rPr>
          <w:rFonts w:ascii="Century Gothic" w:hAnsi="Century Gothic"/>
          <w:sz w:val="20"/>
          <w:szCs w:val="20"/>
          <w:lang w:val="en"/>
        </w:rPr>
        <w:t>,</w:t>
      </w:r>
      <w:r w:rsidRPr="00730C0D">
        <w:rPr>
          <w:rFonts w:ascii="Century Gothic" w:hAnsi="Century Gothic"/>
          <w:sz w:val="20"/>
          <w:szCs w:val="20"/>
          <w:lang w:val="en"/>
        </w:rPr>
        <w:t xml:space="preserve"> and purposive. Research can be carried out in all academic disciplines and may involve a range of tools</w:t>
      </w:r>
      <w:r w:rsidR="0068429E" w:rsidRPr="00730C0D">
        <w:rPr>
          <w:rFonts w:ascii="Century Gothic" w:hAnsi="Century Gothic"/>
          <w:sz w:val="20"/>
          <w:szCs w:val="20"/>
          <w:lang w:val="en"/>
        </w:rPr>
        <w:t>, methodologies,</w:t>
      </w:r>
      <w:r w:rsidRPr="00730C0D">
        <w:rPr>
          <w:rFonts w:ascii="Century Gothic" w:hAnsi="Century Gothic"/>
          <w:sz w:val="20"/>
          <w:szCs w:val="20"/>
          <w:lang w:val="en"/>
        </w:rPr>
        <w:t xml:space="preserve"> and media. TEQSA also has regard for the Higher Education Research Data Collection (HERDC) definition, which is supported by the </w:t>
      </w:r>
      <w:r w:rsidRPr="00730C0D">
        <w:rPr>
          <w:rFonts w:ascii="Century Gothic" w:hAnsi="Century Gothic"/>
          <w:sz w:val="20"/>
          <w:szCs w:val="20"/>
        </w:rPr>
        <w:t>Excellence in Research for Australia (ERA) assessment, of research being “</w:t>
      </w:r>
      <w:r w:rsidRPr="00730C0D">
        <w:rPr>
          <w:rFonts w:ascii="Century Gothic" w:hAnsi="Century Gothic"/>
          <w:iCs/>
          <w:sz w:val="20"/>
          <w:szCs w:val="20"/>
          <w:lang w:val="en"/>
        </w:rPr>
        <w:t>the creation of new knowledge and/or the use of existing knowledge in a new and creative way so as to generate new concepts, methodologies and understandings</w:t>
      </w:r>
      <w:r w:rsidRPr="00730C0D">
        <w:rPr>
          <w:rFonts w:ascii="Century Gothic" w:hAnsi="Century Gothic"/>
          <w:sz w:val="20"/>
          <w:szCs w:val="20"/>
          <w:lang w:val="en"/>
        </w:rPr>
        <w:t>”.</w:t>
      </w:r>
      <w:r w:rsidRPr="00730C0D">
        <w:rPr>
          <w:rFonts w:ascii="Century Gothic" w:hAnsi="Century Gothic"/>
          <w:sz w:val="20"/>
          <w:szCs w:val="20"/>
          <w:vertAlign w:val="superscript"/>
          <w:lang w:val="en"/>
        </w:rPr>
        <w:footnoteReference w:id="81"/>
      </w:r>
    </w:p>
    <w:p w14:paraId="6CA17CB0" w14:textId="1996AC30" w:rsidR="00AC7D05" w:rsidRPr="00730C0D" w:rsidRDefault="00AC7D05" w:rsidP="00D31B9A">
      <w:pPr>
        <w:spacing w:before="0" w:after="0"/>
        <w:rPr>
          <w:rFonts w:ascii="Century Gothic" w:hAnsi="Century Gothic"/>
          <w:sz w:val="20"/>
          <w:szCs w:val="20"/>
          <w:lang w:val="en"/>
        </w:rPr>
      </w:pPr>
    </w:p>
    <w:p w14:paraId="2D7C085B" w14:textId="0EBE2101" w:rsidR="00151C74" w:rsidRPr="00730C0D" w:rsidRDefault="00AC7D05" w:rsidP="00C93260">
      <w:pPr>
        <w:spacing w:before="0" w:after="0"/>
        <w:rPr>
          <w:rFonts w:ascii="Century Gothic" w:hAnsi="Century Gothic"/>
          <w:sz w:val="20"/>
          <w:szCs w:val="20"/>
          <w:lang w:val="en-US"/>
        </w:rPr>
      </w:pPr>
      <w:r w:rsidRPr="00730C0D">
        <w:rPr>
          <w:rFonts w:ascii="Century Gothic" w:hAnsi="Century Gothic"/>
          <w:sz w:val="20"/>
          <w:szCs w:val="20"/>
        </w:rPr>
        <w:t>Overall, Australia performs well internationally in research. Australia has just 0.3 per cent of the world’s population but produces 2.6 per cent of the world’s published scientific research</w:t>
      </w:r>
      <w:r w:rsidR="00670173" w:rsidRPr="00730C0D">
        <w:rPr>
          <w:rFonts w:ascii="Century Gothic" w:hAnsi="Century Gothic"/>
          <w:sz w:val="20"/>
          <w:szCs w:val="20"/>
        </w:rPr>
        <w:t>.</w:t>
      </w:r>
      <w:r w:rsidR="00775D62" w:rsidRPr="00730C0D">
        <w:rPr>
          <w:rStyle w:val="FootnoteReference"/>
          <w:rFonts w:ascii="Century Gothic" w:hAnsi="Century Gothic"/>
          <w:sz w:val="20"/>
          <w:szCs w:val="20"/>
        </w:rPr>
        <w:footnoteReference w:id="82"/>
      </w:r>
      <w:r w:rsidRPr="00730C0D">
        <w:rPr>
          <w:rFonts w:ascii="Century Gothic" w:hAnsi="Century Gothic"/>
          <w:sz w:val="20"/>
          <w:szCs w:val="20"/>
        </w:rPr>
        <w:t xml:space="preserve"> </w:t>
      </w:r>
      <w:r w:rsidRPr="00730C0D">
        <w:rPr>
          <w:rFonts w:ascii="Century Gothic" w:hAnsi="Century Gothic"/>
          <w:sz w:val="20"/>
          <w:szCs w:val="20"/>
          <w:lang w:val="en-US"/>
        </w:rPr>
        <w:t xml:space="preserve">In the latest ERA rankings, </w:t>
      </w:r>
      <w:r w:rsidRPr="00730C0D">
        <w:rPr>
          <w:rFonts w:ascii="Century Gothic" w:hAnsi="Century Gothic"/>
          <w:bCs/>
          <w:sz w:val="20"/>
          <w:szCs w:val="20"/>
          <w:lang w:val="en-US"/>
        </w:rPr>
        <w:t xml:space="preserve">89 per </w:t>
      </w:r>
      <w:r w:rsidRPr="00FD6110">
        <w:rPr>
          <w:rFonts w:ascii="Century Gothic" w:hAnsi="Century Gothic"/>
          <w:sz w:val="20"/>
          <w:szCs w:val="20"/>
        </w:rPr>
        <w:t>cent</w:t>
      </w:r>
      <w:r w:rsidRPr="00730C0D">
        <w:rPr>
          <w:rFonts w:ascii="Century Gothic" w:hAnsi="Century Gothic"/>
          <w:sz w:val="20"/>
          <w:szCs w:val="20"/>
          <w:lang w:val="en-US"/>
        </w:rPr>
        <w:t xml:space="preserve"> of Australia’s university research areas </w:t>
      </w:r>
      <w:r w:rsidRPr="00C93260">
        <w:rPr>
          <w:rFonts w:ascii="Century Gothic" w:hAnsi="Century Gothic"/>
          <w:sz w:val="20"/>
          <w:szCs w:val="20"/>
          <w:lang w:val="en"/>
        </w:rPr>
        <w:t>were</w:t>
      </w:r>
      <w:r w:rsidRPr="00730C0D">
        <w:rPr>
          <w:rFonts w:ascii="Century Gothic" w:hAnsi="Century Gothic"/>
          <w:sz w:val="20"/>
          <w:szCs w:val="20"/>
          <w:lang w:val="en-US"/>
        </w:rPr>
        <w:t xml:space="preserve"> rated as at world standard</w:t>
      </w:r>
      <w:r w:rsidR="00EE00B4" w:rsidRPr="00730C0D">
        <w:rPr>
          <w:rFonts w:ascii="Century Gothic" w:hAnsi="Century Gothic"/>
          <w:sz w:val="20"/>
          <w:szCs w:val="20"/>
          <w:lang w:val="en-US"/>
        </w:rPr>
        <w:t xml:space="preserve"> or above</w:t>
      </w:r>
      <w:r w:rsidRPr="00730C0D">
        <w:rPr>
          <w:rFonts w:ascii="Century Gothic" w:hAnsi="Century Gothic"/>
          <w:sz w:val="20"/>
          <w:szCs w:val="20"/>
          <w:lang w:val="en-US"/>
        </w:rPr>
        <w:t>.</w:t>
      </w:r>
      <w:r w:rsidRPr="00730C0D">
        <w:rPr>
          <w:rStyle w:val="FootnoteReference"/>
          <w:rFonts w:ascii="Century Gothic" w:hAnsi="Century Gothic"/>
          <w:sz w:val="20"/>
          <w:szCs w:val="20"/>
          <w:lang w:val="en-US"/>
        </w:rPr>
        <w:footnoteReference w:id="83"/>
      </w:r>
      <w:r w:rsidR="00CA2512" w:rsidRPr="00730C0D">
        <w:rPr>
          <w:rFonts w:ascii="Century Gothic" w:hAnsi="Century Gothic"/>
          <w:sz w:val="20"/>
          <w:szCs w:val="20"/>
          <w:lang w:val="en-US"/>
        </w:rPr>
        <w:t xml:space="preserve"> Australia’s “</w:t>
      </w:r>
      <w:r w:rsidR="00CA2512" w:rsidRPr="00730C0D">
        <w:rPr>
          <w:rFonts w:ascii="Century Gothic" w:hAnsi="Century Gothic"/>
          <w:sz w:val="20"/>
          <w:szCs w:val="20"/>
        </w:rPr>
        <w:t>university research is skewed towards scientific and</w:t>
      </w:r>
      <w:r w:rsidR="00670173" w:rsidRPr="00730C0D">
        <w:rPr>
          <w:rFonts w:ascii="Century Gothic" w:hAnsi="Century Gothic"/>
          <w:sz w:val="20"/>
          <w:szCs w:val="20"/>
        </w:rPr>
        <w:t xml:space="preserve"> </w:t>
      </w:r>
      <w:r w:rsidR="00CA2512" w:rsidRPr="00730C0D">
        <w:rPr>
          <w:rFonts w:ascii="Century Gothic" w:hAnsi="Century Gothic"/>
          <w:sz w:val="20"/>
          <w:szCs w:val="20"/>
        </w:rPr>
        <w:t>technological fields, with medical research a priority”.</w:t>
      </w:r>
      <w:r w:rsidR="00F466B2" w:rsidRPr="00730C0D">
        <w:rPr>
          <w:rStyle w:val="FootnoteReference"/>
          <w:rFonts w:ascii="Century Gothic" w:hAnsi="Century Gothic"/>
          <w:sz w:val="20"/>
          <w:szCs w:val="20"/>
        </w:rPr>
        <w:footnoteReference w:id="84"/>
      </w:r>
      <w:r w:rsidR="00CA2512" w:rsidRPr="00730C0D">
        <w:rPr>
          <w:rFonts w:ascii="Century Gothic" w:hAnsi="Century Gothic"/>
          <w:sz w:val="20"/>
          <w:szCs w:val="20"/>
        </w:rPr>
        <w:t xml:space="preserve"> </w:t>
      </w:r>
      <w:r w:rsidR="00F466B2" w:rsidRPr="00730C0D">
        <w:rPr>
          <w:rFonts w:ascii="Century Gothic" w:hAnsi="Century Gothic"/>
          <w:sz w:val="20"/>
          <w:szCs w:val="20"/>
        </w:rPr>
        <w:t xml:space="preserve">It is </w:t>
      </w:r>
      <w:r w:rsidR="00D176DF" w:rsidRPr="00730C0D">
        <w:rPr>
          <w:rFonts w:ascii="Century Gothic" w:hAnsi="Century Gothic"/>
          <w:sz w:val="20"/>
          <w:szCs w:val="20"/>
        </w:rPr>
        <w:t>also worthwhile to note</w:t>
      </w:r>
      <w:r w:rsidR="00F466B2" w:rsidRPr="00730C0D">
        <w:rPr>
          <w:rFonts w:ascii="Century Gothic" w:hAnsi="Century Gothic"/>
          <w:sz w:val="20"/>
          <w:szCs w:val="20"/>
        </w:rPr>
        <w:t xml:space="preserve"> that o</w:t>
      </w:r>
      <w:r w:rsidR="00CA2512" w:rsidRPr="00730C0D">
        <w:rPr>
          <w:rFonts w:ascii="Century Gothic" w:hAnsi="Century Gothic"/>
          <w:sz w:val="20"/>
          <w:szCs w:val="20"/>
        </w:rPr>
        <w:t xml:space="preserve">ver half </w:t>
      </w:r>
      <w:r w:rsidR="000F2B25" w:rsidRPr="00730C0D">
        <w:rPr>
          <w:rFonts w:ascii="Century Gothic" w:hAnsi="Century Gothic"/>
          <w:sz w:val="20"/>
          <w:szCs w:val="20"/>
        </w:rPr>
        <w:t>(53 per cent) of research expenditure</w:t>
      </w:r>
      <w:r w:rsidR="000F2B25" w:rsidRPr="00730C0D">
        <w:rPr>
          <w:rStyle w:val="FootnoteReference"/>
          <w:rFonts w:ascii="Century Gothic" w:hAnsi="Century Gothic"/>
          <w:sz w:val="20"/>
          <w:szCs w:val="20"/>
        </w:rPr>
        <w:footnoteReference w:id="85"/>
      </w:r>
      <w:r w:rsidR="000F2B25" w:rsidRPr="00730C0D">
        <w:rPr>
          <w:rFonts w:ascii="Century Gothic" w:hAnsi="Century Gothic"/>
          <w:sz w:val="20"/>
          <w:szCs w:val="20"/>
        </w:rPr>
        <w:t xml:space="preserve"> is accounted for by the </w:t>
      </w:r>
      <w:r w:rsidR="007B34DF" w:rsidRPr="00730C0D">
        <w:rPr>
          <w:rFonts w:ascii="Century Gothic" w:hAnsi="Century Gothic"/>
          <w:sz w:val="20"/>
          <w:szCs w:val="20"/>
        </w:rPr>
        <w:t xml:space="preserve">following four fields of research </w:t>
      </w:r>
      <w:r w:rsidR="00FD6110">
        <w:rPr>
          <w:rFonts w:ascii="Century Gothic" w:hAnsi="Century Gothic"/>
          <w:sz w:val="20"/>
          <w:szCs w:val="20"/>
        </w:rPr>
        <w:t>–</w:t>
      </w:r>
      <w:r w:rsidR="000F2B25" w:rsidRPr="00730C0D">
        <w:rPr>
          <w:rFonts w:ascii="Century Gothic" w:hAnsi="Century Gothic"/>
          <w:sz w:val="20"/>
          <w:szCs w:val="20"/>
        </w:rPr>
        <w:t xml:space="preserve"> Medical</w:t>
      </w:r>
      <w:r w:rsidR="00FD6110">
        <w:rPr>
          <w:rFonts w:ascii="Century Gothic" w:hAnsi="Century Gothic"/>
          <w:sz w:val="20"/>
          <w:szCs w:val="20"/>
        </w:rPr>
        <w:t xml:space="preserve"> </w:t>
      </w:r>
      <w:r w:rsidR="000F2B25" w:rsidRPr="00730C0D">
        <w:rPr>
          <w:rFonts w:ascii="Century Gothic" w:hAnsi="Century Gothic"/>
          <w:sz w:val="20"/>
          <w:szCs w:val="20"/>
        </w:rPr>
        <w:t>and Health Sciences, Engineering, Biological Sciences</w:t>
      </w:r>
      <w:r w:rsidR="007B34DF" w:rsidRPr="00730C0D">
        <w:rPr>
          <w:rFonts w:ascii="Century Gothic" w:hAnsi="Century Gothic"/>
          <w:sz w:val="20"/>
          <w:szCs w:val="20"/>
        </w:rPr>
        <w:t>,</w:t>
      </w:r>
      <w:r w:rsidR="000F2B25" w:rsidRPr="00730C0D">
        <w:rPr>
          <w:rFonts w:ascii="Century Gothic" w:hAnsi="Century Gothic"/>
          <w:sz w:val="20"/>
          <w:szCs w:val="20"/>
        </w:rPr>
        <w:t xml:space="preserve"> and Studies in Human Society.</w:t>
      </w:r>
      <w:r w:rsidR="000F2B25" w:rsidRPr="00730C0D">
        <w:rPr>
          <w:rStyle w:val="FootnoteReference"/>
          <w:rFonts w:ascii="Century Gothic" w:hAnsi="Century Gothic"/>
          <w:sz w:val="20"/>
          <w:szCs w:val="20"/>
        </w:rPr>
        <w:footnoteReference w:id="86"/>
      </w:r>
      <w:r w:rsidR="000F2B25" w:rsidRPr="00730C0D">
        <w:rPr>
          <w:rFonts w:ascii="Century Gothic" w:hAnsi="Century Gothic"/>
          <w:sz w:val="20"/>
          <w:szCs w:val="20"/>
        </w:rPr>
        <w:t xml:space="preserve"> </w:t>
      </w:r>
    </w:p>
    <w:p w14:paraId="46F3FBED" w14:textId="7529234D" w:rsidR="00AC7D05" w:rsidRPr="00730C0D" w:rsidRDefault="00AC7D05" w:rsidP="00D31B9A">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Quality and Quantity of Research</w:t>
      </w:r>
    </w:p>
    <w:p w14:paraId="5B37E0B5" w14:textId="5F04D087" w:rsidR="00AC7D05" w:rsidRPr="00730C0D" w:rsidRDefault="008608FC" w:rsidP="00D31B9A">
      <w:pPr>
        <w:spacing w:before="0" w:after="0"/>
        <w:rPr>
          <w:rFonts w:ascii="Century Gothic" w:hAnsi="Century Gothic"/>
          <w:sz w:val="20"/>
          <w:szCs w:val="20"/>
        </w:rPr>
      </w:pPr>
      <w:r w:rsidRPr="00730C0D">
        <w:rPr>
          <w:rFonts w:ascii="Century Gothic" w:hAnsi="Century Gothic"/>
          <w:sz w:val="20"/>
          <w:szCs w:val="20"/>
        </w:rPr>
        <w:t>There is great diversity in the quality and quantity of r</w:t>
      </w:r>
      <w:r w:rsidR="00AC7D05" w:rsidRPr="00730C0D">
        <w:rPr>
          <w:rFonts w:ascii="Century Gothic" w:hAnsi="Century Gothic"/>
          <w:sz w:val="20"/>
          <w:szCs w:val="20"/>
        </w:rPr>
        <w:t xml:space="preserve">esearch </w:t>
      </w:r>
      <w:r w:rsidRPr="00730C0D">
        <w:rPr>
          <w:rFonts w:ascii="Century Gothic" w:hAnsi="Century Gothic"/>
          <w:sz w:val="20"/>
          <w:szCs w:val="20"/>
        </w:rPr>
        <w:t>outputs by Australian universities</w:t>
      </w:r>
      <w:r w:rsidR="00AC7D05" w:rsidRPr="00730C0D">
        <w:rPr>
          <w:rFonts w:ascii="Century Gothic" w:hAnsi="Century Gothic"/>
          <w:sz w:val="20"/>
          <w:szCs w:val="20"/>
        </w:rPr>
        <w:t xml:space="preserve">. Some universities conduct research and deliver higher degrees by research in </w:t>
      </w:r>
      <w:r w:rsidR="008F3689" w:rsidRPr="00730C0D">
        <w:rPr>
          <w:rFonts w:ascii="Century Gothic" w:hAnsi="Century Gothic"/>
          <w:sz w:val="20"/>
          <w:szCs w:val="20"/>
        </w:rPr>
        <w:t xml:space="preserve">most </w:t>
      </w:r>
      <w:r w:rsidR="00AC7D05" w:rsidRPr="00730C0D">
        <w:rPr>
          <w:rFonts w:ascii="Century Gothic" w:hAnsi="Century Gothic"/>
          <w:sz w:val="20"/>
          <w:szCs w:val="20"/>
        </w:rPr>
        <w:t>fields of education, others in relatively few fields. Some universities conduct research at or above world standard across their entire academic profi</w:t>
      </w:r>
      <w:r w:rsidR="00A34FAA" w:rsidRPr="00730C0D">
        <w:rPr>
          <w:rFonts w:ascii="Century Gothic" w:hAnsi="Century Gothic"/>
          <w:sz w:val="20"/>
          <w:szCs w:val="20"/>
        </w:rPr>
        <w:t xml:space="preserve">le, others in relatively few. </w:t>
      </w:r>
      <w:r w:rsidR="00E335E8" w:rsidRPr="00730C0D">
        <w:rPr>
          <w:rFonts w:ascii="Century Gothic" w:hAnsi="Century Gothic"/>
          <w:sz w:val="20"/>
          <w:szCs w:val="20"/>
        </w:rPr>
        <w:t>Although </w:t>
      </w:r>
      <w:r w:rsidR="00AC7D05" w:rsidRPr="00730C0D">
        <w:rPr>
          <w:rFonts w:ascii="Century Gothic" w:hAnsi="Century Gothic"/>
          <w:sz w:val="20"/>
          <w:szCs w:val="20"/>
        </w:rPr>
        <w:t>the requirement for universities to undertake both teaching and research is set out in the PCS, there are currently no definitions for the quality or quantity of research required</w:t>
      </w:r>
      <w:r w:rsidR="008F3689" w:rsidRPr="00730C0D">
        <w:rPr>
          <w:rFonts w:ascii="Century Gothic" w:hAnsi="Century Gothic"/>
          <w:sz w:val="20"/>
          <w:szCs w:val="20"/>
        </w:rPr>
        <w:t>, which partly accounts for this diversity</w:t>
      </w:r>
      <w:r w:rsidR="00AC7D05" w:rsidRPr="00730C0D">
        <w:rPr>
          <w:rFonts w:ascii="Century Gothic" w:hAnsi="Century Gothic"/>
          <w:sz w:val="20"/>
          <w:szCs w:val="20"/>
        </w:rPr>
        <w:t xml:space="preserve">. </w:t>
      </w:r>
    </w:p>
    <w:p w14:paraId="09B470E6" w14:textId="6478CAB1" w:rsidR="00AC7D05" w:rsidRPr="00730C0D" w:rsidRDefault="00AC7D05" w:rsidP="00D31B9A">
      <w:pPr>
        <w:spacing w:before="0" w:after="0"/>
        <w:rPr>
          <w:rFonts w:ascii="Century Gothic" w:hAnsi="Century Gothic"/>
          <w:sz w:val="20"/>
          <w:szCs w:val="20"/>
        </w:rPr>
      </w:pPr>
    </w:p>
    <w:p w14:paraId="0904C358" w14:textId="268102ED" w:rsidR="00897BFC" w:rsidRPr="00730C0D" w:rsidRDefault="00897BFC" w:rsidP="00D31B9A">
      <w:pPr>
        <w:spacing w:before="0" w:after="0"/>
        <w:rPr>
          <w:rFonts w:ascii="Century Gothic" w:hAnsi="Century Gothic"/>
          <w:i/>
          <w:sz w:val="20"/>
          <w:szCs w:val="20"/>
        </w:rPr>
      </w:pPr>
      <w:r w:rsidRPr="00730C0D">
        <w:rPr>
          <w:rFonts w:ascii="Century Gothic" w:hAnsi="Century Gothic"/>
          <w:i/>
          <w:sz w:val="20"/>
          <w:szCs w:val="20"/>
        </w:rPr>
        <w:t>Current Requirements</w:t>
      </w:r>
    </w:p>
    <w:p w14:paraId="6286C136" w14:textId="2F7E4AD0"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On narrowest interpretation, to achieve ‘Australian University’ status, a provider could demonstrate the research requirements by delivering a single undergraduate and postgraduate course, undertaking a single research project in each of </w:t>
      </w:r>
      <w:r w:rsidR="008608FC" w:rsidRPr="00730C0D">
        <w:rPr>
          <w:rFonts w:ascii="Century Gothic" w:hAnsi="Century Gothic"/>
          <w:sz w:val="20"/>
          <w:szCs w:val="20"/>
        </w:rPr>
        <w:t xml:space="preserve">the </w:t>
      </w:r>
      <w:r w:rsidRPr="00730C0D">
        <w:rPr>
          <w:rFonts w:ascii="Century Gothic" w:hAnsi="Century Gothic"/>
          <w:sz w:val="20"/>
          <w:szCs w:val="20"/>
        </w:rPr>
        <w:t>three required fields of education in a given year, and publishing at least one</w:t>
      </w:r>
      <w:r w:rsidR="008F3689" w:rsidRPr="00730C0D">
        <w:rPr>
          <w:rFonts w:ascii="Century Gothic" w:hAnsi="Century Gothic"/>
          <w:sz w:val="20"/>
          <w:szCs w:val="20"/>
        </w:rPr>
        <w:t xml:space="preserve"> peer-reviewed</w:t>
      </w:r>
      <w:r w:rsidRPr="00730C0D">
        <w:rPr>
          <w:rFonts w:ascii="Century Gothic" w:hAnsi="Century Gothic"/>
          <w:sz w:val="20"/>
          <w:szCs w:val="20"/>
        </w:rPr>
        <w:t xml:space="preserve"> paper from each project in any form at any level of quality. This possibility is concerning as such a level of research at an </w:t>
      </w:r>
      <w:r w:rsidR="008608FC" w:rsidRPr="00730C0D">
        <w:rPr>
          <w:rFonts w:ascii="Century Gothic" w:hAnsi="Century Gothic"/>
          <w:sz w:val="20"/>
          <w:szCs w:val="20"/>
        </w:rPr>
        <w:t>‘</w:t>
      </w:r>
      <w:r w:rsidRPr="00730C0D">
        <w:rPr>
          <w:rFonts w:ascii="Century Gothic" w:hAnsi="Century Gothic"/>
          <w:sz w:val="20"/>
          <w:szCs w:val="20"/>
        </w:rPr>
        <w:t xml:space="preserve">Australian </w:t>
      </w:r>
      <w:r w:rsidR="008608FC" w:rsidRPr="00730C0D">
        <w:rPr>
          <w:rFonts w:ascii="Century Gothic" w:hAnsi="Century Gothic"/>
          <w:sz w:val="20"/>
          <w:szCs w:val="20"/>
        </w:rPr>
        <w:t>U</w:t>
      </w:r>
      <w:r w:rsidRPr="00730C0D">
        <w:rPr>
          <w:rFonts w:ascii="Century Gothic" w:hAnsi="Century Gothic"/>
          <w:sz w:val="20"/>
          <w:szCs w:val="20"/>
        </w:rPr>
        <w:t>niversity</w:t>
      </w:r>
      <w:r w:rsidR="008608FC" w:rsidRPr="00730C0D">
        <w:rPr>
          <w:rFonts w:ascii="Century Gothic" w:hAnsi="Century Gothic"/>
          <w:sz w:val="20"/>
          <w:szCs w:val="20"/>
        </w:rPr>
        <w:t>’</w:t>
      </w:r>
      <w:r w:rsidRPr="00730C0D">
        <w:rPr>
          <w:rFonts w:ascii="Century Gothic" w:hAnsi="Century Gothic"/>
          <w:sz w:val="20"/>
          <w:szCs w:val="20"/>
        </w:rPr>
        <w:t xml:space="preserve"> would not meet any meaningful or reasonable threshold for research performance expected by TEQSA or the wider community. </w:t>
      </w:r>
    </w:p>
    <w:p w14:paraId="094DF6C0" w14:textId="3CE22557" w:rsidR="00B9072B" w:rsidRPr="00730C0D" w:rsidRDefault="00B9072B"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B9072B" w:rsidRPr="00730C0D" w14:paraId="23B9F4AE"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361CDB2E" w14:textId="77777777" w:rsidR="00B9072B" w:rsidRPr="00730C0D" w:rsidRDefault="00B9072B" w:rsidP="00C86660">
            <w:pPr>
              <w:spacing w:before="0" w:after="0" w:line="259" w:lineRule="auto"/>
              <w:jc w:val="both"/>
              <w:rPr>
                <w:rFonts w:ascii="Century Gothic" w:hAnsi="Century Gothic"/>
                <w:b w:val="0"/>
                <w:i/>
                <w:color w:val="auto"/>
                <w:sz w:val="20"/>
                <w:szCs w:val="20"/>
              </w:rPr>
            </w:pPr>
          </w:p>
          <w:p w14:paraId="0C1154D2" w14:textId="2226C701" w:rsidR="00B9072B" w:rsidRPr="00730C0D" w:rsidRDefault="00B9072B"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“The PCS specify research activity across fields of research, but not the quantum of activity necessary to be identified as research active. This has implications for how universities approach research, the utilisation of intermediary university categories, and regulation of other providers”.</w:t>
            </w:r>
          </w:p>
          <w:p w14:paraId="0FEFBF5A" w14:textId="77777777" w:rsidR="00B9072B" w:rsidRPr="00730C0D" w:rsidRDefault="00B9072B" w:rsidP="00C86660">
            <w:pPr>
              <w:spacing w:before="0" w:after="0" w:line="259" w:lineRule="auto"/>
              <w:jc w:val="both"/>
              <w:rPr>
                <w:rFonts w:ascii="Century Gothic" w:hAnsi="Century Gothic" w:cstheme="minorHAnsi"/>
                <w:color w:val="auto"/>
                <w:sz w:val="20"/>
                <w:szCs w:val="20"/>
              </w:rPr>
            </w:pPr>
          </w:p>
          <w:p w14:paraId="7B8CA8F9" w14:textId="7F37AB72" w:rsidR="00B9072B" w:rsidRPr="00730C0D" w:rsidRDefault="00B9072B"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Deakin University submission to the PCS Review 2019, p.</w:t>
            </w:r>
            <w:r w:rsidR="00A13008" w:rsidRPr="00730C0D">
              <w:rPr>
                <w:rFonts w:ascii="Century Gothic" w:hAnsi="Century Gothic" w:cstheme="minorHAnsi"/>
                <w:color w:val="2763AC"/>
                <w:sz w:val="18"/>
                <w:szCs w:val="18"/>
              </w:rPr>
              <w:t>2</w:t>
            </w:r>
          </w:p>
          <w:p w14:paraId="5E3B4B05" w14:textId="77777777" w:rsidR="00B9072B" w:rsidRPr="00730C0D" w:rsidRDefault="00B9072B" w:rsidP="00C86660">
            <w:pPr>
              <w:spacing w:before="0" w:after="0" w:line="259" w:lineRule="auto"/>
              <w:jc w:val="right"/>
              <w:rPr>
                <w:rFonts w:ascii="Century Gothic" w:hAnsi="Century Gothic"/>
                <w:b w:val="0"/>
                <w:color w:val="auto"/>
                <w:sz w:val="20"/>
                <w:szCs w:val="20"/>
              </w:rPr>
            </w:pPr>
          </w:p>
        </w:tc>
      </w:tr>
    </w:tbl>
    <w:p w14:paraId="40D58EEC" w14:textId="77777777" w:rsidR="00D176DF" w:rsidRPr="00730C0D" w:rsidRDefault="00D176DF" w:rsidP="00D31B9A">
      <w:pPr>
        <w:spacing w:before="0" w:after="0"/>
        <w:rPr>
          <w:rFonts w:ascii="Century Gothic" w:hAnsi="Century Gothic"/>
          <w:sz w:val="20"/>
          <w:szCs w:val="20"/>
        </w:rPr>
      </w:pPr>
    </w:p>
    <w:p w14:paraId="307417FE" w14:textId="13C7057A" w:rsidR="00AC7D05" w:rsidRPr="00E6326F" w:rsidRDefault="00AC7D05" w:rsidP="009C33A5">
      <w:pPr>
        <w:spacing w:before="0" w:after="0"/>
        <w:ind w:right="-46"/>
        <w:rPr>
          <w:rFonts w:ascii="Century Gothic" w:hAnsi="Century Gothic"/>
          <w:sz w:val="20"/>
          <w:szCs w:val="20"/>
        </w:rPr>
      </w:pPr>
      <w:r w:rsidRPr="00E6326F">
        <w:rPr>
          <w:rFonts w:ascii="Century Gothic" w:hAnsi="Century Gothic"/>
          <w:sz w:val="20"/>
          <w:szCs w:val="20"/>
        </w:rPr>
        <w:t xml:space="preserve">Some stakeholders advocate for research requirements to remain unchanged as research activities are fluid and </w:t>
      </w:r>
      <w:r w:rsidR="008F3689" w:rsidRPr="00E6326F">
        <w:rPr>
          <w:rFonts w:ascii="Century Gothic" w:hAnsi="Century Gothic"/>
          <w:sz w:val="20"/>
          <w:szCs w:val="20"/>
        </w:rPr>
        <w:t xml:space="preserve">can be </w:t>
      </w:r>
      <w:r w:rsidR="00424CDD" w:rsidRPr="00E6326F">
        <w:rPr>
          <w:rFonts w:ascii="Century Gothic" w:hAnsi="Century Gothic"/>
          <w:sz w:val="20"/>
          <w:szCs w:val="20"/>
        </w:rPr>
        <w:t xml:space="preserve">problematic </w:t>
      </w:r>
      <w:r w:rsidRPr="00E6326F">
        <w:rPr>
          <w:rFonts w:ascii="Century Gothic" w:hAnsi="Century Gothic"/>
          <w:sz w:val="20"/>
          <w:szCs w:val="20"/>
        </w:rPr>
        <w:t>to define. The Review accepts the complex nature of the issue</w:t>
      </w:r>
      <w:r w:rsidR="00424CDD" w:rsidRPr="00E6326F">
        <w:rPr>
          <w:rFonts w:ascii="Century Gothic" w:hAnsi="Century Gothic"/>
          <w:sz w:val="20"/>
          <w:szCs w:val="20"/>
        </w:rPr>
        <w:t>, though is of the view</w:t>
      </w:r>
      <w:r w:rsidRPr="00E6326F">
        <w:rPr>
          <w:rFonts w:ascii="Century Gothic" w:hAnsi="Century Gothic"/>
          <w:sz w:val="20"/>
          <w:szCs w:val="20"/>
        </w:rPr>
        <w:t xml:space="preserve"> that there is value in providing more specific requirements in the PCS relating to the quality and quantity of research. </w:t>
      </w:r>
      <w:r w:rsidR="008F3689" w:rsidRPr="00E6326F">
        <w:rPr>
          <w:rFonts w:ascii="Century Gothic" w:hAnsi="Century Gothic"/>
          <w:sz w:val="20"/>
          <w:szCs w:val="20"/>
        </w:rPr>
        <w:t xml:space="preserve">Doing so </w:t>
      </w:r>
      <w:r w:rsidR="00424CDD" w:rsidRPr="00E6326F">
        <w:rPr>
          <w:rFonts w:ascii="Century Gothic" w:hAnsi="Century Gothic"/>
          <w:sz w:val="20"/>
          <w:szCs w:val="20"/>
        </w:rPr>
        <w:t>would assist in setting</w:t>
      </w:r>
      <w:r w:rsidR="008F3689" w:rsidRPr="00E6326F">
        <w:rPr>
          <w:rFonts w:ascii="Century Gothic" w:hAnsi="Century Gothic"/>
          <w:sz w:val="20"/>
          <w:szCs w:val="20"/>
        </w:rPr>
        <w:t xml:space="preserve"> research</w:t>
      </w:r>
      <w:r w:rsidRPr="00E6326F">
        <w:rPr>
          <w:rFonts w:ascii="Century Gothic" w:hAnsi="Century Gothic"/>
          <w:sz w:val="20"/>
          <w:szCs w:val="20"/>
        </w:rPr>
        <w:t xml:space="preserve"> </w:t>
      </w:r>
      <w:r w:rsidR="008F3689" w:rsidRPr="00E6326F">
        <w:rPr>
          <w:rFonts w:ascii="Century Gothic" w:hAnsi="Century Gothic"/>
          <w:sz w:val="20"/>
          <w:szCs w:val="20"/>
        </w:rPr>
        <w:t xml:space="preserve">benchmarks </w:t>
      </w:r>
      <w:r w:rsidRPr="00E6326F">
        <w:rPr>
          <w:rFonts w:ascii="Century Gothic" w:hAnsi="Century Gothic"/>
          <w:sz w:val="20"/>
          <w:szCs w:val="20"/>
        </w:rPr>
        <w:t>in Australian universities, alleviate confusion with, and ambiguity of, research requirements</w:t>
      </w:r>
      <w:r w:rsidR="00E335E8" w:rsidRPr="00E6326F">
        <w:rPr>
          <w:rFonts w:ascii="Century Gothic" w:hAnsi="Century Gothic"/>
          <w:sz w:val="20"/>
          <w:szCs w:val="20"/>
        </w:rPr>
        <w:t>,</w:t>
      </w:r>
      <w:r w:rsidRPr="00E6326F">
        <w:rPr>
          <w:rFonts w:ascii="Century Gothic" w:hAnsi="Century Gothic"/>
          <w:sz w:val="20"/>
          <w:szCs w:val="20"/>
        </w:rPr>
        <w:t xml:space="preserve"> and ensure universities are conducting research</w:t>
      </w:r>
      <w:r w:rsidR="00424CDD" w:rsidRPr="00E6326F">
        <w:rPr>
          <w:rFonts w:ascii="Century Gothic" w:hAnsi="Century Gothic"/>
          <w:sz w:val="20"/>
          <w:szCs w:val="20"/>
        </w:rPr>
        <w:t xml:space="preserve"> of</w:t>
      </w:r>
      <w:r w:rsidR="008F3689" w:rsidRPr="00E6326F">
        <w:rPr>
          <w:rFonts w:ascii="Century Gothic" w:hAnsi="Century Gothic"/>
          <w:sz w:val="20"/>
          <w:szCs w:val="20"/>
        </w:rPr>
        <w:t xml:space="preserve"> a</w:t>
      </w:r>
      <w:r w:rsidR="00424CDD" w:rsidRPr="00E6326F">
        <w:rPr>
          <w:rFonts w:ascii="Century Gothic" w:hAnsi="Century Gothic"/>
          <w:sz w:val="20"/>
          <w:szCs w:val="20"/>
        </w:rPr>
        <w:t xml:space="preserve"> scale and quality</w:t>
      </w:r>
      <w:r w:rsidR="00474B80" w:rsidRPr="00E6326F">
        <w:rPr>
          <w:rFonts w:ascii="Century Gothic" w:hAnsi="Century Gothic"/>
          <w:sz w:val="20"/>
          <w:szCs w:val="20"/>
        </w:rPr>
        <w:t xml:space="preserve"> that </w:t>
      </w:r>
      <w:r w:rsidR="008F3689" w:rsidRPr="00E6326F">
        <w:rPr>
          <w:rFonts w:ascii="Century Gothic" w:hAnsi="Century Gothic"/>
          <w:sz w:val="20"/>
          <w:szCs w:val="20"/>
        </w:rPr>
        <w:t xml:space="preserve">is </w:t>
      </w:r>
      <w:r w:rsidRPr="00E6326F">
        <w:rPr>
          <w:rFonts w:ascii="Century Gothic" w:hAnsi="Century Gothic"/>
          <w:sz w:val="20"/>
          <w:szCs w:val="20"/>
        </w:rPr>
        <w:t xml:space="preserve">in line with community and regulator expectations. Clearer guidance </w:t>
      </w:r>
      <w:r w:rsidR="00D973A4" w:rsidRPr="00E6326F">
        <w:rPr>
          <w:rFonts w:ascii="Century Gothic" w:hAnsi="Century Gothic"/>
          <w:sz w:val="20"/>
          <w:szCs w:val="20"/>
        </w:rPr>
        <w:t xml:space="preserve">would also </w:t>
      </w:r>
      <w:r w:rsidRPr="00E6326F">
        <w:rPr>
          <w:rFonts w:ascii="Century Gothic" w:hAnsi="Century Gothic"/>
          <w:sz w:val="20"/>
          <w:szCs w:val="20"/>
        </w:rPr>
        <w:t xml:space="preserve">assist TEQSA in its regulatory decisions, while still providing flexibility in how research is measured. </w:t>
      </w:r>
    </w:p>
    <w:p w14:paraId="70C92E8F" w14:textId="77777777" w:rsidR="00AC7D05" w:rsidRPr="00E6326F" w:rsidRDefault="00AC7D05" w:rsidP="00D31B9A">
      <w:pPr>
        <w:spacing w:before="0" w:after="0"/>
        <w:rPr>
          <w:rFonts w:ascii="Century Gothic" w:hAnsi="Century Gothic"/>
          <w:sz w:val="20"/>
          <w:szCs w:val="20"/>
        </w:rPr>
      </w:pPr>
    </w:p>
    <w:p w14:paraId="782D30D9" w14:textId="7DAAA384" w:rsidR="00AC7D05" w:rsidRPr="00E6326F" w:rsidRDefault="00AC7D05" w:rsidP="00D31B9A">
      <w:pPr>
        <w:spacing w:before="0" w:after="0"/>
        <w:rPr>
          <w:rFonts w:ascii="Century Gothic" w:hAnsi="Century Gothic"/>
          <w:sz w:val="20"/>
          <w:szCs w:val="20"/>
        </w:rPr>
      </w:pPr>
      <w:r w:rsidRPr="00E6326F">
        <w:rPr>
          <w:rFonts w:ascii="Century Gothic" w:hAnsi="Century Gothic"/>
          <w:sz w:val="20"/>
          <w:szCs w:val="20"/>
        </w:rPr>
        <w:t>The ‘Australian University’ category criteria currently require universities to offer Masters Degrees (Research) and Doctoral Degrees (Research) in at le</w:t>
      </w:r>
      <w:r w:rsidR="00E335E8" w:rsidRPr="00E6326F">
        <w:rPr>
          <w:rFonts w:ascii="Century Gothic" w:hAnsi="Century Gothic"/>
          <w:sz w:val="20"/>
          <w:szCs w:val="20"/>
        </w:rPr>
        <w:t xml:space="preserve">ast three broad fields of study </w:t>
      </w:r>
      <w:r w:rsidRPr="00E6326F">
        <w:rPr>
          <w:rFonts w:ascii="Century Gothic" w:hAnsi="Century Gothic"/>
          <w:sz w:val="20"/>
          <w:szCs w:val="20"/>
        </w:rPr>
        <w:t>and undertake research that leads to the creation of new knowledge in at least those three broad fields. Most stakeholders are satisfied with these current quantity requirements as they help ensure appropriate scales of enterprise. However, given that most Australian universities are already comprehensive institutions delivering courses across a large number of fields of education, there is scope to increase the quantity requirements</w:t>
      </w:r>
      <w:r w:rsidR="00572AD0" w:rsidRPr="00E6326F">
        <w:rPr>
          <w:rFonts w:ascii="Century Gothic" w:hAnsi="Century Gothic"/>
          <w:sz w:val="20"/>
          <w:szCs w:val="20"/>
        </w:rPr>
        <w:t>.</w:t>
      </w:r>
      <w:r w:rsidRPr="00E6326F">
        <w:rPr>
          <w:rFonts w:ascii="Century Gothic" w:hAnsi="Century Gothic"/>
          <w:sz w:val="20"/>
          <w:szCs w:val="20"/>
        </w:rPr>
        <w:t xml:space="preserve"> </w:t>
      </w:r>
      <w:r w:rsidR="00572AD0" w:rsidRPr="00E6326F">
        <w:rPr>
          <w:rFonts w:ascii="Century Gothic" w:hAnsi="Century Gothic"/>
          <w:sz w:val="20"/>
          <w:szCs w:val="20"/>
        </w:rPr>
        <w:t xml:space="preserve">Doing so would </w:t>
      </w:r>
      <w:r w:rsidRPr="00E6326F">
        <w:rPr>
          <w:rFonts w:ascii="Century Gothic" w:hAnsi="Century Gothic"/>
          <w:sz w:val="20"/>
          <w:szCs w:val="20"/>
        </w:rPr>
        <w:t>augment the synergies between research and student</w:t>
      </w:r>
      <w:r w:rsidR="00EE00B4" w:rsidRPr="00E6326F">
        <w:rPr>
          <w:rFonts w:ascii="Century Gothic" w:hAnsi="Century Gothic"/>
          <w:sz w:val="20"/>
          <w:szCs w:val="20"/>
        </w:rPr>
        <w:t xml:space="preserve"> teaching and learning</w:t>
      </w:r>
      <w:r w:rsidRPr="00E6326F">
        <w:rPr>
          <w:rFonts w:ascii="Century Gothic" w:hAnsi="Century Gothic"/>
          <w:sz w:val="20"/>
          <w:szCs w:val="20"/>
        </w:rPr>
        <w:t>, enhance the global competitiveness of Australia’s universities, and maximise student opportunities to engage with research expertise and experiences across a wide range of disciplines.</w:t>
      </w:r>
      <w:r w:rsidR="00C93BDA" w:rsidRPr="00E6326F">
        <w:rPr>
          <w:rFonts w:ascii="Century Gothic" w:hAnsi="Century Gothic"/>
          <w:sz w:val="20"/>
          <w:szCs w:val="20"/>
        </w:rPr>
        <w:t xml:space="preserve"> </w:t>
      </w:r>
    </w:p>
    <w:p w14:paraId="21D4FF64" w14:textId="5ED0394C" w:rsidR="00397487" w:rsidRPr="00E6326F" w:rsidRDefault="00397487" w:rsidP="00D31B9A">
      <w:pPr>
        <w:spacing w:before="0" w:after="0"/>
        <w:rPr>
          <w:rFonts w:ascii="Century Gothic" w:hAnsi="Century Gothic"/>
          <w:sz w:val="20"/>
          <w:szCs w:val="20"/>
        </w:rPr>
      </w:pPr>
    </w:p>
    <w:p w14:paraId="1E61B92F" w14:textId="77777777" w:rsidR="009C33A5" w:rsidRPr="00E6326F" w:rsidRDefault="009C33A5">
      <w:pPr>
        <w:spacing w:before="0" w:after="160"/>
        <w:rPr>
          <w:rFonts w:ascii="Century Gothic" w:hAnsi="Century Gothic"/>
          <w:i/>
          <w:sz w:val="20"/>
          <w:szCs w:val="20"/>
        </w:rPr>
      </w:pPr>
      <w:r w:rsidRPr="00E6326F">
        <w:rPr>
          <w:rFonts w:ascii="Century Gothic" w:hAnsi="Century Gothic"/>
          <w:i/>
          <w:sz w:val="20"/>
          <w:szCs w:val="20"/>
        </w:rPr>
        <w:br w:type="page"/>
      </w:r>
    </w:p>
    <w:p w14:paraId="7532F046" w14:textId="3CB8F37C" w:rsidR="00897BFC" w:rsidRPr="00E6326F" w:rsidRDefault="00897BFC" w:rsidP="00D31B9A">
      <w:pPr>
        <w:spacing w:before="0" w:after="0"/>
        <w:rPr>
          <w:rFonts w:ascii="Century Gothic" w:hAnsi="Century Gothic"/>
          <w:i/>
          <w:sz w:val="20"/>
          <w:szCs w:val="20"/>
        </w:rPr>
      </w:pPr>
      <w:r w:rsidRPr="00E6326F">
        <w:rPr>
          <w:rFonts w:ascii="Century Gothic" w:hAnsi="Century Gothic"/>
          <w:i/>
          <w:sz w:val="20"/>
          <w:szCs w:val="20"/>
        </w:rPr>
        <w:t>Proposed Revisions to Research Requirements</w:t>
      </w:r>
    </w:p>
    <w:p w14:paraId="78B7ECA4" w14:textId="24E409F9" w:rsidR="00AC7D05" w:rsidRPr="00E6326F" w:rsidRDefault="00AC7D05" w:rsidP="00E6326F">
      <w:pPr>
        <w:spacing w:before="0" w:after="0"/>
        <w:ind w:right="-46"/>
        <w:rPr>
          <w:rFonts w:ascii="Century Gothic" w:eastAsia="Calibri" w:hAnsi="Century Gothic" w:cs="Arial"/>
          <w:sz w:val="20"/>
          <w:szCs w:val="20"/>
        </w:rPr>
      </w:pPr>
      <w:r w:rsidRPr="00E6326F">
        <w:rPr>
          <w:rFonts w:ascii="Century Gothic" w:hAnsi="Century Gothic"/>
          <w:sz w:val="20"/>
          <w:szCs w:val="20"/>
        </w:rPr>
        <w:t xml:space="preserve">The Review proposes that universities be expected to deliver Doctoral Degrees (Research) in at least three, or </w:t>
      </w:r>
      <w:r w:rsidRPr="00E6326F">
        <w:rPr>
          <w:rFonts w:ascii="Century Gothic" w:eastAsia="Calibri" w:hAnsi="Century Gothic" w:cs="Arial"/>
          <w:sz w:val="20"/>
          <w:szCs w:val="20"/>
        </w:rPr>
        <w:t>at least 50 per cent, of the broad</w:t>
      </w:r>
      <w:r w:rsidR="002E170A" w:rsidRPr="00E6326F">
        <w:rPr>
          <w:rFonts w:ascii="Century Gothic" w:eastAsia="Calibri" w:hAnsi="Century Gothic" w:cs="Arial"/>
          <w:sz w:val="20"/>
          <w:szCs w:val="20"/>
        </w:rPr>
        <w:t xml:space="preserve"> (2-digit)</w:t>
      </w:r>
      <w:r w:rsidRPr="00E6326F">
        <w:rPr>
          <w:rFonts w:ascii="Century Gothic" w:eastAsia="Calibri" w:hAnsi="Century Gothic" w:cs="Arial"/>
          <w:sz w:val="20"/>
          <w:szCs w:val="20"/>
        </w:rPr>
        <w:t xml:space="preserve"> fields of education</w:t>
      </w:r>
      <w:r w:rsidR="00EE00B4" w:rsidRPr="00E6326F">
        <w:rPr>
          <w:rFonts w:ascii="Century Gothic" w:eastAsia="Calibri" w:hAnsi="Century Gothic" w:cs="Arial"/>
          <w:sz w:val="20"/>
          <w:szCs w:val="20"/>
        </w:rPr>
        <w:t xml:space="preserve"> where courses are</w:t>
      </w:r>
      <w:r w:rsidRPr="00E6326F">
        <w:rPr>
          <w:rFonts w:ascii="Century Gothic" w:eastAsia="Calibri" w:hAnsi="Century Gothic" w:cs="Arial"/>
          <w:sz w:val="20"/>
          <w:szCs w:val="20"/>
        </w:rPr>
        <w:t xml:space="preserve"> delivered, whichever is greater. </w:t>
      </w:r>
      <w:r w:rsidRPr="00E6326F">
        <w:rPr>
          <w:rFonts w:ascii="Century Gothic" w:hAnsi="Century Gothic"/>
          <w:sz w:val="20"/>
          <w:szCs w:val="20"/>
        </w:rPr>
        <w:t>This is an increase in requirements from the current PCS</w:t>
      </w:r>
      <w:r w:rsidR="00A509AF" w:rsidRPr="00E6326F">
        <w:rPr>
          <w:rFonts w:ascii="Century Gothic" w:hAnsi="Century Gothic"/>
          <w:sz w:val="20"/>
          <w:szCs w:val="20"/>
        </w:rPr>
        <w:t xml:space="preserve"> for larger universities</w:t>
      </w:r>
      <w:r w:rsidR="00424CDD" w:rsidRPr="00E6326F">
        <w:rPr>
          <w:rFonts w:ascii="Century Gothic" w:hAnsi="Century Gothic"/>
          <w:sz w:val="20"/>
          <w:szCs w:val="20"/>
        </w:rPr>
        <w:t xml:space="preserve">. However, </w:t>
      </w:r>
      <w:r w:rsidRPr="00E6326F">
        <w:rPr>
          <w:rFonts w:ascii="Century Gothic" w:hAnsi="Century Gothic"/>
          <w:sz w:val="20"/>
          <w:szCs w:val="20"/>
        </w:rPr>
        <w:t xml:space="preserve">for </w:t>
      </w:r>
      <w:r w:rsidR="00D176DF" w:rsidRPr="00E6326F">
        <w:rPr>
          <w:rFonts w:ascii="Century Gothic" w:hAnsi="Century Gothic"/>
          <w:sz w:val="20"/>
          <w:szCs w:val="20"/>
        </w:rPr>
        <w:t xml:space="preserve">such </w:t>
      </w:r>
      <w:r w:rsidRPr="00E6326F">
        <w:rPr>
          <w:rFonts w:ascii="Century Gothic" w:hAnsi="Century Gothic"/>
          <w:sz w:val="20"/>
          <w:szCs w:val="20"/>
        </w:rPr>
        <w:t>large universities, which may offer courses in a number of fields of education, undertaking research and offering Doctoral Degrees (Research) in more than three fields of education is a reasonable and worthwhile expectation. For smaller institutions</w:t>
      </w:r>
      <w:r w:rsidR="00A509AF" w:rsidRPr="00E6326F">
        <w:rPr>
          <w:rFonts w:ascii="Century Gothic" w:hAnsi="Century Gothic"/>
          <w:sz w:val="20"/>
          <w:szCs w:val="20"/>
        </w:rPr>
        <w:t xml:space="preserve"> that may only be</w:t>
      </w:r>
      <w:r w:rsidRPr="00E6326F">
        <w:rPr>
          <w:rFonts w:ascii="Century Gothic" w:hAnsi="Century Gothic"/>
          <w:sz w:val="20"/>
          <w:szCs w:val="20"/>
        </w:rPr>
        <w:t xml:space="preserve"> offering</w:t>
      </w:r>
      <w:r w:rsidR="00D176DF" w:rsidRPr="00E6326F">
        <w:rPr>
          <w:rFonts w:ascii="Century Gothic" w:hAnsi="Century Gothic"/>
          <w:sz w:val="20"/>
          <w:szCs w:val="20"/>
        </w:rPr>
        <w:t>, for example,</w:t>
      </w:r>
      <w:r w:rsidRPr="00E6326F">
        <w:rPr>
          <w:rFonts w:ascii="Century Gothic" w:hAnsi="Century Gothic"/>
          <w:sz w:val="20"/>
          <w:szCs w:val="20"/>
        </w:rPr>
        <w:t xml:space="preserve"> three</w:t>
      </w:r>
      <w:r w:rsidR="00A509AF" w:rsidRPr="00E6326F">
        <w:rPr>
          <w:rFonts w:ascii="Century Gothic" w:hAnsi="Century Gothic"/>
          <w:sz w:val="20"/>
          <w:szCs w:val="20"/>
        </w:rPr>
        <w:t xml:space="preserve"> or four</w:t>
      </w:r>
      <w:r w:rsidRPr="00E6326F">
        <w:rPr>
          <w:rFonts w:ascii="Century Gothic" w:hAnsi="Century Gothic"/>
          <w:sz w:val="20"/>
          <w:szCs w:val="20"/>
        </w:rPr>
        <w:t xml:space="preserve"> broad fields of </w:t>
      </w:r>
      <w:r w:rsidR="00A509AF" w:rsidRPr="00E6326F">
        <w:rPr>
          <w:rFonts w:ascii="Century Gothic" w:hAnsi="Century Gothic"/>
          <w:sz w:val="20"/>
          <w:szCs w:val="20"/>
        </w:rPr>
        <w:t xml:space="preserve">education, </w:t>
      </w:r>
      <w:r w:rsidR="00E6326F" w:rsidRPr="00E6326F">
        <w:rPr>
          <w:rFonts w:ascii="Century Gothic" w:hAnsi="Century Gothic"/>
          <w:sz w:val="20"/>
          <w:szCs w:val="20"/>
        </w:rPr>
        <w:br/>
      </w:r>
      <w:r w:rsidR="00A509AF" w:rsidRPr="00E6326F">
        <w:rPr>
          <w:rFonts w:ascii="Century Gothic" w:hAnsi="Century Gothic"/>
          <w:sz w:val="20"/>
          <w:szCs w:val="20"/>
        </w:rPr>
        <w:t>the</w:t>
      </w:r>
      <w:r w:rsidRPr="00E6326F">
        <w:rPr>
          <w:rFonts w:ascii="Century Gothic" w:hAnsi="Century Gothic"/>
          <w:sz w:val="20"/>
          <w:szCs w:val="20"/>
        </w:rPr>
        <w:t xml:space="preserve"> requirement</w:t>
      </w:r>
      <w:r w:rsidR="00A509AF" w:rsidRPr="00E6326F">
        <w:rPr>
          <w:rFonts w:ascii="Century Gothic" w:hAnsi="Century Gothic"/>
          <w:sz w:val="20"/>
          <w:szCs w:val="20"/>
        </w:rPr>
        <w:t xml:space="preserve"> remains as offering Doctoral Degrees (Research) in at least three broad fields of education.</w:t>
      </w:r>
      <w:r w:rsidRPr="00E6326F">
        <w:rPr>
          <w:rFonts w:ascii="Century Gothic" w:hAnsi="Century Gothic"/>
          <w:sz w:val="20"/>
          <w:szCs w:val="20"/>
        </w:rPr>
        <w:t xml:space="preserve"> </w:t>
      </w:r>
    </w:p>
    <w:p w14:paraId="42FE3A80" w14:textId="77777777" w:rsidR="00AC7D05" w:rsidRPr="00E6326F" w:rsidRDefault="00AC7D05" w:rsidP="00D31B9A">
      <w:pPr>
        <w:spacing w:before="0" w:after="0"/>
        <w:rPr>
          <w:rFonts w:ascii="Century Gothic" w:hAnsi="Century Gothic"/>
          <w:sz w:val="20"/>
          <w:szCs w:val="20"/>
        </w:rPr>
      </w:pPr>
    </w:p>
    <w:p w14:paraId="2423D398" w14:textId="4EFB48AA" w:rsidR="003137BA" w:rsidRPr="00E6326F" w:rsidRDefault="00EE00B4" w:rsidP="009C33A5">
      <w:pPr>
        <w:spacing w:before="0" w:after="0"/>
        <w:ind w:right="-330"/>
        <w:rPr>
          <w:rFonts w:ascii="Century Gothic" w:hAnsi="Century Gothic"/>
          <w:sz w:val="20"/>
          <w:szCs w:val="20"/>
        </w:rPr>
      </w:pPr>
      <w:r w:rsidRPr="00E6326F">
        <w:rPr>
          <w:rFonts w:ascii="Century Gothic" w:hAnsi="Century Gothic"/>
          <w:sz w:val="20"/>
          <w:szCs w:val="20"/>
        </w:rPr>
        <w:t>T</w:t>
      </w:r>
      <w:r w:rsidR="00AC7D05" w:rsidRPr="00E6326F">
        <w:rPr>
          <w:rFonts w:ascii="Century Gothic" w:hAnsi="Century Gothic"/>
          <w:sz w:val="20"/>
          <w:szCs w:val="20"/>
        </w:rPr>
        <w:t xml:space="preserve">here are currently no quality requirements for research in the PCS. To uphold the strong reputation of Australia’s universities and research capabilities, it is proposed that universities conduct world standard research in at least three, or at least </w:t>
      </w:r>
      <w:r w:rsidR="00374A82" w:rsidRPr="00E6326F">
        <w:rPr>
          <w:rFonts w:ascii="Century Gothic" w:hAnsi="Century Gothic"/>
          <w:sz w:val="20"/>
          <w:szCs w:val="20"/>
        </w:rPr>
        <w:t>30</w:t>
      </w:r>
      <w:r w:rsidR="00AC7D05" w:rsidRPr="00E6326F">
        <w:rPr>
          <w:rFonts w:ascii="Century Gothic" w:hAnsi="Century Gothic"/>
          <w:sz w:val="20"/>
          <w:szCs w:val="20"/>
        </w:rPr>
        <w:t xml:space="preserve"> per cent of the broad </w:t>
      </w:r>
      <w:r w:rsidR="00131DB7" w:rsidRPr="00E6326F">
        <w:rPr>
          <w:rFonts w:ascii="Century Gothic" w:hAnsi="Century Gothic"/>
          <w:sz w:val="20"/>
          <w:szCs w:val="20"/>
        </w:rPr>
        <w:br/>
      </w:r>
      <w:r w:rsidR="00AC7D05" w:rsidRPr="00E6326F">
        <w:rPr>
          <w:rFonts w:ascii="Century Gothic" w:hAnsi="Century Gothic"/>
          <w:sz w:val="20"/>
          <w:szCs w:val="20"/>
        </w:rPr>
        <w:t xml:space="preserve">(2-digit) fields of education </w:t>
      </w:r>
      <w:r w:rsidRPr="00E6326F">
        <w:rPr>
          <w:rFonts w:ascii="Century Gothic" w:hAnsi="Century Gothic"/>
          <w:sz w:val="20"/>
          <w:szCs w:val="20"/>
        </w:rPr>
        <w:t xml:space="preserve">where courses are </w:t>
      </w:r>
      <w:r w:rsidR="00AC7D05" w:rsidRPr="00E6326F">
        <w:rPr>
          <w:rFonts w:ascii="Century Gothic" w:hAnsi="Century Gothic"/>
          <w:sz w:val="20"/>
          <w:szCs w:val="20"/>
        </w:rPr>
        <w:t>delivered, whichever is greater</w:t>
      </w:r>
      <w:r w:rsidR="002E170A" w:rsidRPr="00E6326F">
        <w:rPr>
          <w:rFonts w:ascii="Century Gothic" w:eastAsia="Calibri" w:hAnsi="Century Gothic" w:cs="Times New Roman"/>
          <w:sz w:val="20"/>
          <w:szCs w:val="20"/>
        </w:rPr>
        <w:t xml:space="preserve">. </w:t>
      </w:r>
      <w:r w:rsidR="003137BA" w:rsidRPr="00E6326F">
        <w:rPr>
          <w:rFonts w:ascii="Century Gothic" w:hAnsi="Century Gothic"/>
          <w:sz w:val="20"/>
          <w:szCs w:val="20"/>
        </w:rPr>
        <w:t>This requirement</w:t>
      </w:r>
      <w:r w:rsidR="009C33A5" w:rsidRPr="00E6326F">
        <w:rPr>
          <w:rFonts w:ascii="Century Gothic" w:hAnsi="Century Gothic"/>
          <w:sz w:val="20"/>
          <w:szCs w:val="20"/>
        </w:rPr>
        <w:br/>
      </w:r>
      <w:r w:rsidR="003137BA" w:rsidRPr="00E6326F">
        <w:rPr>
          <w:rFonts w:ascii="Century Gothic" w:hAnsi="Century Gothic"/>
          <w:sz w:val="20"/>
          <w:szCs w:val="20"/>
        </w:rPr>
        <w:t xml:space="preserve">is a reasonable expectation given that “it would be hard to defend the proposition that the level of research being undertaken in a university of any kind would be </w:t>
      </w:r>
      <w:r w:rsidR="003137BA" w:rsidRPr="00E6326F">
        <w:rPr>
          <w:rFonts w:ascii="Century Gothic" w:hAnsi="Century Gothic"/>
          <w:i/>
          <w:sz w:val="20"/>
          <w:szCs w:val="20"/>
        </w:rPr>
        <w:t>below</w:t>
      </w:r>
      <w:r w:rsidR="003137BA" w:rsidRPr="00E6326F">
        <w:rPr>
          <w:rFonts w:ascii="Century Gothic" w:hAnsi="Century Gothic"/>
          <w:sz w:val="20"/>
          <w:szCs w:val="20"/>
        </w:rPr>
        <w:t xml:space="preserve"> world standard”.</w:t>
      </w:r>
      <w:r w:rsidR="003137BA" w:rsidRPr="00E6326F">
        <w:rPr>
          <w:rFonts w:ascii="Century Gothic" w:hAnsi="Century Gothic"/>
          <w:sz w:val="20"/>
          <w:szCs w:val="20"/>
          <w:vertAlign w:val="superscript"/>
        </w:rPr>
        <w:footnoteReference w:id="87"/>
      </w:r>
      <w:r w:rsidR="003137BA" w:rsidRPr="00E6326F">
        <w:rPr>
          <w:rFonts w:ascii="Century Gothic" w:hAnsi="Century Gothic"/>
          <w:sz w:val="20"/>
          <w:szCs w:val="20"/>
        </w:rPr>
        <w:t xml:space="preserve"> </w:t>
      </w:r>
    </w:p>
    <w:p w14:paraId="3B77E161" w14:textId="2D64FC64" w:rsidR="00A34FAA" w:rsidRPr="00E6326F" w:rsidRDefault="00A34FAA" w:rsidP="00620445">
      <w:pPr>
        <w:spacing w:before="0" w:after="0"/>
        <w:rPr>
          <w:rFonts w:ascii="Century Gothic" w:hAnsi="Century Gothic"/>
          <w:sz w:val="20"/>
          <w:szCs w:val="20"/>
        </w:rPr>
      </w:pPr>
    </w:p>
    <w:p w14:paraId="27C11449" w14:textId="600FEC2D" w:rsidR="00E63EE9" w:rsidRPr="00E6326F" w:rsidRDefault="00E63EE9" w:rsidP="00D31B9A">
      <w:pPr>
        <w:spacing w:before="0" w:after="0"/>
        <w:rPr>
          <w:rFonts w:ascii="Century Gothic" w:hAnsi="Century Gothic"/>
          <w:sz w:val="20"/>
          <w:szCs w:val="20"/>
        </w:rPr>
      </w:pPr>
      <w:r w:rsidRPr="00E6326F">
        <w:rPr>
          <w:rFonts w:ascii="Century Gothic" w:hAnsi="Century Gothic"/>
          <w:sz w:val="20"/>
          <w:szCs w:val="20"/>
        </w:rPr>
        <w:t>Over time</w:t>
      </w:r>
      <w:r w:rsidR="00D176DF" w:rsidRPr="00E6326F">
        <w:rPr>
          <w:rFonts w:ascii="Century Gothic" w:hAnsi="Century Gothic"/>
          <w:sz w:val="20"/>
          <w:szCs w:val="20"/>
        </w:rPr>
        <w:t>,</w:t>
      </w:r>
      <w:r w:rsidR="00A30027" w:rsidRPr="00E6326F">
        <w:rPr>
          <w:rFonts w:ascii="Century Gothic" w:hAnsi="Century Gothic"/>
          <w:sz w:val="20"/>
          <w:szCs w:val="20"/>
        </w:rPr>
        <w:t xml:space="preserve"> </w:t>
      </w:r>
      <w:r w:rsidRPr="00E6326F">
        <w:rPr>
          <w:rFonts w:ascii="Century Gothic" w:hAnsi="Century Gothic"/>
          <w:sz w:val="20"/>
          <w:szCs w:val="20"/>
        </w:rPr>
        <w:t xml:space="preserve">research requirements should be further </w:t>
      </w:r>
      <w:r w:rsidR="00D176DF" w:rsidRPr="00E6326F">
        <w:rPr>
          <w:rFonts w:ascii="Century Gothic" w:hAnsi="Century Gothic"/>
          <w:sz w:val="20"/>
          <w:szCs w:val="20"/>
        </w:rPr>
        <w:t>augmented</w:t>
      </w:r>
      <w:r w:rsidR="00A30027" w:rsidRPr="00E6326F">
        <w:rPr>
          <w:rFonts w:ascii="Century Gothic" w:hAnsi="Century Gothic"/>
          <w:sz w:val="20"/>
          <w:szCs w:val="20"/>
        </w:rPr>
        <w:t>.</w:t>
      </w:r>
      <w:r w:rsidR="00D176DF" w:rsidRPr="00E6326F">
        <w:rPr>
          <w:rFonts w:ascii="Century Gothic" w:hAnsi="Century Gothic"/>
          <w:sz w:val="20"/>
          <w:szCs w:val="20"/>
        </w:rPr>
        <w:t xml:space="preserve"> It is strongly arguable, for example, that by </w:t>
      </w:r>
      <w:r w:rsidR="00A30027" w:rsidRPr="00E6326F">
        <w:rPr>
          <w:rFonts w:ascii="Century Gothic" w:hAnsi="Century Gothic"/>
          <w:sz w:val="20"/>
          <w:szCs w:val="20"/>
        </w:rPr>
        <w:t>2030</w:t>
      </w:r>
      <w:r w:rsidR="002E170A" w:rsidRPr="00E6326F">
        <w:rPr>
          <w:rFonts w:ascii="Century Gothic" w:hAnsi="Century Gothic"/>
          <w:sz w:val="20"/>
          <w:szCs w:val="20"/>
        </w:rPr>
        <w:t xml:space="preserve"> all current</w:t>
      </w:r>
      <w:r w:rsidRPr="00E6326F">
        <w:rPr>
          <w:rFonts w:ascii="Century Gothic" w:hAnsi="Century Gothic"/>
          <w:sz w:val="20"/>
          <w:szCs w:val="20"/>
        </w:rPr>
        <w:t xml:space="preserve"> universities </w:t>
      </w:r>
      <w:r w:rsidR="00D176DF" w:rsidRPr="00E6326F">
        <w:rPr>
          <w:rFonts w:ascii="Century Gothic" w:hAnsi="Century Gothic"/>
          <w:sz w:val="20"/>
          <w:szCs w:val="20"/>
        </w:rPr>
        <w:t xml:space="preserve">should </w:t>
      </w:r>
      <w:r w:rsidRPr="00E6326F">
        <w:rPr>
          <w:rFonts w:ascii="Century Gothic" w:hAnsi="Century Gothic"/>
          <w:sz w:val="20"/>
          <w:szCs w:val="20"/>
        </w:rPr>
        <w:t>be required to undertake world standard research in at least three, or at least 50 per cent</w:t>
      </w:r>
      <w:r w:rsidR="002E170A" w:rsidRPr="00E6326F">
        <w:rPr>
          <w:rFonts w:ascii="Century Gothic" w:hAnsi="Century Gothic"/>
          <w:sz w:val="20"/>
          <w:szCs w:val="20"/>
        </w:rPr>
        <w:t>,</w:t>
      </w:r>
      <w:r w:rsidRPr="00E6326F">
        <w:rPr>
          <w:rFonts w:ascii="Century Gothic" w:hAnsi="Century Gothic"/>
          <w:sz w:val="20"/>
          <w:szCs w:val="20"/>
        </w:rPr>
        <w:t xml:space="preserve"> of the broad</w:t>
      </w:r>
      <w:r w:rsidR="002E170A" w:rsidRPr="00E6326F">
        <w:rPr>
          <w:rFonts w:ascii="Century Gothic" w:hAnsi="Century Gothic"/>
          <w:sz w:val="20"/>
          <w:szCs w:val="20"/>
        </w:rPr>
        <w:t xml:space="preserve"> (2-digit)</w:t>
      </w:r>
      <w:r w:rsidRPr="00E6326F">
        <w:rPr>
          <w:rFonts w:ascii="Century Gothic" w:hAnsi="Century Gothic"/>
          <w:sz w:val="20"/>
          <w:szCs w:val="20"/>
        </w:rPr>
        <w:t xml:space="preserve"> fields of education where courses are delivered, whichever is greater. The scaling</w:t>
      </w:r>
      <w:r w:rsidR="00D176DF" w:rsidRPr="00E6326F">
        <w:rPr>
          <w:rFonts w:ascii="Century Gothic" w:hAnsi="Century Gothic"/>
          <w:sz w:val="20"/>
          <w:szCs w:val="20"/>
        </w:rPr>
        <w:t>-</w:t>
      </w:r>
      <w:r w:rsidRPr="00E6326F">
        <w:rPr>
          <w:rFonts w:ascii="Century Gothic" w:hAnsi="Century Gothic"/>
          <w:sz w:val="20"/>
          <w:szCs w:val="20"/>
        </w:rPr>
        <w:t>up of requirements</w:t>
      </w:r>
      <w:r w:rsidR="002E170A" w:rsidRPr="00E6326F">
        <w:rPr>
          <w:rFonts w:ascii="Century Gothic" w:hAnsi="Century Gothic"/>
          <w:sz w:val="20"/>
          <w:szCs w:val="20"/>
        </w:rPr>
        <w:t xml:space="preserve"> from </w:t>
      </w:r>
      <w:r w:rsidR="002E170A" w:rsidRPr="00E6326F">
        <w:rPr>
          <w:rFonts w:ascii="Century Gothic" w:hAnsi="Century Gothic"/>
          <w:sz w:val="20"/>
          <w:szCs w:val="20"/>
        </w:rPr>
        <w:br/>
        <w:t>30 per cent to 50 per cent</w:t>
      </w:r>
      <w:r w:rsidRPr="00E6326F">
        <w:rPr>
          <w:rFonts w:ascii="Century Gothic" w:hAnsi="Century Gothic"/>
          <w:sz w:val="20"/>
          <w:szCs w:val="20"/>
        </w:rPr>
        <w:t xml:space="preserve"> is to recognise that i</w:t>
      </w:r>
      <w:r w:rsidR="00596264" w:rsidRPr="00E6326F">
        <w:rPr>
          <w:rFonts w:ascii="Century Gothic" w:hAnsi="Century Gothic"/>
          <w:sz w:val="20"/>
          <w:szCs w:val="20"/>
        </w:rPr>
        <w:t>t</w:t>
      </w:r>
      <w:r w:rsidRPr="00E6326F">
        <w:rPr>
          <w:rFonts w:ascii="Century Gothic" w:hAnsi="Century Gothic"/>
          <w:sz w:val="20"/>
          <w:szCs w:val="20"/>
        </w:rPr>
        <w:t xml:space="preserve"> may be difficult for some universities </w:t>
      </w:r>
      <w:r w:rsidR="002A4008" w:rsidRPr="00E6326F">
        <w:rPr>
          <w:rFonts w:ascii="Century Gothic" w:hAnsi="Century Gothic"/>
          <w:sz w:val="20"/>
          <w:szCs w:val="20"/>
        </w:rPr>
        <w:t>to meet this criteri</w:t>
      </w:r>
      <w:r w:rsidR="008608FC" w:rsidRPr="00E6326F">
        <w:rPr>
          <w:rFonts w:ascii="Century Gothic" w:hAnsi="Century Gothic"/>
          <w:sz w:val="20"/>
          <w:szCs w:val="20"/>
        </w:rPr>
        <w:t>on</w:t>
      </w:r>
      <w:r w:rsidR="002A4008" w:rsidRPr="00E6326F">
        <w:rPr>
          <w:rFonts w:ascii="Century Gothic" w:hAnsi="Century Gothic"/>
          <w:sz w:val="20"/>
          <w:szCs w:val="20"/>
        </w:rPr>
        <w:t xml:space="preserve"> without appropriate lead time to build capacity.</w:t>
      </w:r>
      <w:r w:rsidR="004C0CE0" w:rsidRPr="00E6326F">
        <w:rPr>
          <w:rFonts w:ascii="Century Gothic" w:hAnsi="Century Gothic"/>
          <w:sz w:val="20"/>
          <w:szCs w:val="20"/>
        </w:rPr>
        <w:t xml:space="preserve"> It is a worthwhile endeavour for our universities to be working towards undertaking research across </w:t>
      </w:r>
      <w:r w:rsidR="008608FC" w:rsidRPr="00E6326F">
        <w:rPr>
          <w:rFonts w:ascii="Century Gothic" w:hAnsi="Century Gothic"/>
          <w:sz w:val="20"/>
          <w:szCs w:val="20"/>
        </w:rPr>
        <w:t xml:space="preserve">at least </w:t>
      </w:r>
      <w:r w:rsidR="004C0CE0" w:rsidRPr="00E6326F">
        <w:rPr>
          <w:rFonts w:ascii="Century Gothic" w:hAnsi="Century Gothic"/>
          <w:sz w:val="20"/>
          <w:szCs w:val="20"/>
        </w:rPr>
        <w:t xml:space="preserve">half of </w:t>
      </w:r>
      <w:r w:rsidR="00D176DF" w:rsidRPr="00E6326F">
        <w:rPr>
          <w:rFonts w:ascii="Century Gothic" w:hAnsi="Century Gothic"/>
          <w:sz w:val="20"/>
          <w:szCs w:val="20"/>
        </w:rPr>
        <w:t>their</w:t>
      </w:r>
      <w:r w:rsidR="004C0CE0" w:rsidRPr="00E6326F">
        <w:rPr>
          <w:rFonts w:ascii="Century Gothic" w:hAnsi="Century Gothic"/>
          <w:sz w:val="20"/>
          <w:szCs w:val="20"/>
        </w:rPr>
        <w:t xml:space="preserve"> operations to further </w:t>
      </w:r>
      <w:r w:rsidR="00D176DF" w:rsidRPr="00E6326F">
        <w:rPr>
          <w:rFonts w:ascii="Century Gothic" w:hAnsi="Century Gothic"/>
          <w:sz w:val="20"/>
          <w:szCs w:val="20"/>
        </w:rPr>
        <w:t xml:space="preserve">nourish </w:t>
      </w:r>
      <w:r w:rsidR="004C0CE0" w:rsidRPr="00E6326F">
        <w:rPr>
          <w:rFonts w:ascii="Century Gothic" w:hAnsi="Century Gothic"/>
          <w:sz w:val="20"/>
          <w:szCs w:val="20"/>
        </w:rPr>
        <w:t xml:space="preserve">the scholarly university environment and assist in maintaining the international reputation of Australian universities </w:t>
      </w:r>
      <w:r w:rsidR="00D176DF" w:rsidRPr="00E6326F">
        <w:rPr>
          <w:rFonts w:ascii="Century Gothic" w:hAnsi="Century Gothic"/>
          <w:sz w:val="20"/>
          <w:szCs w:val="20"/>
        </w:rPr>
        <w:t xml:space="preserve">as </w:t>
      </w:r>
      <w:r w:rsidR="004C0CE0" w:rsidRPr="00E6326F">
        <w:rPr>
          <w:rFonts w:ascii="Century Gothic" w:hAnsi="Century Gothic"/>
          <w:sz w:val="20"/>
          <w:szCs w:val="20"/>
        </w:rPr>
        <w:t>being places of both teaching and research.</w:t>
      </w:r>
      <w:r w:rsidR="004834AB" w:rsidRPr="00E6326F">
        <w:rPr>
          <w:rFonts w:ascii="Century Gothic" w:hAnsi="Century Gothic"/>
          <w:sz w:val="20"/>
          <w:szCs w:val="20"/>
        </w:rPr>
        <w:t xml:space="preserve"> </w:t>
      </w:r>
      <w:r w:rsidR="00227F72" w:rsidRPr="00E6326F">
        <w:rPr>
          <w:rFonts w:ascii="Century Gothic" w:hAnsi="Century Gothic"/>
          <w:sz w:val="20"/>
          <w:szCs w:val="20"/>
        </w:rPr>
        <w:t xml:space="preserve">While ideally one would expect universities to </w:t>
      </w:r>
      <w:r w:rsidR="002E170A" w:rsidRPr="00E6326F">
        <w:rPr>
          <w:rFonts w:ascii="Century Gothic" w:hAnsi="Century Gothic"/>
          <w:sz w:val="20"/>
          <w:szCs w:val="20"/>
        </w:rPr>
        <w:t>conduct</w:t>
      </w:r>
      <w:r w:rsidR="00227F72" w:rsidRPr="00E6326F">
        <w:rPr>
          <w:rFonts w:ascii="Century Gothic" w:hAnsi="Century Gothic"/>
          <w:sz w:val="20"/>
          <w:szCs w:val="20"/>
        </w:rPr>
        <w:t xml:space="preserve"> world class research in the </w:t>
      </w:r>
      <w:r w:rsidR="002E170A" w:rsidRPr="00E6326F">
        <w:rPr>
          <w:rFonts w:ascii="Century Gothic" w:hAnsi="Century Gothic"/>
          <w:sz w:val="20"/>
          <w:szCs w:val="20"/>
        </w:rPr>
        <w:t xml:space="preserve">all </w:t>
      </w:r>
      <w:r w:rsidR="00227F72" w:rsidRPr="00E6326F">
        <w:rPr>
          <w:rFonts w:ascii="Century Gothic" w:hAnsi="Century Gothic"/>
          <w:sz w:val="20"/>
          <w:szCs w:val="20"/>
        </w:rPr>
        <w:t xml:space="preserve">fields of education in which they offer </w:t>
      </w:r>
      <w:r w:rsidR="001153C7" w:rsidRPr="00E6326F">
        <w:rPr>
          <w:rFonts w:ascii="Century Gothic" w:hAnsi="Century Gothic"/>
          <w:sz w:val="20"/>
          <w:szCs w:val="20"/>
        </w:rPr>
        <w:t>D</w:t>
      </w:r>
      <w:r w:rsidR="00227F72" w:rsidRPr="00E6326F">
        <w:rPr>
          <w:rFonts w:ascii="Century Gothic" w:hAnsi="Century Gothic"/>
          <w:sz w:val="20"/>
          <w:szCs w:val="20"/>
        </w:rPr>
        <w:t>octora</w:t>
      </w:r>
      <w:r w:rsidR="001153C7" w:rsidRPr="00E6326F">
        <w:rPr>
          <w:rFonts w:ascii="Century Gothic" w:hAnsi="Century Gothic"/>
          <w:sz w:val="20"/>
          <w:szCs w:val="20"/>
        </w:rPr>
        <w:t>l degrees</w:t>
      </w:r>
      <w:r w:rsidR="00227F72" w:rsidRPr="00E6326F">
        <w:rPr>
          <w:rFonts w:ascii="Century Gothic" w:hAnsi="Century Gothic"/>
          <w:sz w:val="20"/>
          <w:szCs w:val="20"/>
        </w:rPr>
        <w:t xml:space="preserve">, the reality is that some institutions will offer </w:t>
      </w:r>
      <w:r w:rsidR="001153C7" w:rsidRPr="00E6326F">
        <w:rPr>
          <w:rFonts w:ascii="Century Gothic" w:hAnsi="Century Gothic"/>
          <w:sz w:val="20"/>
          <w:szCs w:val="20"/>
        </w:rPr>
        <w:t>D</w:t>
      </w:r>
      <w:r w:rsidR="00E52102" w:rsidRPr="00E6326F">
        <w:rPr>
          <w:rFonts w:ascii="Century Gothic" w:hAnsi="Century Gothic"/>
          <w:sz w:val="20"/>
          <w:szCs w:val="20"/>
        </w:rPr>
        <w:t>octora</w:t>
      </w:r>
      <w:r w:rsidR="001153C7" w:rsidRPr="00E6326F">
        <w:rPr>
          <w:rFonts w:ascii="Century Gothic" w:hAnsi="Century Gothic"/>
          <w:sz w:val="20"/>
          <w:szCs w:val="20"/>
        </w:rPr>
        <w:t>l degrees</w:t>
      </w:r>
      <w:r w:rsidR="00E52102" w:rsidRPr="00E6326F">
        <w:rPr>
          <w:rFonts w:ascii="Century Gothic" w:hAnsi="Century Gothic"/>
          <w:sz w:val="20"/>
          <w:szCs w:val="20"/>
        </w:rPr>
        <w:t xml:space="preserve"> </w:t>
      </w:r>
      <w:r w:rsidR="00227F72" w:rsidRPr="00E6326F">
        <w:rPr>
          <w:rFonts w:ascii="Century Gothic" w:hAnsi="Century Gothic"/>
          <w:sz w:val="20"/>
          <w:szCs w:val="20"/>
        </w:rPr>
        <w:t>in disciplines where they are continuing to build research capacity. The PCS therefore needs to offer some flexibility to allow for such growth.</w:t>
      </w:r>
    </w:p>
    <w:p w14:paraId="5E50D8C8" w14:textId="2F76E6C3" w:rsidR="004834AB" w:rsidRPr="00E6326F" w:rsidRDefault="004834AB" w:rsidP="00D31B9A">
      <w:pPr>
        <w:spacing w:before="0" w:after="0"/>
        <w:rPr>
          <w:rFonts w:ascii="Century Gothic" w:hAnsi="Century Gothic"/>
          <w:sz w:val="20"/>
          <w:szCs w:val="20"/>
        </w:rPr>
      </w:pPr>
    </w:p>
    <w:p w14:paraId="56E4ED61" w14:textId="5DE46F3C" w:rsidR="00227F72" w:rsidRPr="00E6326F" w:rsidRDefault="004834AB" w:rsidP="00D31B9A">
      <w:pPr>
        <w:spacing w:before="0" w:after="0"/>
        <w:rPr>
          <w:rFonts w:ascii="Century Gothic" w:hAnsi="Century Gothic"/>
          <w:sz w:val="20"/>
          <w:szCs w:val="20"/>
        </w:rPr>
      </w:pPr>
      <w:r w:rsidRPr="00E6326F">
        <w:rPr>
          <w:rFonts w:ascii="Century Gothic" w:hAnsi="Century Gothic"/>
          <w:sz w:val="20"/>
          <w:szCs w:val="20"/>
        </w:rPr>
        <w:t>New entrants to the ‘Australian University’ category</w:t>
      </w:r>
      <w:r w:rsidR="00897BFC" w:rsidRPr="00E6326F">
        <w:rPr>
          <w:rFonts w:ascii="Century Gothic" w:hAnsi="Century Gothic"/>
          <w:sz w:val="20"/>
          <w:szCs w:val="20"/>
        </w:rPr>
        <w:t>, now and in the future,</w:t>
      </w:r>
      <w:r w:rsidRPr="00E6326F">
        <w:rPr>
          <w:rFonts w:ascii="Century Gothic" w:hAnsi="Century Gothic"/>
          <w:sz w:val="20"/>
          <w:szCs w:val="20"/>
        </w:rPr>
        <w:t xml:space="preserve"> </w:t>
      </w:r>
      <w:r w:rsidR="00897BFC" w:rsidRPr="00E6326F">
        <w:rPr>
          <w:rFonts w:ascii="Century Gothic" w:hAnsi="Century Gothic"/>
          <w:sz w:val="20"/>
          <w:szCs w:val="20"/>
        </w:rPr>
        <w:t>would</w:t>
      </w:r>
      <w:r w:rsidRPr="00E6326F">
        <w:rPr>
          <w:rFonts w:ascii="Century Gothic" w:hAnsi="Century Gothic"/>
          <w:sz w:val="20"/>
          <w:szCs w:val="20"/>
        </w:rPr>
        <w:t xml:space="preserve"> initially be required to undertake world standard research in at least three, or at least 30 per cent of the broad fields of education where courses are delivered, whichever is greater. Research requirements for these providers will be scaled up to at least three, or at least 50 per cent</w:t>
      </w:r>
      <w:r w:rsidR="00897BFC" w:rsidRPr="00E6326F">
        <w:rPr>
          <w:rFonts w:ascii="Century Gothic" w:hAnsi="Century Gothic"/>
          <w:sz w:val="20"/>
          <w:szCs w:val="20"/>
        </w:rPr>
        <w:t>,</w:t>
      </w:r>
      <w:r w:rsidRPr="00E6326F">
        <w:rPr>
          <w:rFonts w:ascii="Century Gothic" w:hAnsi="Century Gothic"/>
          <w:sz w:val="20"/>
          <w:szCs w:val="20"/>
        </w:rPr>
        <w:t xml:space="preserve"> of the broad fields of education where courses are delivered, whichever is greater, after ten years of registration in the ‘Australian University’ category.</w:t>
      </w:r>
    </w:p>
    <w:p w14:paraId="7A3AA47B" w14:textId="4504CADE" w:rsidR="00897BFC" w:rsidRPr="00E6326F" w:rsidRDefault="00897BFC" w:rsidP="00897BFC">
      <w:pPr>
        <w:spacing w:before="0" w:after="0"/>
        <w:rPr>
          <w:rFonts w:ascii="Century Gothic" w:eastAsia="Calibri" w:hAnsi="Century Gothic" w:cs="Times New Roman"/>
          <w:sz w:val="20"/>
          <w:szCs w:val="20"/>
        </w:rPr>
      </w:pPr>
    </w:p>
    <w:p w14:paraId="63E77BD7" w14:textId="7BB46DF8" w:rsidR="00897BFC" w:rsidRPr="00E6326F" w:rsidRDefault="00897BFC" w:rsidP="00897BFC">
      <w:pPr>
        <w:spacing w:before="0" w:after="0"/>
        <w:rPr>
          <w:rFonts w:ascii="Century Gothic" w:eastAsia="Calibri" w:hAnsi="Century Gothic" w:cs="Times New Roman"/>
          <w:i/>
          <w:sz w:val="20"/>
          <w:szCs w:val="20"/>
        </w:rPr>
      </w:pPr>
      <w:r w:rsidRPr="00E6326F">
        <w:rPr>
          <w:rFonts w:ascii="Century Gothic" w:eastAsia="Calibri" w:hAnsi="Century Gothic" w:cs="Times New Roman"/>
          <w:i/>
          <w:sz w:val="20"/>
          <w:szCs w:val="20"/>
        </w:rPr>
        <w:t>Measurement of Research Quality</w:t>
      </w:r>
    </w:p>
    <w:p w14:paraId="2259E2C8" w14:textId="06CCC3B4" w:rsidR="003137BA" w:rsidRPr="00E6326F" w:rsidRDefault="003137BA" w:rsidP="003137BA">
      <w:pPr>
        <w:spacing w:before="0" w:after="0"/>
        <w:rPr>
          <w:rFonts w:ascii="Century Gothic" w:hAnsi="Century Gothic"/>
          <w:sz w:val="20"/>
          <w:szCs w:val="20"/>
          <w:u w:val="single"/>
        </w:rPr>
      </w:pPr>
      <w:r w:rsidRPr="00E6326F">
        <w:rPr>
          <w:rFonts w:ascii="Century Gothic" w:hAnsi="Century Gothic"/>
          <w:sz w:val="20"/>
          <w:szCs w:val="20"/>
        </w:rPr>
        <w:t xml:space="preserve">To be recognised, research should lead to the creation of new knowledge and original creative endeavour. The revised criteria set out in </w:t>
      </w:r>
      <w:hyperlink w:anchor="_Appendix_D." w:history="1">
        <w:r w:rsidRPr="00E6326F">
          <w:rPr>
            <w:rStyle w:val="Hyperlink"/>
            <w:rFonts w:ascii="Century Gothic" w:hAnsi="Century Gothic"/>
            <w:sz w:val="20"/>
            <w:szCs w:val="20"/>
          </w:rPr>
          <w:t>Appendix D</w:t>
        </w:r>
      </w:hyperlink>
      <w:r w:rsidRPr="00E6326F">
        <w:rPr>
          <w:rFonts w:ascii="Century Gothic" w:hAnsi="Century Gothic"/>
          <w:sz w:val="20"/>
          <w:szCs w:val="20"/>
        </w:rPr>
        <w:t xml:space="preserve"> provide TEQSA with the capacity to measure quality and quantity of research against a variety of measures that they deem acceptable. These may include benchmarking, peer review, and citation analysis. </w:t>
      </w:r>
      <w:r w:rsidRPr="00E6326F">
        <w:rPr>
          <w:rFonts w:ascii="Century Gothic" w:eastAsia="Calibri" w:hAnsi="Century Gothic" w:cs="Times New Roman"/>
          <w:sz w:val="20"/>
          <w:szCs w:val="20"/>
        </w:rPr>
        <w:t xml:space="preserve">Benchmarking of providers in relation to research </w:t>
      </w:r>
      <w:r w:rsidRPr="00E6326F">
        <w:rPr>
          <w:rFonts w:ascii="Century Gothic" w:hAnsi="Century Gothic"/>
          <w:sz w:val="20"/>
          <w:szCs w:val="20"/>
        </w:rPr>
        <w:t>provides</w:t>
      </w:r>
      <w:r w:rsidRPr="00E6326F">
        <w:rPr>
          <w:rFonts w:ascii="Century Gothic" w:eastAsia="Calibri" w:hAnsi="Century Gothic" w:cs="Times New Roman"/>
          <w:sz w:val="20"/>
          <w:szCs w:val="20"/>
        </w:rPr>
        <w:t xml:space="preserve"> a useful tool for new entrants to the university sector; it enables providers to look to universities with a similar scale, scope, and fields of education as a model on which to build research capacity. </w:t>
      </w:r>
      <w:r w:rsidRPr="00E6326F">
        <w:rPr>
          <w:rFonts w:ascii="Century Gothic" w:hAnsi="Century Gothic"/>
          <w:sz w:val="20"/>
          <w:szCs w:val="20"/>
        </w:rPr>
        <w:t xml:space="preserve">This flexibility also allows TEQSA to account for any challenges associated with using established measurement tools, such as ERA. </w:t>
      </w:r>
    </w:p>
    <w:p w14:paraId="79E9FAEF" w14:textId="27422E8D" w:rsidR="003137BA" w:rsidRPr="00E6326F" w:rsidRDefault="003137BA" w:rsidP="00897BFC">
      <w:pPr>
        <w:spacing w:before="0" w:after="0"/>
        <w:rPr>
          <w:rFonts w:ascii="Century Gothic" w:hAnsi="Century Gothic"/>
          <w:sz w:val="20"/>
          <w:szCs w:val="20"/>
        </w:rPr>
      </w:pPr>
    </w:p>
    <w:p w14:paraId="233F198A" w14:textId="575BB4A0" w:rsidR="00897BFC" w:rsidRPr="00E6326F" w:rsidRDefault="00897BFC" w:rsidP="00897BFC">
      <w:pPr>
        <w:spacing w:before="0" w:after="0"/>
        <w:rPr>
          <w:rFonts w:ascii="Century Gothic" w:hAnsi="Century Gothic"/>
          <w:sz w:val="20"/>
          <w:szCs w:val="20"/>
        </w:rPr>
      </w:pPr>
      <w:r w:rsidRPr="00E6326F">
        <w:rPr>
          <w:rFonts w:ascii="Century Gothic" w:hAnsi="Century Gothic"/>
          <w:sz w:val="20"/>
          <w:szCs w:val="20"/>
        </w:rPr>
        <w:t>The terminology of ‘world standard’ is familiar to the sector for its current use in ERA assessments (referring to research rated a ‘3’ or above on ‘1-5’ rating scale)</w:t>
      </w:r>
      <w:r w:rsidRPr="00E6326F">
        <w:rPr>
          <w:rFonts w:ascii="Century Gothic" w:eastAsia="Calibri" w:hAnsi="Century Gothic" w:cs="Times New Roman"/>
          <w:sz w:val="20"/>
          <w:szCs w:val="20"/>
        </w:rPr>
        <w:t xml:space="preserve"> and is broad enough that it can be used by TEQSA based on different sources if need be. </w:t>
      </w:r>
    </w:p>
    <w:p w14:paraId="69EA4C63" w14:textId="7C58C902" w:rsidR="00AC7D05" w:rsidRPr="00E6326F" w:rsidRDefault="00AC7D05" w:rsidP="00C32C9B">
      <w:pPr>
        <w:spacing w:before="0" w:after="0"/>
        <w:ind w:right="-46"/>
        <w:rPr>
          <w:rFonts w:ascii="Century Gothic" w:hAnsi="Century Gothic"/>
          <w:sz w:val="20"/>
          <w:szCs w:val="20"/>
        </w:rPr>
      </w:pPr>
    </w:p>
    <w:p w14:paraId="75244E68" w14:textId="6D374802" w:rsidR="00897BFC" w:rsidRPr="00E6326F" w:rsidRDefault="00897BFC" w:rsidP="00C32C9B">
      <w:pPr>
        <w:spacing w:before="0" w:after="0"/>
        <w:ind w:right="-46"/>
        <w:rPr>
          <w:rFonts w:ascii="Century Gothic" w:hAnsi="Century Gothic"/>
          <w:i/>
          <w:sz w:val="20"/>
          <w:szCs w:val="20"/>
        </w:rPr>
      </w:pPr>
      <w:r w:rsidRPr="00E6326F">
        <w:rPr>
          <w:rFonts w:ascii="Century Gothic" w:hAnsi="Century Gothic"/>
          <w:i/>
          <w:sz w:val="20"/>
          <w:szCs w:val="20"/>
        </w:rPr>
        <w:t>Other Considerations</w:t>
      </w:r>
    </w:p>
    <w:p w14:paraId="5C814F19" w14:textId="4E3FEDE9" w:rsidR="00AC7D05" w:rsidRPr="00E6326F" w:rsidRDefault="00AC7D05" w:rsidP="00C32C9B">
      <w:pPr>
        <w:spacing w:before="0" w:after="0"/>
        <w:rPr>
          <w:rFonts w:ascii="Century Gothic" w:hAnsi="Century Gothic"/>
          <w:sz w:val="20"/>
          <w:szCs w:val="20"/>
        </w:rPr>
      </w:pPr>
      <w:r w:rsidRPr="00E6326F">
        <w:rPr>
          <w:rFonts w:ascii="Century Gothic" w:hAnsi="Century Gothic"/>
          <w:sz w:val="20"/>
          <w:szCs w:val="20"/>
        </w:rPr>
        <w:t xml:space="preserve">The recommended threshold for both quality and quantity of research may require some Australian universities to increase their research performance and output, or to specialise in their areas of strength. Analysis undertaken as part of this Review </w:t>
      </w:r>
      <w:r w:rsidRPr="00E6326F">
        <w:rPr>
          <w:rFonts w:ascii="Century Gothic" w:eastAsia="Calibri" w:hAnsi="Century Gothic" w:cs="Times New Roman"/>
          <w:sz w:val="20"/>
          <w:szCs w:val="20"/>
        </w:rPr>
        <w:t>indicates</w:t>
      </w:r>
      <w:r w:rsidRPr="00E6326F">
        <w:rPr>
          <w:rFonts w:ascii="Century Gothic" w:hAnsi="Century Gothic"/>
          <w:sz w:val="20"/>
          <w:szCs w:val="20"/>
        </w:rPr>
        <w:t xml:space="preserve"> that </w:t>
      </w:r>
      <w:r w:rsidR="00AD4815" w:rsidRPr="00E6326F">
        <w:rPr>
          <w:rFonts w:ascii="Century Gothic" w:hAnsi="Century Gothic"/>
          <w:sz w:val="20"/>
          <w:szCs w:val="20"/>
        </w:rPr>
        <w:t>increased research requirements are</w:t>
      </w:r>
      <w:r w:rsidRPr="00E6326F">
        <w:rPr>
          <w:rFonts w:ascii="Century Gothic" w:hAnsi="Century Gothic"/>
          <w:sz w:val="20"/>
          <w:szCs w:val="20"/>
        </w:rPr>
        <w:t xml:space="preserve"> likely to affect only a small number of universities</w:t>
      </w:r>
      <w:r w:rsidR="00AD4815" w:rsidRPr="00E6326F">
        <w:rPr>
          <w:rFonts w:ascii="Century Gothic" w:hAnsi="Century Gothic"/>
          <w:sz w:val="20"/>
          <w:szCs w:val="20"/>
        </w:rPr>
        <w:t xml:space="preserve"> </w:t>
      </w:r>
      <w:r w:rsidR="004C0CE0" w:rsidRPr="00E6326F">
        <w:rPr>
          <w:rFonts w:ascii="Century Gothic" w:hAnsi="Century Gothic"/>
          <w:sz w:val="20"/>
          <w:szCs w:val="20"/>
        </w:rPr>
        <w:t>with the proposed scaling</w:t>
      </w:r>
      <w:r w:rsidR="00F11F68" w:rsidRPr="00E6326F">
        <w:rPr>
          <w:rFonts w:ascii="Century Gothic" w:hAnsi="Century Gothic"/>
          <w:sz w:val="20"/>
          <w:szCs w:val="20"/>
        </w:rPr>
        <w:t>-</w:t>
      </w:r>
      <w:r w:rsidR="004C0CE0" w:rsidRPr="00E6326F">
        <w:rPr>
          <w:rFonts w:ascii="Century Gothic" w:hAnsi="Century Gothic"/>
          <w:sz w:val="20"/>
          <w:szCs w:val="20"/>
        </w:rPr>
        <w:t>up of requirements</w:t>
      </w:r>
      <w:r w:rsidRPr="00E6326F">
        <w:rPr>
          <w:rFonts w:ascii="Century Gothic" w:hAnsi="Century Gothic"/>
          <w:sz w:val="20"/>
          <w:szCs w:val="20"/>
        </w:rPr>
        <w:t>.</w:t>
      </w:r>
      <w:r w:rsidR="00685B4B" w:rsidRPr="00E6326F">
        <w:rPr>
          <w:rFonts w:ascii="Century Gothic" w:hAnsi="Century Gothic"/>
          <w:sz w:val="20"/>
          <w:szCs w:val="20"/>
        </w:rPr>
        <w:t xml:space="preserve"> T</w:t>
      </w:r>
      <w:r w:rsidRPr="00E6326F">
        <w:rPr>
          <w:rFonts w:ascii="Century Gothic" w:hAnsi="Century Gothic"/>
          <w:sz w:val="20"/>
          <w:szCs w:val="20"/>
        </w:rPr>
        <w:t>hose universities that find themselves below the recommended minimum benchmarks w</w:t>
      </w:r>
      <w:r w:rsidR="00424CDD" w:rsidRPr="00E6326F">
        <w:rPr>
          <w:rFonts w:ascii="Century Gothic" w:hAnsi="Century Gothic"/>
          <w:sz w:val="20"/>
          <w:szCs w:val="20"/>
        </w:rPr>
        <w:t>ould</w:t>
      </w:r>
      <w:r w:rsidRPr="00E6326F">
        <w:rPr>
          <w:rFonts w:ascii="Century Gothic" w:hAnsi="Century Gothic"/>
          <w:sz w:val="20"/>
          <w:szCs w:val="20"/>
        </w:rPr>
        <w:t xml:space="preserve"> need to work with TEQSA on an appropriate strategy to ensure successful re-registration as an ‘Australian University’. The proposed minimum benchmarks are reasonable</w:t>
      </w:r>
      <w:r w:rsidR="00424CDD" w:rsidRPr="00E6326F">
        <w:rPr>
          <w:rFonts w:ascii="Century Gothic" w:hAnsi="Century Gothic"/>
          <w:sz w:val="20"/>
          <w:szCs w:val="20"/>
        </w:rPr>
        <w:t>,</w:t>
      </w:r>
      <w:r w:rsidR="00F11F68" w:rsidRPr="00E6326F">
        <w:rPr>
          <w:rFonts w:ascii="Century Gothic" w:hAnsi="Century Gothic"/>
          <w:sz w:val="20"/>
          <w:szCs w:val="20"/>
        </w:rPr>
        <w:t xml:space="preserve"> </w:t>
      </w:r>
      <w:r w:rsidR="00474B80" w:rsidRPr="00E6326F">
        <w:rPr>
          <w:rFonts w:ascii="Century Gothic" w:hAnsi="Century Gothic"/>
          <w:sz w:val="20"/>
          <w:szCs w:val="20"/>
        </w:rPr>
        <w:t>and</w:t>
      </w:r>
      <w:r w:rsidR="00424CDD" w:rsidRPr="00E6326F">
        <w:rPr>
          <w:rFonts w:ascii="Century Gothic" w:hAnsi="Century Gothic"/>
          <w:sz w:val="20"/>
          <w:szCs w:val="20"/>
        </w:rPr>
        <w:t xml:space="preserve"> desirable</w:t>
      </w:r>
      <w:r w:rsidR="00474B80" w:rsidRPr="00E6326F">
        <w:rPr>
          <w:rFonts w:ascii="Century Gothic" w:hAnsi="Century Gothic"/>
          <w:sz w:val="20"/>
          <w:szCs w:val="20"/>
        </w:rPr>
        <w:t>,</w:t>
      </w:r>
      <w:r w:rsidRPr="00E6326F">
        <w:rPr>
          <w:rFonts w:ascii="Century Gothic" w:hAnsi="Century Gothic"/>
          <w:sz w:val="20"/>
          <w:szCs w:val="20"/>
        </w:rPr>
        <w:t xml:space="preserve"> if Australia is to maintain </w:t>
      </w:r>
      <w:r w:rsidR="00F11F68" w:rsidRPr="00E6326F">
        <w:rPr>
          <w:rFonts w:ascii="Century Gothic" w:hAnsi="Century Gothic"/>
          <w:sz w:val="20"/>
          <w:szCs w:val="20"/>
        </w:rPr>
        <w:t xml:space="preserve">the </w:t>
      </w:r>
      <w:r w:rsidRPr="00E6326F">
        <w:rPr>
          <w:rFonts w:ascii="Century Gothic" w:hAnsi="Century Gothic"/>
          <w:sz w:val="20"/>
          <w:szCs w:val="20"/>
        </w:rPr>
        <w:t>high standards and expectations of its universities</w:t>
      </w:r>
      <w:r w:rsidR="00685B4B" w:rsidRPr="00E6326F">
        <w:rPr>
          <w:rFonts w:ascii="Century Gothic" w:hAnsi="Century Gothic"/>
          <w:sz w:val="20"/>
          <w:szCs w:val="20"/>
        </w:rPr>
        <w:t xml:space="preserve"> and uphold the cachet associated with the protected ‘university’ title. </w:t>
      </w:r>
    </w:p>
    <w:p w14:paraId="67C469D1" w14:textId="77777777" w:rsidR="00AC7D05" w:rsidRPr="00730C0D" w:rsidRDefault="00AC7D05" w:rsidP="00D31B9A">
      <w:pPr>
        <w:spacing w:before="0" w:after="0"/>
        <w:rPr>
          <w:rFonts w:ascii="Century Gothic" w:hAnsi="Century Gothic"/>
          <w:sz w:val="20"/>
          <w:szCs w:val="20"/>
          <w:highlight w:val="magenta"/>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C7D05" w:rsidRPr="00730C0D" w14:paraId="5BD46F8B" w14:textId="77777777" w:rsidTr="00D31B9A">
        <w:tc>
          <w:tcPr>
            <w:tcW w:w="9016" w:type="dxa"/>
            <w:tcBorders>
              <w:bottom w:val="single" w:sz="12" w:space="0" w:color="00B050"/>
            </w:tcBorders>
            <w:shd w:val="clear" w:color="auto" w:fill="2763AC"/>
          </w:tcPr>
          <w:p w14:paraId="751C5ACD" w14:textId="77777777"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Recommendation 5</w:t>
            </w:r>
          </w:p>
        </w:tc>
      </w:tr>
      <w:tr w:rsidR="00AC7D05" w:rsidRPr="00730C0D" w14:paraId="3A51EA9A" w14:textId="77777777" w:rsidTr="00D31B9A">
        <w:tc>
          <w:tcPr>
            <w:tcW w:w="9016" w:type="dxa"/>
            <w:tcBorders>
              <w:top w:val="single" w:sz="12" w:space="0" w:color="00B050"/>
            </w:tcBorders>
            <w:shd w:val="clear" w:color="auto" w:fill="D5DCE4" w:themeFill="text2" w:themeFillTint="33"/>
          </w:tcPr>
          <w:p w14:paraId="7FC8181C" w14:textId="04E118C7" w:rsidR="00AC7D05" w:rsidRPr="00730C0D" w:rsidRDefault="00806B0A" w:rsidP="00806B0A">
            <w:pPr>
              <w:spacing w:before="160" w:after="160" w:line="259" w:lineRule="auto"/>
              <w:rPr>
                <w:rFonts w:ascii="Century Gothic" w:hAnsi="Century Gothic"/>
                <w:b/>
                <w:sz w:val="20"/>
                <w:szCs w:val="20"/>
              </w:rPr>
            </w:pPr>
            <w:r w:rsidRPr="00730C0D">
              <w:rPr>
                <w:rFonts w:ascii="Century Gothic" w:hAnsi="Century Gothic"/>
                <w:b/>
                <w:sz w:val="20"/>
                <w:szCs w:val="20"/>
              </w:rPr>
              <w:t>Along with teaching, t</w:t>
            </w:r>
            <w:r w:rsidR="00EE1848" w:rsidRPr="00730C0D">
              <w:rPr>
                <w:rFonts w:ascii="Century Gothic" w:hAnsi="Century Gothic"/>
                <w:b/>
                <w:sz w:val="20"/>
                <w:szCs w:val="20"/>
              </w:rPr>
              <w:t xml:space="preserve">he </w:t>
            </w:r>
            <w:r w:rsidR="00AC7D05" w:rsidRPr="00730C0D">
              <w:rPr>
                <w:rFonts w:ascii="Century Gothic" w:hAnsi="Century Gothic"/>
                <w:b/>
                <w:sz w:val="20"/>
                <w:szCs w:val="20"/>
              </w:rPr>
              <w:t xml:space="preserve">undertaking </w:t>
            </w:r>
            <w:r w:rsidR="00EE1848" w:rsidRPr="00730C0D">
              <w:rPr>
                <w:rFonts w:ascii="Century Gothic" w:hAnsi="Century Gothic"/>
                <w:b/>
                <w:sz w:val="20"/>
                <w:szCs w:val="20"/>
              </w:rPr>
              <w:t xml:space="preserve">of </w:t>
            </w:r>
            <w:r w:rsidR="00AC7D05" w:rsidRPr="00730C0D">
              <w:rPr>
                <w:rFonts w:ascii="Century Gothic" w:hAnsi="Century Gothic"/>
                <w:b/>
                <w:sz w:val="20"/>
                <w:szCs w:val="20"/>
              </w:rPr>
              <w:t>research is</w:t>
            </w:r>
            <w:r w:rsidR="00EE1848" w:rsidRPr="00730C0D">
              <w:rPr>
                <w:rFonts w:ascii="Century Gothic" w:hAnsi="Century Gothic"/>
                <w:b/>
                <w:sz w:val="20"/>
                <w:szCs w:val="20"/>
              </w:rPr>
              <w:t>, and should remain,</w:t>
            </w:r>
            <w:r w:rsidR="00AC7D05" w:rsidRPr="00730C0D">
              <w:rPr>
                <w:rFonts w:ascii="Century Gothic" w:hAnsi="Century Gothic"/>
                <w:b/>
                <w:sz w:val="20"/>
                <w:szCs w:val="20"/>
              </w:rPr>
              <w:t xml:space="preserve"> a defining feature of what it means to be a university in Australia</w:t>
            </w:r>
            <w:r w:rsidR="00EE1848" w:rsidRPr="00730C0D">
              <w:rPr>
                <w:rFonts w:ascii="Century Gothic" w:hAnsi="Century Gothic"/>
                <w:b/>
                <w:sz w:val="20"/>
                <w:szCs w:val="20"/>
              </w:rPr>
              <w:t>;</w:t>
            </w:r>
            <w:r w:rsidR="00AC7D05" w:rsidRPr="00730C0D">
              <w:rPr>
                <w:rFonts w:ascii="Century Gothic" w:hAnsi="Century Gothic"/>
                <w:b/>
                <w:sz w:val="20"/>
                <w:szCs w:val="20"/>
              </w:rPr>
              <w:t xml:space="preserve"> a </w:t>
            </w:r>
            <w:r w:rsidRPr="00730C0D">
              <w:rPr>
                <w:rFonts w:ascii="Century Gothic" w:hAnsi="Century Gothic"/>
                <w:b/>
                <w:sz w:val="20"/>
                <w:szCs w:val="20"/>
              </w:rPr>
              <w:t xml:space="preserve">threshold </w:t>
            </w:r>
            <w:r w:rsidR="00AC7D05" w:rsidRPr="00730C0D">
              <w:rPr>
                <w:rFonts w:ascii="Century Gothic" w:hAnsi="Century Gothic"/>
                <w:b/>
                <w:sz w:val="20"/>
                <w:szCs w:val="20"/>
              </w:rPr>
              <w:t xml:space="preserve">benchmark of quality and quantity of research should be included in the </w:t>
            </w:r>
            <w:r w:rsidR="0082441F" w:rsidRPr="00730C0D">
              <w:rPr>
                <w:rFonts w:ascii="Century Gothic" w:hAnsi="Century Gothic"/>
                <w:b/>
                <w:sz w:val="20"/>
                <w:szCs w:val="20"/>
              </w:rPr>
              <w:t>Higher Education Provider Category Standards</w:t>
            </w:r>
            <w:r w:rsidR="00AC7D05" w:rsidRPr="00730C0D">
              <w:rPr>
                <w:rFonts w:ascii="Century Gothic" w:hAnsi="Century Gothic"/>
                <w:b/>
                <w:sz w:val="20"/>
                <w:szCs w:val="20"/>
              </w:rPr>
              <w:t>.</w:t>
            </w:r>
            <w:r w:rsidR="001D446D" w:rsidRPr="00730C0D">
              <w:rPr>
                <w:rFonts w:ascii="Century Gothic" w:hAnsi="Century Gothic"/>
                <w:b/>
                <w:sz w:val="20"/>
                <w:szCs w:val="20"/>
              </w:rPr>
              <w:t xml:space="preserve"> The </w:t>
            </w:r>
            <w:r w:rsidRPr="00730C0D">
              <w:rPr>
                <w:rFonts w:ascii="Century Gothic" w:hAnsi="Century Gothic"/>
                <w:b/>
                <w:sz w:val="20"/>
                <w:szCs w:val="20"/>
              </w:rPr>
              <w:t xml:space="preserve">threshold </w:t>
            </w:r>
            <w:r w:rsidR="001D446D" w:rsidRPr="00730C0D">
              <w:rPr>
                <w:rFonts w:ascii="Century Gothic" w:hAnsi="Century Gothic"/>
                <w:b/>
                <w:sz w:val="20"/>
                <w:szCs w:val="20"/>
              </w:rPr>
              <w:t>benchmark for research quality should also be augmented over time.</w:t>
            </w:r>
          </w:p>
        </w:tc>
      </w:tr>
    </w:tbl>
    <w:p w14:paraId="3EE1AD9B" w14:textId="77777777" w:rsidR="00BF131A" w:rsidRPr="00730C0D" w:rsidRDefault="00BF131A" w:rsidP="00D31B9A">
      <w:pPr>
        <w:spacing w:before="0" w:after="0"/>
        <w:rPr>
          <w:rFonts w:ascii="Century Gothic" w:eastAsiaTheme="majorEastAsia" w:hAnsi="Century Gothic" w:cstheme="majorBidi"/>
          <w:i/>
          <w:iCs/>
          <w:color w:val="2E74B5" w:themeColor="accent1" w:themeShade="BF"/>
          <w:sz w:val="20"/>
          <w:szCs w:val="20"/>
        </w:rPr>
      </w:pPr>
    </w:p>
    <w:p w14:paraId="17E013EE" w14:textId="77777777" w:rsidR="00375815" w:rsidRPr="00730C0D" w:rsidRDefault="00375815" w:rsidP="00BD7FE5">
      <w:pPr>
        <w:spacing w:before="0" w:after="0"/>
        <w:rPr>
          <w:rFonts w:ascii="Century Gothic" w:hAnsi="Century Gothic"/>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Access to Research Funding</w:t>
      </w:r>
    </w:p>
    <w:p w14:paraId="562D942C" w14:textId="4A804017" w:rsidR="00375815" w:rsidRPr="00E6326F" w:rsidRDefault="00375815" w:rsidP="00375815">
      <w:pPr>
        <w:spacing w:before="0" w:after="0"/>
        <w:rPr>
          <w:rFonts w:ascii="Century Gothic" w:hAnsi="Century Gothic"/>
          <w:sz w:val="20"/>
          <w:szCs w:val="20"/>
        </w:rPr>
      </w:pPr>
      <w:r w:rsidRPr="00E6326F">
        <w:rPr>
          <w:rFonts w:ascii="Century Gothic" w:hAnsi="Century Gothic"/>
          <w:sz w:val="20"/>
          <w:szCs w:val="20"/>
        </w:rPr>
        <w:t xml:space="preserve">Some stakeholders </w:t>
      </w:r>
      <w:r w:rsidR="00F11F68" w:rsidRPr="00E6326F">
        <w:rPr>
          <w:rFonts w:ascii="Century Gothic" w:hAnsi="Century Gothic"/>
          <w:sz w:val="20"/>
          <w:szCs w:val="20"/>
        </w:rPr>
        <w:t xml:space="preserve">argue </w:t>
      </w:r>
      <w:r w:rsidRPr="00E6326F">
        <w:rPr>
          <w:rFonts w:ascii="Century Gothic" w:hAnsi="Century Gothic"/>
          <w:sz w:val="20"/>
          <w:szCs w:val="20"/>
        </w:rPr>
        <w:t>that the research funding framework is inadequate as it creates perverse incentives for providers to focus on research fields which are more likely to produce higher citations and positive peer review. An analysis of Australia’s three ERA rounds to date “have demonstrated very clearly that if a university aspires to increase its overall research standing, including international rankings, then an investment in science related disciplines is more likely to provide a better dividend than investment in the humanities and social science disciplines. This approach may not be in the national interest of preserving breadth and strength in course and subject offerings”.</w:t>
      </w:r>
      <w:r w:rsidRPr="00E6326F">
        <w:rPr>
          <w:rStyle w:val="FootnoteReference"/>
          <w:rFonts w:ascii="Century Gothic" w:hAnsi="Century Gothic"/>
          <w:sz w:val="20"/>
          <w:szCs w:val="20"/>
        </w:rPr>
        <w:footnoteReference w:id="88"/>
      </w:r>
      <w:r w:rsidRPr="00E6326F">
        <w:rPr>
          <w:rFonts w:ascii="Century Gothic" w:hAnsi="Century Gothic"/>
          <w:sz w:val="20"/>
          <w:szCs w:val="20"/>
        </w:rPr>
        <w:t xml:space="preserve"> </w:t>
      </w:r>
    </w:p>
    <w:p w14:paraId="2D9A52D2" w14:textId="77777777" w:rsidR="00375815" w:rsidRPr="00E6326F" w:rsidRDefault="00375815" w:rsidP="00375815">
      <w:pPr>
        <w:spacing w:before="0" w:after="0"/>
        <w:rPr>
          <w:rFonts w:ascii="Century Gothic" w:hAnsi="Century Gothic"/>
          <w:sz w:val="20"/>
          <w:szCs w:val="20"/>
        </w:rPr>
      </w:pPr>
    </w:p>
    <w:p w14:paraId="64CB4DD0" w14:textId="068D0EBD" w:rsidR="00C32C9B" w:rsidRPr="00203E58" w:rsidRDefault="00375815" w:rsidP="00C32C9B">
      <w:pPr>
        <w:spacing w:before="0" w:after="0"/>
        <w:rPr>
          <w:rFonts w:ascii="Century Gothic" w:hAnsi="Century Gothic"/>
          <w:sz w:val="20"/>
          <w:szCs w:val="20"/>
        </w:rPr>
      </w:pPr>
      <w:r w:rsidRPr="00203E58">
        <w:rPr>
          <w:rFonts w:ascii="Century Gothic" w:hAnsi="Century Gothic"/>
          <w:sz w:val="20"/>
          <w:szCs w:val="20"/>
        </w:rPr>
        <w:t>Furthermore, while “the proportional distribution of funding to universities through the research block grant process is relatively constant year to year, it is uneven across the sector, reflecting different levels of research activity in individual institutions”.</w:t>
      </w:r>
      <w:r w:rsidRPr="00203E58">
        <w:rPr>
          <w:rStyle w:val="FootnoteReference"/>
          <w:rFonts w:ascii="Century Gothic" w:hAnsi="Century Gothic"/>
          <w:sz w:val="20"/>
          <w:szCs w:val="20"/>
        </w:rPr>
        <w:footnoteReference w:id="89"/>
      </w:r>
      <w:r w:rsidRPr="00203E58">
        <w:rPr>
          <w:rFonts w:ascii="Century Gothic" w:hAnsi="Century Gothic"/>
          <w:sz w:val="20"/>
          <w:szCs w:val="20"/>
        </w:rPr>
        <w:t xml:space="preserve"> This means that a small number of providers receive the bulk of </w:t>
      </w:r>
      <w:r w:rsidR="00BD7FE5" w:rsidRPr="00203E58">
        <w:rPr>
          <w:rFonts w:ascii="Century Gothic" w:hAnsi="Century Gothic"/>
          <w:sz w:val="20"/>
          <w:szCs w:val="20"/>
        </w:rPr>
        <w:t xml:space="preserve">Australian Government </w:t>
      </w:r>
      <w:r w:rsidRPr="00203E58">
        <w:rPr>
          <w:rFonts w:ascii="Century Gothic" w:hAnsi="Century Gothic"/>
          <w:sz w:val="20"/>
          <w:szCs w:val="20"/>
        </w:rPr>
        <w:t xml:space="preserve">research funding. </w:t>
      </w:r>
      <w:r w:rsidR="00773811" w:rsidRPr="00203E58">
        <w:rPr>
          <w:rFonts w:ascii="Century Gothic" w:hAnsi="Century Gothic"/>
          <w:sz w:val="20"/>
          <w:szCs w:val="20"/>
        </w:rPr>
        <w:t xml:space="preserve"> </w:t>
      </w:r>
      <w:r w:rsidR="00C07243" w:rsidRPr="00203E58">
        <w:rPr>
          <w:rFonts w:ascii="Century Gothic" w:hAnsi="Century Gothic"/>
          <w:sz w:val="20"/>
          <w:szCs w:val="20"/>
        </w:rPr>
        <w:t>Additionally, a</w:t>
      </w:r>
      <w:r w:rsidR="005025F3" w:rsidRPr="00203E58">
        <w:rPr>
          <w:rFonts w:ascii="Century Gothic" w:hAnsi="Century Gothic"/>
          <w:sz w:val="20"/>
          <w:szCs w:val="20"/>
        </w:rPr>
        <w:t xml:space="preserve">ccess to research funding presents difficulties for those providers aspiring to become an </w:t>
      </w:r>
      <w:r w:rsidR="00A71326" w:rsidRPr="00203E58">
        <w:rPr>
          <w:rFonts w:ascii="Century Gothic" w:hAnsi="Century Gothic"/>
          <w:sz w:val="20"/>
          <w:szCs w:val="20"/>
        </w:rPr>
        <w:t>‘</w:t>
      </w:r>
      <w:r w:rsidR="005025F3" w:rsidRPr="00203E58">
        <w:rPr>
          <w:rFonts w:ascii="Century Gothic" w:hAnsi="Century Gothic"/>
          <w:sz w:val="20"/>
          <w:szCs w:val="20"/>
        </w:rPr>
        <w:t xml:space="preserve">Australian </w:t>
      </w:r>
      <w:r w:rsidR="00A71326" w:rsidRPr="00203E58">
        <w:rPr>
          <w:rFonts w:ascii="Century Gothic" w:hAnsi="Century Gothic"/>
          <w:sz w:val="20"/>
          <w:szCs w:val="20"/>
        </w:rPr>
        <w:t>U</w:t>
      </w:r>
      <w:r w:rsidR="005025F3" w:rsidRPr="00203E58">
        <w:rPr>
          <w:rFonts w:ascii="Century Gothic" w:hAnsi="Century Gothic"/>
          <w:sz w:val="20"/>
          <w:szCs w:val="20"/>
        </w:rPr>
        <w:t>niversity</w:t>
      </w:r>
      <w:r w:rsidR="00A71326" w:rsidRPr="00203E58">
        <w:rPr>
          <w:rFonts w:ascii="Century Gothic" w:hAnsi="Century Gothic"/>
          <w:sz w:val="20"/>
          <w:szCs w:val="20"/>
        </w:rPr>
        <w:t>’ as</w:t>
      </w:r>
      <w:r w:rsidR="00C07243" w:rsidRPr="00203E58">
        <w:rPr>
          <w:rFonts w:ascii="Century Gothic" w:hAnsi="Century Gothic"/>
          <w:sz w:val="20"/>
          <w:szCs w:val="20"/>
        </w:rPr>
        <w:t xml:space="preserve"> </w:t>
      </w:r>
      <w:r w:rsidR="00A71326" w:rsidRPr="00203E58">
        <w:rPr>
          <w:rFonts w:ascii="Century Gothic" w:hAnsi="Century Gothic"/>
          <w:sz w:val="20"/>
          <w:szCs w:val="20"/>
        </w:rPr>
        <w:t>r</w:t>
      </w:r>
      <w:r w:rsidR="00C07243" w:rsidRPr="00203E58">
        <w:rPr>
          <w:rFonts w:ascii="Century Gothic" w:hAnsi="Century Gothic"/>
          <w:sz w:val="20"/>
          <w:szCs w:val="20"/>
        </w:rPr>
        <w:t>esearch block grants are</w:t>
      </w:r>
      <w:r w:rsidR="005025F3" w:rsidRPr="00203E58">
        <w:rPr>
          <w:rFonts w:ascii="Century Gothic" w:hAnsi="Century Gothic"/>
          <w:sz w:val="20"/>
          <w:szCs w:val="20"/>
        </w:rPr>
        <w:t xml:space="preserve"> </w:t>
      </w:r>
      <w:r w:rsidR="00C07243" w:rsidRPr="00203E58">
        <w:rPr>
          <w:rFonts w:ascii="Century Gothic" w:hAnsi="Century Gothic"/>
          <w:sz w:val="20"/>
          <w:szCs w:val="20"/>
        </w:rPr>
        <w:t xml:space="preserve">largely restricted to existing universities. </w:t>
      </w:r>
      <w:r w:rsidR="005025F3" w:rsidRPr="00203E58">
        <w:rPr>
          <w:rFonts w:ascii="Century Gothic" w:hAnsi="Century Gothic"/>
          <w:sz w:val="20"/>
          <w:szCs w:val="20"/>
        </w:rPr>
        <w:t xml:space="preserve">Without Government research funding, it may be very challenging for institutions to build </w:t>
      </w:r>
      <w:r w:rsidR="00C07243" w:rsidRPr="00203E58">
        <w:rPr>
          <w:rFonts w:ascii="Century Gothic" w:hAnsi="Century Gothic"/>
          <w:sz w:val="20"/>
          <w:szCs w:val="20"/>
        </w:rPr>
        <w:t>a research profile strong enough for entry to the ‘Australian University’ category</w:t>
      </w:r>
      <w:r w:rsidR="00A71326" w:rsidRPr="00203E58">
        <w:rPr>
          <w:rFonts w:ascii="Century Gothic" w:hAnsi="Century Gothic"/>
          <w:sz w:val="20"/>
          <w:szCs w:val="20"/>
        </w:rPr>
        <w:t xml:space="preserve"> </w:t>
      </w:r>
      <w:r w:rsidR="00A71326" w:rsidRPr="00203E58">
        <w:rPr>
          <w:rFonts w:ascii="Century Gothic" w:hAnsi="Century Gothic"/>
          <w:sz w:val="20"/>
          <w:szCs w:val="20"/>
        </w:rPr>
        <w:br/>
        <w:t xml:space="preserve">(see </w:t>
      </w:r>
      <w:hyperlink w:anchor="_2.1.1_‘Australian_University" w:history="1">
        <w:r w:rsidR="00A71326" w:rsidRPr="00203E58">
          <w:rPr>
            <w:rStyle w:val="Hyperlink"/>
            <w:rFonts w:ascii="Century Gothic" w:hAnsi="Century Gothic"/>
            <w:sz w:val="20"/>
            <w:szCs w:val="20"/>
          </w:rPr>
          <w:t>Section 2.1.1</w:t>
        </w:r>
      </w:hyperlink>
      <w:r w:rsidR="00A71326" w:rsidRPr="00203E58">
        <w:rPr>
          <w:rFonts w:ascii="Century Gothic" w:hAnsi="Century Gothic"/>
          <w:sz w:val="20"/>
          <w:szCs w:val="20"/>
        </w:rPr>
        <w:t>)</w:t>
      </w:r>
      <w:r w:rsidR="00C07243" w:rsidRPr="00203E58">
        <w:rPr>
          <w:rFonts w:ascii="Century Gothic" w:hAnsi="Century Gothic"/>
          <w:sz w:val="20"/>
          <w:szCs w:val="20"/>
        </w:rPr>
        <w:t xml:space="preserve">. </w:t>
      </w:r>
    </w:p>
    <w:p w14:paraId="77629648" w14:textId="77777777" w:rsidR="00C34A35" w:rsidRDefault="00C34A35">
      <w:pPr>
        <w:spacing w:before="0" w:after="160"/>
        <w:rPr>
          <w:rFonts w:ascii="Century Gothic" w:hAnsi="Century Gothic"/>
          <w:sz w:val="20"/>
          <w:szCs w:val="20"/>
        </w:rPr>
      </w:pPr>
      <w:r>
        <w:rPr>
          <w:rFonts w:ascii="Century Gothic" w:hAnsi="Century Gothic"/>
          <w:sz w:val="20"/>
          <w:szCs w:val="20"/>
        </w:rPr>
        <w:br w:type="page"/>
      </w:r>
    </w:p>
    <w:p w14:paraId="22A76FAA" w14:textId="6BF8F344" w:rsidR="00AC7D05" w:rsidRPr="00730C0D" w:rsidRDefault="00AC7D05" w:rsidP="00D31B9A">
      <w:pPr>
        <w:spacing w:before="0" w:after="0"/>
        <w:rPr>
          <w:rFonts w:ascii="Century Gothic" w:eastAsiaTheme="majorEastAsia" w:hAnsi="Century Gothic" w:cstheme="majorBidi"/>
          <w:i/>
          <w:iCs/>
          <w:color w:val="2E74B5" w:themeColor="accent1" w:themeShade="BF"/>
          <w:sz w:val="20"/>
          <w:szCs w:val="20"/>
        </w:rPr>
      </w:pPr>
      <w:r w:rsidRPr="00730C0D">
        <w:rPr>
          <w:rFonts w:ascii="Century Gothic" w:eastAsiaTheme="majorEastAsia" w:hAnsi="Century Gothic" w:cstheme="majorBidi"/>
          <w:i/>
          <w:iCs/>
          <w:color w:val="2E74B5" w:themeColor="accent1" w:themeShade="BF"/>
          <w:sz w:val="20"/>
          <w:szCs w:val="20"/>
        </w:rPr>
        <w:t>Fields of Research/Fields of Study</w:t>
      </w:r>
    </w:p>
    <w:p w14:paraId="0C739405" w14:textId="07C329A0" w:rsidR="00AC7D05" w:rsidRPr="00203E58" w:rsidRDefault="00AC7D05" w:rsidP="00D31B9A">
      <w:pPr>
        <w:spacing w:before="0" w:after="0"/>
        <w:rPr>
          <w:rFonts w:ascii="Century Gothic" w:hAnsi="Century Gothic"/>
          <w:sz w:val="20"/>
          <w:szCs w:val="20"/>
        </w:rPr>
      </w:pPr>
      <w:r w:rsidRPr="00203E58">
        <w:rPr>
          <w:rFonts w:ascii="Century Gothic" w:hAnsi="Century Gothic"/>
          <w:sz w:val="20"/>
          <w:szCs w:val="20"/>
        </w:rPr>
        <w:t xml:space="preserve">Currently, and in the proposed criteria set out at </w:t>
      </w:r>
      <w:hyperlink w:anchor="_Appendix_D." w:history="1">
        <w:r w:rsidRPr="00203E58">
          <w:rPr>
            <w:rStyle w:val="Hyperlink"/>
            <w:rFonts w:ascii="Century Gothic" w:hAnsi="Century Gothic"/>
            <w:sz w:val="20"/>
            <w:szCs w:val="20"/>
          </w:rPr>
          <w:t>Appendix D</w:t>
        </w:r>
      </w:hyperlink>
      <w:r w:rsidRPr="00203E58">
        <w:rPr>
          <w:rFonts w:ascii="Century Gothic" w:hAnsi="Century Gothic"/>
          <w:sz w:val="20"/>
          <w:szCs w:val="20"/>
        </w:rPr>
        <w:t xml:space="preserve">, TEQSA must assess that a provider undertakes research in a given number of fields of study (hereby referred to using the more contemporary ‘fields of education’). </w:t>
      </w:r>
      <w:r w:rsidR="00685B4B" w:rsidRPr="00203E58">
        <w:rPr>
          <w:rFonts w:ascii="Century Gothic" w:hAnsi="Century Gothic"/>
          <w:sz w:val="20"/>
          <w:szCs w:val="20"/>
        </w:rPr>
        <w:t>For the purposes of measuring research</w:t>
      </w:r>
      <w:r w:rsidRPr="00203E58">
        <w:rPr>
          <w:rFonts w:ascii="Century Gothic" w:hAnsi="Century Gothic"/>
          <w:sz w:val="20"/>
          <w:szCs w:val="20"/>
        </w:rPr>
        <w:t xml:space="preserve">, the PCS criteria require an interaction between fields of education and fields of research, although this is not explicitly stated in the </w:t>
      </w:r>
      <w:r w:rsidR="00FC7D8B" w:rsidRPr="00203E58">
        <w:rPr>
          <w:rFonts w:ascii="Century Gothic" w:hAnsi="Century Gothic"/>
          <w:sz w:val="20"/>
          <w:szCs w:val="20"/>
        </w:rPr>
        <w:t>PCS</w:t>
      </w:r>
      <w:r w:rsidRPr="00203E58">
        <w:rPr>
          <w:rFonts w:ascii="Century Gothic" w:hAnsi="Century Gothic"/>
          <w:sz w:val="20"/>
          <w:szCs w:val="20"/>
        </w:rPr>
        <w:t xml:space="preserve">. </w:t>
      </w:r>
    </w:p>
    <w:p w14:paraId="49022D54" w14:textId="77777777" w:rsidR="00AC7D05" w:rsidRPr="00203E58" w:rsidRDefault="00AC7D05" w:rsidP="00D31B9A">
      <w:pPr>
        <w:spacing w:before="0" w:after="0"/>
        <w:rPr>
          <w:rFonts w:ascii="Century Gothic" w:hAnsi="Century Gothic"/>
          <w:sz w:val="20"/>
          <w:szCs w:val="20"/>
        </w:rPr>
      </w:pPr>
    </w:p>
    <w:p w14:paraId="7836D545" w14:textId="48B9EA7C" w:rsidR="00ED4F1A" w:rsidRPr="00203E58" w:rsidRDefault="00AC7D05" w:rsidP="00D31B9A">
      <w:pPr>
        <w:spacing w:before="0" w:after="0"/>
        <w:rPr>
          <w:rFonts w:ascii="Century Gothic" w:hAnsi="Century Gothic"/>
          <w:sz w:val="20"/>
          <w:szCs w:val="20"/>
        </w:rPr>
      </w:pPr>
      <w:r w:rsidRPr="00203E58">
        <w:rPr>
          <w:rFonts w:ascii="Century Gothic" w:hAnsi="Century Gothic"/>
          <w:sz w:val="20"/>
          <w:szCs w:val="20"/>
        </w:rPr>
        <w:t xml:space="preserve">The Australian Standard Classification of Education (ASCED) defines </w:t>
      </w:r>
      <w:r w:rsidR="0041150F" w:rsidRPr="00203E58">
        <w:rPr>
          <w:rFonts w:ascii="Century Gothic" w:hAnsi="Century Gothic"/>
          <w:sz w:val="20"/>
          <w:szCs w:val="20"/>
        </w:rPr>
        <w:t xml:space="preserve">the subject matter of educational activity at various levels. There are </w:t>
      </w:r>
      <w:r w:rsidRPr="00203E58">
        <w:rPr>
          <w:rFonts w:ascii="Century Gothic" w:hAnsi="Century Gothic"/>
          <w:sz w:val="20"/>
          <w:szCs w:val="20"/>
        </w:rPr>
        <w:t>12 broad (2-digit) fields of education</w:t>
      </w:r>
      <w:r w:rsidR="0041150F" w:rsidRPr="00203E58">
        <w:rPr>
          <w:rFonts w:ascii="Century Gothic" w:hAnsi="Century Gothic"/>
          <w:sz w:val="20"/>
          <w:szCs w:val="20"/>
        </w:rPr>
        <w:t>, under which fall 71 more specific</w:t>
      </w:r>
      <w:r w:rsidR="007C6D9C" w:rsidRPr="00203E58">
        <w:rPr>
          <w:rFonts w:ascii="Century Gothic" w:hAnsi="Century Gothic"/>
          <w:sz w:val="20"/>
          <w:szCs w:val="20"/>
        </w:rPr>
        <w:t xml:space="preserve"> narrow (4-digit) and 356 detailed (6-digit) fields of education.</w:t>
      </w:r>
      <w:r w:rsidR="0041150F" w:rsidRPr="00203E58">
        <w:rPr>
          <w:rStyle w:val="FootnoteReference"/>
          <w:rFonts w:ascii="Century Gothic" w:hAnsi="Century Gothic"/>
          <w:sz w:val="20"/>
          <w:szCs w:val="20"/>
        </w:rPr>
        <w:footnoteReference w:id="90"/>
      </w:r>
      <w:r w:rsidRPr="00203E58">
        <w:rPr>
          <w:rFonts w:ascii="Century Gothic" w:hAnsi="Century Gothic"/>
          <w:sz w:val="20"/>
          <w:szCs w:val="20"/>
        </w:rPr>
        <w:t xml:space="preserve"> </w:t>
      </w:r>
      <w:r w:rsidR="00BD7FE5" w:rsidRPr="00203E58">
        <w:rPr>
          <w:rFonts w:ascii="Century Gothic" w:hAnsi="Century Gothic"/>
          <w:sz w:val="20"/>
          <w:szCs w:val="20"/>
        </w:rPr>
        <w:t>T</w:t>
      </w:r>
      <w:r w:rsidRPr="00203E58">
        <w:rPr>
          <w:rFonts w:ascii="Century Gothic" w:hAnsi="Century Gothic"/>
          <w:sz w:val="20"/>
          <w:szCs w:val="20"/>
        </w:rPr>
        <w:t>he Australia</w:t>
      </w:r>
      <w:r w:rsidR="00DD7A52" w:rsidRPr="00203E58">
        <w:rPr>
          <w:rFonts w:ascii="Century Gothic" w:hAnsi="Century Gothic"/>
          <w:sz w:val="20"/>
          <w:szCs w:val="20"/>
        </w:rPr>
        <w:t>n</w:t>
      </w:r>
      <w:r w:rsidRPr="00203E58">
        <w:rPr>
          <w:rFonts w:ascii="Century Gothic" w:hAnsi="Century Gothic"/>
          <w:sz w:val="20"/>
          <w:szCs w:val="20"/>
        </w:rPr>
        <w:t xml:space="preserve"> and New Zealand Standard Research </w:t>
      </w:r>
      <w:r w:rsidR="0041150F" w:rsidRPr="00203E58">
        <w:rPr>
          <w:rFonts w:ascii="Century Gothic" w:hAnsi="Century Gothic"/>
          <w:sz w:val="20"/>
          <w:szCs w:val="20"/>
        </w:rPr>
        <w:t xml:space="preserve">Classification (ANZSRC) </w:t>
      </w:r>
      <w:r w:rsidR="005A1F24" w:rsidRPr="00203E58">
        <w:rPr>
          <w:rFonts w:ascii="Century Gothic" w:hAnsi="Century Gothic"/>
          <w:sz w:val="20"/>
          <w:szCs w:val="20"/>
        </w:rPr>
        <w:t xml:space="preserve">categorises </w:t>
      </w:r>
      <w:r w:rsidR="0041150F" w:rsidRPr="00203E58">
        <w:rPr>
          <w:rFonts w:ascii="Century Gothic" w:hAnsi="Century Gothic"/>
          <w:sz w:val="20"/>
          <w:szCs w:val="20"/>
        </w:rPr>
        <w:t xml:space="preserve">research activity according to </w:t>
      </w:r>
      <w:r w:rsidR="00DD7A52" w:rsidRPr="00203E58">
        <w:rPr>
          <w:rFonts w:ascii="Century Gothic" w:hAnsi="Century Gothic"/>
          <w:sz w:val="20"/>
          <w:szCs w:val="20"/>
        </w:rPr>
        <w:t xml:space="preserve">research </w:t>
      </w:r>
      <w:r w:rsidR="0041150F" w:rsidRPr="00203E58">
        <w:rPr>
          <w:rFonts w:ascii="Century Gothic" w:hAnsi="Century Gothic"/>
          <w:sz w:val="20"/>
          <w:szCs w:val="20"/>
        </w:rPr>
        <w:t xml:space="preserve">methodology. There are </w:t>
      </w:r>
      <w:r w:rsidRPr="00203E58">
        <w:rPr>
          <w:rFonts w:ascii="Century Gothic" w:hAnsi="Century Gothic"/>
          <w:sz w:val="20"/>
          <w:szCs w:val="20"/>
        </w:rPr>
        <w:t xml:space="preserve">22 </w:t>
      </w:r>
      <w:r w:rsidR="005A4998" w:rsidRPr="00203E58">
        <w:rPr>
          <w:rFonts w:ascii="Century Gothic" w:hAnsi="Century Gothic"/>
          <w:sz w:val="20"/>
          <w:szCs w:val="20"/>
        </w:rPr>
        <w:t>divisions</w:t>
      </w:r>
      <w:r w:rsidR="007C6D9C" w:rsidRPr="00203E58">
        <w:rPr>
          <w:rFonts w:ascii="Century Gothic" w:hAnsi="Century Gothic"/>
          <w:sz w:val="20"/>
          <w:szCs w:val="20"/>
        </w:rPr>
        <w:t xml:space="preserve"> </w:t>
      </w:r>
      <w:r w:rsidR="008B064D" w:rsidRPr="00203E58">
        <w:rPr>
          <w:rFonts w:ascii="Century Gothic" w:hAnsi="Century Gothic"/>
          <w:sz w:val="20"/>
          <w:szCs w:val="20"/>
        </w:rPr>
        <w:br/>
      </w:r>
      <w:r w:rsidRPr="00203E58">
        <w:rPr>
          <w:rFonts w:ascii="Century Gothic" w:hAnsi="Century Gothic"/>
          <w:sz w:val="20"/>
          <w:szCs w:val="20"/>
        </w:rPr>
        <w:t>(2-digit) of research</w:t>
      </w:r>
      <w:r w:rsidR="005A4998" w:rsidRPr="00203E58">
        <w:rPr>
          <w:rFonts w:ascii="Century Gothic" w:hAnsi="Century Gothic"/>
          <w:sz w:val="20"/>
          <w:szCs w:val="20"/>
        </w:rPr>
        <w:t>, 157 groups (4-digit) of research and 1238 fields (6-digit) of research</w:t>
      </w:r>
      <w:r w:rsidRPr="00203E58">
        <w:rPr>
          <w:rFonts w:ascii="Century Gothic" w:hAnsi="Century Gothic"/>
          <w:sz w:val="20"/>
          <w:szCs w:val="20"/>
        </w:rPr>
        <w:t>.</w:t>
      </w:r>
      <w:r w:rsidR="0041150F" w:rsidRPr="00203E58">
        <w:rPr>
          <w:rStyle w:val="FootnoteReference"/>
          <w:rFonts w:ascii="Century Gothic" w:hAnsi="Century Gothic"/>
          <w:sz w:val="20"/>
          <w:szCs w:val="20"/>
        </w:rPr>
        <w:footnoteReference w:id="91"/>
      </w:r>
      <w:r w:rsidRPr="00203E58">
        <w:rPr>
          <w:rFonts w:ascii="Century Gothic" w:hAnsi="Century Gothic"/>
          <w:sz w:val="20"/>
          <w:szCs w:val="20"/>
        </w:rPr>
        <w:t xml:space="preserve"> </w:t>
      </w:r>
      <w:r w:rsidR="00DD7A52" w:rsidRPr="00203E58">
        <w:rPr>
          <w:rFonts w:ascii="Century Gothic" w:hAnsi="Century Gothic"/>
          <w:sz w:val="20"/>
          <w:szCs w:val="20"/>
        </w:rPr>
        <w:t>Fields of education and fields of research are used for a range of purposes including defining the scope of activity under the PCS, assessing research ou</w:t>
      </w:r>
      <w:r w:rsidR="00ED4F1A" w:rsidRPr="00203E58">
        <w:rPr>
          <w:rFonts w:ascii="Century Gothic" w:hAnsi="Century Gothic"/>
          <w:sz w:val="20"/>
          <w:szCs w:val="20"/>
        </w:rPr>
        <w:t>tputs through tools such as ERA</w:t>
      </w:r>
      <w:r w:rsidR="00C32C9B" w:rsidRPr="00203E58">
        <w:rPr>
          <w:rFonts w:ascii="Century Gothic" w:hAnsi="Century Gothic"/>
          <w:sz w:val="20"/>
          <w:szCs w:val="20"/>
        </w:rPr>
        <w:t>,</w:t>
      </w:r>
      <w:r w:rsidR="00ED4F1A" w:rsidRPr="00203E58">
        <w:rPr>
          <w:rFonts w:ascii="Century Gothic" w:hAnsi="Century Gothic"/>
          <w:sz w:val="20"/>
          <w:szCs w:val="20"/>
        </w:rPr>
        <w:t xml:space="preserve"> and</w:t>
      </w:r>
      <w:r w:rsidR="00DD7A52" w:rsidRPr="00203E58">
        <w:rPr>
          <w:rFonts w:ascii="Century Gothic" w:hAnsi="Century Gothic"/>
          <w:sz w:val="20"/>
          <w:szCs w:val="20"/>
        </w:rPr>
        <w:t xml:space="preserve"> </w:t>
      </w:r>
      <w:r w:rsidR="00ED4F1A" w:rsidRPr="00203E58">
        <w:rPr>
          <w:rFonts w:ascii="Century Gothic" w:hAnsi="Century Gothic"/>
          <w:sz w:val="20"/>
          <w:szCs w:val="20"/>
        </w:rPr>
        <w:t xml:space="preserve">higher education </w:t>
      </w:r>
      <w:r w:rsidR="00DD7A52" w:rsidRPr="00203E58">
        <w:rPr>
          <w:rFonts w:ascii="Century Gothic" w:hAnsi="Century Gothic"/>
          <w:sz w:val="20"/>
          <w:szCs w:val="20"/>
        </w:rPr>
        <w:t xml:space="preserve">statistical measurement </w:t>
      </w:r>
      <w:r w:rsidR="00ED4F1A" w:rsidRPr="00203E58">
        <w:rPr>
          <w:rFonts w:ascii="Century Gothic" w:hAnsi="Century Gothic"/>
          <w:sz w:val="20"/>
          <w:szCs w:val="20"/>
        </w:rPr>
        <w:t>and sharing of statistical data.</w:t>
      </w:r>
      <w:r w:rsidR="00DD7A52" w:rsidRPr="00203E58">
        <w:rPr>
          <w:rFonts w:ascii="Century Gothic" w:hAnsi="Century Gothic"/>
          <w:sz w:val="20"/>
          <w:szCs w:val="20"/>
        </w:rPr>
        <w:t xml:space="preserve"> </w:t>
      </w:r>
    </w:p>
    <w:p w14:paraId="022AB217" w14:textId="77777777" w:rsidR="00ED4F1A" w:rsidRPr="00203E58" w:rsidRDefault="00ED4F1A" w:rsidP="00D31B9A">
      <w:pPr>
        <w:spacing w:before="0" w:after="0"/>
        <w:rPr>
          <w:rFonts w:ascii="Century Gothic" w:hAnsi="Century Gothic"/>
          <w:sz w:val="20"/>
          <w:szCs w:val="20"/>
        </w:rPr>
      </w:pPr>
    </w:p>
    <w:p w14:paraId="44B2BBDA" w14:textId="10EC6EBC" w:rsidR="00AC7D05" w:rsidRPr="00203E58" w:rsidRDefault="00AC7D05" w:rsidP="00D31B9A">
      <w:pPr>
        <w:spacing w:before="0" w:after="0"/>
        <w:rPr>
          <w:rFonts w:ascii="Century Gothic" w:hAnsi="Century Gothic"/>
          <w:sz w:val="20"/>
          <w:szCs w:val="20"/>
        </w:rPr>
      </w:pPr>
      <w:r w:rsidRPr="00203E58">
        <w:rPr>
          <w:rFonts w:ascii="Century Gothic" w:hAnsi="Century Gothic"/>
          <w:sz w:val="20"/>
          <w:szCs w:val="20"/>
        </w:rPr>
        <w:t>For regulatory purposes and quality measurement (such as ERA), providers identify fields of research for their research outputs. These</w:t>
      </w:r>
      <w:r w:rsidR="00F11F68" w:rsidRPr="00203E58">
        <w:rPr>
          <w:rFonts w:ascii="Century Gothic" w:hAnsi="Century Gothic"/>
          <w:sz w:val="20"/>
          <w:szCs w:val="20"/>
        </w:rPr>
        <w:t xml:space="preserve"> then</w:t>
      </w:r>
      <w:r w:rsidRPr="00203E58">
        <w:rPr>
          <w:rFonts w:ascii="Century Gothic" w:hAnsi="Century Gothic"/>
          <w:sz w:val="20"/>
          <w:szCs w:val="20"/>
        </w:rPr>
        <w:t xml:space="preserve"> can be </w:t>
      </w:r>
      <w:r w:rsidR="00C32C9B" w:rsidRPr="00203E58">
        <w:rPr>
          <w:rFonts w:ascii="Century Gothic" w:hAnsi="Century Gothic"/>
          <w:sz w:val="20"/>
          <w:szCs w:val="20"/>
        </w:rPr>
        <w:t>correlated</w:t>
      </w:r>
      <w:r w:rsidRPr="00203E58">
        <w:rPr>
          <w:rFonts w:ascii="Century Gothic" w:hAnsi="Century Gothic"/>
          <w:sz w:val="20"/>
          <w:szCs w:val="20"/>
        </w:rPr>
        <w:t xml:space="preserve"> to fall </w:t>
      </w:r>
      <w:r w:rsidR="00424CDD" w:rsidRPr="00203E58">
        <w:rPr>
          <w:rFonts w:ascii="Century Gothic" w:hAnsi="Century Gothic"/>
          <w:sz w:val="20"/>
          <w:szCs w:val="20"/>
        </w:rPr>
        <w:t xml:space="preserve">within </w:t>
      </w:r>
      <w:r w:rsidRPr="00203E58">
        <w:rPr>
          <w:rFonts w:ascii="Century Gothic" w:hAnsi="Century Gothic"/>
          <w:sz w:val="20"/>
          <w:szCs w:val="20"/>
        </w:rPr>
        <w:t xml:space="preserve">fields of education for the purposes of the PCS. Some stakeholders indicate that it can be a challenge to correlate fields of research and fields of education as there are a number of fields of research which, at the 4- or 6-digit levels, may fall under multiple fields of education. This </w:t>
      </w:r>
      <w:r w:rsidR="00424CDD" w:rsidRPr="00203E58">
        <w:rPr>
          <w:rFonts w:ascii="Century Gothic" w:hAnsi="Century Gothic"/>
          <w:sz w:val="20"/>
          <w:szCs w:val="20"/>
        </w:rPr>
        <w:t xml:space="preserve">potential </w:t>
      </w:r>
      <w:r w:rsidRPr="00203E58">
        <w:rPr>
          <w:rFonts w:ascii="Century Gothic" w:hAnsi="Century Gothic"/>
          <w:sz w:val="20"/>
          <w:szCs w:val="20"/>
        </w:rPr>
        <w:t>concern is recognised</w:t>
      </w:r>
      <w:r w:rsidR="00F11F68" w:rsidRPr="00203E58">
        <w:rPr>
          <w:rFonts w:ascii="Century Gothic" w:hAnsi="Century Gothic"/>
          <w:sz w:val="20"/>
          <w:szCs w:val="20"/>
        </w:rPr>
        <w:t>;</w:t>
      </w:r>
      <w:r w:rsidRPr="00203E58">
        <w:rPr>
          <w:rFonts w:ascii="Century Gothic" w:hAnsi="Century Gothic"/>
          <w:sz w:val="20"/>
          <w:szCs w:val="20"/>
        </w:rPr>
        <w:t xml:space="preserve"> however</w:t>
      </w:r>
      <w:r w:rsidR="00CB364D" w:rsidRPr="00203E58">
        <w:rPr>
          <w:rFonts w:ascii="Century Gothic" w:hAnsi="Century Gothic"/>
          <w:sz w:val="20"/>
          <w:szCs w:val="20"/>
        </w:rPr>
        <w:t xml:space="preserve"> </w:t>
      </w:r>
      <w:r w:rsidRPr="00203E58">
        <w:rPr>
          <w:rFonts w:ascii="Century Gothic" w:hAnsi="Century Gothic"/>
          <w:sz w:val="20"/>
          <w:szCs w:val="20"/>
        </w:rPr>
        <w:t xml:space="preserve">TEQSA has the flexibility to examine particular instances on a case-by-case basis. </w:t>
      </w:r>
    </w:p>
    <w:p w14:paraId="26268A07" w14:textId="77777777" w:rsidR="00AC7D05" w:rsidRPr="00203E58" w:rsidRDefault="00AC7D05" w:rsidP="00D31B9A">
      <w:pPr>
        <w:spacing w:before="0" w:after="0"/>
        <w:rPr>
          <w:rFonts w:ascii="Century Gothic" w:hAnsi="Century Gothic"/>
          <w:sz w:val="20"/>
          <w:szCs w:val="20"/>
        </w:rPr>
      </w:pPr>
    </w:p>
    <w:p w14:paraId="2F8A04C9" w14:textId="32D312F1" w:rsidR="00AC7D05" w:rsidRPr="00203E58" w:rsidRDefault="00AC7D05" w:rsidP="00D31B9A">
      <w:pPr>
        <w:spacing w:before="0" w:after="0"/>
        <w:rPr>
          <w:rFonts w:ascii="Century Gothic" w:hAnsi="Century Gothic"/>
          <w:sz w:val="20"/>
          <w:szCs w:val="20"/>
        </w:rPr>
      </w:pPr>
      <w:r w:rsidRPr="00203E58">
        <w:rPr>
          <w:rFonts w:ascii="Century Gothic" w:hAnsi="Century Gothic"/>
          <w:sz w:val="20"/>
          <w:szCs w:val="20"/>
        </w:rPr>
        <w:t xml:space="preserve">Table 2.1 is provided as a demonstration of how fields of research and education may correlate at the 2-digit level. </w:t>
      </w:r>
      <w:r w:rsidR="00F11F68" w:rsidRPr="00203E58">
        <w:rPr>
          <w:rFonts w:ascii="Century Gothic" w:hAnsi="Century Gothic"/>
          <w:sz w:val="20"/>
          <w:szCs w:val="20"/>
        </w:rPr>
        <w:t xml:space="preserve">Correlation </w:t>
      </w:r>
      <w:r w:rsidR="00DD7A52" w:rsidRPr="00203E58">
        <w:rPr>
          <w:rFonts w:ascii="Century Gothic" w:hAnsi="Century Gothic"/>
          <w:sz w:val="20"/>
          <w:szCs w:val="20"/>
        </w:rPr>
        <w:t xml:space="preserve">between the </w:t>
      </w:r>
      <w:r w:rsidR="00ED4F1A" w:rsidRPr="00203E58">
        <w:rPr>
          <w:rFonts w:ascii="Century Gothic" w:hAnsi="Century Gothic"/>
          <w:sz w:val="20"/>
          <w:szCs w:val="20"/>
        </w:rPr>
        <w:t>classifications</w:t>
      </w:r>
      <w:r w:rsidR="00DD7A52" w:rsidRPr="00203E58">
        <w:rPr>
          <w:rFonts w:ascii="Century Gothic" w:hAnsi="Century Gothic"/>
          <w:sz w:val="20"/>
          <w:szCs w:val="20"/>
        </w:rPr>
        <w:t xml:space="preserve"> is imperfect, but </w:t>
      </w:r>
      <w:r w:rsidR="00ED4F1A" w:rsidRPr="00203E58">
        <w:rPr>
          <w:rFonts w:ascii="Century Gothic" w:hAnsi="Century Gothic"/>
          <w:sz w:val="20"/>
          <w:szCs w:val="20"/>
        </w:rPr>
        <w:t>acceptable at the broadest classification level</w:t>
      </w:r>
      <w:r w:rsidR="004421AB" w:rsidRPr="00203E58">
        <w:rPr>
          <w:rFonts w:ascii="Century Gothic" w:hAnsi="Century Gothic"/>
          <w:sz w:val="20"/>
          <w:szCs w:val="20"/>
        </w:rPr>
        <w:t xml:space="preserve">. </w:t>
      </w:r>
      <w:r w:rsidR="00F11F68" w:rsidRPr="00203E58">
        <w:rPr>
          <w:rFonts w:ascii="Century Gothic" w:hAnsi="Century Gothic"/>
          <w:sz w:val="20"/>
          <w:szCs w:val="20"/>
        </w:rPr>
        <w:t>For example, t</w:t>
      </w:r>
      <w:r w:rsidR="00685B4B" w:rsidRPr="00203E58">
        <w:rPr>
          <w:rFonts w:ascii="Century Gothic" w:hAnsi="Century Gothic"/>
          <w:sz w:val="20"/>
          <w:szCs w:val="20"/>
        </w:rPr>
        <w:t>he field of research ‘technology’ (denoted with a</w:t>
      </w:r>
      <w:r w:rsidR="005A1F24" w:rsidRPr="00203E58">
        <w:rPr>
          <w:rFonts w:ascii="Century Gothic" w:hAnsi="Century Gothic"/>
          <w:sz w:val="20"/>
          <w:szCs w:val="20"/>
        </w:rPr>
        <w:t>n</w:t>
      </w:r>
      <w:r w:rsidR="00685B4B" w:rsidRPr="00203E58">
        <w:rPr>
          <w:rFonts w:ascii="Century Gothic" w:hAnsi="Century Gothic"/>
          <w:sz w:val="20"/>
          <w:szCs w:val="20"/>
        </w:rPr>
        <w:t xml:space="preserve"> * in the table) is placed within two broad fields of education as there is a distinct split at the 4-digit level which cannot be easily incorporated under one field of education. In this case, and </w:t>
      </w:r>
      <w:r w:rsidR="00F11F68" w:rsidRPr="00203E58">
        <w:rPr>
          <w:rFonts w:ascii="Century Gothic" w:hAnsi="Century Gothic"/>
          <w:sz w:val="20"/>
          <w:szCs w:val="20"/>
        </w:rPr>
        <w:t>others that may exist,</w:t>
      </w:r>
      <w:r w:rsidR="00CB364D" w:rsidRPr="00203E58">
        <w:rPr>
          <w:rFonts w:ascii="Century Gothic" w:hAnsi="Century Gothic"/>
          <w:sz w:val="20"/>
          <w:szCs w:val="20"/>
        </w:rPr>
        <w:t xml:space="preserve"> TEQSA will make a judgement on a case</w:t>
      </w:r>
      <w:r w:rsidR="005A1F24" w:rsidRPr="00203E58">
        <w:rPr>
          <w:rFonts w:ascii="Century Gothic" w:hAnsi="Century Gothic"/>
          <w:sz w:val="20"/>
          <w:szCs w:val="20"/>
        </w:rPr>
        <w:t>-</w:t>
      </w:r>
      <w:r w:rsidR="00CB364D" w:rsidRPr="00203E58">
        <w:rPr>
          <w:rFonts w:ascii="Century Gothic" w:hAnsi="Century Gothic"/>
          <w:sz w:val="20"/>
          <w:szCs w:val="20"/>
        </w:rPr>
        <w:t>by</w:t>
      </w:r>
      <w:r w:rsidR="005A1F24" w:rsidRPr="00203E58">
        <w:rPr>
          <w:rFonts w:ascii="Century Gothic" w:hAnsi="Century Gothic"/>
          <w:sz w:val="20"/>
          <w:szCs w:val="20"/>
        </w:rPr>
        <w:t>-</w:t>
      </w:r>
      <w:r w:rsidR="00CB364D" w:rsidRPr="00203E58">
        <w:rPr>
          <w:rFonts w:ascii="Century Gothic" w:hAnsi="Century Gothic"/>
          <w:sz w:val="20"/>
          <w:szCs w:val="20"/>
        </w:rPr>
        <w:t>case basis to determine the appropriate correlation.</w:t>
      </w:r>
    </w:p>
    <w:p w14:paraId="78EDCA96" w14:textId="02595AFB" w:rsidR="00F01E6D" w:rsidRPr="00203E58" w:rsidRDefault="00F01E6D">
      <w:pPr>
        <w:spacing w:before="0" w:after="160"/>
        <w:rPr>
          <w:rFonts w:ascii="Century Gothic" w:hAnsi="Century Gothic"/>
          <w:b/>
          <w:i/>
          <w:sz w:val="20"/>
          <w:szCs w:val="20"/>
        </w:rPr>
      </w:pPr>
      <w:r w:rsidRPr="00203E58">
        <w:rPr>
          <w:rFonts w:ascii="Century Gothic" w:hAnsi="Century Gothic"/>
          <w:sz w:val="20"/>
          <w:szCs w:val="20"/>
        </w:rPr>
        <w:br w:type="page"/>
      </w:r>
    </w:p>
    <w:p w14:paraId="5F89808E" w14:textId="4EA9E7FA" w:rsidR="00DC77B4" w:rsidRPr="00730C0D" w:rsidRDefault="00DC77B4" w:rsidP="00266D8E">
      <w:pPr>
        <w:pStyle w:val="Caption"/>
        <w:keepNext/>
        <w:rPr>
          <w:rFonts w:ascii="Century Gothic" w:hAnsi="Century Gothic"/>
          <w:sz w:val="20"/>
          <w:szCs w:val="20"/>
        </w:rPr>
      </w:pPr>
      <w:bookmarkStart w:id="70" w:name="_Toc18496081"/>
      <w:r w:rsidRPr="00730C0D">
        <w:rPr>
          <w:rFonts w:ascii="Century Gothic" w:hAnsi="Century Gothic"/>
          <w:sz w:val="20"/>
          <w:szCs w:val="20"/>
        </w:rPr>
        <w:t>Table 2</w:t>
      </w:r>
      <w:r w:rsidR="00375815" w:rsidRPr="00730C0D">
        <w:rPr>
          <w:rFonts w:ascii="Century Gothic" w:hAnsi="Century Gothic"/>
          <w:sz w:val="20"/>
          <w:szCs w:val="20"/>
        </w:rPr>
        <w:t>.</w:t>
      </w:r>
      <w:r w:rsidR="00C966D1" w:rsidRPr="00730C0D">
        <w:rPr>
          <w:rFonts w:ascii="Century Gothic" w:hAnsi="Century Gothic"/>
          <w:sz w:val="20"/>
          <w:szCs w:val="20"/>
        </w:rPr>
        <w:fldChar w:fldCharType="begin"/>
      </w:r>
      <w:r w:rsidR="00C966D1" w:rsidRPr="00730C0D">
        <w:rPr>
          <w:rFonts w:ascii="Century Gothic" w:hAnsi="Century Gothic"/>
          <w:sz w:val="20"/>
          <w:szCs w:val="20"/>
        </w:rPr>
        <w:instrText xml:space="preserve"> SEQ Table \* ARABIC \s 1 </w:instrText>
      </w:r>
      <w:r w:rsidR="00C966D1" w:rsidRPr="00730C0D">
        <w:rPr>
          <w:rFonts w:ascii="Century Gothic" w:hAnsi="Century Gothic"/>
          <w:sz w:val="20"/>
          <w:szCs w:val="20"/>
        </w:rPr>
        <w:fldChar w:fldCharType="separate"/>
      </w:r>
      <w:r w:rsidR="00F732D2">
        <w:rPr>
          <w:rFonts w:ascii="Century Gothic" w:hAnsi="Century Gothic"/>
          <w:noProof/>
          <w:sz w:val="20"/>
          <w:szCs w:val="20"/>
        </w:rPr>
        <w:t>1</w:t>
      </w:r>
      <w:r w:rsidR="00C966D1" w:rsidRPr="00730C0D">
        <w:rPr>
          <w:rFonts w:ascii="Century Gothic" w:hAnsi="Century Gothic"/>
          <w:noProof/>
          <w:sz w:val="20"/>
          <w:szCs w:val="20"/>
        </w:rPr>
        <w:fldChar w:fldCharType="end"/>
      </w:r>
      <w:r w:rsidRPr="00730C0D">
        <w:rPr>
          <w:rFonts w:ascii="Century Gothic" w:hAnsi="Century Gothic"/>
          <w:sz w:val="20"/>
          <w:szCs w:val="20"/>
        </w:rPr>
        <w:t xml:space="preserve">: Interaction between ASCED Fields of Education and ANZSRC </w:t>
      </w:r>
      <w:r w:rsidR="005A1F24" w:rsidRPr="00730C0D">
        <w:rPr>
          <w:rFonts w:ascii="Century Gothic" w:hAnsi="Century Gothic"/>
          <w:sz w:val="20"/>
          <w:szCs w:val="20"/>
        </w:rPr>
        <w:t xml:space="preserve">Divisions </w:t>
      </w:r>
      <w:r w:rsidRPr="00730C0D">
        <w:rPr>
          <w:rFonts w:ascii="Century Gothic" w:hAnsi="Century Gothic"/>
          <w:sz w:val="20"/>
          <w:szCs w:val="20"/>
        </w:rPr>
        <w:t>of Research</w:t>
      </w:r>
      <w:bookmarkEnd w:id="70"/>
    </w:p>
    <w:tbl>
      <w:tblPr>
        <w:tblStyle w:val="GridTable1Light"/>
        <w:tblW w:w="8576" w:type="dxa"/>
        <w:jc w:val="center"/>
        <w:tblLook w:val="04A0" w:firstRow="1" w:lastRow="0" w:firstColumn="1" w:lastColumn="0" w:noHBand="0" w:noVBand="1"/>
      </w:tblPr>
      <w:tblGrid>
        <w:gridCol w:w="4395"/>
        <w:gridCol w:w="4181"/>
      </w:tblGrid>
      <w:tr w:rsidR="00AC7D05" w:rsidRPr="00730C0D" w14:paraId="3FBD244C" w14:textId="77777777" w:rsidTr="00E6326F">
        <w:trPr>
          <w:cnfStyle w:val="100000000000" w:firstRow="1" w:lastRow="0"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nil"/>
              <w:bottom w:val="nil"/>
              <w:right w:val="nil"/>
            </w:tcBorders>
            <w:shd w:val="clear" w:color="auto" w:fill="2763AC"/>
            <w:hideMark/>
          </w:tcPr>
          <w:p w14:paraId="7CE2EBC7" w14:textId="4DAEAD13" w:rsidR="00AC7D05" w:rsidRPr="00730C0D" w:rsidRDefault="00AC7D05" w:rsidP="00A34FAA">
            <w:pPr>
              <w:spacing w:before="40" w:after="40"/>
              <w:rPr>
                <w:rFonts w:ascii="Century Gothic" w:hAnsi="Century Gothic"/>
                <w:color w:val="FFFFFF" w:themeColor="background1"/>
                <w:sz w:val="20"/>
                <w:szCs w:val="20"/>
              </w:rPr>
            </w:pPr>
            <w:r w:rsidRPr="00730C0D">
              <w:rPr>
                <w:rFonts w:ascii="Century Gothic" w:hAnsi="Century Gothic"/>
                <w:color w:val="FFFFFF" w:themeColor="background1"/>
                <w:sz w:val="20"/>
                <w:szCs w:val="20"/>
              </w:rPr>
              <w:t>ASCED Fields of Education</w:t>
            </w:r>
            <w:r w:rsidR="005A1F24" w:rsidRPr="00730C0D">
              <w:rPr>
                <w:rFonts w:ascii="Century Gothic" w:hAnsi="Century Gothic"/>
                <w:color w:val="FFFFFF" w:themeColor="background1"/>
                <w:sz w:val="20"/>
                <w:szCs w:val="20"/>
              </w:rPr>
              <w:t xml:space="preserve"> (2-digit)</w:t>
            </w:r>
          </w:p>
        </w:tc>
        <w:tc>
          <w:tcPr>
            <w:tcW w:w="4181" w:type="dxa"/>
            <w:tcBorders>
              <w:top w:val="nil"/>
              <w:left w:val="nil"/>
              <w:bottom w:val="nil"/>
              <w:right w:val="nil"/>
            </w:tcBorders>
            <w:shd w:val="clear" w:color="auto" w:fill="2763AC"/>
            <w:hideMark/>
          </w:tcPr>
          <w:p w14:paraId="287C32FF" w14:textId="6BAF3E32" w:rsidR="00AC7D05" w:rsidRPr="00730C0D" w:rsidRDefault="00AC7D05">
            <w:pPr>
              <w:spacing w:before="40" w:after="40"/>
              <w:cnfStyle w:val="100000000000" w:firstRow="1" w:lastRow="0" w:firstColumn="0" w:lastColumn="0" w:oddVBand="0" w:evenVBand="0" w:oddHBand="0" w:evenHBand="0" w:firstRowFirstColumn="0" w:firstRowLastColumn="0" w:lastRowFirstColumn="0" w:lastRowLastColumn="0"/>
              <w:rPr>
                <w:rFonts w:ascii="Century Gothic" w:hAnsi="Century Gothic"/>
                <w:color w:val="FFFFFF" w:themeColor="background1"/>
                <w:sz w:val="20"/>
                <w:szCs w:val="20"/>
              </w:rPr>
            </w:pPr>
            <w:r w:rsidRPr="00730C0D">
              <w:rPr>
                <w:rFonts w:ascii="Century Gothic" w:hAnsi="Century Gothic"/>
                <w:color w:val="FFFFFF" w:themeColor="background1"/>
                <w:sz w:val="20"/>
                <w:szCs w:val="20"/>
              </w:rPr>
              <w:t xml:space="preserve">ANZSRC </w:t>
            </w:r>
            <w:r w:rsidR="005A1F24" w:rsidRPr="00730C0D">
              <w:rPr>
                <w:rFonts w:ascii="Century Gothic" w:hAnsi="Century Gothic"/>
                <w:color w:val="FFFFFF" w:themeColor="background1"/>
                <w:sz w:val="20"/>
                <w:szCs w:val="20"/>
              </w:rPr>
              <w:t xml:space="preserve">Divisions </w:t>
            </w:r>
            <w:r w:rsidRPr="00730C0D">
              <w:rPr>
                <w:rFonts w:ascii="Century Gothic" w:hAnsi="Century Gothic"/>
                <w:color w:val="FFFFFF" w:themeColor="background1"/>
                <w:sz w:val="20"/>
                <w:szCs w:val="20"/>
              </w:rPr>
              <w:t xml:space="preserve">of Research </w:t>
            </w:r>
            <w:r w:rsidR="005A1F24" w:rsidRPr="00730C0D">
              <w:rPr>
                <w:rFonts w:ascii="Century Gothic" w:hAnsi="Century Gothic"/>
                <w:color w:val="FFFFFF" w:themeColor="background1"/>
                <w:sz w:val="20"/>
                <w:szCs w:val="20"/>
              </w:rPr>
              <w:t>(2-digit)</w:t>
            </w:r>
          </w:p>
        </w:tc>
      </w:tr>
      <w:tr w:rsidR="00AC7D05" w:rsidRPr="00730C0D" w14:paraId="3AD5E59A" w14:textId="77777777" w:rsidTr="00E6326F">
        <w:trPr>
          <w:trHeight w:val="1598"/>
          <w:jc w:val="center"/>
        </w:trPr>
        <w:tc>
          <w:tcPr>
            <w:cnfStyle w:val="001000000000" w:firstRow="0" w:lastRow="0" w:firstColumn="1" w:lastColumn="0" w:oddVBand="0" w:evenVBand="0" w:oddHBand="0" w:evenHBand="0" w:firstRowFirstColumn="0" w:firstRowLastColumn="0" w:lastRowFirstColumn="0" w:lastRowLastColumn="0"/>
            <w:tcW w:w="4395" w:type="dxa"/>
            <w:tcBorders>
              <w:top w:val="nil"/>
              <w:left w:val="single" w:sz="4" w:space="0" w:color="00913C"/>
              <w:right w:val="single" w:sz="4" w:space="0" w:color="00913C"/>
            </w:tcBorders>
            <w:shd w:val="clear" w:color="auto" w:fill="EDEDED" w:themeFill="accent3" w:themeFillTint="33"/>
            <w:hideMark/>
          </w:tcPr>
          <w:p w14:paraId="56265246"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 xml:space="preserve">Natural and Physical Sciences </w:t>
            </w:r>
          </w:p>
        </w:tc>
        <w:tc>
          <w:tcPr>
            <w:tcW w:w="4181" w:type="dxa"/>
            <w:tcBorders>
              <w:top w:val="nil"/>
              <w:left w:val="single" w:sz="4" w:space="0" w:color="00913C"/>
              <w:right w:val="single" w:sz="4" w:space="0" w:color="00913C"/>
            </w:tcBorders>
            <w:shd w:val="clear" w:color="auto" w:fill="EDEDED" w:themeFill="accent3" w:themeFillTint="33"/>
            <w:hideMark/>
          </w:tcPr>
          <w:p w14:paraId="172F1908"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Mathematical Sciences</w:t>
            </w:r>
          </w:p>
          <w:p w14:paraId="04DFF3F8"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Physical Sciences </w:t>
            </w:r>
          </w:p>
          <w:p w14:paraId="1E9F1D14"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Chemical Sciences </w:t>
            </w:r>
          </w:p>
          <w:p w14:paraId="592B53A4"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Earth Sciences</w:t>
            </w:r>
          </w:p>
          <w:p w14:paraId="6E34B070"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Biological Sciences</w:t>
            </w:r>
          </w:p>
          <w:p w14:paraId="7661AE2C"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Agriculture and Veterinary Sciences </w:t>
            </w:r>
          </w:p>
          <w:p w14:paraId="1C63C6FF"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Technology* </w:t>
            </w:r>
          </w:p>
        </w:tc>
      </w:tr>
      <w:tr w:rsidR="00AC7D05" w:rsidRPr="00730C0D" w14:paraId="2614D7CB" w14:textId="77777777" w:rsidTr="00E6326F">
        <w:trPr>
          <w:trHeight w:val="446"/>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hideMark/>
          </w:tcPr>
          <w:p w14:paraId="3AD60AEE"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Information Technology</w:t>
            </w:r>
          </w:p>
        </w:tc>
        <w:tc>
          <w:tcPr>
            <w:tcW w:w="4181" w:type="dxa"/>
            <w:tcBorders>
              <w:left w:val="single" w:sz="4" w:space="0" w:color="00913C"/>
              <w:right w:val="single" w:sz="4" w:space="0" w:color="00913C"/>
            </w:tcBorders>
            <w:hideMark/>
          </w:tcPr>
          <w:p w14:paraId="406E18F7"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Information and Computing Sciences </w:t>
            </w:r>
          </w:p>
          <w:p w14:paraId="5AC080AA"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Technology*</w:t>
            </w:r>
          </w:p>
        </w:tc>
      </w:tr>
      <w:tr w:rsidR="00AC7D05" w:rsidRPr="00730C0D" w14:paraId="25B170F2" w14:textId="77777777" w:rsidTr="00E6326F">
        <w:trPr>
          <w:trHeight w:val="23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shd w:val="clear" w:color="auto" w:fill="EDEDED" w:themeFill="accent3" w:themeFillTint="33"/>
            <w:hideMark/>
          </w:tcPr>
          <w:p w14:paraId="08A75F04"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Engineering and Related Technologies</w:t>
            </w:r>
          </w:p>
        </w:tc>
        <w:tc>
          <w:tcPr>
            <w:tcW w:w="4181" w:type="dxa"/>
            <w:tcBorders>
              <w:left w:val="single" w:sz="4" w:space="0" w:color="00913C"/>
              <w:right w:val="single" w:sz="4" w:space="0" w:color="00913C"/>
            </w:tcBorders>
            <w:shd w:val="clear" w:color="auto" w:fill="EDEDED" w:themeFill="accent3" w:themeFillTint="33"/>
            <w:hideMark/>
          </w:tcPr>
          <w:p w14:paraId="17F4CEE2"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Engineering </w:t>
            </w:r>
          </w:p>
        </w:tc>
      </w:tr>
      <w:tr w:rsidR="00AC7D05" w:rsidRPr="00730C0D" w14:paraId="16CF0AD7" w14:textId="77777777" w:rsidTr="00E6326F">
        <w:trPr>
          <w:trHeight w:val="216"/>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hideMark/>
          </w:tcPr>
          <w:p w14:paraId="2346BA46"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 xml:space="preserve">Architecture and Building </w:t>
            </w:r>
          </w:p>
        </w:tc>
        <w:tc>
          <w:tcPr>
            <w:tcW w:w="4181" w:type="dxa"/>
            <w:tcBorders>
              <w:left w:val="single" w:sz="4" w:space="0" w:color="00913C"/>
              <w:right w:val="single" w:sz="4" w:space="0" w:color="00913C"/>
            </w:tcBorders>
            <w:hideMark/>
          </w:tcPr>
          <w:p w14:paraId="6B64D868"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Built Environment and Design </w:t>
            </w:r>
          </w:p>
        </w:tc>
      </w:tr>
      <w:tr w:rsidR="00AC7D05" w:rsidRPr="00730C0D" w14:paraId="459AA2E5" w14:textId="77777777" w:rsidTr="00E6326F">
        <w:trPr>
          <w:trHeight w:val="23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shd w:val="clear" w:color="auto" w:fill="EDEDED" w:themeFill="accent3" w:themeFillTint="33"/>
            <w:hideMark/>
          </w:tcPr>
          <w:p w14:paraId="1FDF93BA" w14:textId="266FDE93"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Agriculture, Environmental</w:t>
            </w:r>
            <w:r w:rsidR="00E6326F">
              <w:rPr>
                <w:rFonts w:ascii="Century Gothic" w:hAnsi="Century Gothic"/>
                <w:sz w:val="18"/>
                <w:szCs w:val="18"/>
              </w:rPr>
              <w:t>,</w:t>
            </w:r>
            <w:r w:rsidRPr="00730C0D">
              <w:rPr>
                <w:rFonts w:ascii="Century Gothic" w:hAnsi="Century Gothic"/>
                <w:sz w:val="18"/>
                <w:szCs w:val="18"/>
              </w:rPr>
              <w:t xml:space="preserve"> and Related Studies </w:t>
            </w:r>
          </w:p>
        </w:tc>
        <w:tc>
          <w:tcPr>
            <w:tcW w:w="4181" w:type="dxa"/>
            <w:tcBorders>
              <w:left w:val="single" w:sz="4" w:space="0" w:color="00913C"/>
              <w:right w:val="single" w:sz="4" w:space="0" w:color="00913C"/>
            </w:tcBorders>
            <w:shd w:val="clear" w:color="auto" w:fill="EDEDED" w:themeFill="accent3" w:themeFillTint="33"/>
            <w:hideMark/>
          </w:tcPr>
          <w:p w14:paraId="5F331432"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Environmental Sciences </w:t>
            </w:r>
          </w:p>
        </w:tc>
      </w:tr>
      <w:tr w:rsidR="00AC7D05" w:rsidRPr="00730C0D" w14:paraId="4C52E246" w14:textId="77777777" w:rsidTr="00E6326F">
        <w:trPr>
          <w:trHeight w:val="216"/>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hideMark/>
          </w:tcPr>
          <w:p w14:paraId="58681823"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Health</w:t>
            </w:r>
          </w:p>
        </w:tc>
        <w:tc>
          <w:tcPr>
            <w:tcW w:w="4181" w:type="dxa"/>
            <w:tcBorders>
              <w:left w:val="single" w:sz="4" w:space="0" w:color="00913C"/>
              <w:right w:val="single" w:sz="4" w:space="0" w:color="00913C"/>
            </w:tcBorders>
            <w:hideMark/>
          </w:tcPr>
          <w:p w14:paraId="2C72D49A"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Medical and Health Sciences </w:t>
            </w:r>
          </w:p>
        </w:tc>
      </w:tr>
      <w:tr w:rsidR="00AC7D05" w:rsidRPr="00730C0D" w14:paraId="2AA7228E" w14:textId="77777777" w:rsidTr="00E6326F">
        <w:trPr>
          <w:trHeight w:val="23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shd w:val="clear" w:color="auto" w:fill="EDEDED" w:themeFill="accent3" w:themeFillTint="33"/>
            <w:hideMark/>
          </w:tcPr>
          <w:p w14:paraId="22BF7877"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Education</w:t>
            </w:r>
          </w:p>
        </w:tc>
        <w:tc>
          <w:tcPr>
            <w:tcW w:w="4181" w:type="dxa"/>
            <w:tcBorders>
              <w:left w:val="single" w:sz="4" w:space="0" w:color="00913C"/>
              <w:right w:val="single" w:sz="4" w:space="0" w:color="00913C"/>
            </w:tcBorders>
            <w:shd w:val="clear" w:color="auto" w:fill="EDEDED" w:themeFill="accent3" w:themeFillTint="33"/>
            <w:hideMark/>
          </w:tcPr>
          <w:p w14:paraId="267D2953"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Education</w:t>
            </w:r>
          </w:p>
        </w:tc>
      </w:tr>
      <w:tr w:rsidR="00AC7D05" w:rsidRPr="00730C0D" w14:paraId="192E36D0" w14:textId="77777777" w:rsidTr="00E6326F">
        <w:trPr>
          <w:trHeight w:val="446"/>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hideMark/>
          </w:tcPr>
          <w:p w14:paraId="68E56D69"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Management and Commerce</w:t>
            </w:r>
          </w:p>
        </w:tc>
        <w:tc>
          <w:tcPr>
            <w:tcW w:w="4181" w:type="dxa"/>
            <w:tcBorders>
              <w:left w:val="single" w:sz="4" w:space="0" w:color="00913C"/>
              <w:right w:val="single" w:sz="4" w:space="0" w:color="00913C"/>
            </w:tcBorders>
            <w:hideMark/>
          </w:tcPr>
          <w:p w14:paraId="44A34E74"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Economics</w:t>
            </w:r>
          </w:p>
          <w:p w14:paraId="480594E7"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Commerce, Management Tourism and Services </w:t>
            </w:r>
          </w:p>
        </w:tc>
      </w:tr>
      <w:tr w:rsidR="00AC7D05" w:rsidRPr="00730C0D" w14:paraId="46551AFA" w14:textId="77777777" w:rsidTr="00E6326F">
        <w:trPr>
          <w:trHeight w:val="1368"/>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shd w:val="clear" w:color="auto" w:fill="EDEDED" w:themeFill="accent3" w:themeFillTint="33"/>
            <w:hideMark/>
          </w:tcPr>
          <w:p w14:paraId="1CF99BB0"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 xml:space="preserve">Society and Culture </w:t>
            </w:r>
          </w:p>
        </w:tc>
        <w:tc>
          <w:tcPr>
            <w:tcW w:w="4181" w:type="dxa"/>
            <w:tcBorders>
              <w:left w:val="single" w:sz="4" w:space="0" w:color="00913C"/>
              <w:right w:val="single" w:sz="4" w:space="0" w:color="00913C"/>
            </w:tcBorders>
            <w:shd w:val="clear" w:color="auto" w:fill="EDEDED" w:themeFill="accent3" w:themeFillTint="33"/>
            <w:hideMark/>
          </w:tcPr>
          <w:p w14:paraId="2ED66569"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History and Archaeology</w:t>
            </w:r>
          </w:p>
          <w:p w14:paraId="71FD4901"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Philosophy and Religious Studies </w:t>
            </w:r>
          </w:p>
          <w:p w14:paraId="1CE69FBB"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Law and Legal Studies </w:t>
            </w:r>
          </w:p>
          <w:p w14:paraId="568A7FDB"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 xml:space="preserve">Studies in Human Society </w:t>
            </w:r>
          </w:p>
          <w:p w14:paraId="1A57D3DF"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Psychology and Cognitive Sciences</w:t>
            </w:r>
          </w:p>
          <w:p w14:paraId="3667C749"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Language Communication and Culture</w:t>
            </w:r>
          </w:p>
        </w:tc>
      </w:tr>
      <w:tr w:rsidR="00AC7D05" w:rsidRPr="00730C0D" w14:paraId="10B6059C" w14:textId="77777777" w:rsidTr="00E6326F">
        <w:trPr>
          <w:trHeight w:val="23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right w:val="single" w:sz="4" w:space="0" w:color="00913C"/>
            </w:tcBorders>
            <w:hideMark/>
          </w:tcPr>
          <w:p w14:paraId="49F8D265"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Creative Arts</w:t>
            </w:r>
          </w:p>
        </w:tc>
        <w:tc>
          <w:tcPr>
            <w:tcW w:w="4181" w:type="dxa"/>
            <w:tcBorders>
              <w:left w:val="single" w:sz="4" w:space="0" w:color="00913C"/>
              <w:right w:val="single" w:sz="4" w:space="0" w:color="00913C"/>
            </w:tcBorders>
            <w:hideMark/>
          </w:tcPr>
          <w:p w14:paraId="69AC43E8"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730C0D">
              <w:rPr>
                <w:rFonts w:ascii="Century Gothic" w:hAnsi="Century Gothic"/>
                <w:sz w:val="18"/>
                <w:szCs w:val="18"/>
              </w:rPr>
              <w:t>Studies in Creative Arts and Writing</w:t>
            </w:r>
          </w:p>
        </w:tc>
      </w:tr>
      <w:tr w:rsidR="00AC7D05" w:rsidRPr="00730C0D" w14:paraId="235D29D1" w14:textId="77777777" w:rsidTr="00E6326F">
        <w:trPr>
          <w:trHeight w:val="216"/>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bottom w:val="single" w:sz="4" w:space="0" w:color="999999" w:themeColor="text1" w:themeTint="66"/>
              <w:right w:val="single" w:sz="4" w:space="0" w:color="00913C"/>
            </w:tcBorders>
            <w:shd w:val="clear" w:color="auto" w:fill="EDEDED" w:themeFill="accent3" w:themeFillTint="33"/>
            <w:hideMark/>
          </w:tcPr>
          <w:p w14:paraId="3201DB7C" w14:textId="176EC2FF"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Food, Hospitality</w:t>
            </w:r>
            <w:r w:rsidR="00E6326F">
              <w:rPr>
                <w:rFonts w:ascii="Century Gothic" w:hAnsi="Century Gothic"/>
                <w:sz w:val="18"/>
                <w:szCs w:val="18"/>
              </w:rPr>
              <w:t>,</w:t>
            </w:r>
            <w:r w:rsidRPr="00730C0D">
              <w:rPr>
                <w:rFonts w:ascii="Century Gothic" w:hAnsi="Century Gothic"/>
                <w:sz w:val="18"/>
                <w:szCs w:val="18"/>
              </w:rPr>
              <w:t xml:space="preserve"> and Personal Services</w:t>
            </w:r>
          </w:p>
        </w:tc>
        <w:tc>
          <w:tcPr>
            <w:tcW w:w="4181" w:type="dxa"/>
            <w:tcBorders>
              <w:left w:val="single" w:sz="4" w:space="0" w:color="00913C"/>
              <w:bottom w:val="single" w:sz="4" w:space="0" w:color="999999" w:themeColor="text1" w:themeTint="66"/>
              <w:right w:val="single" w:sz="4" w:space="0" w:color="00913C"/>
            </w:tcBorders>
            <w:shd w:val="clear" w:color="auto" w:fill="EDEDED" w:themeFill="accent3" w:themeFillTint="33"/>
          </w:tcPr>
          <w:p w14:paraId="0C4DE52A"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tc>
      </w:tr>
      <w:tr w:rsidR="00AC7D05" w:rsidRPr="00730C0D" w14:paraId="77B14A40" w14:textId="77777777" w:rsidTr="00E6326F">
        <w:trPr>
          <w:trHeight w:val="230"/>
          <w:jc w:val="center"/>
        </w:trPr>
        <w:tc>
          <w:tcPr>
            <w:cnfStyle w:val="001000000000" w:firstRow="0" w:lastRow="0" w:firstColumn="1" w:lastColumn="0" w:oddVBand="0" w:evenVBand="0" w:oddHBand="0" w:evenHBand="0" w:firstRowFirstColumn="0" w:firstRowLastColumn="0" w:lastRowFirstColumn="0" w:lastRowLastColumn="0"/>
            <w:tcW w:w="4395" w:type="dxa"/>
            <w:tcBorders>
              <w:left w:val="single" w:sz="4" w:space="0" w:color="00913C"/>
              <w:bottom w:val="single" w:sz="4" w:space="0" w:color="00913C"/>
              <w:right w:val="single" w:sz="4" w:space="0" w:color="00913C"/>
            </w:tcBorders>
            <w:hideMark/>
          </w:tcPr>
          <w:p w14:paraId="4819FB2F" w14:textId="77777777" w:rsidR="00AC7D05" w:rsidRPr="00730C0D" w:rsidRDefault="00AC7D05" w:rsidP="00D31B9A">
            <w:pPr>
              <w:spacing w:before="0" w:after="0" w:line="259" w:lineRule="auto"/>
              <w:rPr>
                <w:rFonts w:ascii="Century Gothic" w:hAnsi="Century Gothic"/>
                <w:b w:val="0"/>
                <w:sz w:val="18"/>
                <w:szCs w:val="18"/>
              </w:rPr>
            </w:pPr>
            <w:r w:rsidRPr="00730C0D">
              <w:rPr>
                <w:rFonts w:ascii="Century Gothic" w:hAnsi="Century Gothic"/>
                <w:sz w:val="18"/>
                <w:szCs w:val="18"/>
              </w:rPr>
              <w:t xml:space="preserve">Mixed Field Programs </w:t>
            </w:r>
          </w:p>
        </w:tc>
        <w:tc>
          <w:tcPr>
            <w:tcW w:w="4181" w:type="dxa"/>
            <w:tcBorders>
              <w:left w:val="single" w:sz="4" w:space="0" w:color="00913C"/>
              <w:bottom w:val="single" w:sz="4" w:space="0" w:color="00913C"/>
              <w:right w:val="single" w:sz="4" w:space="0" w:color="00913C"/>
            </w:tcBorders>
          </w:tcPr>
          <w:p w14:paraId="27C6261F" w14:textId="77777777" w:rsidR="00AC7D05" w:rsidRPr="00730C0D" w:rsidRDefault="00AC7D05" w:rsidP="00D31B9A">
            <w:pPr>
              <w:spacing w:before="0" w:after="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p>
        </w:tc>
      </w:tr>
    </w:tbl>
    <w:p w14:paraId="5FE89071" w14:textId="77777777" w:rsidR="00AC7D05" w:rsidRPr="00730C0D" w:rsidRDefault="00AC7D05" w:rsidP="00D31B9A">
      <w:pPr>
        <w:spacing w:before="0" w:after="0"/>
        <w:rPr>
          <w:rFonts w:ascii="Century Gothic" w:hAnsi="Century Gothic"/>
          <w:sz w:val="20"/>
          <w:szCs w:val="20"/>
        </w:rPr>
      </w:pPr>
    </w:p>
    <w:p w14:paraId="5279BEE7" w14:textId="548CBDD6" w:rsidR="00AC7D05" w:rsidRPr="00730C0D" w:rsidRDefault="003806EF" w:rsidP="004978DA">
      <w:pPr>
        <w:pStyle w:val="Heading3"/>
      </w:pPr>
      <w:bookmarkStart w:id="71" w:name="_Toc18592339"/>
      <w:r w:rsidRPr="00730C0D">
        <w:t>2.4.4</w:t>
      </w:r>
      <w:r w:rsidRPr="00730C0D">
        <w:tab/>
      </w:r>
      <w:r w:rsidR="00AC7D05" w:rsidRPr="00730C0D">
        <w:t>Scholarship</w:t>
      </w:r>
      <w:bookmarkEnd w:id="71"/>
    </w:p>
    <w:p w14:paraId="239D7FB5" w14:textId="54FB6A1E"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Scholarship is a fundamental component of higher education. There are many forms in which scholarship can take place, including the scholarship of discovery of new knowledge, integration, application, and teaching.</w:t>
      </w:r>
      <w:r w:rsidRPr="00730C0D">
        <w:rPr>
          <w:rFonts w:ascii="Century Gothic" w:hAnsi="Century Gothic"/>
          <w:sz w:val="20"/>
          <w:szCs w:val="20"/>
          <w:vertAlign w:val="superscript"/>
        </w:rPr>
        <w:footnoteReference w:id="92"/>
      </w:r>
      <w:r w:rsidRPr="00730C0D">
        <w:rPr>
          <w:rFonts w:ascii="Century Gothic" w:hAnsi="Century Gothic"/>
          <w:sz w:val="20"/>
          <w:szCs w:val="20"/>
        </w:rPr>
        <w:t xml:space="preserve"> TEQSA outlines that scholarship, in relation to the Threshold Standards, means </w:t>
      </w:r>
      <w:r w:rsidR="00424CDD" w:rsidRPr="00730C0D">
        <w:rPr>
          <w:rFonts w:ascii="Century Gothic" w:hAnsi="Century Gothic"/>
          <w:sz w:val="20"/>
          <w:szCs w:val="20"/>
        </w:rPr>
        <w:t>“</w:t>
      </w:r>
      <w:r w:rsidRPr="00730C0D">
        <w:rPr>
          <w:rFonts w:ascii="Century Gothic" w:hAnsi="Century Gothic"/>
          <w:sz w:val="20"/>
          <w:szCs w:val="20"/>
        </w:rPr>
        <w:t>those activities concerned with gaining new or improved understanding, appreciation and insights into a field of knowledge, and engaging with and keeping up to date with advances in the field”.</w:t>
      </w:r>
      <w:r w:rsidRPr="00730C0D">
        <w:rPr>
          <w:rFonts w:ascii="Century Gothic" w:hAnsi="Century Gothic"/>
          <w:sz w:val="20"/>
          <w:szCs w:val="20"/>
          <w:vertAlign w:val="superscript"/>
        </w:rPr>
        <w:footnoteReference w:id="93"/>
      </w:r>
      <w:r w:rsidRPr="00730C0D">
        <w:rPr>
          <w:rFonts w:ascii="Century Gothic" w:hAnsi="Century Gothic"/>
          <w:sz w:val="20"/>
          <w:szCs w:val="20"/>
        </w:rPr>
        <w:t xml:space="preserve"> </w:t>
      </w:r>
    </w:p>
    <w:p w14:paraId="6C3909C9" w14:textId="77777777" w:rsidR="00AC7D05" w:rsidRPr="00730C0D" w:rsidRDefault="00AC7D05" w:rsidP="00D31B9A">
      <w:pPr>
        <w:spacing w:before="0" w:after="0"/>
        <w:rPr>
          <w:rFonts w:ascii="Century Gothic" w:hAnsi="Century Gothic"/>
          <w:sz w:val="20"/>
          <w:szCs w:val="20"/>
        </w:rPr>
      </w:pPr>
    </w:p>
    <w:p w14:paraId="6A8C8533" w14:textId="3CF1EB91" w:rsidR="0055361E"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Some stakeholders argue that scholarship </w:t>
      </w:r>
      <w:r w:rsidR="00685B4B" w:rsidRPr="00730C0D">
        <w:rPr>
          <w:rFonts w:ascii="Century Gothic" w:hAnsi="Century Gothic"/>
          <w:sz w:val="20"/>
          <w:szCs w:val="20"/>
        </w:rPr>
        <w:t>i</w:t>
      </w:r>
      <w:r w:rsidRPr="00730C0D">
        <w:rPr>
          <w:rFonts w:ascii="Century Gothic" w:hAnsi="Century Gothic"/>
          <w:sz w:val="20"/>
          <w:szCs w:val="20"/>
        </w:rPr>
        <w:t xml:space="preserve">s of more importance to teaching quality than research, and that the PCS should require the existence and necessity of synergies </w:t>
      </w:r>
      <w:r w:rsidR="00F11F68" w:rsidRPr="00730C0D">
        <w:rPr>
          <w:rFonts w:ascii="Century Gothic" w:hAnsi="Century Gothic"/>
          <w:sz w:val="20"/>
          <w:szCs w:val="20"/>
        </w:rPr>
        <w:t xml:space="preserve">both </w:t>
      </w:r>
      <w:r w:rsidRPr="00730C0D">
        <w:rPr>
          <w:rFonts w:ascii="Century Gothic" w:hAnsi="Century Gothic"/>
          <w:sz w:val="20"/>
          <w:szCs w:val="20"/>
        </w:rPr>
        <w:t>between scholarship and teaching</w:t>
      </w:r>
      <w:r w:rsidR="005A1F24" w:rsidRPr="00730C0D">
        <w:rPr>
          <w:rFonts w:ascii="Century Gothic" w:hAnsi="Century Gothic"/>
          <w:sz w:val="20"/>
          <w:szCs w:val="20"/>
        </w:rPr>
        <w:t>,</w:t>
      </w:r>
      <w:r w:rsidRPr="00730C0D">
        <w:rPr>
          <w:rFonts w:ascii="Century Gothic" w:hAnsi="Century Gothic"/>
          <w:sz w:val="20"/>
          <w:szCs w:val="20"/>
        </w:rPr>
        <w:t xml:space="preserve"> and teaching and research. Such stakeholders call for the scholarship requirements to be raised </w:t>
      </w:r>
      <w:r w:rsidR="005A1F24" w:rsidRPr="00730C0D">
        <w:rPr>
          <w:rFonts w:ascii="Century Gothic" w:hAnsi="Century Gothic"/>
          <w:sz w:val="20"/>
          <w:szCs w:val="20"/>
        </w:rPr>
        <w:t xml:space="preserve">in </w:t>
      </w:r>
      <w:r w:rsidRPr="00730C0D">
        <w:rPr>
          <w:rFonts w:ascii="Century Gothic" w:hAnsi="Century Gothic"/>
          <w:sz w:val="20"/>
          <w:szCs w:val="20"/>
        </w:rPr>
        <w:t xml:space="preserve">all categories under the PCS. However, </w:t>
      </w:r>
      <w:r w:rsidR="000F4B95" w:rsidRPr="00730C0D">
        <w:rPr>
          <w:rFonts w:ascii="Century Gothic" w:hAnsi="Century Gothic"/>
          <w:sz w:val="20"/>
          <w:szCs w:val="20"/>
        </w:rPr>
        <w:t>some</w:t>
      </w:r>
      <w:r w:rsidR="00BA41CA" w:rsidRPr="00730C0D">
        <w:rPr>
          <w:rFonts w:ascii="Century Gothic" w:hAnsi="Century Gothic"/>
          <w:sz w:val="20"/>
          <w:szCs w:val="20"/>
        </w:rPr>
        <w:t xml:space="preserve"> also suggest</w:t>
      </w:r>
      <w:r w:rsidRPr="00730C0D">
        <w:rPr>
          <w:rFonts w:ascii="Century Gothic" w:hAnsi="Century Gothic"/>
          <w:sz w:val="20"/>
          <w:szCs w:val="20"/>
        </w:rPr>
        <w:t xml:space="preserve"> that the scholars</w:t>
      </w:r>
      <w:r w:rsidR="000F4B95" w:rsidRPr="00730C0D">
        <w:rPr>
          <w:rFonts w:ascii="Century Gothic" w:hAnsi="Century Gothic"/>
          <w:sz w:val="20"/>
          <w:szCs w:val="20"/>
        </w:rPr>
        <w:t>hip requirements in the PCS are</w:t>
      </w:r>
      <w:r w:rsidRPr="00730C0D">
        <w:rPr>
          <w:rFonts w:ascii="Century Gothic" w:hAnsi="Century Gothic"/>
          <w:sz w:val="20"/>
          <w:szCs w:val="20"/>
        </w:rPr>
        <w:t xml:space="preserve"> repetitive in the context of the wider Threshold Standards and should be removed from</w:t>
      </w:r>
      <w:r w:rsidR="0055361E" w:rsidRPr="00730C0D">
        <w:rPr>
          <w:rFonts w:ascii="Century Gothic" w:hAnsi="Century Gothic"/>
          <w:sz w:val="20"/>
          <w:szCs w:val="20"/>
        </w:rPr>
        <w:t xml:space="preserve"> the PCS to avoid duplication. </w:t>
      </w:r>
    </w:p>
    <w:p w14:paraId="77A8A851" w14:textId="77777777" w:rsidR="0055361E" w:rsidRPr="00730C0D" w:rsidRDefault="0055361E" w:rsidP="00D31B9A">
      <w:pPr>
        <w:spacing w:before="0" w:after="0"/>
        <w:rPr>
          <w:rFonts w:ascii="Century Gothic" w:hAnsi="Century Gothic"/>
          <w:sz w:val="20"/>
          <w:szCs w:val="20"/>
        </w:rPr>
      </w:pPr>
    </w:p>
    <w:p w14:paraId="23BB8DDA" w14:textId="0DAF0D12" w:rsidR="00C32C9B"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This Review is of the </w:t>
      </w:r>
      <w:r w:rsidR="00424CDD" w:rsidRPr="00730C0D">
        <w:rPr>
          <w:rFonts w:ascii="Century Gothic" w:hAnsi="Century Gothic"/>
          <w:sz w:val="20"/>
          <w:szCs w:val="20"/>
        </w:rPr>
        <w:t xml:space="preserve">view </w:t>
      </w:r>
      <w:r w:rsidRPr="00730C0D">
        <w:rPr>
          <w:rFonts w:ascii="Century Gothic" w:hAnsi="Century Gothic"/>
          <w:sz w:val="20"/>
          <w:szCs w:val="20"/>
        </w:rPr>
        <w:t>that it is vital to</w:t>
      </w:r>
      <w:r w:rsidR="00F11F68" w:rsidRPr="00730C0D">
        <w:rPr>
          <w:rFonts w:ascii="Century Gothic" w:hAnsi="Century Gothic"/>
          <w:sz w:val="20"/>
          <w:szCs w:val="20"/>
        </w:rPr>
        <w:t xml:space="preserve"> set out</w:t>
      </w:r>
      <w:r w:rsidRPr="00730C0D">
        <w:rPr>
          <w:rFonts w:ascii="Century Gothic" w:hAnsi="Century Gothic"/>
          <w:sz w:val="20"/>
          <w:szCs w:val="20"/>
        </w:rPr>
        <w:t xml:space="preserve"> scholarship requirements in the PCS so that “as</w:t>
      </w:r>
      <w:r w:rsidR="00131DB7" w:rsidRPr="00730C0D">
        <w:rPr>
          <w:rFonts w:ascii="Century Gothic" w:hAnsi="Century Gothic"/>
          <w:sz w:val="20"/>
          <w:szCs w:val="20"/>
        </w:rPr>
        <w:t> </w:t>
      </w:r>
      <w:r w:rsidRPr="00730C0D">
        <w:rPr>
          <w:rFonts w:ascii="Century Gothic" w:hAnsi="Century Gothic"/>
          <w:sz w:val="20"/>
          <w:szCs w:val="20"/>
        </w:rPr>
        <w:t xml:space="preserve">a minimum, all teaching and learning in higher education is built on a foundation of advanced knowledge and inquiry, </w:t>
      </w:r>
      <w:r w:rsidRPr="00730C0D">
        <w:rPr>
          <w:rFonts w:ascii="Century Gothic" w:hAnsi="Century Gothic"/>
          <w:sz w:val="20"/>
          <w:szCs w:val="20"/>
          <w:lang w:val="en"/>
        </w:rPr>
        <w:t>that all academic staff are active in scholarship that informs their teaching, and that supervisors of research students are active in research”.</w:t>
      </w:r>
      <w:r w:rsidRPr="00730C0D">
        <w:rPr>
          <w:rFonts w:ascii="Century Gothic" w:hAnsi="Century Gothic"/>
          <w:sz w:val="20"/>
          <w:szCs w:val="20"/>
          <w:vertAlign w:val="superscript"/>
          <w:lang w:val="en"/>
        </w:rPr>
        <w:footnoteReference w:id="94"/>
      </w:r>
      <w:r w:rsidRPr="00730C0D">
        <w:rPr>
          <w:rFonts w:ascii="Century Gothic" w:hAnsi="Century Gothic"/>
          <w:sz w:val="20"/>
          <w:szCs w:val="20"/>
          <w:lang w:val="en"/>
        </w:rPr>
        <w:t xml:space="preserve"> </w:t>
      </w:r>
    </w:p>
    <w:p w14:paraId="47FFF210" w14:textId="77777777" w:rsidR="0055361E" w:rsidRPr="00730C0D" w:rsidRDefault="0055361E" w:rsidP="00D31B9A">
      <w:pPr>
        <w:spacing w:before="0" w:after="0"/>
        <w:rPr>
          <w:rFonts w:ascii="Century Gothic" w:hAnsi="Century Gothic"/>
          <w:sz w:val="20"/>
          <w:szCs w:val="20"/>
          <w:lang w:val="en"/>
        </w:rPr>
      </w:pPr>
    </w:p>
    <w:p w14:paraId="0719C78D" w14:textId="581F0E52"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Engagement in scholarship can be viewed at the level of individual activity (</w:t>
      </w:r>
      <w:r w:rsidR="00F11F68" w:rsidRPr="00730C0D">
        <w:rPr>
          <w:rFonts w:ascii="Century Gothic" w:hAnsi="Century Gothic"/>
          <w:sz w:val="20"/>
          <w:szCs w:val="20"/>
        </w:rPr>
        <w:t>for example,</w:t>
      </w:r>
      <w:r w:rsidRPr="00730C0D">
        <w:rPr>
          <w:rFonts w:ascii="Century Gothic" w:hAnsi="Century Gothic"/>
          <w:sz w:val="20"/>
          <w:szCs w:val="20"/>
        </w:rPr>
        <w:t xml:space="preserve"> as part of an individual’s personal professional development, teaching or research) or across a provider as a whole (</w:t>
      </w:r>
      <w:r w:rsidR="00F11F68" w:rsidRPr="00730C0D">
        <w:rPr>
          <w:rFonts w:ascii="Century Gothic" w:hAnsi="Century Gothic"/>
          <w:sz w:val="20"/>
          <w:szCs w:val="20"/>
        </w:rPr>
        <w:t>for example,</w:t>
      </w:r>
      <w:r w:rsidRPr="00730C0D">
        <w:rPr>
          <w:rFonts w:ascii="Century Gothic" w:hAnsi="Century Gothic"/>
          <w:sz w:val="20"/>
          <w:szCs w:val="20"/>
        </w:rPr>
        <w:t xml:space="preserve"> policy frameworks, resource allocation or staff development).</w:t>
      </w:r>
      <w:r w:rsidRPr="00730C0D">
        <w:rPr>
          <w:rFonts w:ascii="Century Gothic" w:hAnsi="Century Gothic"/>
          <w:sz w:val="20"/>
          <w:szCs w:val="20"/>
          <w:vertAlign w:val="superscript"/>
        </w:rPr>
        <w:footnoteReference w:id="95"/>
      </w:r>
      <w:r w:rsidRPr="00730C0D">
        <w:rPr>
          <w:rFonts w:ascii="Century Gothic" w:hAnsi="Century Gothic"/>
          <w:sz w:val="20"/>
          <w:szCs w:val="20"/>
        </w:rPr>
        <w:t xml:space="preserve"> Evidence of scholarly output may include publication of literature reviews or conference presentations, leadership of advanced professional development activities, </w:t>
      </w:r>
      <w:r w:rsidR="00E100BE" w:rsidRPr="00730C0D">
        <w:rPr>
          <w:rFonts w:ascii="Century Gothic" w:hAnsi="Century Gothic"/>
          <w:sz w:val="20"/>
          <w:szCs w:val="20"/>
        </w:rPr>
        <w:t xml:space="preserve">or </w:t>
      </w:r>
      <w:r w:rsidRPr="00730C0D">
        <w:rPr>
          <w:rFonts w:ascii="Century Gothic" w:hAnsi="Century Gothic"/>
          <w:sz w:val="20"/>
          <w:szCs w:val="20"/>
        </w:rPr>
        <w:t>undertaking advanced specialised practice.</w:t>
      </w:r>
      <w:r w:rsidRPr="00730C0D">
        <w:rPr>
          <w:rFonts w:ascii="Century Gothic" w:hAnsi="Century Gothic"/>
          <w:sz w:val="20"/>
          <w:szCs w:val="20"/>
          <w:vertAlign w:val="superscript"/>
        </w:rPr>
        <w:footnoteReference w:id="96"/>
      </w:r>
      <w:r w:rsidRPr="00730C0D">
        <w:rPr>
          <w:rFonts w:ascii="Century Gothic" w:hAnsi="Century Gothic"/>
          <w:sz w:val="20"/>
          <w:szCs w:val="20"/>
        </w:rPr>
        <w:t xml:space="preserve">     </w:t>
      </w:r>
    </w:p>
    <w:p w14:paraId="03090F12" w14:textId="77777777" w:rsidR="00AC7D05" w:rsidRPr="00730C0D" w:rsidRDefault="00AC7D05" w:rsidP="00D31B9A">
      <w:pPr>
        <w:spacing w:before="0" w:after="0"/>
        <w:rPr>
          <w:rFonts w:ascii="Century Gothic" w:hAnsi="Century Gothic"/>
          <w:sz w:val="20"/>
          <w:szCs w:val="20"/>
        </w:rPr>
      </w:pPr>
    </w:p>
    <w:p w14:paraId="0D93C46A" w14:textId="5C7FB475"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 difference between scholarship requirements in the current ‘Higher Education Provider’ </w:t>
      </w:r>
      <w:r w:rsidR="00E100BE" w:rsidRPr="00730C0D">
        <w:rPr>
          <w:rFonts w:ascii="Century Gothic" w:hAnsi="Century Gothic"/>
          <w:sz w:val="20"/>
          <w:szCs w:val="20"/>
        </w:rPr>
        <w:t xml:space="preserve">category </w:t>
      </w:r>
      <w:r w:rsidRPr="00730C0D">
        <w:rPr>
          <w:rFonts w:ascii="Century Gothic" w:hAnsi="Century Gothic"/>
          <w:sz w:val="20"/>
          <w:szCs w:val="20"/>
        </w:rPr>
        <w:t xml:space="preserve">and </w:t>
      </w:r>
      <w:r w:rsidR="00E100BE" w:rsidRPr="00730C0D">
        <w:rPr>
          <w:rFonts w:ascii="Century Gothic" w:hAnsi="Century Gothic"/>
          <w:sz w:val="20"/>
          <w:szCs w:val="20"/>
        </w:rPr>
        <w:t>university</w:t>
      </w:r>
      <w:r w:rsidRPr="00730C0D">
        <w:rPr>
          <w:rFonts w:ascii="Century Gothic" w:hAnsi="Century Gothic"/>
          <w:sz w:val="20"/>
          <w:szCs w:val="20"/>
        </w:rPr>
        <w:t xml:space="preserve"> categories rests on one delineating word – tha</w:t>
      </w:r>
      <w:r w:rsidR="0055361E" w:rsidRPr="00730C0D">
        <w:rPr>
          <w:rFonts w:ascii="Century Gothic" w:hAnsi="Century Gothic"/>
          <w:sz w:val="20"/>
          <w:szCs w:val="20"/>
        </w:rPr>
        <w:t xml:space="preserve">t is, </w:t>
      </w:r>
      <w:r w:rsidR="00E100BE" w:rsidRPr="00730C0D">
        <w:rPr>
          <w:rFonts w:ascii="Century Gothic" w:hAnsi="Century Gothic"/>
          <w:sz w:val="20"/>
          <w:szCs w:val="20"/>
        </w:rPr>
        <w:t>“</w:t>
      </w:r>
      <w:r w:rsidRPr="00730C0D">
        <w:rPr>
          <w:rFonts w:ascii="Century Gothic" w:hAnsi="Century Gothic"/>
          <w:sz w:val="20"/>
          <w:szCs w:val="20"/>
        </w:rPr>
        <w:t>sustained</w:t>
      </w:r>
      <w:r w:rsidR="00E100BE" w:rsidRPr="00730C0D">
        <w:rPr>
          <w:rFonts w:ascii="Century Gothic" w:hAnsi="Century Gothic"/>
          <w:sz w:val="20"/>
          <w:szCs w:val="20"/>
        </w:rPr>
        <w:t>”</w:t>
      </w:r>
      <w:r w:rsidRPr="00730C0D">
        <w:rPr>
          <w:rFonts w:ascii="Century Gothic" w:hAnsi="Century Gothic"/>
          <w:i/>
          <w:sz w:val="20"/>
          <w:szCs w:val="20"/>
        </w:rPr>
        <w:t xml:space="preserve"> </w:t>
      </w:r>
      <w:r w:rsidRPr="00730C0D">
        <w:rPr>
          <w:rFonts w:ascii="Century Gothic" w:hAnsi="Century Gothic"/>
          <w:sz w:val="20"/>
          <w:szCs w:val="20"/>
        </w:rPr>
        <w:t>scholarship.</w:t>
      </w:r>
      <w:r w:rsidRPr="00730C0D">
        <w:rPr>
          <w:rFonts w:ascii="Century Gothic" w:hAnsi="Century Gothic"/>
          <w:sz w:val="20"/>
          <w:szCs w:val="20"/>
          <w:vertAlign w:val="superscript"/>
        </w:rPr>
        <w:footnoteReference w:id="97"/>
      </w:r>
      <w:r w:rsidRPr="00730C0D">
        <w:rPr>
          <w:rFonts w:ascii="Century Gothic" w:hAnsi="Century Gothic"/>
          <w:sz w:val="20"/>
          <w:szCs w:val="20"/>
        </w:rPr>
        <w:t xml:space="preserve"> TEQSA has indicated that regulating on the basis of one differenti</w:t>
      </w:r>
      <w:r w:rsidR="00424CDD" w:rsidRPr="00730C0D">
        <w:rPr>
          <w:rFonts w:ascii="Century Gothic" w:hAnsi="Century Gothic"/>
          <w:sz w:val="20"/>
          <w:szCs w:val="20"/>
        </w:rPr>
        <w:t>ating</w:t>
      </w:r>
      <w:r w:rsidRPr="00730C0D">
        <w:rPr>
          <w:rFonts w:ascii="Century Gothic" w:hAnsi="Century Gothic"/>
          <w:sz w:val="20"/>
          <w:szCs w:val="20"/>
        </w:rPr>
        <w:t xml:space="preserve"> word is difficult, and </w:t>
      </w:r>
      <w:r w:rsidR="00F11F68" w:rsidRPr="00730C0D">
        <w:rPr>
          <w:rFonts w:ascii="Century Gothic" w:hAnsi="Century Gothic"/>
          <w:sz w:val="20"/>
          <w:szCs w:val="20"/>
        </w:rPr>
        <w:t xml:space="preserve">that </w:t>
      </w:r>
      <w:r w:rsidRPr="00730C0D">
        <w:rPr>
          <w:rFonts w:ascii="Century Gothic" w:hAnsi="Century Gothic"/>
          <w:sz w:val="20"/>
          <w:szCs w:val="20"/>
        </w:rPr>
        <w:t xml:space="preserve">there is a lack of clarity in the current PCS as to what ‘sustained’ means. </w:t>
      </w:r>
    </w:p>
    <w:p w14:paraId="78E2C3B0" w14:textId="77777777" w:rsidR="00AC7D05" w:rsidRPr="00730C0D" w:rsidRDefault="00AC7D05" w:rsidP="00D31B9A">
      <w:pPr>
        <w:spacing w:before="0" w:after="0"/>
        <w:rPr>
          <w:rFonts w:ascii="Century Gothic" w:hAnsi="Century Gothic"/>
          <w:sz w:val="20"/>
          <w:szCs w:val="20"/>
        </w:rPr>
      </w:pPr>
    </w:p>
    <w:p w14:paraId="2E7A3C16" w14:textId="08884A4E"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These concerns have been considered in the development of scholarship criteria in the revised PCS (see </w:t>
      </w:r>
      <w:hyperlink w:anchor="_Appendix_D." w:history="1">
        <w:r w:rsidRPr="00730C0D">
          <w:rPr>
            <w:rStyle w:val="Hyperlink"/>
            <w:rFonts w:ascii="Century Gothic" w:hAnsi="Century Gothic"/>
            <w:sz w:val="20"/>
            <w:szCs w:val="20"/>
          </w:rPr>
          <w:t>Appendix D</w:t>
        </w:r>
      </w:hyperlink>
      <w:r w:rsidRPr="00730C0D">
        <w:rPr>
          <w:rFonts w:ascii="Century Gothic" w:hAnsi="Century Gothic"/>
          <w:sz w:val="20"/>
          <w:szCs w:val="20"/>
        </w:rPr>
        <w:t>). Specifically, providers in the ‘</w:t>
      </w:r>
      <w:r w:rsidR="00C776B4">
        <w:rPr>
          <w:rFonts w:ascii="Century Gothic" w:hAnsi="Century Gothic"/>
          <w:sz w:val="20"/>
          <w:szCs w:val="20"/>
        </w:rPr>
        <w:t>Institute of Higher Education’</w:t>
      </w:r>
      <w:r w:rsidRPr="00730C0D">
        <w:rPr>
          <w:rFonts w:ascii="Century Gothic" w:hAnsi="Century Gothic"/>
          <w:sz w:val="20"/>
          <w:szCs w:val="20"/>
        </w:rPr>
        <w:t xml:space="preserve"> category will be required to be “active in scholarship that informs their teaching</w:t>
      </w:r>
      <w:r w:rsidR="00E100BE" w:rsidRPr="00730C0D">
        <w:rPr>
          <w:rFonts w:ascii="Century Gothic" w:hAnsi="Century Gothic"/>
          <w:sz w:val="20"/>
          <w:szCs w:val="20"/>
        </w:rPr>
        <w:t>, supported by the provider</w:t>
      </w:r>
      <w:r w:rsidRPr="00730C0D">
        <w:rPr>
          <w:rFonts w:ascii="Century Gothic" w:hAnsi="Century Gothic"/>
          <w:sz w:val="20"/>
          <w:szCs w:val="20"/>
        </w:rPr>
        <w:t xml:space="preserve">”, while the criteria for the ‘National Institute of Higher Education’ and the </w:t>
      </w:r>
      <w:r w:rsidR="00685B4B" w:rsidRPr="00730C0D">
        <w:rPr>
          <w:rFonts w:ascii="Century Gothic" w:hAnsi="Century Gothic"/>
          <w:sz w:val="20"/>
          <w:szCs w:val="20"/>
        </w:rPr>
        <w:t>university</w:t>
      </w:r>
      <w:r w:rsidRPr="00730C0D">
        <w:rPr>
          <w:rFonts w:ascii="Century Gothic" w:hAnsi="Century Gothic"/>
          <w:sz w:val="20"/>
          <w:szCs w:val="20"/>
        </w:rPr>
        <w:t xml:space="preserve"> categories </w:t>
      </w:r>
      <w:r w:rsidR="00E92F1D">
        <w:rPr>
          <w:rFonts w:ascii="Century Gothic" w:hAnsi="Century Gothic"/>
          <w:sz w:val="20"/>
          <w:szCs w:val="20"/>
        </w:rPr>
        <w:t xml:space="preserve">will </w:t>
      </w:r>
      <w:r w:rsidRPr="00730C0D">
        <w:rPr>
          <w:rFonts w:ascii="Century Gothic" w:hAnsi="Century Gothic"/>
          <w:sz w:val="20"/>
          <w:szCs w:val="20"/>
        </w:rPr>
        <w:t xml:space="preserve">require providers to: </w:t>
      </w:r>
    </w:p>
    <w:p w14:paraId="225FE94B" w14:textId="77777777" w:rsidR="00AC7D05" w:rsidRPr="00730C0D" w:rsidRDefault="00AC7D05" w:rsidP="00D31B9A">
      <w:pPr>
        <w:spacing w:before="0" w:after="0"/>
        <w:rPr>
          <w:rFonts w:ascii="Century Gothic" w:hAnsi="Century Gothic"/>
          <w:sz w:val="20"/>
          <w:szCs w:val="20"/>
        </w:rPr>
      </w:pPr>
    </w:p>
    <w:p w14:paraId="73D5D804" w14:textId="30783A5C" w:rsidR="004E35B4" w:rsidRPr="00730C0D" w:rsidRDefault="004E35B4" w:rsidP="00620445">
      <w:pPr>
        <w:tabs>
          <w:tab w:val="left" w:pos="284"/>
        </w:tabs>
        <w:spacing w:before="0" w:after="0"/>
        <w:ind w:left="851" w:right="1229"/>
        <w:jc w:val="both"/>
        <w:rPr>
          <w:rFonts w:ascii="Century Gothic" w:eastAsia="Calibri" w:hAnsi="Century Gothic" w:cs="Arial"/>
          <w:sz w:val="20"/>
          <w:szCs w:val="20"/>
        </w:rPr>
      </w:pPr>
      <w:r w:rsidRPr="00730C0D">
        <w:rPr>
          <w:rFonts w:ascii="Century Gothic" w:eastAsia="Calibri" w:hAnsi="Century Gothic" w:cs="Arial"/>
          <w:sz w:val="20"/>
          <w:szCs w:val="20"/>
        </w:rPr>
        <w:t>demonstrate systematic support for scholarship and demonstrate scholarly activities and outcomes that inform teaching, learning</w:t>
      </w:r>
      <w:r w:rsidR="00E100BE" w:rsidRPr="00730C0D">
        <w:rPr>
          <w:rFonts w:ascii="Century Gothic" w:eastAsia="Calibri" w:hAnsi="Century Gothic" w:cs="Arial"/>
          <w:sz w:val="20"/>
          <w:szCs w:val="20"/>
        </w:rPr>
        <w:t>,</w:t>
      </w:r>
      <w:r w:rsidRPr="00730C0D">
        <w:rPr>
          <w:rFonts w:ascii="Century Gothic" w:eastAsia="Calibri" w:hAnsi="Century Gothic" w:cs="Arial"/>
          <w:sz w:val="20"/>
          <w:szCs w:val="20"/>
        </w:rPr>
        <w:t xml:space="preserve"> and professional practice and make a contribution to the advancement </w:t>
      </w:r>
      <w:r w:rsidR="00E100BE" w:rsidRPr="00730C0D">
        <w:rPr>
          <w:rFonts w:ascii="Century Gothic" w:eastAsia="Calibri" w:hAnsi="Century Gothic" w:cs="Arial"/>
          <w:sz w:val="20"/>
          <w:szCs w:val="20"/>
        </w:rPr>
        <w:t>and/</w:t>
      </w:r>
      <w:r w:rsidRPr="00730C0D">
        <w:rPr>
          <w:rFonts w:ascii="Century Gothic" w:eastAsia="Calibri" w:hAnsi="Century Gothic" w:cs="Arial"/>
          <w:sz w:val="20"/>
          <w:szCs w:val="20"/>
        </w:rPr>
        <w:t>or dissemination of knowledge;</w:t>
      </w:r>
    </w:p>
    <w:p w14:paraId="24438694" w14:textId="77777777" w:rsidR="00AC7D05" w:rsidRPr="00730C0D" w:rsidRDefault="00AC7D05" w:rsidP="00D31B9A">
      <w:pPr>
        <w:spacing w:before="0" w:after="0"/>
        <w:rPr>
          <w:rFonts w:ascii="Century Gothic" w:hAnsi="Century Gothic"/>
          <w:sz w:val="20"/>
          <w:szCs w:val="20"/>
        </w:rPr>
      </w:pPr>
    </w:p>
    <w:p w14:paraId="4D8EA5A5" w14:textId="0EF27CC5"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TEQSA acknowledges that scholarship may take many different forms within and </w:t>
      </w:r>
      <w:r w:rsidR="00F11F68" w:rsidRPr="00730C0D">
        <w:rPr>
          <w:rFonts w:ascii="Century Gothic" w:hAnsi="Century Gothic"/>
          <w:sz w:val="20"/>
          <w:szCs w:val="20"/>
        </w:rPr>
        <w:t xml:space="preserve">amongst </w:t>
      </w:r>
      <w:r w:rsidRPr="00730C0D">
        <w:rPr>
          <w:rFonts w:ascii="Century Gothic" w:hAnsi="Century Gothic"/>
          <w:sz w:val="20"/>
          <w:szCs w:val="20"/>
        </w:rPr>
        <w:t>different providers. Therefore, TEQSA will continue to work with providers to ensure scholarship activities are to the standard expected of them within their categories</w:t>
      </w:r>
      <w:r w:rsidR="00F11F68" w:rsidRPr="00730C0D">
        <w:rPr>
          <w:rFonts w:ascii="Century Gothic" w:hAnsi="Century Gothic"/>
          <w:sz w:val="20"/>
          <w:szCs w:val="20"/>
        </w:rPr>
        <w:t xml:space="preserve"> and contexts</w:t>
      </w:r>
      <w:r w:rsidRPr="00730C0D">
        <w:rPr>
          <w:rFonts w:ascii="Century Gothic" w:hAnsi="Century Gothic"/>
          <w:sz w:val="20"/>
          <w:szCs w:val="20"/>
        </w:rPr>
        <w:t xml:space="preserve">. </w:t>
      </w:r>
    </w:p>
    <w:p w14:paraId="74758886" w14:textId="77777777" w:rsidR="00AC7D05" w:rsidRPr="00730C0D" w:rsidRDefault="00AC7D05" w:rsidP="00D31B9A">
      <w:pPr>
        <w:spacing w:before="0" w:after="0"/>
        <w:rPr>
          <w:rFonts w:ascii="Century Gothic" w:hAnsi="Century Gothic"/>
          <w:sz w:val="20"/>
          <w:szCs w:val="20"/>
        </w:rPr>
      </w:pPr>
    </w:p>
    <w:p w14:paraId="5C0377DC" w14:textId="6FC78D74" w:rsidR="00AC7D05" w:rsidRPr="00730C0D" w:rsidRDefault="003806EF" w:rsidP="004978DA">
      <w:pPr>
        <w:pStyle w:val="Heading3"/>
      </w:pPr>
      <w:bookmarkStart w:id="72" w:name="_Toc18592340"/>
      <w:r w:rsidRPr="00730C0D">
        <w:t>2.4.5</w:t>
      </w:r>
      <w:r w:rsidRPr="00730C0D">
        <w:tab/>
      </w:r>
      <w:r w:rsidR="00AC7D05" w:rsidRPr="00730C0D">
        <w:t>Student Experience</w:t>
      </w:r>
      <w:bookmarkEnd w:id="72"/>
    </w:p>
    <w:p w14:paraId="61F4BDA5" w14:textId="050C0699" w:rsidR="00AC7D05" w:rsidRPr="00730C0D" w:rsidRDefault="00AC7D05" w:rsidP="00172215">
      <w:pPr>
        <w:spacing w:after="0"/>
        <w:rPr>
          <w:rFonts w:ascii="Century Gothic" w:hAnsi="Century Gothic"/>
          <w:sz w:val="20"/>
          <w:szCs w:val="20"/>
        </w:rPr>
      </w:pPr>
      <w:r w:rsidRPr="00730C0D">
        <w:rPr>
          <w:rFonts w:ascii="Century Gothic" w:hAnsi="Century Gothic"/>
          <w:sz w:val="20"/>
          <w:szCs w:val="20"/>
        </w:rPr>
        <w:t>Student experience</w:t>
      </w:r>
      <w:r w:rsidRPr="00730C0D">
        <w:rPr>
          <w:rFonts w:ascii="Century Gothic" w:hAnsi="Century Gothic"/>
          <w:sz w:val="20"/>
          <w:szCs w:val="20"/>
          <w:vertAlign w:val="superscript"/>
        </w:rPr>
        <w:footnoteReference w:id="98"/>
      </w:r>
      <w:r w:rsidRPr="00730C0D">
        <w:rPr>
          <w:rFonts w:ascii="Century Gothic" w:hAnsi="Century Gothic"/>
          <w:sz w:val="20"/>
          <w:szCs w:val="20"/>
        </w:rPr>
        <w:t xml:space="preserve"> was consistently raised in the submission and consultation process and centred around two main themes: </w:t>
      </w:r>
    </w:p>
    <w:p w14:paraId="051C3E6F" w14:textId="3F94C1D2" w:rsidR="00AC7D05" w:rsidRPr="00730C0D" w:rsidRDefault="00AC7D05" w:rsidP="0024520B">
      <w:pPr>
        <w:pStyle w:val="ListParagraph"/>
        <w:numPr>
          <w:ilvl w:val="0"/>
          <w:numId w:val="56"/>
        </w:numPr>
        <w:spacing w:before="0"/>
        <w:ind w:left="714" w:hanging="357"/>
        <w:rPr>
          <w:rFonts w:ascii="Century Gothic" w:hAnsi="Century Gothic"/>
          <w:sz w:val="20"/>
          <w:szCs w:val="20"/>
        </w:rPr>
      </w:pPr>
      <w:r w:rsidRPr="00730C0D">
        <w:rPr>
          <w:rFonts w:ascii="Century Gothic" w:hAnsi="Century Gothic"/>
          <w:sz w:val="20"/>
          <w:szCs w:val="20"/>
        </w:rPr>
        <w:t>the varying activity and quality of a single provider across different campuses</w:t>
      </w:r>
      <w:r w:rsidR="00424CDD" w:rsidRPr="00730C0D">
        <w:rPr>
          <w:rFonts w:ascii="Century Gothic" w:hAnsi="Century Gothic"/>
          <w:sz w:val="20"/>
          <w:szCs w:val="20"/>
        </w:rPr>
        <w:t>; and</w:t>
      </w:r>
      <w:r w:rsidRPr="00730C0D">
        <w:rPr>
          <w:rFonts w:ascii="Century Gothic" w:hAnsi="Century Gothic"/>
          <w:sz w:val="20"/>
          <w:szCs w:val="20"/>
        </w:rPr>
        <w:t xml:space="preserve"> </w:t>
      </w:r>
    </w:p>
    <w:p w14:paraId="2793D37C" w14:textId="77777777" w:rsidR="00AC7D05" w:rsidRPr="00730C0D" w:rsidRDefault="00AC7D05" w:rsidP="0024520B">
      <w:pPr>
        <w:pStyle w:val="ListParagraph"/>
        <w:numPr>
          <w:ilvl w:val="0"/>
          <w:numId w:val="56"/>
        </w:numPr>
        <w:spacing w:after="0"/>
        <w:ind w:left="714" w:hanging="357"/>
        <w:rPr>
          <w:rFonts w:ascii="Century Gothic" w:hAnsi="Century Gothic"/>
          <w:sz w:val="20"/>
          <w:szCs w:val="20"/>
        </w:rPr>
      </w:pPr>
      <w:r w:rsidRPr="00730C0D">
        <w:rPr>
          <w:rFonts w:ascii="Century Gothic" w:hAnsi="Century Gothic"/>
          <w:sz w:val="20"/>
          <w:szCs w:val="20"/>
        </w:rPr>
        <w:t>the desire to see student experience more clearly articulated in the PCS to reflect strengths across the sector and introduce additional category delineating factors beyond research.</w:t>
      </w:r>
    </w:p>
    <w:p w14:paraId="6D25077F" w14:textId="77777777" w:rsidR="00AC7D05" w:rsidRPr="00730C0D" w:rsidRDefault="00AC7D05" w:rsidP="00D31B9A">
      <w:pPr>
        <w:spacing w:before="0" w:after="0"/>
        <w:rPr>
          <w:rFonts w:ascii="Century Gothic" w:hAnsi="Century Gothic"/>
          <w:sz w:val="20"/>
          <w:szCs w:val="20"/>
        </w:rPr>
      </w:pPr>
    </w:p>
    <w:p w14:paraId="22FA902B" w14:textId="085914E2" w:rsidR="00F01E6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Many higher education providers in Australia offer courses </w:t>
      </w:r>
      <w:r w:rsidR="003D4960" w:rsidRPr="00730C0D">
        <w:rPr>
          <w:rFonts w:ascii="Century Gothic" w:hAnsi="Century Gothic"/>
          <w:sz w:val="20"/>
          <w:szCs w:val="20"/>
        </w:rPr>
        <w:t>at many different campuses. For </w:t>
      </w:r>
      <w:r w:rsidRPr="00730C0D">
        <w:rPr>
          <w:rFonts w:ascii="Century Gothic" w:hAnsi="Century Gothic"/>
          <w:sz w:val="20"/>
          <w:szCs w:val="20"/>
        </w:rPr>
        <w:t xml:space="preserve">example, a large university may host a smaller ‘city building block’ campus </w:t>
      </w:r>
      <w:r w:rsidR="00F11F68" w:rsidRPr="00730C0D">
        <w:rPr>
          <w:rFonts w:ascii="Century Gothic" w:hAnsi="Century Gothic"/>
          <w:sz w:val="20"/>
          <w:szCs w:val="20"/>
        </w:rPr>
        <w:t>in</w:t>
      </w:r>
      <w:r w:rsidRPr="00730C0D">
        <w:rPr>
          <w:rFonts w:ascii="Century Gothic" w:hAnsi="Century Gothic"/>
          <w:sz w:val="20"/>
          <w:szCs w:val="20"/>
        </w:rPr>
        <w:t xml:space="preserve"> the same </w:t>
      </w:r>
      <w:r w:rsidR="00F11F68" w:rsidRPr="00730C0D">
        <w:rPr>
          <w:rFonts w:ascii="Century Gothic" w:hAnsi="Century Gothic"/>
          <w:sz w:val="20"/>
          <w:szCs w:val="20"/>
        </w:rPr>
        <w:t>city or another, while</w:t>
      </w:r>
      <w:r w:rsidR="00A54FCC" w:rsidRPr="00730C0D">
        <w:rPr>
          <w:rFonts w:ascii="Century Gothic" w:hAnsi="Century Gothic"/>
          <w:sz w:val="20"/>
          <w:szCs w:val="20"/>
        </w:rPr>
        <w:t xml:space="preserve"> </w:t>
      </w:r>
      <w:r w:rsidR="004E35B4" w:rsidRPr="00730C0D">
        <w:rPr>
          <w:rFonts w:ascii="Century Gothic" w:hAnsi="Century Gothic"/>
          <w:sz w:val="20"/>
          <w:szCs w:val="20"/>
        </w:rPr>
        <w:t xml:space="preserve">a </w:t>
      </w:r>
      <w:r w:rsidR="00A54FCC" w:rsidRPr="00730C0D">
        <w:rPr>
          <w:rFonts w:ascii="Century Gothic" w:hAnsi="Century Gothic"/>
          <w:sz w:val="20"/>
          <w:szCs w:val="20"/>
        </w:rPr>
        <w:t>smaller regional universit</w:t>
      </w:r>
      <w:r w:rsidR="004E35B4" w:rsidRPr="00730C0D">
        <w:rPr>
          <w:rFonts w:ascii="Century Gothic" w:hAnsi="Century Gothic"/>
          <w:sz w:val="20"/>
          <w:szCs w:val="20"/>
        </w:rPr>
        <w:t>y</w:t>
      </w:r>
      <w:r w:rsidR="00A54FCC" w:rsidRPr="00730C0D">
        <w:rPr>
          <w:rFonts w:ascii="Century Gothic" w:hAnsi="Century Gothic"/>
          <w:sz w:val="20"/>
          <w:szCs w:val="20"/>
        </w:rPr>
        <w:t xml:space="preserve"> may set up a small office block campus in a </w:t>
      </w:r>
      <w:r w:rsidR="00435AC2" w:rsidRPr="00730C0D">
        <w:rPr>
          <w:rFonts w:ascii="Century Gothic" w:hAnsi="Century Gothic"/>
          <w:sz w:val="20"/>
          <w:szCs w:val="20"/>
        </w:rPr>
        <w:t xml:space="preserve">metropolitan </w:t>
      </w:r>
      <w:r w:rsidR="00E55CC5" w:rsidRPr="00730C0D">
        <w:rPr>
          <w:rFonts w:ascii="Century Gothic" w:hAnsi="Century Gothic"/>
          <w:sz w:val="20"/>
          <w:szCs w:val="20"/>
        </w:rPr>
        <w:t>city centre</w:t>
      </w:r>
      <w:r w:rsidRPr="00730C0D">
        <w:rPr>
          <w:rFonts w:ascii="Century Gothic" w:hAnsi="Century Gothic"/>
          <w:sz w:val="20"/>
          <w:szCs w:val="20"/>
        </w:rPr>
        <w:t>. These smaller campuses may be wholly owned and operated by the university or</w:t>
      </w:r>
      <w:r w:rsidR="00424CDD" w:rsidRPr="00730C0D">
        <w:rPr>
          <w:rFonts w:ascii="Century Gothic" w:hAnsi="Century Gothic"/>
          <w:sz w:val="20"/>
          <w:szCs w:val="20"/>
        </w:rPr>
        <w:t>, in some cases,</w:t>
      </w:r>
      <w:r w:rsidRPr="00730C0D">
        <w:rPr>
          <w:rFonts w:ascii="Century Gothic" w:hAnsi="Century Gothic"/>
          <w:sz w:val="20"/>
          <w:szCs w:val="20"/>
        </w:rPr>
        <w:t xml:space="preserve"> by a third party. The third party, who may or may not be a registered higher education provider in its own right, delivers the teaching on behalf of the </w:t>
      </w:r>
      <w:r w:rsidR="00E55CC5" w:rsidRPr="00730C0D">
        <w:rPr>
          <w:rFonts w:ascii="Century Gothic" w:hAnsi="Century Gothic"/>
          <w:sz w:val="20"/>
          <w:szCs w:val="20"/>
        </w:rPr>
        <w:t>higher education provider</w:t>
      </w:r>
      <w:r w:rsidRPr="00730C0D">
        <w:rPr>
          <w:rFonts w:ascii="Century Gothic" w:hAnsi="Century Gothic"/>
          <w:sz w:val="20"/>
          <w:szCs w:val="20"/>
        </w:rPr>
        <w:t xml:space="preserve">. In these cases, it is the responsibility </w:t>
      </w:r>
      <w:r w:rsidR="00435AC2" w:rsidRPr="00730C0D">
        <w:rPr>
          <w:rFonts w:ascii="Century Gothic" w:hAnsi="Century Gothic"/>
          <w:sz w:val="20"/>
          <w:szCs w:val="20"/>
        </w:rPr>
        <w:t>of</w:t>
      </w:r>
      <w:r w:rsidR="00E55CC5" w:rsidRPr="00730C0D">
        <w:rPr>
          <w:rFonts w:ascii="Century Gothic" w:hAnsi="Century Gothic"/>
          <w:sz w:val="20"/>
          <w:szCs w:val="20"/>
        </w:rPr>
        <w:t>,</w:t>
      </w:r>
      <w:r w:rsidR="00435AC2" w:rsidRPr="00730C0D">
        <w:rPr>
          <w:rFonts w:ascii="Century Gothic" w:hAnsi="Century Gothic"/>
          <w:sz w:val="20"/>
          <w:szCs w:val="20"/>
        </w:rPr>
        <w:t xml:space="preserve"> </w:t>
      </w:r>
      <w:r w:rsidRPr="00730C0D">
        <w:rPr>
          <w:rFonts w:ascii="Century Gothic" w:hAnsi="Century Gothic"/>
          <w:sz w:val="20"/>
          <w:szCs w:val="20"/>
        </w:rPr>
        <w:t xml:space="preserve">and </w:t>
      </w:r>
      <w:r w:rsidR="00435AC2" w:rsidRPr="00730C0D">
        <w:rPr>
          <w:rFonts w:ascii="Century Gothic" w:hAnsi="Century Gothic"/>
          <w:sz w:val="20"/>
          <w:szCs w:val="20"/>
        </w:rPr>
        <w:t xml:space="preserve">an </w:t>
      </w:r>
      <w:r w:rsidRPr="00730C0D">
        <w:rPr>
          <w:rFonts w:ascii="Century Gothic" w:hAnsi="Century Gothic"/>
          <w:sz w:val="20"/>
          <w:szCs w:val="20"/>
        </w:rPr>
        <w:t xml:space="preserve">onus </w:t>
      </w:r>
      <w:r w:rsidR="00435AC2" w:rsidRPr="00730C0D">
        <w:rPr>
          <w:rFonts w:ascii="Century Gothic" w:hAnsi="Century Gothic"/>
          <w:sz w:val="20"/>
          <w:szCs w:val="20"/>
        </w:rPr>
        <w:t>up</w:t>
      </w:r>
      <w:r w:rsidRPr="00730C0D">
        <w:rPr>
          <w:rFonts w:ascii="Century Gothic" w:hAnsi="Century Gothic"/>
          <w:sz w:val="20"/>
          <w:szCs w:val="20"/>
        </w:rPr>
        <w:t>o</w:t>
      </w:r>
      <w:r w:rsidR="00424CDD" w:rsidRPr="00730C0D">
        <w:rPr>
          <w:rFonts w:ascii="Century Gothic" w:hAnsi="Century Gothic"/>
          <w:sz w:val="20"/>
          <w:szCs w:val="20"/>
        </w:rPr>
        <w:t>n</w:t>
      </w:r>
      <w:r w:rsidR="00E55CC5" w:rsidRPr="00730C0D">
        <w:rPr>
          <w:rFonts w:ascii="Century Gothic" w:hAnsi="Century Gothic"/>
          <w:sz w:val="20"/>
          <w:szCs w:val="20"/>
        </w:rPr>
        <w:t>,</w:t>
      </w:r>
      <w:r w:rsidRPr="00730C0D">
        <w:rPr>
          <w:rFonts w:ascii="Century Gothic" w:hAnsi="Century Gothic"/>
          <w:sz w:val="20"/>
          <w:szCs w:val="20"/>
        </w:rPr>
        <w:t xml:space="preserve"> the registered provider to ensure that the quality of educational experience and outcomes offered by the third party provider matches that offered by the registered provider. Appropriately, TEQSA examines third party arrangements as part of assessing whether a provider meets the requirements of the Threshold Standards.</w:t>
      </w:r>
    </w:p>
    <w:p w14:paraId="018B4633" w14:textId="77777777" w:rsidR="00C34A35" w:rsidRDefault="00C34A35">
      <w:pPr>
        <w:spacing w:before="0" w:after="160"/>
        <w:rPr>
          <w:rFonts w:ascii="Century Gothic" w:hAnsi="Century Gothic"/>
          <w:sz w:val="20"/>
          <w:szCs w:val="20"/>
        </w:rPr>
      </w:pPr>
      <w:r>
        <w:rPr>
          <w:rFonts w:ascii="Century Gothic" w:hAnsi="Century Gothic"/>
          <w:sz w:val="20"/>
          <w:szCs w:val="20"/>
        </w:rPr>
        <w:br w:type="page"/>
      </w:r>
    </w:p>
    <w:p w14:paraId="25E299D9" w14:textId="78F59CBF"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Some stakeholders believe there is no clear basis for allowing a so-called ‘city</w:t>
      </w:r>
      <w:r w:rsidR="00A54FCC" w:rsidRPr="00730C0D">
        <w:rPr>
          <w:rFonts w:ascii="Century Gothic" w:hAnsi="Century Gothic"/>
          <w:sz w:val="20"/>
          <w:szCs w:val="20"/>
        </w:rPr>
        <w:t xml:space="preserve"> building block</w:t>
      </w:r>
      <w:r w:rsidR="008C58CC" w:rsidRPr="00730C0D">
        <w:rPr>
          <w:rFonts w:ascii="Century Gothic" w:hAnsi="Century Gothic"/>
          <w:sz w:val="20"/>
          <w:szCs w:val="20"/>
        </w:rPr>
        <w:t>’</w:t>
      </w:r>
      <w:r w:rsidRPr="00730C0D">
        <w:rPr>
          <w:rFonts w:ascii="Century Gothic" w:hAnsi="Century Gothic"/>
          <w:sz w:val="20"/>
          <w:szCs w:val="20"/>
        </w:rPr>
        <w:t xml:space="preserve"> campus to style itself as a university due to the differences in offerings</w:t>
      </w:r>
      <w:r w:rsidR="00424CDD" w:rsidRPr="00730C0D">
        <w:rPr>
          <w:rFonts w:ascii="Century Gothic" w:hAnsi="Century Gothic"/>
          <w:sz w:val="20"/>
          <w:szCs w:val="20"/>
        </w:rPr>
        <w:t>.</w:t>
      </w:r>
      <w:r w:rsidRPr="00730C0D">
        <w:rPr>
          <w:rFonts w:ascii="Century Gothic" w:hAnsi="Century Gothic"/>
          <w:sz w:val="20"/>
          <w:szCs w:val="20"/>
        </w:rPr>
        <w:t xml:space="preserve"> </w:t>
      </w:r>
      <w:r w:rsidR="00424CDD" w:rsidRPr="00730C0D">
        <w:rPr>
          <w:rFonts w:ascii="Century Gothic" w:hAnsi="Century Gothic"/>
          <w:sz w:val="20"/>
          <w:szCs w:val="20"/>
        </w:rPr>
        <w:t>O</w:t>
      </w:r>
      <w:r w:rsidRPr="00730C0D">
        <w:rPr>
          <w:rFonts w:ascii="Century Gothic" w:hAnsi="Century Gothic"/>
          <w:sz w:val="20"/>
          <w:szCs w:val="20"/>
        </w:rPr>
        <w:t xml:space="preserve">thers are of the opinion that while </w:t>
      </w:r>
      <w:r w:rsidR="00A54FCC" w:rsidRPr="00730C0D">
        <w:rPr>
          <w:rFonts w:ascii="Century Gothic" w:hAnsi="Century Gothic"/>
          <w:sz w:val="20"/>
          <w:szCs w:val="20"/>
        </w:rPr>
        <w:t xml:space="preserve">such </w:t>
      </w:r>
      <w:r w:rsidRPr="00730C0D">
        <w:rPr>
          <w:rFonts w:ascii="Century Gothic" w:hAnsi="Century Gothic"/>
          <w:sz w:val="20"/>
          <w:szCs w:val="20"/>
        </w:rPr>
        <w:t xml:space="preserve">campuses may offer a different experience, the students do still have access to </w:t>
      </w:r>
      <w:r w:rsidR="00A54FCC" w:rsidRPr="00730C0D">
        <w:rPr>
          <w:rFonts w:ascii="Century Gothic" w:hAnsi="Century Gothic"/>
          <w:sz w:val="20"/>
          <w:szCs w:val="20"/>
        </w:rPr>
        <w:t xml:space="preserve">equivalent </w:t>
      </w:r>
      <w:r w:rsidRPr="00730C0D">
        <w:rPr>
          <w:rFonts w:ascii="Century Gothic" w:hAnsi="Century Gothic"/>
          <w:sz w:val="20"/>
          <w:szCs w:val="20"/>
        </w:rPr>
        <w:t xml:space="preserve">quality teaching and experience as at </w:t>
      </w:r>
      <w:r w:rsidR="00A54FCC" w:rsidRPr="00730C0D">
        <w:rPr>
          <w:rFonts w:ascii="Century Gothic" w:hAnsi="Century Gothic"/>
          <w:sz w:val="20"/>
          <w:szCs w:val="20"/>
        </w:rPr>
        <w:t xml:space="preserve">a </w:t>
      </w:r>
      <w:r w:rsidRPr="00730C0D">
        <w:rPr>
          <w:rFonts w:ascii="Century Gothic" w:hAnsi="Century Gothic"/>
          <w:sz w:val="20"/>
          <w:szCs w:val="20"/>
        </w:rPr>
        <w:t xml:space="preserve">main campus. </w:t>
      </w:r>
      <w:r w:rsidR="00A54FCC" w:rsidRPr="00730C0D">
        <w:rPr>
          <w:rFonts w:ascii="Century Gothic" w:hAnsi="Century Gothic"/>
          <w:sz w:val="20"/>
          <w:szCs w:val="20"/>
        </w:rPr>
        <w:t>I</w:t>
      </w:r>
      <w:r w:rsidRPr="00730C0D">
        <w:rPr>
          <w:rFonts w:ascii="Century Gothic" w:hAnsi="Century Gothic"/>
          <w:sz w:val="20"/>
          <w:szCs w:val="20"/>
        </w:rPr>
        <w:t>t is important to recognise that the Threshold Standards “cover all modes of participation and delivery, sites of delivery and all categories of students”</w:t>
      </w:r>
      <w:r w:rsidR="00424CDD" w:rsidRPr="00730C0D">
        <w:rPr>
          <w:rFonts w:ascii="Century Gothic" w:hAnsi="Century Gothic"/>
          <w:sz w:val="20"/>
          <w:szCs w:val="20"/>
        </w:rPr>
        <w:t>.</w:t>
      </w:r>
      <w:r w:rsidR="00424CDD" w:rsidRPr="00730C0D">
        <w:rPr>
          <w:rFonts w:ascii="Century Gothic" w:hAnsi="Century Gothic"/>
          <w:sz w:val="20"/>
          <w:szCs w:val="20"/>
          <w:vertAlign w:val="superscript"/>
        </w:rPr>
        <w:footnoteReference w:id="99"/>
      </w:r>
      <w:r w:rsidRPr="00730C0D">
        <w:rPr>
          <w:rFonts w:ascii="Century Gothic" w:hAnsi="Century Gothic"/>
          <w:sz w:val="20"/>
          <w:szCs w:val="20"/>
        </w:rPr>
        <w:t xml:space="preserve"> </w:t>
      </w:r>
      <w:r w:rsidR="00424CDD" w:rsidRPr="00730C0D">
        <w:rPr>
          <w:rFonts w:ascii="Century Gothic" w:hAnsi="Century Gothic"/>
          <w:sz w:val="20"/>
          <w:szCs w:val="20"/>
        </w:rPr>
        <w:t>This implies</w:t>
      </w:r>
      <w:r w:rsidRPr="00730C0D">
        <w:rPr>
          <w:rFonts w:ascii="Century Gothic" w:hAnsi="Century Gothic"/>
          <w:sz w:val="20"/>
          <w:szCs w:val="20"/>
        </w:rPr>
        <w:t xml:space="preserve"> that, from a regulatory point of view, students should have </w:t>
      </w:r>
      <w:r w:rsidR="00A54FCC" w:rsidRPr="00730C0D">
        <w:rPr>
          <w:rFonts w:ascii="Century Gothic" w:hAnsi="Century Gothic"/>
          <w:sz w:val="20"/>
          <w:szCs w:val="20"/>
        </w:rPr>
        <w:t xml:space="preserve">equivalent </w:t>
      </w:r>
      <w:r w:rsidRPr="00730C0D">
        <w:rPr>
          <w:rFonts w:ascii="Century Gothic" w:hAnsi="Century Gothic"/>
          <w:sz w:val="20"/>
          <w:szCs w:val="20"/>
        </w:rPr>
        <w:t>experiences no matter which campus of a single provider they attend.</w:t>
      </w:r>
      <w:r w:rsidR="00A54FCC" w:rsidRPr="00730C0D">
        <w:rPr>
          <w:rFonts w:ascii="Century Gothic" w:hAnsi="Century Gothic"/>
          <w:sz w:val="20"/>
          <w:szCs w:val="20"/>
        </w:rPr>
        <w:t xml:space="preserve"> </w:t>
      </w:r>
    </w:p>
    <w:p w14:paraId="0134CF1C" w14:textId="77777777" w:rsidR="00AC7D05" w:rsidRPr="00730C0D" w:rsidRDefault="00AC7D05" w:rsidP="00D31B9A">
      <w:pPr>
        <w:spacing w:before="0" w:after="0"/>
        <w:rPr>
          <w:rFonts w:ascii="Century Gothic" w:hAnsi="Century Gothic"/>
          <w:sz w:val="20"/>
          <w:szCs w:val="20"/>
        </w:rPr>
      </w:pPr>
    </w:p>
    <w:p w14:paraId="61FA1E44" w14:textId="4EBB58E2"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Many stakeholders would like to see more stringent links in the PCS between student experience and the quality of teaching and </w:t>
      </w:r>
      <w:r w:rsidR="004E35B4" w:rsidRPr="00730C0D">
        <w:rPr>
          <w:rFonts w:ascii="Century Gothic" w:hAnsi="Century Gothic"/>
          <w:sz w:val="20"/>
          <w:szCs w:val="20"/>
        </w:rPr>
        <w:t>learning</w:t>
      </w:r>
      <w:r w:rsidRPr="00730C0D">
        <w:rPr>
          <w:rFonts w:ascii="Century Gothic" w:hAnsi="Century Gothic"/>
          <w:sz w:val="20"/>
          <w:szCs w:val="20"/>
        </w:rPr>
        <w:t>.</w:t>
      </w:r>
      <w:r w:rsidR="00171115" w:rsidRPr="00730C0D">
        <w:rPr>
          <w:rFonts w:ascii="Century Gothic" w:hAnsi="Century Gothic"/>
          <w:sz w:val="20"/>
          <w:szCs w:val="20"/>
        </w:rPr>
        <w:t xml:space="preserve"> Some providers in the ‘Higher Education Provider’ category pointed to various other elements of higher education that comprise a quality student experience including small cohorts, personalised service, and quality infrastructure that are not currently incorporated in the PCS. </w:t>
      </w:r>
      <w:r w:rsidRPr="00730C0D">
        <w:rPr>
          <w:rFonts w:ascii="Century Gothic" w:hAnsi="Century Gothic"/>
          <w:sz w:val="20"/>
          <w:szCs w:val="20"/>
        </w:rPr>
        <w:t>Quality Indicators for Learning and Teaching (QILT) Student Experience Survey results s</w:t>
      </w:r>
      <w:r w:rsidR="000E72BC" w:rsidRPr="00730C0D">
        <w:rPr>
          <w:rFonts w:ascii="Century Gothic" w:hAnsi="Century Gothic"/>
          <w:sz w:val="20"/>
          <w:szCs w:val="20"/>
        </w:rPr>
        <w:t>uggest</w:t>
      </w:r>
      <w:r w:rsidRPr="00730C0D">
        <w:rPr>
          <w:rFonts w:ascii="Century Gothic" w:hAnsi="Century Gothic"/>
          <w:sz w:val="20"/>
          <w:szCs w:val="20"/>
        </w:rPr>
        <w:t xml:space="preserve"> that providers in the ‘Higher Education Provider’ category often compare favourably with universities</w:t>
      </w:r>
      <w:r w:rsidR="00CB364D" w:rsidRPr="00730C0D">
        <w:rPr>
          <w:rFonts w:ascii="Century Gothic" w:hAnsi="Century Gothic"/>
          <w:sz w:val="20"/>
          <w:szCs w:val="20"/>
        </w:rPr>
        <w:t>.</w:t>
      </w:r>
      <w:r w:rsidR="00171115" w:rsidRPr="00730C0D">
        <w:rPr>
          <w:rStyle w:val="FootnoteReference"/>
          <w:rFonts w:ascii="Century Gothic" w:hAnsi="Century Gothic"/>
          <w:sz w:val="20"/>
          <w:szCs w:val="20"/>
        </w:rPr>
        <w:footnoteReference w:id="100"/>
      </w:r>
      <w:r w:rsidR="00CB364D" w:rsidRPr="00730C0D">
        <w:rPr>
          <w:rFonts w:ascii="Century Gothic" w:hAnsi="Century Gothic"/>
          <w:sz w:val="20"/>
          <w:szCs w:val="20"/>
        </w:rPr>
        <w:t xml:space="preserve"> </w:t>
      </w:r>
      <w:r w:rsidR="00435AC2" w:rsidRPr="00730C0D">
        <w:rPr>
          <w:rFonts w:ascii="Century Gothic" w:hAnsi="Century Gothic"/>
          <w:sz w:val="20"/>
          <w:szCs w:val="20"/>
        </w:rPr>
        <w:t>Obviously, though, QILT captures student experiences of teaching rather than research</w:t>
      </w:r>
      <w:r w:rsidRPr="00730C0D">
        <w:rPr>
          <w:rFonts w:ascii="Century Gothic" w:hAnsi="Century Gothic"/>
          <w:sz w:val="20"/>
          <w:szCs w:val="20"/>
        </w:rPr>
        <w:t xml:space="preserve">. </w:t>
      </w:r>
    </w:p>
    <w:p w14:paraId="53680047" w14:textId="77777777" w:rsidR="00AC7D05" w:rsidRPr="00730C0D" w:rsidRDefault="00AC7D05" w:rsidP="00D31B9A">
      <w:pPr>
        <w:keepNext/>
        <w:keepLines/>
        <w:spacing w:before="0" w:after="0"/>
        <w:outlineLvl w:val="2"/>
        <w:rPr>
          <w:rFonts w:ascii="Century Gothic" w:eastAsiaTheme="majorEastAsia" w:hAnsi="Century Gothic" w:cstheme="majorBidi"/>
          <w:b/>
          <w:sz w:val="20"/>
          <w:szCs w:val="20"/>
        </w:rPr>
      </w:pPr>
    </w:p>
    <w:p w14:paraId="57DF8679" w14:textId="5E29C70A" w:rsidR="00AC7D05" w:rsidRPr="00730C0D" w:rsidRDefault="00AC7D05" w:rsidP="00D31B9A">
      <w:pPr>
        <w:spacing w:before="0" w:after="0"/>
        <w:rPr>
          <w:rFonts w:ascii="Century Gothic" w:hAnsi="Century Gothic"/>
          <w:sz w:val="20"/>
          <w:szCs w:val="20"/>
        </w:rPr>
      </w:pPr>
      <w:r w:rsidRPr="00730C0D">
        <w:rPr>
          <w:rFonts w:ascii="Century Gothic" w:hAnsi="Century Gothic"/>
          <w:sz w:val="20"/>
          <w:szCs w:val="20"/>
        </w:rPr>
        <w:t xml:space="preserve">While </w:t>
      </w:r>
      <w:r w:rsidR="00435AC2" w:rsidRPr="00730C0D">
        <w:rPr>
          <w:rFonts w:ascii="Century Gothic" w:hAnsi="Century Gothic"/>
          <w:sz w:val="20"/>
          <w:szCs w:val="20"/>
        </w:rPr>
        <w:t xml:space="preserve">acknowledging </w:t>
      </w:r>
      <w:r w:rsidRPr="00730C0D">
        <w:rPr>
          <w:rFonts w:ascii="Century Gothic" w:hAnsi="Century Gothic"/>
          <w:sz w:val="20"/>
          <w:szCs w:val="20"/>
        </w:rPr>
        <w:t>the concerns raised by</w:t>
      </w:r>
      <w:r w:rsidR="00474B80" w:rsidRPr="00730C0D">
        <w:rPr>
          <w:rFonts w:ascii="Century Gothic" w:hAnsi="Century Gothic"/>
          <w:sz w:val="20"/>
          <w:szCs w:val="20"/>
        </w:rPr>
        <w:t xml:space="preserve"> some</w:t>
      </w:r>
      <w:r w:rsidRPr="00730C0D">
        <w:rPr>
          <w:rFonts w:ascii="Century Gothic" w:hAnsi="Century Gothic"/>
          <w:sz w:val="20"/>
          <w:szCs w:val="20"/>
        </w:rPr>
        <w:t xml:space="preserve"> stakeholders, this Review does not recommend any</w:t>
      </w:r>
      <w:r w:rsidR="00171115" w:rsidRPr="00730C0D">
        <w:rPr>
          <w:rFonts w:ascii="Century Gothic" w:hAnsi="Century Gothic"/>
          <w:sz w:val="20"/>
          <w:szCs w:val="20"/>
        </w:rPr>
        <w:t xml:space="preserve"> major</w:t>
      </w:r>
      <w:r w:rsidRPr="00730C0D">
        <w:rPr>
          <w:rFonts w:ascii="Century Gothic" w:hAnsi="Century Gothic"/>
          <w:sz w:val="20"/>
          <w:szCs w:val="20"/>
        </w:rPr>
        <w:t xml:space="preserve"> changes to the way in which student experience is articulated in the PCS. This is largely because student experience is a key focus of the broader </w:t>
      </w:r>
      <w:r w:rsidR="00171115" w:rsidRPr="00730C0D">
        <w:rPr>
          <w:rFonts w:ascii="Century Gothic" w:hAnsi="Century Gothic"/>
          <w:sz w:val="20"/>
          <w:szCs w:val="20"/>
        </w:rPr>
        <w:br/>
      </w:r>
      <w:r w:rsidRPr="00730C0D">
        <w:rPr>
          <w:rFonts w:ascii="Century Gothic" w:hAnsi="Century Gothic"/>
          <w:sz w:val="20"/>
          <w:szCs w:val="20"/>
        </w:rPr>
        <w:t>Threshold Standards, criteria which all registered higher education providers must meet. In 2015 the Threshold Standards were revised and “structured to align with the student experience or ‘student life cycle’ i.e. as they progress from prospective students through to the award of a qualification”.</w:t>
      </w:r>
      <w:r w:rsidRPr="00730C0D">
        <w:rPr>
          <w:rFonts w:ascii="Century Gothic" w:hAnsi="Century Gothic"/>
          <w:sz w:val="20"/>
          <w:szCs w:val="20"/>
          <w:vertAlign w:val="superscript"/>
        </w:rPr>
        <w:footnoteReference w:id="101"/>
      </w:r>
      <w:r w:rsidR="001C72A0" w:rsidRPr="00730C0D">
        <w:rPr>
          <w:rFonts w:ascii="Century Gothic" w:hAnsi="Century Gothic"/>
          <w:sz w:val="20"/>
          <w:szCs w:val="20"/>
        </w:rPr>
        <w:t xml:space="preserve"> Specifically, Domain 1: </w:t>
      </w:r>
      <w:r w:rsidRPr="00730C0D">
        <w:rPr>
          <w:rFonts w:ascii="Century Gothic" w:hAnsi="Century Gothic"/>
          <w:sz w:val="20"/>
          <w:szCs w:val="20"/>
        </w:rPr>
        <w:t>Student Participation and Attainment focu</w:t>
      </w:r>
      <w:r w:rsidR="000F4B95" w:rsidRPr="00730C0D">
        <w:rPr>
          <w:rFonts w:ascii="Century Gothic" w:hAnsi="Century Gothic"/>
          <w:sz w:val="20"/>
          <w:szCs w:val="20"/>
        </w:rPr>
        <w:t>s</w:t>
      </w:r>
      <w:r w:rsidRPr="00730C0D">
        <w:rPr>
          <w:rFonts w:ascii="Century Gothic" w:hAnsi="Century Gothic"/>
          <w:sz w:val="20"/>
          <w:szCs w:val="20"/>
        </w:rPr>
        <w:t xml:space="preserve">ses on the educational experience for students. </w:t>
      </w:r>
    </w:p>
    <w:p w14:paraId="3536B244" w14:textId="77777777" w:rsidR="00AC7D05" w:rsidRPr="000434E1" w:rsidRDefault="00AC7D05" w:rsidP="00D31B9A">
      <w:pPr>
        <w:spacing w:before="0" w:after="0"/>
        <w:rPr>
          <w:rFonts w:ascii="Century Gothic" w:eastAsiaTheme="majorEastAsia" w:hAnsi="Century Gothic" w:cstheme="majorBidi"/>
          <w:b/>
          <w:sz w:val="26"/>
          <w:szCs w:val="26"/>
        </w:rPr>
      </w:pPr>
    </w:p>
    <w:p w14:paraId="0E619A2C" w14:textId="2966A01D" w:rsidR="00AC7D05" w:rsidRPr="00730C0D" w:rsidRDefault="003806EF" w:rsidP="00E92F1D">
      <w:pPr>
        <w:pStyle w:val="Heading3"/>
        <w:spacing w:after="180"/>
      </w:pPr>
      <w:bookmarkStart w:id="73" w:name="_2.4.6_Community_Engagement,"/>
      <w:bookmarkStart w:id="74" w:name="_Toc18592341"/>
      <w:bookmarkEnd w:id="73"/>
      <w:r w:rsidRPr="00730C0D">
        <w:t>2.4.6</w:t>
      </w:r>
      <w:r w:rsidRPr="00730C0D">
        <w:tab/>
      </w:r>
      <w:r w:rsidR="00F07530" w:rsidRPr="00730C0D">
        <w:t xml:space="preserve">Industry </w:t>
      </w:r>
      <w:r w:rsidR="00AC7D05" w:rsidRPr="00730C0D">
        <w:t>Engagement, Civic Leadership</w:t>
      </w:r>
      <w:r w:rsidR="00B725F6">
        <w:t>,</w:t>
      </w:r>
      <w:r w:rsidR="00AC7D05" w:rsidRPr="00730C0D">
        <w:t xml:space="preserve"> and </w:t>
      </w:r>
      <w:r w:rsidR="00F07530" w:rsidRPr="00730C0D">
        <w:t xml:space="preserve">Community </w:t>
      </w:r>
      <w:r w:rsidR="00AC7D05" w:rsidRPr="00730C0D">
        <w:t>Engagement</w:t>
      </w:r>
      <w:bookmarkEnd w:id="74"/>
    </w:p>
    <w:tbl>
      <w:tblPr>
        <w:tblStyle w:val="TableGrid"/>
        <w:tblW w:w="0" w:type="auto"/>
        <w:tblInd w:w="421" w:type="dxa"/>
        <w:tblLook w:val="04A0" w:firstRow="1" w:lastRow="0" w:firstColumn="1" w:lastColumn="0" w:noHBand="0" w:noVBand="1"/>
      </w:tblPr>
      <w:tblGrid>
        <w:gridCol w:w="8221"/>
      </w:tblGrid>
      <w:tr w:rsidR="00F07530" w:rsidRPr="00730C0D" w14:paraId="02F04317"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2BBD32C9" w14:textId="77777777" w:rsidR="00F07530" w:rsidRPr="00730C0D" w:rsidRDefault="00F07530" w:rsidP="00C25677">
            <w:pPr>
              <w:spacing w:before="0" w:after="0" w:line="259" w:lineRule="auto"/>
              <w:jc w:val="both"/>
              <w:rPr>
                <w:rFonts w:ascii="Century Gothic" w:hAnsi="Century Gothic"/>
                <w:b w:val="0"/>
                <w:i/>
                <w:color w:val="auto"/>
                <w:sz w:val="20"/>
                <w:szCs w:val="20"/>
              </w:rPr>
            </w:pPr>
          </w:p>
          <w:p w14:paraId="14520CAF" w14:textId="77777777" w:rsidR="00F07530" w:rsidRPr="00730C0D" w:rsidRDefault="00F07530" w:rsidP="00C25677">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“Strengthened relations between universities and industry would enable effective life-long learning informed by the latest research and industry practice”.</w:t>
            </w:r>
          </w:p>
          <w:p w14:paraId="2ABD49E0" w14:textId="77777777" w:rsidR="00F07530" w:rsidRPr="00730C0D" w:rsidRDefault="00F07530" w:rsidP="00C25677">
            <w:pPr>
              <w:spacing w:before="0" w:after="0" w:line="259" w:lineRule="auto"/>
              <w:jc w:val="both"/>
              <w:rPr>
                <w:rFonts w:ascii="Century Gothic" w:hAnsi="Century Gothic" w:cstheme="minorHAnsi"/>
                <w:color w:val="auto"/>
                <w:sz w:val="20"/>
                <w:szCs w:val="20"/>
              </w:rPr>
            </w:pPr>
          </w:p>
          <w:p w14:paraId="3AC7E7F9" w14:textId="77777777" w:rsidR="00F07530" w:rsidRPr="00730C0D" w:rsidRDefault="00F07530" w:rsidP="00C25677">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Australian Technology Network submission to the PCS Review 2019, p.2</w:t>
            </w:r>
          </w:p>
          <w:p w14:paraId="221B0DE1" w14:textId="77777777" w:rsidR="00F07530" w:rsidRPr="00730C0D" w:rsidRDefault="00F07530" w:rsidP="00C25677">
            <w:pPr>
              <w:spacing w:before="0" w:after="0" w:line="259" w:lineRule="auto"/>
              <w:jc w:val="right"/>
              <w:rPr>
                <w:rFonts w:ascii="Century Gothic" w:hAnsi="Century Gothic"/>
                <w:b w:val="0"/>
                <w:color w:val="auto"/>
                <w:sz w:val="20"/>
                <w:szCs w:val="20"/>
              </w:rPr>
            </w:pPr>
          </w:p>
        </w:tc>
      </w:tr>
    </w:tbl>
    <w:p w14:paraId="246A71A4" w14:textId="77777777" w:rsidR="00E92F1D" w:rsidRDefault="00E92F1D" w:rsidP="00E92F1D">
      <w:pPr>
        <w:spacing w:before="0" w:after="0"/>
        <w:rPr>
          <w:rFonts w:ascii="Century Gothic" w:hAnsi="Century Gothic"/>
          <w:sz w:val="20"/>
          <w:szCs w:val="20"/>
        </w:rPr>
      </w:pPr>
    </w:p>
    <w:p w14:paraId="26952710" w14:textId="77777777" w:rsidR="00E86FBD" w:rsidRDefault="00F07530" w:rsidP="00E86FBD">
      <w:pPr>
        <w:spacing w:before="0" w:after="0"/>
        <w:rPr>
          <w:rFonts w:ascii="Century Gothic" w:hAnsi="Century Gothic"/>
          <w:sz w:val="20"/>
          <w:szCs w:val="20"/>
        </w:rPr>
      </w:pPr>
      <w:r w:rsidRPr="00730C0D">
        <w:rPr>
          <w:rFonts w:ascii="Century Gothic" w:hAnsi="Century Gothic"/>
          <w:sz w:val="20"/>
          <w:szCs w:val="20"/>
        </w:rPr>
        <w:t xml:space="preserve">Stakeholders are supportive of placing greater emphasis on industry engagement in the </w:t>
      </w:r>
      <w:r w:rsidR="000434E1">
        <w:rPr>
          <w:rFonts w:ascii="Century Gothic" w:hAnsi="Century Gothic"/>
          <w:sz w:val="20"/>
          <w:szCs w:val="20"/>
        </w:rPr>
        <w:br/>
      </w:r>
      <w:r w:rsidRPr="00730C0D">
        <w:rPr>
          <w:rFonts w:ascii="Century Gothic" w:hAnsi="Century Gothic"/>
          <w:sz w:val="20"/>
          <w:szCs w:val="20"/>
        </w:rPr>
        <w:t xml:space="preserve">PCS to ensure providers are actively and effectively communicating with industry, creating value through high impact research, and producing the graduates that Australia needs for the future. A recent study undertaken by Ernst and Young shows that 83 per cent of undergraduate students expressed interest in </w:t>
      </w:r>
      <w:r w:rsidR="00ED21E4" w:rsidRPr="00730C0D">
        <w:rPr>
          <w:rFonts w:ascii="Century Gothic" w:hAnsi="Century Gothic"/>
          <w:sz w:val="20"/>
          <w:szCs w:val="20"/>
        </w:rPr>
        <w:t xml:space="preserve">participating in </w:t>
      </w:r>
      <w:r w:rsidRPr="00730C0D">
        <w:rPr>
          <w:rFonts w:ascii="Century Gothic" w:hAnsi="Century Gothic"/>
          <w:sz w:val="20"/>
          <w:szCs w:val="20"/>
        </w:rPr>
        <w:t>an integrated employment and education offering had one been available.</w:t>
      </w:r>
      <w:r w:rsidRPr="00730C0D">
        <w:rPr>
          <w:rFonts w:ascii="Century Gothic" w:hAnsi="Century Gothic"/>
          <w:sz w:val="20"/>
          <w:szCs w:val="20"/>
          <w:vertAlign w:val="superscript"/>
        </w:rPr>
        <w:footnoteReference w:id="102"/>
      </w:r>
      <w:r w:rsidRPr="00730C0D">
        <w:rPr>
          <w:rFonts w:ascii="Century Gothic" w:hAnsi="Century Gothic"/>
          <w:sz w:val="20"/>
          <w:szCs w:val="20"/>
        </w:rPr>
        <w:t xml:space="preserve"> </w:t>
      </w:r>
    </w:p>
    <w:p w14:paraId="1BD8824D" w14:textId="77777777" w:rsidR="00C34A35" w:rsidRDefault="00C34A35">
      <w:pPr>
        <w:spacing w:before="0" w:after="160"/>
        <w:rPr>
          <w:rFonts w:ascii="Century Gothic" w:hAnsi="Century Gothic"/>
          <w:sz w:val="20"/>
          <w:szCs w:val="20"/>
        </w:rPr>
      </w:pPr>
      <w:r>
        <w:rPr>
          <w:rFonts w:ascii="Century Gothic" w:hAnsi="Century Gothic"/>
          <w:sz w:val="20"/>
          <w:szCs w:val="20"/>
        </w:rPr>
        <w:br w:type="page"/>
      </w:r>
    </w:p>
    <w:p w14:paraId="75FEFC2A" w14:textId="6F9735D9" w:rsidR="00F07530" w:rsidRPr="00E86FBD" w:rsidRDefault="00F07530" w:rsidP="00E86FBD">
      <w:pPr>
        <w:spacing w:before="0" w:after="0"/>
        <w:rPr>
          <w:rFonts w:ascii="Century Gothic" w:hAnsi="Century Gothic"/>
          <w:sz w:val="20"/>
          <w:szCs w:val="20"/>
        </w:rPr>
      </w:pPr>
      <w:r w:rsidRPr="00730C0D">
        <w:rPr>
          <w:rFonts w:ascii="Century Gothic" w:hAnsi="Century Gothic"/>
          <w:sz w:val="20"/>
          <w:szCs w:val="20"/>
        </w:rPr>
        <w:t xml:space="preserve">Although there are examples of strong </w:t>
      </w:r>
      <w:r w:rsidR="00ED21E4" w:rsidRPr="00730C0D">
        <w:rPr>
          <w:rFonts w:ascii="Century Gothic" w:hAnsi="Century Gothic"/>
          <w:sz w:val="20"/>
          <w:szCs w:val="20"/>
        </w:rPr>
        <w:t>industry-university</w:t>
      </w:r>
      <w:r w:rsidRPr="00730C0D">
        <w:rPr>
          <w:rFonts w:ascii="Century Gothic" w:hAnsi="Century Gothic"/>
          <w:sz w:val="20"/>
          <w:szCs w:val="20"/>
        </w:rPr>
        <w:t xml:space="preserve"> engagements in Australia,</w:t>
      </w:r>
      <w:r w:rsidRPr="00730C0D">
        <w:rPr>
          <w:rFonts w:ascii="Century Gothic" w:hAnsi="Century Gothic"/>
          <w:sz w:val="20"/>
          <w:szCs w:val="20"/>
          <w:vertAlign w:val="superscript"/>
        </w:rPr>
        <w:footnoteReference w:id="103"/>
      </w:r>
      <w:r w:rsidRPr="00730C0D">
        <w:rPr>
          <w:rFonts w:ascii="Century Gothic" w:hAnsi="Century Gothic"/>
          <w:sz w:val="20"/>
          <w:szCs w:val="20"/>
        </w:rPr>
        <w:t xml:space="preserve"> industry-university collaboration is not one of Australia’s obvious strengths. However, </w:t>
      </w:r>
      <w:r w:rsidR="00E86FBD">
        <w:rPr>
          <w:rFonts w:ascii="Century Gothic" w:hAnsi="Century Gothic"/>
          <w:sz w:val="20"/>
          <w:szCs w:val="20"/>
        </w:rPr>
        <w:br/>
      </w:r>
      <w:r w:rsidRPr="00730C0D">
        <w:rPr>
          <w:rFonts w:ascii="Century Gothic" w:hAnsi="Century Gothic"/>
          <w:sz w:val="20"/>
          <w:szCs w:val="20"/>
        </w:rPr>
        <w:t>“closer industry-university collaboration can be achieved without compromising the independence of universities or the important role they play in Australian society”.</w:t>
      </w:r>
      <w:r w:rsidRPr="00730C0D">
        <w:rPr>
          <w:rFonts w:ascii="Century Gothic" w:hAnsi="Century Gothic"/>
          <w:sz w:val="20"/>
          <w:szCs w:val="20"/>
          <w:vertAlign w:val="superscript"/>
        </w:rPr>
        <w:footnoteReference w:id="104"/>
      </w:r>
      <w:r w:rsidRPr="00730C0D">
        <w:rPr>
          <w:rFonts w:ascii="Century Gothic" w:hAnsi="Century Gothic"/>
          <w:sz w:val="20"/>
          <w:szCs w:val="20"/>
        </w:rPr>
        <w:t xml:space="preserve"> </w:t>
      </w:r>
      <w:r w:rsidR="00E86FBD">
        <w:rPr>
          <w:rFonts w:ascii="Century Gothic" w:hAnsi="Century Gothic"/>
          <w:sz w:val="20"/>
          <w:szCs w:val="20"/>
        </w:rPr>
        <w:br/>
      </w:r>
      <w:r w:rsidRPr="00730C0D">
        <w:rPr>
          <w:rFonts w:ascii="Century Gothic" w:hAnsi="Century Gothic"/>
          <w:sz w:val="20"/>
          <w:szCs w:val="20"/>
        </w:rPr>
        <w:t>The intersection between higher education and industry should be encouraged to grow in the future, and it is important that such a close relationship be reflected in the PCS</w:t>
      </w:r>
      <w:r w:rsidR="00ED21E4" w:rsidRPr="00730C0D">
        <w:rPr>
          <w:rFonts w:ascii="Century Gothic" w:hAnsi="Century Gothic"/>
          <w:sz w:val="20"/>
          <w:szCs w:val="20"/>
        </w:rPr>
        <w:t>, in the university categories and the proposed ‘National Institute of Higher Education’ category</w:t>
      </w:r>
      <w:r w:rsidRPr="00730C0D">
        <w:rPr>
          <w:rFonts w:ascii="Century Gothic" w:hAnsi="Century Gothic"/>
          <w:sz w:val="20"/>
          <w:szCs w:val="20"/>
        </w:rPr>
        <w:t xml:space="preserve">. </w:t>
      </w:r>
    </w:p>
    <w:p w14:paraId="37E4771A" w14:textId="45DE10C6" w:rsidR="00A34FAA" w:rsidRPr="00E92F1D" w:rsidRDefault="00A34FAA"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A34FAA" w:rsidRPr="00730C0D" w14:paraId="37E575DC"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64E2B599" w14:textId="77777777" w:rsidR="00A34FAA" w:rsidRPr="00730C0D" w:rsidRDefault="00A34FAA" w:rsidP="00C86660">
            <w:pPr>
              <w:spacing w:before="0" w:after="0" w:line="259" w:lineRule="auto"/>
              <w:jc w:val="both"/>
              <w:rPr>
                <w:rFonts w:ascii="Century Gothic" w:hAnsi="Century Gothic"/>
                <w:b w:val="0"/>
                <w:i/>
                <w:color w:val="auto"/>
                <w:sz w:val="20"/>
                <w:szCs w:val="20"/>
              </w:rPr>
            </w:pPr>
          </w:p>
          <w:p w14:paraId="685DA950" w14:textId="593AAC9E" w:rsidR="00A34FAA" w:rsidRPr="00730C0D" w:rsidRDefault="00A34FAA"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“The key characteristic of a university is its leadership role in Australian higher education. Leadership must be demonstrated</w:t>
            </w:r>
            <w:r w:rsidR="00A13008" w:rsidRPr="00730C0D">
              <w:rPr>
                <w:rFonts w:ascii="Century Gothic" w:hAnsi="Century Gothic" w:cstheme="minorHAnsi"/>
                <w:b w:val="0"/>
                <w:color w:val="2763AC"/>
                <w:sz w:val="20"/>
                <w:szCs w:val="20"/>
              </w:rPr>
              <w:t xml:space="preserve"> [</w:t>
            </w:r>
            <w:r w:rsidRPr="00730C0D">
              <w:rPr>
                <w:rFonts w:ascii="Century Gothic" w:hAnsi="Century Gothic" w:cstheme="minorHAnsi"/>
                <w:b w:val="0"/>
                <w:color w:val="2763AC"/>
                <w:sz w:val="20"/>
                <w:szCs w:val="20"/>
              </w:rPr>
              <w:t>…</w:t>
            </w:r>
            <w:r w:rsidR="00A13008" w:rsidRPr="00730C0D">
              <w:rPr>
                <w:rFonts w:ascii="Century Gothic" w:hAnsi="Century Gothic" w:cstheme="minorHAnsi"/>
                <w:b w:val="0"/>
                <w:color w:val="2763AC"/>
                <w:sz w:val="20"/>
                <w:szCs w:val="20"/>
              </w:rPr>
              <w:t xml:space="preserve">] </w:t>
            </w:r>
            <w:r w:rsidRPr="00730C0D">
              <w:rPr>
                <w:rFonts w:ascii="Century Gothic" w:hAnsi="Century Gothic" w:cstheme="minorHAnsi"/>
                <w:b w:val="0"/>
                <w:color w:val="2763AC"/>
                <w:sz w:val="20"/>
                <w:szCs w:val="20"/>
              </w:rPr>
              <w:t>so that the development of knowledge and its transmission to the community are fundamental to the ethos of our leading higher education institutions”.</w:t>
            </w:r>
          </w:p>
          <w:p w14:paraId="6C355021" w14:textId="77777777" w:rsidR="00A34FAA" w:rsidRPr="00730C0D" w:rsidRDefault="00A34FAA" w:rsidP="00C86660">
            <w:pPr>
              <w:spacing w:before="0" w:after="0" w:line="259" w:lineRule="auto"/>
              <w:jc w:val="both"/>
              <w:rPr>
                <w:rFonts w:ascii="Century Gothic" w:hAnsi="Century Gothic" w:cstheme="minorHAnsi"/>
                <w:color w:val="auto"/>
                <w:sz w:val="20"/>
                <w:szCs w:val="20"/>
              </w:rPr>
            </w:pPr>
          </w:p>
          <w:p w14:paraId="544FFBAC" w14:textId="085FE526" w:rsidR="00A34FAA" w:rsidRPr="00730C0D" w:rsidRDefault="00A34FAA"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University of Technology, Sydney submission to the PCS Review 2019, p.2</w:t>
            </w:r>
          </w:p>
          <w:p w14:paraId="1B76CEBA" w14:textId="77777777" w:rsidR="00A34FAA" w:rsidRPr="00730C0D" w:rsidRDefault="00A34FAA" w:rsidP="00C86660">
            <w:pPr>
              <w:spacing w:before="0" w:after="0" w:line="259" w:lineRule="auto"/>
              <w:jc w:val="right"/>
              <w:rPr>
                <w:rFonts w:ascii="Century Gothic" w:hAnsi="Century Gothic"/>
                <w:b w:val="0"/>
                <w:color w:val="auto"/>
                <w:sz w:val="20"/>
                <w:szCs w:val="20"/>
              </w:rPr>
            </w:pPr>
          </w:p>
        </w:tc>
      </w:tr>
    </w:tbl>
    <w:p w14:paraId="53A4B6E3" w14:textId="64712535" w:rsidR="00AC7D05" w:rsidRPr="00E92F1D" w:rsidRDefault="00AC7D05" w:rsidP="00D31B9A">
      <w:pPr>
        <w:spacing w:before="0" w:after="0"/>
        <w:rPr>
          <w:rFonts w:ascii="Century Gothic" w:hAnsi="Century Gothic"/>
          <w:sz w:val="20"/>
          <w:szCs w:val="20"/>
        </w:rPr>
      </w:pPr>
    </w:p>
    <w:p w14:paraId="7B0C1BF2" w14:textId="221CE7FD" w:rsidR="00B9556F" w:rsidRPr="00730C0D" w:rsidRDefault="00B9556F" w:rsidP="00D31B9A">
      <w:pPr>
        <w:spacing w:before="0" w:after="0"/>
        <w:rPr>
          <w:rFonts w:ascii="Century Gothic" w:hAnsi="Century Gothic"/>
          <w:sz w:val="20"/>
          <w:szCs w:val="20"/>
        </w:rPr>
      </w:pPr>
      <w:r w:rsidRPr="00730C0D">
        <w:rPr>
          <w:rFonts w:ascii="Century Gothic" w:hAnsi="Century Gothic"/>
          <w:sz w:val="20"/>
          <w:szCs w:val="20"/>
        </w:rPr>
        <w:t>C</w:t>
      </w:r>
      <w:r w:rsidR="00AC7D05" w:rsidRPr="00730C0D">
        <w:rPr>
          <w:rFonts w:ascii="Century Gothic" w:hAnsi="Century Gothic"/>
          <w:sz w:val="20"/>
          <w:szCs w:val="20"/>
        </w:rPr>
        <w:t xml:space="preserve">ommon practice and expectation </w:t>
      </w:r>
      <w:r w:rsidR="00435AC2" w:rsidRPr="00730C0D">
        <w:rPr>
          <w:rFonts w:ascii="Century Gothic" w:hAnsi="Century Gothic"/>
          <w:sz w:val="20"/>
          <w:szCs w:val="20"/>
        </w:rPr>
        <w:t xml:space="preserve">strongly suggest </w:t>
      </w:r>
      <w:r w:rsidR="00AC7D05" w:rsidRPr="00730C0D">
        <w:rPr>
          <w:rFonts w:ascii="Century Gothic" w:hAnsi="Century Gothic"/>
          <w:sz w:val="20"/>
          <w:szCs w:val="20"/>
        </w:rPr>
        <w:t xml:space="preserve">that universities currently fulfil a civic leadership role, although this expectation is not explicitly codified in the PCS. </w:t>
      </w:r>
      <w:r w:rsidR="00E92F1D">
        <w:rPr>
          <w:rFonts w:ascii="Century Gothic" w:hAnsi="Century Gothic"/>
          <w:sz w:val="20"/>
          <w:szCs w:val="20"/>
        </w:rPr>
        <w:br/>
      </w:r>
      <w:r w:rsidRPr="00730C0D">
        <w:rPr>
          <w:rFonts w:ascii="Century Gothic" w:hAnsi="Century Gothic"/>
          <w:sz w:val="20"/>
          <w:szCs w:val="20"/>
        </w:rPr>
        <w:t xml:space="preserve">Some stakeholders believe that the PCS should be adjusted to incorporate civic leadership requirements to be an essential element of what it means to be a university in Australia. </w:t>
      </w:r>
      <w:r w:rsidR="00ED21E4" w:rsidRPr="00730C0D">
        <w:rPr>
          <w:rFonts w:ascii="Century Gothic" w:hAnsi="Century Gothic"/>
          <w:sz w:val="20"/>
          <w:szCs w:val="20"/>
        </w:rPr>
        <w:br/>
      </w:r>
      <w:r w:rsidR="00AC7D05" w:rsidRPr="00730C0D">
        <w:rPr>
          <w:rFonts w:ascii="Century Gothic" w:hAnsi="Century Gothic"/>
          <w:sz w:val="20"/>
          <w:szCs w:val="20"/>
        </w:rPr>
        <w:t>Civic leadership involves leading the facilitation and adoption of positive contributions</w:t>
      </w:r>
      <w:r w:rsidR="000E72BC" w:rsidRPr="00730C0D">
        <w:rPr>
          <w:rFonts w:ascii="Century Gothic" w:hAnsi="Century Gothic"/>
          <w:sz w:val="20"/>
          <w:szCs w:val="20"/>
        </w:rPr>
        <w:t xml:space="preserve"> to</w:t>
      </w:r>
      <w:r w:rsidR="00ED21E4" w:rsidRPr="00730C0D">
        <w:rPr>
          <w:rFonts w:ascii="Century Gothic" w:hAnsi="Century Gothic"/>
          <w:sz w:val="20"/>
          <w:szCs w:val="20"/>
        </w:rPr>
        <w:t>,</w:t>
      </w:r>
      <w:r w:rsidR="00AC7D05" w:rsidRPr="00730C0D">
        <w:rPr>
          <w:rFonts w:ascii="Century Gothic" w:hAnsi="Century Gothic"/>
          <w:sz w:val="20"/>
          <w:szCs w:val="20"/>
        </w:rPr>
        <w:t xml:space="preserve"> and change</w:t>
      </w:r>
      <w:r w:rsidR="00ED21E4" w:rsidRPr="00730C0D">
        <w:rPr>
          <w:rFonts w:ascii="Century Gothic" w:hAnsi="Century Gothic"/>
          <w:sz w:val="20"/>
          <w:szCs w:val="20"/>
        </w:rPr>
        <w:t>,</w:t>
      </w:r>
      <w:r w:rsidR="00AC7D05" w:rsidRPr="00730C0D">
        <w:rPr>
          <w:rFonts w:ascii="Century Gothic" w:hAnsi="Century Gothic"/>
          <w:sz w:val="20"/>
          <w:szCs w:val="20"/>
        </w:rPr>
        <w:t xml:space="preserve"> </w:t>
      </w:r>
      <w:r w:rsidR="000E72BC" w:rsidRPr="00730C0D">
        <w:rPr>
          <w:rFonts w:ascii="Century Gothic" w:hAnsi="Century Gothic"/>
          <w:sz w:val="20"/>
          <w:szCs w:val="20"/>
        </w:rPr>
        <w:t>within</w:t>
      </w:r>
      <w:r w:rsidR="00AC7D05" w:rsidRPr="00730C0D">
        <w:rPr>
          <w:rFonts w:ascii="Century Gothic" w:hAnsi="Century Gothic"/>
          <w:sz w:val="20"/>
          <w:szCs w:val="20"/>
        </w:rPr>
        <w:t xml:space="preserve"> society. It includes understanding the needs and priorities of local communities, recognising the long-term benefits to society of university activities, including research and scholarship, and contributing to social transformation and development.</w:t>
      </w:r>
      <w:r w:rsidR="00AC7D05" w:rsidRPr="00730C0D">
        <w:rPr>
          <w:rStyle w:val="FootnoteReference"/>
          <w:rFonts w:ascii="Century Gothic" w:hAnsi="Century Gothic"/>
          <w:sz w:val="20"/>
          <w:szCs w:val="20"/>
        </w:rPr>
        <w:footnoteReference w:id="105"/>
      </w:r>
      <w:r w:rsidR="00AC7D05" w:rsidRPr="00730C0D">
        <w:rPr>
          <w:rFonts w:ascii="Century Gothic" w:hAnsi="Century Gothic"/>
          <w:sz w:val="20"/>
          <w:szCs w:val="20"/>
        </w:rPr>
        <w:t xml:space="preserve"> There are </w:t>
      </w:r>
      <w:r w:rsidR="000E72BC" w:rsidRPr="00730C0D">
        <w:rPr>
          <w:rFonts w:ascii="Century Gothic" w:hAnsi="Century Gothic"/>
          <w:sz w:val="20"/>
          <w:szCs w:val="20"/>
        </w:rPr>
        <w:t>numerous examples</w:t>
      </w:r>
      <w:r w:rsidR="00AC7D05" w:rsidRPr="00730C0D">
        <w:rPr>
          <w:rFonts w:ascii="Century Gothic" w:hAnsi="Century Gothic"/>
          <w:sz w:val="20"/>
          <w:szCs w:val="20"/>
        </w:rPr>
        <w:t xml:space="preserve"> of </w:t>
      </w:r>
      <w:r w:rsidR="00522FC7" w:rsidRPr="00730C0D">
        <w:rPr>
          <w:rFonts w:ascii="Century Gothic" w:hAnsi="Century Gothic"/>
          <w:sz w:val="20"/>
          <w:szCs w:val="20"/>
        </w:rPr>
        <w:t xml:space="preserve">innovative </w:t>
      </w:r>
      <w:r w:rsidR="00AC7D05" w:rsidRPr="00730C0D">
        <w:rPr>
          <w:rFonts w:ascii="Century Gothic" w:hAnsi="Century Gothic"/>
          <w:sz w:val="20"/>
          <w:szCs w:val="20"/>
        </w:rPr>
        <w:t>civic leadership in Australian universities</w:t>
      </w:r>
      <w:r w:rsidR="00ED21E4" w:rsidRPr="00730C0D">
        <w:rPr>
          <w:rFonts w:ascii="Century Gothic" w:hAnsi="Century Gothic"/>
          <w:sz w:val="20"/>
          <w:szCs w:val="20"/>
        </w:rPr>
        <w:t xml:space="preserve">. </w:t>
      </w:r>
      <w:r w:rsidR="00E92F1D">
        <w:rPr>
          <w:rFonts w:ascii="Century Gothic" w:hAnsi="Century Gothic"/>
          <w:sz w:val="20"/>
          <w:szCs w:val="20"/>
        </w:rPr>
        <w:br/>
      </w:r>
      <w:r w:rsidR="00ED21E4" w:rsidRPr="00730C0D">
        <w:rPr>
          <w:rFonts w:ascii="Century Gothic" w:hAnsi="Century Gothic"/>
          <w:sz w:val="20"/>
          <w:szCs w:val="20"/>
        </w:rPr>
        <w:t>One example is</w:t>
      </w:r>
      <w:r w:rsidR="00AC7D05" w:rsidRPr="00730C0D">
        <w:rPr>
          <w:rFonts w:ascii="Century Gothic" w:hAnsi="Century Gothic"/>
          <w:sz w:val="20"/>
          <w:szCs w:val="20"/>
        </w:rPr>
        <w:t xml:space="preserve"> University of New England’s SMART Farms </w:t>
      </w:r>
      <w:r w:rsidR="000E72BC" w:rsidRPr="00730C0D">
        <w:rPr>
          <w:rFonts w:ascii="Century Gothic" w:hAnsi="Century Gothic"/>
          <w:sz w:val="20"/>
          <w:szCs w:val="20"/>
        </w:rPr>
        <w:t xml:space="preserve">initiative </w:t>
      </w:r>
      <w:r w:rsidR="00AC7D05" w:rsidRPr="00730C0D">
        <w:rPr>
          <w:rFonts w:ascii="Century Gothic" w:hAnsi="Century Gothic"/>
          <w:sz w:val="20"/>
          <w:szCs w:val="20"/>
        </w:rPr>
        <w:t>which showcase</w:t>
      </w:r>
      <w:r w:rsidR="000E72BC" w:rsidRPr="00730C0D">
        <w:rPr>
          <w:rFonts w:ascii="Century Gothic" w:hAnsi="Century Gothic"/>
          <w:sz w:val="20"/>
          <w:szCs w:val="20"/>
        </w:rPr>
        <w:t>s</w:t>
      </w:r>
      <w:r w:rsidR="00AC7D05" w:rsidRPr="00730C0D">
        <w:rPr>
          <w:rFonts w:ascii="Century Gothic" w:hAnsi="Century Gothic"/>
          <w:sz w:val="20"/>
          <w:szCs w:val="20"/>
        </w:rPr>
        <w:t xml:space="preserve"> the latest technologies aimed at improving</w:t>
      </w:r>
      <w:r w:rsidR="00A54FCC" w:rsidRPr="00730C0D">
        <w:rPr>
          <w:rFonts w:ascii="Century Gothic" w:hAnsi="Century Gothic"/>
          <w:sz w:val="20"/>
          <w:szCs w:val="20"/>
        </w:rPr>
        <w:t xml:space="preserve"> farming </w:t>
      </w:r>
      <w:r w:rsidR="00AC7D05" w:rsidRPr="00730C0D">
        <w:rPr>
          <w:rFonts w:ascii="Century Gothic" w:hAnsi="Century Gothic"/>
          <w:sz w:val="20"/>
          <w:szCs w:val="20"/>
        </w:rPr>
        <w:t>productivity, environmental sustainability and safety</w:t>
      </w:r>
      <w:r w:rsidR="000E72BC" w:rsidRPr="00730C0D">
        <w:rPr>
          <w:rFonts w:ascii="Century Gothic" w:hAnsi="Century Gothic"/>
          <w:sz w:val="20"/>
          <w:szCs w:val="20"/>
        </w:rPr>
        <w:t>.</w:t>
      </w:r>
      <w:r w:rsidR="00AC7D05" w:rsidRPr="00730C0D">
        <w:rPr>
          <w:rStyle w:val="FootnoteReference"/>
          <w:rFonts w:ascii="Century Gothic" w:hAnsi="Century Gothic"/>
          <w:sz w:val="20"/>
          <w:szCs w:val="20"/>
        </w:rPr>
        <w:footnoteReference w:id="106"/>
      </w:r>
      <w:r w:rsidR="00AC7D05" w:rsidRPr="00730C0D">
        <w:rPr>
          <w:rFonts w:ascii="Century Gothic" w:hAnsi="Century Gothic"/>
          <w:sz w:val="20"/>
          <w:szCs w:val="20"/>
        </w:rPr>
        <w:t xml:space="preserve"> </w:t>
      </w:r>
      <w:r w:rsidR="000E72BC" w:rsidRPr="00730C0D">
        <w:rPr>
          <w:rFonts w:ascii="Century Gothic" w:hAnsi="Century Gothic"/>
          <w:sz w:val="20"/>
          <w:szCs w:val="20"/>
        </w:rPr>
        <w:t xml:space="preserve">Another example is </w:t>
      </w:r>
      <w:r w:rsidR="00AC7D05" w:rsidRPr="00730C0D">
        <w:rPr>
          <w:rFonts w:ascii="Century Gothic" w:hAnsi="Century Gothic"/>
          <w:sz w:val="20"/>
          <w:szCs w:val="20"/>
        </w:rPr>
        <w:t>MultiLit, a practical reading program that has helped thousands of students struggling to read, based on original work from Macquarie University.</w:t>
      </w:r>
      <w:r w:rsidR="00AC7D05" w:rsidRPr="00730C0D">
        <w:rPr>
          <w:rStyle w:val="FootnoteReference"/>
          <w:rFonts w:ascii="Century Gothic" w:hAnsi="Century Gothic"/>
          <w:sz w:val="20"/>
          <w:szCs w:val="20"/>
        </w:rPr>
        <w:footnoteReference w:id="107"/>
      </w:r>
      <w:r w:rsidR="00AC7D05" w:rsidRPr="00730C0D">
        <w:rPr>
          <w:rFonts w:ascii="Century Gothic" w:hAnsi="Century Gothic"/>
          <w:sz w:val="20"/>
          <w:szCs w:val="20"/>
        </w:rPr>
        <w:t xml:space="preserve"> </w:t>
      </w:r>
    </w:p>
    <w:p w14:paraId="366FA3BB" w14:textId="5F864205" w:rsidR="00B9556F" w:rsidRPr="00730C0D" w:rsidRDefault="00B9556F" w:rsidP="00D31B9A">
      <w:pPr>
        <w:spacing w:before="0" w:after="0"/>
        <w:rPr>
          <w:rFonts w:ascii="Century Gothic" w:hAnsi="Century Gothic"/>
          <w:sz w:val="20"/>
          <w:szCs w:val="20"/>
        </w:rPr>
      </w:pPr>
    </w:p>
    <w:tbl>
      <w:tblPr>
        <w:tblStyle w:val="TableGrid"/>
        <w:tblW w:w="0" w:type="auto"/>
        <w:tblInd w:w="421" w:type="dxa"/>
        <w:tblLook w:val="04A0" w:firstRow="1" w:lastRow="0" w:firstColumn="1" w:lastColumn="0" w:noHBand="0" w:noVBand="1"/>
      </w:tblPr>
      <w:tblGrid>
        <w:gridCol w:w="8221"/>
      </w:tblGrid>
      <w:tr w:rsidR="00B9556F" w:rsidRPr="00730C0D" w14:paraId="6E18503A"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single" w:sz="4" w:space="0" w:color="00913C"/>
              <w:bottom w:val="double" w:sz="12" w:space="0" w:color="00913C"/>
              <w:right w:val="double" w:sz="12" w:space="0" w:color="00913C"/>
            </w:tcBorders>
            <w:shd w:val="clear" w:color="auto" w:fill="FFFFFF" w:themeFill="background1"/>
          </w:tcPr>
          <w:p w14:paraId="184D784D" w14:textId="77777777" w:rsidR="00B9556F" w:rsidRPr="00730C0D" w:rsidRDefault="00B9556F" w:rsidP="00C25677">
            <w:pPr>
              <w:spacing w:before="0" w:after="0" w:line="259" w:lineRule="auto"/>
              <w:jc w:val="both"/>
              <w:rPr>
                <w:rFonts w:ascii="Century Gothic" w:hAnsi="Century Gothic"/>
                <w:b w:val="0"/>
                <w:i/>
                <w:color w:val="auto"/>
                <w:sz w:val="20"/>
                <w:szCs w:val="20"/>
              </w:rPr>
            </w:pPr>
          </w:p>
          <w:p w14:paraId="6F0CD080" w14:textId="77777777" w:rsidR="00B9556F" w:rsidRPr="00730C0D" w:rsidRDefault="00B9556F" w:rsidP="00C25677">
            <w:pPr>
              <w:spacing w:before="0" w:after="0" w:line="259" w:lineRule="auto"/>
              <w:ind w:left="169" w:right="171"/>
              <w:jc w:val="both"/>
              <w:rPr>
                <w:rFonts w:ascii="Century Gothic" w:hAnsi="Century Gothic" w:cstheme="minorHAnsi"/>
                <w:i/>
                <w:color w:val="2763AC"/>
                <w:sz w:val="20"/>
                <w:szCs w:val="20"/>
              </w:rPr>
            </w:pPr>
            <w:r w:rsidRPr="00730C0D">
              <w:rPr>
                <w:rFonts w:ascii="Century Gothic" w:hAnsi="Century Gothic" w:cstheme="minorHAnsi"/>
                <w:b w:val="0"/>
                <w:color w:val="2763AC"/>
                <w:sz w:val="20"/>
                <w:szCs w:val="20"/>
              </w:rPr>
              <w:t>“The title of ‘university’ should carry with it the sense of a long-term and appropriately resourced commitment and a sense of public responsibility to reduce social inequality, advance the university’s communities, progress environmental sustainability and, in other ways, promote the common good”.</w:t>
            </w:r>
          </w:p>
          <w:p w14:paraId="59A7B6FC" w14:textId="77777777" w:rsidR="00B9556F" w:rsidRPr="00730C0D" w:rsidRDefault="00B9556F" w:rsidP="00C25677">
            <w:pPr>
              <w:spacing w:before="0" w:after="0" w:line="259" w:lineRule="auto"/>
              <w:jc w:val="both"/>
              <w:rPr>
                <w:rFonts w:ascii="Century Gothic" w:hAnsi="Century Gothic" w:cstheme="minorHAnsi"/>
                <w:color w:val="auto"/>
                <w:sz w:val="20"/>
                <w:szCs w:val="20"/>
              </w:rPr>
            </w:pPr>
          </w:p>
          <w:p w14:paraId="1223BE63" w14:textId="77777777" w:rsidR="00B9556F" w:rsidRPr="00730C0D" w:rsidRDefault="00B9556F" w:rsidP="00C25677">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University of Divinity submission to the PCS Review 2019, p.1</w:t>
            </w:r>
          </w:p>
          <w:p w14:paraId="004B9178" w14:textId="77777777" w:rsidR="00B9556F" w:rsidRPr="00730C0D" w:rsidRDefault="00B9556F" w:rsidP="00C25677">
            <w:pPr>
              <w:spacing w:before="0" w:after="0" w:line="259" w:lineRule="auto"/>
              <w:jc w:val="right"/>
              <w:rPr>
                <w:rFonts w:ascii="Century Gothic" w:hAnsi="Century Gothic"/>
                <w:b w:val="0"/>
                <w:color w:val="auto"/>
                <w:sz w:val="20"/>
                <w:szCs w:val="20"/>
              </w:rPr>
            </w:pPr>
          </w:p>
        </w:tc>
      </w:tr>
    </w:tbl>
    <w:p w14:paraId="69CDDFE9" w14:textId="77777777" w:rsidR="00F01E6D" w:rsidRDefault="00F01E6D" w:rsidP="00D31B9A">
      <w:pPr>
        <w:spacing w:before="0" w:after="0"/>
        <w:rPr>
          <w:rFonts w:ascii="Century Gothic" w:hAnsi="Century Gothic"/>
          <w:sz w:val="20"/>
          <w:szCs w:val="20"/>
        </w:rPr>
      </w:pPr>
    </w:p>
    <w:p w14:paraId="63AB24E0" w14:textId="77777777" w:rsidR="00E86FBD" w:rsidRDefault="00E86FBD">
      <w:pPr>
        <w:spacing w:before="0" w:after="160"/>
        <w:rPr>
          <w:rFonts w:ascii="Century Gothic" w:hAnsi="Century Gothic"/>
          <w:sz w:val="20"/>
          <w:szCs w:val="20"/>
        </w:rPr>
      </w:pPr>
      <w:r>
        <w:rPr>
          <w:rFonts w:ascii="Century Gothic" w:hAnsi="Century Gothic"/>
          <w:sz w:val="20"/>
          <w:szCs w:val="20"/>
        </w:rPr>
        <w:br w:type="page"/>
      </w:r>
    </w:p>
    <w:p w14:paraId="2A1E925D" w14:textId="4BADBFFD" w:rsidR="00435AC2" w:rsidRPr="00E92F1D" w:rsidRDefault="00522FC7" w:rsidP="00D31B9A">
      <w:pPr>
        <w:spacing w:before="0" w:after="0"/>
        <w:rPr>
          <w:rFonts w:ascii="Century Gothic" w:hAnsi="Century Gothic"/>
          <w:sz w:val="20"/>
          <w:szCs w:val="20"/>
        </w:rPr>
      </w:pPr>
      <w:r w:rsidRPr="00E92F1D">
        <w:rPr>
          <w:rFonts w:ascii="Century Gothic" w:hAnsi="Century Gothic"/>
          <w:sz w:val="20"/>
          <w:szCs w:val="20"/>
        </w:rPr>
        <w:t>Although</w:t>
      </w:r>
      <w:r w:rsidR="00B9556F" w:rsidRPr="00E92F1D">
        <w:rPr>
          <w:rFonts w:ascii="Century Gothic" w:hAnsi="Century Gothic"/>
          <w:sz w:val="20"/>
          <w:szCs w:val="20"/>
        </w:rPr>
        <w:t xml:space="preserve"> PCS currently require universities to demonstrate engagement with local and regional communities and</w:t>
      </w:r>
      <w:r w:rsidRPr="00E92F1D">
        <w:rPr>
          <w:rFonts w:ascii="Century Gothic" w:hAnsi="Century Gothic"/>
          <w:sz w:val="20"/>
          <w:szCs w:val="20"/>
        </w:rPr>
        <w:t xml:space="preserve"> show</w:t>
      </w:r>
      <w:r w:rsidR="00B9556F" w:rsidRPr="00E92F1D">
        <w:rPr>
          <w:rFonts w:ascii="Century Gothic" w:hAnsi="Century Gothic"/>
          <w:sz w:val="20"/>
          <w:szCs w:val="20"/>
        </w:rPr>
        <w:t xml:space="preserve"> a commitment to social responsibility</w:t>
      </w:r>
      <w:r w:rsidR="003E696E" w:rsidRPr="00E92F1D">
        <w:rPr>
          <w:rFonts w:ascii="Century Gothic" w:hAnsi="Century Gothic"/>
          <w:sz w:val="20"/>
          <w:szCs w:val="20"/>
        </w:rPr>
        <w:t>, s</w:t>
      </w:r>
      <w:r w:rsidR="00B9556F" w:rsidRPr="00E92F1D">
        <w:rPr>
          <w:rFonts w:ascii="Century Gothic" w:hAnsi="Century Gothic"/>
          <w:sz w:val="20"/>
          <w:szCs w:val="20"/>
        </w:rPr>
        <w:t>takeholders argue these requirements should be bolstered to ensure that, in addition to teaching and research, community engagement is a core feature of universities in Australia. Australian universities already have strong community engagement strategies, collaborating with their communities and encouraging students “to make meaningful contributions beyond attending university classes and completing assignments”.</w:t>
      </w:r>
      <w:r w:rsidR="00B9556F" w:rsidRPr="00E92F1D">
        <w:rPr>
          <w:rFonts w:ascii="Century Gothic" w:hAnsi="Century Gothic"/>
          <w:sz w:val="20"/>
          <w:szCs w:val="20"/>
          <w:vertAlign w:val="superscript"/>
        </w:rPr>
        <w:footnoteReference w:id="108"/>
      </w:r>
      <w:r w:rsidR="00B9556F" w:rsidRPr="00E92F1D">
        <w:rPr>
          <w:rFonts w:ascii="Century Gothic" w:hAnsi="Century Gothic"/>
          <w:sz w:val="20"/>
          <w:szCs w:val="20"/>
        </w:rPr>
        <w:t xml:space="preserve"> This includes a range of activities such as pro-bono legal community or environmental protection work, sponsoring local events, hosting public lectures or exhibits, and encouraging engagement between international students and local communities.</w:t>
      </w:r>
      <w:r w:rsidR="003E696E" w:rsidRPr="00E92F1D">
        <w:rPr>
          <w:rFonts w:ascii="Century Gothic" w:hAnsi="Century Gothic"/>
          <w:sz w:val="20"/>
          <w:szCs w:val="20"/>
        </w:rPr>
        <w:t xml:space="preserve"> Bolstered requirements relating to community engagement are included in the university categories in </w:t>
      </w:r>
      <w:hyperlink w:anchor="_Appendix_D." w:history="1">
        <w:r w:rsidR="003E696E" w:rsidRPr="00E92F1D">
          <w:rPr>
            <w:rStyle w:val="Hyperlink"/>
            <w:rFonts w:ascii="Century Gothic" w:hAnsi="Century Gothic"/>
            <w:sz w:val="20"/>
            <w:szCs w:val="20"/>
          </w:rPr>
          <w:t>Appendix D</w:t>
        </w:r>
      </w:hyperlink>
      <w:r w:rsidR="003E696E" w:rsidRPr="00E92F1D">
        <w:rPr>
          <w:rFonts w:ascii="Century Gothic" w:hAnsi="Century Gothic"/>
          <w:sz w:val="20"/>
          <w:szCs w:val="20"/>
        </w:rPr>
        <w:t>.</w:t>
      </w:r>
      <w:r w:rsidR="00B9556F" w:rsidRPr="00E92F1D">
        <w:rPr>
          <w:rFonts w:ascii="Century Gothic" w:hAnsi="Century Gothic"/>
          <w:sz w:val="20"/>
          <w:szCs w:val="20"/>
        </w:rPr>
        <w:t xml:space="preserve"> </w:t>
      </w:r>
    </w:p>
    <w:p w14:paraId="5218D4FB" w14:textId="75C8626C" w:rsidR="00AC7D05" w:rsidRPr="00E92F1D" w:rsidRDefault="00AC7D05">
      <w:pPr>
        <w:spacing w:before="0" w:after="0"/>
        <w:rPr>
          <w:rFonts w:ascii="Century Gothic" w:hAnsi="Century Gothic"/>
          <w:sz w:val="20"/>
          <w:szCs w:val="20"/>
        </w:rPr>
      </w:pPr>
    </w:p>
    <w:p w14:paraId="080B6C85" w14:textId="3D3B14C1" w:rsidR="00BD1C6F" w:rsidRPr="00E92F1D" w:rsidRDefault="00522FC7" w:rsidP="00D31B9A">
      <w:pPr>
        <w:spacing w:before="0" w:after="0"/>
        <w:rPr>
          <w:rFonts w:ascii="Century Gothic" w:hAnsi="Century Gothic"/>
          <w:sz w:val="20"/>
          <w:szCs w:val="20"/>
        </w:rPr>
      </w:pPr>
      <w:r w:rsidRPr="00E92F1D">
        <w:rPr>
          <w:rFonts w:ascii="Century Gothic" w:hAnsi="Century Gothic"/>
          <w:sz w:val="20"/>
          <w:szCs w:val="20"/>
        </w:rPr>
        <w:t>I</w:t>
      </w:r>
      <w:r w:rsidR="001D446D" w:rsidRPr="00E92F1D">
        <w:rPr>
          <w:rFonts w:ascii="Century Gothic" w:hAnsi="Century Gothic"/>
          <w:sz w:val="20"/>
          <w:szCs w:val="20"/>
        </w:rPr>
        <w:t xml:space="preserve">t </w:t>
      </w:r>
      <w:r w:rsidR="00580D9B" w:rsidRPr="00E92F1D">
        <w:rPr>
          <w:rFonts w:ascii="Century Gothic" w:hAnsi="Century Gothic"/>
          <w:sz w:val="20"/>
          <w:szCs w:val="20"/>
        </w:rPr>
        <w:t>is</w:t>
      </w:r>
      <w:r w:rsidR="001D446D" w:rsidRPr="00E92F1D">
        <w:rPr>
          <w:rFonts w:ascii="Century Gothic" w:hAnsi="Century Gothic"/>
          <w:sz w:val="20"/>
          <w:szCs w:val="20"/>
        </w:rPr>
        <w:t xml:space="preserve"> </w:t>
      </w:r>
      <w:r w:rsidR="00580D9B" w:rsidRPr="00E92F1D">
        <w:rPr>
          <w:rFonts w:ascii="Century Gothic" w:hAnsi="Century Gothic"/>
          <w:sz w:val="20"/>
          <w:szCs w:val="20"/>
        </w:rPr>
        <w:t xml:space="preserve">not the intention that the recommendations of this Review create a </w:t>
      </w:r>
      <w:r w:rsidR="00832A27" w:rsidRPr="00E92F1D">
        <w:rPr>
          <w:rFonts w:ascii="Century Gothic" w:hAnsi="Century Gothic"/>
          <w:sz w:val="20"/>
          <w:szCs w:val="20"/>
        </w:rPr>
        <w:t xml:space="preserve">new </w:t>
      </w:r>
      <w:r w:rsidR="00580D9B" w:rsidRPr="00E92F1D">
        <w:rPr>
          <w:rFonts w:ascii="Century Gothic" w:hAnsi="Century Gothic"/>
          <w:sz w:val="20"/>
          <w:szCs w:val="20"/>
        </w:rPr>
        <w:t xml:space="preserve">industry of compliance. Requirements around </w:t>
      </w:r>
      <w:r w:rsidR="00B9556F" w:rsidRPr="00E92F1D">
        <w:rPr>
          <w:rFonts w:ascii="Century Gothic" w:hAnsi="Century Gothic"/>
          <w:sz w:val="20"/>
          <w:szCs w:val="20"/>
        </w:rPr>
        <w:t xml:space="preserve">industry engagement, </w:t>
      </w:r>
      <w:r w:rsidR="00580D9B" w:rsidRPr="00E92F1D">
        <w:rPr>
          <w:rFonts w:ascii="Century Gothic" w:hAnsi="Century Gothic"/>
          <w:sz w:val="20"/>
          <w:szCs w:val="20"/>
        </w:rPr>
        <w:t xml:space="preserve">civic leadership, </w:t>
      </w:r>
      <w:r w:rsidR="00B9556F" w:rsidRPr="00E92F1D">
        <w:rPr>
          <w:rFonts w:ascii="Century Gothic" w:hAnsi="Century Gothic"/>
          <w:sz w:val="20"/>
          <w:szCs w:val="20"/>
        </w:rPr>
        <w:t xml:space="preserve">and </w:t>
      </w:r>
      <w:r w:rsidR="00580D9B" w:rsidRPr="00E92F1D">
        <w:rPr>
          <w:rFonts w:ascii="Century Gothic" w:hAnsi="Century Gothic"/>
          <w:sz w:val="20"/>
          <w:szCs w:val="20"/>
        </w:rPr>
        <w:t>community engagement pr</w:t>
      </w:r>
      <w:r w:rsidR="003E0A27" w:rsidRPr="00E92F1D">
        <w:rPr>
          <w:rFonts w:ascii="Century Gothic" w:hAnsi="Century Gothic"/>
          <w:sz w:val="20"/>
          <w:szCs w:val="20"/>
        </w:rPr>
        <w:t>esent difficulty in measurement and will req</w:t>
      </w:r>
      <w:r w:rsidR="00C14B89" w:rsidRPr="00E92F1D">
        <w:rPr>
          <w:rFonts w:ascii="Century Gothic" w:hAnsi="Century Gothic"/>
          <w:sz w:val="20"/>
          <w:szCs w:val="20"/>
        </w:rPr>
        <w:t xml:space="preserve">uire a degree of flexibility </w:t>
      </w:r>
      <w:r w:rsidR="003E0A27" w:rsidRPr="00E92F1D">
        <w:rPr>
          <w:rFonts w:ascii="Century Gothic" w:hAnsi="Century Gothic"/>
          <w:sz w:val="20"/>
          <w:szCs w:val="20"/>
        </w:rPr>
        <w:t>by the regulator</w:t>
      </w:r>
      <w:r w:rsidR="00580D9B" w:rsidRPr="00E92F1D">
        <w:rPr>
          <w:rFonts w:ascii="Century Gothic" w:hAnsi="Century Gothic"/>
          <w:sz w:val="20"/>
          <w:szCs w:val="20"/>
        </w:rPr>
        <w:t xml:space="preserve">. However, </w:t>
      </w:r>
      <w:r w:rsidR="003E696E" w:rsidRPr="00E92F1D">
        <w:rPr>
          <w:rFonts w:ascii="Century Gothic" w:hAnsi="Century Gothic"/>
          <w:sz w:val="20"/>
          <w:szCs w:val="20"/>
        </w:rPr>
        <w:t>clarifying</w:t>
      </w:r>
      <w:r w:rsidR="001D446D" w:rsidRPr="00E92F1D">
        <w:rPr>
          <w:rFonts w:ascii="Century Gothic" w:hAnsi="Century Gothic"/>
          <w:sz w:val="20"/>
          <w:szCs w:val="20"/>
        </w:rPr>
        <w:t xml:space="preserve"> </w:t>
      </w:r>
      <w:r w:rsidR="00580D9B" w:rsidRPr="00E92F1D">
        <w:rPr>
          <w:rFonts w:ascii="Century Gothic" w:hAnsi="Century Gothic"/>
          <w:sz w:val="20"/>
          <w:szCs w:val="20"/>
        </w:rPr>
        <w:t xml:space="preserve">these requirements in the PCS </w:t>
      </w:r>
      <w:r w:rsidR="003E0A27" w:rsidRPr="00E92F1D">
        <w:rPr>
          <w:rFonts w:ascii="Century Gothic" w:hAnsi="Century Gothic"/>
          <w:sz w:val="20"/>
          <w:szCs w:val="20"/>
        </w:rPr>
        <w:t>assists</w:t>
      </w:r>
      <w:r w:rsidR="00580D9B" w:rsidRPr="00E92F1D">
        <w:rPr>
          <w:rFonts w:ascii="Century Gothic" w:hAnsi="Century Gothic"/>
          <w:sz w:val="20"/>
          <w:szCs w:val="20"/>
        </w:rPr>
        <w:t xml:space="preserve"> the consumer in </w:t>
      </w:r>
      <w:r w:rsidR="003E696E" w:rsidRPr="00E92F1D">
        <w:rPr>
          <w:rFonts w:ascii="Century Gothic" w:hAnsi="Century Gothic"/>
          <w:sz w:val="20"/>
          <w:szCs w:val="20"/>
        </w:rPr>
        <w:t>understanding what is</w:t>
      </w:r>
      <w:r w:rsidR="00580D9B" w:rsidRPr="00E92F1D">
        <w:rPr>
          <w:rFonts w:ascii="Century Gothic" w:hAnsi="Century Gothic"/>
          <w:sz w:val="20"/>
          <w:szCs w:val="20"/>
        </w:rPr>
        <w:t xml:space="preserve"> expected of </w:t>
      </w:r>
      <w:r w:rsidR="003E696E" w:rsidRPr="00E92F1D">
        <w:rPr>
          <w:rFonts w:ascii="Century Gothic" w:hAnsi="Century Gothic"/>
          <w:sz w:val="20"/>
          <w:szCs w:val="20"/>
        </w:rPr>
        <w:t>different types of providers</w:t>
      </w:r>
      <w:r w:rsidR="00580D9B" w:rsidRPr="00E92F1D">
        <w:rPr>
          <w:rFonts w:ascii="Century Gothic" w:hAnsi="Century Gothic"/>
          <w:sz w:val="20"/>
          <w:szCs w:val="20"/>
        </w:rPr>
        <w:t>.</w:t>
      </w:r>
      <w:r w:rsidR="00832A27" w:rsidRPr="00E92F1D">
        <w:rPr>
          <w:rFonts w:ascii="Century Gothic" w:hAnsi="Century Gothic"/>
          <w:sz w:val="20"/>
          <w:szCs w:val="20"/>
        </w:rPr>
        <w:t xml:space="preserve"> Therefore this </w:t>
      </w:r>
      <w:r w:rsidR="001D446D" w:rsidRPr="00E92F1D">
        <w:rPr>
          <w:rFonts w:ascii="Century Gothic" w:hAnsi="Century Gothic"/>
          <w:sz w:val="20"/>
          <w:szCs w:val="20"/>
        </w:rPr>
        <w:t>R</w:t>
      </w:r>
      <w:r w:rsidR="00832A27" w:rsidRPr="00E92F1D">
        <w:rPr>
          <w:rFonts w:ascii="Century Gothic" w:hAnsi="Century Gothic"/>
          <w:sz w:val="20"/>
          <w:szCs w:val="20"/>
        </w:rPr>
        <w:t>eview encourages TEQSA to</w:t>
      </w:r>
      <w:r w:rsidR="00DF1B08" w:rsidRPr="00E92F1D">
        <w:rPr>
          <w:rFonts w:ascii="Century Gothic" w:hAnsi="Century Gothic"/>
          <w:sz w:val="20"/>
          <w:szCs w:val="20"/>
        </w:rPr>
        <w:t xml:space="preserve"> draw</w:t>
      </w:r>
      <w:r w:rsidR="00832A27" w:rsidRPr="00E92F1D">
        <w:rPr>
          <w:rFonts w:ascii="Century Gothic" w:hAnsi="Century Gothic"/>
          <w:sz w:val="20"/>
          <w:szCs w:val="20"/>
        </w:rPr>
        <w:t xml:space="preserve"> on much of the existing material providers are </w:t>
      </w:r>
      <w:r w:rsidR="00DF1B08" w:rsidRPr="00E92F1D">
        <w:rPr>
          <w:rFonts w:ascii="Century Gothic" w:hAnsi="Century Gothic"/>
          <w:sz w:val="20"/>
          <w:szCs w:val="20"/>
        </w:rPr>
        <w:t>already reporting on</w:t>
      </w:r>
      <w:r w:rsidR="001D446D" w:rsidRPr="00E92F1D">
        <w:rPr>
          <w:rFonts w:ascii="Century Gothic" w:hAnsi="Century Gothic"/>
          <w:sz w:val="20"/>
          <w:szCs w:val="20"/>
        </w:rPr>
        <w:t xml:space="preserve"> in this space</w:t>
      </w:r>
      <w:r w:rsidR="00DF1B08" w:rsidRPr="00E92F1D">
        <w:rPr>
          <w:rFonts w:ascii="Century Gothic" w:hAnsi="Century Gothic"/>
          <w:sz w:val="20"/>
          <w:szCs w:val="20"/>
        </w:rPr>
        <w:t>,</w:t>
      </w:r>
      <w:r w:rsidR="001D446D" w:rsidRPr="00E92F1D">
        <w:rPr>
          <w:rFonts w:ascii="Century Gothic" w:hAnsi="Century Gothic"/>
          <w:sz w:val="20"/>
          <w:szCs w:val="20"/>
        </w:rPr>
        <w:t xml:space="preserve"> rather than</w:t>
      </w:r>
      <w:r w:rsidR="00832A27" w:rsidRPr="00E92F1D">
        <w:rPr>
          <w:rFonts w:ascii="Century Gothic" w:hAnsi="Century Gothic"/>
          <w:sz w:val="20"/>
          <w:szCs w:val="20"/>
        </w:rPr>
        <w:t xml:space="preserve"> creating a new </w:t>
      </w:r>
      <w:r w:rsidR="008C6D7C">
        <w:rPr>
          <w:rFonts w:ascii="Century Gothic" w:hAnsi="Century Gothic"/>
          <w:sz w:val="20"/>
          <w:szCs w:val="20"/>
        </w:rPr>
        <w:t>compliance regime</w:t>
      </w:r>
      <w:r w:rsidR="00832A27" w:rsidRPr="00E92F1D">
        <w:rPr>
          <w:rFonts w:ascii="Century Gothic" w:hAnsi="Century Gothic"/>
          <w:sz w:val="20"/>
          <w:szCs w:val="20"/>
        </w:rPr>
        <w:t>.</w:t>
      </w:r>
      <w:r w:rsidR="00B9556F" w:rsidRPr="00E92F1D">
        <w:rPr>
          <w:rFonts w:ascii="Century Gothic" w:hAnsi="Century Gothic"/>
          <w:sz w:val="20"/>
          <w:szCs w:val="20"/>
        </w:rPr>
        <w:t xml:space="preserve"> </w:t>
      </w:r>
      <w:r w:rsidR="00832A27" w:rsidRPr="00E92F1D">
        <w:rPr>
          <w:rFonts w:ascii="Century Gothic" w:hAnsi="Century Gothic"/>
          <w:sz w:val="20"/>
          <w:szCs w:val="20"/>
        </w:rPr>
        <w:t>Notwithstanding this, all universities</w:t>
      </w:r>
      <w:r w:rsidR="00F11756" w:rsidRPr="00E92F1D">
        <w:rPr>
          <w:rFonts w:ascii="Century Gothic" w:hAnsi="Century Gothic"/>
          <w:sz w:val="20"/>
          <w:szCs w:val="20"/>
        </w:rPr>
        <w:t xml:space="preserve"> </w:t>
      </w:r>
      <w:r w:rsidR="001D446D" w:rsidRPr="00E92F1D">
        <w:rPr>
          <w:rFonts w:ascii="Century Gothic" w:hAnsi="Century Gothic"/>
          <w:sz w:val="20"/>
          <w:szCs w:val="20"/>
        </w:rPr>
        <w:t>–</w:t>
      </w:r>
      <w:r w:rsidR="00832A27" w:rsidRPr="00E92F1D">
        <w:rPr>
          <w:rFonts w:ascii="Century Gothic" w:hAnsi="Century Gothic"/>
          <w:sz w:val="20"/>
          <w:szCs w:val="20"/>
        </w:rPr>
        <w:t xml:space="preserve"> no</w:t>
      </w:r>
      <w:r w:rsidR="001D446D" w:rsidRPr="00E92F1D">
        <w:rPr>
          <w:rFonts w:ascii="Century Gothic" w:hAnsi="Century Gothic"/>
          <w:sz w:val="20"/>
          <w:szCs w:val="20"/>
        </w:rPr>
        <w:t xml:space="preserve"> </w:t>
      </w:r>
      <w:r w:rsidR="00832A27" w:rsidRPr="00E92F1D">
        <w:rPr>
          <w:rFonts w:ascii="Century Gothic" w:hAnsi="Century Gothic"/>
          <w:sz w:val="20"/>
          <w:szCs w:val="20"/>
        </w:rPr>
        <w:t xml:space="preserve">matter their individual mission or location – should be able to demonstrate </w:t>
      </w:r>
      <w:r w:rsidR="000B6B62" w:rsidRPr="00E92F1D">
        <w:rPr>
          <w:rFonts w:ascii="Century Gothic" w:hAnsi="Century Gothic"/>
          <w:sz w:val="20"/>
          <w:szCs w:val="20"/>
        </w:rPr>
        <w:t xml:space="preserve">their </w:t>
      </w:r>
      <w:r w:rsidR="001D446D" w:rsidRPr="00E92F1D">
        <w:rPr>
          <w:rFonts w:ascii="Century Gothic" w:hAnsi="Century Gothic"/>
          <w:sz w:val="20"/>
          <w:szCs w:val="20"/>
        </w:rPr>
        <w:t>commitment to</w:t>
      </w:r>
      <w:r w:rsidR="00832A27" w:rsidRPr="00E92F1D">
        <w:rPr>
          <w:rFonts w:ascii="Century Gothic" w:hAnsi="Century Gothic"/>
          <w:sz w:val="20"/>
          <w:szCs w:val="20"/>
        </w:rPr>
        <w:t xml:space="preserve"> undertake these activities in strong </w:t>
      </w:r>
      <w:r w:rsidR="00F11756" w:rsidRPr="00E92F1D">
        <w:rPr>
          <w:rFonts w:ascii="Century Gothic" w:hAnsi="Century Gothic"/>
          <w:sz w:val="20"/>
          <w:szCs w:val="20"/>
        </w:rPr>
        <w:t xml:space="preserve">and </w:t>
      </w:r>
      <w:r w:rsidR="00832A27" w:rsidRPr="00E92F1D">
        <w:rPr>
          <w:rFonts w:ascii="Century Gothic" w:hAnsi="Century Gothic"/>
          <w:sz w:val="20"/>
          <w:szCs w:val="20"/>
        </w:rPr>
        <w:t xml:space="preserve">meaningful ways. </w:t>
      </w:r>
    </w:p>
    <w:p w14:paraId="4013B24F" w14:textId="77777777" w:rsidR="00BD1C6F" w:rsidRPr="00730C0D" w:rsidRDefault="00BD1C6F" w:rsidP="00D31B9A">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C7D05" w:rsidRPr="00730C0D" w14:paraId="751FD4A7" w14:textId="77777777" w:rsidTr="00D31B9A">
        <w:tc>
          <w:tcPr>
            <w:tcW w:w="9016" w:type="dxa"/>
            <w:tcBorders>
              <w:bottom w:val="single" w:sz="12" w:space="0" w:color="00B050"/>
            </w:tcBorders>
            <w:shd w:val="clear" w:color="auto" w:fill="2763AC"/>
          </w:tcPr>
          <w:p w14:paraId="1071B455" w14:textId="77777777"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Recommendation 6</w:t>
            </w:r>
          </w:p>
        </w:tc>
      </w:tr>
      <w:tr w:rsidR="00AC7D05" w:rsidRPr="00730C0D" w14:paraId="3B981F09" w14:textId="77777777" w:rsidTr="00D31B9A">
        <w:tc>
          <w:tcPr>
            <w:tcW w:w="9016" w:type="dxa"/>
            <w:tcBorders>
              <w:top w:val="single" w:sz="12" w:space="0" w:color="00B050"/>
            </w:tcBorders>
            <w:shd w:val="clear" w:color="auto" w:fill="D5DCE4" w:themeFill="text2" w:themeFillTint="33"/>
          </w:tcPr>
          <w:p w14:paraId="612DF836" w14:textId="16F9C9C9" w:rsidR="00AC7D05" w:rsidRPr="00730C0D" w:rsidRDefault="00AC7D05">
            <w:pPr>
              <w:spacing w:before="160" w:after="160" w:line="259" w:lineRule="auto"/>
              <w:rPr>
                <w:rFonts w:ascii="Century Gothic" w:hAnsi="Century Gothic"/>
                <w:b/>
                <w:sz w:val="20"/>
                <w:szCs w:val="20"/>
              </w:rPr>
            </w:pPr>
            <w:r w:rsidRPr="00730C0D">
              <w:rPr>
                <w:rFonts w:ascii="Century Gothic" w:hAnsi="Century Gothic"/>
                <w:b/>
                <w:sz w:val="20"/>
                <w:szCs w:val="20"/>
              </w:rPr>
              <w:t>Requirements related to</w:t>
            </w:r>
            <w:r w:rsidR="00B9556F" w:rsidRPr="00730C0D">
              <w:rPr>
                <w:rFonts w:ascii="Century Gothic" w:hAnsi="Century Gothic"/>
                <w:b/>
                <w:sz w:val="20"/>
                <w:szCs w:val="20"/>
              </w:rPr>
              <w:t xml:space="preserve"> industry engagement,</w:t>
            </w:r>
            <w:r w:rsidRPr="00730C0D">
              <w:rPr>
                <w:rFonts w:ascii="Century Gothic" w:hAnsi="Century Gothic"/>
                <w:b/>
                <w:sz w:val="20"/>
                <w:szCs w:val="20"/>
              </w:rPr>
              <w:t xml:space="preserve"> civic leadership, </w:t>
            </w:r>
            <w:r w:rsidR="00B9556F" w:rsidRPr="00730C0D">
              <w:rPr>
                <w:rFonts w:ascii="Century Gothic" w:hAnsi="Century Gothic"/>
                <w:b/>
                <w:sz w:val="20"/>
                <w:szCs w:val="20"/>
              </w:rPr>
              <w:t xml:space="preserve">and </w:t>
            </w:r>
            <w:r w:rsidRPr="00730C0D">
              <w:rPr>
                <w:rFonts w:ascii="Century Gothic" w:hAnsi="Century Gothic"/>
                <w:b/>
                <w:sz w:val="20"/>
                <w:szCs w:val="20"/>
              </w:rPr>
              <w:t>community engagement</w:t>
            </w:r>
            <w:r w:rsidR="00B9556F" w:rsidRPr="00730C0D">
              <w:rPr>
                <w:rFonts w:ascii="Century Gothic" w:hAnsi="Century Gothic"/>
                <w:b/>
                <w:sz w:val="20"/>
                <w:szCs w:val="20"/>
              </w:rPr>
              <w:t xml:space="preserve"> </w:t>
            </w:r>
            <w:r w:rsidRPr="00730C0D">
              <w:rPr>
                <w:rFonts w:ascii="Century Gothic" w:hAnsi="Century Gothic"/>
                <w:b/>
                <w:sz w:val="20"/>
                <w:szCs w:val="20"/>
              </w:rPr>
              <w:t xml:space="preserve">should be introduced or bolstered in the university categories of the </w:t>
            </w:r>
            <w:r w:rsidR="00B27D09" w:rsidRPr="00730C0D">
              <w:rPr>
                <w:rFonts w:ascii="Century Gothic" w:hAnsi="Century Gothic"/>
                <w:b/>
                <w:sz w:val="20"/>
                <w:szCs w:val="20"/>
              </w:rPr>
              <w:br/>
            </w:r>
            <w:r w:rsidR="0082441F" w:rsidRPr="00730C0D">
              <w:rPr>
                <w:rFonts w:ascii="Century Gothic" w:hAnsi="Century Gothic"/>
                <w:b/>
                <w:sz w:val="20"/>
                <w:szCs w:val="20"/>
              </w:rPr>
              <w:t>Higher Education Provider Category Standards</w:t>
            </w:r>
            <w:r w:rsidRPr="00730C0D">
              <w:rPr>
                <w:rFonts w:ascii="Century Gothic" w:hAnsi="Century Gothic"/>
                <w:b/>
                <w:sz w:val="20"/>
                <w:szCs w:val="20"/>
              </w:rPr>
              <w:t>.</w:t>
            </w:r>
            <w:r w:rsidR="00806B0A" w:rsidRPr="00730C0D">
              <w:rPr>
                <w:rFonts w:ascii="Century Gothic" w:hAnsi="Century Gothic"/>
                <w:b/>
                <w:sz w:val="20"/>
                <w:szCs w:val="20"/>
              </w:rPr>
              <w:t xml:space="preserve"> Industry engagement requirements should also be part of the </w:t>
            </w:r>
            <w:r w:rsidR="00986E98">
              <w:rPr>
                <w:rFonts w:ascii="Century Gothic" w:hAnsi="Century Gothic"/>
                <w:b/>
                <w:sz w:val="20"/>
                <w:szCs w:val="20"/>
              </w:rPr>
              <w:t xml:space="preserve">proposed </w:t>
            </w:r>
            <w:r w:rsidR="00806B0A" w:rsidRPr="00730C0D">
              <w:rPr>
                <w:rFonts w:ascii="Century Gothic" w:hAnsi="Century Gothic"/>
                <w:b/>
                <w:sz w:val="20"/>
                <w:szCs w:val="20"/>
              </w:rPr>
              <w:t>‘National Institute of Higher Education’ category.</w:t>
            </w:r>
          </w:p>
        </w:tc>
      </w:tr>
    </w:tbl>
    <w:p w14:paraId="55EB79EE" w14:textId="38994A62" w:rsidR="00AC7D05" w:rsidRPr="00E92F1D" w:rsidRDefault="00AC7D05" w:rsidP="00D31B9A">
      <w:pPr>
        <w:spacing w:before="0" w:after="0"/>
        <w:rPr>
          <w:rFonts w:ascii="Century Gothic" w:hAnsi="Century Gothic"/>
          <w:sz w:val="14"/>
          <w:szCs w:val="14"/>
        </w:rPr>
      </w:pPr>
    </w:p>
    <w:p w14:paraId="6BC75A21" w14:textId="541E5545" w:rsidR="00E92F1D" w:rsidRDefault="00E92F1D" w:rsidP="00D31B9A">
      <w:pPr>
        <w:spacing w:before="0" w:after="0"/>
        <w:rPr>
          <w:rFonts w:ascii="Century Gothic" w:hAnsi="Century Gothic"/>
          <w:sz w:val="14"/>
          <w:szCs w:val="14"/>
        </w:rPr>
      </w:pPr>
    </w:p>
    <w:p w14:paraId="2ABA1893" w14:textId="77777777" w:rsidR="00C34A35" w:rsidRPr="00E92F1D" w:rsidRDefault="00C34A35" w:rsidP="00D31B9A">
      <w:pPr>
        <w:spacing w:before="0" w:after="0"/>
        <w:rPr>
          <w:rFonts w:ascii="Century Gothic" w:hAnsi="Century Gothic"/>
          <w:sz w:val="14"/>
          <w:szCs w:val="14"/>
        </w:rPr>
      </w:pPr>
    </w:p>
    <w:p w14:paraId="44D20D48" w14:textId="4B1E77AA" w:rsidR="00AC7D05" w:rsidRPr="00730C0D" w:rsidRDefault="00AE1672" w:rsidP="004978DA">
      <w:pPr>
        <w:pStyle w:val="Heading2"/>
      </w:pPr>
      <w:bookmarkStart w:id="75" w:name="_Toc18592342"/>
      <w:r w:rsidRPr="00730C0D">
        <w:t>2.5</w:t>
      </w:r>
      <w:r w:rsidRPr="00730C0D">
        <w:tab/>
      </w:r>
      <w:r w:rsidR="00F65FF8">
        <w:t xml:space="preserve">‘Greenfield’ </w:t>
      </w:r>
      <w:r w:rsidR="00203E58">
        <w:t>U</w:t>
      </w:r>
      <w:r w:rsidR="00F65FF8">
        <w:t>niversities</w:t>
      </w:r>
      <w:bookmarkEnd w:id="75"/>
      <w:r w:rsidR="00AC7D05" w:rsidRPr="00730C0D">
        <w:t xml:space="preserve">  </w:t>
      </w:r>
    </w:p>
    <w:p w14:paraId="6C9606BE" w14:textId="5ED98725" w:rsidR="00E92F1D" w:rsidRPr="00E92F1D" w:rsidRDefault="00E92F1D" w:rsidP="00E92F1D">
      <w:pPr>
        <w:spacing w:before="0" w:after="0"/>
        <w:rPr>
          <w:rFonts w:ascii="Century Gothic" w:hAnsi="Century Gothic"/>
          <w:sz w:val="20"/>
          <w:szCs w:val="20"/>
        </w:rPr>
      </w:pPr>
      <w:r w:rsidRPr="00E92F1D">
        <w:rPr>
          <w:rFonts w:ascii="Century Gothic" w:hAnsi="Century Gothic"/>
          <w:sz w:val="20"/>
          <w:szCs w:val="20"/>
        </w:rPr>
        <w:t>The PCS framework currently contains no provision for ‘greenfield’ universities, that is, for a newly established entity which has not been registered by TEQSA as a higher education provider and seeks to apply directly for university status. The National Protocols, which preceded the Threshold Standards, did include specific provisions for ‘greenfield’ universities.</w:t>
      </w:r>
      <w:r w:rsidRPr="00E92F1D">
        <w:rPr>
          <w:rFonts w:ascii="Century Gothic" w:hAnsi="Century Gothic"/>
          <w:sz w:val="20"/>
          <w:szCs w:val="20"/>
          <w:vertAlign w:val="superscript"/>
        </w:rPr>
        <w:footnoteReference w:id="109"/>
      </w:r>
      <w:r w:rsidRPr="00E92F1D">
        <w:rPr>
          <w:rFonts w:ascii="Century Gothic" w:hAnsi="Century Gothic"/>
          <w:sz w:val="20"/>
          <w:szCs w:val="20"/>
          <w:vertAlign w:val="superscript"/>
        </w:rPr>
        <w:t xml:space="preserve"> </w:t>
      </w:r>
      <w:r w:rsidR="00C93260">
        <w:rPr>
          <w:rFonts w:ascii="Century Gothic" w:hAnsi="Century Gothic"/>
          <w:sz w:val="20"/>
          <w:szCs w:val="20"/>
          <w:vertAlign w:val="superscript"/>
        </w:rPr>
        <w:t xml:space="preserve"> </w:t>
      </w:r>
      <w:r w:rsidRPr="00E92F1D">
        <w:rPr>
          <w:rFonts w:ascii="Century Gothic" w:hAnsi="Century Gothic"/>
          <w:sz w:val="20"/>
          <w:szCs w:val="20"/>
        </w:rPr>
        <w:t xml:space="preserve">These provisions were not carried over with the introduction of the Threshold Standards in 2011. At the time, the ‘Australian University College’ category was intended to be a transitional category, giving a period of grace of five years before applicants were required to meet all the ‘Australian University’ category requirements. Given the limited utility of the current ‘Australian University College’ category (see </w:t>
      </w:r>
      <w:hyperlink w:anchor="_2.1.1_‘Australian_University" w:history="1">
        <w:r w:rsidRPr="00E92F1D">
          <w:rPr>
            <w:rStyle w:val="Hyperlink"/>
            <w:rFonts w:ascii="Century Gothic" w:hAnsi="Century Gothic"/>
            <w:sz w:val="20"/>
            <w:szCs w:val="20"/>
          </w:rPr>
          <w:t>Section 2.1.1</w:t>
        </w:r>
      </w:hyperlink>
      <w:r w:rsidRPr="00E92F1D">
        <w:rPr>
          <w:rFonts w:ascii="Century Gothic" w:hAnsi="Century Gothic"/>
          <w:sz w:val="20"/>
          <w:szCs w:val="20"/>
        </w:rPr>
        <w:t>) the transitional purpose of this category has had very limited success. Indeed, there have been no ‘greenfield’ university applications since the establishment of TEQSA.</w:t>
      </w:r>
      <w:r w:rsidRPr="00E92F1D">
        <w:rPr>
          <w:rStyle w:val="FootnoteReference"/>
          <w:rFonts w:ascii="Century Gothic" w:hAnsi="Century Gothic"/>
          <w:sz w:val="20"/>
          <w:szCs w:val="20"/>
        </w:rPr>
        <w:footnoteReference w:id="110"/>
      </w:r>
    </w:p>
    <w:p w14:paraId="528D9BD6" w14:textId="77777777" w:rsidR="00E92F1D" w:rsidRPr="00E92F1D" w:rsidRDefault="00E92F1D" w:rsidP="00E92F1D">
      <w:pPr>
        <w:spacing w:before="0" w:after="0"/>
        <w:rPr>
          <w:rFonts w:ascii="Century Gothic" w:hAnsi="Century Gothic"/>
          <w:sz w:val="20"/>
          <w:szCs w:val="20"/>
        </w:rPr>
      </w:pPr>
    </w:p>
    <w:p w14:paraId="6E6ECCAD" w14:textId="77777777" w:rsidR="00E86FBD" w:rsidRDefault="00E86FBD">
      <w:pPr>
        <w:spacing w:before="0" w:after="160"/>
        <w:rPr>
          <w:rFonts w:ascii="Century Gothic" w:hAnsi="Century Gothic"/>
          <w:sz w:val="20"/>
          <w:szCs w:val="20"/>
        </w:rPr>
      </w:pPr>
      <w:r>
        <w:rPr>
          <w:rFonts w:ascii="Century Gothic" w:hAnsi="Century Gothic"/>
          <w:sz w:val="20"/>
          <w:szCs w:val="20"/>
        </w:rPr>
        <w:br w:type="page"/>
      </w:r>
    </w:p>
    <w:p w14:paraId="1DA0417A" w14:textId="0B614D3E" w:rsidR="00E92F1D" w:rsidRPr="00E92F1D" w:rsidRDefault="00E92F1D" w:rsidP="004C0BE2">
      <w:pPr>
        <w:spacing w:before="0" w:after="0"/>
        <w:ind w:right="-46"/>
        <w:rPr>
          <w:rFonts w:ascii="Century Gothic" w:hAnsi="Century Gothic"/>
          <w:sz w:val="20"/>
          <w:szCs w:val="20"/>
        </w:rPr>
      </w:pPr>
      <w:r w:rsidRPr="00E92F1D">
        <w:rPr>
          <w:rFonts w:ascii="Century Gothic" w:hAnsi="Century Gothic"/>
          <w:sz w:val="20"/>
          <w:szCs w:val="20"/>
        </w:rPr>
        <w:t xml:space="preserve">There are mixed views on the necessity to reinstate provisions for ‘greenfield’ universities in the PCS. The main challenge for TEQSA is that there are provisions in the </w:t>
      </w:r>
      <w:r w:rsidRPr="00E92F1D">
        <w:rPr>
          <w:rFonts w:ascii="Century Gothic" w:hAnsi="Century Gothic"/>
          <w:i/>
          <w:sz w:val="20"/>
          <w:szCs w:val="20"/>
        </w:rPr>
        <w:t>TEQSA Act 2011</w:t>
      </w:r>
      <w:r w:rsidRPr="00E92F1D">
        <w:rPr>
          <w:rFonts w:ascii="Century Gothic" w:hAnsi="Century Gothic"/>
          <w:sz w:val="20"/>
          <w:szCs w:val="20"/>
        </w:rPr>
        <w:t xml:space="preserve"> which would prevent TEQSA registering a ‘greenfield’ university. Furthermore, even if this legal barrier was removed, the </w:t>
      </w:r>
      <w:r w:rsidR="004C0BE2">
        <w:rPr>
          <w:rFonts w:ascii="Century Gothic" w:hAnsi="Century Gothic"/>
          <w:sz w:val="20"/>
          <w:szCs w:val="20"/>
        </w:rPr>
        <w:t xml:space="preserve">current </w:t>
      </w:r>
      <w:r w:rsidRPr="00E92F1D">
        <w:rPr>
          <w:rFonts w:ascii="Century Gothic" w:hAnsi="Century Gothic"/>
          <w:sz w:val="20"/>
          <w:szCs w:val="20"/>
        </w:rPr>
        <w:t xml:space="preserve">‘Australian University’ requirements are expressed as features of a provider that is already operating with a track record of performance. This can make it difficult for TEQSA to accurately assess whether or not a prospective provider can meet the various and rigorous requirements of the ‘Australian University’ category before commencing operations. This would require the expertise of TEQSA as the regulator to assess the capacity of that institution to meet the standards from a reasonable risk-based approach. </w:t>
      </w:r>
    </w:p>
    <w:p w14:paraId="27FCABE8" w14:textId="77777777" w:rsidR="00E92F1D" w:rsidRPr="00E92F1D" w:rsidRDefault="00E92F1D" w:rsidP="00E92F1D">
      <w:pPr>
        <w:spacing w:before="0" w:after="0"/>
        <w:rPr>
          <w:rFonts w:ascii="Century Gothic" w:hAnsi="Century Gothic"/>
          <w:sz w:val="20"/>
          <w:szCs w:val="20"/>
        </w:rPr>
      </w:pPr>
    </w:p>
    <w:p w14:paraId="235B9ACE" w14:textId="2AC2AA59" w:rsidR="00E92F1D" w:rsidRPr="00E92F1D" w:rsidRDefault="00E92F1D" w:rsidP="00E92F1D">
      <w:pPr>
        <w:spacing w:before="0" w:after="0"/>
        <w:rPr>
          <w:rFonts w:ascii="Century Gothic" w:hAnsi="Century Gothic"/>
          <w:sz w:val="20"/>
          <w:szCs w:val="20"/>
        </w:rPr>
      </w:pPr>
      <w:r w:rsidRPr="00E92F1D">
        <w:rPr>
          <w:rFonts w:ascii="Century Gothic" w:hAnsi="Century Gothic"/>
          <w:sz w:val="20"/>
          <w:szCs w:val="20"/>
        </w:rPr>
        <w:t xml:space="preserve">That there have been no applications of </w:t>
      </w:r>
      <w:r w:rsidR="008C6D7C">
        <w:rPr>
          <w:rFonts w:ascii="Century Gothic" w:hAnsi="Century Gothic"/>
          <w:sz w:val="20"/>
          <w:szCs w:val="20"/>
        </w:rPr>
        <w:t>this</w:t>
      </w:r>
      <w:r w:rsidR="008C6D7C" w:rsidRPr="00E92F1D">
        <w:rPr>
          <w:rFonts w:ascii="Century Gothic" w:hAnsi="Century Gothic"/>
          <w:sz w:val="20"/>
          <w:szCs w:val="20"/>
        </w:rPr>
        <w:t xml:space="preserve"> </w:t>
      </w:r>
      <w:r w:rsidRPr="00E92F1D">
        <w:rPr>
          <w:rFonts w:ascii="Century Gothic" w:hAnsi="Century Gothic"/>
          <w:sz w:val="20"/>
          <w:szCs w:val="20"/>
        </w:rPr>
        <w:t xml:space="preserve">kind since the establishment of TEQSA is not, in and of itself, a reason to dismiss the TEQSA’s capability to assess a possible future application. There are many other factors which may </w:t>
      </w:r>
      <w:r w:rsidR="008C6D7C">
        <w:rPr>
          <w:rFonts w:ascii="Century Gothic" w:hAnsi="Century Gothic"/>
          <w:sz w:val="20"/>
          <w:szCs w:val="20"/>
        </w:rPr>
        <w:t>assist</w:t>
      </w:r>
      <w:r w:rsidR="008C6D7C" w:rsidRPr="00E92F1D">
        <w:rPr>
          <w:rFonts w:ascii="Century Gothic" w:hAnsi="Century Gothic"/>
          <w:sz w:val="20"/>
          <w:szCs w:val="20"/>
        </w:rPr>
        <w:t xml:space="preserve"> </w:t>
      </w:r>
      <w:r w:rsidRPr="00E92F1D">
        <w:rPr>
          <w:rFonts w:ascii="Century Gothic" w:hAnsi="Century Gothic"/>
          <w:sz w:val="20"/>
          <w:szCs w:val="20"/>
        </w:rPr>
        <w:t xml:space="preserve">or preclude ‘greenfield’ applications. </w:t>
      </w:r>
      <w:r>
        <w:rPr>
          <w:rFonts w:ascii="Century Gothic" w:hAnsi="Century Gothic"/>
          <w:sz w:val="20"/>
          <w:szCs w:val="20"/>
        </w:rPr>
        <w:br/>
      </w:r>
      <w:r w:rsidRPr="00E92F1D">
        <w:rPr>
          <w:rFonts w:ascii="Century Gothic" w:hAnsi="Century Gothic"/>
          <w:sz w:val="20"/>
          <w:szCs w:val="20"/>
        </w:rPr>
        <w:t xml:space="preserve">These could include </w:t>
      </w:r>
      <w:r w:rsidR="008C6D7C">
        <w:rPr>
          <w:rFonts w:ascii="Century Gothic" w:hAnsi="Century Gothic"/>
          <w:sz w:val="20"/>
          <w:szCs w:val="20"/>
        </w:rPr>
        <w:t>the availability of</w:t>
      </w:r>
      <w:r w:rsidR="008C6D7C" w:rsidRPr="00E92F1D">
        <w:rPr>
          <w:rFonts w:ascii="Century Gothic" w:hAnsi="Century Gothic"/>
          <w:sz w:val="20"/>
          <w:szCs w:val="20"/>
        </w:rPr>
        <w:t xml:space="preserve"> </w:t>
      </w:r>
      <w:r w:rsidRPr="00E92F1D">
        <w:rPr>
          <w:rFonts w:ascii="Century Gothic" w:hAnsi="Century Gothic"/>
          <w:sz w:val="20"/>
          <w:szCs w:val="20"/>
        </w:rPr>
        <w:t xml:space="preserve">support from the relevant State or Territory government or access to adequate funds. </w:t>
      </w:r>
    </w:p>
    <w:p w14:paraId="0C4E9B2B" w14:textId="77777777" w:rsidR="00E92F1D" w:rsidRPr="00E92F1D" w:rsidRDefault="00E92F1D" w:rsidP="00E92F1D">
      <w:pPr>
        <w:spacing w:before="0" w:after="0"/>
        <w:rPr>
          <w:rFonts w:ascii="Century Gothic" w:hAnsi="Century Gothic"/>
          <w:sz w:val="20"/>
          <w:szCs w:val="20"/>
        </w:rPr>
      </w:pPr>
    </w:p>
    <w:p w14:paraId="4479E0F1" w14:textId="07BED28E" w:rsidR="004C0BE2" w:rsidRDefault="00E92F1D" w:rsidP="00E92F1D">
      <w:pPr>
        <w:spacing w:before="0" w:after="0"/>
        <w:rPr>
          <w:rFonts w:ascii="Century Gothic" w:hAnsi="Century Gothic"/>
          <w:sz w:val="20"/>
          <w:szCs w:val="20"/>
        </w:rPr>
      </w:pPr>
      <w:r w:rsidRPr="00E92F1D">
        <w:rPr>
          <w:rFonts w:ascii="Century Gothic" w:hAnsi="Century Gothic"/>
          <w:sz w:val="20"/>
          <w:szCs w:val="20"/>
        </w:rPr>
        <w:t xml:space="preserve">The Australian Government </w:t>
      </w:r>
      <w:r w:rsidR="004C0BE2">
        <w:rPr>
          <w:rFonts w:ascii="Century Gothic" w:hAnsi="Century Gothic"/>
          <w:sz w:val="20"/>
          <w:szCs w:val="20"/>
        </w:rPr>
        <w:t>should</w:t>
      </w:r>
      <w:r w:rsidRPr="00E92F1D">
        <w:rPr>
          <w:rFonts w:ascii="Century Gothic" w:hAnsi="Century Gothic"/>
          <w:sz w:val="20"/>
          <w:szCs w:val="20"/>
        </w:rPr>
        <w:t xml:space="preserve"> consider how the requirements of the Threshold Standards and the </w:t>
      </w:r>
      <w:r w:rsidRPr="00E92F1D">
        <w:rPr>
          <w:rFonts w:ascii="Century Gothic" w:hAnsi="Century Gothic"/>
          <w:i/>
          <w:sz w:val="20"/>
          <w:szCs w:val="20"/>
        </w:rPr>
        <w:t>TEQSA Act 2011</w:t>
      </w:r>
      <w:r w:rsidRPr="00E92F1D">
        <w:rPr>
          <w:rFonts w:ascii="Century Gothic" w:hAnsi="Century Gothic"/>
          <w:sz w:val="20"/>
          <w:szCs w:val="20"/>
        </w:rPr>
        <w:t xml:space="preserve"> would interact with a ‘greenfield’ university.</w:t>
      </w:r>
      <w:r w:rsidR="004C0BE2">
        <w:rPr>
          <w:rFonts w:ascii="Century Gothic" w:hAnsi="Century Gothic"/>
          <w:sz w:val="20"/>
          <w:szCs w:val="20"/>
        </w:rPr>
        <w:t xml:space="preserve"> </w:t>
      </w:r>
      <w:r w:rsidR="004C0BE2" w:rsidRPr="00AB4021">
        <w:rPr>
          <w:rFonts w:ascii="Century Gothic" w:hAnsi="Century Gothic"/>
          <w:sz w:val="20"/>
          <w:szCs w:val="20"/>
        </w:rPr>
        <w:t>This would require amendment to the TEQSA Act 2011 which, at present, permits TEQSA to grant the applicatio</w:t>
      </w:r>
      <w:r w:rsidR="004C0BE2">
        <w:rPr>
          <w:rFonts w:ascii="Century Gothic" w:hAnsi="Century Gothic"/>
          <w:sz w:val="20"/>
          <w:szCs w:val="20"/>
        </w:rPr>
        <w:t>n for registration of a provider</w:t>
      </w:r>
      <w:r w:rsidR="004C0BE2" w:rsidRPr="00AB4021">
        <w:rPr>
          <w:rFonts w:ascii="Century Gothic" w:hAnsi="Century Gothic"/>
          <w:sz w:val="20"/>
          <w:szCs w:val="20"/>
        </w:rPr>
        <w:t xml:space="preserve"> only where TEQSA is satisfied that the applicant meets the Threshold Standards, including the PCS; a mere intention to meet the Threshold Standards would, </w:t>
      </w:r>
      <w:r w:rsidR="004C0BE2">
        <w:rPr>
          <w:rFonts w:ascii="Century Gothic" w:hAnsi="Century Gothic"/>
          <w:sz w:val="20"/>
          <w:szCs w:val="20"/>
        </w:rPr>
        <w:t>on the face of it</w:t>
      </w:r>
      <w:r w:rsidR="004C0BE2" w:rsidRPr="00AB4021">
        <w:rPr>
          <w:rFonts w:ascii="Century Gothic" w:hAnsi="Century Gothic"/>
          <w:sz w:val="20"/>
          <w:szCs w:val="20"/>
        </w:rPr>
        <w:t>, be insufficient for TEQSA to approve such an application. </w:t>
      </w:r>
      <w:r w:rsidRPr="00E92F1D">
        <w:rPr>
          <w:rFonts w:ascii="Century Gothic" w:hAnsi="Century Gothic"/>
          <w:sz w:val="20"/>
          <w:szCs w:val="20"/>
        </w:rPr>
        <w:t xml:space="preserve"> </w:t>
      </w:r>
    </w:p>
    <w:p w14:paraId="5163862E" w14:textId="77777777" w:rsidR="004C0BE2" w:rsidRDefault="004C0BE2" w:rsidP="00E92F1D">
      <w:pPr>
        <w:spacing w:before="0" w:after="0"/>
        <w:rPr>
          <w:rFonts w:ascii="Century Gothic" w:hAnsi="Century Gothic"/>
          <w:sz w:val="20"/>
          <w:szCs w:val="20"/>
        </w:rPr>
      </w:pPr>
    </w:p>
    <w:p w14:paraId="3EA37B4A" w14:textId="4D42FBB3" w:rsidR="00E92F1D" w:rsidRPr="00E92F1D" w:rsidRDefault="00E92F1D" w:rsidP="00E92F1D">
      <w:pPr>
        <w:spacing w:before="0" w:after="0"/>
        <w:rPr>
          <w:rFonts w:ascii="Century Gothic" w:hAnsi="Century Gothic"/>
          <w:sz w:val="20"/>
          <w:szCs w:val="20"/>
        </w:rPr>
      </w:pPr>
      <w:r w:rsidRPr="00E92F1D">
        <w:rPr>
          <w:rFonts w:ascii="Century Gothic" w:hAnsi="Century Gothic"/>
          <w:sz w:val="20"/>
          <w:szCs w:val="20"/>
        </w:rPr>
        <w:t xml:space="preserve">In </w:t>
      </w:r>
      <w:r w:rsidR="004C0BE2">
        <w:rPr>
          <w:rFonts w:ascii="Century Gothic" w:hAnsi="Century Gothic"/>
          <w:sz w:val="20"/>
          <w:szCs w:val="20"/>
        </w:rPr>
        <w:t>catering for ‘greenfield’ applicants</w:t>
      </w:r>
      <w:r w:rsidRPr="00E92F1D">
        <w:rPr>
          <w:rFonts w:ascii="Century Gothic" w:hAnsi="Century Gothic"/>
          <w:sz w:val="20"/>
          <w:szCs w:val="20"/>
        </w:rPr>
        <w:t xml:space="preserve">, Government will need to ensure TEQSA would be able to consider in its assessment whether </w:t>
      </w:r>
      <w:r w:rsidR="004C0BE2">
        <w:rPr>
          <w:rFonts w:ascii="Century Gothic" w:hAnsi="Century Gothic"/>
          <w:sz w:val="20"/>
          <w:szCs w:val="20"/>
        </w:rPr>
        <w:t>that</w:t>
      </w:r>
      <w:r w:rsidRPr="00E92F1D">
        <w:rPr>
          <w:rFonts w:ascii="Century Gothic" w:hAnsi="Century Gothic"/>
          <w:sz w:val="20"/>
          <w:szCs w:val="20"/>
        </w:rPr>
        <w:t xml:space="preserve"> applicant could meet appropriate quality thresholds. These include the likelihood that the prospective provider would possess the resources, processes, and capacity to be able to meet the ‘Australian University’ category upon its creation or shortly thereafter.  </w:t>
      </w:r>
    </w:p>
    <w:p w14:paraId="20BDA857" w14:textId="77777777" w:rsidR="00E92F1D" w:rsidRPr="00E92F1D" w:rsidRDefault="00E92F1D" w:rsidP="00E92F1D">
      <w:pPr>
        <w:spacing w:before="0" w:after="0"/>
        <w:rPr>
          <w:rFonts w:ascii="Century Gothic" w:hAnsi="Century Gothic"/>
          <w:sz w:val="20"/>
          <w:szCs w:val="20"/>
        </w:rPr>
      </w:pPr>
    </w:p>
    <w:p w14:paraId="26EFDF02" w14:textId="6A2EB974" w:rsidR="00E92F1D" w:rsidRDefault="004C0BE2" w:rsidP="00E92F1D">
      <w:pPr>
        <w:spacing w:before="0" w:after="0"/>
        <w:rPr>
          <w:rFonts w:ascii="Century Gothic" w:hAnsi="Century Gothic"/>
          <w:sz w:val="20"/>
          <w:szCs w:val="20"/>
        </w:rPr>
      </w:pPr>
      <w:r>
        <w:rPr>
          <w:rFonts w:ascii="Century Gothic" w:hAnsi="Century Gothic"/>
          <w:sz w:val="20"/>
          <w:szCs w:val="20"/>
        </w:rPr>
        <w:t>Provision for ‘greenfield’ universities has been reflected in the</w:t>
      </w:r>
      <w:r w:rsidR="00E92F1D" w:rsidRPr="00E92F1D">
        <w:rPr>
          <w:rFonts w:ascii="Century Gothic" w:hAnsi="Century Gothic"/>
          <w:sz w:val="20"/>
          <w:szCs w:val="20"/>
        </w:rPr>
        <w:t xml:space="preserve"> </w:t>
      </w:r>
      <w:r w:rsidR="00E92F1D" w:rsidRPr="00C93260">
        <w:rPr>
          <w:rFonts w:ascii="Century Gothic" w:hAnsi="Century Gothic"/>
          <w:i/>
          <w:sz w:val="20"/>
          <w:szCs w:val="20"/>
        </w:rPr>
        <w:t>Recommended Categorisation and Criteria for Higher Education Providers</w:t>
      </w:r>
      <w:r w:rsidR="00E92F1D" w:rsidRPr="00E92F1D">
        <w:rPr>
          <w:rFonts w:ascii="Century Gothic" w:hAnsi="Century Gothic"/>
          <w:sz w:val="20"/>
          <w:szCs w:val="20"/>
        </w:rPr>
        <w:t xml:space="preserve"> (see </w:t>
      </w:r>
      <w:hyperlink w:anchor="_Appendix_D." w:history="1">
        <w:r w:rsidR="00E92F1D" w:rsidRPr="00E92F1D">
          <w:rPr>
            <w:rStyle w:val="Hyperlink"/>
            <w:rFonts w:ascii="Century Gothic" w:hAnsi="Century Gothic"/>
            <w:sz w:val="20"/>
            <w:szCs w:val="20"/>
          </w:rPr>
          <w:t>Appendix D</w:t>
        </w:r>
      </w:hyperlink>
      <w:r w:rsidR="00E92F1D" w:rsidRPr="00E92F1D">
        <w:rPr>
          <w:rFonts w:ascii="Century Gothic" w:hAnsi="Century Gothic"/>
          <w:sz w:val="20"/>
          <w:szCs w:val="20"/>
        </w:rPr>
        <w:t xml:space="preserve">). </w:t>
      </w:r>
    </w:p>
    <w:p w14:paraId="62930BA0" w14:textId="65640A96" w:rsidR="00F56055" w:rsidRDefault="00F56055" w:rsidP="00E92F1D">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56055" w:rsidRPr="00730C0D" w14:paraId="4FE54BB4" w14:textId="77777777" w:rsidTr="004C0BE2">
        <w:tc>
          <w:tcPr>
            <w:tcW w:w="9016" w:type="dxa"/>
            <w:tcBorders>
              <w:bottom w:val="single" w:sz="12" w:space="0" w:color="00B050"/>
            </w:tcBorders>
            <w:shd w:val="clear" w:color="auto" w:fill="2763AC"/>
          </w:tcPr>
          <w:p w14:paraId="3E01389A" w14:textId="0C74CD32" w:rsidR="00F56055" w:rsidRPr="00730C0D" w:rsidRDefault="00F56055" w:rsidP="004C0BE2">
            <w:pPr>
              <w:spacing w:before="160" w:after="160" w:line="259" w:lineRule="auto"/>
              <w:rPr>
                <w:rFonts w:ascii="Century Gothic" w:hAnsi="Century Gothic"/>
                <w:b/>
                <w:color w:val="FFFFFF" w:themeColor="background1"/>
                <w:sz w:val="24"/>
                <w:szCs w:val="24"/>
              </w:rPr>
            </w:pPr>
            <w:r>
              <w:rPr>
                <w:rFonts w:ascii="Century Gothic" w:hAnsi="Century Gothic"/>
                <w:b/>
                <w:color w:val="FFFFFF" w:themeColor="background1"/>
                <w:sz w:val="24"/>
                <w:szCs w:val="24"/>
              </w:rPr>
              <w:t>Recommendation 7</w:t>
            </w:r>
          </w:p>
        </w:tc>
      </w:tr>
      <w:tr w:rsidR="00F56055" w:rsidRPr="00730C0D" w14:paraId="5B0F6A0D" w14:textId="77777777" w:rsidTr="004C0BE2">
        <w:tc>
          <w:tcPr>
            <w:tcW w:w="9016" w:type="dxa"/>
            <w:tcBorders>
              <w:top w:val="single" w:sz="12" w:space="0" w:color="00B050"/>
            </w:tcBorders>
            <w:shd w:val="clear" w:color="auto" w:fill="D5DCE4" w:themeFill="text2" w:themeFillTint="33"/>
          </w:tcPr>
          <w:p w14:paraId="2A96177A" w14:textId="73406F8F" w:rsidR="00F56055" w:rsidRPr="00730C0D" w:rsidRDefault="00F56055" w:rsidP="004C0BE2">
            <w:pPr>
              <w:spacing w:before="160" w:after="160" w:line="259" w:lineRule="auto"/>
              <w:rPr>
                <w:rFonts w:ascii="Century Gothic" w:hAnsi="Century Gothic"/>
                <w:b/>
                <w:sz w:val="20"/>
                <w:szCs w:val="20"/>
              </w:rPr>
            </w:pPr>
            <w:r w:rsidRPr="00F56055">
              <w:rPr>
                <w:rFonts w:ascii="Century Gothic" w:hAnsi="Century Gothic"/>
                <w:b/>
                <w:sz w:val="20"/>
                <w:szCs w:val="20"/>
              </w:rPr>
              <w:t>To ensure Australia’s higher education sector is positioned to support innovation, population growth, and demand for higher education in the future, the </w:t>
            </w:r>
            <w:r>
              <w:rPr>
                <w:rFonts w:ascii="Century Gothic" w:hAnsi="Century Gothic"/>
                <w:b/>
                <w:sz w:val="20"/>
                <w:szCs w:val="20"/>
              </w:rPr>
              <w:br/>
            </w:r>
            <w:r w:rsidRPr="00F56055">
              <w:rPr>
                <w:rFonts w:ascii="Century Gothic" w:hAnsi="Century Gothic"/>
                <w:b/>
                <w:i/>
                <w:sz w:val="20"/>
                <w:szCs w:val="20"/>
              </w:rPr>
              <w:t>Tertiary Education Quality</w:t>
            </w:r>
            <w:r w:rsidR="00C30652">
              <w:rPr>
                <w:rFonts w:ascii="Century Gothic" w:hAnsi="Century Gothic"/>
                <w:b/>
                <w:i/>
                <w:sz w:val="20"/>
                <w:szCs w:val="20"/>
              </w:rPr>
              <w:t xml:space="preserve"> and</w:t>
            </w:r>
            <w:r w:rsidRPr="00F56055">
              <w:rPr>
                <w:rFonts w:ascii="Century Gothic" w:hAnsi="Century Gothic"/>
                <w:b/>
                <w:i/>
                <w:sz w:val="20"/>
                <w:szCs w:val="20"/>
              </w:rPr>
              <w:t xml:space="preserve"> Standards</w:t>
            </w:r>
            <w:r w:rsidR="00C30652">
              <w:rPr>
                <w:rFonts w:ascii="Century Gothic" w:hAnsi="Century Gothic"/>
                <w:b/>
                <w:i/>
                <w:sz w:val="20"/>
                <w:szCs w:val="20"/>
              </w:rPr>
              <w:t xml:space="preserve"> Agency</w:t>
            </w:r>
            <w:r w:rsidRPr="00F56055">
              <w:rPr>
                <w:rFonts w:ascii="Century Gothic" w:hAnsi="Century Gothic"/>
                <w:b/>
                <w:i/>
                <w:sz w:val="20"/>
                <w:szCs w:val="20"/>
              </w:rPr>
              <w:t xml:space="preserve"> Act 2011</w:t>
            </w:r>
            <w:r w:rsidRPr="00F56055">
              <w:rPr>
                <w:rFonts w:ascii="Century Gothic" w:hAnsi="Century Gothic"/>
                <w:b/>
                <w:sz w:val="20"/>
                <w:szCs w:val="20"/>
              </w:rPr>
              <w:t xml:space="preserve"> should be amended to </w:t>
            </w:r>
            <w:r w:rsidR="00203E58">
              <w:rPr>
                <w:rFonts w:ascii="Century Gothic" w:hAnsi="Century Gothic"/>
                <w:b/>
                <w:sz w:val="20"/>
                <w:szCs w:val="20"/>
              </w:rPr>
              <w:br/>
            </w:r>
            <w:r w:rsidRPr="00F56055">
              <w:rPr>
                <w:rFonts w:ascii="Century Gothic" w:hAnsi="Century Gothic"/>
                <w:b/>
                <w:sz w:val="20"/>
                <w:szCs w:val="20"/>
              </w:rPr>
              <w:t xml:space="preserve">allow for ‘greenfield’ </w:t>
            </w:r>
            <w:r w:rsidR="00F65FF8">
              <w:rPr>
                <w:rFonts w:ascii="Century Gothic" w:hAnsi="Century Gothic"/>
                <w:b/>
                <w:sz w:val="20"/>
                <w:szCs w:val="20"/>
              </w:rPr>
              <w:t>universities</w:t>
            </w:r>
            <w:r w:rsidRPr="00F56055">
              <w:rPr>
                <w:rFonts w:ascii="Century Gothic" w:hAnsi="Century Gothic"/>
                <w:b/>
                <w:sz w:val="20"/>
                <w:szCs w:val="20"/>
              </w:rPr>
              <w:t>. </w:t>
            </w:r>
          </w:p>
        </w:tc>
      </w:tr>
    </w:tbl>
    <w:p w14:paraId="316DDB8D" w14:textId="77777777" w:rsidR="00AC7D05" w:rsidRPr="00730C0D" w:rsidRDefault="00AC7D05" w:rsidP="007A507E">
      <w:pPr>
        <w:spacing w:before="0" w:after="0"/>
        <w:rPr>
          <w:rFonts w:ascii="Century Gothic" w:hAnsi="Century Gothic"/>
          <w:sz w:val="20"/>
          <w:szCs w:val="20"/>
        </w:rPr>
      </w:pPr>
    </w:p>
    <w:p w14:paraId="6FAA3ED6" w14:textId="7C245DD8" w:rsidR="00AC7D05" w:rsidRPr="00730C0D" w:rsidRDefault="00AE1672" w:rsidP="004978DA">
      <w:pPr>
        <w:pStyle w:val="Heading2"/>
      </w:pPr>
      <w:bookmarkStart w:id="76" w:name="_2.6_Self-Accrediting_Authority"/>
      <w:bookmarkStart w:id="77" w:name="_Toc18592343"/>
      <w:bookmarkEnd w:id="76"/>
      <w:r w:rsidRPr="00730C0D">
        <w:t>2.6</w:t>
      </w:r>
      <w:r w:rsidRPr="00730C0D">
        <w:tab/>
      </w:r>
      <w:r w:rsidR="00AC7D05" w:rsidRPr="00730C0D">
        <w:t>Self-Accrediting Authority Criteria</w:t>
      </w:r>
      <w:bookmarkEnd w:id="77"/>
      <w:r w:rsidR="00AC7D05" w:rsidRPr="00730C0D">
        <w:t xml:space="preserve"> </w:t>
      </w:r>
    </w:p>
    <w:p w14:paraId="7139782C" w14:textId="42F36546" w:rsidR="00AC7D05" w:rsidRPr="00E92F1D" w:rsidRDefault="00AC7D05" w:rsidP="00D31B9A">
      <w:pPr>
        <w:spacing w:before="0" w:after="0"/>
        <w:rPr>
          <w:rFonts w:ascii="Century Gothic" w:hAnsi="Century Gothic"/>
          <w:sz w:val="20"/>
          <w:szCs w:val="20"/>
        </w:rPr>
      </w:pPr>
      <w:r w:rsidRPr="00E92F1D">
        <w:rPr>
          <w:rFonts w:ascii="Century Gothic" w:hAnsi="Century Gothic"/>
          <w:sz w:val="20"/>
          <w:szCs w:val="20"/>
        </w:rPr>
        <w:t xml:space="preserve">Under Part B2 of the Threshold Standards, registration of a higher education provider in </w:t>
      </w:r>
      <w:r w:rsidR="005A25E3" w:rsidRPr="00E92F1D">
        <w:rPr>
          <w:rFonts w:ascii="Century Gothic" w:hAnsi="Century Gothic"/>
          <w:sz w:val="20"/>
          <w:szCs w:val="20"/>
        </w:rPr>
        <w:t>the ‘Australian University’ category</w:t>
      </w:r>
      <w:r w:rsidRPr="00E92F1D">
        <w:rPr>
          <w:rFonts w:ascii="Century Gothic" w:hAnsi="Century Gothic"/>
          <w:sz w:val="20"/>
          <w:szCs w:val="20"/>
        </w:rPr>
        <w:t xml:space="preserve"> </w:t>
      </w:r>
      <w:r w:rsidR="005A25E3" w:rsidRPr="00E92F1D">
        <w:rPr>
          <w:rFonts w:ascii="Century Gothic" w:hAnsi="Century Gothic"/>
          <w:sz w:val="20"/>
          <w:szCs w:val="20"/>
        </w:rPr>
        <w:t>confers</w:t>
      </w:r>
      <w:r w:rsidRPr="00E92F1D">
        <w:rPr>
          <w:rFonts w:ascii="Century Gothic" w:hAnsi="Century Gothic"/>
          <w:sz w:val="20"/>
          <w:szCs w:val="20"/>
        </w:rPr>
        <w:t xml:space="preserve"> self-accrediting authority on the provider. In other categories, higher education providers may seek approval from TEQSA for authority to </w:t>
      </w:r>
      <w:r w:rsidR="00F01E6D">
        <w:rPr>
          <w:rFonts w:ascii="Century Gothic" w:hAnsi="Century Gothic"/>
          <w:sz w:val="20"/>
          <w:szCs w:val="20"/>
        </w:rPr>
        <w:br/>
      </w:r>
      <w:r w:rsidRPr="00E92F1D">
        <w:rPr>
          <w:rFonts w:ascii="Century Gothic" w:hAnsi="Century Gothic"/>
          <w:sz w:val="20"/>
          <w:szCs w:val="20"/>
        </w:rPr>
        <w:t xml:space="preserve">self-accredit some or all of their courses of study. The </w:t>
      </w:r>
      <w:r w:rsidR="001C4635" w:rsidRPr="00E92F1D">
        <w:rPr>
          <w:rFonts w:ascii="Century Gothic" w:hAnsi="Century Gothic"/>
          <w:sz w:val="20"/>
          <w:szCs w:val="20"/>
        </w:rPr>
        <w:t xml:space="preserve">revised criteria set out in </w:t>
      </w:r>
      <w:hyperlink w:anchor="_Appendix_D." w:history="1">
        <w:r w:rsidR="001C4635" w:rsidRPr="00E92F1D">
          <w:rPr>
            <w:rStyle w:val="Hyperlink"/>
            <w:rFonts w:ascii="Century Gothic" w:hAnsi="Century Gothic"/>
            <w:sz w:val="20"/>
            <w:szCs w:val="20"/>
          </w:rPr>
          <w:t>Appendix D</w:t>
        </w:r>
      </w:hyperlink>
      <w:r w:rsidR="001C4635" w:rsidRPr="00E92F1D">
        <w:rPr>
          <w:rFonts w:ascii="Century Gothic" w:hAnsi="Century Gothic"/>
          <w:sz w:val="20"/>
          <w:szCs w:val="20"/>
        </w:rPr>
        <w:t xml:space="preserve"> clearly </w:t>
      </w:r>
      <w:r w:rsidR="00F01E6D">
        <w:rPr>
          <w:rFonts w:ascii="Century Gothic" w:hAnsi="Century Gothic"/>
          <w:sz w:val="20"/>
          <w:szCs w:val="20"/>
        </w:rPr>
        <w:t>state</w:t>
      </w:r>
      <w:r w:rsidR="001C4635" w:rsidRPr="00E92F1D">
        <w:rPr>
          <w:rFonts w:ascii="Century Gothic" w:hAnsi="Century Gothic"/>
          <w:sz w:val="20"/>
          <w:szCs w:val="20"/>
        </w:rPr>
        <w:t xml:space="preserve"> that the </w:t>
      </w:r>
      <w:r w:rsidRPr="00E92F1D">
        <w:rPr>
          <w:rFonts w:ascii="Century Gothic" w:hAnsi="Century Gothic"/>
          <w:sz w:val="20"/>
          <w:szCs w:val="20"/>
        </w:rPr>
        <w:t xml:space="preserve">types of self-accrediting authority that can be authorised by TEQSA are: </w:t>
      </w:r>
    </w:p>
    <w:p w14:paraId="44C4277F" w14:textId="110BF166" w:rsidR="00AC7D05" w:rsidRPr="00E92F1D" w:rsidRDefault="00AC7D05" w:rsidP="0024520B">
      <w:pPr>
        <w:numPr>
          <w:ilvl w:val="0"/>
          <w:numId w:val="44"/>
        </w:numPr>
        <w:spacing w:before="0" w:after="0"/>
        <w:rPr>
          <w:rFonts w:ascii="Century Gothic" w:hAnsi="Century Gothic"/>
          <w:sz w:val="20"/>
          <w:szCs w:val="20"/>
        </w:rPr>
      </w:pPr>
      <w:r w:rsidRPr="00E92F1D">
        <w:rPr>
          <w:rFonts w:ascii="Century Gothic" w:hAnsi="Century Gothic"/>
          <w:sz w:val="20"/>
          <w:szCs w:val="20"/>
        </w:rPr>
        <w:t xml:space="preserve">Unlimited: self-accrediting authority for all higher education courses of study that the provider delivers, or may deliver, in any </w:t>
      </w:r>
      <w:r w:rsidR="00A54FCC" w:rsidRPr="00E92F1D">
        <w:rPr>
          <w:rFonts w:ascii="Century Gothic" w:hAnsi="Century Gothic"/>
          <w:sz w:val="20"/>
          <w:szCs w:val="20"/>
        </w:rPr>
        <w:t xml:space="preserve">AQF </w:t>
      </w:r>
      <w:r w:rsidRPr="00E92F1D">
        <w:rPr>
          <w:rFonts w:ascii="Century Gothic" w:hAnsi="Century Gothic"/>
          <w:sz w:val="20"/>
          <w:szCs w:val="20"/>
        </w:rPr>
        <w:t>level or field of education</w:t>
      </w:r>
      <w:r w:rsidR="000E72BC" w:rsidRPr="00E92F1D">
        <w:rPr>
          <w:rFonts w:ascii="Century Gothic" w:hAnsi="Century Gothic"/>
          <w:sz w:val="20"/>
          <w:szCs w:val="20"/>
        </w:rPr>
        <w:t xml:space="preserve">; </w:t>
      </w:r>
      <w:r w:rsidR="00EF5C7D" w:rsidRPr="00E92F1D">
        <w:rPr>
          <w:rFonts w:ascii="Century Gothic" w:hAnsi="Century Gothic"/>
          <w:sz w:val="20"/>
          <w:szCs w:val="20"/>
        </w:rPr>
        <w:t>and</w:t>
      </w:r>
    </w:p>
    <w:p w14:paraId="342C0230" w14:textId="0A30D220" w:rsidR="00AC7D05" w:rsidRPr="00E92F1D" w:rsidRDefault="00AC7D05" w:rsidP="0024520B">
      <w:pPr>
        <w:numPr>
          <w:ilvl w:val="0"/>
          <w:numId w:val="44"/>
        </w:numPr>
        <w:spacing w:before="0" w:after="0"/>
        <w:rPr>
          <w:rFonts w:ascii="Century Gothic" w:hAnsi="Century Gothic"/>
          <w:sz w:val="20"/>
          <w:szCs w:val="20"/>
        </w:rPr>
      </w:pPr>
      <w:r w:rsidRPr="00E92F1D">
        <w:rPr>
          <w:rFonts w:ascii="Century Gothic" w:hAnsi="Century Gothic"/>
          <w:sz w:val="20"/>
          <w:szCs w:val="20"/>
        </w:rPr>
        <w:t xml:space="preserve">Limited: self-accrediting authority for higher education courses that the provider delivers, or may deliver, in a specific combination of </w:t>
      </w:r>
      <w:r w:rsidR="00A54FCC" w:rsidRPr="00E92F1D">
        <w:rPr>
          <w:rFonts w:ascii="Century Gothic" w:hAnsi="Century Gothic"/>
          <w:sz w:val="20"/>
          <w:szCs w:val="20"/>
        </w:rPr>
        <w:t xml:space="preserve">AQF </w:t>
      </w:r>
      <w:r w:rsidRPr="00E92F1D">
        <w:rPr>
          <w:rFonts w:ascii="Century Gothic" w:hAnsi="Century Gothic"/>
          <w:sz w:val="20"/>
          <w:szCs w:val="20"/>
        </w:rPr>
        <w:t xml:space="preserve">levels and/or fields of education. </w:t>
      </w:r>
    </w:p>
    <w:p w14:paraId="175CB71E" w14:textId="77777777" w:rsidR="00AC7D05" w:rsidRPr="00E92F1D" w:rsidRDefault="00AC7D05" w:rsidP="00D31B9A">
      <w:pPr>
        <w:spacing w:before="0" w:after="0"/>
        <w:rPr>
          <w:rFonts w:ascii="Century Gothic" w:hAnsi="Century Gothic"/>
          <w:sz w:val="20"/>
          <w:szCs w:val="20"/>
        </w:rPr>
      </w:pPr>
    </w:p>
    <w:p w14:paraId="7FCBF1D8" w14:textId="4B7681F2" w:rsidR="000434E1" w:rsidRDefault="00AC7D05" w:rsidP="000434E1">
      <w:pPr>
        <w:spacing w:before="0" w:after="0"/>
        <w:rPr>
          <w:rFonts w:ascii="Century Gothic" w:hAnsi="Century Gothic"/>
          <w:sz w:val="20"/>
          <w:szCs w:val="20"/>
        </w:rPr>
      </w:pPr>
      <w:r w:rsidRPr="00E92F1D">
        <w:rPr>
          <w:rFonts w:ascii="Century Gothic" w:hAnsi="Century Gothic"/>
          <w:sz w:val="20"/>
          <w:szCs w:val="20"/>
        </w:rPr>
        <w:t>There are c</w:t>
      </w:r>
      <w:r w:rsidR="00CF3DD2" w:rsidRPr="00E92F1D">
        <w:rPr>
          <w:rFonts w:ascii="Century Gothic" w:hAnsi="Century Gothic"/>
          <w:sz w:val="20"/>
          <w:szCs w:val="20"/>
        </w:rPr>
        <w:t>urrently 42 universities</w:t>
      </w:r>
      <w:r w:rsidR="008C6D7C">
        <w:rPr>
          <w:rFonts w:ascii="Century Gothic" w:hAnsi="Century Gothic"/>
          <w:sz w:val="20"/>
          <w:szCs w:val="20"/>
        </w:rPr>
        <w:t>, one university college</w:t>
      </w:r>
      <w:r w:rsidR="00203E58">
        <w:rPr>
          <w:rFonts w:ascii="Century Gothic" w:hAnsi="Century Gothic"/>
          <w:sz w:val="20"/>
          <w:szCs w:val="20"/>
        </w:rPr>
        <w:t>,</w:t>
      </w:r>
      <w:r w:rsidR="00CF3DD2" w:rsidRPr="00E92F1D">
        <w:rPr>
          <w:rFonts w:ascii="Century Gothic" w:hAnsi="Century Gothic"/>
          <w:sz w:val="20"/>
          <w:szCs w:val="20"/>
        </w:rPr>
        <w:t xml:space="preserve"> an</w:t>
      </w:r>
      <w:r w:rsidR="008C6D7C">
        <w:rPr>
          <w:rFonts w:ascii="Century Gothic" w:hAnsi="Century Gothic"/>
          <w:sz w:val="20"/>
          <w:szCs w:val="20"/>
        </w:rPr>
        <w:t xml:space="preserve">d one </w:t>
      </w:r>
      <w:r w:rsidRPr="00E92F1D">
        <w:rPr>
          <w:rFonts w:ascii="Century Gothic" w:hAnsi="Century Gothic"/>
          <w:sz w:val="20"/>
          <w:szCs w:val="20"/>
        </w:rPr>
        <w:t xml:space="preserve">higher education provider with unlimited self-accrediting authority, and one university of specialisation and </w:t>
      </w:r>
      <w:r w:rsidR="00CF3DD2" w:rsidRPr="00E92F1D">
        <w:rPr>
          <w:rFonts w:ascii="Century Gothic" w:hAnsi="Century Gothic"/>
          <w:sz w:val="20"/>
          <w:szCs w:val="20"/>
        </w:rPr>
        <w:t>ten</w:t>
      </w:r>
      <w:r w:rsidRPr="00E92F1D">
        <w:rPr>
          <w:rFonts w:ascii="Century Gothic" w:hAnsi="Century Gothic"/>
          <w:sz w:val="20"/>
          <w:szCs w:val="20"/>
        </w:rPr>
        <w:t xml:space="preserve"> higher education providers with limited self-accrediting authority</w:t>
      </w:r>
      <w:r w:rsidR="00750639" w:rsidRPr="00E92F1D">
        <w:rPr>
          <w:rFonts w:ascii="Century Gothic" w:hAnsi="Century Gothic"/>
          <w:sz w:val="20"/>
          <w:szCs w:val="20"/>
        </w:rPr>
        <w:t xml:space="preserve"> (see </w:t>
      </w:r>
      <w:hyperlink w:anchor="_Appendix_E." w:history="1">
        <w:r w:rsidR="00750639" w:rsidRPr="00E92F1D">
          <w:rPr>
            <w:rStyle w:val="Hyperlink"/>
            <w:rFonts w:ascii="Century Gothic" w:hAnsi="Century Gothic"/>
            <w:sz w:val="20"/>
            <w:szCs w:val="20"/>
          </w:rPr>
          <w:t>Appendix E</w:t>
        </w:r>
      </w:hyperlink>
      <w:r w:rsidR="00750639" w:rsidRPr="00E92F1D">
        <w:rPr>
          <w:rFonts w:ascii="Century Gothic" w:hAnsi="Century Gothic"/>
          <w:sz w:val="20"/>
          <w:szCs w:val="20"/>
        </w:rPr>
        <w:t>)</w:t>
      </w:r>
      <w:r w:rsidRPr="00E92F1D">
        <w:rPr>
          <w:rFonts w:ascii="Century Gothic" w:hAnsi="Century Gothic"/>
          <w:sz w:val="20"/>
          <w:szCs w:val="20"/>
        </w:rPr>
        <w:t xml:space="preserve">. </w:t>
      </w:r>
      <w:r w:rsidRPr="00E92F1D">
        <w:rPr>
          <w:rFonts w:ascii="Century Gothic" w:hAnsi="Century Gothic" w:cs="Calibri"/>
          <w:sz w:val="20"/>
          <w:szCs w:val="20"/>
        </w:rPr>
        <w:t>Providers who seek self-accrediting authority do so for various reasons</w:t>
      </w:r>
      <w:r w:rsidR="00F322D1" w:rsidRPr="00E92F1D">
        <w:rPr>
          <w:rFonts w:ascii="Century Gothic" w:hAnsi="Century Gothic" w:cs="Calibri"/>
          <w:sz w:val="20"/>
          <w:szCs w:val="20"/>
        </w:rPr>
        <w:t>. These include</w:t>
      </w:r>
      <w:r w:rsidRPr="00E92F1D">
        <w:rPr>
          <w:rFonts w:ascii="Century Gothic" w:hAnsi="Century Gothic" w:cs="Calibri"/>
          <w:sz w:val="20"/>
          <w:szCs w:val="20"/>
        </w:rPr>
        <w:t xml:space="preserve"> the recognition of their maturity</w:t>
      </w:r>
      <w:r w:rsidR="005A25E3" w:rsidRPr="00E92F1D">
        <w:rPr>
          <w:rFonts w:ascii="Century Gothic" w:hAnsi="Century Gothic" w:cs="Calibri"/>
          <w:sz w:val="20"/>
          <w:szCs w:val="20"/>
        </w:rPr>
        <w:t xml:space="preserve">, </w:t>
      </w:r>
      <w:r w:rsidRPr="00E92F1D">
        <w:rPr>
          <w:rFonts w:ascii="Century Gothic" w:hAnsi="Century Gothic" w:cs="Calibri"/>
          <w:sz w:val="20"/>
          <w:szCs w:val="20"/>
        </w:rPr>
        <w:t>quality</w:t>
      </w:r>
      <w:r w:rsidR="005A25E3" w:rsidRPr="00E92F1D">
        <w:rPr>
          <w:rFonts w:ascii="Century Gothic" w:hAnsi="Century Gothic" w:cs="Calibri"/>
          <w:sz w:val="20"/>
          <w:szCs w:val="20"/>
        </w:rPr>
        <w:t>,</w:t>
      </w:r>
      <w:r w:rsidRPr="00E92F1D">
        <w:rPr>
          <w:rFonts w:ascii="Century Gothic" w:hAnsi="Century Gothic" w:cs="Calibri"/>
          <w:sz w:val="20"/>
          <w:szCs w:val="20"/>
        </w:rPr>
        <w:t xml:space="preserve"> and the ability to bring courses to market without relying o</w:t>
      </w:r>
      <w:r w:rsidR="00750639" w:rsidRPr="00E92F1D">
        <w:rPr>
          <w:rFonts w:ascii="Century Gothic" w:hAnsi="Century Gothic" w:cs="Calibri"/>
          <w:sz w:val="20"/>
          <w:szCs w:val="20"/>
        </w:rPr>
        <w:t>n TEQSA’s</w:t>
      </w:r>
      <w:r w:rsidR="005A25E3" w:rsidRPr="00E92F1D">
        <w:rPr>
          <w:rFonts w:ascii="Century Gothic" w:hAnsi="Century Gothic" w:cs="Calibri"/>
          <w:sz w:val="20"/>
          <w:szCs w:val="20"/>
        </w:rPr>
        <w:t xml:space="preserve"> course</w:t>
      </w:r>
      <w:r w:rsidR="00750639" w:rsidRPr="00E92F1D">
        <w:rPr>
          <w:rFonts w:ascii="Century Gothic" w:hAnsi="Century Gothic" w:cs="Calibri"/>
          <w:sz w:val="20"/>
          <w:szCs w:val="20"/>
        </w:rPr>
        <w:t xml:space="preserve"> accreditation process. </w:t>
      </w:r>
      <w:r w:rsidR="00F322D1" w:rsidRPr="00E92F1D">
        <w:rPr>
          <w:rFonts w:ascii="Century Gothic" w:hAnsi="Century Gothic" w:cs="Calibri"/>
          <w:sz w:val="20"/>
          <w:szCs w:val="20"/>
        </w:rPr>
        <w:t>Self-accrediting authority</w:t>
      </w:r>
      <w:r w:rsidRPr="00E92F1D">
        <w:rPr>
          <w:rFonts w:ascii="Century Gothic" w:hAnsi="Century Gothic" w:cs="Calibri"/>
          <w:sz w:val="20"/>
          <w:szCs w:val="20"/>
        </w:rPr>
        <w:t xml:space="preserve"> can lend itself to faster, </w:t>
      </w:r>
      <w:r w:rsidR="00A54FCC" w:rsidRPr="00E92F1D">
        <w:rPr>
          <w:rFonts w:ascii="Century Gothic" w:hAnsi="Century Gothic" w:cs="Calibri"/>
          <w:sz w:val="20"/>
          <w:szCs w:val="20"/>
        </w:rPr>
        <w:t xml:space="preserve">more </w:t>
      </w:r>
      <w:r w:rsidRPr="00E92F1D">
        <w:rPr>
          <w:rFonts w:ascii="Century Gothic" w:hAnsi="Century Gothic" w:cs="Calibri"/>
          <w:sz w:val="20"/>
          <w:szCs w:val="20"/>
        </w:rPr>
        <w:t>flexible</w:t>
      </w:r>
      <w:r w:rsidR="005A25E3" w:rsidRPr="00E92F1D">
        <w:rPr>
          <w:rFonts w:ascii="Century Gothic" w:hAnsi="Century Gothic" w:cs="Calibri"/>
          <w:sz w:val="20"/>
          <w:szCs w:val="20"/>
        </w:rPr>
        <w:t>,</w:t>
      </w:r>
      <w:r w:rsidRPr="00E92F1D">
        <w:rPr>
          <w:rFonts w:ascii="Century Gothic" w:hAnsi="Century Gothic" w:cs="Calibri"/>
          <w:sz w:val="20"/>
          <w:szCs w:val="20"/>
        </w:rPr>
        <w:t xml:space="preserve"> and </w:t>
      </w:r>
      <w:r w:rsidR="005A25E3" w:rsidRPr="00E92F1D">
        <w:rPr>
          <w:rFonts w:ascii="Century Gothic" w:hAnsi="Century Gothic" w:cs="Calibri"/>
          <w:sz w:val="20"/>
          <w:szCs w:val="20"/>
        </w:rPr>
        <w:t xml:space="preserve">more </w:t>
      </w:r>
      <w:r w:rsidRPr="00E92F1D">
        <w:rPr>
          <w:rFonts w:ascii="Century Gothic" w:hAnsi="Century Gothic" w:cs="Calibri"/>
          <w:sz w:val="20"/>
          <w:szCs w:val="20"/>
        </w:rPr>
        <w:t xml:space="preserve">innovative course construction </w:t>
      </w:r>
      <w:r w:rsidR="005A25E3" w:rsidRPr="00E92F1D">
        <w:rPr>
          <w:rFonts w:ascii="Century Gothic" w:hAnsi="Century Gothic" w:cs="Calibri"/>
          <w:sz w:val="20"/>
          <w:szCs w:val="20"/>
        </w:rPr>
        <w:t xml:space="preserve">to better </w:t>
      </w:r>
      <w:r w:rsidR="00F01E6D">
        <w:rPr>
          <w:rFonts w:ascii="Century Gothic" w:hAnsi="Century Gothic" w:cs="Calibri"/>
          <w:sz w:val="20"/>
          <w:szCs w:val="20"/>
        </w:rPr>
        <w:t xml:space="preserve">keep pace with industry needs. </w:t>
      </w:r>
    </w:p>
    <w:p w14:paraId="7FB038CC" w14:textId="77777777" w:rsidR="000434E1" w:rsidRDefault="000434E1" w:rsidP="000434E1">
      <w:pPr>
        <w:spacing w:before="0" w:after="0"/>
        <w:rPr>
          <w:rFonts w:ascii="Century Gothic" w:hAnsi="Century Gothic"/>
          <w:sz w:val="20"/>
          <w:szCs w:val="20"/>
        </w:rPr>
      </w:pPr>
    </w:p>
    <w:p w14:paraId="5EDA45EC" w14:textId="1C640B3D" w:rsidR="00E86FBD" w:rsidRDefault="00AC7D05" w:rsidP="00D31B9A">
      <w:pPr>
        <w:spacing w:before="0" w:after="0"/>
        <w:rPr>
          <w:rFonts w:ascii="Century Gothic" w:hAnsi="Century Gothic"/>
          <w:sz w:val="20"/>
          <w:szCs w:val="20"/>
        </w:rPr>
      </w:pPr>
      <w:r w:rsidRPr="00F01E6D">
        <w:rPr>
          <w:rFonts w:ascii="Century Gothic" w:hAnsi="Century Gothic"/>
          <w:sz w:val="20"/>
          <w:szCs w:val="20"/>
        </w:rPr>
        <w:t xml:space="preserve">The authority to self-accredit is a </w:t>
      </w:r>
      <w:r w:rsidR="008B6E55">
        <w:rPr>
          <w:rFonts w:ascii="Century Gothic" w:hAnsi="Century Gothic"/>
          <w:sz w:val="20"/>
          <w:szCs w:val="20"/>
        </w:rPr>
        <w:t>significant</w:t>
      </w:r>
      <w:r w:rsidR="008B6E55" w:rsidRPr="00F01E6D">
        <w:rPr>
          <w:rFonts w:ascii="Century Gothic" w:hAnsi="Century Gothic"/>
          <w:sz w:val="20"/>
          <w:szCs w:val="20"/>
        </w:rPr>
        <w:t xml:space="preserve"> </w:t>
      </w:r>
      <w:r w:rsidRPr="00F01E6D">
        <w:rPr>
          <w:rFonts w:ascii="Century Gothic" w:hAnsi="Century Gothic"/>
          <w:sz w:val="20"/>
          <w:szCs w:val="20"/>
        </w:rPr>
        <w:t>privilege bestowed on a provider</w:t>
      </w:r>
      <w:r w:rsidR="00F322D1" w:rsidRPr="00F01E6D">
        <w:rPr>
          <w:rFonts w:ascii="Century Gothic" w:hAnsi="Century Gothic"/>
          <w:sz w:val="20"/>
          <w:szCs w:val="20"/>
        </w:rPr>
        <w:t>;</w:t>
      </w:r>
      <w:r w:rsidRPr="00F01E6D">
        <w:rPr>
          <w:rFonts w:ascii="Century Gothic" w:hAnsi="Century Gothic"/>
          <w:sz w:val="20"/>
          <w:szCs w:val="20"/>
        </w:rPr>
        <w:t xml:space="preserve"> achieving </w:t>
      </w:r>
      <w:r w:rsidR="003D4960" w:rsidRPr="00F01E6D">
        <w:rPr>
          <w:rFonts w:ascii="Century Gothic" w:hAnsi="Century Gothic"/>
          <w:sz w:val="20"/>
          <w:szCs w:val="20"/>
        </w:rPr>
        <w:br/>
      </w:r>
      <w:r w:rsidRPr="00F01E6D">
        <w:rPr>
          <w:rFonts w:ascii="Century Gothic" w:hAnsi="Century Gothic"/>
          <w:sz w:val="20"/>
          <w:szCs w:val="20"/>
        </w:rPr>
        <w:t>self-accrediting authority is a clear demonstration that the provider has established a track record of performance, transparency</w:t>
      </w:r>
      <w:r w:rsidR="00750639" w:rsidRPr="00F01E6D">
        <w:rPr>
          <w:rFonts w:ascii="Century Gothic" w:hAnsi="Century Gothic"/>
          <w:sz w:val="20"/>
          <w:szCs w:val="20"/>
        </w:rPr>
        <w:t>,</w:t>
      </w:r>
      <w:r w:rsidRPr="00F01E6D">
        <w:rPr>
          <w:rFonts w:ascii="Century Gothic" w:hAnsi="Century Gothic"/>
          <w:sz w:val="20"/>
          <w:szCs w:val="20"/>
        </w:rPr>
        <w:t xml:space="preserve"> and compliance with TEQSA</w:t>
      </w:r>
      <w:r w:rsidR="00750639" w:rsidRPr="00F01E6D">
        <w:rPr>
          <w:rFonts w:ascii="Century Gothic" w:hAnsi="Century Gothic"/>
          <w:sz w:val="20"/>
          <w:szCs w:val="20"/>
        </w:rPr>
        <w:t>,</w:t>
      </w:r>
      <w:r w:rsidRPr="00F01E6D">
        <w:rPr>
          <w:rFonts w:ascii="Century Gothic" w:hAnsi="Century Gothic"/>
          <w:sz w:val="20"/>
          <w:szCs w:val="20"/>
        </w:rPr>
        <w:t xml:space="preserve"> and has a particular level of institutional maturity and quality in governance and teaching. </w:t>
      </w:r>
    </w:p>
    <w:p w14:paraId="37508787" w14:textId="77777777" w:rsidR="00E86FBD" w:rsidRDefault="00E86FBD" w:rsidP="00D31B9A">
      <w:pPr>
        <w:spacing w:before="0" w:after="0"/>
        <w:rPr>
          <w:rFonts w:ascii="Century Gothic" w:hAnsi="Century Gothic"/>
          <w:sz w:val="20"/>
          <w:szCs w:val="20"/>
        </w:rPr>
      </w:pPr>
    </w:p>
    <w:p w14:paraId="434A57AA" w14:textId="12AAA389" w:rsidR="00AC7D05" w:rsidRPr="00E86FBD" w:rsidRDefault="00AC7D05" w:rsidP="00D31B9A">
      <w:pPr>
        <w:spacing w:before="0" w:after="0"/>
        <w:rPr>
          <w:rFonts w:ascii="Century Gothic" w:hAnsi="Century Gothic"/>
          <w:sz w:val="20"/>
          <w:szCs w:val="20"/>
        </w:rPr>
      </w:pPr>
      <w:r w:rsidRPr="00F01E6D">
        <w:rPr>
          <w:rFonts w:ascii="Century Gothic" w:hAnsi="Century Gothic"/>
          <w:sz w:val="20"/>
          <w:szCs w:val="20"/>
        </w:rPr>
        <w:t>As such</w:t>
      </w:r>
      <w:r w:rsidR="00F322D1" w:rsidRPr="00F01E6D">
        <w:rPr>
          <w:rFonts w:ascii="Century Gothic" w:hAnsi="Century Gothic"/>
          <w:sz w:val="20"/>
          <w:szCs w:val="20"/>
        </w:rPr>
        <w:t>,</w:t>
      </w:r>
      <w:r w:rsidRPr="00F01E6D">
        <w:rPr>
          <w:rFonts w:ascii="Century Gothic" w:hAnsi="Century Gothic"/>
          <w:sz w:val="20"/>
          <w:szCs w:val="20"/>
        </w:rPr>
        <w:t xml:space="preserve"> the criteria for self-accrediting authority need to be sufficiently </w:t>
      </w:r>
      <w:r w:rsidR="00F322D1" w:rsidRPr="00F01E6D">
        <w:rPr>
          <w:rFonts w:ascii="Century Gothic" w:hAnsi="Century Gothic"/>
          <w:sz w:val="20"/>
          <w:szCs w:val="20"/>
        </w:rPr>
        <w:t>robust</w:t>
      </w:r>
      <w:r w:rsidRPr="00F01E6D">
        <w:rPr>
          <w:rFonts w:ascii="Century Gothic" w:hAnsi="Century Gothic"/>
          <w:sz w:val="20"/>
          <w:szCs w:val="20"/>
        </w:rPr>
        <w:t xml:space="preserve"> to ensure that a provider has mature and effective internal course design and approval processes to support self-accreditation. </w:t>
      </w:r>
      <w:r w:rsidRPr="00F01E6D">
        <w:rPr>
          <w:rFonts w:ascii="Century Gothic" w:hAnsi="Century Gothic"/>
          <w:sz w:val="20"/>
          <w:szCs w:val="20"/>
          <w:lang w:val="en"/>
        </w:rPr>
        <w:t xml:space="preserve">Providers </w:t>
      </w:r>
      <w:r w:rsidR="005A25E3" w:rsidRPr="00F01E6D">
        <w:rPr>
          <w:rFonts w:ascii="Century Gothic" w:hAnsi="Century Gothic"/>
          <w:sz w:val="20"/>
          <w:szCs w:val="20"/>
          <w:lang w:val="en"/>
        </w:rPr>
        <w:t xml:space="preserve">that </w:t>
      </w:r>
      <w:r w:rsidRPr="00F01E6D">
        <w:rPr>
          <w:rFonts w:ascii="Century Gothic" w:hAnsi="Century Gothic"/>
          <w:sz w:val="20"/>
          <w:szCs w:val="20"/>
          <w:lang w:val="en"/>
        </w:rPr>
        <w:t>self-accredit their courses of study are accountable for:</w:t>
      </w:r>
    </w:p>
    <w:p w14:paraId="1611EDED" w14:textId="318936A2" w:rsidR="00AC7D05" w:rsidRPr="00F01E6D" w:rsidRDefault="00AC7D05" w:rsidP="0024520B">
      <w:pPr>
        <w:numPr>
          <w:ilvl w:val="0"/>
          <w:numId w:val="44"/>
        </w:numPr>
        <w:spacing w:before="0" w:after="0"/>
        <w:rPr>
          <w:rFonts w:ascii="Century Gothic" w:hAnsi="Century Gothic"/>
          <w:sz w:val="20"/>
          <w:szCs w:val="20"/>
          <w:lang w:val="en"/>
        </w:rPr>
      </w:pPr>
      <w:r w:rsidRPr="00F01E6D">
        <w:rPr>
          <w:rFonts w:ascii="Century Gothic" w:hAnsi="Century Gothic"/>
          <w:sz w:val="20"/>
          <w:szCs w:val="20"/>
          <w:lang w:val="en"/>
        </w:rPr>
        <w:t>interpreting the requirements of the Threshold Standards</w:t>
      </w:r>
      <w:r w:rsidR="00F322D1" w:rsidRPr="00F01E6D">
        <w:rPr>
          <w:rFonts w:ascii="Century Gothic" w:hAnsi="Century Gothic"/>
          <w:sz w:val="20"/>
          <w:szCs w:val="20"/>
          <w:lang w:val="en"/>
        </w:rPr>
        <w:t>;</w:t>
      </w:r>
      <w:r w:rsidRPr="00F01E6D">
        <w:rPr>
          <w:rFonts w:ascii="Century Gothic" w:hAnsi="Century Gothic"/>
          <w:sz w:val="20"/>
          <w:szCs w:val="20"/>
          <w:lang w:val="en"/>
        </w:rPr>
        <w:t xml:space="preserve"> </w:t>
      </w:r>
    </w:p>
    <w:p w14:paraId="48E1566B" w14:textId="63BD137F" w:rsidR="00AC7D05" w:rsidRPr="00F01E6D" w:rsidRDefault="00AC7D05" w:rsidP="0024520B">
      <w:pPr>
        <w:numPr>
          <w:ilvl w:val="0"/>
          <w:numId w:val="44"/>
        </w:numPr>
        <w:spacing w:before="0" w:after="0"/>
        <w:rPr>
          <w:rFonts w:ascii="Century Gothic" w:hAnsi="Century Gothic"/>
          <w:sz w:val="20"/>
          <w:szCs w:val="20"/>
          <w:lang w:val="en"/>
        </w:rPr>
      </w:pPr>
      <w:r w:rsidRPr="00F01E6D">
        <w:rPr>
          <w:rFonts w:ascii="Century Gothic" w:hAnsi="Century Gothic"/>
          <w:sz w:val="20"/>
          <w:szCs w:val="20"/>
          <w:lang w:val="en"/>
        </w:rPr>
        <w:t>judging whether the Threshold Standards will be appropriately applied and met throughout the development, approval</w:t>
      </w:r>
      <w:r w:rsidR="005A25E3" w:rsidRPr="00F01E6D">
        <w:rPr>
          <w:rFonts w:ascii="Century Gothic" w:hAnsi="Century Gothic"/>
          <w:sz w:val="20"/>
          <w:szCs w:val="20"/>
          <w:lang w:val="en"/>
        </w:rPr>
        <w:t>,</w:t>
      </w:r>
      <w:r w:rsidR="00E103E4" w:rsidRPr="00F01E6D">
        <w:rPr>
          <w:rFonts w:ascii="Century Gothic" w:hAnsi="Century Gothic"/>
          <w:sz w:val="20"/>
          <w:szCs w:val="20"/>
          <w:lang w:val="en"/>
        </w:rPr>
        <w:t xml:space="preserve"> and</w:t>
      </w:r>
      <w:r w:rsidR="000F4B95" w:rsidRPr="00F01E6D">
        <w:rPr>
          <w:rFonts w:ascii="Century Gothic" w:hAnsi="Century Gothic"/>
          <w:sz w:val="20"/>
          <w:szCs w:val="20"/>
          <w:lang w:val="en"/>
        </w:rPr>
        <w:t xml:space="preserve"> </w:t>
      </w:r>
      <w:r w:rsidRPr="00F01E6D">
        <w:rPr>
          <w:rFonts w:ascii="Century Gothic" w:hAnsi="Century Gothic"/>
          <w:sz w:val="20"/>
          <w:szCs w:val="20"/>
          <w:lang w:val="en"/>
        </w:rPr>
        <w:t>delivery of a course of study</w:t>
      </w:r>
      <w:r w:rsidR="00F322D1" w:rsidRPr="00F01E6D">
        <w:rPr>
          <w:rFonts w:ascii="Century Gothic" w:hAnsi="Century Gothic"/>
          <w:sz w:val="20"/>
          <w:szCs w:val="20"/>
          <w:lang w:val="en"/>
        </w:rPr>
        <w:t>; and</w:t>
      </w:r>
    </w:p>
    <w:p w14:paraId="07BD1EFE" w14:textId="77777777" w:rsidR="00AC7D05" w:rsidRPr="00F01E6D" w:rsidRDefault="00AC7D05" w:rsidP="0024520B">
      <w:pPr>
        <w:numPr>
          <w:ilvl w:val="0"/>
          <w:numId w:val="44"/>
        </w:numPr>
        <w:spacing w:before="0" w:after="0"/>
        <w:rPr>
          <w:rFonts w:ascii="Century Gothic" w:hAnsi="Century Gothic"/>
          <w:sz w:val="20"/>
          <w:szCs w:val="20"/>
          <w:lang w:val="en"/>
        </w:rPr>
      </w:pPr>
      <w:r w:rsidRPr="00F01E6D">
        <w:rPr>
          <w:rFonts w:ascii="Century Gothic" w:hAnsi="Century Gothic"/>
          <w:sz w:val="20"/>
          <w:szCs w:val="20"/>
          <w:lang w:val="en"/>
        </w:rPr>
        <w:t>ensuring that compliance across all the Threshold Standards is sustained throughout their higher education operations.</w:t>
      </w:r>
      <w:r w:rsidRPr="00F01E6D">
        <w:rPr>
          <w:rFonts w:ascii="Century Gothic" w:hAnsi="Century Gothic"/>
          <w:sz w:val="20"/>
          <w:szCs w:val="20"/>
          <w:vertAlign w:val="superscript"/>
          <w:lang w:val="en"/>
        </w:rPr>
        <w:footnoteReference w:id="111"/>
      </w:r>
    </w:p>
    <w:p w14:paraId="1C21505A" w14:textId="4A9AEBE7" w:rsidR="005A25E3" w:rsidRPr="00F01E6D" w:rsidRDefault="005A25E3" w:rsidP="00D31B9A">
      <w:pPr>
        <w:spacing w:before="0" w:after="0"/>
        <w:rPr>
          <w:rFonts w:ascii="Century Gothic" w:hAnsi="Century Gothic"/>
          <w:sz w:val="20"/>
          <w:szCs w:val="20"/>
          <w:lang w:val="en"/>
        </w:rPr>
      </w:pPr>
    </w:p>
    <w:p w14:paraId="052D7DDD" w14:textId="687B8DCA" w:rsidR="00AC7D05" w:rsidRPr="00F01E6D" w:rsidRDefault="00AC7D05" w:rsidP="00D31B9A">
      <w:pPr>
        <w:spacing w:before="0" w:after="0"/>
        <w:rPr>
          <w:rFonts w:ascii="Century Gothic" w:hAnsi="Century Gothic" w:cs="Calibri"/>
          <w:sz w:val="20"/>
          <w:szCs w:val="20"/>
        </w:rPr>
      </w:pPr>
      <w:r w:rsidRPr="00F01E6D">
        <w:rPr>
          <w:rFonts w:ascii="Century Gothic" w:hAnsi="Century Gothic"/>
          <w:sz w:val="20"/>
          <w:szCs w:val="20"/>
        </w:rPr>
        <w:t xml:space="preserve">The majority of stakeholders </w:t>
      </w:r>
      <w:r w:rsidR="004C652F" w:rsidRPr="00F01E6D">
        <w:rPr>
          <w:rFonts w:ascii="Century Gothic" w:hAnsi="Century Gothic"/>
          <w:sz w:val="20"/>
          <w:szCs w:val="20"/>
        </w:rPr>
        <w:t>are</w:t>
      </w:r>
      <w:r w:rsidRPr="00F01E6D">
        <w:rPr>
          <w:rFonts w:ascii="Century Gothic" w:hAnsi="Century Gothic"/>
          <w:sz w:val="20"/>
          <w:szCs w:val="20"/>
        </w:rPr>
        <w:t xml:space="preserve"> satisfied with the rigour and robustness of the criteria to protect the high standing of providers with self-accrediting authority. </w:t>
      </w:r>
      <w:r w:rsidRPr="00F01E6D">
        <w:rPr>
          <w:rFonts w:ascii="Century Gothic" w:hAnsi="Century Gothic" w:cs="Calibri"/>
          <w:sz w:val="20"/>
          <w:szCs w:val="20"/>
        </w:rPr>
        <w:t xml:space="preserve">Since TEQSA began operation in 2012, the number of providers in the ‘Higher Education Provider’ category with </w:t>
      </w:r>
      <w:r w:rsidR="004C652F" w:rsidRPr="00F01E6D">
        <w:rPr>
          <w:rFonts w:ascii="Century Gothic" w:hAnsi="Century Gothic" w:cs="Calibri"/>
          <w:sz w:val="20"/>
          <w:szCs w:val="20"/>
        </w:rPr>
        <w:t xml:space="preserve">some form of </w:t>
      </w:r>
      <w:r w:rsidRPr="00F01E6D">
        <w:rPr>
          <w:rFonts w:ascii="Century Gothic" w:hAnsi="Century Gothic" w:cs="Calibri"/>
          <w:sz w:val="20"/>
          <w:szCs w:val="20"/>
        </w:rPr>
        <w:t>self-accrediting auth</w:t>
      </w:r>
      <w:r w:rsidR="00D55D9D" w:rsidRPr="00F01E6D">
        <w:rPr>
          <w:rFonts w:ascii="Century Gothic" w:hAnsi="Century Gothic" w:cs="Calibri"/>
          <w:sz w:val="20"/>
          <w:szCs w:val="20"/>
        </w:rPr>
        <w:t>ority has risen from three to 11</w:t>
      </w:r>
      <w:r w:rsidR="001D446D" w:rsidRPr="00F01E6D">
        <w:rPr>
          <w:rFonts w:ascii="Century Gothic" w:hAnsi="Century Gothic" w:cs="Calibri"/>
          <w:sz w:val="20"/>
          <w:szCs w:val="20"/>
        </w:rPr>
        <w:t>,</w:t>
      </w:r>
      <w:r w:rsidRPr="00F01E6D">
        <w:rPr>
          <w:rFonts w:ascii="Century Gothic" w:hAnsi="Century Gothic" w:cs="Calibri"/>
          <w:sz w:val="20"/>
          <w:szCs w:val="20"/>
        </w:rPr>
        <w:t xml:space="preserve"> demonstrating that the criteria are tough, but attainable.</w:t>
      </w:r>
      <w:r w:rsidRPr="00F01E6D">
        <w:rPr>
          <w:rFonts w:ascii="Century Gothic" w:hAnsi="Century Gothic" w:cs="Calibri"/>
          <w:sz w:val="20"/>
          <w:szCs w:val="20"/>
          <w:vertAlign w:val="superscript"/>
        </w:rPr>
        <w:footnoteReference w:id="112"/>
      </w:r>
      <w:r w:rsidRPr="00F01E6D">
        <w:rPr>
          <w:rFonts w:ascii="Century Gothic" w:hAnsi="Century Gothic" w:cs="Calibri"/>
          <w:sz w:val="20"/>
          <w:szCs w:val="20"/>
        </w:rPr>
        <w:t xml:space="preserve"> </w:t>
      </w:r>
    </w:p>
    <w:p w14:paraId="63CA1A96" w14:textId="77777777" w:rsidR="00AC7D05" w:rsidRPr="00F01E6D" w:rsidRDefault="00AC7D05" w:rsidP="00D31B9A">
      <w:pPr>
        <w:spacing w:before="0" w:after="0"/>
        <w:rPr>
          <w:rFonts w:ascii="Century Gothic" w:hAnsi="Century Gothic" w:cs="Calibri"/>
          <w:sz w:val="20"/>
          <w:szCs w:val="20"/>
        </w:rPr>
      </w:pPr>
    </w:p>
    <w:p w14:paraId="1987F695" w14:textId="11826820" w:rsidR="005A25E3" w:rsidRPr="00F01E6D" w:rsidRDefault="005A25E3" w:rsidP="00F01E6D">
      <w:pPr>
        <w:spacing w:before="0" w:after="0"/>
        <w:rPr>
          <w:rFonts w:ascii="Century Gothic" w:hAnsi="Century Gothic" w:cs="Calibri"/>
          <w:sz w:val="20"/>
          <w:szCs w:val="20"/>
        </w:rPr>
      </w:pPr>
      <w:r w:rsidRPr="00F01E6D">
        <w:rPr>
          <w:rFonts w:ascii="Century Gothic" w:hAnsi="Century Gothic" w:cs="Calibri"/>
          <w:sz w:val="20"/>
          <w:szCs w:val="20"/>
        </w:rPr>
        <w:t xml:space="preserve">However, the wording of the current criteria for self-accrediting authority is overly complex. </w:t>
      </w:r>
      <w:r w:rsidR="001B04E6" w:rsidRPr="00F01E6D">
        <w:rPr>
          <w:rFonts w:ascii="Century Gothic" w:hAnsi="Century Gothic" w:cs="Calibri"/>
          <w:sz w:val="20"/>
          <w:szCs w:val="20"/>
        </w:rPr>
        <w:br/>
      </w:r>
      <w:r w:rsidRPr="00F01E6D">
        <w:rPr>
          <w:rFonts w:ascii="Century Gothic" w:hAnsi="Century Gothic" w:cs="Calibri"/>
          <w:sz w:val="20"/>
          <w:szCs w:val="20"/>
        </w:rPr>
        <w:t xml:space="preserve">The earlier review of the Threshold Standards (see </w:t>
      </w:r>
      <w:hyperlink w:anchor="_1.1.1_Australia’s_Higher" w:history="1">
        <w:r w:rsidRPr="00F01E6D">
          <w:rPr>
            <w:rStyle w:val="Hyperlink"/>
            <w:rFonts w:ascii="Century Gothic" w:hAnsi="Century Gothic" w:cs="Calibri"/>
            <w:sz w:val="20"/>
            <w:szCs w:val="20"/>
          </w:rPr>
          <w:t>Section 1.1.1</w:t>
        </w:r>
      </w:hyperlink>
      <w:r w:rsidRPr="00F01E6D">
        <w:rPr>
          <w:rFonts w:ascii="Century Gothic" w:hAnsi="Century Gothic" w:cs="Calibri"/>
          <w:sz w:val="20"/>
          <w:szCs w:val="20"/>
        </w:rPr>
        <w:t xml:space="preserve">) introduced three subsections in Part B2. These included detailed descriptions of the types of self-accrediting authority that may be sought, and different subsections for limited and unlimited self-accrediting authority, although the sections were not explicitly named as such. The revised criteria set out in </w:t>
      </w:r>
      <w:r w:rsidR="001B04E6" w:rsidRPr="00F01E6D">
        <w:rPr>
          <w:rFonts w:ascii="Century Gothic" w:hAnsi="Century Gothic" w:cs="Calibri"/>
          <w:sz w:val="20"/>
          <w:szCs w:val="20"/>
        </w:rPr>
        <w:br/>
      </w:r>
      <w:hyperlink w:anchor="_Appendix_D." w:history="1">
        <w:r w:rsidRPr="00F01E6D">
          <w:rPr>
            <w:rStyle w:val="Hyperlink"/>
            <w:rFonts w:ascii="Century Gothic" w:hAnsi="Century Gothic" w:cs="Calibri"/>
            <w:sz w:val="20"/>
            <w:szCs w:val="20"/>
          </w:rPr>
          <w:t>Appendix D</w:t>
        </w:r>
      </w:hyperlink>
      <w:r w:rsidRPr="00F01E6D">
        <w:rPr>
          <w:rFonts w:ascii="Century Gothic" w:hAnsi="Century Gothic" w:cs="Calibri"/>
          <w:sz w:val="20"/>
          <w:szCs w:val="20"/>
        </w:rPr>
        <w:t xml:space="preserve"> have addressed this issue by consolidating Part B2 into one section. </w:t>
      </w:r>
      <w:r w:rsidR="00F01E6D">
        <w:rPr>
          <w:rFonts w:ascii="Century Gothic" w:hAnsi="Century Gothic" w:cs="Calibri"/>
          <w:sz w:val="20"/>
          <w:szCs w:val="20"/>
        </w:rPr>
        <w:br/>
      </w:r>
      <w:r w:rsidRPr="00F01E6D">
        <w:rPr>
          <w:rFonts w:ascii="Century Gothic" w:hAnsi="Century Gothic" w:cs="Calibri"/>
          <w:sz w:val="20"/>
          <w:szCs w:val="20"/>
        </w:rPr>
        <w:t xml:space="preserve">This emphasises that self-accrediting authority is primarily about the ability of providers to </w:t>
      </w:r>
      <w:r w:rsidR="004C16A6" w:rsidRPr="00F01E6D">
        <w:rPr>
          <w:rFonts w:ascii="Century Gothic" w:hAnsi="Century Gothic" w:cs="Calibri"/>
          <w:sz w:val="20"/>
          <w:szCs w:val="20"/>
        </w:rPr>
        <w:t>develop</w:t>
      </w:r>
      <w:r w:rsidRPr="00F01E6D">
        <w:rPr>
          <w:rFonts w:ascii="Century Gothic" w:hAnsi="Century Gothic" w:cs="Calibri"/>
          <w:sz w:val="20"/>
          <w:szCs w:val="20"/>
        </w:rPr>
        <w:t xml:space="preserve"> courses consistently over a number of cycles to standards acceptable to TEQSA with no conditions imposed on any courses. </w:t>
      </w:r>
    </w:p>
    <w:p w14:paraId="2324B6ED" w14:textId="77777777" w:rsidR="005A25E3" w:rsidRPr="00F01E6D" w:rsidRDefault="005A25E3" w:rsidP="00D31B9A">
      <w:pPr>
        <w:spacing w:before="0" w:after="0"/>
        <w:rPr>
          <w:rFonts w:ascii="Century Gothic" w:hAnsi="Century Gothic" w:cs="Calibri"/>
          <w:sz w:val="20"/>
          <w:szCs w:val="20"/>
        </w:rPr>
      </w:pPr>
    </w:p>
    <w:p w14:paraId="5B6ADCCF" w14:textId="7C13A7A8" w:rsidR="00AC7D05" w:rsidRPr="00F01E6D" w:rsidRDefault="005A25E3" w:rsidP="00D31B9A">
      <w:pPr>
        <w:spacing w:before="0" w:after="0"/>
        <w:rPr>
          <w:rFonts w:ascii="Century Gothic" w:hAnsi="Century Gothic" w:cs="Calibri"/>
          <w:sz w:val="20"/>
          <w:szCs w:val="20"/>
        </w:rPr>
      </w:pPr>
      <w:r w:rsidRPr="00F01E6D">
        <w:rPr>
          <w:rFonts w:ascii="Century Gothic" w:hAnsi="Century Gothic" w:cs="Calibri"/>
          <w:sz w:val="20"/>
          <w:szCs w:val="20"/>
        </w:rPr>
        <w:t>In addition</w:t>
      </w:r>
      <w:r w:rsidR="003223DE" w:rsidRPr="00F01E6D">
        <w:rPr>
          <w:rFonts w:ascii="Century Gothic" w:hAnsi="Century Gothic" w:cs="Calibri"/>
          <w:sz w:val="20"/>
          <w:szCs w:val="20"/>
        </w:rPr>
        <w:t>, t</w:t>
      </w:r>
      <w:r w:rsidR="00AC7D05" w:rsidRPr="00F01E6D">
        <w:rPr>
          <w:rFonts w:ascii="Century Gothic" w:hAnsi="Century Gothic" w:cs="Calibri"/>
          <w:sz w:val="20"/>
          <w:szCs w:val="20"/>
        </w:rPr>
        <w:t>he</w:t>
      </w:r>
      <w:r w:rsidR="00FF6634" w:rsidRPr="00F01E6D">
        <w:rPr>
          <w:rFonts w:ascii="Century Gothic" w:hAnsi="Century Gothic" w:cs="Calibri"/>
          <w:sz w:val="20"/>
          <w:szCs w:val="20"/>
        </w:rPr>
        <w:t xml:space="preserve"> current</w:t>
      </w:r>
      <w:r w:rsidR="00AC7D05" w:rsidRPr="00F01E6D">
        <w:rPr>
          <w:rFonts w:ascii="Century Gothic" w:hAnsi="Century Gothic" w:cs="Calibri"/>
          <w:sz w:val="20"/>
          <w:szCs w:val="20"/>
        </w:rPr>
        <w:t xml:space="preserve"> </w:t>
      </w:r>
      <w:r w:rsidR="00AC7D05" w:rsidRPr="00F01E6D">
        <w:rPr>
          <w:rFonts w:ascii="Century Gothic" w:hAnsi="Century Gothic"/>
          <w:sz w:val="20"/>
          <w:szCs w:val="20"/>
        </w:rPr>
        <w:t>criteria</w:t>
      </w:r>
      <w:r w:rsidR="00AC7D05" w:rsidRPr="00F01E6D">
        <w:rPr>
          <w:rFonts w:ascii="Century Gothic" w:hAnsi="Century Gothic" w:cs="Calibri"/>
          <w:sz w:val="20"/>
          <w:szCs w:val="20"/>
        </w:rPr>
        <w:t xml:space="preserve"> for unlimited self-</w:t>
      </w:r>
      <w:r w:rsidR="004C652F" w:rsidRPr="00F01E6D">
        <w:rPr>
          <w:rFonts w:ascii="Century Gothic" w:hAnsi="Century Gothic" w:cs="Calibri"/>
          <w:sz w:val="20"/>
          <w:szCs w:val="20"/>
        </w:rPr>
        <w:t>accrediting</w:t>
      </w:r>
      <w:r w:rsidR="00AC7D05" w:rsidRPr="00F01E6D">
        <w:rPr>
          <w:rFonts w:ascii="Century Gothic" w:hAnsi="Century Gothic" w:cs="Calibri"/>
          <w:sz w:val="20"/>
          <w:szCs w:val="20"/>
        </w:rPr>
        <w:t xml:space="preserve"> authority can present difficulties from a regulatory perspective, </w:t>
      </w:r>
      <w:r w:rsidR="00F322D1" w:rsidRPr="00F01E6D">
        <w:rPr>
          <w:rFonts w:ascii="Century Gothic" w:hAnsi="Century Gothic" w:cs="Calibri"/>
          <w:sz w:val="20"/>
          <w:szCs w:val="20"/>
        </w:rPr>
        <w:t xml:space="preserve">to the extent </w:t>
      </w:r>
      <w:r w:rsidR="00AC7D05" w:rsidRPr="00F01E6D">
        <w:rPr>
          <w:rFonts w:ascii="Century Gothic" w:hAnsi="Century Gothic" w:cs="Calibri"/>
          <w:sz w:val="20"/>
          <w:szCs w:val="20"/>
        </w:rPr>
        <w:t>that the criteria are designed in such a way that TEQSA is required to assess a provider’s capacity to undertake future events, rather than demonstrating a history of capability. Specifically, the criteria require demonstration of:</w:t>
      </w:r>
    </w:p>
    <w:p w14:paraId="2DA5E138" w14:textId="74682720" w:rsidR="00AC7D05" w:rsidRPr="00F01E6D" w:rsidRDefault="00AC7D05" w:rsidP="0024520B">
      <w:pPr>
        <w:numPr>
          <w:ilvl w:val="0"/>
          <w:numId w:val="47"/>
        </w:numPr>
        <w:autoSpaceDE w:val="0"/>
        <w:autoSpaceDN w:val="0"/>
        <w:spacing w:before="0" w:after="0"/>
        <w:rPr>
          <w:rFonts w:ascii="Century Gothic" w:eastAsia="Times New Roman" w:hAnsi="Century Gothic" w:cs="Calibri"/>
          <w:color w:val="000000"/>
          <w:sz w:val="20"/>
          <w:szCs w:val="20"/>
          <w:lang w:eastAsia="en-AU"/>
        </w:rPr>
      </w:pPr>
      <w:r w:rsidRPr="00F01E6D">
        <w:rPr>
          <w:rFonts w:ascii="Century Gothic" w:eastAsia="Times New Roman" w:hAnsi="Century Gothic" w:cs="Calibri"/>
          <w:color w:val="000000"/>
          <w:sz w:val="20"/>
          <w:szCs w:val="20"/>
          <w:lang w:eastAsia="en-AU"/>
        </w:rPr>
        <w:t>capability to plan, establish and accredit courses in new broad fields</w:t>
      </w:r>
      <w:r w:rsidR="00F322D1" w:rsidRPr="00F01E6D">
        <w:rPr>
          <w:rFonts w:ascii="Century Gothic" w:eastAsia="Times New Roman" w:hAnsi="Century Gothic" w:cs="Calibri"/>
          <w:color w:val="000000"/>
          <w:sz w:val="20"/>
          <w:szCs w:val="20"/>
          <w:lang w:eastAsia="en-AU"/>
        </w:rPr>
        <w:t>;</w:t>
      </w:r>
      <w:r w:rsidRPr="00F01E6D">
        <w:rPr>
          <w:rFonts w:ascii="Century Gothic" w:eastAsia="Times New Roman" w:hAnsi="Century Gothic" w:cs="Calibri"/>
          <w:color w:val="000000"/>
          <w:sz w:val="20"/>
          <w:szCs w:val="20"/>
          <w:lang w:eastAsia="en-AU"/>
        </w:rPr>
        <w:t xml:space="preserve"> </w:t>
      </w:r>
    </w:p>
    <w:p w14:paraId="4FBDEA06" w14:textId="3D2EC72B" w:rsidR="00AC7D05" w:rsidRPr="00F01E6D" w:rsidRDefault="00AC7D05" w:rsidP="0024520B">
      <w:pPr>
        <w:numPr>
          <w:ilvl w:val="0"/>
          <w:numId w:val="47"/>
        </w:numPr>
        <w:autoSpaceDE w:val="0"/>
        <w:autoSpaceDN w:val="0"/>
        <w:spacing w:before="0" w:after="0"/>
        <w:rPr>
          <w:rFonts w:ascii="Century Gothic" w:eastAsia="Times New Roman" w:hAnsi="Century Gothic" w:cs="Calibri"/>
          <w:color w:val="000000"/>
          <w:sz w:val="20"/>
          <w:szCs w:val="20"/>
          <w:lang w:eastAsia="en-AU"/>
        </w:rPr>
      </w:pPr>
      <w:r w:rsidRPr="00F01E6D">
        <w:rPr>
          <w:rFonts w:ascii="Century Gothic" w:eastAsia="Times New Roman" w:hAnsi="Century Gothic" w:cs="Calibri"/>
          <w:color w:val="000000"/>
          <w:sz w:val="20"/>
          <w:szCs w:val="20"/>
          <w:lang w:eastAsia="en-AU"/>
        </w:rPr>
        <w:t>capacity for competent academic governance oversight and scrutiny of the accreditation of courses in new broad fields</w:t>
      </w:r>
      <w:r w:rsidR="00F322D1" w:rsidRPr="00F01E6D">
        <w:rPr>
          <w:rFonts w:ascii="Century Gothic" w:eastAsia="Times New Roman" w:hAnsi="Century Gothic" w:cs="Calibri"/>
          <w:color w:val="000000"/>
          <w:sz w:val="20"/>
          <w:szCs w:val="20"/>
          <w:lang w:eastAsia="en-AU"/>
        </w:rPr>
        <w:t>; and</w:t>
      </w:r>
      <w:r w:rsidRPr="00F01E6D">
        <w:rPr>
          <w:rFonts w:ascii="Century Gothic" w:eastAsia="Times New Roman" w:hAnsi="Century Gothic" w:cs="Calibri"/>
          <w:color w:val="000000"/>
          <w:sz w:val="20"/>
          <w:szCs w:val="20"/>
          <w:lang w:eastAsia="en-AU"/>
        </w:rPr>
        <w:t xml:space="preserve"> </w:t>
      </w:r>
    </w:p>
    <w:p w14:paraId="43C7C95D" w14:textId="73522BEB" w:rsidR="00AC7D05" w:rsidRPr="00F01E6D" w:rsidRDefault="00AC7D05" w:rsidP="0024520B">
      <w:pPr>
        <w:numPr>
          <w:ilvl w:val="0"/>
          <w:numId w:val="47"/>
        </w:numPr>
        <w:autoSpaceDE w:val="0"/>
        <w:autoSpaceDN w:val="0"/>
        <w:spacing w:before="0" w:after="0"/>
        <w:rPr>
          <w:rFonts w:ascii="Century Gothic" w:eastAsia="Times New Roman" w:hAnsi="Century Gothic" w:cs="Calibri"/>
          <w:color w:val="000000"/>
          <w:sz w:val="20"/>
          <w:szCs w:val="20"/>
          <w:lang w:eastAsia="en-AU"/>
        </w:rPr>
      </w:pPr>
      <w:r w:rsidRPr="00F01E6D">
        <w:rPr>
          <w:rFonts w:ascii="Century Gothic" w:eastAsia="Times New Roman" w:hAnsi="Century Gothic" w:cs="Calibri"/>
          <w:color w:val="000000"/>
          <w:sz w:val="20"/>
          <w:szCs w:val="20"/>
          <w:lang w:eastAsia="en-AU"/>
        </w:rPr>
        <w:t xml:space="preserve">breadth and depth of academic leadership, scholarship and expertise to guide entry into and sustainable delivery in new broad fields. </w:t>
      </w:r>
    </w:p>
    <w:p w14:paraId="326BBDA0" w14:textId="77777777" w:rsidR="00EF5C7D" w:rsidRPr="00F01E6D" w:rsidRDefault="00EF5C7D" w:rsidP="00620445">
      <w:pPr>
        <w:autoSpaceDE w:val="0"/>
        <w:autoSpaceDN w:val="0"/>
        <w:spacing w:before="0" w:after="0"/>
        <w:ind w:left="720"/>
        <w:rPr>
          <w:rFonts w:ascii="Century Gothic" w:eastAsia="Times New Roman" w:hAnsi="Century Gothic" w:cs="Calibri"/>
          <w:color w:val="000000"/>
          <w:sz w:val="20"/>
          <w:szCs w:val="20"/>
          <w:lang w:eastAsia="en-AU"/>
        </w:rPr>
      </w:pPr>
    </w:p>
    <w:p w14:paraId="6284BED0" w14:textId="728D1147" w:rsidR="00AC7D05" w:rsidRPr="00F01E6D" w:rsidRDefault="00AC7D05" w:rsidP="00E5441F">
      <w:pPr>
        <w:spacing w:before="0" w:after="0"/>
        <w:ind w:right="-46"/>
        <w:rPr>
          <w:rFonts w:ascii="Century Gothic" w:hAnsi="Century Gothic" w:cs="Calibri"/>
          <w:sz w:val="20"/>
          <w:szCs w:val="20"/>
        </w:rPr>
      </w:pPr>
      <w:r w:rsidRPr="00F01E6D">
        <w:rPr>
          <w:rFonts w:ascii="Century Gothic" w:hAnsi="Century Gothic" w:cs="Calibri"/>
          <w:sz w:val="20"/>
          <w:szCs w:val="20"/>
        </w:rPr>
        <w:t xml:space="preserve">No provider has applied </w:t>
      </w:r>
      <w:r w:rsidR="004C652F" w:rsidRPr="00F01E6D">
        <w:rPr>
          <w:rFonts w:ascii="Century Gothic" w:hAnsi="Century Gothic" w:cs="Calibri"/>
          <w:sz w:val="20"/>
          <w:szCs w:val="20"/>
        </w:rPr>
        <w:t xml:space="preserve">to TEQSA </w:t>
      </w:r>
      <w:r w:rsidRPr="00F01E6D">
        <w:rPr>
          <w:rFonts w:ascii="Century Gothic" w:hAnsi="Century Gothic" w:cs="Calibri"/>
          <w:sz w:val="20"/>
          <w:szCs w:val="20"/>
        </w:rPr>
        <w:t>for unlimited self-accrediting authority</w:t>
      </w:r>
      <w:r w:rsidR="001D446D" w:rsidRPr="00F01E6D">
        <w:rPr>
          <w:rFonts w:ascii="Century Gothic" w:hAnsi="Century Gothic" w:cs="Calibri"/>
          <w:sz w:val="20"/>
          <w:szCs w:val="20"/>
        </w:rPr>
        <w:t>. This</w:t>
      </w:r>
      <w:r w:rsidRPr="00F01E6D">
        <w:rPr>
          <w:rFonts w:ascii="Century Gothic" w:hAnsi="Century Gothic" w:cs="Calibri"/>
          <w:sz w:val="20"/>
          <w:szCs w:val="20"/>
        </w:rPr>
        <w:t xml:space="preserve"> suggests that there may be no need for this option in the PCS. T</w:t>
      </w:r>
      <w:r w:rsidR="001D446D" w:rsidRPr="00F01E6D">
        <w:rPr>
          <w:rFonts w:ascii="Century Gothic" w:hAnsi="Century Gothic" w:cs="Calibri"/>
          <w:sz w:val="20"/>
          <w:szCs w:val="20"/>
        </w:rPr>
        <w:t>he</w:t>
      </w:r>
      <w:r w:rsidRPr="00F01E6D">
        <w:rPr>
          <w:rFonts w:ascii="Century Gothic" w:hAnsi="Century Gothic" w:cs="Calibri"/>
          <w:sz w:val="20"/>
          <w:szCs w:val="20"/>
        </w:rPr>
        <w:t xml:space="preserve"> issue has been addressed in the revised criteria as set out in </w:t>
      </w:r>
      <w:hyperlink w:anchor="_Appendix_D." w:history="1">
        <w:r w:rsidRPr="00F01E6D">
          <w:rPr>
            <w:rStyle w:val="Hyperlink"/>
            <w:rFonts w:ascii="Century Gothic" w:hAnsi="Century Gothic" w:cs="Calibri"/>
            <w:sz w:val="20"/>
            <w:szCs w:val="20"/>
          </w:rPr>
          <w:t>Appendix D</w:t>
        </w:r>
      </w:hyperlink>
      <w:r w:rsidR="00FF6634" w:rsidRPr="00F01E6D">
        <w:rPr>
          <w:rFonts w:ascii="Century Gothic" w:hAnsi="Century Gothic" w:cs="Calibri"/>
          <w:sz w:val="20"/>
          <w:szCs w:val="20"/>
        </w:rPr>
        <w:t xml:space="preserve"> and is further discussed in </w:t>
      </w:r>
      <w:hyperlink w:anchor="_3.2.6_Criteria_for" w:history="1">
        <w:r w:rsidR="00CD16D6" w:rsidRPr="00F01E6D">
          <w:rPr>
            <w:rStyle w:val="Hyperlink"/>
            <w:rFonts w:ascii="Century Gothic" w:hAnsi="Century Gothic" w:cs="Calibri"/>
            <w:sz w:val="20"/>
            <w:szCs w:val="20"/>
          </w:rPr>
          <w:t>Section 3.2.6</w:t>
        </w:r>
      </w:hyperlink>
      <w:r w:rsidRPr="00F01E6D">
        <w:rPr>
          <w:rFonts w:ascii="Century Gothic" w:hAnsi="Century Gothic" w:cs="Calibri"/>
          <w:sz w:val="20"/>
          <w:szCs w:val="20"/>
        </w:rPr>
        <w:t>.</w:t>
      </w:r>
    </w:p>
    <w:p w14:paraId="7E8399DE" w14:textId="571734A3" w:rsidR="00E86FBD" w:rsidRDefault="00E86FBD">
      <w:pPr>
        <w:spacing w:before="0" w:after="16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C7D05" w:rsidRPr="00730C0D" w14:paraId="7CACF9E7" w14:textId="77777777" w:rsidTr="00D31B9A">
        <w:tc>
          <w:tcPr>
            <w:tcW w:w="9016" w:type="dxa"/>
            <w:tcBorders>
              <w:bottom w:val="single" w:sz="12" w:space="0" w:color="00B050"/>
            </w:tcBorders>
            <w:shd w:val="clear" w:color="auto" w:fill="2763AC"/>
          </w:tcPr>
          <w:p w14:paraId="19B2D548" w14:textId="304B3E50" w:rsidR="00AC7D05" w:rsidRPr="00730C0D" w:rsidRDefault="00AC7D05" w:rsidP="00D31B9A">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 xml:space="preserve">Recommendation </w:t>
            </w:r>
            <w:r w:rsidR="00F56055">
              <w:rPr>
                <w:rFonts w:ascii="Century Gothic" w:hAnsi="Century Gothic"/>
                <w:b/>
                <w:color w:val="FFFFFF" w:themeColor="background1"/>
                <w:sz w:val="24"/>
                <w:szCs w:val="24"/>
              </w:rPr>
              <w:t>8</w:t>
            </w:r>
          </w:p>
        </w:tc>
      </w:tr>
      <w:tr w:rsidR="00AC7D05" w:rsidRPr="00730C0D" w14:paraId="6AE9846B" w14:textId="77777777" w:rsidTr="00D31B9A">
        <w:tc>
          <w:tcPr>
            <w:tcW w:w="9016" w:type="dxa"/>
            <w:tcBorders>
              <w:top w:val="single" w:sz="12" w:space="0" w:color="00B050"/>
            </w:tcBorders>
            <w:shd w:val="clear" w:color="auto" w:fill="D5DCE4" w:themeFill="text2" w:themeFillTint="33"/>
          </w:tcPr>
          <w:p w14:paraId="12FC0F74" w14:textId="1403DEE3" w:rsidR="00AC7D05" w:rsidRPr="00730C0D" w:rsidRDefault="00AC7D05" w:rsidP="0082441F">
            <w:pPr>
              <w:spacing w:before="160" w:after="160" w:line="259" w:lineRule="auto"/>
              <w:rPr>
                <w:rFonts w:ascii="Century Gothic" w:hAnsi="Century Gothic"/>
                <w:b/>
                <w:sz w:val="20"/>
                <w:szCs w:val="20"/>
              </w:rPr>
            </w:pPr>
            <w:r w:rsidRPr="00730C0D">
              <w:rPr>
                <w:rFonts w:ascii="Century Gothic" w:hAnsi="Century Gothic"/>
                <w:b/>
                <w:sz w:val="20"/>
                <w:szCs w:val="20"/>
              </w:rPr>
              <w:t xml:space="preserve">The criteria for </w:t>
            </w:r>
            <w:r w:rsidR="00A711A4" w:rsidRPr="00730C0D">
              <w:rPr>
                <w:rFonts w:ascii="Century Gothic" w:hAnsi="Century Gothic"/>
                <w:b/>
                <w:sz w:val="20"/>
                <w:szCs w:val="20"/>
              </w:rPr>
              <w:t xml:space="preserve">seeking </w:t>
            </w:r>
            <w:r w:rsidRPr="00730C0D">
              <w:rPr>
                <w:rFonts w:ascii="Century Gothic" w:hAnsi="Century Gothic"/>
                <w:b/>
                <w:sz w:val="20"/>
                <w:szCs w:val="20"/>
              </w:rPr>
              <w:t>self</w:t>
            </w:r>
            <w:r w:rsidRPr="00730C0D">
              <w:rPr>
                <w:rFonts w:ascii="Century Gothic" w:hAnsi="Century Gothic"/>
                <w:b/>
                <w:sz w:val="20"/>
                <w:szCs w:val="20"/>
              </w:rPr>
              <w:noBreakHyphen/>
              <w:t xml:space="preserve">accrediting authority should be amended to simply and clearly articulate the </w:t>
            </w:r>
            <w:r w:rsidRPr="00730C0D">
              <w:rPr>
                <w:rFonts w:ascii="Century Gothic" w:eastAsia="Calibri" w:hAnsi="Century Gothic" w:cs="Arial"/>
                <w:b/>
                <w:sz w:val="20"/>
                <w:szCs w:val="20"/>
              </w:rPr>
              <w:t xml:space="preserve">types of self-accrediting authority </w:t>
            </w:r>
            <w:r w:rsidRPr="00730C0D">
              <w:rPr>
                <w:rFonts w:ascii="Century Gothic" w:hAnsi="Century Gothic"/>
                <w:b/>
                <w:sz w:val="20"/>
                <w:szCs w:val="20"/>
              </w:rPr>
              <w:t xml:space="preserve">(limited and unlimited) </w:t>
            </w:r>
            <w:r w:rsidRPr="00730C0D">
              <w:rPr>
                <w:rFonts w:ascii="Century Gothic" w:eastAsia="Calibri" w:hAnsi="Century Gothic" w:cs="Arial"/>
                <w:b/>
                <w:sz w:val="20"/>
                <w:szCs w:val="20"/>
              </w:rPr>
              <w:t xml:space="preserve">that can be authorised by </w:t>
            </w:r>
            <w:r w:rsidR="0082441F" w:rsidRPr="00730C0D">
              <w:rPr>
                <w:rFonts w:ascii="Century Gothic" w:eastAsia="Calibri" w:hAnsi="Century Gothic" w:cs="Arial"/>
                <w:b/>
                <w:sz w:val="20"/>
                <w:szCs w:val="20"/>
              </w:rPr>
              <w:t xml:space="preserve">the Tertiary Education Quality and Standards Agency </w:t>
            </w:r>
            <w:r w:rsidRPr="00730C0D">
              <w:rPr>
                <w:rFonts w:ascii="Century Gothic" w:eastAsia="Calibri" w:hAnsi="Century Gothic" w:cs="Arial"/>
                <w:b/>
                <w:sz w:val="20"/>
                <w:szCs w:val="20"/>
              </w:rPr>
              <w:t xml:space="preserve">and the requirements to be demonstrated by providers seeking self-accreditation status. </w:t>
            </w:r>
          </w:p>
        </w:tc>
      </w:tr>
    </w:tbl>
    <w:p w14:paraId="1705DE97" w14:textId="4B59B938" w:rsidR="00E5441F" w:rsidRPr="00F01E6D" w:rsidRDefault="00E5441F">
      <w:pPr>
        <w:spacing w:before="0" w:after="160"/>
        <w:rPr>
          <w:rFonts w:ascii="Century Gothic" w:eastAsiaTheme="majorEastAsia" w:hAnsi="Century Gothic" w:cstheme="majorBidi"/>
          <w:b/>
          <w:color w:val="2763AC"/>
          <w:sz w:val="20"/>
          <w:szCs w:val="20"/>
        </w:rPr>
      </w:pPr>
      <w:bookmarkStart w:id="78" w:name="_2.7_Awareness_and"/>
      <w:bookmarkEnd w:id="78"/>
    </w:p>
    <w:p w14:paraId="64E3DE7A" w14:textId="17AF88FD" w:rsidR="004D1747" w:rsidRPr="00730C0D" w:rsidRDefault="004D1747" w:rsidP="004978DA">
      <w:pPr>
        <w:pStyle w:val="Heading2"/>
      </w:pPr>
      <w:bookmarkStart w:id="79" w:name="_Toc18592344"/>
      <w:r w:rsidRPr="00730C0D">
        <w:t>2.7</w:t>
      </w:r>
      <w:r w:rsidRPr="00730C0D">
        <w:tab/>
        <w:t>Awareness and Transparency of the PCS</w:t>
      </w:r>
      <w:bookmarkEnd w:id="79"/>
      <w:r w:rsidRPr="00730C0D">
        <w:t xml:space="preserve"> </w:t>
      </w:r>
    </w:p>
    <w:p w14:paraId="14DAE070" w14:textId="20FD719B"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 xml:space="preserve">The PCS and their principal functions are reasonably well known throughout the higher education sector. However, the broader community </w:t>
      </w:r>
      <w:r w:rsidR="001D446D" w:rsidRPr="00730C0D">
        <w:rPr>
          <w:rFonts w:ascii="Century Gothic" w:hAnsi="Century Gothic"/>
          <w:sz w:val="20"/>
          <w:szCs w:val="20"/>
        </w:rPr>
        <w:t>(</w:t>
      </w:r>
      <w:r w:rsidRPr="00730C0D">
        <w:rPr>
          <w:rFonts w:ascii="Century Gothic" w:hAnsi="Century Gothic"/>
          <w:sz w:val="20"/>
          <w:szCs w:val="20"/>
        </w:rPr>
        <w:t>including current and prospective students</w:t>
      </w:r>
      <w:r w:rsidR="001D446D" w:rsidRPr="00730C0D">
        <w:rPr>
          <w:rFonts w:ascii="Century Gothic" w:hAnsi="Century Gothic"/>
          <w:sz w:val="20"/>
          <w:szCs w:val="20"/>
        </w:rPr>
        <w:t>) is</w:t>
      </w:r>
      <w:r w:rsidRPr="00730C0D">
        <w:rPr>
          <w:rFonts w:ascii="Century Gothic" w:hAnsi="Century Gothic"/>
          <w:sz w:val="20"/>
          <w:szCs w:val="20"/>
        </w:rPr>
        <w:t xml:space="preserve"> largely unaware of the PCS. One of the purposes of the PCS (among others set out in Chapter 1) is to inform students and other interested parties of the characteristics and expectations of different higher education providers in Australia. If this is to continue to be a purpose of the PCS,</w:t>
      </w:r>
      <w:r w:rsidR="004C16A6" w:rsidRPr="00730C0D">
        <w:rPr>
          <w:rFonts w:ascii="Century Gothic" w:hAnsi="Century Gothic"/>
          <w:sz w:val="20"/>
          <w:szCs w:val="20"/>
        </w:rPr>
        <w:t xml:space="preserve"> as it should,</w:t>
      </w:r>
      <w:r w:rsidRPr="00730C0D">
        <w:rPr>
          <w:rFonts w:ascii="Century Gothic" w:hAnsi="Century Gothic"/>
          <w:sz w:val="20"/>
          <w:szCs w:val="20"/>
        </w:rPr>
        <w:t xml:space="preserve"> then it is vital that the PCS are more accessible and transparent than they are at present </w:t>
      </w:r>
      <w:r w:rsidR="001D446D" w:rsidRPr="00730C0D">
        <w:rPr>
          <w:rFonts w:ascii="Century Gothic" w:hAnsi="Century Gothic"/>
          <w:sz w:val="20"/>
          <w:szCs w:val="20"/>
        </w:rPr>
        <w:t>in order</w:t>
      </w:r>
      <w:r w:rsidRPr="00730C0D">
        <w:rPr>
          <w:rFonts w:ascii="Century Gothic" w:hAnsi="Century Gothic"/>
          <w:sz w:val="20"/>
          <w:szCs w:val="20"/>
        </w:rPr>
        <w:t xml:space="preserve"> that consumers, namely </w:t>
      </w:r>
      <w:r w:rsidR="001D446D" w:rsidRPr="00730C0D">
        <w:rPr>
          <w:rFonts w:ascii="Century Gothic" w:hAnsi="Century Gothic"/>
          <w:sz w:val="20"/>
          <w:szCs w:val="20"/>
        </w:rPr>
        <w:t xml:space="preserve">prospective </w:t>
      </w:r>
      <w:r w:rsidRPr="00730C0D">
        <w:rPr>
          <w:rFonts w:ascii="Century Gothic" w:hAnsi="Century Gothic"/>
          <w:sz w:val="20"/>
          <w:szCs w:val="20"/>
        </w:rPr>
        <w:t xml:space="preserve">students, are informed about their post-school education choices.  </w:t>
      </w:r>
    </w:p>
    <w:p w14:paraId="2BE0F4AB" w14:textId="77777777" w:rsidR="004D1747" w:rsidRPr="00730C0D" w:rsidRDefault="004D1747" w:rsidP="004D1747">
      <w:pPr>
        <w:spacing w:before="0" w:after="0"/>
        <w:rPr>
          <w:rFonts w:ascii="Century Gothic" w:hAnsi="Century Gothic"/>
          <w:sz w:val="20"/>
          <w:szCs w:val="20"/>
        </w:rPr>
      </w:pPr>
    </w:p>
    <w:p w14:paraId="7016FEA3" w14:textId="4C237AAD"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 xml:space="preserve">To respond to these issues and promote awareness of the PCS, the Review proposes that there should be greater transparency of the PCS, including the </w:t>
      </w:r>
      <w:r w:rsidR="004C652F" w:rsidRPr="00730C0D">
        <w:rPr>
          <w:rFonts w:ascii="Century Gothic" w:hAnsi="Century Gothic"/>
          <w:sz w:val="20"/>
          <w:szCs w:val="20"/>
        </w:rPr>
        <w:t xml:space="preserve">expected </w:t>
      </w:r>
      <w:r w:rsidRPr="00730C0D">
        <w:rPr>
          <w:rFonts w:ascii="Century Gothic" w:hAnsi="Century Gothic"/>
          <w:sz w:val="20"/>
          <w:szCs w:val="20"/>
        </w:rPr>
        <w:t xml:space="preserve">requirements of different provider types. This section sets out three possible, but not mutually exclusive, methods </w:t>
      </w:r>
      <w:r w:rsidR="001D446D" w:rsidRPr="00730C0D">
        <w:rPr>
          <w:rFonts w:ascii="Century Gothic" w:hAnsi="Century Gothic"/>
          <w:sz w:val="20"/>
          <w:szCs w:val="20"/>
        </w:rPr>
        <w:t>by</w:t>
      </w:r>
      <w:r w:rsidRPr="00730C0D">
        <w:rPr>
          <w:rFonts w:ascii="Century Gothic" w:hAnsi="Century Gothic"/>
          <w:sz w:val="20"/>
          <w:szCs w:val="20"/>
        </w:rPr>
        <w:t xml:space="preserve"> which to achieve this goal: through the TEQSA National Register, relevant public materials and a comprehensive communications strategy.  </w:t>
      </w:r>
      <w:r w:rsidR="004C652F" w:rsidRPr="00730C0D">
        <w:rPr>
          <w:rFonts w:ascii="Century Gothic" w:hAnsi="Century Gothic"/>
          <w:sz w:val="20"/>
          <w:szCs w:val="20"/>
        </w:rPr>
        <w:t xml:space="preserve"> </w:t>
      </w:r>
    </w:p>
    <w:p w14:paraId="3D33AE19" w14:textId="77777777" w:rsidR="004D1747" w:rsidRPr="00730C0D" w:rsidRDefault="004D1747" w:rsidP="004D1747">
      <w:pPr>
        <w:spacing w:before="0" w:after="0"/>
        <w:rPr>
          <w:rFonts w:ascii="Century Gothic" w:hAnsi="Century Gothic"/>
          <w:sz w:val="20"/>
          <w:szCs w:val="20"/>
        </w:rPr>
      </w:pPr>
    </w:p>
    <w:p w14:paraId="02AACABB" w14:textId="77777777" w:rsidR="004D1747" w:rsidRPr="00730C0D" w:rsidRDefault="004D1747" w:rsidP="004978DA">
      <w:pPr>
        <w:pStyle w:val="Heading3"/>
      </w:pPr>
      <w:bookmarkStart w:id="80" w:name="_Toc18592345"/>
      <w:r w:rsidRPr="00730C0D">
        <w:t>2.7.1</w:t>
      </w:r>
      <w:r w:rsidRPr="00730C0D">
        <w:tab/>
        <w:t>TEQSA National Register</w:t>
      </w:r>
      <w:bookmarkEnd w:id="80"/>
    </w:p>
    <w:p w14:paraId="6762164B" w14:textId="726787CB"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The TEQSA National Register of Higher Education Providers (the Register) is “the authoritative source of information on the status of registered higher education providers in Australia”.</w:t>
      </w:r>
      <w:r w:rsidRPr="00730C0D">
        <w:rPr>
          <w:rFonts w:ascii="Century Gothic" w:hAnsi="Century Gothic"/>
          <w:sz w:val="20"/>
          <w:szCs w:val="20"/>
          <w:vertAlign w:val="superscript"/>
        </w:rPr>
        <w:footnoteReference w:id="113"/>
      </w:r>
      <w:r w:rsidRPr="00730C0D">
        <w:rPr>
          <w:rFonts w:ascii="Century Gothic" w:hAnsi="Century Gothic"/>
          <w:sz w:val="20"/>
          <w:szCs w:val="20"/>
        </w:rPr>
        <w:t xml:space="preserve"> TEQSA is required to maintain the Register in accordance with the Register Guidelines under Section 198 of the </w:t>
      </w:r>
      <w:r w:rsidRPr="00730C0D">
        <w:rPr>
          <w:rFonts w:ascii="Century Gothic" w:hAnsi="Century Gothic"/>
          <w:i/>
          <w:sz w:val="20"/>
          <w:szCs w:val="20"/>
        </w:rPr>
        <w:t>TEQSA Act 2011</w:t>
      </w:r>
      <w:r w:rsidRPr="00730C0D">
        <w:rPr>
          <w:rFonts w:ascii="Century Gothic" w:hAnsi="Century Gothic"/>
          <w:sz w:val="20"/>
          <w:szCs w:val="20"/>
        </w:rPr>
        <w:t xml:space="preserve">. Section 198 provides that “subsection (3) does not prevent TEQSA from entering other details on the Register in respect of a registered higher education provider”. Therefore any changes made to the Register would be well within </w:t>
      </w:r>
      <w:r w:rsidR="00520FB5" w:rsidRPr="00730C0D">
        <w:rPr>
          <w:rFonts w:ascii="Century Gothic" w:hAnsi="Century Gothic"/>
          <w:sz w:val="20"/>
          <w:szCs w:val="20"/>
        </w:rPr>
        <w:t xml:space="preserve">the legislative remit of TEQSA. </w:t>
      </w:r>
    </w:p>
    <w:p w14:paraId="38FE31DC" w14:textId="77777777" w:rsidR="004D1747" w:rsidRPr="00730C0D" w:rsidRDefault="004D1747" w:rsidP="004D1747">
      <w:pPr>
        <w:spacing w:before="0" w:after="0"/>
        <w:rPr>
          <w:rFonts w:ascii="Century Gothic" w:hAnsi="Century Gothic"/>
          <w:sz w:val="20"/>
          <w:szCs w:val="20"/>
        </w:rPr>
      </w:pPr>
    </w:p>
    <w:p w14:paraId="0ACB8D02" w14:textId="08D161F9"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Users of the Register</w:t>
      </w:r>
      <w:r w:rsidR="004578FC" w:rsidRPr="00730C0D">
        <w:rPr>
          <w:rFonts w:ascii="Century Gothic" w:hAnsi="Century Gothic"/>
          <w:sz w:val="20"/>
          <w:szCs w:val="20"/>
        </w:rPr>
        <w:t xml:space="preserve"> </w:t>
      </w:r>
      <w:r w:rsidRPr="00730C0D">
        <w:rPr>
          <w:rFonts w:ascii="Century Gothic" w:hAnsi="Century Gothic"/>
          <w:sz w:val="20"/>
          <w:szCs w:val="20"/>
        </w:rPr>
        <w:t xml:space="preserve">are currently able to search the Register by provider or course name and filter by provider category, self-accrediting authority, provider and course status, and courses in languages other than English. Information available on each provider includes contact information, trading details, Australian Business Number (ABN), Commonwealth Register of Institutions and Courses for Overseas Students (CRICOS) number, TEQSA Provider ID, registration information (including provider category and self-accrediting authority), offered courses, and any pertinent decisions or conditions relating to the provider. There are also links to the CRICOS and QILT websites for each provider. </w:t>
      </w:r>
    </w:p>
    <w:p w14:paraId="354406AD" w14:textId="6023AB0C" w:rsidR="00A34FAA" w:rsidRPr="00730C0D" w:rsidRDefault="00E86FBD" w:rsidP="00E86FBD">
      <w:pPr>
        <w:spacing w:before="0" w:after="160"/>
        <w:rPr>
          <w:rFonts w:ascii="Century Gothic" w:hAnsi="Century Gothic"/>
          <w:sz w:val="20"/>
          <w:szCs w:val="20"/>
        </w:rPr>
      </w:pPr>
      <w:r>
        <w:rPr>
          <w:rFonts w:ascii="Century Gothic" w:hAnsi="Century Gothic"/>
          <w:sz w:val="20"/>
          <w:szCs w:val="20"/>
        </w:rPr>
        <w:br w:type="page"/>
      </w:r>
    </w:p>
    <w:tbl>
      <w:tblPr>
        <w:tblStyle w:val="TableGrid"/>
        <w:tblW w:w="0" w:type="auto"/>
        <w:tblInd w:w="421" w:type="dxa"/>
        <w:tblLook w:val="04A0" w:firstRow="1" w:lastRow="0" w:firstColumn="1" w:lastColumn="0" w:noHBand="0" w:noVBand="1"/>
      </w:tblPr>
      <w:tblGrid>
        <w:gridCol w:w="8221"/>
      </w:tblGrid>
      <w:tr w:rsidR="00A34FAA" w:rsidRPr="00730C0D" w14:paraId="38BF55EC" w14:textId="77777777" w:rsidTr="00925B70">
        <w:trPr>
          <w:cnfStyle w:val="100000000000" w:firstRow="1" w:lastRow="0" w:firstColumn="0" w:lastColumn="0" w:oddVBand="0" w:evenVBand="0" w:oddHBand="0" w:evenHBand="0" w:firstRowFirstColumn="0" w:firstRowLastColumn="0" w:lastRowFirstColumn="0" w:lastRowLastColumn="0"/>
        </w:trPr>
        <w:tc>
          <w:tcPr>
            <w:tcW w:w="8221" w:type="dxa"/>
            <w:tcBorders>
              <w:top w:val="single" w:sz="4" w:space="0" w:color="00913C"/>
              <w:left w:val="double" w:sz="12" w:space="0" w:color="00913C"/>
              <w:bottom w:val="double" w:sz="12" w:space="0" w:color="00913C"/>
              <w:right w:val="single" w:sz="4" w:space="0" w:color="00913C"/>
            </w:tcBorders>
            <w:shd w:val="clear" w:color="auto" w:fill="FFFFFF" w:themeFill="background1"/>
          </w:tcPr>
          <w:p w14:paraId="7DA59C96" w14:textId="77777777" w:rsidR="00A34FAA" w:rsidRPr="00730C0D" w:rsidRDefault="00A34FAA" w:rsidP="00C86660">
            <w:pPr>
              <w:spacing w:before="0" w:after="0" w:line="259" w:lineRule="auto"/>
              <w:jc w:val="both"/>
              <w:rPr>
                <w:rFonts w:ascii="Century Gothic" w:hAnsi="Century Gothic"/>
                <w:b w:val="0"/>
                <w:i/>
                <w:color w:val="auto"/>
                <w:sz w:val="20"/>
                <w:szCs w:val="20"/>
              </w:rPr>
            </w:pPr>
          </w:p>
          <w:p w14:paraId="55751EE7" w14:textId="274E5C89" w:rsidR="00A34FAA" w:rsidRPr="00730C0D" w:rsidRDefault="00A34FAA" w:rsidP="00C86660">
            <w:pPr>
              <w:spacing w:before="0" w:after="0" w:line="259" w:lineRule="auto"/>
              <w:ind w:left="169" w:right="171"/>
              <w:jc w:val="both"/>
              <w:rPr>
                <w:rFonts w:ascii="Century Gothic" w:hAnsi="Century Gothic" w:cstheme="minorHAnsi"/>
                <w:b w:val="0"/>
                <w:color w:val="2763AC"/>
                <w:sz w:val="20"/>
                <w:szCs w:val="20"/>
              </w:rPr>
            </w:pPr>
            <w:r w:rsidRPr="00730C0D">
              <w:rPr>
                <w:rFonts w:ascii="Century Gothic" w:hAnsi="Century Gothic" w:cstheme="minorHAnsi"/>
                <w:b w:val="0"/>
                <w:color w:val="2763AC"/>
                <w:sz w:val="20"/>
                <w:szCs w:val="20"/>
              </w:rPr>
              <w:t>“The TEQSA National Register provides fairly generic information […] it should be fuller and more illustrative to provide a better sense of each registered provider’s scope of operations.</w:t>
            </w:r>
            <w:r w:rsidR="007F57E2" w:rsidRPr="00730C0D">
              <w:rPr>
                <w:rFonts w:ascii="Century Gothic" w:hAnsi="Century Gothic" w:cstheme="minorHAnsi"/>
                <w:b w:val="0"/>
                <w:color w:val="2763AC"/>
                <w:sz w:val="20"/>
                <w:szCs w:val="20"/>
              </w:rPr>
              <w:t xml:space="preserve"> […]</w:t>
            </w:r>
            <w:r w:rsidRPr="00730C0D">
              <w:rPr>
                <w:rFonts w:ascii="Century Gothic" w:hAnsi="Century Gothic" w:cstheme="minorHAnsi"/>
                <w:b w:val="0"/>
                <w:color w:val="2763AC"/>
                <w:sz w:val="20"/>
                <w:szCs w:val="20"/>
              </w:rPr>
              <w:t xml:space="preserve"> The Register should then set out for students and interested parties the basis of each provider’s registration so that good, clear, information is available”.</w:t>
            </w:r>
          </w:p>
          <w:p w14:paraId="092F59DD" w14:textId="77777777" w:rsidR="00A34FAA" w:rsidRPr="00730C0D" w:rsidRDefault="00A34FAA" w:rsidP="00C86660">
            <w:pPr>
              <w:spacing w:before="0" w:after="0" w:line="259" w:lineRule="auto"/>
              <w:jc w:val="both"/>
              <w:rPr>
                <w:rFonts w:ascii="Century Gothic" w:hAnsi="Century Gothic" w:cstheme="minorHAnsi"/>
                <w:color w:val="auto"/>
                <w:sz w:val="20"/>
                <w:szCs w:val="20"/>
              </w:rPr>
            </w:pPr>
          </w:p>
          <w:p w14:paraId="789733DF" w14:textId="26E9768A" w:rsidR="00A34FAA" w:rsidRPr="00730C0D" w:rsidRDefault="00A34FAA" w:rsidP="00C86660">
            <w:pPr>
              <w:spacing w:before="0" w:after="0" w:line="259" w:lineRule="auto"/>
              <w:ind w:right="171"/>
              <w:jc w:val="right"/>
              <w:rPr>
                <w:rFonts w:ascii="Century Gothic" w:hAnsi="Century Gothic" w:cstheme="minorHAnsi"/>
                <w:color w:val="2763AC"/>
                <w:sz w:val="18"/>
                <w:szCs w:val="18"/>
              </w:rPr>
            </w:pPr>
            <w:r w:rsidRPr="00730C0D">
              <w:rPr>
                <w:rFonts w:ascii="Century Gothic" w:hAnsi="Century Gothic" w:cstheme="minorHAnsi"/>
                <w:color w:val="2763AC"/>
                <w:sz w:val="18"/>
                <w:szCs w:val="18"/>
              </w:rPr>
              <w:t>Innovative Research Universities submission to the PCS Review 2019, p.5</w:t>
            </w:r>
          </w:p>
          <w:p w14:paraId="5BADE1E1" w14:textId="77777777" w:rsidR="00A34FAA" w:rsidRPr="00730C0D" w:rsidRDefault="00A34FAA" w:rsidP="00C86660">
            <w:pPr>
              <w:spacing w:before="0" w:after="0" w:line="259" w:lineRule="auto"/>
              <w:jc w:val="right"/>
              <w:rPr>
                <w:rFonts w:ascii="Century Gothic" w:hAnsi="Century Gothic"/>
                <w:b w:val="0"/>
                <w:color w:val="auto"/>
                <w:sz w:val="20"/>
                <w:szCs w:val="20"/>
              </w:rPr>
            </w:pPr>
          </w:p>
        </w:tc>
      </w:tr>
    </w:tbl>
    <w:p w14:paraId="46D866FA" w14:textId="50B2BC0B" w:rsidR="004D1747" w:rsidRPr="00730C0D" w:rsidRDefault="004D1747" w:rsidP="004D1747">
      <w:pPr>
        <w:spacing w:before="0" w:after="0"/>
        <w:rPr>
          <w:rFonts w:ascii="Century Gothic" w:hAnsi="Century Gothic"/>
          <w:sz w:val="20"/>
          <w:szCs w:val="20"/>
        </w:rPr>
      </w:pPr>
    </w:p>
    <w:p w14:paraId="76F35537" w14:textId="63A83E3C" w:rsidR="004D1747" w:rsidRPr="00730C0D" w:rsidRDefault="004578FC" w:rsidP="006A7659">
      <w:pPr>
        <w:spacing w:before="0" w:after="0"/>
        <w:rPr>
          <w:rFonts w:ascii="Century Gothic" w:hAnsi="Century Gothic"/>
          <w:sz w:val="20"/>
          <w:szCs w:val="20"/>
        </w:rPr>
      </w:pPr>
      <w:r w:rsidRPr="00730C0D">
        <w:rPr>
          <w:rFonts w:ascii="Century Gothic" w:hAnsi="Century Gothic"/>
          <w:sz w:val="20"/>
          <w:szCs w:val="20"/>
        </w:rPr>
        <w:t>The Register already has a wide reach, with more than 66,000 page views from July 2018 to June 2019.</w:t>
      </w:r>
      <w:r w:rsidRPr="00730C0D">
        <w:rPr>
          <w:rFonts w:ascii="Century Gothic" w:hAnsi="Century Gothic"/>
          <w:sz w:val="20"/>
          <w:szCs w:val="20"/>
          <w:vertAlign w:val="superscript"/>
        </w:rPr>
        <w:footnoteReference w:id="114"/>
      </w:r>
      <w:r w:rsidRPr="00730C0D">
        <w:rPr>
          <w:rFonts w:ascii="Century Gothic" w:hAnsi="Century Gothic"/>
          <w:sz w:val="20"/>
          <w:szCs w:val="20"/>
        </w:rPr>
        <w:t xml:space="preserve"> </w:t>
      </w:r>
      <w:r w:rsidR="004D1747" w:rsidRPr="00730C0D">
        <w:rPr>
          <w:rFonts w:ascii="Century Gothic" w:hAnsi="Century Gothic"/>
          <w:sz w:val="20"/>
          <w:szCs w:val="20"/>
        </w:rPr>
        <w:t>Recognising the current strength of the Register,</w:t>
      </w:r>
      <w:r w:rsidRPr="00730C0D">
        <w:rPr>
          <w:rFonts w:ascii="Century Gothic" w:hAnsi="Century Gothic"/>
          <w:sz w:val="20"/>
          <w:szCs w:val="20"/>
        </w:rPr>
        <w:t xml:space="preserve"> </w:t>
      </w:r>
      <w:r w:rsidR="004D1747" w:rsidRPr="00730C0D">
        <w:rPr>
          <w:rFonts w:ascii="Century Gothic" w:hAnsi="Century Gothic"/>
          <w:sz w:val="20"/>
          <w:szCs w:val="20"/>
        </w:rPr>
        <w:t xml:space="preserve">the Review recommends that additional features could be added to </w:t>
      </w:r>
      <w:r w:rsidR="001D446D" w:rsidRPr="00730C0D">
        <w:rPr>
          <w:rFonts w:ascii="Century Gothic" w:hAnsi="Century Gothic"/>
          <w:sz w:val="20"/>
          <w:szCs w:val="20"/>
        </w:rPr>
        <w:t>it</w:t>
      </w:r>
      <w:r w:rsidR="004D1747" w:rsidRPr="00730C0D">
        <w:rPr>
          <w:rFonts w:ascii="Century Gothic" w:hAnsi="Century Gothic"/>
          <w:sz w:val="20"/>
          <w:szCs w:val="20"/>
        </w:rPr>
        <w:t>. Additional information to be considered may include detailed descriptions of the criteria and expectations of each provider category, student population (i.e. EFTSL</w:t>
      </w:r>
      <w:r w:rsidR="00E5441F" w:rsidRPr="00730C0D">
        <w:rPr>
          <w:rStyle w:val="FootnoteReference"/>
          <w:rFonts w:ascii="Century Gothic" w:hAnsi="Century Gothic"/>
          <w:sz w:val="20"/>
          <w:szCs w:val="20"/>
        </w:rPr>
        <w:footnoteReference w:id="115"/>
      </w:r>
      <w:r w:rsidR="004D1747" w:rsidRPr="00730C0D">
        <w:rPr>
          <w:rFonts w:ascii="Century Gothic" w:hAnsi="Century Gothic"/>
          <w:sz w:val="20"/>
          <w:szCs w:val="20"/>
        </w:rPr>
        <w:t xml:space="preserve"> number), status (public, private not-for-profit, private for profit), third-party teaching arrangements, sector (higher education only or dual sector) and sub-category information (</w:t>
      </w:r>
      <w:r w:rsidR="001D446D" w:rsidRPr="00730C0D">
        <w:rPr>
          <w:rFonts w:ascii="Century Gothic" w:hAnsi="Century Gothic"/>
          <w:sz w:val="20"/>
          <w:szCs w:val="20"/>
        </w:rPr>
        <w:t>for example,</w:t>
      </w:r>
      <w:r w:rsidR="004D1747" w:rsidRPr="00730C0D">
        <w:rPr>
          <w:rFonts w:ascii="Century Gothic" w:hAnsi="Century Gothic"/>
          <w:sz w:val="20"/>
          <w:szCs w:val="20"/>
        </w:rPr>
        <w:t xml:space="preserve"> pathway provider, TAFE provider). It may also be possible to include a function to search for similar institutions, for example, by size, location</w:t>
      </w:r>
      <w:r w:rsidRPr="00730C0D">
        <w:rPr>
          <w:rFonts w:ascii="Century Gothic" w:hAnsi="Century Gothic"/>
          <w:sz w:val="20"/>
          <w:szCs w:val="20"/>
        </w:rPr>
        <w:t>,</w:t>
      </w:r>
      <w:r w:rsidR="004D1747" w:rsidRPr="00730C0D">
        <w:rPr>
          <w:rFonts w:ascii="Century Gothic" w:hAnsi="Century Gothic"/>
          <w:sz w:val="20"/>
          <w:szCs w:val="20"/>
        </w:rPr>
        <w:t xml:space="preserve"> or provider category. </w:t>
      </w:r>
    </w:p>
    <w:p w14:paraId="70191B5C" w14:textId="77777777" w:rsidR="004D1747" w:rsidRPr="00730C0D" w:rsidRDefault="004D1747" w:rsidP="004D1747">
      <w:pPr>
        <w:spacing w:before="0" w:after="0"/>
        <w:rPr>
          <w:rFonts w:ascii="Century Gothic" w:hAnsi="Century Gothic"/>
          <w:sz w:val="20"/>
          <w:szCs w:val="20"/>
        </w:rPr>
      </w:pPr>
    </w:p>
    <w:p w14:paraId="0E3B8658" w14:textId="77777777" w:rsidR="004D1747" w:rsidRPr="00730C0D" w:rsidRDefault="004D1747" w:rsidP="004978DA">
      <w:pPr>
        <w:pStyle w:val="Heading3"/>
      </w:pPr>
      <w:bookmarkStart w:id="81" w:name="_Toc18592346"/>
      <w:r w:rsidRPr="00730C0D">
        <w:t>2.7.2</w:t>
      </w:r>
      <w:r w:rsidRPr="00730C0D">
        <w:tab/>
        <w:t>TEQSA Provider ID and Provider Category</w:t>
      </w:r>
      <w:bookmarkEnd w:id="81"/>
    </w:p>
    <w:p w14:paraId="41FE2F24" w14:textId="3D933189" w:rsidR="004D1747" w:rsidRPr="00730C0D" w:rsidRDefault="004578FC" w:rsidP="004D1747">
      <w:pPr>
        <w:spacing w:before="0" w:after="0"/>
        <w:rPr>
          <w:rFonts w:ascii="Century Gothic" w:hAnsi="Century Gothic"/>
          <w:sz w:val="20"/>
          <w:szCs w:val="20"/>
        </w:rPr>
      </w:pPr>
      <w:r w:rsidRPr="00730C0D">
        <w:rPr>
          <w:rFonts w:ascii="Century Gothic" w:hAnsi="Century Gothic"/>
          <w:sz w:val="20"/>
          <w:szCs w:val="20"/>
        </w:rPr>
        <w:t>A</w:t>
      </w:r>
      <w:r w:rsidR="004D1747" w:rsidRPr="00730C0D">
        <w:rPr>
          <w:rFonts w:ascii="Century Gothic" w:hAnsi="Century Gothic"/>
          <w:sz w:val="20"/>
          <w:szCs w:val="20"/>
        </w:rPr>
        <w:t xml:space="preserve">ll TEQSA registered higher education providers are allocated a TEQSA Provider ID to help identify the provider in TEQSA’s records and enable users to search for a particular provider on the Register. To enhance visibility of the PCS and direct prospective students and other interested stakeholders to the Register, the Review proposes that providers’ TEQSA ID and provider category are more visible on relevant public material. </w:t>
      </w:r>
    </w:p>
    <w:p w14:paraId="4F63537D" w14:textId="77777777" w:rsidR="004D1747" w:rsidRPr="00730C0D" w:rsidRDefault="004D1747" w:rsidP="004D1747">
      <w:pPr>
        <w:spacing w:before="0" w:after="0"/>
        <w:rPr>
          <w:rFonts w:ascii="Century Gothic" w:hAnsi="Century Gothic"/>
          <w:sz w:val="20"/>
          <w:szCs w:val="20"/>
        </w:rPr>
      </w:pPr>
    </w:p>
    <w:p w14:paraId="3086D354" w14:textId="7D4669E4"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There is precedent for such a requirement; under CRICOS legislation, providers are required to “include its CRICOS registered name and registration number in any written or online material that it disseminates or makes publicly available”.</w:t>
      </w:r>
      <w:r w:rsidRPr="00730C0D">
        <w:rPr>
          <w:rFonts w:ascii="Century Gothic" w:hAnsi="Century Gothic"/>
          <w:sz w:val="20"/>
          <w:szCs w:val="20"/>
          <w:vertAlign w:val="superscript"/>
        </w:rPr>
        <w:footnoteReference w:id="116"/>
      </w:r>
      <w:r w:rsidRPr="00730C0D">
        <w:rPr>
          <w:rFonts w:ascii="Century Gothic" w:hAnsi="Century Gothic"/>
          <w:sz w:val="20"/>
          <w:szCs w:val="20"/>
        </w:rPr>
        <w:t xml:space="preserve"> Best practice may be for providers to use interactive hyperlinks for their TEQSA ID or provider category from their home pages to the Register.</w:t>
      </w:r>
      <w:r w:rsidRPr="00730C0D">
        <w:rPr>
          <w:rStyle w:val="FootnoteReference"/>
          <w:rFonts w:ascii="Century Gothic" w:hAnsi="Century Gothic"/>
          <w:sz w:val="20"/>
          <w:szCs w:val="20"/>
        </w:rPr>
        <w:footnoteReference w:id="117"/>
      </w:r>
      <w:r w:rsidRPr="00730C0D">
        <w:rPr>
          <w:rFonts w:ascii="Century Gothic" w:hAnsi="Century Gothic"/>
          <w:sz w:val="20"/>
          <w:szCs w:val="20"/>
        </w:rPr>
        <w:t xml:space="preserve"> </w:t>
      </w:r>
      <w:r w:rsidR="004578FC" w:rsidRPr="00730C0D">
        <w:rPr>
          <w:rFonts w:ascii="Century Gothic" w:hAnsi="Century Gothic"/>
          <w:sz w:val="20"/>
          <w:szCs w:val="20"/>
        </w:rPr>
        <w:t xml:space="preserve">Currently, around 90 per cent of all Australian higher education providers include at least one identity number (such as an ABN, an RTO number, </w:t>
      </w:r>
      <w:r w:rsidR="004578FC" w:rsidRPr="00730C0D">
        <w:rPr>
          <w:rFonts w:ascii="Century Gothic" w:hAnsi="Century Gothic"/>
          <w:sz w:val="20"/>
          <w:szCs w:val="20"/>
        </w:rPr>
        <w:br/>
        <w:t>CRICOS number, or TEQSA Provider ID) on their website home pages.</w:t>
      </w:r>
      <w:r w:rsidR="004578FC" w:rsidRPr="00730C0D">
        <w:rPr>
          <w:rStyle w:val="FootnoteReference"/>
          <w:rFonts w:ascii="Century Gothic" w:hAnsi="Century Gothic"/>
          <w:sz w:val="20"/>
          <w:szCs w:val="20"/>
        </w:rPr>
        <w:footnoteReference w:id="118"/>
      </w:r>
      <w:r w:rsidR="004578FC" w:rsidRPr="00730C0D">
        <w:rPr>
          <w:rFonts w:ascii="Century Gothic" w:hAnsi="Century Gothic"/>
          <w:sz w:val="20"/>
          <w:szCs w:val="20"/>
        </w:rPr>
        <w:t xml:space="preserve"> As such, this requirement is not likely to be arduous for higher education providers.</w:t>
      </w:r>
    </w:p>
    <w:p w14:paraId="3F660D17" w14:textId="77777777" w:rsidR="004D1747" w:rsidRPr="00730C0D" w:rsidRDefault="004D1747" w:rsidP="004D1747">
      <w:pPr>
        <w:spacing w:before="0" w:after="0"/>
        <w:rPr>
          <w:rFonts w:ascii="Century Gothic" w:hAnsi="Century Gothic"/>
          <w:sz w:val="20"/>
          <w:szCs w:val="20"/>
        </w:rPr>
      </w:pPr>
    </w:p>
    <w:p w14:paraId="49110173" w14:textId="77777777" w:rsidR="004D1747" w:rsidRPr="00730C0D" w:rsidRDefault="004D1747" w:rsidP="004978DA">
      <w:pPr>
        <w:pStyle w:val="Heading3"/>
      </w:pPr>
      <w:bookmarkStart w:id="82" w:name="_Toc18592347"/>
      <w:r w:rsidRPr="00730C0D">
        <w:t>2.7.3</w:t>
      </w:r>
      <w:r w:rsidRPr="00730C0D">
        <w:tab/>
        <w:t>Communications Strategy</w:t>
      </w:r>
      <w:bookmarkEnd w:id="82"/>
    </w:p>
    <w:p w14:paraId="2C71674E" w14:textId="77777777"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 xml:space="preserve">To build understanding and recognition of the different categories of higher education providers in Australia, a concerted communications strategy should be developed and actioned, taking into consideration national and international stakeholders. </w:t>
      </w:r>
    </w:p>
    <w:p w14:paraId="1594DC9A" w14:textId="77777777" w:rsidR="004D1747" w:rsidRPr="00730C0D" w:rsidRDefault="004D1747" w:rsidP="004D1747">
      <w:pPr>
        <w:spacing w:before="0" w:after="0"/>
        <w:rPr>
          <w:rFonts w:ascii="Century Gothic" w:hAnsi="Century Gothic"/>
          <w:sz w:val="20"/>
          <w:szCs w:val="20"/>
        </w:rPr>
      </w:pPr>
    </w:p>
    <w:p w14:paraId="422E2183" w14:textId="77777777" w:rsidR="00E86FBD" w:rsidRDefault="00E86FBD">
      <w:pPr>
        <w:spacing w:before="0" w:after="160"/>
        <w:rPr>
          <w:rFonts w:ascii="Century Gothic" w:hAnsi="Century Gothic"/>
          <w:sz w:val="20"/>
          <w:szCs w:val="20"/>
        </w:rPr>
      </w:pPr>
      <w:r>
        <w:rPr>
          <w:rFonts w:ascii="Century Gothic" w:hAnsi="Century Gothic"/>
          <w:sz w:val="20"/>
          <w:szCs w:val="20"/>
        </w:rPr>
        <w:br w:type="page"/>
      </w:r>
    </w:p>
    <w:p w14:paraId="0ADFBB71" w14:textId="6B76A894" w:rsidR="004D1747" w:rsidRPr="00730C0D" w:rsidRDefault="004D1747" w:rsidP="00FB2E3C">
      <w:pPr>
        <w:spacing w:before="0" w:after="0"/>
        <w:ind w:right="-46"/>
        <w:rPr>
          <w:rFonts w:ascii="Century Gothic" w:hAnsi="Century Gothic"/>
          <w:sz w:val="20"/>
          <w:szCs w:val="20"/>
        </w:rPr>
      </w:pPr>
      <w:r w:rsidRPr="00730C0D">
        <w:rPr>
          <w:rFonts w:ascii="Century Gothic" w:hAnsi="Century Gothic"/>
          <w:sz w:val="20"/>
          <w:szCs w:val="20"/>
        </w:rPr>
        <w:t xml:space="preserve">It is recommended that the Australian Government Department of Education work with Austrade (the responsible department for international marketing and promotion of Australian education and training) and TEQSA, as well as other relevant groups, in the development of this communications strategy to ensure most effective and targeted reach. Importantly, schools and careers advisers should be included in any targeted communications strategy so that students, as consumers of the PCS, are informed about their post-school options. </w:t>
      </w:r>
    </w:p>
    <w:p w14:paraId="44269A12" w14:textId="77777777" w:rsidR="004D1747" w:rsidRPr="00730C0D" w:rsidRDefault="004D1747" w:rsidP="004D1747">
      <w:pPr>
        <w:spacing w:before="0" w:after="0"/>
        <w:rPr>
          <w:rFonts w:ascii="Century Gothic" w:hAnsi="Century Gothic"/>
          <w:sz w:val="20"/>
          <w:szCs w:val="20"/>
        </w:rPr>
      </w:pPr>
    </w:p>
    <w:p w14:paraId="58E6D545" w14:textId="202AED1D" w:rsidR="004C652F"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For example, Australian Government higher education websites, particularly those targeted at students, could be updated to reflect and share revisions to the PCS proposed in this Review. In doing this, the interconnectivity of such websites could also be enhanced to enable students to more effectively understand the ways in which Government websites interact. It would also support students to easily access information about their post-school options which would include clearer links between websites such as TEQSA, CRICOS, QILT, ERA</w:t>
      </w:r>
      <w:r w:rsidR="00EF6C16" w:rsidRPr="00730C0D">
        <w:rPr>
          <w:rFonts w:ascii="Century Gothic" w:hAnsi="Century Gothic"/>
          <w:sz w:val="20"/>
          <w:szCs w:val="20"/>
        </w:rPr>
        <w:t>,</w:t>
      </w:r>
      <w:r w:rsidRPr="00730C0D">
        <w:rPr>
          <w:rFonts w:ascii="Century Gothic" w:hAnsi="Century Gothic"/>
          <w:sz w:val="20"/>
          <w:szCs w:val="20"/>
        </w:rPr>
        <w:t xml:space="preserve"> and Course Seeker.    </w:t>
      </w:r>
    </w:p>
    <w:p w14:paraId="2EBC97FE" w14:textId="77777777" w:rsidR="00EF6C16" w:rsidRPr="00730C0D" w:rsidRDefault="00EF6C16" w:rsidP="004D1747">
      <w:pPr>
        <w:spacing w:before="0" w:after="0"/>
        <w:rPr>
          <w:rFonts w:ascii="Century Gothic" w:hAnsi="Century Gothic"/>
          <w:sz w:val="20"/>
          <w:szCs w:val="20"/>
        </w:rPr>
      </w:pPr>
    </w:p>
    <w:p w14:paraId="0AE0425B" w14:textId="51A24885" w:rsidR="004D1747" w:rsidRPr="00730C0D" w:rsidRDefault="004D1747" w:rsidP="004D1747">
      <w:pPr>
        <w:spacing w:before="0" w:after="0"/>
        <w:rPr>
          <w:rFonts w:ascii="Century Gothic" w:hAnsi="Century Gothic"/>
          <w:sz w:val="20"/>
          <w:szCs w:val="20"/>
        </w:rPr>
      </w:pPr>
      <w:r w:rsidRPr="00730C0D">
        <w:rPr>
          <w:rFonts w:ascii="Century Gothic" w:hAnsi="Century Gothic"/>
          <w:sz w:val="20"/>
          <w:szCs w:val="20"/>
        </w:rPr>
        <w:t>A</w:t>
      </w:r>
      <w:r w:rsidR="001D446D" w:rsidRPr="00730C0D">
        <w:rPr>
          <w:rFonts w:ascii="Century Gothic" w:hAnsi="Century Gothic"/>
          <w:sz w:val="20"/>
          <w:szCs w:val="20"/>
        </w:rPr>
        <w:t>n effective</w:t>
      </w:r>
      <w:r w:rsidRPr="00730C0D">
        <w:rPr>
          <w:rFonts w:ascii="Century Gothic" w:hAnsi="Century Gothic"/>
          <w:sz w:val="20"/>
          <w:szCs w:val="20"/>
        </w:rPr>
        <w:t xml:space="preserve"> communications strategy is particularly important in building transparency and awareness of the different categories of higher education providers in Australia under the PCS, and building the profile and recognition of institution</w:t>
      </w:r>
      <w:r w:rsidR="001D446D" w:rsidRPr="00730C0D">
        <w:rPr>
          <w:rFonts w:ascii="Century Gothic" w:hAnsi="Century Gothic"/>
          <w:sz w:val="20"/>
          <w:szCs w:val="20"/>
        </w:rPr>
        <w:t>s</w:t>
      </w:r>
      <w:r w:rsidRPr="00730C0D">
        <w:rPr>
          <w:rFonts w:ascii="Century Gothic" w:hAnsi="Century Gothic"/>
          <w:sz w:val="20"/>
          <w:szCs w:val="20"/>
        </w:rPr>
        <w:t xml:space="preserve"> within those categories. </w:t>
      </w:r>
      <w:r w:rsidR="00245E63" w:rsidRPr="00730C0D">
        <w:rPr>
          <w:rFonts w:ascii="Century Gothic" w:hAnsi="Century Gothic"/>
          <w:sz w:val="20"/>
          <w:szCs w:val="20"/>
        </w:rPr>
        <w:t>This will be particularly the case for the proposed ‘National Institute of Higher Education’ category.</w:t>
      </w:r>
    </w:p>
    <w:p w14:paraId="585E56FA" w14:textId="0C981297" w:rsidR="004D1747" w:rsidRPr="00730C0D" w:rsidRDefault="004D1747" w:rsidP="004D1747">
      <w:pPr>
        <w:spacing w:before="0" w:after="0"/>
        <w:rPr>
          <w:rFonts w:ascii="Century Gothic" w:hAnsi="Century Gothic"/>
          <w:sz w:val="20"/>
          <w:szCs w:val="20"/>
        </w:rPr>
      </w:pPr>
    </w:p>
    <w:tbl>
      <w:tblPr>
        <w:tblStyle w:val="NSRB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755"/>
      </w:tblGrid>
      <w:tr w:rsidR="004D1747" w:rsidRPr="00730C0D" w14:paraId="2835800A" w14:textId="77777777" w:rsidTr="00FB2E3C">
        <w:tc>
          <w:tcPr>
            <w:tcW w:w="9016" w:type="dxa"/>
            <w:gridSpan w:val="2"/>
            <w:tcBorders>
              <w:bottom w:val="single" w:sz="12" w:space="0" w:color="00B050"/>
            </w:tcBorders>
            <w:shd w:val="clear" w:color="auto" w:fill="2763AC"/>
          </w:tcPr>
          <w:p w14:paraId="363B9E52" w14:textId="59C4FEC4" w:rsidR="004D1747" w:rsidRPr="00730C0D" w:rsidRDefault="004D1747" w:rsidP="00FB2E3C">
            <w:pPr>
              <w:spacing w:before="160" w:after="160" w:line="259" w:lineRule="auto"/>
              <w:rPr>
                <w:rFonts w:ascii="Century Gothic" w:hAnsi="Century Gothic"/>
                <w:b/>
                <w:color w:val="FFFFFF" w:themeColor="background1"/>
                <w:sz w:val="24"/>
                <w:szCs w:val="24"/>
              </w:rPr>
            </w:pPr>
            <w:r w:rsidRPr="00730C0D">
              <w:rPr>
                <w:rFonts w:ascii="Century Gothic" w:hAnsi="Century Gothic"/>
                <w:b/>
                <w:color w:val="FFFFFF" w:themeColor="background1"/>
                <w:sz w:val="24"/>
                <w:szCs w:val="24"/>
              </w:rPr>
              <w:t xml:space="preserve">Recommendation </w:t>
            </w:r>
            <w:r w:rsidR="00F56055">
              <w:rPr>
                <w:rFonts w:ascii="Century Gothic" w:hAnsi="Century Gothic"/>
                <w:b/>
                <w:color w:val="FFFFFF" w:themeColor="background1"/>
                <w:sz w:val="24"/>
                <w:szCs w:val="24"/>
              </w:rPr>
              <w:t>9</w:t>
            </w:r>
          </w:p>
        </w:tc>
      </w:tr>
      <w:tr w:rsidR="004D1747" w:rsidRPr="00730C0D" w14:paraId="1F638748" w14:textId="77777777" w:rsidTr="00FB2E3C">
        <w:tc>
          <w:tcPr>
            <w:tcW w:w="9016" w:type="dxa"/>
            <w:gridSpan w:val="2"/>
            <w:tcBorders>
              <w:top w:val="single" w:sz="12" w:space="0" w:color="00B050"/>
            </w:tcBorders>
            <w:shd w:val="clear" w:color="auto" w:fill="D5DCE4" w:themeFill="text2" w:themeFillTint="33"/>
          </w:tcPr>
          <w:p w14:paraId="277DC7B7" w14:textId="33B1D0F5" w:rsidR="004D1747" w:rsidRPr="00730C0D" w:rsidRDefault="004D1747" w:rsidP="00FB2E3C">
            <w:pPr>
              <w:spacing w:before="160" w:after="160"/>
              <w:rPr>
                <w:rFonts w:ascii="Century Gothic" w:hAnsi="Century Gothic"/>
                <w:b/>
                <w:sz w:val="20"/>
                <w:szCs w:val="20"/>
              </w:rPr>
            </w:pPr>
            <w:r w:rsidRPr="00730C0D">
              <w:rPr>
                <w:rFonts w:ascii="Century Gothic" w:hAnsi="Century Gothic"/>
                <w:b/>
                <w:sz w:val="20"/>
                <w:szCs w:val="20"/>
              </w:rPr>
              <w:t>The essential purpose of regulating the nomenclature of institutions via the Higher Education Provider Category Standards is consumer protection. There should be, therefore, greater transparency and awareness-raising of the Higher Education Provider Category Standards, including the requirements expected of providers by different category type. This will be for the benefit of potential students, industry</w:t>
            </w:r>
            <w:r w:rsidR="00A711A4" w:rsidRPr="00730C0D">
              <w:rPr>
                <w:rFonts w:ascii="Century Gothic" w:hAnsi="Century Gothic"/>
                <w:b/>
                <w:sz w:val="20"/>
                <w:szCs w:val="20"/>
              </w:rPr>
              <w:t>,</w:t>
            </w:r>
            <w:r w:rsidRPr="00730C0D">
              <w:rPr>
                <w:rFonts w:ascii="Century Gothic" w:hAnsi="Century Gothic"/>
                <w:b/>
                <w:sz w:val="20"/>
                <w:szCs w:val="20"/>
              </w:rPr>
              <w:t xml:space="preserve"> and employers, both domestic and international. </w:t>
            </w:r>
          </w:p>
        </w:tc>
      </w:tr>
      <w:tr w:rsidR="004D1747" w:rsidRPr="00730C0D" w14:paraId="214B2708" w14:textId="77777777" w:rsidTr="00FB2E3C">
        <w:tc>
          <w:tcPr>
            <w:tcW w:w="3261" w:type="dxa"/>
            <w:tcBorders>
              <w:bottom w:val="single" w:sz="2" w:space="0" w:color="auto"/>
            </w:tcBorders>
            <w:shd w:val="clear" w:color="auto" w:fill="D5DCE4" w:themeFill="text2" w:themeFillTint="33"/>
          </w:tcPr>
          <w:p w14:paraId="484999CA" w14:textId="77777777" w:rsidR="004D1747" w:rsidRPr="00730C0D" w:rsidRDefault="004D1747" w:rsidP="00FB2E3C">
            <w:pPr>
              <w:spacing w:before="0" w:after="0" w:line="259" w:lineRule="auto"/>
              <w:rPr>
                <w:rFonts w:ascii="Century Gothic" w:hAnsi="Century Gothic"/>
                <w:b/>
                <w:sz w:val="20"/>
                <w:szCs w:val="20"/>
              </w:rPr>
            </w:pPr>
            <w:r w:rsidRPr="00730C0D">
              <w:rPr>
                <w:rFonts w:ascii="Century Gothic" w:hAnsi="Century Gothic"/>
                <w:b/>
                <w:sz w:val="20"/>
                <w:szCs w:val="20"/>
              </w:rPr>
              <w:t>Item</w:t>
            </w:r>
          </w:p>
        </w:tc>
        <w:tc>
          <w:tcPr>
            <w:tcW w:w="5755" w:type="dxa"/>
            <w:tcBorders>
              <w:bottom w:val="single" w:sz="2" w:space="0" w:color="auto"/>
            </w:tcBorders>
            <w:shd w:val="clear" w:color="auto" w:fill="D5DCE4" w:themeFill="text2" w:themeFillTint="33"/>
          </w:tcPr>
          <w:p w14:paraId="4A9DC2E8" w14:textId="77777777" w:rsidR="004D1747" w:rsidRPr="00730C0D" w:rsidRDefault="004D1747" w:rsidP="00FB2E3C">
            <w:pPr>
              <w:spacing w:before="0" w:after="0" w:line="259" w:lineRule="auto"/>
              <w:rPr>
                <w:rFonts w:ascii="Century Gothic" w:hAnsi="Century Gothic"/>
                <w:b/>
                <w:sz w:val="20"/>
                <w:szCs w:val="20"/>
              </w:rPr>
            </w:pPr>
            <w:r w:rsidRPr="00730C0D">
              <w:rPr>
                <w:rFonts w:ascii="Century Gothic" w:hAnsi="Century Gothic"/>
                <w:b/>
                <w:sz w:val="20"/>
                <w:szCs w:val="20"/>
              </w:rPr>
              <w:t>Related Action</w:t>
            </w:r>
          </w:p>
        </w:tc>
      </w:tr>
      <w:tr w:rsidR="004D1747" w:rsidRPr="00730C0D" w14:paraId="0D5C448F" w14:textId="77777777" w:rsidTr="00FB2E3C">
        <w:tc>
          <w:tcPr>
            <w:tcW w:w="3261" w:type="dxa"/>
            <w:tcBorders>
              <w:top w:val="single" w:sz="2" w:space="0" w:color="auto"/>
            </w:tcBorders>
            <w:shd w:val="clear" w:color="auto" w:fill="D5DCE4" w:themeFill="text2" w:themeFillTint="33"/>
          </w:tcPr>
          <w:p w14:paraId="5B253532" w14:textId="77777777" w:rsidR="004D1747" w:rsidRPr="00730C0D" w:rsidRDefault="004D1747" w:rsidP="00FB2E3C">
            <w:pPr>
              <w:spacing w:before="160" w:afterLines="160" w:after="384" w:line="259" w:lineRule="auto"/>
              <w:rPr>
                <w:rFonts w:ascii="Century Gothic" w:hAnsi="Century Gothic"/>
                <w:sz w:val="20"/>
                <w:szCs w:val="20"/>
              </w:rPr>
            </w:pPr>
            <w:r w:rsidRPr="00730C0D">
              <w:rPr>
                <w:rFonts w:ascii="Century Gothic" w:hAnsi="Century Gothic"/>
                <w:sz w:val="20"/>
                <w:szCs w:val="20"/>
              </w:rPr>
              <w:t>The National Register of Higher Education Providers</w:t>
            </w:r>
          </w:p>
        </w:tc>
        <w:tc>
          <w:tcPr>
            <w:tcW w:w="5755" w:type="dxa"/>
            <w:tcBorders>
              <w:top w:val="single" w:sz="2" w:space="0" w:color="auto"/>
            </w:tcBorders>
            <w:shd w:val="clear" w:color="auto" w:fill="D5DCE4" w:themeFill="text2" w:themeFillTint="33"/>
          </w:tcPr>
          <w:p w14:paraId="3D76B075" w14:textId="77777777" w:rsidR="004D1747" w:rsidRPr="00730C0D" w:rsidRDefault="004D1747" w:rsidP="00FB2E3C">
            <w:pPr>
              <w:spacing w:before="160" w:after="0" w:line="259" w:lineRule="auto"/>
              <w:rPr>
                <w:rFonts w:ascii="Century Gothic" w:hAnsi="Century Gothic"/>
                <w:sz w:val="20"/>
                <w:szCs w:val="20"/>
              </w:rPr>
            </w:pPr>
            <w:r w:rsidRPr="00730C0D">
              <w:rPr>
                <w:rFonts w:ascii="Century Gothic" w:hAnsi="Century Gothic"/>
                <w:sz w:val="20"/>
                <w:szCs w:val="20"/>
              </w:rPr>
              <w:t>To enable consumers to be better informed of the requirements expected of providers registered under different categories, the Tertiary Education Quality and Standards Agency should provide more descriptive information on the National Register of Higher Education Providers.</w:t>
            </w:r>
          </w:p>
        </w:tc>
      </w:tr>
      <w:tr w:rsidR="004D1747" w:rsidRPr="00730C0D" w14:paraId="58FDF202" w14:textId="77777777" w:rsidTr="00D102CD">
        <w:trPr>
          <w:trHeight w:val="1337"/>
        </w:trPr>
        <w:tc>
          <w:tcPr>
            <w:tcW w:w="3261" w:type="dxa"/>
            <w:shd w:val="clear" w:color="auto" w:fill="D5DCE4" w:themeFill="text2" w:themeFillTint="33"/>
          </w:tcPr>
          <w:p w14:paraId="27BEE370" w14:textId="77777777" w:rsidR="004D1747" w:rsidRPr="00730C0D" w:rsidRDefault="004D1747" w:rsidP="00FB2E3C">
            <w:pPr>
              <w:spacing w:before="160" w:afterLines="160" w:after="384" w:line="259" w:lineRule="auto"/>
              <w:rPr>
                <w:rFonts w:ascii="Century Gothic" w:hAnsi="Century Gothic"/>
                <w:sz w:val="20"/>
                <w:szCs w:val="20"/>
              </w:rPr>
            </w:pPr>
            <w:r w:rsidRPr="00730C0D">
              <w:rPr>
                <w:rFonts w:ascii="Century Gothic" w:hAnsi="Century Gothic"/>
                <w:sz w:val="20"/>
                <w:szCs w:val="20"/>
              </w:rPr>
              <w:t>Tertiary Education Quality and Standards Agency Provider ID and provider category</w:t>
            </w:r>
          </w:p>
        </w:tc>
        <w:tc>
          <w:tcPr>
            <w:tcW w:w="5755" w:type="dxa"/>
            <w:shd w:val="clear" w:color="auto" w:fill="D5DCE4" w:themeFill="text2" w:themeFillTint="33"/>
          </w:tcPr>
          <w:p w14:paraId="61281015" w14:textId="0CA4F271" w:rsidR="004D1747" w:rsidRPr="00730C0D" w:rsidRDefault="004D1747" w:rsidP="00806B0A">
            <w:pPr>
              <w:spacing w:before="160" w:after="0" w:line="259" w:lineRule="auto"/>
              <w:rPr>
                <w:rFonts w:ascii="Century Gothic" w:hAnsi="Century Gothic"/>
                <w:sz w:val="20"/>
                <w:szCs w:val="20"/>
              </w:rPr>
            </w:pPr>
            <w:r w:rsidRPr="00730C0D">
              <w:rPr>
                <w:rFonts w:ascii="Century Gothic" w:hAnsi="Century Gothic"/>
                <w:sz w:val="20"/>
                <w:szCs w:val="20"/>
              </w:rPr>
              <w:t>To assist in transparency for consumers, all registered higher education providers should feature their Tertiary Education Quality and Standards Agency Provider ID and provider category on relevant public material.</w:t>
            </w:r>
          </w:p>
        </w:tc>
      </w:tr>
      <w:tr w:rsidR="004D1747" w:rsidRPr="00730C0D" w14:paraId="6D8C766B" w14:textId="77777777" w:rsidTr="00FB2E3C">
        <w:tc>
          <w:tcPr>
            <w:tcW w:w="3261" w:type="dxa"/>
            <w:shd w:val="clear" w:color="auto" w:fill="D5DCE4" w:themeFill="text2" w:themeFillTint="33"/>
          </w:tcPr>
          <w:p w14:paraId="213A24A6" w14:textId="77777777" w:rsidR="004D1747" w:rsidRPr="00730C0D" w:rsidRDefault="004D1747" w:rsidP="00D102CD">
            <w:pPr>
              <w:spacing w:before="0" w:afterLines="160" w:after="384" w:line="259" w:lineRule="auto"/>
              <w:rPr>
                <w:rFonts w:ascii="Century Gothic" w:hAnsi="Century Gothic"/>
                <w:sz w:val="20"/>
                <w:szCs w:val="20"/>
              </w:rPr>
            </w:pPr>
            <w:r w:rsidRPr="00730C0D">
              <w:rPr>
                <w:rFonts w:ascii="Century Gothic" w:hAnsi="Century Gothic"/>
                <w:sz w:val="20"/>
                <w:szCs w:val="20"/>
              </w:rPr>
              <w:t xml:space="preserve">Communications strategy </w:t>
            </w:r>
          </w:p>
        </w:tc>
        <w:tc>
          <w:tcPr>
            <w:tcW w:w="5755" w:type="dxa"/>
            <w:shd w:val="clear" w:color="auto" w:fill="D5DCE4" w:themeFill="text2" w:themeFillTint="33"/>
          </w:tcPr>
          <w:p w14:paraId="4E9CB9B0" w14:textId="77777777" w:rsidR="004D1747" w:rsidRPr="00730C0D" w:rsidRDefault="004D1747" w:rsidP="00D102CD">
            <w:pPr>
              <w:spacing w:before="0" w:after="0" w:line="259" w:lineRule="auto"/>
              <w:rPr>
                <w:rFonts w:ascii="Century Gothic" w:hAnsi="Century Gothic"/>
                <w:sz w:val="20"/>
                <w:szCs w:val="20"/>
              </w:rPr>
            </w:pPr>
            <w:r w:rsidRPr="00730C0D">
              <w:rPr>
                <w:rFonts w:ascii="Century Gothic" w:hAnsi="Century Gothic"/>
                <w:sz w:val="20"/>
                <w:szCs w:val="20"/>
              </w:rPr>
              <w:t xml:space="preserve">To build understanding and recognition of the different categories of higher education providers in Australia, a concerted communications strategy should be actioned with national and international audiences in mind. </w:t>
            </w:r>
          </w:p>
        </w:tc>
      </w:tr>
    </w:tbl>
    <w:p w14:paraId="40A7CCC6" w14:textId="77777777" w:rsidR="004D1747" w:rsidRPr="00730C0D" w:rsidRDefault="004D1747" w:rsidP="003A178A">
      <w:pPr>
        <w:pStyle w:val="Heading1"/>
      </w:pPr>
    </w:p>
    <w:p w14:paraId="0067A2F9" w14:textId="77777777" w:rsidR="004D1747" w:rsidRPr="00730C0D" w:rsidRDefault="004D1747" w:rsidP="004D1747">
      <w:pPr>
        <w:spacing w:before="0" w:after="160"/>
        <w:rPr>
          <w:rFonts w:ascii="Century Gothic" w:eastAsiaTheme="majorEastAsia" w:hAnsi="Century Gothic" w:cstheme="majorBidi"/>
          <w:color w:val="2763AC"/>
          <w:sz w:val="20"/>
          <w:szCs w:val="20"/>
        </w:rPr>
      </w:pPr>
      <w:r w:rsidRPr="00730C0D">
        <w:rPr>
          <w:rFonts w:ascii="Century Gothic" w:hAnsi="Century Gothic"/>
          <w:color w:val="2763AC"/>
          <w:sz w:val="20"/>
          <w:szCs w:val="20"/>
        </w:rPr>
        <w:br w:type="page"/>
      </w:r>
    </w:p>
    <w:p w14:paraId="28A7B809" w14:textId="1AD4B39F" w:rsidR="00A34FAA" w:rsidRPr="00730C0D" w:rsidRDefault="00A34FAA" w:rsidP="003A178A">
      <w:pPr>
        <w:pStyle w:val="Heading1"/>
        <w:rPr>
          <w:b/>
        </w:rPr>
      </w:pPr>
      <w:bookmarkStart w:id="83" w:name="_Toc18592348"/>
      <w:r w:rsidRPr="00730C0D">
        <w:rPr>
          <w:b/>
        </w:rPr>
        <w:t>Chapter 3</w:t>
      </w:r>
      <w:bookmarkEnd w:id="83"/>
      <w:r w:rsidRPr="00730C0D">
        <w:rPr>
          <w:b/>
        </w:rPr>
        <w:t xml:space="preserve"> </w:t>
      </w:r>
    </w:p>
    <w:p w14:paraId="3B9E85CD" w14:textId="7B93F9D0" w:rsidR="00AC7D05" w:rsidRPr="00730C0D" w:rsidRDefault="00E86FBD" w:rsidP="003A178A">
      <w:pPr>
        <w:pStyle w:val="Heading1"/>
      </w:pPr>
      <w:bookmarkStart w:id="84" w:name="_Toc16242130"/>
      <w:bookmarkStart w:id="85" w:name="_Toc16609453"/>
      <w:bookmarkStart w:id="86" w:name="_Toc18495586"/>
      <w:bookmarkStart w:id="87" w:name="_Toc18592349"/>
      <w:r w:rsidRPr="00730C0D">
        <w:rPr>
          <w:b/>
          <w:noProof/>
          <w:sz w:val="52"/>
          <w:szCs w:val="52"/>
          <w:lang w:eastAsia="en-AU"/>
        </w:rPr>
        <mc:AlternateContent>
          <mc:Choice Requires="wps">
            <w:drawing>
              <wp:anchor distT="0" distB="0" distL="114300" distR="114300" simplePos="0" relativeHeight="251679744" behindDoc="0" locked="0" layoutInCell="1" allowOverlap="1" wp14:anchorId="0722373C" wp14:editId="24C012F8">
                <wp:simplePos x="0" y="0"/>
                <wp:positionH relativeFrom="column">
                  <wp:posOffset>-1466850</wp:posOffset>
                </wp:positionH>
                <wp:positionV relativeFrom="paragraph">
                  <wp:posOffset>441960</wp:posOffset>
                </wp:positionV>
                <wp:extent cx="7143750" cy="0"/>
                <wp:effectExtent l="0" t="0" r="19050" b="19050"/>
                <wp:wrapNone/>
                <wp:docPr id="40" name="Straight Connector 40"/>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A81F3" id="Straight Connector 40"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34.8pt" to="44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" strokecolor="black [3213]" strokeweight=".5pt">
                <v:stroke joinstyle="miter"/>
              </v:line>
            </w:pict>
          </mc:Fallback>
        </mc:AlternateContent>
      </w:r>
      <w:r w:rsidR="00AC7D05" w:rsidRPr="00730C0D">
        <w:t>A Revised PCS Model</w:t>
      </w:r>
      <w:bookmarkEnd w:id="84"/>
      <w:bookmarkEnd w:id="85"/>
      <w:bookmarkEnd w:id="86"/>
      <w:bookmarkEnd w:id="87"/>
    </w:p>
    <w:p w14:paraId="4B7FE6D5" w14:textId="3BDBD555" w:rsidR="00AC7D05" w:rsidRPr="00730C0D" w:rsidRDefault="00AC7D05" w:rsidP="00D31B9A">
      <w:pPr>
        <w:spacing w:before="0" w:after="0"/>
        <w:rPr>
          <w:rFonts w:ascii="Century Gothic" w:hAnsi="Century Gothic"/>
          <w:sz w:val="20"/>
          <w:szCs w:val="20"/>
        </w:rPr>
      </w:pPr>
    </w:p>
    <w:p w14:paraId="59D42083" w14:textId="77777777" w:rsidR="00A34FAA" w:rsidRPr="00730C0D" w:rsidRDefault="00A34FAA" w:rsidP="00D31B9A">
      <w:pPr>
        <w:spacing w:before="0" w:after="0"/>
        <w:rPr>
          <w:rFonts w:ascii="Century Gothic" w:eastAsia="Calibri" w:hAnsi="Century Gothic" w:cs="Times New Roman"/>
          <w:sz w:val="20"/>
          <w:szCs w:val="20"/>
        </w:rPr>
      </w:pPr>
    </w:p>
    <w:p w14:paraId="04C75FA9" w14:textId="2255E475" w:rsidR="00AC7D05" w:rsidRPr="00730C0D" w:rsidRDefault="00AC7D05" w:rsidP="00BB5C0D">
      <w:pPr>
        <w:spacing w:before="0" w:after="0"/>
        <w:ind w:right="-46"/>
        <w:rPr>
          <w:rFonts w:ascii="Century Gothic" w:eastAsia="Calibri" w:hAnsi="Century Gothic" w:cs="Times New Roman"/>
          <w:sz w:val="20"/>
          <w:szCs w:val="20"/>
        </w:rPr>
      </w:pPr>
      <w:r w:rsidRPr="00730C0D">
        <w:rPr>
          <w:rFonts w:ascii="Century Gothic" w:eastAsia="Calibri" w:hAnsi="Century Gothic" w:cs="Times New Roman"/>
          <w:sz w:val="20"/>
          <w:szCs w:val="20"/>
        </w:rPr>
        <w:t xml:space="preserve">The previous chapter </w:t>
      </w:r>
      <w:r w:rsidR="000519C9" w:rsidRPr="00730C0D">
        <w:rPr>
          <w:rFonts w:ascii="Century Gothic" w:eastAsia="Calibri" w:hAnsi="Century Gothic" w:cs="Times New Roman"/>
          <w:sz w:val="20"/>
          <w:szCs w:val="20"/>
        </w:rPr>
        <w:t>outlined</w:t>
      </w:r>
      <w:r w:rsidRPr="00730C0D">
        <w:rPr>
          <w:rFonts w:ascii="Century Gothic" w:eastAsia="Calibri" w:hAnsi="Century Gothic" w:cs="Times New Roman"/>
          <w:sz w:val="20"/>
          <w:szCs w:val="20"/>
        </w:rPr>
        <w:t xml:space="preserve"> a number of key issues with the current PCS which were identified through public submissions and consultations, and proposed recommendations seeking to address these </w:t>
      </w:r>
      <w:r w:rsidR="007F3EF1" w:rsidRPr="00730C0D">
        <w:rPr>
          <w:rFonts w:ascii="Century Gothic" w:eastAsia="Calibri" w:hAnsi="Century Gothic" w:cs="Times New Roman"/>
          <w:sz w:val="20"/>
          <w:szCs w:val="20"/>
        </w:rPr>
        <w:t>issues</w:t>
      </w:r>
      <w:r w:rsidRPr="00730C0D">
        <w:rPr>
          <w:rFonts w:ascii="Century Gothic" w:eastAsia="Calibri" w:hAnsi="Century Gothic" w:cs="Times New Roman"/>
          <w:sz w:val="20"/>
          <w:szCs w:val="20"/>
        </w:rPr>
        <w:t xml:space="preserve">. </w:t>
      </w:r>
      <w:r w:rsidR="007F3EF1" w:rsidRPr="00730C0D">
        <w:rPr>
          <w:rFonts w:ascii="Century Gothic" w:eastAsia="Calibri" w:hAnsi="Century Gothic" w:cs="Times New Roman"/>
          <w:sz w:val="20"/>
          <w:szCs w:val="20"/>
        </w:rPr>
        <w:t xml:space="preserve">Findings </w:t>
      </w:r>
      <w:r w:rsidRPr="00730C0D">
        <w:rPr>
          <w:rFonts w:ascii="Century Gothic" w:eastAsia="Calibri" w:hAnsi="Century Gothic" w:cs="Times New Roman"/>
          <w:sz w:val="20"/>
          <w:szCs w:val="20"/>
        </w:rPr>
        <w:t>included the underutilisation or unobtainability of some categories, a lack of differentiation in the</w:t>
      </w:r>
      <w:r w:rsidR="000F4B95" w:rsidRPr="00730C0D">
        <w:rPr>
          <w:rFonts w:ascii="Century Gothic" w:eastAsia="Calibri" w:hAnsi="Century Gothic" w:cs="Times New Roman"/>
          <w:sz w:val="20"/>
          <w:szCs w:val="20"/>
        </w:rPr>
        <w:t xml:space="preserve"> current</w:t>
      </w:r>
      <w:r w:rsidRPr="00730C0D">
        <w:rPr>
          <w:rFonts w:ascii="Century Gothic" w:eastAsia="Calibri" w:hAnsi="Century Gothic" w:cs="Times New Roman"/>
          <w:sz w:val="20"/>
          <w:szCs w:val="20"/>
        </w:rPr>
        <w:t xml:space="preserve"> ‘Higher Education Provider’ category, nomenclature across the categories</w:t>
      </w:r>
      <w:r w:rsidR="00C04609" w:rsidRPr="00730C0D">
        <w:rPr>
          <w:rFonts w:ascii="Century Gothic" w:eastAsia="Calibri" w:hAnsi="Century Gothic" w:cs="Times New Roman"/>
          <w:sz w:val="20"/>
          <w:szCs w:val="20"/>
        </w:rPr>
        <w:t>,</w:t>
      </w:r>
      <w:r w:rsidRPr="00730C0D">
        <w:rPr>
          <w:rFonts w:ascii="Century Gothic" w:eastAsia="Calibri" w:hAnsi="Century Gothic" w:cs="Times New Roman"/>
          <w:sz w:val="20"/>
          <w:szCs w:val="20"/>
        </w:rPr>
        <w:t xml:space="preserve"> the conceptualisation of Australian universities as places of both teaching and research</w:t>
      </w:r>
      <w:r w:rsidR="00C04609" w:rsidRPr="00730C0D">
        <w:rPr>
          <w:rFonts w:ascii="Century Gothic" w:eastAsia="Calibri" w:hAnsi="Century Gothic" w:cs="Times New Roman"/>
          <w:sz w:val="20"/>
          <w:szCs w:val="20"/>
        </w:rPr>
        <w:t>, and limited community awareness of the PCS</w:t>
      </w:r>
      <w:r w:rsidRPr="00730C0D">
        <w:rPr>
          <w:rFonts w:ascii="Century Gothic" w:eastAsia="Calibri" w:hAnsi="Century Gothic" w:cs="Times New Roman"/>
          <w:sz w:val="20"/>
          <w:szCs w:val="20"/>
        </w:rPr>
        <w:t xml:space="preserve">. Technical issues with the PCS were also identified including </w:t>
      </w:r>
      <w:r w:rsidR="007F3EF1" w:rsidRPr="00730C0D">
        <w:rPr>
          <w:rFonts w:ascii="Century Gothic" w:eastAsia="Calibri" w:hAnsi="Century Gothic" w:cs="Times New Roman"/>
          <w:sz w:val="20"/>
          <w:szCs w:val="20"/>
        </w:rPr>
        <w:t xml:space="preserve">a lack of definition for </w:t>
      </w:r>
      <w:r w:rsidRPr="00730C0D">
        <w:rPr>
          <w:rFonts w:ascii="Century Gothic" w:eastAsia="Calibri" w:hAnsi="Century Gothic" w:cs="Times New Roman"/>
          <w:sz w:val="20"/>
          <w:szCs w:val="20"/>
        </w:rPr>
        <w:t xml:space="preserve">quality and quantity of research and </w:t>
      </w:r>
      <w:r w:rsidR="007F3EF1" w:rsidRPr="00730C0D">
        <w:rPr>
          <w:rFonts w:ascii="Century Gothic" w:eastAsia="Calibri" w:hAnsi="Century Gothic" w:cs="Times New Roman"/>
          <w:sz w:val="20"/>
          <w:szCs w:val="20"/>
        </w:rPr>
        <w:t xml:space="preserve">overly complex </w:t>
      </w:r>
      <w:r w:rsidRPr="00730C0D">
        <w:rPr>
          <w:rFonts w:ascii="Century Gothic" w:eastAsia="Calibri" w:hAnsi="Century Gothic" w:cs="Times New Roman"/>
          <w:sz w:val="20"/>
          <w:szCs w:val="20"/>
        </w:rPr>
        <w:t xml:space="preserve">self-accrediting authority criteria. </w:t>
      </w:r>
    </w:p>
    <w:p w14:paraId="70EC057A" w14:textId="1FDCF368" w:rsidR="00B57B7F" w:rsidRPr="00730C0D" w:rsidRDefault="00B57B7F" w:rsidP="00D31B9A">
      <w:pPr>
        <w:spacing w:before="0" w:after="0"/>
        <w:rPr>
          <w:rFonts w:ascii="Century Gothic" w:eastAsia="Calibri" w:hAnsi="Century Gothic" w:cs="Times New Roman"/>
          <w:sz w:val="20"/>
          <w:szCs w:val="20"/>
        </w:rPr>
      </w:pPr>
    </w:p>
    <w:p w14:paraId="6F35E5B1" w14:textId="52BCD50A" w:rsidR="00AC7D05" w:rsidRPr="00730C0D" w:rsidRDefault="00AC7D05" w:rsidP="00D31B9A">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This chapter explores the detail of a revised PCS model that is fit for purpose and fit for the future to meet the needs of students, the regulator, the broader education sector</w:t>
      </w:r>
      <w:r w:rsidR="007F3EF1" w:rsidRPr="00730C0D">
        <w:rPr>
          <w:rFonts w:ascii="Century Gothic" w:eastAsia="Calibri" w:hAnsi="Century Gothic" w:cs="Times New Roman"/>
          <w:sz w:val="20"/>
          <w:szCs w:val="20"/>
        </w:rPr>
        <w:t>,</w:t>
      </w:r>
      <w:r w:rsidRPr="00730C0D">
        <w:rPr>
          <w:rFonts w:ascii="Century Gothic" w:eastAsia="Calibri" w:hAnsi="Century Gothic" w:cs="Times New Roman"/>
          <w:sz w:val="20"/>
          <w:szCs w:val="20"/>
        </w:rPr>
        <w:t xml:space="preserve"> and the wider community. The chapter provides an overview of a </w:t>
      </w:r>
      <w:r w:rsidR="008E410C" w:rsidRPr="00730C0D">
        <w:rPr>
          <w:rFonts w:ascii="Century Gothic" w:eastAsia="Calibri" w:hAnsi="Century Gothic" w:cs="Times New Roman"/>
          <w:sz w:val="20"/>
          <w:szCs w:val="20"/>
        </w:rPr>
        <w:t xml:space="preserve">revised </w:t>
      </w:r>
      <w:r w:rsidRPr="00730C0D">
        <w:rPr>
          <w:rFonts w:ascii="Century Gothic" w:eastAsia="Calibri" w:hAnsi="Century Gothic" w:cs="Times New Roman"/>
          <w:sz w:val="20"/>
          <w:szCs w:val="20"/>
        </w:rPr>
        <w:t xml:space="preserve">PCS </w:t>
      </w:r>
      <w:r w:rsidR="007F3EF1" w:rsidRPr="00730C0D">
        <w:rPr>
          <w:rFonts w:ascii="Century Gothic" w:eastAsia="Calibri" w:hAnsi="Century Gothic" w:cs="Times New Roman"/>
          <w:sz w:val="20"/>
          <w:szCs w:val="20"/>
        </w:rPr>
        <w:t>model</w:t>
      </w:r>
      <w:r w:rsidRPr="00730C0D">
        <w:rPr>
          <w:rFonts w:ascii="Century Gothic" w:eastAsia="Calibri" w:hAnsi="Century Gothic" w:cs="Times New Roman"/>
          <w:sz w:val="20"/>
          <w:szCs w:val="20"/>
        </w:rPr>
        <w:t>, key changes to the criteria</w:t>
      </w:r>
      <w:r w:rsidR="007F3EF1" w:rsidRPr="00730C0D">
        <w:rPr>
          <w:rFonts w:ascii="Century Gothic" w:eastAsia="Calibri" w:hAnsi="Century Gothic" w:cs="Times New Roman"/>
          <w:sz w:val="20"/>
          <w:szCs w:val="20"/>
        </w:rPr>
        <w:t>,</w:t>
      </w:r>
      <w:r w:rsidRPr="00730C0D">
        <w:rPr>
          <w:rFonts w:ascii="Century Gothic" w:eastAsia="Calibri" w:hAnsi="Century Gothic" w:cs="Times New Roman"/>
          <w:sz w:val="20"/>
          <w:szCs w:val="20"/>
        </w:rPr>
        <w:t xml:space="preserve"> and a discussion of how the </w:t>
      </w:r>
      <w:r w:rsidR="008E410C" w:rsidRPr="00730C0D">
        <w:rPr>
          <w:rFonts w:ascii="Century Gothic" w:eastAsia="Calibri" w:hAnsi="Century Gothic" w:cs="Times New Roman"/>
          <w:sz w:val="20"/>
          <w:szCs w:val="20"/>
        </w:rPr>
        <w:t xml:space="preserve">revised </w:t>
      </w:r>
      <w:r w:rsidRPr="00730C0D">
        <w:rPr>
          <w:rFonts w:ascii="Century Gothic" w:eastAsia="Calibri" w:hAnsi="Century Gothic" w:cs="Times New Roman"/>
          <w:sz w:val="20"/>
          <w:szCs w:val="20"/>
        </w:rPr>
        <w:t xml:space="preserve">PCS will best serve different stakeholders. </w:t>
      </w:r>
    </w:p>
    <w:p w14:paraId="01B99D6F" w14:textId="65B793EA" w:rsidR="00AC7D05" w:rsidRPr="00730C0D" w:rsidRDefault="00AC7D05" w:rsidP="00D31B9A">
      <w:pPr>
        <w:spacing w:before="0" w:after="0"/>
        <w:rPr>
          <w:rFonts w:ascii="Century Gothic" w:eastAsia="Calibri" w:hAnsi="Century Gothic" w:cs="Times New Roman"/>
          <w:sz w:val="20"/>
          <w:szCs w:val="20"/>
        </w:rPr>
      </w:pPr>
    </w:p>
    <w:p w14:paraId="48D94E9E" w14:textId="3D719853" w:rsidR="00AC7D05" w:rsidRPr="00730C0D" w:rsidRDefault="00AE1672" w:rsidP="004978DA">
      <w:pPr>
        <w:pStyle w:val="Heading2"/>
        <w:rPr>
          <w:rFonts w:eastAsia="Times New Roman"/>
        </w:rPr>
      </w:pPr>
      <w:bookmarkStart w:id="88" w:name="_Toc18592350"/>
      <w:r w:rsidRPr="00730C0D">
        <w:rPr>
          <w:rFonts w:eastAsia="Times New Roman"/>
        </w:rPr>
        <w:t>3.1</w:t>
      </w:r>
      <w:r w:rsidRPr="00730C0D">
        <w:rPr>
          <w:rFonts w:eastAsia="Times New Roman"/>
        </w:rPr>
        <w:tab/>
      </w:r>
      <w:r w:rsidR="00AC7D05" w:rsidRPr="00730C0D">
        <w:rPr>
          <w:rFonts w:eastAsia="Times New Roman"/>
        </w:rPr>
        <w:t xml:space="preserve">Revised </w:t>
      </w:r>
      <w:r w:rsidR="00AC7D05" w:rsidRPr="00730C0D">
        <w:t>Categories</w:t>
      </w:r>
      <w:bookmarkEnd w:id="88"/>
    </w:p>
    <w:p w14:paraId="0E820A1B" w14:textId="0BB8596F" w:rsidR="00AC7D05" w:rsidRPr="00FE78DE" w:rsidRDefault="00C04609" w:rsidP="00BB5C0D">
      <w:pPr>
        <w:spacing w:before="0" w:after="0"/>
        <w:ind w:right="-188"/>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The proposed revisions to the PCS are available in </w:t>
      </w:r>
      <w:hyperlink w:anchor="_Appendix_D." w:history="1">
        <w:r w:rsidR="00AF7E44" w:rsidRPr="00FE78DE">
          <w:rPr>
            <w:rStyle w:val="Hyperlink"/>
            <w:rFonts w:ascii="Century Gothic" w:eastAsia="Calibri" w:hAnsi="Century Gothic" w:cs="Times New Roman"/>
            <w:sz w:val="20"/>
            <w:szCs w:val="20"/>
          </w:rPr>
          <w:t>Appendix D</w:t>
        </w:r>
      </w:hyperlink>
      <w:r w:rsidRPr="00FE78DE">
        <w:rPr>
          <w:rFonts w:ascii="Century Gothic" w:eastAsia="Calibri" w:hAnsi="Century Gothic" w:cs="Times New Roman"/>
          <w:sz w:val="20"/>
          <w:szCs w:val="20"/>
        </w:rPr>
        <w:t xml:space="preserve">. </w:t>
      </w:r>
      <w:r w:rsidR="00AC7D05" w:rsidRPr="00FE78DE">
        <w:rPr>
          <w:rFonts w:ascii="Century Gothic" w:eastAsia="Calibri" w:hAnsi="Century Gothic" w:cs="Times New Roman"/>
          <w:sz w:val="20"/>
          <w:szCs w:val="20"/>
        </w:rPr>
        <w:t>The revisions have been developed in line with the recommendations presented in Chapter 2 and take into consideration the views put forward by stakeholders in submissions and consulta</w:t>
      </w:r>
      <w:r w:rsidR="008B5F91" w:rsidRPr="00FE78DE">
        <w:rPr>
          <w:rFonts w:ascii="Century Gothic" w:eastAsia="Calibri" w:hAnsi="Century Gothic" w:cs="Times New Roman"/>
          <w:sz w:val="20"/>
          <w:szCs w:val="20"/>
        </w:rPr>
        <w:t>tions. In </w:t>
      </w:r>
      <w:r w:rsidR="00AC7D05" w:rsidRPr="00FE78DE">
        <w:rPr>
          <w:rFonts w:ascii="Century Gothic" w:eastAsia="Calibri" w:hAnsi="Century Gothic" w:cs="Times New Roman"/>
          <w:sz w:val="20"/>
          <w:szCs w:val="20"/>
        </w:rPr>
        <w:t>addition the recommendations set out in Chapter 2, a number of technical and minor changes to the criteria have been made. Although not warranting discrete</w:t>
      </w:r>
      <w:r w:rsidR="003C062A" w:rsidRPr="00FE78DE">
        <w:rPr>
          <w:rFonts w:ascii="Century Gothic" w:eastAsia="Calibri" w:hAnsi="Century Gothic" w:cs="Times New Roman"/>
          <w:sz w:val="20"/>
          <w:szCs w:val="20"/>
        </w:rPr>
        <w:t xml:space="preserve"> </w:t>
      </w:r>
      <w:r w:rsidR="00AC7D05" w:rsidRPr="00FE78DE">
        <w:rPr>
          <w:rFonts w:ascii="Century Gothic" w:eastAsia="Calibri" w:hAnsi="Century Gothic" w:cs="Times New Roman"/>
          <w:sz w:val="20"/>
          <w:szCs w:val="20"/>
        </w:rPr>
        <w:t>recommendations, these changes are intended to aid the simplification, transparency</w:t>
      </w:r>
      <w:r w:rsidR="00BB5C0D" w:rsidRPr="00FE78DE">
        <w:rPr>
          <w:rFonts w:ascii="Century Gothic" w:eastAsia="Calibri" w:hAnsi="Century Gothic" w:cs="Times New Roman"/>
          <w:sz w:val="20"/>
          <w:szCs w:val="20"/>
        </w:rPr>
        <w:t>,</w:t>
      </w:r>
      <w:r w:rsidR="00AC7D05" w:rsidRPr="00FE78DE">
        <w:rPr>
          <w:rFonts w:ascii="Century Gothic" w:eastAsia="Calibri" w:hAnsi="Century Gothic" w:cs="Times New Roman"/>
          <w:sz w:val="20"/>
          <w:szCs w:val="20"/>
        </w:rPr>
        <w:t xml:space="preserve"> and clarity of the PCS. </w:t>
      </w:r>
    </w:p>
    <w:p w14:paraId="2DCA73CB" w14:textId="77777777" w:rsidR="00AC7D05" w:rsidRPr="00730C0D" w:rsidRDefault="00AC7D05" w:rsidP="00D31B9A">
      <w:pPr>
        <w:spacing w:before="0" w:after="0"/>
        <w:rPr>
          <w:rFonts w:ascii="Century Gothic" w:eastAsia="Calibri" w:hAnsi="Century Gothic" w:cs="Times New Roman"/>
          <w:sz w:val="20"/>
          <w:szCs w:val="20"/>
        </w:rPr>
      </w:pPr>
    </w:p>
    <w:tbl>
      <w:tblPr>
        <w:tblStyle w:val="NSRB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C7D05" w:rsidRPr="00730C0D" w14:paraId="1BF4FF30" w14:textId="77777777" w:rsidTr="00D31B9A">
        <w:trPr>
          <w:cnfStyle w:val="100000000000" w:firstRow="1" w:lastRow="0" w:firstColumn="0" w:lastColumn="0" w:oddVBand="0" w:evenVBand="0" w:oddHBand="0" w:evenHBand="0" w:firstRowFirstColumn="0" w:firstRowLastColumn="0" w:lastRowFirstColumn="0" w:lastRowLastColumn="0"/>
        </w:trPr>
        <w:tc>
          <w:tcPr>
            <w:tcW w:w="9016" w:type="dxa"/>
            <w:tcBorders>
              <w:bottom w:val="single" w:sz="12" w:space="0" w:color="00B050"/>
            </w:tcBorders>
          </w:tcPr>
          <w:p w14:paraId="4AC8FF3F" w14:textId="756E86FB" w:rsidR="00AC7D05" w:rsidRPr="00730C0D" w:rsidRDefault="00AC7D05" w:rsidP="00C12F75">
            <w:pPr>
              <w:spacing w:before="160" w:after="160" w:line="259" w:lineRule="auto"/>
              <w:rPr>
                <w:rFonts w:ascii="Century Gothic" w:eastAsia="Calibri" w:hAnsi="Century Gothic" w:cs="Times New Roman"/>
                <w:b w:val="0"/>
                <w:szCs w:val="24"/>
              </w:rPr>
            </w:pPr>
            <w:r w:rsidRPr="00730C0D">
              <w:rPr>
                <w:rFonts w:ascii="Century Gothic" w:eastAsia="Calibri" w:hAnsi="Century Gothic" w:cs="Times New Roman"/>
                <w:szCs w:val="24"/>
              </w:rPr>
              <w:t xml:space="preserve">Recommendation </w:t>
            </w:r>
            <w:r w:rsidR="00C12F75">
              <w:rPr>
                <w:rFonts w:ascii="Century Gothic" w:eastAsia="Calibri" w:hAnsi="Century Gothic" w:cs="Times New Roman"/>
                <w:szCs w:val="24"/>
              </w:rPr>
              <w:t>10</w:t>
            </w:r>
          </w:p>
        </w:tc>
      </w:tr>
      <w:tr w:rsidR="00AC7D05" w:rsidRPr="00730C0D" w14:paraId="7A81E66F" w14:textId="77777777" w:rsidTr="00D31B9A">
        <w:trPr>
          <w:trHeight w:val="208"/>
        </w:trPr>
        <w:tc>
          <w:tcPr>
            <w:tcW w:w="9016" w:type="dxa"/>
            <w:tcBorders>
              <w:top w:val="single" w:sz="12" w:space="0" w:color="00B050"/>
            </w:tcBorders>
            <w:shd w:val="clear" w:color="auto" w:fill="C6D9F1"/>
          </w:tcPr>
          <w:p w14:paraId="20EE8C1D" w14:textId="5D72F242" w:rsidR="00AC7D05" w:rsidRPr="00730C0D" w:rsidRDefault="00E00E54" w:rsidP="004321E2">
            <w:pPr>
              <w:spacing w:before="160" w:after="160"/>
              <w:rPr>
                <w:rFonts w:ascii="Century Gothic" w:hAnsi="Century Gothic"/>
                <w:b/>
                <w:sz w:val="20"/>
                <w:szCs w:val="20"/>
              </w:rPr>
            </w:pPr>
            <w:r w:rsidRPr="00730C0D">
              <w:rPr>
                <w:rFonts w:ascii="Century Gothic" w:hAnsi="Century Gothic"/>
                <w:b/>
                <w:sz w:val="20"/>
                <w:szCs w:val="20"/>
              </w:rPr>
              <w:t xml:space="preserve">The recommended changes to Part B of the </w:t>
            </w:r>
            <w:r w:rsidRPr="00730C0D">
              <w:rPr>
                <w:rFonts w:ascii="Century Gothic" w:hAnsi="Century Gothic"/>
                <w:b/>
                <w:i/>
                <w:sz w:val="20"/>
                <w:szCs w:val="20"/>
              </w:rPr>
              <w:t xml:space="preserve">Higher Education Standards Framework (Threshold Standards) 2015 </w:t>
            </w:r>
            <w:r w:rsidRPr="00730C0D">
              <w:rPr>
                <w:rFonts w:ascii="Century Gothic" w:hAnsi="Century Gothic"/>
                <w:b/>
                <w:sz w:val="20"/>
                <w:szCs w:val="20"/>
              </w:rPr>
              <w:t xml:space="preserve">(as set out in </w:t>
            </w:r>
            <w:hyperlink w:anchor="_Appendix_D." w:history="1">
              <w:r w:rsidRPr="00730C0D">
                <w:rPr>
                  <w:rStyle w:val="Hyperlink"/>
                  <w:rFonts w:ascii="Century Gothic" w:hAnsi="Century Gothic"/>
                  <w:b/>
                  <w:sz w:val="20"/>
                  <w:szCs w:val="20"/>
                </w:rPr>
                <w:t>Appendix D</w:t>
              </w:r>
            </w:hyperlink>
            <w:r w:rsidRPr="00730C0D">
              <w:rPr>
                <w:rFonts w:ascii="Century Gothic" w:hAnsi="Century Gothic"/>
                <w:b/>
                <w:sz w:val="20"/>
                <w:szCs w:val="20"/>
              </w:rPr>
              <w:t xml:space="preserve">) should be referred to the </w:t>
            </w:r>
            <w:r w:rsidRPr="00730C0D">
              <w:rPr>
                <w:rFonts w:ascii="Century Gothic" w:hAnsi="Century Gothic"/>
                <w:b/>
                <w:sz w:val="20"/>
                <w:szCs w:val="20"/>
              </w:rPr>
              <w:br/>
              <w:t xml:space="preserve">Higher Education Standards Panel for deliberation. The HESP will then advise the Minister </w:t>
            </w:r>
            <w:r w:rsidR="00BB5C0D">
              <w:rPr>
                <w:rFonts w:ascii="Century Gothic" w:hAnsi="Century Gothic"/>
                <w:b/>
                <w:sz w:val="20"/>
                <w:szCs w:val="20"/>
              </w:rPr>
              <w:br/>
            </w:r>
            <w:r w:rsidRPr="00730C0D">
              <w:rPr>
                <w:rFonts w:ascii="Century Gothic" w:hAnsi="Century Gothic"/>
                <w:b/>
                <w:sz w:val="20"/>
                <w:szCs w:val="20"/>
              </w:rPr>
              <w:t>for Education on further required actions.</w:t>
            </w:r>
          </w:p>
        </w:tc>
      </w:tr>
    </w:tbl>
    <w:p w14:paraId="64722F7A" w14:textId="77777777" w:rsidR="00AC7D05" w:rsidRPr="00730C0D" w:rsidRDefault="00AC7D05" w:rsidP="00D31B9A">
      <w:pPr>
        <w:spacing w:before="0" w:after="0"/>
        <w:rPr>
          <w:rFonts w:ascii="Century Gothic" w:eastAsia="Calibri" w:hAnsi="Century Gothic" w:cs="Times New Roman"/>
          <w:sz w:val="20"/>
          <w:szCs w:val="20"/>
        </w:rPr>
      </w:pPr>
    </w:p>
    <w:p w14:paraId="0B943E9B" w14:textId="77777777" w:rsidR="00AC7D05" w:rsidRPr="00730C0D" w:rsidRDefault="00AC7D05" w:rsidP="00D31B9A">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The proposed revised PCS will consist of four categories:</w:t>
      </w:r>
    </w:p>
    <w:p w14:paraId="51326745" w14:textId="46BE43EC" w:rsidR="00AC7D05" w:rsidRPr="00730C0D" w:rsidRDefault="00C776B4" w:rsidP="0024520B">
      <w:pPr>
        <w:numPr>
          <w:ilvl w:val="0"/>
          <w:numId w:val="55"/>
        </w:numPr>
        <w:spacing w:before="0" w:after="0"/>
        <w:contextualSpacing/>
        <w:rPr>
          <w:rFonts w:ascii="Century Gothic" w:eastAsia="Calibri" w:hAnsi="Century Gothic" w:cs="Times New Roman"/>
          <w:sz w:val="20"/>
          <w:szCs w:val="20"/>
        </w:rPr>
      </w:pPr>
      <w:r>
        <w:rPr>
          <w:rFonts w:ascii="Century Gothic" w:hAnsi="Century Gothic"/>
          <w:sz w:val="20"/>
          <w:szCs w:val="20"/>
        </w:rPr>
        <w:t>Institute of Higher Education</w:t>
      </w:r>
      <w:r w:rsidR="00B22C87" w:rsidRPr="00730C0D">
        <w:rPr>
          <w:rFonts w:ascii="Century Gothic" w:eastAsia="Calibri" w:hAnsi="Century Gothic" w:cs="Times New Roman"/>
          <w:sz w:val="20"/>
          <w:szCs w:val="20"/>
        </w:rPr>
        <w:t>;</w:t>
      </w:r>
    </w:p>
    <w:p w14:paraId="15B0AD4B" w14:textId="0C408450" w:rsidR="00AC7D05" w:rsidRPr="00730C0D" w:rsidRDefault="00AC7D05" w:rsidP="0024520B">
      <w:pPr>
        <w:numPr>
          <w:ilvl w:val="0"/>
          <w:numId w:val="55"/>
        </w:numPr>
        <w:spacing w:before="0" w:after="0"/>
        <w:contextualSpacing/>
        <w:rPr>
          <w:rFonts w:ascii="Century Gothic" w:eastAsia="Calibri" w:hAnsi="Century Gothic" w:cs="Times New Roman"/>
          <w:sz w:val="20"/>
          <w:szCs w:val="20"/>
        </w:rPr>
      </w:pPr>
      <w:r w:rsidRPr="00730C0D">
        <w:rPr>
          <w:rFonts w:ascii="Century Gothic" w:eastAsia="Calibri" w:hAnsi="Century Gothic" w:cs="Times New Roman"/>
          <w:sz w:val="20"/>
          <w:szCs w:val="20"/>
        </w:rPr>
        <w:t>National Institute of Higher Education</w:t>
      </w:r>
      <w:r w:rsidR="00B22C87" w:rsidRPr="00730C0D">
        <w:rPr>
          <w:rFonts w:ascii="Century Gothic" w:eastAsia="Calibri" w:hAnsi="Century Gothic" w:cs="Times New Roman"/>
          <w:sz w:val="20"/>
          <w:szCs w:val="20"/>
        </w:rPr>
        <w:t>;</w:t>
      </w:r>
      <w:r w:rsidRPr="00730C0D">
        <w:rPr>
          <w:rFonts w:ascii="Century Gothic" w:eastAsia="Calibri" w:hAnsi="Century Gothic" w:cs="Times New Roman"/>
          <w:sz w:val="20"/>
          <w:szCs w:val="20"/>
        </w:rPr>
        <w:t xml:space="preserve"> </w:t>
      </w:r>
    </w:p>
    <w:p w14:paraId="35F4C6F3" w14:textId="5C02EBF0" w:rsidR="00AC7D05" w:rsidRPr="00730C0D" w:rsidRDefault="00AC7D05" w:rsidP="0024520B">
      <w:pPr>
        <w:numPr>
          <w:ilvl w:val="0"/>
          <w:numId w:val="55"/>
        </w:numPr>
        <w:spacing w:before="0" w:after="0"/>
        <w:contextualSpacing/>
        <w:rPr>
          <w:rFonts w:ascii="Century Gothic" w:eastAsia="Calibri" w:hAnsi="Century Gothic" w:cs="Times New Roman"/>
          <w:sz w:val="20"/>
          <w:szCs w:val="20"/>
        </w:rPr>
      </w:pPr>
      <w:r w:rsidRPr="00730C0D">
        <w:rPr>
          <w:rFonts w:ascii="Century Gothic" w:eastAsia="Calibri" w:hAnsi="Century Gothic" w:cs="Times New Roman"/>
          <w:sz w:val="20"/>
          <w:szCs w:val="20"/>
        </w:rPr>
        <w:t>Australian University</w:t>
      </w:r>
      <w:r w:rsidR="00B22C87" w:rsidRPr="00730C0D">
        <w:rPr>
          <w:rFonts w:ascii="Century Gothic" w:eastAsia="Calibri" w:hAnsi="Century Gothic" w:cs="Times New Roman"/>
          <w:sz w:val="20"/>
          <w:szCs w:val="20"/>
        </w:rPr>
        <w:t>; and</w:t>
      </w:r>
    </w:p>
    <w:p w14:paraId="0A8134AB" w14:textId="77777777" w:rsidR="00AC7D05" w:rsidRPr="00730C0D" w:rsidRDefault="00AC7D05" w:rsidP="0024520B">
      <w:pPr>
        <w:numPr>
          <w:ilvl w:val="0"/>
          <w:numId w:val="55"/>
        </w:numPr>
        <w:spacing w:before="0" w:after="0"/>
        <w:contextualSpacing/>
        <w:rPr>
          <w:rFonts w:ascii="Century Gothic" w:eastAsia="Calibri" w:hAnsi="Century Gothic" w:cs="Times New Roman"/>
          <w:sz w:val="20"/>
          <w:szCs w:val="20"/>
        </w:rPr>
      </w:pPr>
      <w:r w:rsidRPr="00730C0D">
        <w:rPr>
          <w:rFonts w:ascii="Century Gothic" w:eastAsia="Calibri" w:hAnsi="Century Gothic" w:cs="Times New Roman"/>
          <w:sz w:val="20"/>
          <w:szCs w:val="20"/>
        </w:rPr>
        <w:t>Overseas University in Australia.</w:t>
      </w:r>
    </w:p>
    <w:p w14:paraId="0A9E4D82" w14:textId="77777777" w:rsidR="002F6F7A" w:rsidRPr="00730C0D" w:rsidRDefault="002F6F7A" w:rsidP="00A34FAA">
      <w:pPr>
        <w:spacing w:before="0" w:after="0"/>
        <w:rPr>
          <w:rFonts w:ascii="Century Gothic" w:eastAsia="Calibri" w:hAnsi="Century Gothic" w:cs="Times New Roman"/>
          <w:sz w:val="20"/>
          <w:szCs w:val="20"/>
        </w:rPr>
      </w:pPr>
    </w:p>
    <w:p w14:paraId="20B74D15" w14:textId="0FF6EB5C" w:rsidR="00AC7D05" w:rsidRPr="00730C0D" w:rsidRDefault="009F7EF3" w:rsidP="00A34FAA">
      <w:pPr>
        <w:spacing w:before="0" w:after="0"/>
        <w:rPr>
          <w:rFonts w:ascii="Century Gothic" w:eastAsia="Calibri" w:hAnsi="Century Gothic" w:cs="Times New Roman"/>
          <w:sz w:val="20"/>
          <w:szCs w:val="20"/>
        </w:rPr>
      </w:pPr>
      <w:r w:rsidRPr="00730C0D">
        <w:rPr>
          <w:rFonts w:ascii="Century Gothic" w:hAnsi="Century Gothic"/>
          <w:sz w:val="20"/>
          <w:szCs w:val="20"/>
        </w:rPr>
        <w:t>The rationalisation of the current six categories to four categories – that is, two categories for universities and two categories for other higher education providers – aims to</w:t>
      </w:r>
      <w:r w:rsidR="008B6E55">
        <w:rPr>
          <w:rFonts w:ascii="Century Gothic" w:hAnsi="Century Gothic"/>
          <w:sz w:val="20"/>
          <w:szCs w:val="20"/>
        </w:rPr>
        <w:t xml:space="preserve"> simplify and </w:t>
      </w:r>
      <w:r w:rsidRPr="00730C0D">
        <w:rPr>
          <w:rFonts w:ascii="Century Gothic" w:hAnsi="Century Gothic"/>
          <w:sz w:val="20"/>
          <w:szCs w:val="20"/>
        </w:rPr>
        <w:t xml:space="preserve">rebalance the PCS. </w:t>
      </w:r>
      <w:r w:rsidRPr="00730C0D">
        <w:rPr>
          <w:rFonts w:ascii="Century Gothic" w:eastAsia="Calibri" w:hAnsi="Century Gothic" w:cs="Times New Roman"/>
          <w:sz w:val="20"/>
          <w:szCs w:val="20"/>
        </w:rPr>
        <w:t xml:space="preserve">Justification for the removal of some categories, and the modification or creation of others, can be found in Chapter 2. </w:t>
      </w:r>
      <w:r w:rsidRPr="00730C0D">
        <w:rPr>
          <w:rFonts w:ascii="Century Gothic" w:hAnsi="Century Gothic"/>
          <w:sz w:val="20"/>
          <w:szCs w:val="20"/>
        </w:rPr>
        <w:t xml:space="preserve">Diversity in the higher education sector is not reliant on numbers of categories. The PCS do not, and should not, prevent institutions from differentiating themselves and their missions as they seek to serve their different communities. This must continue to be fostered and encouraged. </w:t>
      </w:r>
      <w:r w:rsidR="00AC7D05" w:rsidRPr="00730C0D">
        <w:rPr>
          <w:rFonts w:ascii="Century Gothic" w:eastAsia="Calibri" w:hAnsi="Century Gothic" w:cs="Times New Roman"/>
          <w:sz w:val="20"/>
          <w:szCs w:val="20"/>
        </w:rPr>
        <w:t xml:space="preserve">Figure 3.1 presents descriptions </w:t>
      </w:r>
      <w:r w:rsidR="00A34FAA" w:rsidRPr="00730C0D">
        <w:rPr>
          <w:rFonts w:ascii="Century Gothic" w:eastAsia="Calibri" w:hAnsi="Century Gothic" w:cs="Times New Roman"/>
          <w:sz w:val="20"/>
          <w:szCs w:val="20"/>
        </w:rPr>
        <w:t xml:space="preserve">of the revised PCS categories. </w:t>
      </w:r>
    </w:p>
    <w:p w14:paraId="6C8A7CB6" w14:textId="72C5FE39" w:rsidR="00DC77B4" w:rsidRPr="00730C0D" w:rsidRDefault="00DC77B4" w:rsidP="00266D8E">
      <w:pPr>
        <w:pStyle w:val="Caption"/>
        <w:keepNext/>
        <w:rPr>
          <w:rFonts w:ascii="Century Gothic" w:hAnsi="Century Gothic"/>
          <w:sz w:val="20"/>
          <w:szCs w:val="20"/>
        </w:rPr>
      </w:pPr>
      <w:bookmarkStart w:id="89" w:name="_Toc18496166"/>
      <w:r w:rsidRPr="00730C0D">
        <w:rPr>
          <w:rFonts w:ascii="Century Gothic" w:hAnsi="Century Gothic"/>
          <w:sz w:val="20"/>
          <w:szCs w:val="20"/>
        </w:rPr>
        <w:t>Figure 3.</w:t>
      </w:r>
      <w:r w:rsidR="00C966D1" w:rsidRPr="00730C0D">
        <w:rPr>
          <w:rFonts w:ascii="Century Gothic" w:hAnsi="Century Gothic"/>
          <w:sz w:val="20"/>
          <w:szCs w:val="20"/>
        </w:rPr>
        <w:fldChar w:fldCharType="begin"/>
      </w:r>
      <w:r w:rsidR="00C966D1" w:rsidRPr="00730C0D">
        <w:rPr>
          <w:rFonts w:ascii="Century Gothic" w:hAnsi="Century Gothic"/>
          <w:sz w:val="20"/>
          <w:szCs w:val="20"/>
        </w:rPr>
        <w:instrText xml:space="preserve"> SEQ Figure \* ARABIC \s 1 </w:instrText>
      </w:r>
      <w:r w:rsidR="00C966D1" w:rsidRPr="00730C0D">
        <w:rPr>
          <w:rFonts w:ascii="Century Gothic" w:hAnsi="Century Gothic"/>
          <w:sz w:val="20"/>
          <w:szCs w:val="20"/>
        </w:rPr>
        <w:fldChar w:fldCharType="separate"/>
      </w:r>
      <w:r w:rsidR="00F732D2">
        <w:rPr>
          <w:rFonts w:ascii="Century Gothic" w:hAnsi="Century Gothic"/>
          <w:noProof/>
          <w:sz w:val="20"/>
          <w:szCs w:val="20"/>
        </w:rPr>
        <w:t>1</w:t>
      </w:r>
      <w:r w:rsidR="00C966D1" w:rsidRPr="00730C0D">
        <w:rPr>
          <w:rFonts w:ascii="Century Gothic" w:hAnsi="Century Gothic"/>
          <w:noProof/>
          <w:sz w:val="20"/>
          <w:szCs w:val="20"/>
        </w:rPr>
        <w:fldChar w:fldCharType="end"/>
      </w:r>
      <w:r w:rsidRPr="00730C0D">
        <w:rPr>
          <w:rFonts w:ascii="Century Gothic" w:hAnsi="Century Gothic"/>
          <w:sz w:val="20"/>
          <w:szCs w:val="20"/>
        </w:rPr>
        <w:t xml:space="preserve">: </w:t>
      </w:r>
      <w:r w:rsidR="00DB2C4F" w:rsidRPr="00730C0D">
        <w:rPr>
          <w:rFonts w:ascii="Century Gothic" w:hAnsi="Century Gothic"/>
          <w:sz w:val="20"/>
          <w:szCs w:val="20"/>
        </w:rPr>
        <w:t>Overview of Proposed PCS Categories</w:t>
      </w:r>
      <w:bookmarkEnd w:id="89"/>
    </w:p>
    <w:p w14:paraId="50B95F51" w14:textId="70143C62" w:rsidR="00246D38" w:rsidRPr="00730C0D" w:rsidRDefault="00AB07E5" w:rsidP="00BB5C0D">
      <w:pPr>
        <w:spacing w:before="0" w:after="0"/>
        <w:rPr>
          <w:rFonts w:ascii="Century Gothic" w:hAnsi="Century Gothic"/>
          <w:sz w:val="20"/>
          <w:szCs w:val="20"/>
        </w:rPr>
      </w:pPr>
      <w:r>
        <w:rPr>
          <w:noProof/>
          <w:lang w:eastAsia="en-AU"/>
        </w:rPr>
        <w:drawing>
          <wp:inline distT="0" distB="0" distL="0" distR="0" wp14:anchorId="116D729D" wp14:editId="3F8E165E">
            <wp:extent cx="5727700" cy="8645525"/>
            <wp:effectExtent l="0" t="0" r="6350" b="3175"/>
            <wp:docPr id="1" name="Picture 1" descr="Institute of Higher Education: The provider meets Part A of the Threshold Standards, has a clearly articulated higher education purpose, and the provider's academic and teaching staff are active in scholarship that informs their teaching. The provider is not required to be engaged in research within its fields of teaching unless offering higher degrees by research. The provider can apply for authority to self-accredit some or all of its courses. &#10;&#10;National Institute of Higher Education: In addition to meeting the requirements of the 'Institute of Higher Education' category, the provider self-accredits at least 70 per cent of its courses, has a history of successful delivery of courses with strong student outcomes, and demonstrates systematic support for scholarship. The provider also has depth of academic leadership, demonstrates engagement with employers, industry, and the professions, and has mature and advanced internal processes for quality assurance. The provider is not required to be engaged in research within its fields of teaching unless offering higher degrees by research. The provider may choose to remain in this category indefinitely or build capacity and position itself for registration in the 'Australian University' category. &#10;&#10;Australian University: The provider meets the requirements of the 'Institute of Higher Education' category, is self-accrediting, undertakes research at or above world standard, and delivers undergraduate and postgraduate courses, including Doctoral Degrees (Research). The provider has depth of academic leadership and expertise in the fields of education it delivers, demonstrates civic leadership, engagement with employers, industry, and the professions, and has mature and advanced internal processes for quality assurance. The provider has the support of the relevant State, Territory or Commonwealth government prior to registering in this category. A provider in this category can either have broad course offerings or have a specialised focus. &#10;&#10;Overseas University in Australia: The provider delivers at least one overseas higher education award in Australia, is recognised as a university by its home country, and meets criteria equivalent to the 'Australian University' category. The provider's profile in Australia may be an element of its broader international offerings." title="Figure 3.1: Overview of Proposed PC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3633\AppData\Local\Microsoft\Windows\INetCache\Content.Word\Figure 3.1_9.9.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8645525"/>
                    </a:xfrm>
                    <a:prstGeom prst="rect">
                      <a:avLst/>
                    </a:prstGeom>
                    <a:noFill/>
                    <a:ln>
                      <a:noFill/>
                    </a:ln>
                  </pic:spPr>
                </pic:pic>
              </a:graphicData>
            </a:graphic>
          </wp:inline>
        </w:drawing>
      </w:r>
    </w:p>
    <w:p w14:paraId="7580D26D" w14:textId="12CB4F4D" w:rsidR="00AC7D05" w:rsidRPr="00FE78DE" w:rsidRDefault="008B6E55" w:rsidP="00A34FAA">
      <w:pPr>
        <w:spacing w:before="0" w:after="0"/>
        <w:rPr>
          <w:rFonts w:ascii="Century Gothic" w:eastAsia="Calibri" w:hAnsi="Century Gothic" w:cs="Times New Roman"/>
          <w:sz w:val="20"/>
          <w:szCs w:val="20"/>
          <w:highlight w:val="yellow"/>
        </w:rPr>
      </w:pPr>
      <w:r>
        <w:rPr>
          <w:rFonts w:ascii="Century Gothic" w:eastAsia="Calibri" w:hAnsi="Century Gothic" w:cs="Times New Roman"/>
          <w:sz w:val="20"/>
          <w:szCs w:val="20"/>
        </w:rPr>
        <w:t>The naming of</w:t>
      </w:r>
      <w:r w:rsidRPr="00FE78DE">
        <w:rPr>
          <w:rFonts w:ascii="Century Gothic" w:eastAsia="Calibri" w:hAnsi="Century Gothic" w:cs="Times New Roman"/>
          <w:sz w:val="20"/>
          <w:szCs w:val="20"/>
        </w:rPr>
        <w:t xml:space="preserve"> </w:t>
      </w:r>
      <w:r w:rsidR="00AC7D05" w:rsidRPr="00FE78DE">
        <w:rPr>
          <w:rFonts w:ascii="Century Gothic" w:eastAsia="Calibri" w:hAnsi="Century Gothic" w:cs="Times New Roman"/>
          <w:sz w:val="20"/>
          <w:szCs w:val="20"/>
        </w:rPr>
        <w:t xml:space="preserve">the revised categories was an important practical consideration for this Review. Nomenclature is </w:t>
      </w:r>
      <w:r w:rsidR="009F7EF3" w:rsidRPr="00FE78DE">
        <w:rPr>
          <w:rFonts w:ascii="Century Gothic" w:eastAsia="Calibri" w:hAnsi="Century Gothic" w:cs="Times New Roman"/>
          <w:sz w:val="20"/>
          <w:szCs w:val="20"/>
        </w:rPr>
        <w:t xml:space="preserve">significant </w:t>
      </w:r>
      <w:r w:rsidR="00AC7D05" w:rsidRPr="00FE78DE">
        <w:rPr>
          <w:rFonts w:ascii="Century Gothic" w:eastAsia="Calibri" w:hAnsi="Century Gothic" w:cs="Times New Roman"/>
          <w:sz w:val="20"/>
          <w:szCs w:val="20"/>
        </w:rPr>
        <w:t>to project status, recognition</w:t>
      </w:r>
      <w:r w:rsidR="002F6F7A" w:rsidRPr="00FE78DE">
        <w:rPr>
          <w:rFonts w:ascii="Century Gothic" w:eastAsia="Calibri" w:hAnsi="Century Gothic" w:cs="Times New Roman"/>
          <w:sz w:val="20"/>
          <w:szCs w:val="20"/>
        </w:rPr>
        <w:t>,</w:t>
      </w:r>
      <w:r w:rsidR="00AC7D05" w:rsidRPr="00FE78DE">
        <w:rPr>
          <w:rFonts w:ascii="Century Gothic" w:eastAsia="Calibri" w:hAnsi="Century Gothic" w:cs="Times New Roman"/>
          <w:sz w:val="20"/>
          <w:szCs w:val="20"/>
        </w:rPr>
        <w:t xml:space="preserve"> and </w:t>
      </w:r>
      <w:r w:rsidR="009F7EF3" w:rsidRPr="00FE78DE">
        <w:rPr>
          <w:rFonts w:ascii="Century Gothic" w:eastAsia="Calibri" w:hAnsi="Century Gothic" w:cs="Times New Roman"/>
          <w:sz w:val="20"/>
          <w:szCs w:val="20"/>
        </w:rPr>
        <w:t xml:space="preserve">the </w:t>
      </w:r>
      <w:r w:rsidR="00AC7D05" w:rsidRPr="00FE78DE">
        <w:rPr>
          <w:rFonts w:ascii="Century Gothic" w:eastAsia="Calibri" w:hAnsi="Century Gothic" w:cs="Times New Roman"/>
          <w:sz w:val="20"/>
          <w:szCs w:val="20"/>
        </w:rPr>
        <w:t>value of each category</w:t>
      </w:r>
      <w:r w:rsidR="00B770C1" w:rsidRPr="00FE78DE">
        <w:rPr>
          <w:rFonts w:ascii="Century Gothic" w:eastAsia="Calibri" w:hAnsi="Century Gothic" w:cs="Times New Roman"/>
          <w:sz w:val="20"/>
          <w:szCs w:val="20"/>
        </w:rPr>
        <w:t>,</w:t>
      </w:r>
      <w:r w:rsidR="00AC7D05" w:rsidRPr="00FE78DE">
        <w:rPr>
          <w:rFonts w:ascii="Century Gothic" w:eastAsia="Calibri" w:hAnsi="Century Gothic" w:cs="Times New Roman"/>
          <w:sz w:val="20"/>
          <w:szCs w:val="20"/>
        </w:rPr>
        <w:t xml:space="preserve"> both domestically and internationally</w:t>
      </w:r>
      <w:r w:rsidR="002F6F7A" w:rsidRPr="00FE78DE">
        <w:rPr>
          <w:rFonts w:ascii="Century Gothic" w:eastAsia="Calibri" w:hAnsi="Century Gothic" w:cs="Times New Roman"/>
          <w:sz w:val="20"/>
          <w:szCs w:val="20"/>
        </w:rPr>
        <w:t>,</w:t>
      </w:r>
      <w:r w:rsidR="00AC7D05" w:rsidRPr="00FE78DE">
        <w:rPr>
          <w:rFonts w:ascii="Century Gothic" w:eastAsia="Calibri" w:hAnsi="Century Gothic" w:cs="Times New Roman"/>
          <w:sz w:val="20"/>
          <w:szCs w:val="20"/>
        </w:rPr>
        <w:t xml:space="preserve"> across a range of stakeholder groups.</w:t>
      </w:r>
      <w:r w:rsidR="003D4960" w:rsidRPr="00FE78DE">
        <w:rPr>
          <w:rFonts w:ascii="Century Gothic" w:eastAsia="Calibri" w:hAnsi="Century Gothic" w:cs="Times New Roman"/>
          <w:sz w:val="20"/>
          <w:szCs w:val="20"/>
        </w:rPr>
        <w:t> </w:t>
      </w:r>
      <w:r w:rsidR="00AC7D05" w:rsidRPr="00FE78DE">
        <w:rPr>
          <w:rFonts w:ascii="Century Gothic" w:eastAsia="Calibri" w:hAnsi="Century Gothic" w:cs="Times New Roman"/>
          <w:sz w:val="20"/>
          <w:szCs w:val="20"/>
        </w:rPr>
        <w:t>As detailed in Chapter 2, the title ‘university’ resonates across the sector and beyond</w:t>
      </w:r>
      <w:r w:rsidR="00DC77B4" w:rsidRPr="00FE78DE">
        <w:rPr>
          <w:rFonts w:ascii="Century Gothic" w:eastAsia="Calibri" w:hAnsi="Century Gothic" w:cs="Times New Roman"/>
          <w:sz w:val="20"/>
          <w:szCs w:val="20"/>
        </w:rPr>
        <w:t xml:space="preserve"> </w:t>
      </w:r>
      <w:r w:rsidR="00AC7D05" w:rsidRPr="00FE78DE">
        <w:rPr>
          <w:rFonts w:ascii="Century Gothic" w:eastAsia="Calibri" w:hAnsi="Century Gothic" w:cs="Times New Roman"/>
          <w:sz w:val="20"/>
          <w:szCs w:val="20"/>
        </w:rPr>
        <w:t xml:space="preserve">(see </w:t>
      </w:r>
      <w:hyperlink w:anchor="_2.4.1_The_‘University’" w:history="1">
        <w:r w:rsidR="00CD16D6" w:rsidRPr="00FE78DE">
          <w:rPr>
            <w:rStyle w:val="Hyperlink"/>
            <w:rFonts w:ascii="Century Gothic" w:hAnsi="Century Gothic"/>
            <w:sz w:val="20"/>
            <w:szCs w:val="20"/>
          </w:rPr>
          <w:t>Section 2.4.1</w:t>
        </w:r>
      </w:hyperlink>
      <w:r w:rsidR="00AC7D05" w:rsidRPr="00FE78DE">
        <w:rPr>
          <w:rFonts w:ascii="Century Gothic" w:hAnsi="Century Gothic"/>
          <w:sz w:val="20"/>
          <w:szCs w:val="20"/>
        </w:rPr>
        <w:t>)</w:t>
      </w:r>
      <w:r w:rsidR="00AC7D05" w:rsidRPr="00FE78DE">
        <w:rPr>
          <w:rFonts w:ascii="Century Gothic" w:eastAsia="Calibri" w:hAnsi="Century Gothic" w:cs="Times New Roman"/>
          <w:sz w:val="20"/>
          <w:szCs w:val="20"/>
        </w:rPr>
        <w:t>. A detailed discussion of the issues surrounding the naming of the ‘</w:t>
      </w:r>
      <w:r w:rsidR="00C776B4">
        <w:rPr>
          <w:rFonts w:ascii="Century Gothic" w:hAnsi="Century Gothic"/>
          <w:sz w:val="20"/>
          <w:szCs w:val="20"/>
        </w:rPr>
        <w:t>Institute of Higher Education’</w:t>
      </w:r>
      <w:r w:rsidR="00C776B4" w:rsidRPr="00730C0D">
        <w:rPr>
          <w:rFonts w:ascii="Century Gothic" w:hAnsi="Century Gothic"/>
          <w:sz w:val="20"/>
          <w:szCs w:val="20"/>
        </w:rPr>
        <w:t xml:space="preserve"> </w:t>
      </w:r>
      <w:r w:rsidR="00AC7D05" w:rsidRPr="00FE78DE">
        <w:rPr>
          <w:rFonts w:ascii="Century Gothic" w:eastAsia="Calibri" w:hAnsi="Century Gothic" w:cs="Times New Roman"/>
          <w:sz w:val="20"/>
          <w:szCs w:val="20"/>
        </w:rPr>
        <w:t>and ‘National Institute</w:t>
      </w:r>
      <w:r w:rsidR="000F4B95" w:rsidRPr="00FE78DE">
        <w:rPr>
          <w:rFonts w:ascii="Century Gothic" w:eastAsia="Calibri" w:hAnsi="Century Gothic" w:cs="Times New Roman"/>
          <w:sz w:val="20"/>
          <w:szCs w:val="20"/>
        </w:rPr>
        <w:t xml:space="preserve"> of Higher Education</w:t>
      </w:r>
      <w:r w:rsidR="00AC7D05" w:rsidRPr="00FE78DE">
        <w:rPr>
          <w:rFonts w:ascii="Century Gothic" w:eastAsia="Calibri" w:hAnsi="Century Gothic" w:cs="Times New Roman"/>
          <w:sz w:val="20"/>
          <w:szCs w:val="20"/>
        </w:rPr>
        <w:t xml:space="preserve">’ is also outlined in Chapter 2 </w:t>
      </w:r>
      <w:r w:rsidR="00986E98">
        <w:rPr>
          <w:rFonts w:ascii="Century Gothic" w:eastAsia="Calibri" w:hAnsi="Century Gothic" w:cs="Times New Roman"/>
          <w:sz w:val="20"/>
          <w:szCs w:val="20"/>
        </w:rPr>
        <w:br/>
      </w:r>
      <w:r w:rsidR="00AC7D05" w:rsidRPr="00FE78DE">
        <w:rPr>
          <w:rFonts w:ascii="Century Gothic" w:eastAsia="Calibri" w:hAnsi="Century Gothic" w:cs="Times New Roman"/>
          <w:sz w:val="20"/>
          <w:szCs w:val="20"/>
        </w:rPr>
        <w:t xml:space="preserve">(see </w:t>
      </w:r>
      <w:r w:rsidR="002F6F7A" w:rsidRPr="00FE78DE">
        <w:rPr>
          <w:rFonts w:ascii="Century Gothic" w:hAnsi="Century Gothic"/>
          <w:sz w:val="20"/>
          <w:szCs w:val="20"/>
        </w:rPr>
        <w:t>S</w:t>
      </w:r>
      <w:r w:rsidR="00CD16D6" w:rsidRPr="00FE78DE">
        <w:rPr>
          <w:rFonts w:ascii="Century Gothic" w:hAnsi="Century Gothic"/>
          <w:sz w:val="20"/>
          <w:szCs w:val="20"/>
        </w:rPr>
        <w:t>ection</w:t>
      </w:r>
      <w:r w:rsidR="002F6F7A" w:rsidRPr="00FE78DE">
        <w:rPr>
          <w:rFonts w:ascii="Century Gothic" w:hAnsi="Century Gothic"/>
          <w:sz w:val="20"/>
          <w:szCs w:val="20"/>
        </w:rPr>
        <w:t>s</w:t>
      </w:r>
      <w:r w:rsidR="00CD16D6" w:rsidRPr="00FE78DE">
        <w:rPr>
          <w:rFonts w:ascii="Century Gothic" w:hAnsi="Century Gothic"/>
          <w:sz w:val="20"/>
          <w:szCs w:val="20"/>
        </w:rPr>
        <w:t xml:space="preserve"> </w:t>
      </w:r>
      <w:hyperlink w:anchor="_2.2.3_Nomenclature" w:history="1">
        <w:r w:rsidR="00CD16D6" w:rsidRPr="00FE78DE">
          <w:rPr>
            <w:rStyle w:val="Hyperlink"/>
            <w:rFonts w:ascii="Century Gothic" w:hAnsi="Century Gothic"/>
            <w:sz w:val="20"/>
            <w:szCs w:val="20"/>
          </w:rPr>
          <w:t>2.2.3</w:t>
        </w:r>
      </w:hyperlink>
      <w:r w:rsidR="00CD16D6" w:rsidRPr="00FE78DE">
        <w:rPr>
          <w:rFonts w:ascii="Century Gothic" w:hAnsi="Century Gothic"/>
          <w:sz w:val="20"/>
          <w:szCs w:val="20"/>
        </w:rPr>
        <w:t xml:space="preserve"> and </w:t>
      </w:r>
      <w:hyperlink w:anchor="_2.2.5_Standing_and" w:history="1">
        <w:r w:rsidR="00CD16D6" w:rsidRPr="00FE78DE">
          <w:rPr>
            <w:rStyle w:val="Hyperlink"/>
            <w:rFonts w:ascii="Century Gothic" w:hAnsi="Century Gothic"/>
            <w:sz w:val="20"/>
            <w:szCs w:val="20"/>
          </w:rPr>
          <w:t>2.2.5</w:t>
        </w:r>
      </w:hyperlink>
      <w:r w:rsidR="00CD16D6" w:rsidRPr="00FE78DE">
        <w:rPr>
          <w:rFonts w:ascii="Century Gothic" w:hAnsi="Century Gothic"/>
          <w:sz w:val="20"/>
          <w:szCs w:val="20"/>
        </w:rPr>
        <w:t xml:space="preserve"> respectively</w:t>
      </w:r>
      <w:r w:rsidR="00AC7D05" w:rsidRPr="00FE78DE">
        <w:rPr>
          <w:rFonts w:ascii="Century Gothic" w:hAnsi="Century Gothic"/>
          <w:sz w:val="20"/>
          <w:szCs w:val="20"/>
        </w:rPr>
        <w:t>)</w:t>
      </w:r>
      <w:r w:rsidR="00AC7D05" w:rsidRPr="00FE78DE">
        <w:rPr>
          <w:rFonts w:ascii="Century Gothic" w:eastAsia="Calibri" w:hAnsi="Century Gothic" w:cs="Times New Roman"/>
          <w:sz w:val="20"/>
          <w:szCs w:val="20"/>
        </w:rPr>
        <w:t xml:space="preserve">.  </w:t>
      </w:r>
    </w:p>
    <w:p w14:paraId="6A158340" w14:textId="77777777" w:rsidR="00AC7D05" w:rsidRPr="00730C0D" w:rsidRDefault="00AC7D05" w:rsidP="00D31B9A">
      <w:pPr>
        <w:spacing w:before="0" w:after="0"/>
        <w:rPr>
          <w:rFonts w:ascii="Century Gothic" w:eastAsia="Calibri" w:hAnsi="Century Gothic" w:cs="Times New Roman"/>
          <w:sz w:val="20"/>
          <w:szCs w:val="20"/>
        </w:rPr>
      </w:pPr>
    </w:p>
    <w:p w14:paraId="56591E91" w14:textId="4106DDCD" w:rsidR="00AC7D05" w:rsidRPr="00730C0D" w:rsidRDefault="00AE1672" w:rsidP="004978DA">
      <w:pPr>
        <w:pStyle w:val="Heading2"/>
        <w:rPr>
          <w:rFonts w:eastAsia="Times New Roman"/>
        </w:rPr>
      </w:pPr>
      <w:bookmarkStart w:id="90" w:name="_Toc18592351"/>
      <w:r w:rsidRPr="00730C0D">
        <w:rPr>
          <w:rFonts w:eastAsia="Times New Roman"/>
        </w:rPr>
        <w:t>3.2</w:t>
      </w:r>
      <w:r w:rsidRPr="00730C0D">
        <w:rPr>
          <w:rFonts w:eastAsia="Times New Roman"/>
        </w:rPr>
        <w:tab/>
      </w:r>
      <w:r w:rsidR="00AC7D05" w:rsidRPr="00730C0D">
        <w:rPr>
          <w:rFonts w:eastAsia="Times New Roman"/>
        </w:rPr>
        <w:t>Key Changes</w:t>
      </w:r>
      <w:bookmarkEnd w:id="90"/>
      <w:r w:rsidR="00AC7D05" w:rsidRPr="00730C0D">
        <w:rPr>
          <w:rFonts w:eastAsia="Times New Roman"/>
        </w:rPr>
        <w:t xml:space="preserve"> </w:t>
      </w:r>
    </w:p>
    <w:p w14:paraId="33F6853B" w14:textId="58D16A3C" w:rsidR="00AC7D05" w:rsidRPr="00730C0D" w:rsidRDefault="00AC7D05" w:rsidP="00D31B9A">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 xml:space="preserve">This section summarises </w:t>
      </w:r>
      <w:r w:rsidR="000D4655" w:rsidRPr="00730C0D">
        <w:rPr>
          <w:rFonts w:ascii="Century Gothic" w:eastAsia="Calibri" w:hAnsi="Century Gothic" w:cs="Times New Roman"/>
          <w:sz w:val="20"/>
          <w:szCs w:val="20"/>
        </w:rPr>
        <w:t>the major revisions to each provider category</w:t>
      </w:r>
      <w:r w:rsidRPr="00730C0D">
        <w:rPr>
          <w:rFonts w:ascii="Century Gothic" w:eastAsia="Calibri" w:hAnsi="Century Gothic" w:cs="Times New Roman"/>
          <w:sz w:val="20"/>
          <w:szCs w:val="20"/>
        </w:rPr>
        <w:t xml:space="preserve">. </w:t>
      </w:r>
      <w:r w:rsidR="004D777F" w:rsidRPr="00730C0D">
        <w:rPr>
          <w:rFonts w:ascii="Century Gothic" w:eastAsia="Calibri" w:hAnsi="Century Gothic" w:cs="Times New Roman"/>
          <w:sz w:val="20"/>
          <w:szCs w:val="20"/>
        </w:rPr>
        <w:t>None of the proposed revisions to</w:t>
      </w:r>
      <w:r w:rsidR="00227F72" w:rsidRPr="00730C0D">
        <w:rPr>
          <w:rFonts w:ascii="Century Gothic" w:eastAsia="Calibri" w:hAnsi="Century Gothic" w:cs="Times New Roman"/>
          <w:sz w:val="20"/>
          <w:szCs w:val="20"/>
        </w:rPr>
        <w:t xml:space="preserve"> the PCS </w:t>
      </w:r>
      <w:r w:rsidR="004D777F" w:rsidRPr="00730C0D">
        <w:rPr>
          <w:rFonts w:ascii="Century Gothic" w:eastAsia="Calibri" w:hAnsi="Century Gothic" w:cs="Times New Roman"/>
          <w:sz w:val="20"/>
          <w:szCs w:val="20"/>
        </w:rPr>
        <w:t>will</w:t>
      </w:r>
      <w:r w:rsidR="00227F72" w:rsidRPr="00730C0D">
        <w:rPr>
          <w:rFonts w:ascii="Century Gothic" w:eastAsia="Calibri" w:hAnsi="Century Gothic" w:cs="Times New Roman"/>
          <w:sz w:val="20"/>
          <w:szCs w:val="20"/>
        </w:rPr>
        <w:t xml:space="preserve"> prevent institutions from having diverse missions in line with the communities and student populations they </w:t>
      </w:r>
      <w:r w:rsidR="008B6E55">
        <w:rPr>
          <w:rFonts w:ascii="Century Gothic" w:eastAsia="Calibri" w:hAnsi="Century Gothic" w:cs="Times New Roman"/>
          <w:sz w:val="20"/>
          <w:szCs w:val="20"/>
        </w:rPr>
        <w:t>seek to serve</w:t>
      </w:r>
      <w:r w:rsidR="00227F72" w:rsidRPr="00730C0D">
        <w:rPr>
          <w:rFonts w:ascii="Century Gothic" w:eastAsia="Calibri" w:hAnsi="Century Gothic" w:cs="Times New Roman"/>
          <w:sz w:val="20"/>
          <w:szCs w:val="20"/>
        </w:rPr>
        <w:t xml:space="preserve">. The PCS </w:t>
      </w:r>
      <w:r w:rsidR="004D777F" w:rsidRPr="00730C0D">
        <w:rPr>
          <w:rFonts w:ascii="Century Gothic" w:eastAsia="Calibri" w:hAnsi="Century Gothic" w:cs="Times New Roman"/>
          <w:sz w:val="20"/>
          <w:szCs w:val="20"/>
        </w:rPr>
        <w:t>set</w:t>
      </w:r>
      <w:r w:rsidR="00227F72" w:rsidRPr="00730C0D">
        <w:rPr>
          <w:rFonts w:ascii="Century Gothic" w:eastAsia="Calibri" w:hAnsi="Century Gothic" w:cs="Times New Roman"/>
          <w:sz w:val="20"/>
          <w:szCs w:val="20"/>
        </w:rPr>
        <w:t xml:space="preserve"> out threshold requirements within a category</w:t>
      </w:r>
      <w:r w:rsidR="008B6E55">
        <w:rPr>
          <w:rFonts w:ascii="Century Gothic" w:eastAsia="Calibri" w:hAnsi="Century Gothic" w:cs="Times New Roman"/>
          <w:sz w:val="20"/>
          <w:szCs w:val="20"/>
        </w:rPr>
        <w:t>;</w:t>
      </w:r>
      <w:r w:rsidR="00227F72" w:rsidRPr="00730C0D">
        <w:rPr>
          <w:rFonts w:ascii="Century Gothic" w:eastAsia="Calibri" w:hAnsi="Century Gothic" w:cs="Times New Roman"/>
          <w:sz w:val="20"/>
          <w:szCs w:val="20"/>
        </w:rPr>
        <w:t xml:space="preserve"> however</w:t>
      </w:r>
      <w:r w:rsidR="008B6E55">
        <w:rPr>
          <w:rFonts w:ascii="Century Gothic" w:eastAsia="Calibri" w:hAnsi="Century Gothic" w:cs="Times New Roman"/>
          <w:sz w:val="20"/>
          <w:szCs w:val="20"/>
        </w:rPr>
        <w:t>,</w:t>
      </w:r>
      <w:r w:rsidR="00227F72" w:rsidRPr="00730C0D">
        <w:rPr>
          <w:rFonts w:ascii="Century Gothic" w:eastAsia="Calibri" w:hAnsi="Century Gothic" w:cs="Times New Roman"/>
          <w:sz w:val="20"/>
          <w:szCs w:val="20"/>
        </w:rPr>
        <w:t xml:space="preserve"> this does not inhibit scope </w:t>
      </w:r>
      <w:r w:rsidR="004D777F" w:rsidRPr="00730C0D">
        <w:rPr>
          <w:rFonts w:ascii="Century Gothic" w:eastAsia="Calibri" w:hAnsi="Century Gothic" w:cs="Times New Roman"/>
          <w:sz w:val="20"/>
          <w:szCs w:val="20"/>
        </w:rPr>
        <w:t>or</w:t>
      </w:r>
      <w:r w:rsidR="00227F72" w:rsidRPr="00730C0D">
        <w:rPr>
          <w:rFonts w:ascii="Century Gothic" w:eastAsia="Calibri" w:hAnsi="Century Gothic" w:cs="Times New Roman"/>
          <w:sz w:val="20"/>
          <w:szCs w:val="20"/>
        </w:rPr>
        <w:t xml:space="preserve"> mission.</w:t>
      </w:r>
    </w:p>
    <w:p w14:paraId="1361F922" w14:textId="77777777" w:rsidR="00AC7D05" w:rsidRPr="00730C0D" w:rsidRDefault="00AC7D05" w:rsidP="00D31B9A">
      <w:pPr>
        <w:spacing w:before="0" w:after="0"/>
        <w:rPr>
          <w:rFonts w:ascii="Century Gothic" w:eastAsia="Calibri" w:hAnsi="Century Gothic" w:cs="Times New Roman"/>
          <w:sz w:val="20"/>
          <w:szCs w:val="20"/>
        </w:rPr>
      </w:pPr>
    </w:p>
    <w:p w14:paraId="6C218D2C" w14:textId="700ED117" w:rsidR="00AC7D05" w:rsidRPr="00730C0D" w:rsidRDefault="003806EF" w:rsidP="004978DA">
      <w:pPr>
        <w:pStyle w:val="Heading3"/>
      </w:pPr>
      <w:bookmarkStart w:id="91" w:name="_Toc18592352"/>
      <w:r w:rsidRPr="00730C0D">
        <w:t>3.2.1</w:t>
      </w:r>
      <w:r w:rsidRPr="00730C0D">
        <w:tab/>
      </w:r>
      <w:r w:rsidR="00AC7D05" w:rsidRPr="00730C0D">
        <w:t xml:space="preserve">Criteria for Higher Education Provider Categories – </w:t>
      </w:r>
      <w:r w:rsidR="00EE1848" w:rsidRPr="00730C0D">
        <w:t>Preamble</w:t>
      </w:r>
      <w:bookmarkEnd w:id="91"/>
      <w:r w:rsidR="00EE1848" w:rsidRPr="00730C0D">
        <w:t xml:space="preserve"> </w:t>
      </w:r>
    </w:p>
    <w:p w14:paraId="5E31BE3A" w14:textId="22B6341B" w:rsidR="00AC7D05" w:rsidRPr="00730C0D" w:rsidRDefault="00D51EC3" w:rsidP="00D31B9A">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A key proposed change</w:t>
      </w:r>
      <w:r w:rsidR="00AC7D05" w:rsidRPr="00730C0D">
        <w:rPr>
          <w:rFonts w:ascii="Century Gothic" w:eastAsia="Calibri" w:hAnsi="Century Gothic" w:cs="Times New Roman"/>
          <w:sz w:val="20"/>
          <w:szCs w:val="20"/>
        </w:rPr>
        <w:t xml:space="preserve"> to the introductory paragraphs of Part B of the Threshold Standards includes referencing the objects of the </w:t>
      </w:r>
      <w:r w:rsidR="00AC7D05" w:rsidRPr="00730C0D">
        <w:rPr>
          <w:rFonts w:ascii="Century Gothic" w:eastAsia="Calibri" w:hAnsi="Century Gothic" w:cs="Times New Roman"/>
          <w:i/>
          <w:sz w:val="20"/>
          <w:szCs w:val="20"/>
        </w:rPr>
        <w:t>TEQSA Act 2011</w:t>
      </w:r>
      <w:r w:rsidR="00AC7D05" w:rsidRPr="00730C0D">
        <w:rPr>
          <w:rFonts w:ascii="Century Gothic" w:eastAsia="Calibri" w:hAnsi="Century Gothic" w:cs="Times New Roman"/>
          <w:sz w:val="20"/>
          <w:szCs w:val="20"/>
        </w:rPr>
        <w:t xml:space="preserve"> and TEQSA’s regulatory principles. This emphasises the </w:t>
      </w:r>
      <w:r w:rsidR="00DA7784" w:rsidRPr="00730C0D">
        <w:rPr>
          <w:rFonts w:ascii="Century Gothic" w:eastAsia="Calibri" w:hAnsi="Century Gothic" w:cs="Times New Roman"/>
          <w:sz w:val="20"/>
          <w:szCs w:val="20"/>
        </w:rPr>
        <w:t xml:space="preserve">importance of </w:t>
      </w:r>
      <w:r w:rsidRPr="00730C0D">
        <w:rPr>
          <w:rFonts w:ascii="Century Gothic" w:eastAsia="Calibri" w:hAnsi="Century Gothic" w:cs="Times New Roman"/>
          <w:sz w:val="20"/>
          <w:szCs w:val="20"/>
        </w:rPr>
        <w:t xml:space="preserve">the </w:t>
      </w:r>
      <w:r w:rsidR="00AC7D05" w:rsidRPr="00730C0D">
        <w:rPr>
          <w:rFonts w:ascii="Century Gothic" w:eastAsia="Calibri" w:hAnsi="Century Gothic" w:cs="Times New Roman"/>
          <w:sz w:val="20"/>
          <w:szCs w:val="20"/>
        </w:rPr>
        <w:t>legislative principles that TEQSA takes into consideration when making regulatory decisions</w:t>
      </w:r>
      <w:r w:rsidRPr="00730C0D">
        <w:rPr>
          <w:rFonts w:ascii="Century Gothic" w:eastAsia="Calibri" w:hAnsi="Century Gothic" w:cs="Times New Roman"/>
          <w:sz w:val="20"/>
          <w:szCs w:val="20"/>
        </w:rPr>
        <w:t>.</w:t>
      </w:r>
      <w:r w:rsidR="00AC7D05" w:rsidRPr="00730C0D">
        <w:rPr>
          <w:rFonts w:ascii="Century Gothic" w:eastAsia="Calibri" w:hAnsi="Century Gothic" w:cs="Times New Roman"/>
          <w:sz w:val="20"/>
          <w:szCs w:val="20"/>
        </w:rPr>
        <w:t xml:space="preserve"> </w:t>
      </w:r>
    </w:p>
    <w:p w14:paraId="355BB0FB" w14:textId="77777777" w:rsidR="00AC7D05" w:rsidRPr="00730C0D" w:rsidRDefault="00AC7D05" w:rsidP="00D31B9A">
      <w:pPr>
        <w:spacing w:before="0" w:after="0"/>
        <w:rPr>
          <w:rFonts w:ascii="Century Gothic" w:eastAsia="Calibri" w:hAnsi="Century Gothic" w:cs="Times New Roman"/>
          <w:sz w:val="20"/>
          <w:szCs w:val="20"/>
        </w:rPr>
      </w:pPr>
    </w:p>
    <w:p w14:paraId="19A154F8" w14:textId="1E441A6A" w:rsidR="00AC7D05" w:rsidRPr="00730C0D" w:rsidRDefault="00517BB0" w:rsidP="00D31B9A">
      <w:pPr>
        <w:spacing w:before="0" w:after="0"/>
        <w:contextualSpacing/>
        <w:rPr>
          <w:rFonts w:ascii="Century Gothic" w:eastAsia="Calibri" w:hAnsi="Century Gothic" w:cs="Times New Roman"/>
          <w:sz w:val="20"/>
          <w:szCs w:val="20"/>
        </w:rPr>
      </w:pPr>
      <w:r>
        <w:rPr>
          <w:rFonts w:ascii="Century Gothic" w:eastAsia="Calibri" w:hAnsi="Century Gothic" w:cs="Times New Roman"/>
          <w:sz w:val="20"/>
          <w:szCs w:val="20"/>
        </w:rPr>
        <w:t>In line with Recommendation 9</w:t>
      </w:r>
      <w:r w:rsidR="00AC7D05" w:rsidRPr="00730C0D">
        <w:rPr>
          <w:rFonts w:ascii="Century Gothic" w:eastAsia="Calibri" w:hAnsi="Century Gothic" w:cs="Times New Roman"/>
          <w:sz w:val="20"/>
          <w:szCs w:val="20"/>
        </w:rPr>
        <w:t xml:space="preserve">, the revised </w:t>
      </w:r>
      <w:r w:rsidR="00FA7C47" w:rsidRPr="00730C0D">
        <w:rPr>
          <w:rFonts w:ascii="Century Gothic" w:eastAsia="Calibri" w:hAnsi="Century Gothic" w:cs="Times New Roman"/>
          <w:sz w:val="20"/>
          <w:szCs w:val="20"/>
        </w:rPr>
        <w:t xml:space="preserve">preamble </w:t>
      </w:r>
      <w:r w:rsidR="00AC7D05" w:rsidRPr="00730C0D">
        <w:rPr>
          <w:rFonts w:ascii="Century Gothic" w:eastAsia="Calibri" w:hAnsi="Century Gothic" w:cs="Times New Roman"/>
          <w:sz w:val="20"/>
          <w:szCs w:val="20"/>
        </w:rPr>
        <w:t xml:space="preserve">includes that a provider’s registration category should be displayed on the TEQSA National Register and that all registered higher education providers should feature their TEQSA Provider ID and provider category on </w:t>
      </w:r>
      <w:r w:rsidR="00FA7C47" w:rsidRPr="00730C0D">
        <w:rPr>
          <w:rFonts w:ascii="Century Gothic" w:eastAsia="Calibri" w:hAnsi="Century Gothic" w:cs="Times New Roman"/>
          <w:sz w:val="20"/>
          <w:szCs w:val="20"/>
        </w:rPr>
        <w:t xml:space="preserve">relevant </w:t>
      </w:r>
      <w:r w:rsidR="00AC7D05" w:rsidRPr="00730C0D">
        <w:rPr>
          <w:rFonts w:ascii="Century Gothic" w:eastAsia="Calibri" w:hAnsi="Century Gothic" w:cs="Times New Roman"/>
          <w:sz w:val="20"/>
          <w:szCs w:val="20"/>
        </w:rPr>
        <w:t xml:space="preserve">public facing materials. </w:t>
      </w:r>
    </w:p>
    <w:p w14:paraId="56DA2B20" w14:textId="515D71B0" w:rsidR="000D4655" w:rsidRPr="00730C0D" w:rsidRDefault="000D4655" w:rsidP="00D31B9A">
      <w:pPr>
        <w:spacing w:before="0" w:after="0"/>
        <w:rPr>
          <w:rFonts w:ascii="Century Gothic" w:eastAsia="Calibri" w:hAnsi="Century Gothic" w:cs="Times New Roman"/>
          <w:sz w:val="20"/>
          <w:szCs w:val="20"/>
        </w:rPr>
      </w:pPr>
    </w:p>
    <w:p w14:paraId="49CE2EEF" w14:textId="1A0418EA" w:rsidR="00AC7D05" w:rsidRPr="00730C0D" w:rsidRDefault="003806EF" w:rsidP="00FE78DE">
      <w:pPr>
        <w:pStyle w:val="Heading3"/>
        <w:spacing w:after="20"/>
      </w:pPr>
      <w:bookmarkStart w:id="92" w:name="_Toc18592353"/>
      <w:r w:rsidRPr="00730C0D">
        <w:t>3.2.2</w:t>
      </w:r>
      <w:r w:rsidRPr="00730C0D">
        <w:tab/>
      </w:r>
      <w:r w:rsidR="00AC7D05" w:rsidRPr="00730C0D">
        <w:t>‘</w:t>
      </w:r>
      <w:r w:rsidR="00C776B4" w:rsidRPr="00C93260">
        <w:t xml:space="preserve">Institute of Higher Education’ </w:t>
      </w:r>
      <w:r w:rsidR="00AC7D05" w:rsidRPr="00730C0D">
        <w:t>Category</w:t>
      </w:r>
      <w:bookmarkEnd w:id="92"/>
    </w:p>
    <w:p w14:paraId="05EB6DDB" w14:textId="77777777" w:rsidR="00AC7D05" w:rsidRPr="00730C0D" w:rsidRDefault="00AC7D05" w:rsidP="00D31B9A">
      <w:pPr>
        <w:spacing w:before="0" w:after="0"/>
        <w:rPr>
          <w:rFonts w:ascii="Century Gothic" w:eastAsia="Calibri" w:hAnsi="Century Gothic" w:cs="Times New Roman"/>
          <w:i/>
          <w:sz w:val="20"/>
          <w:szCs w:val="20"/>
        </w:rPr>
      </w:pPr>
      <w:r w:rsidRPr="00730C0D">
        <w:rPr>
          <w:rFonts w:ascii="Century Gothic" w:eastAsia="Calibri" w:hAnsi="Century Gothic" w:cs="Times New Roman"/>
          <w:i/>
          <w:sz w:val="20"/>
          <w:szCs w:val="20"/>
        </w:rPr>
        <w:t>(Revision of the current ‘Higher Education Provider’ category)</w:t>
      </w:r>
    </w:p>
    <w:p w14:paraId="33E214AB" w14:textId="77777777" w:rsidR="00AC7D05" w:rsidRPr="00730C0D" w:rsidRDefault="00AC7D05" w:rsidP="00D31B9A">
      <w:pPr>
        <w:spacing w:before="0" w:after="0"/>
        <w:rPr>
          <w:rFonts w:ascii="Century Gothic" w:eastAsia="Calibri" w:hAnsi="Century Gothic" w:cs="Times New Roman"/>
          <w:sz w:val="20"/>
          <w:szCs w:val="20"/>
        </w:rPr>
      </w:pPr>
    </w:p>
    <w:p w14:paraId="033FC11C" w14:textId="2A3C8F84" w:rsidR="00AC7D05" w:rsidRPr="00730C0D" w:rsidRDefault="00AC7D05" w:rsidP="00D31B9A">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In line with Recommendation 2, the existing ‘Higher Education Provider</w:t>
      </w:r>
      <w:r w:rsidR="00FA7C47" w:rsidRPr="00730C0D">
        <w:rPr>
          <w:rFonts w:ascii="Century Gothic" w:eastAsia="Calibri" w:hAnsi="Century Gothic" w:cs="Times New Roman"/>
          <w:sz w:val="20"/>
          <w:szCs w:val="20"/>
        </w:rPr>
        <w:t>’</w:t>
      </w:r>
      <w:r w:rsidRPr="00730C0D">
        <w:rPr>
          <w:rFonts w:ascii="Century Gothic" w:eastAsia="Calibri" w:hAnsi="Century Gothic" w:cs="Times New Roman"/>
          <w:sz w:val="20"/>
          <w:szCs w:val="20"/>
        </w:rPr>
        <w:t xml:space="preserve"> Category – the category in which all higher education providers are registered unless they meet additional criteria – has been renamed ‘</w:t>
      </w:r>
      <w:r w:rsidR="00C776B4">
        <w:rPr>
          <w:rFonts w:ascii="Century Gothic" w:hAnsi="Century Gothic"/>
          <w:sz w:val="20"/>
          <w:szCs w:val="20"/>
        </w:rPr>
        <w:t>Institute of Higher Education’</w:t>
      </w:r>
      <w:r w:rsidR="00C776B4" w:rsidRPr="00730C0D">
        <w:rPr>
          <w:rFonts w:ascii="Century Gothic" w:hAnsi="Century Gothic"/>
          <w:sz w:val="20"/>
          <w:szCs w:val="20"/>
        </w:rPr>
        <w:t xml:space="preserve"> </w:t>
      </w:r>
      <w:r w:rsidRPr="00730C0D">
        <w:rPr>
          <w:rFonts w:ascii="Century Gothic" w:eastAsia="Calibri" w:hAnsi="Century Gothic" w:cs="Times New Roman"/>
          <w:sz w:val="20"/>
          <w:szCs w:val="20"/>
        </w:rPr>
        <w:t xml:space="preserve">to avoid confusion with the </w:t>
      </w:r>
      <w:r w:rsidR="007C0CF7" w:rsidRPr="00730C0D">
        <w:rPr>
          <w:rFonts w:ascii="Century Gothic" w:eastAsia="Calibri" w:hAnsi="Century Gothic" w:cs="Times New Roman"/>
          <w:sz w:val="20"/>
          <w:szCs w:val="20"/>
        </w:rPr>
        <w:t xml:space="preserve">broad </w:t>
      </w:r>
      <w:r w:rsidRPr="00730C0D">
        <w:rPr>
          <w:rFonts w:ascii="Century Gothic" w:eastAsia="Calibri" w:hAnsi="Century Gothic" w:cs="Times New Roman"/>
          <w:sz w:val="20"/>
          <w:szCs w:val="20"/>
        </w:rPr>
        <w:t xml:space="preserve">definition of ‘higher education provider’ in the </w:t>
      </w:r>
      <w:r w:rsidRPr="00730C0D">
        <w:rPr>
          <w:rFonts w:ascii="Century Gothic" w:eastAsia="Calibri" w:hAnsi="Century Gothic" w:cs="Times New Roman"/>
          <w:i/>
          <w:sz w:val="20"/>
          <w:szCs w:val="20"/>
        </w:rPr>
        <w:t>TEQSA Act 2011</w:t>
      </w:r>
      <w:r w:rsidRPr="00730C0D">
        <w:rPr>
          <w:rFonts w:ascii="Century Gothic" w:eastAsia="Calibri" w:hAnsi="Century Gothic" w:cs="Times New Roman"/>
          <w:sz w:val="20"/>
          <w:szCs w:val="20"/>
        </w:rPr>
        <w:t xml:space="preserve">. </w:t>
      </w:r>
    </w:p>
    <w:p w14:paraId="5644725E" w14:textId="5A532258" w:rsidR="007C0CF7" w:rsidRPr="00730C0D" w:rsidRDefault="007C0CF7" w:rsidP="00D31B9A">
      <w:pPr>
        <w:spacing w:before="0" w:after="0"/>
        <w:rPr>
          <w:rFonts w:ascii="Century Gothic" w:eastAsia="Calibri" w:hAnsi="Century Gothic" w:cs="Times New Roman"/>
          <w:sz w:val="20"/>
          <w:szCs w:val="20"/>
        </w:rPr>
      </w:pPr>
    </w:p>
    <w:p w14:paraId="425967EE" w14:textId="1F33824D" w:rsidR="007C0CF7" w:rsidRPr="00730C0D" w:rsidRDefault="007C0CF7" w:rsidP="00D31B9A">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 xml:space="preserve">Providers in this category will be required to </w:t>
      </w:r>
      <w:r w:rsidR="008B6E55">
        <w:rPr>
          <w:rFonts w:ascii="Century Gothic" w:eastAsia="Calibri" w:hAnsi="Century Gothic" w:cs="Times New Roman"/>
          <w:sz w:val="20"/>
          <w:szCs w:val="20"/>
        </w:rPr>
        <w:t>engage</w:t>
      </w:r>
      <w:r w:rsidR="008B6E55" w:rsidRPr="00730C0D">
        <w:rPr>
          <w:rFonts w:ascii="Century Gothic" w:eastAsia="Calibri" w:hAnsi="Century Gothic" w:cs="Times New Roman"/>
          <w:sz w:val="20"/>
          <w:szCs w:val="20"/>
        </w:rPr>
        <w:t xml:space="preserve"> </w:t>
      </w:r>
      <w:r w:rsidRPr="00730C0D">
        <w:rPr>
          <w:rFonts w:ascii="Century Gothic" w:eastAsia="Calibri" w:hAnsi="Century Gothic" w:cs="Times New Roman"/>
          <w:sz w:val="20"/>
          <w:szCs w:val="20"/>
        </w:rPr>
        <w:t xml:space="preserve">academic and teaching staff </w:t>
      </w:r>
      <w:r w:rsidR="008B6E55">
        <w:rPr>
          <w:rFonts w:ascii="Century Gothic" w:eastAsia="Calibri" w:hAnsi="Century Gothic" w:cs="Times New Roman"/>
          <w:sz w:val="20"/>
          <w:szCs w:val="20"/>
        </w:rPr>
        <w:t>who</w:t>
      </w:r>
      <w:r w:rsidR="008B6E55" w:rsidRPr="00730C0D">
        <w:rPr>
          <w:rFonts w:ascii="Century Gothic" w:eastAsia="Calibri" w:hAnsi="Century Gothic" w:cs="Times New Roman"/>
          <w:sz w:val="20"/>
          <w:szCs w:val="20"/>
        </w:rPr>
        <w:t xml:space="preserve"> </w:t>
      </w:r>
      <w:r w:rsidRPr="00730C0D">
        <w:rPr>
          <w:rFonts w:ascii="Century Gothic" w:eastAsia="Calibri" w:hAnsi="Century Gothic" w:cs="Times New Roman"/>
          <w:sz w:val="20"/>
          <w:szCs w:val="20"/>
        </w:rPr>
        <w:t>are active in scholarship that informs their teaching, supported by the provider.</w:t>
      </w:r>
    </w:p>
    <w:p w14:paraId="7263A980" w14:textId="77777777" w:rsidR="008E410C" w:rsidRPr="00730C0D" w:rsidRDefault="008E410C" w:rsidP="008E410C">
      <w:pPr>
        <w:spacing w:before="0" w:after="0"/>
        <w:rPr>
          <w:rFonts w:ascii="Century Gothic" w:eastAsia="Calibri" w:hAnsi="Century Gothic" w:cs="Times New Roman"/>
          <w:sz w:val="20"/>
          <w:szCs w:val="20"/>
        </w:rPr>
      </w:pPr>
    </w:p>
    <w:p w14:paraId="11BEE2E0" w14:textId="1DBD0B38" w:rsidR="00FA7C47" w:rsidRPr="00730C0D" w:rsidRDefault="007C0CF7" w:rsidP="00FA7C47">
      <w:pPr>
        <w:spacing w:before="0" w:after="0"/>
        <w:rPr>
          <w:rFonts w:ascii="Century Gothic" w:eastAsia="Calibri" w:hAnsi="Century Gothic" w:cs="Times New Roman"/>
          <w:sz w:val="20"/>
          <w:szCs w:val="20"/>
        </w:rPr>
      </w:pPr>
      <w:r w:rsidRPr="00730C0D">
        <w:rPr>
          <w:rFonts w:ascii="Century Gothic" w:eastAsia="Calibri" w:hAnsi="Century Gothic" w:cs="Times New Roman"/>
          <w:sz w:val="20"/>
          <w:szCs w:val="20"/>
        </w:rPr>
        <w:t>It is proposed</w:t>
      </w:r>
      <w:r w:rsidR="008B6E55">
        <w:rPr>
          <w:rFonts w:ascii="Century Gothic" w:eastAsia="Calibri" w:hAnsi="Century Gothic" w:cs="Times New Roman"/>
          <w:sz w:val="20"/>
          <w:szCs w:val="20"/>
        </w:rPr>
        <w:t xml:space="preserve"> that</w:t>
      </w:r>
      <w:r w:rsidRPr="00730C0D">
        <w:rPr>
          <w:rFonts w:ascii="Century Gothic" w:eastAsia="Calibri" w:hAnsi="Century Gothic" w:cs="Times New Roman"/>
          <w:sz w:val="20"/>
          <w:szCs w:val="20"/>
        </w:rPr>
        <w:t xml:space="preserve"> t</w:t>
      </w:r>
      <w:r w:rsidR="00FA7C47" w:rsidRPr="00730C0D">
        <w:rPr>
          <w:rFonts w:ascii="Century Gothic" w:eastAsia="Calibri" w:hAnsi="Century Gothic" w:cs="Times New Roman"/>
          <w:sz w:val="20"/>
          <w:szCs w:val="20"/>
        </w:rPr>
        <w:t xml:space="preserve">he current criteria for this category in relation to teaching and learning, and freedom of intellectual inquiry be removed, as these requirements are </w:t>
      </w:r>
      <w:r w:rsidRPr="00730C0D">
        <w:rPr>
          <w:rFonts w:ascii="Century Gothic" w:eastAsia="Calibri" w:hAnsi="Century Gothic" w:cs="Times New Roman"/>
          <w:sz w:val="20"/>
          <w:szCs w:val="20"/>
        </w:rPr>
        <w:t xml:space="preserve">already </w:t>
      </w:r>
      <w:r w:rsidR="00FA7C47" w:rsidRPr="00730C0D">
        <w:rPr>
          <w:rFonts w:ascii="Century Gothic" w:eastAsia="Calibri" w:hAnsi="Century Gothic" w:cs="Times New Roman"/>
          <w:sz w:val="20"/>
          <w:szCs w:val="20"/>
        </w:rPr>
        <w:t>addressed</w:t>
      </w:r>
      <w:r w:rsidRPr="00730C0D">
        <w:rPr>
          <w:rFonts w:ascii="Century Gothic" w:eastAsia="Calibri" w:hAnsi="Century Gothic" w:cs="Times New Roman"/>
          <w:sz w:val="20"/>
          <w:szCs w:val="20"/>
        </w:rPr>
        <w:t xml:space="preserve"> in Part A of the Threshold Standards</w:t>
      </w:r>
      <w:r w:rsidR="00FA7C47" w:rsidRPr="00730C0D">
        <w:rPr>
          <w:rFonts w:ascii="Century Gothic" w:eastAsia="Calibri" w:hAnsi="Century Gothic" w:cs="Times New Roman"/>
          <w:sz w:val="20"/>
          <w:szCs w:val="20"/>
        </w:rPr>
        <w:t xml:space="preserve">. </w:t>
      </w:r>
    </w:p>
    <w:p w14:paraId="614B7040" w14:textId="60668574" w:rsidR="00AC7D05" w:rsidRPr="00730C0D" w:rsidRDefault="00AC7D05" w:rsidP="00D31B9A">
      <w:pPr>
        <w:spacing w:before="0" w:after="0"/>
        <w:rPr>
          <w:rFonts w:ascii="Century Gothic" w:eastAsia="Calibri" w:hAnsi="Century Gothic" w:cs="Times New Roman"/>
          <w:sz w:val="20"/>
          <w:szCs w:val="20"/>
        </w:rPr>
      </w:pPr>
    </w:p>
    <w:p w14:paraId="261E2A02" w14:textId="705A91DE" w:rsidR="00AC7D05" w:rsidRPr="00730C0D" w:rsidRDefault="003806EF" w:rsidP="00FE78DE">
      <w:pPr>
        <w:pStyle w:val="Heading3"/>
        <w:spacing w:after="20"/>
      </w:pPr>
      <w:bookmarkStart w:id="93" w:name="_Toc18592354"/>
      <w:r w:rsidRPr="00730C0D">
        <w:t>3.2.3</w:t>
      </w:r>
      <w:r w:rsidRPr="00730C0D">
        <w:tab/>
      </w:r>
      <w:r w:rsidR="00AC7D05" w:rsidRPr="00730C0D">
        <w:t>‘National Institute of Higher Education’ Category</w:t>
      </w:r>
      <w:bookmarkEnd w:id="93"/>
    </w:p>
    <w:p w14:paraId="6E3E51A3" w14:textId="77777777" w:rsidR="00AC7D05" w:rsidRPr="00FE78DE" w:rsidRDefault="00AC7D05" w:rsidP="00D31B9A">
      <w:pPr>
        <w:spacing w:before="0" w:after="0"/>
        <w:rPr>
          <w:rFonts w:ascii="Century Gothic" w:eastAsia="Calibri" w:hAnsi="Century Gothic" w:cs="Times New Roman"/>
          <w:i/>
          <w:sz w:val="20"/>
          <w:szCs w:val="20"/>
        </w:rPr>
      </w:pPr>
      <w:r w:rsidRPr="00FE78DE">
        <w:rPr>
          <w:rFonts w:ascii="Century Gothic" w:eastAsia="Calibri" w:hAnsi="Century Gothic" w:cs="Times New Roman"/>
          <w:i/>
          <w:sz w:val="20"/>
          <w:szCs w:val="20"/>
        </w:rPr>
        <w:t>(New category)</w:t>
      </w:r>
    </w:p>
    <w:p w14:paraId="67CEBBEB" w14:textId="77777777" w:rsidR="00AC7D05" w:rsidRPr="00FE78DE" w:rsidRDefault="00AC7D05" w:rsidP="00D31B9A">
      <w:pPr>
        <w:spacing w:before="0" w:after="0"/>
        <w:rPr>
          <w:rFonts w:ascii="Century Gothic" w:eastAsia="Calibri" w:hAnsi="Century Gothic" w:cs="Times New Roman"/>
          <w:sz w:val="20"/>
          <w:szCs w:val="20"/>
        </w:rPr>
      </w:pPr>
    </w:p>
    <w:p w14:paraId="111EAA64" w14:textId="161A8623" w:rsidR="00D102CD"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The </w:t>
      </w:r>
      <w:r w:rsidR="008B6E55">
        <w:rPr>
          <w:rFonts w:ascii="Century Gothic" w:eastAsia="Calibri" w:hAnsi="Century Gothic" w:cs="Times New Roman"/>
          <w:sz w:val="20"/>
          <w:szCs w:val="20"/>
        </w:rPr>
        <w:t>proposed</w:t>
      </w:r>
      <w:r w:rsidR="008B6E55" w:rsidRPr="00FE78DE">
        <w:rPr>
          <w:rFonts w:ascii="Century Gothic" w:eastAsia="Calibri" w:hAnsi="Century Gothic" w:cs="Times New Roman"/>
          <w:sz w:val="20"/>
          <w:szCs w:val="20"/>
        </w:rPr>
        <w:t xml:space="preserve"> </w:t>
      </w:r>
      <w:r w:rsidRPr="00FE78DE">
        <w:rPr>
          <w:rFonts w:ascii="Century Gothic" w:eastAsia="Calibri" w:hAnsi="Century Gothic" w:cs="Times New Roman"/>
          <w:sz w:val="20"/>
          <w:szCs w:val="20"/>
        </w:rPr>
        <w:t xml:space="preserve">‘National Institute of Higher Education’ category has been developed </w:t>
      </w:r>
      <w:r w:rsidR="00370494" w:rsidRPr="00FE78DE">
        <w:rPr>
          <w:rFonts w:ascii="Century Gothic" w:eastAsia="Calibri" w:hAnsi="Century Gothic" w:cs="Times New Roman"/>
          <w:sz w:val="20"/>
          <w:szCs w:val="20"/>
        </w:rPr>
        <w:t xml:space="preserve">to help differentiate high-performing self-accrediting higher education providers. </w:t>
      </w:r>
      <w:r w:rsidR="00551546" w:rsidRPr="00FE78DE">
        <w:rPr>
          <w:rFonts w:ascii="Century Gothic" w:eastAsia="Calibri" w:hAnsi="Century Gothic" w:cs="Times New Roman"/>
          <w:sz w:val="20"/>
          <w:szCs w:val="20"/>
        </w:rPr>
        <w:t xml:space="preserve">The category will </w:t>
      </w:r>
      <w:r w:rsidR="00370494" w:rsidRPr="00FE78DE">
        <w:rPr>
          <w:rFonts w:ascii="Century Gothic" w:eastAsia="Calibri" w:hAnsi="Century Gothic" w:cs="Times New Roman"/>
          <w:sz w:val="20"/>
          <w:szCs w:val="20"/>
        </w:rPr>
        <w:t xml:space="preserve">serve as </w:t>
      </w:r>
      <w:r w:rsidR="00551546" w:rsidRPr="00FE78DE">
        <w:rPr>
          <w:rFonts w:ascii="Century Gothic" w:eastAsia="Calibri" w:hAnsi="Century Gothic" w:cs="Times New Roman"/>
          <w:sz w:val="20"/>
          <w:szCs w:val="20"/>
        </w:rPr>
        <w:t xml:space="preserve">an aspirational </w:t>
      </w:r>
      <w:r w:rsidR="0045490F" w:rsidRPr="00FE78DE">
        <w:rPr>
          <w:rFonts w:ascii="Century Gothic" w:eastAsia="Calibri" w:hAnsi="Century Gothic" w:cs="Times New Roman"/>
          <w:sz w:val="20"/>
          <w:szCs w:val="20"/>
        </w:rPr>
        <w:t>or</w:t>
      </w:r>
      <w:r w:rsidR="00551546" w:rsidRPr="00FE78DE">
        <w:rPr>
          <w:rFonts w:ascii="Century Gothic" w:eastAsia="Calibri" w:hAnsi="Century Gothic" w:cs="Times New Roman"/>
          <w:sz w:val="20"/>
          <w:szCs w:val="20"/>
        </w:rPr>
        <w:t xml:space="preserve"> </w:t>
      </w:r>
      <w:r w:rsidR="00370494" w:rsidRPr="00FE78DE">
        <w:rPr>
          <w:rFonts w:ascii="Century Gothic" w:eastAsia="Calibri" w:hAnsi="Century Gothic" w:cs="Times New Roman"/>
          <w:sz w:val="20"/>
          <w:szCs w:val="20"/>
        </w:rPr>
        <w:t>destination category for</w:t>
      </w:r>
      <w:r w:rsidR="008B6E55">
        <w:rPr>
          <w:rFonts w:ascii="Century Gothic" w:eastAsia="Calibri" w:hAnsi="Century Gothic" w:cs="Times New Roman"/>
          <w:sz w:val="20"/>
          <w:szCs w:val="20"/>
        </w:rPr>
        <w:t xml:space="preserve"> such</w:t>
      </w:r>
      <w:r w:rsidR="00370494" w:rsidRPr="00FE78DE">
        <w:rPr>
          <w:rFonts w:ascii="Century Gothic" w:eastAsia="Calibri" w:hAnsi="Century Gothic" w:cs="Times New Roman"/>
          <w:sz w:val="20"/>
          <w:szCs w:val="20"/>
        </w:rPr>
        <w:t xml:space="preserve"> </w:t>
      </w:r>
      <w:r w:rsidRPr="00FE78DE">
        <w:rPr>
          <w:rFonts w:ascii="Century Gothic" w:eastAsia="Calibri" w:hAnsi="Century Gothic" w:cs="Times New Roman"/>
          <w:sz w:val="20"/>
          <w:szCs w:val="20"/>
        </w:rPr>
        <w:t>high quality providers</w:t>
      </w:r>
      <w:r w:rsidR="00370494" w:rsidRPr="00FE78DE">
        <w:rPr>
          <w:rFonts w:ascii="Century Gothic" w:eastAsia="Calibri" w:hAnsi="Century Gothic" w:cs="Times New Roman"/>
          <w:sz w:val="20"/>
          <w:szCs w:val="20"/>
        </w:rPr>
        <w:t xml:space="preserve">. Additionally, the category will enable </w:t>
      </w:r>
      <w:r w:rsidRPr="00FE78DE">
        <w:rPr>
          <w:rFonts w:ascii="Century Gothic" w:eastAsia="Calibri" w:hAnsi="Century Gothic" w:cs="Times New Roman"/>
          <w:sz w:val="20"/>
          <w:szCs w:val="20"/>
        </w:rPr>
        <w:t xml:space="preserve">providers to build capacity and subsequently apply to </w:t>
      </w:r>
      <w:r w:rsidR="00CA2709" w:rsidRPr="00FE78DE">
        <w:rPr>
          <w:rFonts w:ascii="Century Gothic" w:eastAsia="Calibri" w:hAnsi="Century Gothic" w:cs="Times New Roman"/>
          <w:sz w:val="20"/>
          <w:szCs w:val="20"/>
        </w:rPr>
        <w:t>the ‘Australian</w:t>
      </w:r>
      <w:r w:rsidRPr="00FE78DE">
        <w:rPr>
          <w:rFonts w:ascii="Century Gothic" w:eastAsia="Calibri" w:hAnsi="Century Gothic" w:cs="Times New Roman"/>
          <w:sz w:val="20"/>
          <w:szCs w:val="20"/>
        </w:rPr>
        <w:t xml:space="preserve"> </w:t>
      </w:r>
      <w:r w:rsidR="00CA2709" w:rsidRPr="00FE78DE">
        <w:rPr>
          <w:rFonts w:ascii="Century Gothic" w:eastAsia="Calibri" w:hAnsi="Century Gothic" w:cs="Times New Roman"/>
          <w:sz w:val="20"/>
          <w:szCs w:val="20"/>
        </w:rPr>
        <w:t>U</w:t>
      </w:r>
      <w:r w:rsidRPr="00FE78DE">
        <w:rPr>
          <w:rFonts w:ascii="Century Gothic" w:eastAsia="Calibri" w:hAnsi="Century Gothic" w:cs="Times New Roman"/>
          <w:sz w:val="20"/>
          <w:szCs w:val="20"/>
        </w:rPr>
        <w:t>niversity</w:t>
      </w:r>
      <w:r w:rsidR="00CA2709" w:rsidRPr="00FE78DE">
        <w:rPr>
          <w:rFonts w:ascii="Century Gothic" w:eastAsia="Calibri" w:hAnsi="Century Gothic" w:cs="Times New Roman"/>
          <w:sz w:val="20"/>
          <w:szCs w:val="20"/>
        </w:rPr>
        <w:t>’ category</w:t>
      </w:r>
      <w:r w:rsidRPr="00FE78DE">
        <w:rPr>
          <w:rFonts w:ascii="Century Gothic" w:eastAsia="Calibri" w:hAnsi="Century Gothic" w:cs="Times New Roman"/>
          <w:sz w:val="20"/>
          <w:szCs w:val="20"/>
        </w:rPr>
        <w:t xml:space="preserve">, if that is their </w:t>
      </w:r>
      <w:r w:rsidR="001D446D" w:rsidRPr="00FE78DE">
        <w:rPr>
          <w:rFonts w:ascii="Century Gothic" w:eastAsia="Calibri" w:hAnsi="Century Gothic" w:cs="Times New Roman"/>
          <w:sz w:val="20"/>
          <w:szCs w:val="20"/>
        </w:rPr>
        <w:t>aspiration</w:t>
      </w:r>
      <w:r w:rsidRPr="00FE78DE">
        <w:rPr>
          <w:rFonts w:ascii="Century Gothic" w:eastAsia="Calibri" w:hAnsi="Century Gothic" w:cs="Times New Roman"/>
          <w:sz w:val="20"/>
          <w:szCs w:val="20"/>
        </w:rPr>
        <w:t>. A</w:t>
      </w:r>
      <w:r w:rsidR="003D4960" w:rsidRPr="00FE78DE">
        <w:rPr>
          <w:rFonts w:ascii="Century Gothic" w:eastAsia="Calibri" w:hAnsi="Century Gothic" w:cs="Times New Roman"/>
          <w:sz w:val="20"/>
          <w:szCs w:val="20"/>
        </w:rPr>
        <w:t> </w:t>
      </w:r>
      <w:r w:rsidRPr="00FE78DE">
        <w:rPr>
          <w:rFonts w:ascii="Century Gothic" w:eastAsia="Calibri" w:hAnsi="Century Gothic" w:cs="Times New Roman"/>
          <w:sz w:val="20"/>
          <w:szCs w:val="20"/>
        </w:rPr>
        <w:t xml:space="preserve">key requirement of the category is </w:t>
      </w:r>
      <w:r w:rsidR="00CA2709" w:rsidRPr="00FE78DE">
        <w:rPr>
          <w:rFonts w:ascii="Century Gothic" w:eastAsia="Calibri" w:hAnsi="Century Gothic" w:cs="Times New Roman"/>
          <w:sz w:val="20"/>
          <w:szCs w:val="20"/>
        </w:rPr>
        <w:t>that providers will have self-accrediting authority for at least 70 per cent of their courses.</w:t>
      </w:r>
      <w:r w:rsidR="00D102CD" w:rsidRPr="00FE78DE">
        <w:rPr>
          <w:rFonts w:ascii="Century Gothic" w:eastAsia="Calibri" w:hAnsi="Century Gothic" w:cs="Times New Roman"/>
          <w:sz w:val="20"/>
          <w:szCs w:val="20"/>
        </w:rPr>
        <w:t xml:space="preserve"> </w:t>
      </w:r>
    </w:p>
    <w:p w14:paraId="0D0CD405" w14:textId="77777777" w:rsidR="00FE78DE" w:rsidRPr="00FE78DE" w:rsidRDefault="003D4960"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The </w:t>
      </w:r>
      <w:r w:rsidR="00AC7D05" w:rsidRPr="00FE78DE">
        <w:rPr>
          <w:rFonts w:ascii="Century Gothic" w:eastAsia="Calibri" w:hAnsi="Century Gothic" w:cs="Times New Roman"/>
          <w:sz w:val="20"/>
          <w:szCs w:val="20"/>
        </w:rPr>
        <w:t>rationale for the introduction of this category</w:t>
      </w:r>
      <w:r w:rsidR="001D446D" w:rsidRPr="00FE78DE">
        <w:rPr>
          <w:rFonts w:ascii="Century Gothic" w:eastAsia="Calibri" w:hAnsi="Century Gothic" w:cs="Times New Roman"/>
          <w:sz w:val="20"/>
          <w:szCs w:val="20"/>
        </w:rPr>
        <w:t>,</w:t>
      </w:r>
      <w:r w:rsidR="00AC7D05" w:rsidRPr="00FE78DE">
        <w:rPr>
          <w:rFonts w:ascii="Century Gothic" w:eastAsia="Calibri" w:hAnsi="Century Gothic" w:cs="Times New Roman"/>
          <w:sz w:val="20"/>
          <w:szCs w:val="20"/>
        </w:rPr>
        <w:t xml:space="preserve"> based on self-accrediting status</w:t>
      </w:r>
      <w:r w:rsidR="001D446D" w:rsidRPr="00FE78DE">
        <w:rPr>
          <w:rFonts w:ascii="Century Gothic" w:eastAsia="Calibri" w:hAnsi="Century Gothic" w:cs="Times New Roman"/>
          <w:sz w:val="20"/>
          <w:szCs w:val="20"/>
        </w:rPr>
        <w:t>,</w:t>
      </w:r>
      <w:r w:rsidR="00AC7D05" w:rsidRPr="00FE78DE">
        <w:rPr>
          <w:rFonts w:ascii="Century Gothic" w:eastAsia="Calibri" w:hAnsi="Century Gothic" w:cs="Times New Roman"/>
          <w:sz w:val="20"/>
          <w:szCs w:val="20"/>
        </w:rPr>
        <w:t xml:space="preserve"> is provided in </w:t>
      </w:r>
      <w:hyperlink w:anchor="_2.2.5_Standing_and" w:history="1">
        <w:r w:rsidR="00CD16D6" w:rsidRPr="00FE78DE">
          <w:rPr>
            <w:rStyle w:val="Hyperlink"/>
            <w:rFonts w:ascii="Century Gothic" w:hAnsi="Century Gothic"/>
            <w:sz w:val="20"/>
            <w:szCs w:val="20"/>
          </w:rPr>
          <w:t>Section 2.2.5</w:t>
        </w:r>
      </w:hyperlink>
      <w:r w:rsidR="00D102CD" w:rsidRPr="00FE78DE">
        <w:rPr>
          <w:rFonts w:ascii="Century Gothic" w:eastAsia="Calibri" w:hAnsi="Century Gothic" w:cs="Times New Roman"/>
          <w:sz w:val="20"/>
          <w:szCs w:val="20"/>
        </w:rPr>
        <w:t xml:space="preserve">. </w:t>
      </w:r>
    </w:p>
    <w:p w14:paraId="1B3F5157" w14:textId="1298AF1B"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The </w:t>
      </w:r>
      <w:r w:rsidR="00D11840" w:rsidRPr="00FE78DE">
        <w:rPr>
          <w:rFonts w:ascii="Century Gothic" w:eastAsia="Calibri" w:hAnsi="Century Gothic" w:cs="Times New Roman"/>
          <w:sz w:val="20"/>
          <w:szCs w:val="20"/>
        </w:rPr>
        <w:t xml:space="preserve">primary </w:t>
      </w:r>
      <w:r w:rsidRPr="00FE78DE">
        <w:rPr>
          <w:rFonts w:ascii="Century Gothic" w:eastAsia="Calibri" w:hAnsi="Century Gothic" w:cs="Times New Roman"/>
          <w:sz w:val="20"/>
          <w:szCs w:val="20"/>
        </w:rPr>
        <w:t>aim of th</w:t>
      </w:r>
      <w:r w:rsidR="00D102CD" w:rsidRPr="00FE78DE">
        <w:rPr>
          <w:rFonts w:ascii="Century Gothic" w:eastAsia="Calibri" w:hAnsi="Century Gothic" w:cs="Times New Roman"/>
          <w:sz w:val="20"/>
          <w:szCs w:val="20"/>
        </w:rPr>
        <w:t>e</w:t>
      </w:r>
      <w:r w:rsidRPr="00FE78DE">
        <w:rPr>
          <w:rFonts w:ascii="Century Gothic" w:eastAsia="Calibri" w:hAnsi="Century Gothic" w:cs="Times New Roman"/>
          <w:sz w:val="20"/>
          <w:szCs w:val="20"/>
        </w:rPr>
        <w:t xml:space="preserve"> category is to recognise the </w:t>
      </w:r>
      <w:r w:rsidR="005E1871" w:rsidRPr="00FE78DE">
        <w:rPr>
          <w:rFonts w:ascii="Century Gothic" w:eastAsia="Calibri" w:hAnsi="Century Gothic" w:cs="Times New Roman"/>
          <w:sz w:val="20"/>
          <w:szCs w:val="20"/>
        </w:rPr>
        <w:t xml:space="preserve">achievement </w:t>
      </w:r>
      <w:r w:rsidRPr="00FE78DE">
        <w:rPr>
          <w:rFonts w:ascii="Century Gothic" w:eastAsia="Calibri" w:hAnsi="Century Gothic" w:cs="Times New Roman"/>
          <w:sz w:val="20"/>
          <w:szCs w:val="20"/>
        </w:rPr>
        <w:t>of high quality providers. As</w:t>
      </w:r>
      <w:r w:rsidR="003D4960" w:rsidRPr="00FE78DE">
        <w:rPr>
          <w:rFonts w:ascii="Century Gothic" w:eastAsia="Calibri" w:hAnsi="Century Gothic" w:cs="Times New Roman"/>
          <w:sz w:val="20"/>
          <w:szCs w:val="20"/>
        </w:rPr>
        <w:t> </w:t>
      </w:r>
      <w:r w:rsidRPr="00FE78DE">
        <w:rPr>
          <w:rFonts w:ascii="Century Gothic" w:eastAsia="Calibri" w:hAnsi="Century Gothic" w:cs="Times New Roman"/>
          <w:sz w:val="20"/>
          <w:szCs w:val="20"/>
        </w:rPr>
        <w:t xml:space="preserve">such, additional criteria </w:t>
      </w:r>
      <w:r w:rsidR="00FB2E42">
        <w:rPr>
          <w:rFonts w:ascii="Century Gothic" w:eastAsia="Calibri" w:hAnsi="Century Gothic" w:cs="Times New Roman"/>
          <w:sz w:val="20"/>
          <w:szCs w:val="20"/>
        </w:rPr>
        <w:t>beyond</w:t>
      </w:r>
      <w:r w:rsidR="00D11840" w:rsidRPr="00FE78DE">
        <w:rPr>
          <w:rFonts w:ascii="Century Gothic" w:eastAsia="Calibri" w:hAnsi="Century Gothic" w:cs="Times New Roman"/>
          <w:sz w:val="20"/>
          <w:szCs w:val="20"/>
        </w:rPr>
        <w:t xml:space="preserve"> </w:t>
      </w:r>
      <w:r w:rsidRPr="00FE78DE">
        <w:rPr>
          <w:rFonts w:ascii="Century Gothic" w:eastAsia="Calibri" w:hAnsi="Century Gothic" w:cs="Times New Roman"/>
          <w:sz w:val="20"/>
          <w:szCs w:val="20"/>
        </w:rPr>
        <w:t>the achievement of self-accrediting authority are proposed. The additional criteria relate to:</w:t>
      </w:r>
    </w:p>
    <w:p w14:paraId="67202B5A" w14:textId="7F0513E5" w:rsidR="00AC7D05" w:rsidRPr="00FE78DE" w:rsidRDefault="00D102CD" w:rsidP="0024520B">
      <w:pPr>
        <w:numPr>
          <w:ilvl w:val="0"/>
          <w:numId w:val="53"/>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st</w:t>
      </w:r>
      <w:r w:rsidR="00AC7D05" w:rsidRPr="00FE78DE">
        <w:rPr>
          <w:rFonts w:ascii="Century Gothic" w:eastAsia="Calibri" w:hAnsi="Century Gothic" w:cs="Times New Roman"/>
          <w:sz w:val="20"/>
          <w:szCs w:val="20"/>
        </w:rPr>
        <w:t>r</w:t>
      </w:r>
      <w:r w:rsidRPr="00FE78DE">
        <w:rPr>
          <w:rFonts w:ascii="Century Gothic" w:eastAsia="Calibri" w:hAnsi="Century Gothic" w:cs="Times New Roman"/>
          <w:sz w:val="20"/>
          <w:szCs w:val="20"/>
        </w:rPr>
        <w:t>ong</w:t>
      </w:r>
      <w:r w:rsidR="00AC7D05" w:rsidRPr="00FE78DE">
        <w:rPr>
          <w:rFonts w:ascii="Century Gothic" w:eastAsia="Calibri" w:hAnsi="Century Gothic" w:cs="Times New Roman"/>
          <w:sz w:val="20"/>
          <w:szCs w:val="20"/>
        </w:rPr>
        <w:t xml:space="preserve"> student outcomes</w:t>
      </w:r>
      <w:r w:rsidR="009647AA" w:rsidRPr="00FE78DE">
        <w:rPr>
          <w:rFonts w:ascii="Century Gothic" w:eastAsia="Calibri" w:hAnsi="Century Gothic" w:cs="Times New Roman"/>
          <w:sz w:val="20"/>
          <w:szCs w:val="20"/>
        </w:rPr>
        <w:t>;</w:t>
      </w:r>
    </w:p>
    <w:p w14:paraId="582C171A" w14:textId="5EBCEC62" w:rsidR="00AC7D05" w:rsidRPr="00FE78DE" w:rsidRDefault="00AC7D05" w:rsidP="0024520B">
      <w:pPr>
        <w:numPr>
          <w:ilvl w:val="0"/>
          <w:numId w:val="53"/>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mature processes for course design, quality assurance</w:t>
      </w:r>
      <w:r w:rsidR="00D11840"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and maintenance of academic integrity</w:t>
      </w:r>
      <w:r w:rsidR="009647AA" w:rsidRPr="00FE78DE">
        <w:rPr>
          <w:rFonts w:ascii="Century Gothic" w:eastAsia="Calibri" w:hAnsi="Century Gothic" w:cs="Times New Roman"/>
          <w:sz w:val="20"/>
          <w:szCs w:val="20"/>
        </w:rPr>
        <w:t>;</w:t>
      </w:r>
    </w:p>
    <w:p w14:paraId="2E7F2081" w14:textId="7DA2DAC5" w:rsidR="00AC7D05" w:rsidRPr="00FE78DE" w:rsidRDefault="00AC7D05" w:rsidP="0024520B">
      <w:pPr>
        <w:numPr>
          <w:ilvl w:val="0"/>
          <w:numId w:val="53"/>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systematic support for scholarship</w:t>
      </w:r>
      <w:r w:rsidR="009647AA" w:rsidRPr="00FE78DE">
        <w:rPr>
          <w:rFonts w:ascii="Century Gothic" w:eastAsia="Calibri" w:hAnsi="Century Gothic" w:cs="Times New Roman"/>
          <w:sz w:val="20"/>
          <w:szCs w:val="20"/>
        </w:rPr>
        <w:t>;</w:t>
      </w:r>
    </w:p>
    <w:p w14:paraId="5E0EC975" w14:textId="6BAFB5F8" w:rsidR="00AC7D05" w:rsidRPr="00FE78DE" w:rsidRDefault="00AC7D05" w:rsidP="0024520B">
      <w:pPr>
        <w:numPr>
          <w:ilvl w:val="0"/>
          <w:numId w:val="53"/>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depth of academic leadership</w:t>
      </w:r>
      <w:r w:rsidR="009647AA" w:rsidRPr="00FE78DE">
        <w:rPr>
          <w:rFonts w:ascii="Century Gothic" w:eastAsia="Calibri" w:hAnsi="Century Gothic" w:cs="Times New Roman"/>
          <w:sz w:val="20"/>
          <w:szCs w:val="20"/>
        </w:rPr>
        <w:t>;</w:t>
      </w:r>
    </w:p>
    <w:p w14:paraId="78536A1D" w14:textId="2106C793" w:rsidR="00AC7D05" w:rsidRPr="00FE78DE" w:rsidRDefault="00AC7D05" w:rsidP="0024520B">
      <w:pPr>
        <w:numPr>
          <w:ilvl w:val="0"/>
          <w:numId w:val="53"/>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implementing good practices for teaching and learning that can be shared with the sector</w:t>
      </w:r>
      <w:r w:rsidR="009647AA" w:rsidRPr="00FE78DE">
        <w:rPr>
          <w:rFonts w:ascii="Century Gothic" w:eastAsia="Calibri" w:hAnsi="Century Gothic" w:cs="Times New Roman"/>
          <w:sz w:val="20"/>
          <w:szCs w:val="20"/>
        </w:rPr>
        <w:t>; and</w:t>
      </w:r>
    </w:p>
    <w:p w14:paraId="19B01EFF" w14:textId="34A5C43B" w:rsidR="00AC333F" w:rsidRPr="00FE78DE" w:rsidRDefault="00AC7D05" w:rsidP="0024520B">
      <w:pPr>
        <w:numPr>
          <w:ilvl w:val="0"/>
          <w:numId w:val="53"/>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genuine engagement with employers, industry</w:t>
      </w:r>
      <w:r w:rsidR="00D11840"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and the professions to inform teaching and learning.</w:t>
      </w:r>
    </w:p>
    <w:p w14:paraId="451366A9" w14:textId="398F73A1" w:rsidR="005E5A78" w:rsidRPr="00FE78DE" w:rsidRDefault="005E5A78" w:rsidP="006A7659">
      <w:pPr>
        <w:spacing w:before="0" w:after="0"/>
        <w:contextualSpacing/>
        <w:rPr>
          <w:rFonts w:ascii="Century Gothic" w:eastAsia="Calibri" w:hAnsi="Century Gothic" w:cs="Times New Roman"/>
          <w:sz w:val="20"/>
          <w:szCs w:val="20"/>
        </w:rPr>
      </w:pPr>
    </w:p>
    <w:p w14:paraId="391D958F" w14:textId="75E6119E" w:rsidR="005E5A78" w:rsidRPr="00FE78DE" w:rsidRDefault="005E5A78" w:rsidP="005E5A78">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All registered providers, both those seeking to enter the category and those currently registered in the category, must demonstrate a mature level of development and a track record of compliance against the criteria. </w:t>
      </w:r>
    </w:p>
    <w:p w14:paraId="4F53C573" w14:textId="77777777" w:rsidR="005E5A78" w:rsidRPr="00730C0D" w:rsidRDefault="005E5A78" w:rsidP="006A7659">
      <w:pPr>
        <w:spacing w:before="0" w:after="0"/>
        <w:contextualSpacing/>
        <w:rPr>
          <w:rFonts w:ascii="Century Gothic" w:eastAsia="Calibri" w:hAnsi="Century Gothic" w:cs="Times New Roman"/>
          <w:sz w:val="20"/>
          <w:szCs w:val="20"/>
        </w:rPr>
      </w:pPr>
    </w:p>
    <w:p w14:paraId="201D77B2" w14:textId="2BABDB37" w:rsidR="00AC7D05" w:rsidRPr="00730C0D" w:rsidRDefault="003806EF" w:rsidP="00FE78DE">
      <w:pPr>
        <w:pStyle w:val="Heading3"/>
        <w:spacing w:after="20"/>
      </w:pPr>
      <w:bookmarkStart w:id="94" w:name="_Toc18592355"/>
      <w:r w:rsidRPr="00730C0D">
        <w:t>3.2.4</w:t>
      </w:r>
      <w:r w:rsidRPr="00730C0D">
        <w:tab/>
      </w:r>
      <w:r w:rsidR="00AC7D05" w:rsidRPr="00730C0D">
        <w:t>‘Australian University’ Category</w:t>
      </w:r>
      <w:bookmarkEnd w:id="94"/>
    </w:p>
    <w:p w14:paraId="2585A016" w14:textId="77777777" w:rsidR="00AC7D05" w:rsidRPr="00FE78DE" w:rsidRDefault="00AC7D05" w:rsidP="00D31B9A">
      <w:pPr>
        <w:spacing w:before="0" w:after="0"/>
        <w:rPr>
          <w:rFonts w:ascii="Century Gothic" w:eastAsia="Calibri" w:hAnsi="Century Gothic" w:cs="Times New Roman"/>
          <w:i/>
          <w:sz w:val="20"/>
          <w:szCs w:val="20"/>
        </w:rPr>
      </w:pPr>
      <w:r w:rsidRPr="00FE78DE">
        <w:rPr>
          <w:rFonts w:ascii="Century Gothic" w:eastAsia="Calibri" w:hAnsi="Century Gothic" w:cs="Times New Roman"/>
          <w:i/>
          <w:sz w:val="20"/>
          <w:szCs w:val="20"/>
        </w:rPr>
        <w:t>(Revision and merging of the current ‘Australian University’ and ‘Australian University of Specialisation’ categories)</w:t>
      </w:r>
    </w:p>
    <w:p w14:paraId="125B3D38" w14:textId="79306164" w:rsidR="00AC7D05" w:rsidRPr="00FE78DE" w:rsidRDefault="00AC7D05" w:rsidP="00D31B9A">
      <w:pPr>
        <w:spacing w:before="0" w:after="0"/>
        <w:rPr>
          <w:rFonts w:ascii="Century Gothic" w:eastAsia="Calibri" w:hAnsi="Century Gothic" w:cs="Times New Roman"/>
          <w:sz w:val="20"/>
          <w:szCs w:val="20"/>
        </w:rPr>
      </w:pPr>
    </w:p>
    <w:p w14:paraId="014E9945" w14:textId="77777777" w:rsidR="003E1568" w:rsidRPr="00FE78DE" w:rsidRDefault="003E1568" w:rsidP="003E1568">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Terminology in this category has been amended from ‘broad fields of study’ to ‘broad fields of education’ to be consistent with the Threshold Standards and to be in line with contemporary nomenclature.</w:t>
      </w:r>
    </w:p>
    <w:p w14:paraId="20DB0971" w14:textId="77777777" w:rsidR="003E1568" w:rsidRPr="00FE78DE" w:rsidRDefault="003E1568" w:rsidP="00D31B9A">
      <w:pPr>
        <w:spacing w:before="0" w:after="0"/>
        <w:rPr>
          <w:rFonts w:ascii="Century Gothic" w:eastAsia="Calibri" w:hAnsi="Century Gothic" w:cs="Times New Roman"/>
          <w:sz w:val="20"/>
          <w:szCs w:val="20"/>
        </w:rPr>
      </w:pPr>
    </w:p>
    <w:p w14:paraId="51483CEC" w14:textId="06824FBE"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This Review recommends merging the current ‘Australian University’ and ‘Australian University of Specialisation’ categories (see </w:t>
      </w:r>
      <w:hyperlink w:anchor="_2.1.2_‘Australian_University" w:history="1">
        <w:r w:rsidR="00CD16D6" w:rsidRPr="00FE78DE">
          <w:rPr>
            <w:rStyle w:val="Hyperlink"/>
            <w:rFonts w:ascii="Century Gothic" w:eastAsia="Calibri" w:hAnsi="Century Gothic" w:cs="Times New Roman"/>
            <w:sz w:val="20"/>
            <w:szCs w:val="20"/>
          </w:rPr>
          <w:t>Section 2.1.2</w:t>
        </w:r>
      </w:hyperlink>
      <w:r w:rsidRPr="00FE78DE">
        <w:rPr>
          <w:rFonts w:ascii="Century Gothic" w:eastAsia="Calibri" w:hAnsi="Century Gothic" w:cs="Times New Roman"/>
          <w:sz w:val="20"/>
          <w:szCs w:val="20"/>
        </w:rPr>
        <w:t xml:space="preserve">). Consequently, the revised criteria make provision for universities that have a specialised </w:t>
      </w:r>
      <w:r w:rsidR="008442C3" w:rsidRPr="00FE78DE">
        <w:rPr>
          <w:rFonts w:ascii="Century Gothic" w:eastAsia="Calibri" w:hAnsi="Century Gothic" w:cs="Times New Roman"/>
          <w:sz w:val="20"/>
          <w:szCs w:val="20"/>
        </w:rPr>
        <w:t>focus</w:t>
      </w:r>
      <w:r w:rsidRPr="00FE78DE">
        <w:rPr>
          <w:rFonts w:ascii="Century Gothic" w:eastAsia="Calibri" w:hAnsi="Century Gothic" w:cs="Times New Roman"/>
          <w:sz w:val="20"/>
          <w:szCs w:val="20"/>
        </w:rPr>
        <w:t xml:space="preserve">. The introductory paragraphs to this category outline that for universities with a specialised </w:t>
      </w:r>
      <w:r w:rsidR="008442C3" w:rsidRPr="00FE78DE">
        <w:rPr>
          <w:rFonts w:ascii="Century Gothic" w:eastAsia="Calibri" w:hAnsi="Century Gothic" w:cs="Times New Roman"/>
          <w:sz w:val="20"/>
          <w:szCs w:val="20"/>
        </w:rPr>
        <w:t>focus</w:t>
      </w:r>
      <w:r w:rsidRPr="00FE78DE">
        <w:rPr>
          <w:rFonts w:ascii="Century Gothic" w:eastAsia="Calibri" w:hAnsi="Century Gothic" w:cs="Times New Roman"/>
          <w:sz w:val="20"/>
          <w:szCs w:val="20"/>
        </w:rPr>
        <w:t>, self-accreditin</w:t>
      </w:r>
      <w:r w:rsidR="008442C3" w:rsidRPr="00FE78DE">
        <w:rPr>
          <w:rFonts w:ascii="Century Gothic" w:eastAsia="Calibri" w:hAnsi="Century Gothic" w:cs="Times New Roman"/>
          <w:sz w:val="20"/>
          <w:szCs w:val="20"/>
        </w:rPr>
        <w:t xml:space="preserve">g authority will be limited to </w:t>
      </w:r>
      <w:r w:rsidRPr="00FE78DE">
        <w:rPr>
          <w:rFonts w:ascii="Century Gothic" w:eastAsia="Calibri" w:hAnsi="Century Gothic" w:cs="Times New Roman"/>
          <w:sz w:val="20"/>
          <w:szCs w:val="20"/>
        </w:rPr>
        <w:t xml:space="preserve">one or two broad fields of education. For example, a university specialising in </w:t>
      </w:r>
      <w:r w:rsidR="00D11840" w:rsidRPr="00FE78DE">
        <w:rPr>
          <w:rFonts w:ascii="Century Gothic" w:eastAsia="Calibri" w:hAnsi="Century Gothic" w:cs="Times New Roman"/>
          <w:sz w:val="20"/>
          <w:szCs w:val="20"/>
        </w:rPr>
        <w:t xml:space="preserve">health sciences </w:t>
      </w:r>
      <w:r w:rsidRPr="00FE78DE">
        <w:rPr>
          <w:rFonts w:ascii="Century Gothic" w:eastAsia="Calibri" w:hAnsi="Century Gothic" w:cs="Times New Roman"/>
          <w:sz w:val="20"/>
          <w:szCs w:val="20"/>
        </w:rPr>
        <w:t>could not offer business or aeronautical engineering without</w:t>
      </w:r>
      <w:r w:rsidR="00DA7784" w:rsidRPr="00FE78DE">
        <w:rPr>
          <w:rFonts w:ascii="Century Gothic" w:eastAsia="Calibri" w:hAnsi="Century Gothic" w:cs="Times New Roman"/>
          <w:sz w:val="20"/>
          <w:szCs w:val="20"/>
        </w:rPr>
        <w:t xml:space="preserve"> first</w:t>
      </w:r>
      <w:r w:rsidRPr="00FE78DE">
        <w:rPr>
          <w:rFonts w:ascii="Century Gothic" w:eastAsia="Calibri" w:hAnsi="Century Gothic" w:cs="Times New Roman"/>
          <w:sz w:val="20"/>
          <w:szCs w:val="20"/>
        </w:rPr>
        <w:t xml:space="preserve"> seeking </w:t>
      </w:r>
      <w:r w:rsidR="008442C3" w:rsidRPr="00FE78DE">
        <w:rPr>
          <w:rFonts w:ascii="Century Gothic" w:eastAsia="Calibri" w:hAnsi="Century Gothic" w:cs="Times New Roman"/>
          <w:sz w:val="20"/>
          <w:szCs w:val="20"/>
        </w:rPr>
        <w:br/>
      </w:r>
      <w:r w:rsidRPr="00FE78DE">
        <w:rPr>
          <w:rFonts w:ascii="Century Gothic" w:eastAsia="Calibri" w:hAnsi="Century Gothic" w:cs="Times New Roman"/>
          <w:sz w:val="20"/>
          <w:szCs w:val="20"/>
        </w:rPr>
        <w:t xml:space="preserve">self-accrediting authority from TEQSA for those new fields. </w:t>
      </w:r>
      <w:r w:rsidR="003E1568" w:rsidRPr="00FE78DE">
        <w:rPr>
          <w:rFonts w:ascii="Century Gothic" w:eastAsia="Calibri" w:hAnsi="Century Gothic" w:cs="Times New Roman"/>
          <w:sz w:val="20"/>
          <w:szCs w:val="20"/>
        </w:rPr>
        <w:t xml:space="preserve">Universities with </w:t>
      </w:r>
      <w:r w:rsidR="005E5A78" w:rsidRPr="00FE78DE">
        <w:rPr>
          <w:rFonts w:ascii="Century Gothic" w:eastAsia="Calibri" w:hAnsi="Century Gothic" w:cs="Times New Roman"/>
          <w:sz w:val="20"/>
          <w:szCs w:val="20"/>
        </w:rPr>
        <w:t xml:space="preserve">a </w:t>
      </w:r>
      <w:r w:rsidR="003E1568" w:rsidRPr="00FE78DE">
        <w:rPr>
          <w:rFonts w:ascii="Century Gothic" w:eastAsia="Calibri" w:hAnsi="Century Gothic" w:cs="Times New Roman"/>
          <w:sz w:val="20"/>
          <w:szCs w:val="20"/>
        </w:rPr>
        <w:t xml:space="preserve">specialised focus may wish to eventually expand their offerings to become a comprehensive institution. In </w:t>
      </w:r>
      <w:r w:rsidR="00FB2E42">
        <w:rPr>
          <w:rFonts w:ascii="Century Gothic" w:eastAsia="Calibri" w:hAnsi="Century Gothic" w:cs="Times New Roman"/>
          <w:sz w:val="20"/>
          <w:szCs w:val="20"/>
        </w:rPr>
        <w:t>such an</w:t>
      </w:r>
      <w:r w:rsidR="00FB2E42" w:rsidRPr="00FE78DE">
        <w:rPr>
          <w:rFonts w:ascii="Century Gothic" w:eastAsia="Calibri" w:hAnsi="Century Gothic" w:cs="Times New Roman"/>
          <w:sz w:val="20"/>
          <w:szCs w:val="20"/>
        </w:rPr>
        <w:t xml:space="preserve"> </w:t>
      </w:r>
      <w:r w:rsidR="003E1568" w:rsidRPr="00FE78DE">
        <w:rPr>
          <w:rFonts w:ascii="Century Gothic" w:eastAsia="Calibri" w:hAnsi="Century Gothic" w:cs="Times New Roman"/>
          <w:sz w:val="20"/>
          <w:szCs w:val="20"/>
        </w:rPr>
        <w:t>instance, close consultation with, and authorisation from, TEQSA will be required.</w:t>
      </w:r>
    </w:p>
    <w:p w14:paraId="5B5610AF" w14:textId="77777777" w:rsidR="00AC7D05" w:rsidRPr="00FE78DE" w:rsidRDefault="00AC7D05" w:rsidP="00D31B9A">
      <w:pPr>
        <w:spacing w:before="0" w:after="0"/>
        <w:rPr>
          <w:rFonts w:ascii="Century Gothic" w:eastAsia="Calibri" w:hAnsi="Century Gothic" w:cs="Times New Roman"/>
          <w:sz w:val="20"/>
          <w:szCs w:val="20"/>
        </w:rPr>
      </w:pPr>
    </w:p>
    <w:p w14:paraId="0FCAF972" w14:textId="5039D096" w:rsidR="00AC7D05" w:rsidRPr="00FE78DE" w:rsidRDefault="00FB2E42" w:rsidP="00D31B9A">
      <w:pPr>
        <w:spacing w:before="0" w:after="0"/>
        <w:rPr>
          <w:rFonts w:ascii="Century Gothic" w:eastAsia="Calibri" w:hAnsi="Century Gothic" w:cs="Times New Roman"/>
          <w:sz w:val="20"/>
          <w:szCs w:val="20"/>
        </w:rPr>
      </w:pPr>
      <w:r>
        <w:rPr>
          <w:rFonts w:ascii="Century Gothic" w:eastAsia="Calibri" w:hAnsi="Century Gothic" w:cs="Times New Roman"/>
          <w:sz w:val="20"/>
          <w:szCs w:val="20"/>
        </w:rPr>
        <w:t>As with</w:t>
      </w:r>
      <w:r w:rsidRPr="00FE78DE">
        <w:rPr>
          <w:rFonts w:ascii="Century Gothic" w:eastAsia="Calibri" w:hAnsi="Century Gothic" w:cs="Times New Roman"/>
          <w:sz w:val="20"/>
          <w:szCs w:val="20"/>
        </w:rPr>
        <w:t xml:space="preserve"> </w:t>
      </w:r>
      <w:r w:rsidR="005E5A78" w:rsidRPr="00FE78DE">
        <w:rPr>
          <w:rFonts w:ascii="Century Gothic" w:eastAsia="Calibri" w:hAnsi="Century Gothic" w:cs="Times New Roman"/>
          <w:sz w:val="20"/>
          <w:szCs w:val="20"/>
        </w:rPr>
        <w:t>the ‘National Institute of Higher Education’ category, a</w:t>
      </w:r>
      <w:r w:rsidR="00AC7D05" w:rsidRPr="00FE78DE">
        <w:rPr>
          <w:rFonts w:ascii="Century Gothic" w:eastAsia="Calibri" w:hAnsi="Century Gothic" w:cs="Times New Roman"/>
          <w:sz w:val="20"/>
          <w:szCs w:val="20"/>
        </w:rPr>
        <w:t xml:space="preserve"> key addition to this category is that all registered providers, both those </w:t>
      </w:r>
      <w:r w:rsidR="005E5A78" w:rsidRPr="00FE78DE">
        <w:rPr>
          <w:rFonts w:ascii="Century Gothic" w:eastAsia="Calibri" w:hAnsi="Century Gothic" w:cs="Times New Roman"/>
          <w:sz w:val="20"/>
          <w:szCs w:val="20"/>
        </w:rPr>
        <w:t xml:space="preserve">seeking </w:t>
      </w:r>
      <w:r w:rsidR="00AC7D05" w:rsidRPr="00FE78DE">
        <w:rPr>
          <w:rFonts w:ascii="Century Gothic" w:eastAsia="Calibri" w:hAnsi="Century Gothic" w:cs="Times New Roman"/>
          <w:sz w:val="20"/>
          <w:szCs w:val="20"/>
        </w:rPr>
        <w:t xml:space="preserve">to enter the category and those currently registered in the category, must demonstrate a mature level of development and a track record of compliance against </w:t>
      </w:r>
      <w:r w:rsidR="005E5A78" w:rsidRPr="00FE78DE">
        <w:rPr>
          <w:rFonts w:ascii="Century Gothic" w:eastAsia="Calibri" w:hAnsi="Century Gothic" w:cs="Times New Roman"/>
          <w:sz w:val="20"/>
          <w:szCs w:val="20"/>
        </w:rPr>
        <w:t xml:space="preserve">the </w:t>
      </w:r>
      <w:r w:rsidR="00AC7D05" w:rsidRPr="00FE78DE">
        <w:rPr>
          <w:rFonts w:ascii="Century Gothic" w:eastAsia="Calibri" w:hAnsi="Century Gothic" w:cs="Times New Roman"/>
          <w:sz w:val="20"/>
          <w:szCs w:val="20"/>
        </w:rPr>
        <w:t xml:space="preserve">criteria. </w:t>
      </w:r>
    </w:p>
    <w:p w14:paraId="54CE819A" w14:textId="22E8DA19" w:rsidR="0046321A" w:rsidRPr="00FE78DE" w:rsidRDefault="0046321A" w:rsidP="00D31B9A">
      <w:pPr>
        <w:spacing w:before="0" w:after="0"/>
        <w:rPr>
          <w:rFonts w:ascii="Century Gothic" w:eastAsia="Calibri" w:hAnsi="Century Gothic" w:cs="Times New Roman"/>
          <w:sz w:val="20"/>
          <w:szCs w:val="20"/>
        </w:rPr>
      </w:pPr>
    </w:p>
    <w:p w14:paraId="5C34D108" w14:textId="77777777" w:rsidR="0046321A" w:rsidRPr="00FE78DE" w:rsidRDefault="0046321A" w:rsidP="0046321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In order to simplify the requirements that providers must meet at time of application to enter the category, more detail has been introduced in the category’s preamble. Of particular note is the clarification of the volume of self-accrediting authority required. Whereas the current Threshold Standards are somewhat opaque, the proposed revised criteria set out that providers must ensure, at time of application to TEQSA, that 75 per cent of their </w:t>
      </w:r>
      <w:r w:rsidRPr="00FE78DE">
        <w:rPr>
          <w:rFonts w:ascii="Century Gothic" w:eastAsia="Calibri" w:hAnsi="Century Gothic" w:cs="Times New Roman"/>
          <w:sz w:val="20"/>
          <w:szCs w:val="20"/>
        </w:rPr>
        <w:br/>
        <w:t xml:space="preserve">self-accredited courses have been through at least one cycle of review and improvement by the provider. </w:t>
      </w:r>
    </w:p>
    <w:p w14:paraId="78D04528" w14:textId="77777777" w:rsidR="00AC7D05" w:rsidRPr="00FE78DE" w:rsidRDefault="00AC7D05" w:rsidP="00D31B9A">
      <w:pPr>
        <w:spacing w:before="0" w:after="0"/>
        <w:rPr>
          <w:rFonts w:ascii="Century Gothic" w:eastAsia="Calibri" w:hAnsi="Century Gothic" w:cs="Times New Roman"/>
          <w:sz w:val="20"/>
          <w:szCs w:val="20"/>
        </w:rPr>
      </w:pPr>
    </w:p>
    <w:p w14:paraId="5571D497" w14:textId="475F1D0A"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The research criteria have been revised to provide more guidance and scope for TEQSA regulation</w:t>
      </w:r>
      <w:r w:rsidR="00AD12D3" w:rsidRPr="00FE78DE">
        <w:rPr>
          <w:rFonts w:ascii="Century Gothic" w:eastAsia="Calibri" w:hAnsi="Century Gothic" w:cs="Times New Roman"/>
          <w:sz w:val="20"/>
          <w:szCs w:val="20"/>
        </w:rPr>
        <w:t xml:space="preserve"> including setting requirements for quality and quantity of research</w:t>
      </w:r>
      <w:r w:rsidRPr="00FE78DE">
        <w:rPr>
          <w:rFonts w:ascii="Century Gothic" w:eastAsia="Calibri" w:hAnsi="Century Gothic" w:cs="Times New Roman"/>
          <w:sz w:val="20"/>
          <w:szCs w:val="20"/>
        </w:rPr>
        <w:t>.</w:t>
      </w:r>
      <w:r w:rsidR="00AD12D3" w:rsidRPr="00FE78DE">
        <w:rPr>
          <w:rFonts w:ascii="Century Gothic" w:eastAsia="Calibri" w:hAnsi="Century Gothic" w:cs="Times New Roman"/>
          <w:sz w:val="20"/>
          <w:szCs w:val="20"/>
        </w:rPr>
        <w:t xml:space="preserve"> More</w:t>
      </w:r>
      <w:r w:rsidR="003D4960" w:rsidRPr="00FE78DE">
        <w:rPr>
          <w:rFonts w:ascii="Century Gothic" w:eastAsia="Calibri" w:hAnsi="Century Gothic" w:cs="Times New Roman"/>
          <w:sz w:val="20"/>
          <w:szCs w:val="20"/>
        </w:rPr>
        <w:t> </w:t>
      </w:r>
      <w:r w:rsidR="00AD12D3" w:rsidRPr="00FE78DE">
        <w:rPr>
          <w:rFonts w:ascii="Century Gothic" w:eastAsia="Calibri" w:hAnsi="Century Gothic" w:cs="Times New Roman"/>
          <w:sz w:val="20"/>
          <w:szCs w:val="20"/>
        </w:rPr>
        <w:t xml:space="preserve">information on research requirements is set out in Chapter 2 (see </w:t>
      </w:r>
      <w:hyperlink w:anchor="_2.4.3_Research_Requirements" w:history="1">
        <w:r w:rsidR="00CD16D6" w:rsidRPr="00FE78DE">
          <w:rPr>
            <w:rStyle w:val="Hyperlink"/>
            <w:rFonts w:ascii="Century Gothic" w:eastAsia="Calibri" w:hAnsi="Century Gothic" w:cs="Times New Roman"/>
            <w:sz w:val="20"/>
            <w:szCs w:val="20"/>
          </w:rPr>
          <w:t>Section 2.4.3</w:t>
        </w:r>
      </w:hyperlink>
      <w:r w:rsidR="00AD12D3"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w:t>
      </w:r>
    </w:p>
    <w:p w14:paraId="0AF59686" w14:textId="77777777" w:rsidR="00AC7D05" w:rsidRPr="00FE78DE" w:rsidRDefault="00AC7D05" w:rsidP="00D31B9A">
      <w:pPr>
        <w:spacing w:before="0" w:after="0"/>
        <w:rPr>
          <w:rFonts w:ascii="Century Gothic" w:eastAsia="Calibri" w:hAnsi="Century Gothic" w:cs="Times New Roman"/>
          <w:sz w:val="20"/>
          <w:szCs w:val="20"/>
        </w:rPr>
      </w:pPr>
    </w:p>
    <w:p w14:paraId="09B0140C" w14:textId="5A8358E9" w:rsidR="00AC7D05" w:rsidRPr="00FE78DE" w:rsidRDefault="00AD12D3">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As discussed in Chapter 2 (see </w:t>
      </w:r>
      <w:hyperlink w:anchor="_2.4.6_Community_Engagement," w:history="1">
        <w:r w:rsidR="00CD16D6" w:rsidRPr="00FE78DE">
          <w:rPr>
            <w:rStyle w:val="Hyperlink"/>
            <w:rFonts w:ascii="Century Gothic" w:eastAsia="Calibri" w:hAnsi="Century Gothic" w:cs="Times New Roman"/>
            <w:sz w:val="20"/>
            <w:szCs w:val="20"/>
          </w:rPr>
          <w:t>Section 2.4.6</w:t>
        </w:r>
      </w:hyperlink>
      <w:r w:rsidRPr="00FE78DE">
        <w:rPr>
          <w:rFonts w:ascii="Century Gothic" w:eastAsia="Calibri" w:hAnsi="Century Gothic" w:cs="Times New Roman"/>
          <w:sz w:val="20"/>
          <w:szCs w:val="20"/>
        </w:rPr>
        <w:t>), the criterion in relation to community engagement has been bolstered</w:t>
      </w:r>
      <w:r w:rsidR="00AC333F" w:rsidRPr="00FE78DE">
        <w:rPr>
          <w:rFonts w:ascii="Century Gothic" w:eastAsia="Calibri" w:hAnsi="Century Gothic" w:cs="Times New Roman"/>
          <w:sz w:val="20"/>
          <w:szCs w:val="20"/>
        </w:rPr>
        <w:t xml:space="preserve"> to include provision for civic leadership</w:t>
      </w:r>
      <w:r w:rsidRPr="00FE78DE">
        <w:rPr>
          <w:rFonts w:ascii="Century Gothic" w:eastAsia="Calibri" w:hAnsi="Century Gothic" w:cs="Times New Roman"/>
          <w:sz w:val="20"/>
          <w:szCs w:val="20"/>
        </w:rPr>
        <w:t xml:space="preserve">. </w:t>
      </w:r>
      <w:r w:rsidR="00AC7D05" w:rsidRPr="00FE78DE">
        <w:rPr>
          <w:rFonts w:ascii="Century Gothic" w:eastAsia="Calibri" w:hAnsi="Century Gothic" w:cs="Times New Roman"/>
          <w:sz w:val="20"/>
          <w:szCs w:val="20"/>
        </w:rPr>
        <w:t>A</w:t>
      </w:r>
      <w:r w:rsidRPr="00FE78DE">
        <w:rPr>
          <w:rFonts w:ascii="Century Gothic" w:eastAsia="Calibri" w:hAnsi="Century Gothic" w:cs="Times New Roman"/>
          <w:sz w:val="20"/>
          <w:szCs w:val="20"/>
        </w:rPr>
        <w:t>dditionally,</w:t>
      </w:r>
      <w:r w:rsidR="00AC7D05" w:rsidRPr="00FE78DE">
        <w:rPr>
          <w:rFonts w:ascii="Century Gothic" w:eastAsia="Calibri" w:hAnsi="Century Gothic" w:cs="Times New Roman"/>
          <w:sz w:val="20"/>
          <w:szCs w:val="20"/>
        </w:rPr>
        <w:t xml:space="preserve"> </w:t>
      </w:r>
      <w:r w:rsidR="00C0392B" w:rsidRPr="00FE78DE">
        <w:rPr>
          <w:rFonts w:ascii="Century Gothic" w:eastAsia="Calibri" w:hAnsi="Century Gothic" w:cs="Times New Roman"/>
          <w:sz w:val="20"/>
          <w:szCs w:val="20"/>
        </w:rPr>
        <w:t xml:space="preserve">a </w:t>
      </w:r>
      <w:r w:rsidR="00AC7D05" w:rsidRPr="00FE78DE">
        <w:rPr>
          <w:rFonts w:ascii="Century Gothic" w:eastAsia="Calibri" w:hAnsi="Century Gothic" w:cs="Times New Roman"/>
          <w:sz w:val="20"/>
          <w:szCs w:val="20"/>
        </w:rPr>
        <w:t xml:space="preserve">new criterion has been added to recognise the importance of industry engagement in higher education, particularly in areas such as work-integrated learning and research partnerships. </w:t>
      </w:r>
    </w:p>
    <w:p w14:paraId="42FDB8BF" w14:textId="77777777" w:rsidR="00AC7D05" w:rsidRPr="00FE78DE" w:rsidRDefault="00AC7D05" w:rsidP="00D31B9A">
      <w:pPr>
        <w:spacing w:before="0" w:after="0"/>
        <w:rPr>
          <w:rFonts w:ascii="Century Gothic" w:eastAsia="Calibri" w:hAnsi="Century Gothic" w:cs="Times New Roman"/>
          <w:sz w:val="20"/>
          <w:szCs w:val="20"/>
        </w:rPr>
      </w:pPr>
    </w:p>
    <w:p w14:paraId="0E1371ED" w14:textId="22F73DBE" w:rsidR="005E5A78"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Criteria around scholarship and quality assurance have been revised for clarity and to provide more guidance to TEQSA for regulation. </w:t>
      </w:r>
      <w:r w:rsidR="005E5A78" w:rsidRPr="00FE78DE">
        <w:rPr>
          <w:rFonts w:ascii="Century Gothic" w:eastAsia="Calibri" w:hAnsi="Century Gothic" w:cs="Times New Roman"/>
          <w:sz w:val="20"/>
          <w:szCs w:val="20"/>
        </w:rPr>
        <w:t>A</w:t>
      </w:r>
      <w:r w:rsidRPr="00FE78DE">
        <w:rPr>
          <w:rFonts w:ascii="Century Gothic" w:eastAsia="Calibri" w:hAnsi="Century Gothic" w:cs="Times New Roman"/>
          <w:sz w:val="20"/>
          <w:szCs w:val="20"/>
        </w:rPr>
        <w:t xml:space="preserve"> new criterion has been added to require five years of successful delivery of courses, supported by evidence of </w:t>
      </w:r>
      <w:r w:rsidR="00D102CD" w:rsidRPr="00FE78DE">
        <w:rPr>
          <w:rFonts w:ascii="Century Gothic" w:eastAsia="Calibri" w:hAnsi="Century Gothic" w:cs="Times New Roman"/>
          <w:sz w:val="20"/>
          <w:szCs w:val="20"/>
        </w:rPr>
        <w:t>strong</w:t>
      </w:r>
      <w:r w:rsidRPr="00FE78DE">
        <w:rPr>
          <w:rFonts w:ascii="Century Gothic" w:eastAsia="Calibri" w:hAnsi="Century Gothic" w:cs="Times New Roman"/>
          <w:sz w:val="20"/>
          <w:szCs w:val="20"/>
        </w:rPr>
        <w:t xml:space="preserve"> student outcomes</w:t>
      </w:r>
      <w:r w:rsidR="005E5A78" w:rsidRPr="00FE78DE">
        <w:rPr>
          <w:rFonts w:ascii="Century Gothic" w:eastAsia="Calibri" w:hAnsi="Century Gothic" w:cs="Times New Roman"/>
          <w:sz w:val="20"/>
          <w:szCs w:val="20"/>
        </w:rPr>
        <w:t>, taking into account different student cohorts</w:t>
      </w:r>
      <w:r w:rsidRPr="00FE78DE">
        <w:rPr>
          <w:rFonts w:ascii="Century Gothic" w:eastAsia="Calibri" w:hAnsi="Century Gothic" w:cs="Times New Roman"/>
          <w:sz w:val="20"/>
          <w:szCs w:val="20"/>
        </w:rPr>
        <w:t xml:space="preserve">. Student outcomes </w:t>
      </w:r>
      <w:r w:rsidR="005E5A78" w:rsidRPr="00FE78DE">
        <w:rPr>
          <w:rFonts w:ascii="Century Gothic" w:eastAsia="Calibri" w:hAnsi="Century Gothic" w:cs="Times New Roman"/>
          <w:sz w:val="20"/>
          <w:szCs w:val="20"/>
        </w:rPr>
        <w:t xml:space="preserve">can be measured against a variety of sources deemed acceptable to TEQSA, such as graduate outcomes, progression rates, and measures of student experience. </w:t>
      </w:r>
    </w:p>
    <w:p w14:paraId="375DD236" w14:textId="44927B5D" w:rsidR="002E170A" w:rsidRPr="00730C0D" w:rsidRDefault="002E170A" w:rsidP="00D31B9A">
      <w:pPr>
        <w:spacing w:before="0" w:after="0"/>
        <w:rPr>
          <w:rFonts w:ascii="Century Gothic" w:eastAsia="Calibri" w:hAnsi="Century Gothic" w:cs="Times New Roman"/>
          <w:sz w:val="20"/>
          <w:szCs w:val="20"/>
        </w:rPr>
      </w:pPr>
    </w:p>
    <w:p w14:paraId="5470BC0B" w14:textId="24259E7B" w:rsidR="00AC7D05" w:rsidRPr="00730C0D" w:rsidRDefault="003806EF" w:rsidP="00D102CD">
      <w:pPr>
        <w:pStyle w:val="Heading3"/>
        <w:spacing w:after="20"/>
      </w:pPr>
      <w:bookmarkStart w:id="95" w:name="_Toc18592356"/>
      <w:r w:rsidRPr="00730C0D">
        <w:t>3.2.5</w:t>
      </w:r>
      <w:r w:rsidRPr="00730C0D">
        <w:tab/>
      </w:r>
      <w:r w:rsidR="00AC7D05" w:rsidRPr="00730C0D">
        <w:t>‘Overseas University in Australia’ Category</w:t>
      </w:r>
      <w:bookmarkEnd w:id="95"/>
    </w:p>
    <w:p w14:paraId="03EAD129" w14:textId="77777777" w:rsidR="00AC7D05" w:rsidRPr="00FE78DE" w:rsidRDefault="00AC7D05" w:rsidP="00D31B9A">
      <w:pPr>
        <w:spacing w:before="0" w:after="0"/>
        <w:rPr>
          <w:rFonts w:ascii="Century Gothic" w:eastAsia="Calibri" w:hAnsi="Century Gothic" w:cs="Times New Roman"/>
          <w:i/>
          <w:sz w:val="20"/>
          <w:szCs w:val="20"/>
        </w:rPr>
      </w:pPr>
      <w:r w:rsidRPr="00FE78DE">
        <w:rPr>
          <w:rFonts w:ascii="Century Gothic" w:eastAsia="Calibri" w:hAnsi="Century Gothic" w:cs="Times New Roman"/>
          <w:i/>
          <w:sz w:val="20"/>
          <w:szCs w:val="20"/>
        </w:rPr>
        <w:t>(Merging of the current ‘Overseas University’ and ‘Overseas University of Specialisation’ categories)</w:t>
      </w:r>
    </w:p>
    <w:p w14:paraId="6266B93B" w14:textId="77777777" w:rsidR="00AC7D05" w:rsidRPr="00FE78DE" w:rsidRDefault="00AC7D05" w:rsidP="00D31B9A">
      <w:pPr>
        <w:spacing w:before="0" w:after="0"/>
        <w:rPr>
          <w:rFonts w:ascii="Century Gothic" w:eastAsia="Calibri" w:hAnsi="Century Gothic" w:cs="Times New Roman"/>
          <w:sz w:val="20"/>
          <w:szCs w:val="20"/>
        </w:rPr>
      </w:pPr>
    </w:p>
    <w:p w14:paraId="19DCF423" w14:textId="363D97DE"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This Review recommends merging the current ‘Overseas University’ and ‘Overseas University of Specialisation’ categories. The rationale for this recommendation is provided in Chapter 2 (see </w:t>
      </w:r>
      <w:hyperlink w:anchor="_2.1.3_‘Overseas_University’" w:history="1">
        <w:r w:rsidR="00FC7D8B" w:rsidRPr="00FE78DE">
          <w:rPr>
            <w:rStyle w:val="Hyperlink"/>
            <w:rFonts w:ascii="Century Gothic" w:hAnsi="Century Gothic"/>
            <w:sz w:val="20"/>
            <w:szCs w:val="20"/>
          </w:rPr>
          <w:t>Section 2.1.3</w:t>
        </w:r>
      </w:hyperlink>
      <w:r w:rsidRPr="00FE78DE">
        <w:rPr>
          <w:rFonts w:ascii="Century Gothic" w:hAnsi="Century Gothic"/>
          <w:sz w:val="20"/>
          <w:szCs w:val="20"/>
        </w:rPr>
        <w:t>)</w:t>
      </w:r>
      <w:r w:rsidRPr="00FE78DE">
        <w:rPr>
          <w:rFonts w:ascii="Century Gothic" w:eastAsia="Calibri" w:hAnsi="Century Gothic" w:cs="Times New Roman"/>
          <w:sz w:val="20"/>
          <w:szCs w:val="20"/>
        </w:rPr>
        <w:t xml:space="preserve">. </w:t>
      </w:r>
    </w:p>
    <w:p w14:paraId="05861F39" w14:textId="7BFF52C1" w:rsidR="00FE5BAB" w:rsidRPr="00FE78DE" w:rsidRDefault="00FE5BAB" w:rsidP="00D31B9A">
      <w:pPr>
        <w:spacing w:before="0" w:after="0"/>
        <w:rPr>
          <w:rFonts w:ascii="Century Gothic" w:eastAsia="Calibri" w:hAnsi="Century Gothic" w:cs="Times New Roman"/>
          <w:sz w:val="20"/>
          <w:szCs w:val="20"/>
        </w:rPr>
      </w:pPr>
    </w:p>
    <w:p w14:paraId="613C607A" w14:textId="0D16A084" w:rsidR="00AC7D05" w:rsidRPr="00FE78DE" w:rsidRDefault="00FE5BAB"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w:t>
      </w:r>
      <w:r w:rsidR="00AC7D05" w:rsidRPr="00FE78DE">
        <w:rPr>
          <w:rFonts w:ascii="Century Gothic" w:eastAsia="Calibri" w:hAnsi="Century Gothic" w:cs="Times New Roman"/>
          <w:sz w:val="20"/>
          <w:szCs w:val="20"/>
        </w:rPr>
        <w:t>he proposed criteria for the ‘Overseas University in Australia’ category remain largely similar to the current PCS</w:t>
      </w:r>
      <w:r w:rsidRPr="00FE78DE">
        <w:rPr>
          <w:rFonts w:ascii="Century Gothic" w:eastAsia="Calibri" w:hAnsi="Century Gothic" w:cs="Times New Roman"/>
          <w:sz w:val="20"/>
          <w:szCs w:val="20"/>
        </w:rPr>
        <w:t xml:space="preserve"> ‘Overseas University’ category</w:t>
      </w:r>
      <w:r w:rsidR="00AC7D05" w:rsidRPr="00FE78DE">
        <w:rPr>
          <w:rFonts w:ascii="Century Gothic" w:eastAsia="Calibri" w:hAnsi="Century Gothic" w:cs="Times New Roman"/>
          <w:sz w:val="20"/>
          <w:szCs w:val="20"/>
        </w:rPr>
        <w:t xml:space="preserve">, apart from accommodating overseas universities with either a comprehensive or specialised </w:t>
      </w:r>
      <w:r w:rsidR="00D913A4" w:rsidRPr="00FE78DE">
        <w:rPr>
          <w:rFonts w:ascii="Century Gothic" w:eastAsia="Calibri" w:hAnsi="Century Gothic" w:cs="Times New Roman"/>
          <w:sz w:val="20"/>
          <w:szCs w:val="20"/>
        </w:rPr>
        <w:t>focus</w:t>
      </w:r>
      <w:r w:rsidR="00AC7D05" w:rsidRPr="00FE78DE">
        <w:rPr>
          <w:rFonts w:ascii="Century Gothic" w:eastAsia="Calibri" w:hAnsi="Century Gothic" w:cs="Times New Roman"/>
          <w:sz w:val="20"/>
          <w:szCs w:val="20"/>
        </w:rPr>
        <w:t xml:space="preserve">. </w:t>
      </w:r>
    </w:p>
    <w:p w14:paraId="18613C00" w14:textId="3296FA39" w:rsidR="00C14320" w:rsidRPr="00FE78DE" w:rsidRDefault="00C14320" w:rsidP="00D31B9A">
      <w:pPr>
        <w:spacing w:before="0" w:after="0"/>
        <w:rPr>
          <w:rFonts w:ascii="Century Gothic" w:eastAsia="Calibri" w:hAnsi="Century Gothic" w:cs="Times New Roman"/>
          <w:sz w:val="20"/>
          <w:szCs w:val="20"/>
        </w:rPr>
      </w:pPr>
    </w:p>
    <w:p w14:paraId="650A1A4C" w14:textId="380A5029" w:rsidR="00C14320" w:rsidRPr="00FE78DE" w:rsidRDefault="00FE5BAB"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To</w:t>
      </w:r>
      <w:r w:rsidR="00C14320" w:rsidRPr="00FE78DE">
        <w:rPr>
          <w:rFonts w:ascii="Century Gothic" w:eastAsia="Calibri" w:hAnsi="Century Gothic" w:cs="Times New Roman"/>
          <w:sz w:val="20"/>
          <w:szCs w:val="20"/>
        </w:rPr>
        <w:t xml:space="preserve"> clarify the scope of provide</w:t>
      </w:r>
      <w:r w:rsidRPr="00FE78DE">
        <w:rPr>
          <w:rFonts w:ascii="Century Gothic" w:eastAsia="Calibri" w:hAnsi="Century Gothic" w:cs="Times New Roman"/>
          <w:sz w:val="20"/>
          <w:szCs w:val="20"/>
        </w:rPr>
        <w:t>r</w:t>
      </w:r>
      <w:r w:rsidR="00C14320" w:rsidRPr="00FE78DE">
        <w:rPr>
          <w:rFonts w:ascii="Century Gothic" w:eastAsia="Calibri" w:hAnsi="Century Gothic" w:cs="Times New Roman"/>
          <w:sz w:val="20"/>
          <w:szCs w:val="20"/>
        </w:rPr>
        <w:t>s registered in this category, the introduction to the category states that “the higher education provider delivers at least one overseas higher education award in Australia [and] its profile in Australia may be an element of its broader international offerings”</w:t>
      </w:r>
      <w:r w:rsidR="003E007A" w:rsidRPr="00FE78DE">
        <w:rPr>
          <w:rFonts w:ascii="Century Gothic" w:eastAsia="Calibri" w:hAnsi="Century Gothic" w:cs="Times New Roman"/>
          <w:sz w:val="20"/>
          <w:szCs w:val="20"/>
        </w:rPr>
        <w:t>.</w:t>
      </w:r>
      <w:r w:rsidR="00C14320" w:rsidRPr="00FE78DE">
        <w:rPr>
          <w:rStyle w:val="FootnoteReference"/>
          <w:rFonts w:ascii="Century Gothic" w:eastAsia="Calibri" w:hAnsi="Century Gothic" w:cs="Times New Roman"/>
          <w:sz w:val="20"/>
          <w:szCs w:val="20"/>
        </w:rPr>
        <w:footnoteReference w:id="119"/>
      </w:r>
      <w:r w:rsidR="00C14320" w:rsidRPr="00FE78DE">
        <w:rPr>
          <w:rFonts w:ascii="Century Gothic" w:eastAsia="Calibri" w:hAnsi="Century Gothic" w:cs="Times New Roman"/>
          <w:sz w:val="20"/>
          <w:szCs w:val="20"/>
        </w:rPr>
        <w:t xml:space="preserve"> </w:t>
      </w:r>
    </w:p>
    <w:p w14:paraId="73311E56" w14:textId="77777777" w:rsidR="00DA7784" w:rsidRPr="00730C0D" w:rsidRDefault="00DA7784" w:rsidP="00D31B9A">
      <w:pPr>
        <w:spacing w:before="0" w:after="0"/>
        <w:rPr>
          <w:rFonts w:ascii="Century Gothic" w:eastAsia="Calibri" w:hAnsi="Century Gothic" w:cs="Times New Roman"/>
          <w:sz w:val="20"/>
          <w:szCs w:val="20"/>
        </w:rPr>
      </w:pPr>
    </w:p>
    <w:p w14:paraId="644E1B1C" w14:textId="255DE31C" w:rsidR="00AC7D05" w:rsidRPr="00730C0D" w:rsidRDefault="003806EF" w:rsidP="004978DA">
      <w:pPr>
        <w:pStyle w:val="Heading3"/>
      </w:pPr>
      <w:bookmarkStart w:id="96" w:name="_3.2.6_Criteria_for"/>
      <w:bookmarkStart w:id="97" w:name="_Toc18592357"/>
      <w:bookmarkEnd w:id="96"/>
      <w:r w:rsidRPr="00730C0D">
        <w:t>3.2.6</w:t>
      </w:r>
      <w:r w:rsidRPr="00730C0D">
        <w:tab/>
      </w:r>
      <w:r w:rsidR="00AC7D05" w:rsidRPr="00730C0D">
        <w:t>Criteria for Seeking Self-Accrediting Authority</w:t>
      </w:r>
      <w:bookmarkEnd w:id="97"/>
    </w:p>
    <w:p w14:paraId="2372E581" w14:textId="575D99D8"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The authority to self-accredit is a </w:t>
      </w:r>
      <w:r w:rsidR="00DA7784" w:rsidRPr="00FE78DE">
        <w:rPr>
          <w:rFonts w:ascii="Century Gothic" w:eastAsia="Calibri" w:hAnsi="Century Gothic" w:cs="Times New Roman"/>
          <w:sz w:val="20"/>
          <w:szCs w:val="20"/>
        </w:rPr>
        <w:t>significant</w:t>
      </w:r>
      <w:r w:rsidRPr="00FE78DE">
        <w:rPr>
          <w:rFonts w:ascii="Century Gothic" w:eastAsia="Calibri" w:hAnsi="Century Gothic" w:cs="Times New Roman"/>
          <w:sz w:val="20"/>
          <w:szCs w:val="20"/>
        </w:rPr>
        <w:t xml:space="preserve"> privilege bestowed on a provider</w:t>
      </w:r>
      <w:r w:rsidR="00DA7784" w:rsidRPr="00FE78DE">
        <w:rPr>
          <w:rFonts w:ascii="Century Gothic" w:eastAsia="Calibri" w:hAnsi="Century Gothic" w:cs="Times New Roman"/>
          <w:sz w:val="20"/>
          <w:szCs w:val="20"/>
        </w:rPr>
        <w:t>. A</w:t>
      </w:r>
      <w:r w:rsidRPr="00FE78DE">
        <w:rPr>
          <w:rFonts w:ascii="Century Gothic" w:eastAsia="Calibri" w:hAnsi="Century Gothic" w:cs="Times New Roman"/>
          <w:sz w:val="20"/>
          <w:szCs w:val="20"/>
        </w:rPr>
        <w:t xml:space="preserve">s such the criteria for self-accrediting authority need to be sufficiently </w:t>
      </w:r>
      <w:r w:rsidR="00DA7784" w:rsidRPr="00FE78DE">
        <w:rPr>
          <w:rFonts w:ascii="Century Gothic" w:eastAsia="Calibri" w:hAnsi="Century Gothic" w:cs="Times New Roman"/>
          <w:sz w:val="20"/>
          <w:szCs w:val="20"/>
        </w:rPr>
        <w:t xml:space="preserve">robust </w:t>
      </w:r>
      <w:r w:rsidRPr="00FE78DE">
        <w:rPr>
          <w:rFonts w:ascii="Century Gothic" w:eastAsia="Calibri" w:hAnsi="Century Gothic" w:cs="Times New Roman"/>
          <w:sz w:val="20"/>
          <w:szCs w:val="20"/>
        </w:rPr>
        <w:t>to ensure that a provider has</w:t>
      </w:r>
      <w:r w:rsidR="00DA7784" w:rsidRPr="00FE78DE">
        <w:rPr>
          <w:rFonts w:ascii="Century Gothic" w:eastAsia="Calibri" w:hAnsi="Century Gothic" w:cs="Times New Roman"/>
          <w:sz w:val="20"/>
          <w:szCs w:val="20"/>
        </w:rPr>
        <w:t xml:space="preserve"> a demonstrated performance record, </w:t>
      </w:r>
      <w:r w:rsidR="00C0392B" w:rsidRPr="00FE78DE">
        <w:rPr>
          <w:rFonts w:ascii="Century Gothic" w:eastAsia="Calibri" w:hAnsi="Century Gothic" w:cs="Times New Roman"/>
          <w:sz w:val="20"/>
          <w:szCs w:val="20"/>
        </w:rPr>
        <w:t xml:space="preserve">and </w:t>
      </w:r>
      <w:r w:rsidR="00DA7784" w:rsidRPr="00FE78DE">
        <w:rPr>
          <w:rFonts w:ascii="Century Gothic" w:eastAsia="Calibri" w:hAnsi="Century Gothic" w:cs="Times New Roman"/>
          <w:sz w:val="20"/>
          <w:szCs w:val="20"/>
        </w:rPr>
        <w:t>has</w:t>
      </w:r>
      <w:r w:rsidRPr="00FE78DE">
        <w:rPr>
          <w:rFonts w:ascii="Century Gothic" w:eastAsia="Calibri" w:hAnsi="Century Gothic" w:cs="Times New Roman"/>
          <w:sz w:val="20"/>
          <w:szCs w:val="20"/>
        </w:rPr>
        <w:t xml:space="preserve"> mature and effective internal course design and approval processes to support self-accreditation. </w:t>
      </w:r>
    </w:p>
    <w:p w14:paraId="09DB41A9" w14:textId="77777777" w:rsidR="00AC7D05" w:rsidRPr="00FE78DE" w:rsidRDefault="00AC7D05" w:rsidP="00D31B9A">
      <w:pPr>
        <w:spacing w:before="0" w:after="0"/>
        <w:rPr>
          <w:rFonts w:ascii="Century Gothic" w:eastAsia="Calibri" w:hAnsi="Century Gothic" w:cs="Times New Roman"/>
          <w:sz w:val="20"/>
          <w:szCs w:val="20"/>
        </w:rPr>
      </w:pPr>
    </w:p>
    <w:p w14:paraId="3B72A1EC" w14:textId="2DB43D52"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The current self-accrediting authority criteria are overly complicated (as outlined in </w:t>
      </w:r>
      <w:hyperlink w:anchor="_2.6_Self-Accrediting_Authority" w:history="1">
        <w:r w:rsidR="003D4960" w:rsidRPr="00FE78DE">
          <w:rPr>
            <w:rStyle w:val="Hyperlink"/>
            <w:rFonts w:ascii="Century Gothic" w:eastAsia="Calibri" w:hAnsi="Century Gothic" w:cs="Times New Roman"/>
            <w:sz w:val="20"/>
            <w:szCs w:val="20"/>
          </w:rPr>
          <w:t>Section </w:t>
        </w:r>
        <w:r w:rsidR="00FC7D8B" w:rsidRPr="00FE78DE">
          <w:rPr>
            <w:rStyle w:val="Hyperlink"/>
            <w:rFonts w:ascii="Century Gothic" w:eastAsia="Calibri" w:hAnsi="Century Gothic" w:cs="Times New Roman"/>
            <w:sz w:val="20"/>
            <w:szCs w:val="20"/>
          </w:rPr>
          <w:t>2.6</w:t>
        </w:r>
      </w:hyperlink>
      <w:r w:rsidRPr="00FE78DE">
        <w:rPr>
          <w:rFonts w:ascii="Century Gothic" w:eastAsia="Calibri" w:hAnsi="Century Gothic" w:cs="Times New Roman"/>
          <w:sz w:val="20"/>
          <w:szCs w:val="20"/>
        </w:rPr>
        <w:t>). The proposed revision of the self-accrediting authority criteria simplifies th</w:t>
      </w:r>
      <w:r w:rsidR="00DA7784" w:rsidRPr="00FE78DE">
        <w:rPr>
          <w:rFonts w:ascii="Century Gothic" w:eastAsia="Calibri" w:hAnsi="Century Gothic" w:cs="Times New Roman"/>
          <w:sz w:val="20"/>
          <w:szCs w:val="20"/>
        </w:rPr>
        <w:t>ose</w:t>
      </w:r>
      <w:r w:rsidRPr="00FE78DE">
        <w:rPr>
          <w:rFonts w:ascii="Century Gothic" w:eastAsia="Calibri" w:hAnsi="Century Gothic" w:cs="Times New Roman"/>
          <w:sz w:val="20"/>
          <w:szCs w:val="20"/>
        </w:rPr>
        <w:t xml:space="preserve"> criteria, while maintaining the quality benchmarks expected for the authority to self-accredit courses of study.    </w:t>
      </w:r>
    </w:p>
    <w:p w14:paraId="76A1371F" w14:textId="77777777" w:rsidR="009647AA" w:rsidRPr="00FE78DE" w:rsidRDefault="009647AA" w:rsidP="00D31B9A">
      <w:pPr>
        <w:spacing w:before="0" w:after="0"/>
        <w:rPr>
          <w:rFonts w:ascii="Century Gothic" w:eastAsia="Calibri" w:hAnsi="Century Gothic" w:cs="Times New Roman"/>
          <w:sz w:val="20"/>
          <w:szCs w:val="20"/>
        </w:rPr>
      </w:pPr>
    </w:p>
    <w:p w14:paraId="37BAB70C" w14:textId="77777777"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Additionally, the proposed criteria set the following definitions of self-accrediting authority:</w:t>
      </w:r>
    </w:p>
    <w:p w14:paraId="110D18CF" w14:textId="3BDC3A1F" w:rsidR="00AC7D05" w:rsidRPr="00FE78DE" w:rsidRDefault="00AC7D05" w:rsidP="0024520B">
      <w:pPr>
        <w:numPr>
          <w:ilvl w:val="0"/>
          <w:numId w:val="54"/>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Unlimited: self-accrediting authority for all higher education courses of study that the provider delivers, or may deliver, in any</w:t>
      </w:r>
      <w:r w:rsidR="001C4635" w:rsidRPr="00FE78DE">
        <w:rPr>
          <w:rFonts w:ascii="Century Gothic" w:eastAsia="Calibri" w:hAnsi="Century Gothic" w:cs="Times New Roman"/>
          <w:sz w:val="20"/>
          <w:szCs w:val="20"/>
        </w:rPr>
        <w:t xml:space="preserve"> AQF</w:t>
      </w:r>
      <w:r w:rsidRPr="00FE78DE">
        <w:rPr>
          <w:rFonts w:ascii="Century Gothic" w:eastAsia="Calibri" w:hAnsi="Century Gothic" w:cs="Times New Roman"/>
          <w:sz w:val="20"/>
          <w:szCs w:val="20"/>
        </w:rPr>
        <w:t xml:space="preserve"> level or field of education</w:t>
      </w:r>
      <w:r w:rsidR="009647AA" w:rsidRPr="00FE78DE">
        <w:rPr>
          <w:rFonts w:ascii="Century Gothic" w:eastAsia="Calibri" w:hAnsi="Century Gothic" w:cs="Times New Roman"/>
          <w:sz w:val="20"/>
          <w:szCs w:val="20"/>
        </w:rPr>
        <w:t>; and</w:t>
      </w:r>
    </w:p>
    <w:p w14:paraId="3E7D81AF" w14:textId="62AEF491" w:rsidR="00AC7D05" w:rsidRPr="00FE78DE" w:rsidRDefault="00AC7D05" w:rsidP="0024520B">
      <w:pPr>
        <w:numPr>
          <w:ilvl w:val="0"/>
          <w:numId w:val="54"/>
        </w:numPr>
        <w:spacing w:before="0" w:after="0"/>
        <w:contextualSpacing/>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Limited: self-accrediting authority for higher education courses that the provider delivers, or may deliver, in a specific combination of </w:t>
      </w:r>
      <w:r w:rsidR="001C4635" w:rsidRPr="00FE78DE">
        <w:rPr>
          <w:rFonts w:ascii="Century Gothic" w:eastAsia="Calibri" w:hAnsi="Century Gothic" w:cs="Times New Roman"/>
          <w:sz w:val="20"/>
          <w:szCs w:val="20"/>
        </w:rPr>
        <w:t xml:space="preserve">AQF </w:t>
      </w:r>
      <w:r w:rsidRPr="00FE78DE">
        <w:rPr>
          <w:rFonts w:ascii="Century Gothic" w:eastAsia="Calibri" w:hAnsi="Century Gothic" w:cs="Times New Roman"/>
          <w:sz w:val="20"/>
          <w:szCs w:val="20"/>
        </w:rPr>
        <w:t>levels and/or fields of education.</w:t>
      </w:r>
    </w:p>
    <w:p w14:paraId="6FE4F129" w14:textId="77777777" w:rsidR="00AC7D05" w:rsidRPr="00730C0D" w:rsidRDefault="00AC7D05" w:rsidP="00D31B9A">
      <w:pPr>
        <w:spacing w:before="0" w:after="0"/>
        <w:rPr>
          <w:rFonts w:ascii="Century Gothic" w:eastAsia="Calibri" w:hAnsi="Century Gothic" w:cs="Times New Roman"/>
          <w:b/>
          <w:i/>
          <w:sz w:val="20"/>
          <w:szCs w:val="20"/>
        </w:rPr>
      </w:pPr>
    </w:p>
    <w:p w14:paraId="53853D70" w14:textId="77777777" w:rsidR="00B34F91" w:rsidRDefault="00B34F91">
      <w:pPr>
        <w:spacing w:before="0" w:after="160"/>
        <w:rPr>
          <w:rFonts w:ascii="Century Gothic" w:eastAsia="Times New Roman" w:hAnsi="Century Gothic" w:cstheme="majorBidi"/>
          <w:b/>
          <w:color w:val="2763AC"/>
          <w:sz w:val="28"/>
          <w:szCs w:val="28"/>
        </w:rPr>
      </w:pPr>
      <w:r>
        <w:rPr>
          <w:rFonts w:eastAsia="Times New Roman"/>
        </w:rPr>
        <w:br w:type="page"/>
      </w:r>
    </w:p>
    <w:p w14:paraId="744E32A6" w14:textId="71EAB095" w:rsidR="008D2C51" w:rsidRPr="00730C0D" w:rsidRDefault="00AE1672" w:rsidP="004978DA">
      <w:pPr>
        <w:pStyle w:val="Heading2"/>
        <w:rPr>
          <w:rFonts w:eastAsia="Times New Roman"/>
        </w:rPr>
      </w:pPr>
      <w:bookmarkStart w:id="98" w:name="_Toc18592358"/>
      <w:r w:rsidRPr="00730C0D">
        <w:rPr>
          <w:rFonts w:eastAsia="Times New Roman"/>
        </w:rPr>
        <w:t>3.3</w:t>
      </w:r>
      <w:r w:rsidRPr="00730C0D">
        <w:rPr>
          <w:rFonts w:eastAsia="Times New Roman"/>
        </w:rPr>
        <w:tab/>
      </w:r>
      <w:r w:rsidR="008D2C51" w:rsidRPr="00730C0D">
        <w:rPr>
          <w:rFonts w:eastAsia="Times New Roman"/>
        </w:rPr>
        <w:t>Benefits of the Revised PCS Framework for Stakeholders</w:t>
      </w:r>
      <w:bookmarkEnd w:id="98"/>
    </w:p>
    <w:p w14:paraId="76FA0077" w14:textId="26D4DBCF" w:rsidR="008D2C51" w:rsidRPr="00FE78DE" w:rsidRDefault="005E1871" w:rsidP="008D2C51">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The PCS fulfil a range of roles</w:t>
      </w:r>
      <w:r w:rsidR="00587042"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including defining the requirements of different types of providers in Australian higher education </w:t>
      </w:r>
      <w:r w:rsidR="00D913A4" w:rsidRPr="00FE78DE">
        <w:rPr>
          <w:rFonts w:ascii="Century Gothic" w:eastAsia="Calibri" w:hAnsi="Century Gothic" w:cs="Times New Roman"/>
          <w:sz w:val="20"/>
          <w:szCs w:val="20"/>
        </w:rPr>
        <w:t xml:space="preserve">and </w:t>
      </w:r>
      <w:r w:rsidRPr="00FE78DE">
        <w:rPr>
          <w:rFonts w:ascii="Century Gothic" w:eastAsia="Calibri" w:hAnsi="Century Gothic" w:cs="Times New Roman"/>
          <w:sz w:val="20"/>
          <w:szCs w:val="20"/>
        </w:rPr>
        <w:t xml:space="preserve">safeguarding Australia’s high quality higher education sector </w:t>
      </w:r>
      <w:r w:rsidR="00587042" w:rsidRPr="00FE78DE">
        <w:rPr>
          <w:rFonts w:ascii="Century Gothic" w:eastAsia="Calibri" w:hAnsi="Century Gothic" w:cs="Times New Roman"/>
          <w:sz w:val="20"/>
          <w:szCs w:val="20"/>
        </w:rPr>
        <w:t>as part of the regulatory framework. Given the variety of purposes of the PCS, p</w:t>
      </w:r>
      <w:r w:rsidR="008D2C51" w:rsidRPr="00FE78DE">
        <w:rPr>
          <w:rFonts w:ascii="Century Gothic" w:eastAsia="Calibri" w:hAnsi="Century Gothic" w:cs="Times New Roman"/>
          <w:sz w:val="20"/>
          <w:szCs w:val="20"/>
        </w:rPr>
        <w:t xml:space="preserve">art of this </w:t>
      </w:r>
      <w:r w:rsidR="00D913A4" w:rsidRPr="00FE78DE">
        <w:rPr>
          <w:rFonts w:ascii="Century Gothic" w:eastAsia="Calibri" w:hAnsi="Century Gothic" w:cs="Times New Roman"/>
          <w:sz w:val="20"/>
          <w:szCs w:val="20"/>
        </w:rPr>
        <w:t>R</w:t>
      </w:r>
      <w:r w:rsidR="008D2C51" w:rsidRPr="00FE78DE">
        <w:rPr>
          <w:rFonts w:ascii="Century Gothic" w:eastAsia="Calibri" w:hAnsi="Century Gothic" w:cs="Times New Roman"/>
          <w:sz w:val="20"/>
          <w:szCs w:val="20"/>
        </w:rPr>
        <w:t>eview’s remit is to consider how the revised PCS will benefit stakeholders including students, providers, the regulator, and government. Although implicit throughout this report, this section summari</w:t>
      </w:r>
      <w:r w:rsidR="00D913A4" w:rsidRPr="00FE78DE">
        <w:rPr>
          <w:rFonts w:ascii="Century Gothic" w:eastAsia="Calibri" w:hAnsi="Century Gothic" w:cs="Times New Roman"/>
          <w:sz w:val="20"/>
          <w:szCs w:val="20"/>
        </w:rPr>
        <w:t>s</w:t>
      </w:r>
      <w:r w:rsidR="008D2C51" w:rsidRPr="00FE78DE">
        <w:rPr>
          <w:rFonts w:ascii="Century Gothic" w:eastAsia="Calibri" w:hAnsi="Century Gothic" w:cs="Times New Roman"/>
          <w:sz w:val="20"/>
          <w:szCs w:val="20"/>
        </w:rPr>
        <w:t xml:space="preserve">es the major benefits for key stakeholder groups. The key issues raised by this </w:t>
      </w:r>
      <w:r w:rsidR="00D913A4" w:rsidRPr="00FE78DE">
        <w:rPr>
          <w:rFonts w:ascii="Century Gothic" w:eastAsia="Calibri" w:hAnsi="Century Gothic" w:cs="Times New Roman"/>
          <w:sz w:val="20"/>
          <w:szCs w:val="20"/>
        </w:rPr>
        <w:t>R</w:t>
      </w:r>
      <w:r w:rsidR="008D2C51" w:rsidRPr="00FE78DE">
        <w:rPr>
          <w:rFonts w:ascii="Century Gothic" w:eastAsia="Calibri" w:hAnsi="Century Gothic" w:cs="Times New Roman"/>
          <w:sz w:val="20"/>
          <w:szCs w:val="20"/>
        </w:rPr>
        <w:t>eview, their accompanying recommendations</w:t>
      </w:r>
      <w:r w:rsidR="00D913A4" w:rsidRPr="00FE78DE">
        <w:rPr>
          <w:rFonts w:ascii="Century Gothic" w:eastAsia="Calibri" w:hAnsi="Century Gothic" w:cs="Times New Roman"/>
          <w:sz w:val="20"/>
          <w:szCs w:val="20"/>
        </w:rPr>
        <w:t>,</w:t>
      </w:r>
      <w:r w:rsidR="008D2C51" w:rsidRPr="00FE78DE">
        <w:rPr>
          <w:rFonts w:ascii="Century Gothic" w:eastAsia="Calibri" w:hAnsi="Century Gothic" w:cs="Times New Roman"/>
          <w:sz w:val="20"/>
          <w:szCs w:val="20"/>
        </w:rPr>
        <w:t xml:space="preserve"> and the benefits to stakeholders</w:t>
      </w:r>
      <w:r w:rsidR="00FB2E42">
        <w:rPr>
          <w:rFonts w:ascii="Century Gothic" w:eastAsia="Calibri" w:hAnsi="Century Gothic" w:cs="Times New Roman"/>
          <w:sz w:val="20"/>
          <w:szCs w:val="20"/>
        </w:rPr>
        <w:t>,</w:t>
      </w:r>
      <w:r w:rsidR="008D2C51" w:rsidRPr="00FE78DE">
        <w:rPr>
          <w:rFonts w:ascii="Century Gothic" w:eastAsia="Calibri" w:hAnsi="Century Gothic" w:cs="Times New Roman"/>
          <w:sz w:val="20"/>
          <w:szCs w:val="20"/>
        </w:rPr>
        <w:t xml:space="preserve"> fall into three broad themes: fit for purpose, lifting cachet</w:t>
      </w:r>
      <w:r w:rsidR="00D913A4" w:rsidRPr="00FE78DE">
        <w:rPr>
          <w:rFonts w:ascii="Century Gothic" w:eastAsia="Calibri" w:hAnsi="Century Gothic" w:cs="Times New Roman"/>
          <w:sz w:val="20"/>
          <w:szCs w:val="20"/>
        </w:rPr>
        <w:t xml:space="preserve"> and reputation</w:t>
      </w:r>
      <w:r w:rsidR="008442C3" w:rsidRPr="00FE78DE">
        <w:rPr>
          <w:rFonts w:ascii="Century Gothic" w:eastAsia="Calibri" w:hAnsi="Century Gothic" w:cs="Times New Roman"/>
          <w:sz w:val="20"/>
          <w:szCs w:val="20"/>
        </w:rPr>
        <w:t>,</w:t>
      </w:r>
      <w:r w:rsidR="008D2C51" w:rsidRPr="00FE78DE">
        <w:rPr>
          <w:rFonts w:ascii="Century Gothic" w:eastAsia="Calibri" w:hAnsi="Century Gothic" w:cs="Times New Roman"/>
          <w:sz w:val="20"/>
          <w:szCs w:val="20"/>
        </w:rPr>
        <w:t xml:space="preserve"> and brand protection (see </w:t>
      </w:r>
      <w:hyperlink w:anchor="_Chapter_2" w:history="1">
        <w:r w:rsidR="00C86660" w:rsidRPr="00FE78DE">
          <w:rPr>
            <w:rStyle w:val="Hyperlink"/>
            <w:rFonts w:ascii="Century Gothic" w:hAnsi="Century Gothic"/>
            <w:sz w:val="20"/>
            <w:szCs w:val="20"/>
          </w:rPr>
          <w:t>Chapter 2</w:t>
        </w:r>
      </w:hyperlink>
      <w:r w:rsidR="008D2C51" w:rsidRPr="00FE78DE">
        <w:rPr>
          <w:rFonts w:ascii="Century Gothic" w:eastAsia="Calibri" w:hAnsi="Century Gothic" w:cs="Times New Roman"/>
          <w:sz w:val="20"/>
          <w:szCs w:val="20"/>
        </w:rPr>
        <w:t xml:space="preserve">). </w:t>
      </w:r>
    </w:p>
    <w:p w14:paraId="6FF0C04D" w14:textId="77777777" w:rsidR="008D2C51" w:rsidRPr="00FE78DE" w:rsidRDefault="008D2C51" w:rsidP="008D2C51">
      <w:pPr>
        <w:spacing w:before="0" w:after="0"/>
        <w:rPr>
          <w:rFonts w:ascii="Century Gothic" w:eastAsia="Calibri" w:hAnsi="Century Gothic" w:cs="Times New Roman"/>
          <w:sz w:val="20"/>
          <w:szCs w:val="20"/>
        </w:rPr>
      </w:pPr>
    </w:p>
    <w:p w14:paraId="020E398C" w14:textId="27AFCD21" w:rsidR="008D2C51" w:rsidRPr="00FE78DE" w:rsidRDefault="008D2C51" w:rsidP="008D2C51">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For students, the revised and streamlined PCS will </w:t>
      </w:r>
      <w:r w:rsidR="000406A7" w:rsidRPr="00FE78DE">
        <w:rPr>
          <w:rFonts w:ascii="Century Gothic" w:eastAsia="Calibri" w:hAnsi="Century Gothic" w:cs="Times New Roman"/>
          <w:sz w:val="20"/>
          <w:szCs w:val="20"/>
        </w:rPr>
        <w:t xml:space="preserve">seek to </w:t>
      </w:r>
      <w:r w:rsidRPr="00FE78DE">
        <w:rPr>
          <w:rFonts w:ascii="Century Gothic" w:eastAsia="Calibri" w:hAnsi="Century Gothic" w:cs="Times New Roman"/>
          <w:sz w:val="20"/>
          <w:szCs w:val="20"/>
        </w:rPr>
        <w:t xml:space="preserve">improve understanding of different provider types in the higher education sector </w:t>
      </w:r>
      <w:r w:rsidR="00FF0469" w:rsidRPr="00FE78DE">
        <w:rPr>
          <w:rFonts w:ascii="Century Gothic" w:eastAsia="Calibri" w:hAnsi="Century Gothic" w:cs="Times New Roman"/>
          <w:sz w:val="20"/>
          <w:szCs w:val="20"/>
        </w:rPr>
        <w:t xml:space="preserve">and encourage </w:t>
      </w:r>
      <w:r w:rsidR="002D6A0A" w:rsidRPr="00FE78DE">
        <w:rPr>
          <w:rFonts w:ascii="Century Gothic" w:eastAsia="Calibri" w:hAnsi="Century Gothic" w:cs="Times New Roman"/>
          <w:sz w:val="20"/>
          <w:szCs w:val="20"/>
        </w:rPr>
        <w:t xml:space="preserve">further </w:t>
      </w:r>
      <w:r w:rsidRPr="00FE78DE">
        <w:rPr>
          <w:rFonts w:ascii="Century Gothic" w:eastAsia="Calibri" w:hAnsi="Century Gothic" w:cs="Times New Roman"/>
          <w:sz w:val="20"/>
          <w:szCs w:val="20"/>
        </w:rPr>
        <w:t xml:space="preserve">confidence </w:t>
      </w:r>
      <w:r w:rsidR="00FF0469" w:rsidRPr="00FE78DE">
        <w:rPr>
          <w:rFonts w:ascii="Century Gothic" w:eastAsia="Calibri" w:hAnsi="Century Gothic" w:cs="Times New Roman"/>
          <w:sz w:val="20"/>
          <w:szCs w:val="20"/>
        </w:rPr>
        <w:t>in</w:t>
      </w:r>
      <w:r w:rsidRPr="00FE78DE">
        <w:rPr>
          <w:rFonts w:ascii="Century Gothic" w:eastAsia="Calibri" w:hAnsi="Century Gothic" w:cs="Times New Roman"/>
          <w:sz w:val="20"/>
          <w:szCs w:val="20"/>
        </w:rPr>
        <w:t xml:space="preserve"> the high quality of Australian higher education. Specifically, </w:t>
      </w:r>
      <w:r w:rsidR="00517BB0">
        <w:rPr>
          <w:rFonts w:ascii="Century Gothic" w:eastAsia="Calibri" w:hAnsi="Century Gothic" w:cs="Times New Roman"/>
          <w:sz w:val="20"/>
          <w:szCs w:val="20"/>
        </w:rPr>
        <w:t>Recommendation 9</w:t>
      </w:r>
      <w:r w:rsidR="002D6A0A" w:rsidRPr="00FE78DE">
        <w:rPr>
          <w:rFonts w:ascii="Century Gothic" w:eastAsia="Calibri" w:hAnsi="Century Gothic" w:cs="Times New Roman"/>
          <w:sz w:val="20"/>
          <w:szCs w:val="20"/>
        </w:rPr>
        <w:t xml:space="preserve"> which aims </w:t>
      </w:r>
      <w:r w:rsidRPr="00FE78DE">
        <w:rPr>
          <w:rFonts w:ascii="Century Gothic" w:eastAsia="Calibri" w:hAnsi="Century Gothic" w:cs="Times New Roman"/>
          <w:sz w:val="20"/>
          <w:szCs w:val="20"/>
        </w:rPr>
        <w:t xml:space="preserve">to enhance the transparency and awareness of the PCS (see </w:t>
      </w:r>
      <w:hyperlink w:anchor="_2.7_Awareness_and" w:history="1">
        <w:r w:rsidR="00FC7D8B" w:rsidRPr="00FE78DE">
          <w:rPr>
            <w:rStyle w:val="Hyperlink"/>
            <w:rFonts w:ascii="Century Gothic" w:eastAsia="Calibri" w:hAnsi="Century Gothic" w:cs="Times New Roman"/>
            <w:sz w:val="20"/>
            <w:szCs w:val="20"/>
          </w:rPr>
          <w:t>Section 2.7</w:t>
        </w:r>
      </w:hyperlink>
      <w:r w:rsidRPr="00FE78DE">
        <w:rPr>
          <w:rFonts w:ascii="Century Gothic" w:eastAsia="Calibri" w:hAnsi="Century Gothic" w:cs="Times New Roman"/>
          <w:sz w:val="20"/>
          <w:szCs w:val="20"/>
        </w:rPr>
        <w:t xml:space="preserve">) </w:t>
      </w:r>
      <w:r w:rsidR="000406A7" w:rsidRPr="00FE78DE">
        <w:rPr>
          <w:rFonts w:ascii="Century Gothic" w:eastAsia="Calibri" w:hAnsi="Century Gothic" w:cs="Times New Roman"/>
          <w:sz w:val="20"/>
          <w:szCs w:val="20"/>
        </w:rPr>
        <w:t>seek</w:t>
      </w:r>
      <w:r w:rsidR="002D6A0A" w:rsidRPr="00FE78DE">
        <w:rPr>
          <w:rFonts w:ascii="Century Gothic" w:eastAsia="Calibri" w:hAnsi="Century Gothic" w:cs="Times New Roman"/>
          <w:sz w:val="20"/>
          <w:szCs w:val="20"/>
        </w:rPr>
        <w:t>s</w:t>
      </w:r>
      <w:r w:rsidR="000406A7" w:rsidRPr="00FE78DE">
        <w:rPr>
          <w:rFonts w:ascii="Century Gothic" w:eastAsia="Calibri" w:hAnsi="Century Gothic" w:cs="Times New Roman"/>
          <w:sz w:val="20"/>
          <w:szCs w:val="20"/>
        </w:rPr>
        <w:t xml:space="preserve"> </w:t>
      </w:r>
      <w:r w:rsidR="00C0392B" w:rsidRPr="00FE78DE">
        <w:rPr>
          <w:rFonts w:ascii="Century Gothic" w:eastAsia="Calibri" w:hAnsi="Century Gothic" w:cs="Times New Roman"/>
          <w:sz w:val="20"/>
          <w:szCs w:val="20"/>
        </w:rPr>
        <w:t>to</w:t>
      </w:r>
      <w:r w:rsidRPr="00FE78DE">
        <w:rPr>
          <w:rFonts w:ascii="Century Gothic" w:eastAsia="Calibri" w:hAnsi="Century Gothic" w:cs="Times New Roman"/>
          <w:sz w:val="20"/>
          <w:szCs w:val="20"/>
        </w:rPr>
        <w:t xml:space="preserve"> better inform students about the characteristics and expectations of different higher education providers in Australia</w:t>
      </w:r>
      <w:r w:rsidR="002D6A0A" w:rsidRPr="00FE78DE">
        <w:rPr>
          <w:rFonts w:ascii="Century Gothic" w:eastAsia="Calibri" w:hAnsi="Century Gothic" w:cs="Times New Roman"/>
          <w:sz w:val="20"/>
          <w:szCs w:val="20"/>
        </w:rPr>
        <w:t>. This</w:t>
      </w:r>
      <w:r w:rsidRPr="00FE78DE">
        <w:rPr>
          <w:rFonts w:ascii="Century Gothic" w:eastAsia="Calibri" w:hAnsi="Century Gothic" w:cs="Times New Roman"/>
          <w:sz w:val="20"/>
          <w:szCs w:val="20"/>
        </w:rPr>
        <w:t xml:space="preserve"> </w:t>
      </w:r>
      <w:r w:rsidR="002D6A0A" w:rsidRPr="00FE78DE">
        <w:rPr>
          <w:rFonts w:ascii="Century Gothic" w:eastAsia="Calibri" w:hAnsi="Century Gothic" w:cs="Times New Roman"/>
          <w:sz w:val="20"/>
          <w:szCs w:val="20"/>
        </w:rPr>
        <w:t xml:space="preserve">will </w:t>
      </w:r>
      <w:r w:rsidRPr="00FE78DE">
        <w:rPr>
          <w:rFonts w:ascii="Century Gothic" w:eastAsia="Calibri" w:hAnsi="Century Gothic" w:cs="Times New Roman"/>
          <w:sz w:val="20"/>
          <w:szCs w:val="20"/>
        </w:rPr>
        <w:t>ensur</w:t>
      </w:r>
      <w:r w:rsidR="002D6A0A" w:rsidRPr="00FE78DE">
        <w:rPr>
          <w:rFonts w:ascii="Century Gothic" w:eastAsia="Calibri" w:hAnsi="Century Gothic" w:cs="Times New Roman"/>
          <w:sz w:val="20"/>
          <w:szCs w:val="20"/>
        </w:rPr>
        <w:t>e</w:t>
      </w:r>
      <w:r w:rsidRPr="00FE78DE">
        <w:rPr>
          <w:rFonts w:ascii="Century Gothic" w:eastAsia="Calibri" w:hAnsi="Century Gothic" w:cs="Times New Roman"/>
          <w:sz w:val="20"/>
          <w:szCs w:val="20"/>
        </w:rPr>
        <w:t xml:space="preserve"> they are equipped with the knowledge that </w:t>
      </w:r>
      <w:r w:rsidR="003D619E" w:rsidRPr="00FE78DE">
        <w:rPr>
          <w:rFonts w:ascii="Century Gothic" w:eastAsia="Calibri" w:hAnsi="Century Gothic" w:cs="Times New Roman"/>
          <w:sz w:val="20"/>
          <w:szCs w:val="20"/>
        </w:rPr>
        <w:t xml:space="preserve">will </w:t>
      </w:r>
      <w:r w:rsidRPr="00FE78DE">
        <w:rPr>
          <w:rFonts w:ascii="Century Gothic" w:eastAsia="Calibri" w:hAnsi="Century Gothic" w:cs="Times New Roman"/>
          <w:sz w:val="20"/>
          <w:szCs w:val="20"/>
        </w:rPr>
        <w:t>enable them to make choices about the higher education that</w:t>
      </w:r>
      <w:r w:rsidR="002D6A0A" w:rsidRPr="00FE78DE">
        <w:rPr>
          <w:rFonts w:ascii="Century Gothic" w:eastAsia="Calibri" w:hAnsi="Century Gothic" w:cs="Times New Roman"/>
          <w:sz w:val="20"/>
          <w:szCs w:val="20"/>
        </w:rPr>
        <w:t xml:space="preserve"> will</w:t>
      </w:r>
      <w:r w:rsidRPr="00FE78DE">
        <w:rPr>
          <w:rFonts w:ascii="Century Gothic" w:eastAsia="Calibri" w:hAnsi="Century Gothic" w:cs="Times New Roman"/>
          <w:sz w:val="20"/>
          <w:szCs w:val="20"/>
        </w:rPr>
        <w:t xml:space="preserve"> best suit their purposes and needs.   </w:t>
      </w:r>
    </w:p>
    <w:p w14:paraId="0CC063A8" w14:textId="77777777" w:rsidR="003320BA" w:rsidRPr="00FE78DE" w:rsidRDefault="003320BA" w:rsidP="008D2C51">
      <w:pPr>
        <w:spacing w:before="0" w:after="0"/>
        <w:rPr>
          <w:rFonts w:ascii="Century Gothic" w:eastAsia="Calibri" w:hAnsi="Century Gothic" w:cs="Times New Roman"/>
          <w:sz w:val="20"/>
          <w:szCs w:val="20"/>
        </w:rPr>
      </w:pPr>
    </w:p>
    <w:p w14:paraId="17560F5B" w14:textId="6FB4FEAC" w:rsidR="008D2C51" w:rsidRPr="00FE78DE" w:rsidRDefault="00C0392B" w:rsidP="008D2C51">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T</w:t>
      </w:r>
      <w:r w:rsidR="008D2C51" w:rsidRPr="00FE78DE">
        <w:rPr>
          <w:rFonts w:ascii="Century Gothic" w:eastAsia="Calibri" w:hAnsi="Century Gothic" w:cs="Times New Roman"/>
          <w:sz w:val="20"/>
          <w:szCs w:val="20"/>
        </w:rPr>
        <w:t xml:space="preserve">he revised PCS provide useful and distinct categories for providers to operate within that are best suited to their objectives. The revised PCS aim to lift the cachet of the </w:t>
      </w:r>
      <w:r w:rsidR="00DA7784" w:rsidRPr="00FE78DE">
        <w:rPr>
          <w:rFonts w:ascii="Century Gothic" w:eastAsia="Calibri" w:hAnsi="Century Gothic" w:cs="Times New Roman"/>
          <w:sz w:val="20"/>
          <w:szCs w:val="20"/>
        </w:rPr>
        <w:t xml:space="preserve">entire </w:t>
      </w:r>
      <w:r w:rsidR="008D2C51" w:rsidRPr="00FE78DE">
        <w:rPr>
          <w:rFonts w:ascii="Century Gothic" w:eastAsia="Calibri" w:hAnsi="Century Gothic" w:cs="Times New Roman"/>
          <w:sz w:val="20"/>
          <w:szCs w:val="20"/>
        </w:rPr>
        <w:t xml:space="preserve">higher education sector, including specifically providing a discrete category for recognising high performing higher education providers that are not universities (see </w:t>
      </w:r>
      <w:hyperlink w:anchor="_2.2.5_Standing_and" w:history="1">
        <w:r w:rsidR="00FC7D8B" w:rsidRPr="00FE78DE">
          <w:rPr>
            <w:rStyle w:val="Hyperlink"/>
            <w:rFonts w:ascii="Century Gothic" w:eastAsia="Calibri" w:hAnsi="Century Gothic" w:cs="Times New Roman"/>
            <w:sz w:val="20"/>
            <w:szCs w:val="20"/>
          </w:rPr>
          <w:t>Section</w:t>
        </w:r>
        <w:r w:rsidR="00102397" w:rsidRPr="00FE78DE">
          <w:rPr>
            <w:rStyle w:val="Hyperlink"/>
            <w:rFonts w:ascii="Century Gothic" w:eastAsia="Calibri" w:hAnsi="Century Gothic" w:cs="Times New Roman"/>
            <w:sz w:val="20"/>
            <w:szCs w:val="20"/>
          </w:rPr>
          <w:t> </w:t>
        </w:r>
        <w:r w:rsidR="00FC7D8B" w:rsidRPr="00FE78DE">
          <w:rPr>
            <w:rStyle w:val="Hyperlink"/>
            <w:rFonts w:ascii="Century Gothic" w:eastAsia="Calibri" w:hAnsi="Century Gothic" w:cs="Times New Roman"/>
            <w:sz w:val="20"/>
            <w:szCs w:val="20"/>
          </w:rPr>
          <w:t>2.2.5</w:t>
        </w:r>
      </w:hyperlink>
      <w:r w:rsidR="008442C3" w:rsidRPr="00FE78DE">
        <w:rPr>
          <w:rFonts w:ascii="Century Gothic" w:eastAsia="Calibri" w:hAnsi="Century Gothic" w:cs="Times New Roman"/>
          <w:sz w:val="20"/>
          <w:szCs w:val="20"/>
        </w:rPr>
        <w:t>). This </w:t>
      </w:r>
      <w:r w:rsidR="008D2C51" w:rsidRPr="00FE78DE">
        <w:rPr>
          <w:rFonts w:ascii="Century Gothic" w:eastAsia="Calibri" w:hAnsi="Century Gothic" w:cs="Times New Roman"/>
          <w:sz w:val="20"/>
          <w:szCs w:val="20"/>
        </w:rPr>
        <w:t xml:space="preserve">revision will help </w:t>
      </w:r>
      <w:r w:rsidR="00FB2E42">
        <w:rPr>
          <w:rFonts w:ascii="Century Gothic" w:eastAsia="Calibri" w:hAnsi="Century Gothic" w:cs="Times New Roman"/>
          <w:sz w:val="20"/>
          <w:szCs w:val="20"/>
        </w:rPr>
        <w:t xml:space="preserve">to </w:t>
      </w:r>
      <w:r w:rsidR="008D2C51" w:rsidRPr="00FE78DE">
        <w:rPr>
          <w:rFonts w:ascii="Century Gothic" w:eastAsia="Calibri" w:hAnsi="Century Gothic" w:cs="Times New Roman"/>
          <w:sz w:val="20"/>
          <w:szCs w:val="20"/>
        </w:rPr>
        <w:t>ensure that the Australian higher education ‘brand’ is maintained</w:t>
      </w:r>
      <w:r w:rsidR="00A01368" w:rsidRPr="00FE78DE">
        <w:rPr>
          <w:rFonts w:ascii="Century Gothic" w:eastAsia="Calibri" w:hAnsi="Century Gothic" w:cs="Times New Roman"/>
          <w:sz w:val="20"/>
          <w:szCs w:val="20"/>
        </w:rPr>
        <w:t>,</w:t>
      </w:r>
      <w:r w:rsidR="008D2C51" w:rsidRPr="00FE78DE">
        <w:rPr>
          <w:rFonts w:ascii="Century Gothic" w:eastAsia="Calibri" w:hAnsi="Century Gothic" w:cs="Times New Roman"/>
          <w:sz w:val="20"/>
          <w:szCs w:val="20"/>
        </w:rPr>
        <w:t xml:space="preserve"> encouraging international students to undertake higher education in Australia and protecting the quality of providers’ reputations and qualifications. Clearer and more transparent PCS criteria will</w:t>
      </w:r>
      <w:r w:rsidR="003D619E" w:rsidRPr="00FE78DE">
        <w:rPr>
          <w:rFonts w:ascii="Century Gothic" w:eastAsia="Calibri" w:hAnsi="Century Gothic" w:cs="Times New Roman"/>
          <w:sz w:val="20"/>
          <w:szCs w:val="20"/>
        </w:rPr>
        <w:t xml:space="preserve"> also</w:t>
      </w:r>
      <w:r w:rsidR="008D2C51" w:rsidRPr="00FE78DE">
        <w:rPr>
          <w:rFonts w:ascii="Century Gothic" w:eastAsia="Calibri" w:hAnsi="Century Gothic" w:cs="Times New Roman"/>
          <w:sz w:val="20"/>
          <w:szCs w:val="20"/>
        </w:rPr>
        <w:t xml:space="preserve"> help providers to understand the expectations of the regulator</w:t>
      </w:r>
      <w:r w:rsidR="00FB485F" w:rsidRPr="00FE78DE">
        <w:rPr>
          <w:rFonts w:ascii="Century Gothic" w:eastAsia="Calibri" w:hAnsi="Century Gothic" w:cs="Times New Roman"/>
          <w:sz w:val="20"/>
          <w:szCs w:val="20"/>
        </w:rPr>
        <w:t>, thus</w:t>
      </w:r>
      <w:r w:rsidR="008D2C51" w:rsidRPr="00FE78DE">
        <w:rPr>
          <w:rFonts w:ascii="Century Gothic" w:eastAsia="Calibri" w:hAnsi="Century Gothic" w:cs="Times New Roman"/>
          <w:sz w:val="20"/>
          <w:szCs w:val="20"/>
        </w:rPr>
        <w:t xml:space="preserve"> assisting registration and accreditation processes</w:t>
      </w:r>
      <w:r w:rsidR="00FB485F" w:rsidRPr="00FE78DE">
        <w:rPr>
          <w:rFonts w:ascii="Century Gothic" w:eastAsia="Calibri" w:hAnsi="Century Gothic" w:cs="Times New Roman"/>
          <w:sz w:val="20"/>
          <w:szCs w:val="20"/>
        </w:rPr>
        <w:t xml:space="preserve"> for both parties</w:t>
      </w:r>
      <w:r w:rsidR="008D2C51" w:rsidRPr="00FE78DE">
        <w:rPr>
          <w:rFonts w:ascii="Century Gothic" w:eastAsia="Calibri" w:hAnsi="Century Gothic" w:cs="Times New Roman"/>
          <w:sz w:val="20"/>
          <w:szCs w:val="20"/>
        </w:rPr>
        <w:t xml:space="preserve">. </w:t>
      </w:r>
    </w:p>
    <w:p w14:paraId="5B97CA6F" w14:textId="77777777" w:rsidR="008D2C51" w:rsidRPr="00FE78DE" w:rsidRDefault="008D2C51" w:rsidP="008D2C51">
      <w:pPr>
        <w:spacing w:before="0" w:after="0"/>
        <w:rPr>
          <w:rFonts w:ascii="Century Gothic" w:eastAsia="Calibri" w:hAnsi="Century Gothic" w:cs="Times New Roman"/>
          <w:sz w:val="20"/>
          <w:szCs w:val="20"/>
        </w:rPr>
      </w:pPr>
    </w:p>
    <w:p w14:paraId="693DDCE3" w14:textId="314CA9CF" w:rsidR="008D2C51" w:rsidRPr="00FE78DE" w:rsidRDefault="008D2C51" w:rsidP="008D2C51">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For the regulator, the revised PCS criteria provide greater clarity and scope in key regulation areas such as research, scholarship</w:t>
      </w:r>
      <w:r w:rsidR="00FB485F"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and </w:t>
      </w:r>
      <w:r w:rsidR="00A01368" w:rsidRPr="00FE78DE">
        <w:rPr>
          <w:rFonts w:ascii="Century Gothic" w:eastAsia="Calibri" w:hAnsi="Century Gothic" w:cs="Times New Roman"/>
          <w:sz w:val="20"/>
          <w:szCs w:val="20"/>
        </w:rPr>
        <w:t>self-accrediting authority</w:t>
      </w:r>
      <w:r w:rsidRPr="00FE78DE">
        <w:rPr>
          <w:rFonts w:ascii="Century Gothic" w:eastAsia="Calibri" w:hAnsi="Century Gothic" w:cs="Times New Roman"/>
          <w:sz w:val="20"/>
          <w:szCs w:val="20"/>
        </w:rPr>
        <w:t xml:space="preserve">. This will enable TEQSA to continue to fulfil </w:t>
      </w:r>
      <w:r w:rsidR="00DA7784" w:rsidRPr="00FE78DE">
        <w:rPr>
          <w:rFonts w:ascii="Century Gothic" w:eastAsia="Calibri" w:hAnsi="Century Gothic" w:cs="Times New Roman"/>
          <w:sz w:val="20"/>
          <w:szCs w:val="20"/>
        </w:rPr>
        <w:t xml:space="preserve">its </w:t>
      </w:r>
      <w:r w:rsidRPr="00FE78DE">
        <w:rPr>
          <w:rFonts w:ascii="Century Gothic" w:eastAsia="Calibri" w:hAnsi="Century Gothic" w:cs="Times New Roman"/>
          <w:sz w:val="20"/>
          <w:szCs w:val="20"/>
        </w:rPr>
        <w:t xml:space="preserve">requirements under the </w:t>
      </w:r>
      <w:r w:rsidRPr="00FE78DE">
        <w:rPr>
          <w:rFonts w:ascii="Century Gothic" w:eastAsia="Calibri" w:hAnsi="Century Gothic" w:cs="Times New Roman"/>
          <w:i/>
          <w:sz w:val="20"/>
          <w:szCs w:val="20"/>
        </w:rPr>
        <w:t>TEQSA Act 2011</w:t>
      </w:r>
      <w:r w:rsidRPr="00FE78DE">
        <w:rPr>
          <w:rFonts w:ascii="Century Gothic" w:eastAsia="Calibri" w:hAnsi="Century Gothic" w:cs="Times New Roman"/>
          <w:sz w:val="20"/>
          <w:szCs w:val="20"/>
        </w:rPr>
        <w:t>, in particular to protect and enhance Australia’s reputation for quality higher education, foster excellence, diversity</w:t>
      </w:r>
      <w:r w:rsidR="00FB485F"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and innovation in higher education in Australia</w:t>
      </w:r>
      <w:r w:rsidR="00FB485F" w:rsidRPr="00FE78DE">
        <w:rPr>
          <w:rFonts w:ascii="Century Gothic" w:eastAsia="Calibri" w:hAnsi="Century Gothic" w:cs="Times New Roman"/>
          <w:sz w:val="20"/>
          <w:szCs w:val="20"/>
        </w:rPr>
        <w:t>,</w:t>
      </w:r>
      <w:r w:rsidRPr="00FE78DE">
        <w:rPr>
          <w:rFonts w:ascii="Century Gothic" w:eastAsia="Calibri" w:hAnsi="Century Gothic" w:cs="Times New Roman"/>
          <w:sz w:val="20"/>
          <w:szCs w:val="20"/>
        </w:rPr>
        <w:t xml:space="preserve"> and enhance Australia’s international competitiveness in the higher education sector. The revised PCS criteria also </w:t>
      </w:r>
      <w:r w:rsidR="00A01368" w:rsidRPr="00FE78DE">
        <w:rPr>
          <w:rFonts w:ascii="Century Gothic" w:eastAsia="Calibri" w:hAnsi="Century Gothic" w:cs="Times New Roman"/>
          <w:sz w:val="20"/>
          <w:szCs w:val="20"/>
        </w:rPr>
        <w:t>provide</w:t>
      </w:r>
      <w:r w:rsidRPr="00FE78DE">
        <w:rPr>
          <w:rFonts w:ascii="Century Gothic" w:eastAsia="Calibri" w:hAnsi="Century Gothic" w:cs="Times New Roman"/>
          <w:sz w:val="20"/>
          <w:szCs w:val="20"/>
        </w:rPr>
        <w:t xml:space="preserve"> consistency of terminology and reduce duplication </w:t>
      </w:r>
      <w:r w:rsidR="00A01368" w:rsidRPr="00FE78DE">
        <w:rPr>
          <w:rFonts w:ascii="Century Gothic" w:eastAsia="Calibri" w:hAnsi="Century Gothic" w:cs="Times New Roman"/>
          <w:sz w:val="20"/>
          <w:szCs w:val="20"/>
        </w:rPr>
        <w:t>with</w:t>
      </w:r>
      <w:r w:rsidRPr="00FE78DE">
        <w:rPr>
          <w:rFonts w:ascii="Century Gothic" w:eastAsia="Calibri" w:hAnsi="Century Gothic" w:cs="Times New Roman"/>
          <w:sz w:val="20"/>
          <w:szCs w:val="20"/>
        </w:rPr>
        <w:t xml:space="preserve"> the</w:t>
      </w:r>
      <w:r w:rsidR="00A01368" w:rsidRPr="00FE78DE">
        <w:rPr>
          <w:rFonts w:ascii="Century Gothic" w:eastAsia="Calibri" w:hAnsi="Century Gothic" w:cs="Times New Roman"/>
          <w:sz w:val="20"/>
          <w:szCs w:val="20"/>
        </w:rPr>
        <w:t xml:space="preserve"> broader</w:t>
      </w:r>
      <w:r w:rsidRPr="00FE78DE">
        <w:rPr>
          <w:rFonts w:ascii="Century Gothic" w:eastAsia="Calibri" w:hAnsi="Century Gothic" w:cs="Times New Roman"/>
          <w:sz w:val="20"/>
          <w:szCs w:val="20"/>
        </w:rPr>
        <w:t xml:space="preserve"> Threshold Standards. </w:t>
      </w:r>
    </w:p>
    <w:p w14:paraId="054FE522" w14:textId="77777777" w:rsidR="008D2C51" w:rsidRPr="00FE78DE" w:rsidRDefault="008D2C51" w:rsidP="008D2C51">
      <w:pPr>
        <w:spacing w:before="0" w:after="0"/>
        <w:rPr>
          <w:rFonts w:ascii="Century Gothic" w:eastAsia="Calibri" w:hAnsi="Century Gothic" w:cs="Times New Roman"/>
          <w:sz w:val="20"/>
          <w:szCs w:val="20"/>
        </w:rPr>
      </w:pPr>
    </w:p>
    <w:p w14:paraId="6515F5B5" w14:textId="77140244" w:rsidR="008D2C51" w:rsidRPr="00FE78DE" w:rsidRDefault="00C86660" w:rsidP="008D2C51">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For G</w:t>
      </w:r>
      <w:r w:rsidR="008D2C51" w:rsidRPr="00FE78DE">
        <w:rPr>
          <w:rFonts w:ascii="Century Gothic" w:eastAsia="Calibri" w:hAnsi="Century Gothic" w:cs="Times New Roman"/>
          <w:sz w:val="20"/>
          <w:szCs w:val="20"/>
        </w:rPr>
        <w:t xml:space="preserve">overnment, the PCS will continue to fulfil the important functions of defining the expectations and characteristics of </w:t>
      </w:r>
      <w:r w:rsidR="00370494" w:rsidRPr="00FE78DE">
        <w:rPr>
          <w:rFonts w:ascii="Century Gothic" w:eastAsia="Calibri" w:hAnsi="Century Gothic" w:cs="Times New Roman"/>
          <w:sz w:val="20"/>
          <w:szCs w:val="20"/>
        </w:rPr>
        <w:t xml:space="preserve">Australian </w:t>
      </w:r>
      <w:r w:rsidR="008D2C51" w:rsidRPr="00FE78DE">
        <w:rPr>
          <w:rFonts w:ascii="Century Gothic" w:eastAsia="Calibri" w:hAnsi="Century Gothic" w:cs="Times New Roman"/>
          <w:sz w:val="20"/>
          <w:szCs w:val="20"/>
        </w:rPr>
        <w:t>higher education providers, protect the ‘university’ title</w:t>
      </w:r>
      <w:r w:rsidR="00370494" w:rsidRPr="00FE78DE">
        <w:rPr>
          <w:rFonts w:ascii="Century Gothic" w:eastAsia="Calibri" w:hAnsi="Century Gothic" w:cs="Times New Roman"/>
          <w:sz w:val="20"/>
          <w:szCs w:val="20"/>
        </w:rPr>
        <w:t xml:space="preserve">, </w:t>
      </w:r>
      <w:r w:rsidR="008D2C51" w:rsidRPr="00FE78DE">
        <w:rPr>
          <w:rFonts w:ascii="Century Gothic" w:eastAsia="Calibri" w:hAnsi="Century Gothic" w:cs="Times New Roman"/>
          <w:sz w:val="20"/>
          <w:szCs w:val="20"/>
        </w:rPr>
        <w:t>set requirements for overseas universities to operate in Australia</w:t>
      </w:r>
      <w:r w:rsidR="00FB485F" w:rsidRPr="00FE78DE">
        <w:rPr>
          <w:rFonts w:ascii="Century Gothic" w:eastAsia="Calibri" w:hAnsi="Century Gothic" w:cs="Times New Roman"/>
          <w:sz w:val="20"/>
          <w:szCs w:val="20"/>
        </w:rPr>
        <w:t>,</w:t>
      </w:r>
      <w:r w:rsidR="00370494" w:rsidRPr="00FE78DE">
        <w:rPr>
          <w:rFonts w:ascii="Century Gothic" w:eastAsia="Calibri" w:hAnsi="Century Gothic" w:cs="Times New Roman"/>
          <w:sz w:val="20"/>
          <w:szCs w:val="20"/>
        </w:rPr>
        <w:t xml:space="preserve"> and ensure domestic and international students continue to have attractive higher education choices in Australia</w:t>
      </w:r>
      <w:r w:rsidR="008D2C51" w:rsidRPr="00FE78DE">
        <w:rPr>
          <w:rFonts w:ascii="Century Gothic" w:eastAsia="Calibri" w:hAnsi="Century Gothic" w:cs="Times New Roman"/>
          <w:sz w:val="20"/>
          <w:szCs w:val="20"/>
        </w:rPr>
        <w:t xml:space="preserve">. The revised PCS </w:t>
      </w:r>
      <w:r w:rsidR="00FB485F" w:rsidRPr="00FE78DE">
        <w:rPr>
          <w:rFonts w:ascii="Century Gothic" w:eastAsia="Calibri" w:hAnsi="Century Gothic" w:cs="Times New Roman"/>
          <w:sz w:val="20"/>
          <w:szCs w:val="20"/>
        </w:rPr>
        <w:t>will also</w:t>
      </w:r>
      <w:r w:rsidR="008D2C51" w:rsidRPr="00FE78DE">
        <w:rPr>
          <w:rFonts w:ascii="Century Gothic" w:eastAsia="Calibri" w:hAnsi="Century Gothic" w:cs="Times New Roman"/>
          <w:sz w:val="20"/>
          <w:szCs w:val="20"/>
        </w:rPr>
        <w:t xml:space="preserve"> provide </w:t>
      </w:r>
      <w:r w:rsidR="00FB485F" w:rsidRPr="00FE78DE">
        <w:rPr>
          <w:rFonts w:ascii="Century Gothic" w:eastAsia="Calibri" w:hAnsi="Century Gothic" w:cs="Times New Roman"/>
          <w:sz w:val="20"/>
          <w:szCs w:val="20"/>
        </w:rPr>
        <w:t>G</w:t>
      </w:r>
      <w:r w:rsidR="008D2C51" w:rsidRPr="00FE78DE">
        <w:rPr>
          <w:rFonts w:ascii="Century Gothic" w:eastAsia="Calibri" w:hAnsi="Century Gothic" w:cs="Times New Roman"/>
          <w:sz w:val="20"/>
          <w:szCs w:val="20"/>
        </w:rPr>
        <w:t xml:space="preserve">overnment with greater confidence </w:t>
      </w:r>
      <w:r w:rsidR="00FB485F" w:rsidRPr="00FE78DE">
        <w:rPr>
          <w:rFonts w:ascii="Century Gothic" w:eastAsia="Calibri" w:hAnsi="Century Gothic" w:cs="Times New Roman"/>
          <w:sz w:val="20"/>
          <w:szCs w:val="20"/>
        </w:rPr>
        <w:t xml:space="preserve">in </w:t>
      </w:r>
      <w:r w:rsidR="008D2C51" w:rsidRPr="00FE78DE">
        <w:rPr>
          <w:rFonts w:ascii="Century Gothic" w:eastAsia="Calibri" w:hAnsi="Century Gothic" w:cs="Times New Roman"/>
          <w:sz w:val="20"/>
          <w:szCs w:val="20"/>
        </w:rPr>
        <w:t xml:space="preserve">the quality and quantity of research in Australia, will allow for clear and direct policy arrangements based on </w:t>
      </w:r>
      <w:r w:rsidR="00A01368" w:rsidRPr="00FE78DE">
        <w:rPr>
          <w:rFonts w:ascii="Century Gothic" w:eastAsia="Calibri" w:hAnsi="Century Gothic" w:cs="Times New Roman"/>
          <w:sz w:val="20"/>
          <w:szCs w:val="20"/>
        </w:rPr>
        <w:t>proposed PCS categorisation</w:t>
      </w:r>
      <w:r w:rsidR="008D2C51" w:rsidRPr="00FE78DE">
        <w:rPr>
          <w:rFonts w:ascii="Century Gothic" w:eastAsia="Calibri" w:hAnsi="Century Gothic" w:cs="Times New Roman"/>
          <w:sz w:val="20"/>
          <w:szCs w:val="20"/>
        </w:rPr>
        <w:t xml:space="preserve"> and, by fostering innovation and competition among Australian higher education providers, will continue to elevate the profile and reputation of Australia’s higher education sector domestically and internationally. </w:t>
      </w:r>
    </w:p>
    <w:p w14:paraId="2569892E" w14:textId="2D88E7A5" w:rsidR="00FE78DE" w:rsidRDefault="00FE78DE">
      <w:pPr>
        <w:spacing w:before="0" w:after="160"/>
        <w:rPr>
          <w:rFonts w:ascii="Century Gothic" w:eastAsia="Times New Roman" w:hAnsi="Century Gothic" w:cs="Times New Roman"/>
          <w:b/>
          <w:color w:val="2763AC"/>
          <w:sz w:val="20"/>
          <w:szCs w:val="20"/>
        </w:rPr>
      </w:pPr>
      <w:r>
        <w:rPr>
          <w:rFonts w:ascii="Century Gothic" w:eastAsia="Times New Roman" w:hAnsi="Century Gothic" w:cs="Times New Roman"/>
          <w:b/>
          <w:color w:val="2763AC"/>
          <w:sz w:val="20"/>
          <w:szCs w:val="20"/>
        </w:rPr>
        <w:br w:type="page"/>
      </w:r>
    </w:p>
    <w:p w14:paraId="5CC07E14" w14:textId="52F0A127" w:rsidR="00AC7D05" w:rsidRPr="00730C0D" w:rsidRDefault="00AE1672" w:rsidP="004978DA">
      <w:pPr>
        <w:pStyle w:val="Heading2"/>
        <w:rPr>
          <w:rFonts w:eastAsia="Times New Roman"/>
        </w:rPr>
      </w:pPr>
      <w:bookmarkStart w:id="99" w:name="_Toc18592359"/>
      <w:r w:rsidRPr="00730C0D">
        <w:rPr>
          <w:rFonts w:eastAsia="Times New Roman"/>
        </w:rPr>
        <w:t>3.4</w:t>
      </w:r>
      <w:r w:rsidRPr="00730C0D">
        <w:rPr>
          <w:rFonts w:eastAsia="Times New Roman"/>
        </w:rPr>
        <w:tab/>
      </w:r>
      <w:r w:rsidR="00AC7D05" w:rsidRPr="00730C0D">
        <w:rPr>
          <w:rFonts w:eastAsia="Times New Roman"/>
        </w:rPr>
        <w:t xml:space="preserve">Implementation </w:t>
      </w:r>
      <w:r w:rsidR="00FB485F" w:rsidRPr="00730C0D">
        <w:rPr>
          <w:rFonts w:eastAsia="Times New Roman"/>
        </w:rPr>
        <w:t>Considerations</w:t>
      </w:r>
      <w:bookmarkEnd w:id="99"/>
    </w:p>
    <w:p w14:paraId="17B5E99D" w14:textId="226D8249" w:rsidR="007E113D" w:rsidRPr="00FE78DE" w:rsidRDefault="007E113D"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This Review notes that changes to the PCS require due legislative process. Notably the </w:t>
      </w:r>
      <w:r w:rsidRPr="00FE78DE">
        <w:rPr>
          <w:rFonts w:ascii="Century Gothic" w:eastAsia="Calibri" w:hAnsi="Century Gothic" w:cs="Times New Roman"/>
          <w:sz w:val="20"/>
          <w:szCs w:val="20"/>
        </w:rPr>
        <w:br/>
      </w:r>
      <w:r w:rsidRPr="00FE78DE">
        <w:rPr>
          <w:rFonts w:ascii="Century Gothic" w:eastAsia="Calibri" w:hAnsi="Century Gothic" w:cs="Times New Roman"/>
          <w:i/>
          <w:sz w:val="20"/>
          <w:szCs w:val="20"/>
        </w:rPr>
        <w:t>TEQSA Act 2011</w:t>
      </w:r>
      <w:r w:rsidRPr="00FE78DE">
        <w:rPr>
          <w:rFonts w:ascii="Century Gothic" w:eastAsia="Calibri" w:hAnsi="Century Gothic" w:cs="Times New Roman"/>
          <w:sz w:val="20"/>
          <w:szCs w:val="20"/>
        </w:rPr>
        <w:t xml:space="preserve"> requires a draft of Part B of the Threshold Standards be developed by the HESP. </w:t>
      </w:r>
      <w:hyperlink w:anchor="_Appendix_D." w:history="1">
        <w:r w:rsidRPr="00FE78DE">
          <w:rPr>
            <w:rStyle w:val="Hyperlink"/>
            <w:rFonts w:ascii="Century Gothic" w:hAnsi="Century Gothic"/>
            <w:sz w:val="20"/>
            <w:szCs w:val="20"/>
          </w:rPr>
          <w:t>Appendix D</w:t>
        </w:r>
      </w:hyperlink>
      <w:r w:rsidRPr="00FE78DE">
        <w:rPr>
          <w:rFonts w:ascii="Century Gothic" w:eastAsia="Calibri" w:hAnsi="Century Gothic" w:cs="Times New Roman"/>
          <w:sz w:val="20"/>
          <w:szCs w:val="20"/>
        </w:rPr>
        <w:t xml:space="preserve"> has been provided to assist the HESP with this task. States and Territories are required to be consulted on any changes. </w:t>
      </w:r>
    </w:p>
    <w:p w14:paraId="59F022AC" w14:textId="77777777" w:rsidR="007E113D" w:rsidRPr="00FE78DE" w:rsidRDefault="007E113D" w:rsidP="00D31B9A">
      <w:pPr>
        <w:spacing w:before="0" w:after="0"/>
        <w:rPr>
          <w:rFonts w:ascii="Century Gothic" w:eastAsia="Calibri" w:hAnsi="Century Gothic" w:cs="Times New Roman"/>
          <w:sz w:val="20"/>
          <w:szCs w:val="20"/>
        </w:rPr>
      </w:pPr>
    </w:p>
    <w:p w14:paraId="5FB1B355" w14:textId="51DF3D8A" w:rsidR="00AC7D05" w:rsidRPr="00FE78DE" w:rsidRDefault="00AC7D05"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 xml:space="preserve">Any change to a regulatory framework should allow ample time to amend practices, build capacity to meet changed requirements and introduce a comprehensive communications strategy. This is </w:t>
      </w:r>
      <w:r w:rsidR="00C0392B" w:rsidRPr="00FE78DE">
        <w:rPr>
          <w:rFonts w:ascii="Century Gothic" w:eastAsia="Calibri" w:hAnsi="Century Gothic" w:cs="Times New Roman"/>
          <w:sz w:val="20"/>
          <w:szCs w:val="20"/>
        </w:rPr>
        <w:t>similar to the experience of implementing</w:t>
      </w:r>
      <w:r w:rsidRPr="00FE78DE">
        <w:rPr>
          <w:rFonts w:ascii="Century Gothic" w:eastAsia="Calibri" w:hAnsi="Century Gothic" w:cs="Times New Roman"/>
          <w:sz w:val="20"/>
          <w:szCs w:val="20"/>
        </w:rPr>
        <w:t xml:space="preserve"> the current Threshold Standards</w:t>
      </w:r>
      <w:r w:rsidR="00C0392B" w:rsidRPr="00FE78DE">
        <w:rPr>
          <w:rFonts w:ascii="Century Gothic" w:eastAsia="Calibri" w:hAnsi="Century Gothic" w:cs="Times New Roman"/>
          <w:sz w:val="20"/>
          <w:szCs w:val="20"/>
        </w:rPr>
        <w:t xml:space="preserve">, </w:t>
      </w:r>
      <w:r w:rsidRPr="00FE78DE">
        <w:rPr>
          <w:rFonts w:ascii="Century Gothic" w:eastAsia="Calibri" w:hAnsi="Century Gothic" w:cs="Times New Roman"/>
          <w:sz w:val="20"/>
          <w:szCs w:val="20"/>
        </w:rPr>
        <w:t>where providers were given over one year to build capacity to meet new standards. It is</w:t>
      </w:r>
      <w:r w:rsidR="00C0392B" w:rsidRPr="00FE78DE">
        <w:rPr>
          <w:rFonts w:ascii="Century Gothic" w:eastAsia="Calibri" w:hAnsi="Century Gothic" w:cs="Times New Roman"/>
          <w:sz w:val="20"/>
          <w:szCs w:val="20"/>
        </w:rPr>
        <w:t xml:space="preserve"> therefore</w:t>
      </w:r>
      <w:r w:rsidRPr="00FE78DE">
        <w:rPr>
          <w:rFonts w:ascii="Century Gothic" w:eastAsia="Calibri" w:hAnsi="Century Gothic" w:cs="Times New Roman"/>
          <w:sz w:val="20"/>
          <w:szCs w:val="20"/>
        </w:rPr>
        <w:t xml:space="preserve"> recommended that a similar approach</w:t>
      </w:r>
      <w:r w:rsidR="007E113D" w:rsidRPr="00FE78DE">
        <w:rPr>
          <w:rFonts w:ascii="Century Gothic" w:eastAsia="Calibri" w:hAnsi="Century Gothic" w:cs="Times New Roman"/>
          <w:sz w:val="20"/>
          <w:szCs w:val="20"/>
        </w:rPr>
        <w:t xml:space="preserve"> be taken</w:t>
      </w:r>
      <w:r w:rsidRPr="00FE78DE">
        <w:rPr>
          <w:rFonts w:ascii="Century Gothic" w:eastAsia="Calibri" w:hAnsi="Century Gothic" w:cs="Times New Roman"/>
          <w:sz w:val="20"/>
          <w:szCs w:val="20"/>
        </w:rPr>
        <w:t xml:space="preserve"> to </w:t>
      </w:r>
      <w:r w:rsidR="007E113D" w:rsidRPr="00FE78DE">
        <w:rPr>
          <w:rFonts w:ascii="Century Gothic" w:eastAsia="Calibri" w:hAnsi="Century Gothic" w:cs="Times New Roman"/>
          <w:sz w:val="20"/>
          <w:szCs w:val="20"/>
        </w:rPr>
        <w:t>implement</w:t>
      </w:r>
      <w:r w:rsidRPr="00FE78DE">
        <w:rPr>
          <w:rFonts w:ascii="Century Gothic" w:eastAsia="Calibri" w:hAnsi="Century Gothic" w:cs="Times New Roman"/>
          <w:sz w:val="20"/>
          <w:szCs w:val="20"/>
        </w:rPr>
        <w:t xml:space="preserve"> a revised PCS.</w:t>
      </w:r>
    </w:p>
    <w:p w14:paraId="3F39BD90" w14:textId="4E86E549" w:rsidR="00AC7D05" w:rsidRPr="00FE78DE" w:rsidRDefault="00AC7D05" w:rsidP="00D31B9A">
      <w:pPr>
        <w:spacing w:before="0" w:after="0"/>
        <w:rPr>
          <w:rFonts w:ascii="Century Gothic" w:eastAsia="Calibri" w:hAnsi="Century Gothic" w:cs="Times New Roman"/>
          <w:sz w:val="20"/>
          <w:szCs w:val="20"/>
        </w:rPr>
      </w:pPr>
    </w:p>
    <w:p w14:paraId="281707F3" w14:textId="265D6EBA" w:rsidR="006D4C9E" w:rsidRPr="00730C0D" w:rsidRDefault="00161AE1" w:rsidP="00D31B9A">
      <w:pPr>
        <w:spacing w:before="0" w:after="0"/>
        <w:rPr>
          <w:rFonts w:ascii="Century Gothic" w:eastAsia="Calibri" w:hAnsi="Century Gothic" w:cs="Times New Roman"/>
          <w:sz w:val="20"/>
          <w:szCs w:val="20"/>
        </w:rPr>
      </w:pPr>
      <w:r w:rsidRPr="00FE78DE">
        <w:rPr>
          <w:rFonts w:ascii="Century Gothic" w:eastAsia="Calibri" w:hAnsi="Century Gothic" w:cs="Times New Roman"/>
          <w:sz w:val="20"/>
          <w:szCs w:val="20"/>
        </w:rPr>
        <w:t>If</w:t>
      </w:r>
      <w:r w:rsidR="002130E6" w:rsidRPr="00FE78DE">
        <w:rPr>
          <w:rFonts w:ascii="Century Gothic" w:eastAsia="Calibri" w:hAnsi="Century Gothic" w:cs="Times New Roman"/>
          <w:sz w:val="20"/>
          <w:szCs w:val="20"/>
        </w:rPr>
        <w:t xml:space="preserve"> </w:t>
      </w:r>
      <w:r w:rsidR="00FB485F" w:rsidRPr="00FE78DE">
        <w:rPr>
          <w:rFonts w:ascii="Century Gothic" w:eastAsia="Calibri" w:hAnsi="Century Gothic" w:cs="Times New Roman"/>
          <w:sz w:val="20"/>
          <w:szCs w:val="20"/>
        </w:rPr>
        <w:t>G</w:t>
      </w:r>
      <w:r w:rsidR="002130E6" w:rsidRPr="00FE78DE">
        <w:rPr>
          <w:rFonts w:ascii="Century Gothic" w:eastAsia="Calibri" w:hAnsi="Century Gothic" w:cs="Times New Roman"/>
          <w:sz w:val="20"/>
          <w:szCs w:val="20"/>
        </w:rPr>
        <w:t>overnment implements a revised PCS</w:t>
      </w:r>
      <w:r w:rsidR="00D66D58" w:rsidRPr="00FE78DE">
        <w:rPr>
          <w:rFonts w:ascii="Century Gothic" w:eastAsia="Calibri" w:hAnsi="Century Gothic" w:cs="Times New Roman"/>
          <w:sz w:val="20"/>
          <w:szCs w:val="20"/>
        </w:rPr>
        <w:t>,</w:t>
      </w:r>
      <w:r w:rsidR="003B32D9" w:rsidRPr="00FE78DE">
        <w:rPr>
          <w:rFonts w:ascii="Century Gothic" w:eastAsia="Calibri" w:hAnsi="Century Gothic" w:cs="Times New Roman"/>
          <w:sz w:val="20"/>
          <w:szCs w:val="20"/>
        </w:rPr>
        <w:t xml:space="preserve"> </w:t>
      </w:r>
      <w:r w:rsidR="006D4C9E" w:rsidRPr="00FE78DE">
        <w:rPr>
          <w:rFonts w:ascii="Century Gothic" w:eastAsia="Calibri" w:hAnsi="Century Gothic" w:cs="Times New Roman"/>
          <w:sz w:val="20"/>
          <w:szCs w:val="20"/>
        </w:rPr>
        <w:t>TEQSA</w:t>
      </w:r>
      <w:r w:rsidR="003B32D9" w:rsidRPr="00FE78DE">
        <w:rPr>
          <w:rFonts w:ascii="Century Gothic" w:eastAsia="Calibri" w:hAnsi="Century Gothic" w:cs="Times New Roman"/>
          <w:sz w:val="20"/>
          <w:szCs w:val="20"/>
        </w:rPr>
        <w:t xml:space="preserve"> </w:t>
      </w:r>
      <w:r w:rsidR="002130E6" w:rsidRPr="00FE78DE">
        <w:rPr>
          <w:rFonts w:ascii="Century Gothic" w:eastAsia="Calibri" w:hAnsi="Century Gothic" w:cs="Times New Roman"/>
          <w:sz w:val="20"/>
          <w:szCs w:val="20"/>
        </w:rPr>
        <w:t>would be able to</w:t>
      </w:r>
      <w:r w:rsidR="00B91E74" w:rsidRPr="00FE78DE">
        <w:rPr>
          <w:rFonts w:ascii="Century Gothic" w:eastAsia="Calibri" w:hAnsi="Century Gothic" w:cs="Times New Roman"/>
          <w:sz w:val="20"/>
          <w:szCs w:val="20"/>
        </w:rPr>
        <w:t xml:space="preserve"> register a provider in a</w:t>
      </w:r>
      <w:r w:rsidR="006D4C9E" w:rsidRPr="00FE78DE">
        <w:rPr>
          <w:rFonts w:ascii="Century Gothic" w:eastAsia="Calibri" w:hAnsi="Century Gothic" w:cs="Times New Roman"/>
          <w:sz w:val="20"/>
          <w:szCs w:val="20"/>
        </w:rPr>
        <w:t xml:space="preserve"> </w:t>
      </w:r>
      <w:r w:rsidRPr="00FE78DE">
        <w:rPr>
          <w:rFonts w:ascii="Century Gothic" w:eastAsia="Calibri" w:hAnsi="Century Gothic" w:cs="Times New Roman"/>
          <w:sz w:val="20"/>
          <w:szCs w:val="20"/>
        </w:rPr>
        <w:t xml:space="preserve">particular </w:t>
      </w:r>
      <w:r w:rsidR="006D4C9E" w:rsidRPr="00FE78DE">
        <w:rPr>
          <w:rFonts w:ascii="Century Gothic" w:eastAsia="Calibri" w:hAnsi="Century Gothic" w:cs="Times New Roman"/>
          <w:sz w:val="20"/>
          <w:szCs w:val="20"/>
        </w:rPr>
        <w:t xml:space="preserve">provider category </w:t>
      </w:r>
      <w:r w:rsidR="003B32D9" w:rsidRPr="00FE78DE">
        <w:rPr>
          <w:rFonts w:ascii="Century Gothic" w:eastAsia="Calibri" w:hAnsi="Century Gothic" w:cs="Times New Roman"/>
          <w:sz w:val="20"/>
          <w:szCs w:val="20"/>
        </w:rPr>
        <w:t>either on its own initiative or on</w:t>
      </w:r>
      <w:r w:rsidRPr="00FE78DE">
        <w:rPr>
          <w:rFonts w:ascii="Century Gothic" w:eastAsia="Calibri" w:hAnsi="Century Gothic" w:cs="Times New Roman"/>
          <w:sz w:val="20"/>
          <w:szCs w:val="20"/>
        </w:rPr>
        <w:t xml:space="preserve"> successful</w:t>
      </w:r>
      <w:r w:rsidR="003B32D9" w:rsidRPr="00FE78DE">
        <w:rPr>
          <w:rFonts w:ascii="Century Gothic" w:eastAsia="Calibri" w:hAnsi="Century Gothic" w:cs="Times New Roman"/>
          <w:sz w:val="20"/>
          <w:szCs w:val="20"/>
        </w:rPr>
        <w:t xml:space="preserve"> application by the provider</w:t>
      </w:r>
      <w:r w:rsidRPr="00FE78DE">
        <w:rPr>
          <w:rFonts w:ascii="Century Gothic" w:eastAsia="Calibri" w:hAnsi="Century Gothic" w:cs="Times New Roman"/>
          <w:sz w:val="20"/>
          <w:szCs w:val="20"/>
        </w:rPr>
        <w:t xml:space="preserve"> as set out under Section 38(1) of the </w:t>
      </w:r>
      <w:r w:rsidRPr="00FE78DE">
        <w:rPr>
          <w:rFonts w:ascii="Century Gothic" w:eastAsia="Calibri" w:hAnsi="Century Gothic" w:cs="Times New Roman"/>
          <w:i/>
          <w:sz w:val="20"/>
          <w:szCs w:val="20"/>
        </w:rPr>
        <w:t>TEQSA Act 2011</w:t>
      </w:r>
      <w:r w:rsidR="003B32D9" w:rsidRPr="00FE78DE">
        <w:rPr>
          <w:rFonts w:ascii="Century Gothic" w:eastAsia="Calibri" w:hAnsi="Century Gothic" w:cs="Times New Roman"/>
          <w:sz w:val="20"/>
          <w:szCs w:val="20"/>
        </w:rPr>
        <w:t>. Any change by TEQSA to providers</w:t>
      </w:r>
      <w:r w:rsidR="0073611B" w:rsidRPr="00FE78DE">
        <w:rPr>
          <w:rFonts w:ascii="Century Gothic" w:eastAsia="Calibri" w:hAnsi="Century Gothic" w:cs="Times New Roman"/>
          <w:sz w:val="20"/>
          <w:szCs w:val="20"/>
        </w:rPr>
        <w:t>’</w:t>
      </w:r>
      <w:r w:rsidR="003B32D9" w:rsidRPr="00FE78DE">
        <w:rPr>
          <w:rFonts w:ascii="Century Gothic" w:eastAsia="Calibri" w:hAnsi="Century Gothic" w:cs="Times New Roman"/>
          <w:sz w:val="20"/>
          <w:szCs w:val="20"/>
        </w:rPr>
        <w:t xml:space="preserve"> existing registration in a provider category </w:t>
      </w:r>
      <w:r w:rsidR="002130E6" w:rsidRPr="00FE78DE">
        <w:rPr>
          <w:rFonts w:ascii="Century Gothic" w:eastAsia="Calibri" w:hAnsi="Century Gothic" w:cs="Times New Roman"/>
          <w:sz w:val="20"/>
          <w:szCs w:val="20"/>
        </w:rPr>
        <w:t>should</w:t>
      </w:r>
      <w:r w:rsidR="003B32D9" w:rsidRPr="00FE78DE">
        <w:rPr>
          <w:rFonts w:ascii="Century Gothic" w:eastAsia="Calibri" w:hAnsi="Century Gothic" w:cs="Times New Roman"/>
          <w:sz w:val="20"/>
          <w:szCs w:val="20"/>
        </w:rPr>
        <w:t xml:space="preserve"> be done in consideration of where a provider’s activities and mission</w:t>
      </w:r>
      <w:r w:rsidR="0073611B" w:rsidRPr="00FE78DE">
        <w:rPr>
          <w:rFonts w:ascii="Century Gothic" w:eastAsia="Calibri" w:hAnsi="Century Gothic" w:cs="Times New Roman"/>
          <w:sz w:val="20"/>
          <w:szCs w:val="20"/>
        </w:rPr>
        <w:t>s</w:t>
      </w:r>
      <w:r w:rsidR="003B32D9" w:rsidRPr="00FE78DE">
        <w:rPr>
          <w:rFonts w:ascii="Century Gothic" w:eastAsia="Calibri" w:hAnsi="Century Gothic" w:cs="Times New Roman"/>
          <w:sz w:val="20"/>
          <w:szCs w:val="20"/>
        </w:rPr>
        <w:t xml:space="preserve"> best correlates to criteria in </w:t>
      </w:r>
      <w:r w:rsidR="002130E6" w:rsidRPr="00FE78DE">
        <w:rPr>
          <w:rFonts w:ascii="Century Gothic" w:eastAsia="Calibri" w:hAnsi="Century Gothic" w:cs="Times New Roman"/>
          <w:sz w:val="20"/>
          <w:szCs w:val="20"/>
        </w:rPr>
        <w:t>a</w:t>
      </w:r>
      <w:r w:rsidR="003B32D9" w:rsidRPr="00FE78DE">
        <w:rPr>
          <w:rFonts w:ascii="Century Gothic" w:eastAsia="Calibri" w:hAnsi="Century Gothic" w:cs="Times New Roman"/>
          <w:sz w:val="20"/>
          <w:szCs w:val="20"/>
        </w:rPr>
        <w:t xml:space="preserve"> revised</w:t>
      </w:r>
      <w:r w:rsidR="003B32D9" w:rsidRPr="00730C0D">
        <w:rPr>
          <w:rFonts w:ascii="Century Gothic" w:eastAsia="Calibri" w:hAnsi="Century Gothic" w:cs="Times New Roman"/>
          <w:sz w:val="20"/>
          <w:szCs w:val="20"/>
        </w:rPr>
        <w:t xml:space="preserve"> PCS.  </w:t>
      </w:r>
    </w:p>
    <w:p w14:paraId="252A168E" w14:textId="77777777" w:rsidR="00AC7D05" w:rsidRPr="00730C0D" w:rsidRDefault="00AC7D05" w:rsidP="00D31B9A">
      <w:pPr>
        <w:spacing w:before="0" w:after="0"/>
        <w:rPr>
          <w:rFonts w:ascii="Century Gothic" w:hAnsi="Century Gothic"/>
          <w:sz w:val="20"/>
          <w:szCs w:val="20"/>
        </w:rPr>
      </w:pPr>
    </w:p>
    <w:p w14:paraId="7302C8C3" w14:textId="77777777" w:rsidR="00266D9C" w:rsidRPr="00730C0D" w:rsidRDefault="00266D9C">
      <w:pPr>
        <w:spacing w:before="0" w:after="160"/>
        <w:rPr>
          <w:rFonts w:ascii="Century Gothic" w:eastAsiaTheme="majorEastAsia" w:hAnsi="Century Gothic" w:cstheme="majorBidi"/>
          <w:color w:val="2763AC"/>
          <w:sz w:val="20"/>
          <w:szCs w:val="20"/>
        </w:rPr>
      </w:pPr>
      <w:bookmarkStart w:id="100" w:name="_Toc12615366"/>
      <w:bookmarkStart w:id="101" w:name="_Toc530395121"/>
      <w:r w:rsidRPr="00730C0D">
        <w:rPr>
          <w:rFonts w:ascii="Century Gothic" w:hAnsi="Century Gothic"/>
          <w:color w:val="2763AC"/>
          <w:sz w:val="20"/>
          <w:szCs w:val="20"/>
        </w:rPr>
        <w:br w:type="page"/>
      </w:r>
    </w:p>
    <w:p w14:paraId="6FED1F6E" w14:textId="576679DC" w:rsidR="00CD7C81" w:rsidRPr="00730C0D" w:rsidRDefault="001A2D71" w:rsidP="003A178A">
      <w:pPr>
        <w:pStyle w:val="Heading1"/>
      </w:pPr>
      <w:bookmarkStart w:id="102" w:name="_Glossary_and_Definitions"/>
      <w:bookmarkStart w:id="103" w:name="_Toc18592360"/>
      <w:bookmarkEnd w:id="102"/>
      <w:r w:rsidRPr="00730C0D">
        <w:rPr>
          <w:b/>
          <w:noProof/>
          <w:sz w:val="52"/>
          <w:szCs w:val="52"/>
          <w:lang w:eastAsia="en-AU"/>
        </w:rPr>
        <mc:AlternateContent>
          <mc:Choice Requires="wps">
            <w:drawing>
              <wp:anchor distT="0" distB="0" distL="114300" distR="114300" simplePos="0" relativeHeight="251681792" behindDoc="0" locked="0" layoutInCell="1" allowOverlap="1" wp14:anchorId="5A1456C3" wp14:editId="591FD029">
                <wp:simplePos x="0" y="0"/>
                <wp:positionH relativeFrom="column">
                  <wp:posOffset>-47625</wp:posOffset>
                </wp:positionH>
                <wp:positionV relativeFrom="paragraph">
                  <wp:posOffset>419100</wp:posOffset>
                </wp:positionV>
                <wp:extent cx="7143750" cy="0"/>
                <wp:effectExtent l="0" t="0" r="19050" b="19050"/>
                <wp:wrapNone/>
                <wp:docPr id="41" name="Straight Connector 41"/>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2BE06" id="Straight Connector 41"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3pt" to="558.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" strokecolor="black [3213]" strokeweight=".5pt">
                <v:stroke joinstyle="miter"/>
              </v:line>
            </w:pict>
          </mc:Fallback>
        </mc:AlternateContent>
      </w:r>
      <w:r w:rsidR="00CD7C81" w:rsidRPr="00730C0D">
        <w:t>Glossary and Definitions</w:t>
      </w:r>
      <w:bookmarkEnd w:id="100"/>
      <w:bookmarkEnd w:id="103"/>
      <w:r w:rsidR="00CD7C81" w:rsidRPr="00730C0D">
        <w:t xml:space="preserve"> </w:t>
      </w:r>
      <w:bookmarkEnd w:id="101"/>
    </w:p>
    <w:p w14:paraId="76DBAAA1" w14:textId="71F4CCEC" w:rsidR="00CD7C81" w:rsidRPr="00730C0D" w:rsidRDefault="00CD7C81" w:rsidP="00D31B9A">
      <w:pPr>
        <w:spacing w:before="0" w:after="0"/>
        <w:rPr>
          <w:rFonts w:ascii="Century Gothic" w:hAnsi="Century Gothic"/>
          <w:sz w:val="20"/>
          <w:szCs w:val="20"/>
        </w:rPr>
      </w:pPr>
    </w:p>
    <w:p w14:paraId="089A5525" w14:textId="77777777" w:rsidR="00C86660" w:rsidRPr="00730C0D" w:rsidRDefault="00C86660" w:rsidP="00D31B9A">
      <w:pPr>
        <w:spacing w:before="0" w:after="0"/>
        <w:rPr>
          <w:rFonts w:ascii="Century Gothic" w:hAnsi="Century Gothic"/>
          <w:sz w:val="20"/>
          <w:szCs w:val="20"/>
        </w:rPr>
      </w:pP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659"/>
      </w:tblGrid>
      <w:tr w:rsidR="00CD7C81" w:rsidRPr="00730C0D" w14:paraId="440A39A0" w14:textId="77777777" w:rsidTr="00CD7C81">
        <w:trPr>
          <w:cnfStyle w:val="100000000000" w:firstRow="1" w:lastRow="0" w:firstColumn="0" w:lastColumn="0" w:oddVBand="0" w:evenVBand="0" w:oddHBand="0" w:evenHBand="0" w:firstRowFirstColumn="0" w:firstRowLastColumn="0" w:lastRowFirstColumn="0" w:lastRowLastColumn="0"/>
        </w:trPr>
        <w:tc>
          <w:tcPr>
            <w:tcW w:w="1980" w:type="dxa"/>
            <w:tcBorders>
              <w:bottom w:val="single" w:sz="4" w:space="0" w:color="auto"/>
            </w:tcBorders>
            <w:vAlign w:val="top"/>
          </w:tcPr>
          <w:p w14:paraId="642DE370" w14:textId="77777777" w:rsidR="00CD7C81" w:rsidRPr="00730C0D" w:rsidRDefault="00CD7C81" w:rsidP="003559AE">
            <w:pPr>
              <w:spacing w:before="0" w:after="0"/>
              <w:rPr>
                <w:rFonts w:ascii="Century Gothic" w:hAnsi="Century Gothic"/>
                <w:sz w:val="20"/>
                <w:szCs w:val="20"/>
              </w:rPr>
            </w:pPr>
            <w:r w:rsidRPr="00730C0D">
              <w:rPr>
                <w:rFonts w:ascii="Century Gothic" w:hAnsi="Century Gothic"/>
                <w:sz w:val="20"/>
                <w:szCs w:val="20"/>
              </w:rPr>
              <w:t>Term</w:t>
            </w:r>
          </w:p>
        </w:tc>
        <w:tc>
          <w:tcPr>
            <w:tcW w:w="7659" w:type="dxa"/>
            <w:tcBorders>
              <w:bottom w:val="single" w:sz="4" w:space="0" w:color="auto"/>
            </w:tcBorders>
            <w:vAlign w:val="top"/>
          </w:tcPr>
          <w:p w14:paraId="4F7B30C1" w14:textId="6B83B450" w:rsidR="00CD7C81" w:rsidRPr="00730C0D" w:rsidRDefault="00CD7C81" w:rsidP="003559AE">
            <w:pPr>
              <w:spacing w:before="0" w:after="0"/>
              <w:rPr>
                <w:rFonts w:ascii="Century Gothic" w:hAnsi="Century Gothic"/>
                <w:sz w:val="20"/>
                <w:szCs w:val="20"/>
              </w:rPr>
            </w:pPr>
            <w:r w:rsidRPr="00730C0D">
              <w:rPr>
                <w:rFonts w:ascii="Century Gothic" w:hAnsi="Century Gothic"/>
                <w:sz w:val="20"/>
                <w:szCs w:val="20"/>
              </w:rPr>
              <w:t>Definition</w:t>
            </w:r>
          </w:p>
        </w:tc>
      </w:tr>
      <w:tr w:rsidR="00C8711D" w:rsidRPr="00730C0D" w14:paraId="25A8C00F" w14:textId="77777777" w:rsidTr="00C8711D">
        <w:tc>
          <w:tcPr>
            <w:tcW w:w="1980" w:type="dxa"/>
            <w:tcBorders>
              <w:top w:val="single" w:sz="4" w:space="0" w:color="auto"/>
            </w:tcBorders>
            <w:vAlign w:val="top"/>
          </w:tcPr>
          <w:p w14:paraId="57517CF9" w14:textId="77777777" w:rsidR="00C8711D" w:rsidRPr="00730C0D" w:rsidRDefault="00C8711D" w:rsidP="00C8711D">
            <w:pPr>
              <w:spacing w:before="0" w:after="0"/>
              <w:rPr>
                <w:rFonts w:ascii="Century Gothic" w:hAnsi="Century Gothic"/>
                <w:b/>
                <w:sz w:val="20"/>
                <w:szCs w:val="20"/>
              </w:rPr>
            </w:pPr>
            <w:r w:rsidRPr="00730C0D">
              <w:rPr>
                <w:rFonts w:ascii="Century Gothic" w:hAnsi="Century Gothic"/>
                <w:b/>
                <w:sz w:val="20"/>
                <w:szCs w:val="20"/>
              </w:rPr>
              <w:t>Australian Skills Quality Authority (ASQA)</w:t>
            </w:r>
          </w:p>
        </w:tc>
        <w:tc>
          <w:tcPr>
            <w:tcW w:w="7659" w:type="dxa"/>
            <w:tcBorders>
              <w:top w:val="single" w:sz="4" w:space="0" w:color="auto"/>
            </w:tcBorders>
            <w:vAlign w:val="top"/>
          </w:tcPr>
          <w:p w14:paraId="6C345218" w14:textId="77777777" w:rsidR="00C8711D" w:rsidRPr="00730C0D" w:rsidRDefault="00C8711D" w:rsidP="00C8711D">
            <w:pPr>
              <w:spacing w:before="0" w:after="0"/>
              <w:rPr>
                <w:rFonts w:ascii="Century Gothic" w:hAnsi="Century Gothic"/>
                <w:sz w:val="20"/>
                <w:szCs w:val="20"/>
              </w:rPr>
            </w:pPr>
            <w:r w:rsidRPr="00730C0D">
              <w:rPr>
                <w:rFonts w:ascii="Century Gothic" w:hAnsi="Century Gothic"/>
                <w:sz w:val="20"/>
                <w:szCs w:val="20"/>
              </w:rPr>
              <w:t>The Australian Skills Quality Authority (ASQA) is the national regulator for Australia’s vocational education and training sector. ASQA regulates courses and training providers to ensure nationally-approved quality standards are met.</w:t>
            </w:r>
          </w:p>
          <w:p w14:paraId="2E3E434E" w14:textId="77777777" w:rsidR="00C8711D" w:rsidRPr="00730C0D" w:rsidRDefault="00C8711D" w:rsidP="00C8711D">
            <w:pPr>
              <w:spacing w:before="0" w:after="0"/>
              <w:rPr>
                <w:rFonts w:ascii="Century Gothic" w:hAnsi="Century Gothic"/>
                <w:sz w:val="20"/>
                <w:szCs w:val="20"/>
              </w:rPr>
            </w:pPr>
          </w:p>
        </w:tc>
      </w:tr>
      <w:tr w:rsidR="00C8711D" w:rsidRPr="00730C0D" w14:paraId="54396657" w14:textId="77777777" w:rsidTr="00C8711D">
        <w:tc>
          <w:tcPr>
            <w:tcW w:w="1980" w:type="dxa"/>
            <w:vAlign w:val="top"/>
          </w:tcPr>
          <w:p w14:paraId="55DCC62E" w14:textId="77777777" w:rsidR="00C8711D" w:rsidRPr="00730C0D" w:rsidRDefault="00C8711D" w:rsidP="00C8711D">
            <w:pPr>
              <w:spacing w:before="0" w:after="0" w:line="259" w:lineRule="auto"/>
              <w:rPr>
                <w:rFonts w:ascii="Century Gothic" w:hAnsi="Century Gothic"/>
                <w:b/>
                <w:sz w:val="20"/>
                <w:szCs w:val="20"/>
              </w:rPr>
            </w:pPr>
            <w:r w:rsidRPr="00730C0D">
              <w:rPr>
                <w:rFonts w:ascii="Century Gothic" w:hAnsi="Century Gothic"/>
                <w:b/>
                <w:sz w:val="20"/>
                <w:szCs w:val="20"/>
              </w:rPr>
              <w:t>Australian Qualifications Framework (AQF)</w:t>
            </w:r>
          </w:p>
        </w:tc>
        <w:tc>
          <w:tcPr>
            <w:tcW w:w="7659" w:type="dxa"/>
            <w:vAlign w:val="top"/>
          </w:tcPr>
          <w:p w14:paraId="11ABBE89" w14:textId="696D91A9" w:rsidR="00C8711D" w:rsidRPr="00730C0D" w:rsidRDefault="00C8711D" w:rsidP="00C8711D">
            <w:pPr>
              <w:spacing w:before="0" w:after="0" w:line="259" w:lineRule="auto"/>
              <w:rPr>
                <w:rFonts w:ascii="Century Gothic" w:hAnsi="Century Gothic"/>
                <w:sz w:val="20"/>
                <w:szCs w:val="20"/>
              </w:rPr>
            </w:pPr>
            <w:r w:rsidRPr="00730C0D">
              <w:rPr>
                <w:rFonts w:ascii="Century Gothic" w:hAnsi="Century Gothic"/>
                <w:sz w:val="20"/>
                <w:szCs w:val="20"/>
              </w:rPr>
              <w:t xml:space="preserve">The </w:t>
            </w:r>
            <w:r w:rsidR="00782546" w:rsidRPr="00730C0D">
              <w:rPr>
                <w:rFonts w:ascii="Century Gothic" w:hAnsi="Century Gothic"/>
                <w:sz w:val="20"/>
                <w:szCs w:val="20"/>
              </w:rPr>
              <w:t xml:space="preserve">Australian Qualifications Framework (AQF) </w:t>
            </w:r>
            <w:r w:rsidRPr="00730C0D">
              <w:rPr>
                <w:rFonts w:ascii="Century Gothic" w:hAnsi="Century Gothic"/>
                <w:sz w:val="20"/>
                <w:szCs w:val="20"/>
              </w:rPr>
              <w:t>is the national policy for regulated qualifications in Australian education and training. It incorporates the qualifications from each education and training sector (higher education, vocational education, and school education) into a single comprehensive national qualifications framework. It provides for national recognition and a consistent understanding of what defines each qualification type.</w:t>
            </w:r>
          </w:p>
          <w:p w14:paraId="04B94FDC" w14:textId="77777777" w:rsidR="00C8711D" w:rsidRPr="00730C0D" w:rsidRDefault="00C8711D" w:rsidP="00C8711D">
            <w:pPr>
              <w:spacing w:before="0" w:after="0" w:line="259" w:lineRule="auto"/>
              <w:rPr>
                <w:rFonts w:ascii="Century Gothic" w:hAnsi="Century Gothic"/>
                <w:sz w:val="20"/>
                <w:szCs w:val="20"/>
              </w:rPr>
            </w:pPr>
          </w:p>
        </w:tc>
      </w:tr>
      <w:tr w:rsidR="00400C53" w:rsidRPr="00730C0D" w14:paraId="34376CE0" w14:textId="77777777" w:rsidTr="00C8711D">
        <w:tc>
          <w:tcPr>
            <w:tcW w:w="1980" w:type="dxa"/>
            <w:vAlign w:val="top"/>
          </w:tcPr>
          <w:p w14:paraId="163B9B92" w14:textId="34A642A7"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Civic leadership</w:t>
            </w:r>
          </w:p>
        </w:tc>
        <w:tc>
          <w:tcPr>
            <w:tcW w:w="7659" w:type="dxa"/>
            <w:vAlign w:val="top"/>
          </w:tcPr>
          <w:p w14:paraId="6957D5C9" w14:textId="2B79F429"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Civic leadership involves leading the facilitation and adoption of positive contributions to</w:t>
            </w:r>
            <w:r w:rsidR="00782546" w:rsidRPr="00730C0D">
              <w:rPr>
                <w:rFonts w:ascii="Century Gothic" w:hAnsi="Century Gothic"/>
                <w:sz w:val="20"/>
                <w:szCs w:val="20"/>
              </w:rPr>
              <w:t>, an</w:t>
            </w:r>
            <w:r w:rsidRPr="00730C0D">
              <w:rPr>
                <w:rFonts w:ascii="Century Gothic" w:hAnsi="Century Gothic"/>
                <w:sz w:val="20"/>
                <w:szCs w:val="20"/>
              </w:rPr>
              <w:t>d change within</w:t>
            </w:r>
            <w:r w:rsidR="00782546" w:rsidRPr="00730C0D">
              <w:rPr>
                <w:rFonts w:ascii="Century Gothic" w:hAnsi="Century Gothic"/>
                <w:sz w:val="20"/>
                <w:szCs w:val="20"/>
              </w:rPr>
              <w:t>,</w:t>
            </w:r>
            <w:r w:rsidRPr="00730C0D">
              <w:rPr>
                <w:rFonts w:ascii="Century Gothic" w:hAnsi="Century Gothic"/>
                <w:sz w:val="20"/>
                <w:szCs w:val="20"/>
              </w:rPr>
              <w:t xml:space="preserve"> society. It includes understanding the needs and priorities of local communities, recognising the long-term benefits to society of university activities, including research and scholarship, and contributing to social transformation and development.</w:t>
            </w:r>
          </w:p>
          <w:p w14:paraId="07CBE5B1" w14:textId="77777777" w:rsidR="00400C53" w:rsidRPr="00730C0D" w:rsidRDefault="00400C53" w:rsidP="00400C53">
            <w:pPr>
              <w:spacing w:before="0" w:after="0"/>
              <w:rPr>
                <w:rFonts w:ascii="Century Gothic" w:hAnsi="Century Gothic"/>
                <w:sz w:val="20"/>
                <w:szCs w:val="20"/>
              </w:rPr>
            </w:pPr>
          </w:p>
        </w:tc>
      </w:tr>
      <w:tr w:rsidR="00400C53" w:rsidRPr="00730C0D" w14:paraId="467E9716" w14:textId="77777777" w:rsidTr="00CD7C81">
        <w:tc>
          <w:tcPr>
            <w:tcW w:w="1980" w:type="dxa"/>
            <w:vAlign w:val="top"/>
          </w:tcPr>
          <w:p w14:paraId="3917F305"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Commonwealth supported place (CSP)</w:t>
            </w:r>
          </w:p>
          <w:p w14:paraId="66D2D15E" w14:textId="77777777" w:rsidR="00400C53" w:rsidRPr="00730C0D" w:rsidRDefault="00400C53" w:rsidP="00400C53">
            <w:pPr>
              <w:spacing w:before="0" w:after="0" w:line="259" w:lineRule="auto"/>
              <w:rPr>
                <w:rFonts w:ascii="Century Gothic" w:hAnsi="Century Gothic"/>
                <w:sz w:val="20"/>
                <w:szCs w:val="20"/>
              </w:rPr>
            </w:pPr>
          </w:p>
        </w:tc>
        <w:tc>
          <w:tcPr>
            <w:tcW w:w="7659" w:type="dxa"/>
            <w:vAlign w:val="top"/>
          </w:tcPr>
          <w:p w14:paraId="40B6F916" w14:textId="3EA7BB4E" w:rsidR="00400C53" w:rsidRPr="00730C0D" w:rsidRDefault="00782546" w:rsidP="00DC63B5">
            <w:pPr>
              <w:spacing w:before="0" w:after="0" w:line="259" w:lineRule="auto"/>
              <w:rPr>
                <w:rFonts w:ascii="Century Gothic" w:hAnsi="Century Gothic"/>
                <w:sz w:val="20"/>
                <w:szCs w:val="20"/>
              </w:rPr>
            </w:pPr>
            <w:r w:rsidRPr="00730C0D">
              <w:rPr>
                <w:rFonts w:ascii="Century Gothic" w:hAnsi="Century Gothic"/>
                <w:sz w:val="20"/>
                <w:szCs w:val="20"/>
              </w:rPr>
              <w:t>A Commonwealth supported place (CSP) is a</w:t>
            </w:r>
            <w:r w:rsidR="00400C53" w:rsidRPr="00730C0D">
              <w:rPr>
                <w:rFonts w:ascii="Century Gothic" w:hAnsi="Century Gothic"/>
                <w:sz w:val="20"/>
                <w:szCs w:val="20"/>
              </w:rPr>
              <w:t xml:space="preserve"> higher education place which is </w:t>
            </w:r>
            <w:r w:rsidR="00DC63B5">
              <w:rPr>
                <w:rFonts w:ascii="Century Gothic" w:hAnsi="Century Gothic"/>
                <w:sz w:val="20"/>
                <w:szCs w:val="20"/>
              </w:rPr>
              <w:t>subsidised</w:t>
            </w:r>
            <w:r w:rsidR="00400C53" w:rsidRPr="00730C0D">
              <w:rPr>
                <w:rFonts w:ascii="Century Gothic" w:hAnsi="Century Gothic"/>
                <w:sz w:val="20"/>
                <w:szCs w:val="20"/>
              </w:rPr>
              <w:t xml:space="preserve"> by the Commonwealth Government through the Commonwealth Grant Scheme (CGS). Previously called a ‘HECS’ place.</w:t>
            </w:r>
          </w:p>
        </w:tc>
      </w:tr>
      <w:tr w:rsidR="00400C53" w:rsidRPr="00730C0D" w14:paraId="0FB2649C" w14:textId="77777777" w:rsidTr="00CD7C81">
        <w:tc>
          <w:tcPr>
            <w:tcW w:w="1980" w:type="dxa"/>
            <w:vAlign w:val="top"/>
          </w:tcPr>
          <w:p w14:paraId="0176F585" w14:textId="77777777"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Commonwealth Register of Institutions and Courses for Overseas Students (CRICOS)</w:t>
            </w:r>
          </w:p>
        </w:tc>
        <w:tc>
          <w:tcPr>
            <w:tcW w:w="7659" w:type="dxa"/>
            <w:vAlign w:val="top"/>
          </w:tcPr>
          <w:p w14:paraId="4BB5B094" w14:textId="06282845" w:rsidR="00400C53" w:rsidRPr="00730C0D" w:rsidRDefault="00782546" w:rsidP="00400C53">
            <w:pPr>
              <w:spacing w:before="0" w:after="0"/>
              <w:rPr>
                <w:rFonts w:ascii="Century Gothic" w:hAnsi="Century Gothic"/>
                <w:sz w:val="20"/>
                <w:szCs w:val="20"/>
              </w:rPr>
            </w:pPr>
            <w:r w:rsidRPr="00730C0D">
              <w:rPr>
                <w:rFonts w:ascii="Century Gothic" w:hAnsi="Century Gothic"/>
                <w:sz w:val="20"/>
                <w:szCs w:val="20"/>
              </w:rPr>
              <w:t xml:space="preserve">The Commonwealth Register of Institutions and Courses for Overseas Students (CRICOS) </w:t>
            </w:r>
            <w:r w:rsidR="00400C53" w:rsidRPr="00730C0D">
              <w:rPr>
                <w:rFonts w:ascii="Century Gothic" w:hAnsi="Century Gothic"/>
                <w:sz w:val="20"/>
                <w:szCs w:val="20"/>
              </w:rPr>
              <w:t xml:space="preserve">is the official Australian Government website that </w:t>
            </w:r>
            <w:r w:rsidRPr="00730C0D">
              <w:rPr>
                <w:rFonts w:ascii="Century Gothic" w:hAnsi="Century Gothic"/>
                <w:sz w:val="20"/>
                <w:szCs w:val="20"/>
              </w:rPr>
              <w:t xml:space="preserve">provides </w:t>
            </w:r>
            <w:r w:rsidR="00400C53" w:rsidRPr="00730C0D">
              <w:rPr>
                <w:rFonts w:ascii="Century Gothic" w:hAnsi="Century Gothic"/>
                <w:sz w:val="20"/>
                <w:szCs w:val="20"/>
              </w:rPr>
              <w:t xml:space="preserve">details of Australian education </w:t>
            </w:r>
            <w:r w:rsidRPr="00730C0D">
              <w:rPr>
                <w:rFonts w:ascii="Century Gothic" w:hAnsi="Century Gothic"/>
                <w:sz w:val="20"/>
                <w:szCs w:val="20"/>
              </w:rPr>
              <w:t xml:space="preserve">providers </w:t>
            </w:r>
            <w:r w:rsidR="00400C53" w:rsidRPr="00730C0D">
              <w:rPr>
                <w:rFonts w:ascii="Century Gothic" w:hAnsi="Century Gothic"/>
                <w:sz w:val="20"/>
                <w:szCs w:val="20"/>
              </w:rPr>
              <w:t>approved to recruit, enrol</w:t>
            </w:r>
            <w:r w:rsidRPr="00730C0D">
              <w:rPr>
                <w:rFonts w:ascii="Century Gothic" w:hAnsi="Century Gothic"/>
                <w:sz w:val="20"/>
                <w:szCs w:val="20"/>
              </w:rPr>
              <w:t>,</w:t>
            </w:r>
            <w:r w:rsidR="00400C53" w:rsidRPr="00730C0D">
              <w:rPr>
                <w:rFonts w:ascii="Century Gothic" w:hAnsi="Century Gothic"/>
                <w:sz w:val="20"/>
                <w:szCs w:val="20"/>
              </w:rPr>
              <w:t xml:space="preserve"> and deliver education and training services to overseas students and details of the courses that they deliver. The database can be searched by course or provider name/number and can be accessed at </w:t>
            </w:r>
            <w:hyperlink r:id="rId37" w:history="1">
              <w:r w:rsidR="00400C53" w:rsidRPr="00730C0D">
                <w:rPr>
                  <w:rStyle w:val="Hyperlink"/>
                  <w:rFonts w:ascii="Century Gothic" w:hAnsi="Century Gothic"/>
                  <w:sz w:val="20"/>
                  <w:szCs w:val="20"/>
                </w:rPr>
                <w:t>http://cricos.education.gov.au</w:t>
              </w:r>
            </w:hyperlink>
            <w:r w:rsidR="00400C53" w:rsidRPr="00730C0D">
              <w:rPr>
                <w:rFonts w:ascii="Century Gothic" w:hAnsi="Century Gothic"/>
                <w:sz w:val="20"/>
                <w:szCs w:val="20"/>
              </w:rPr>
              <w:t xml:space="preserve">. </w:t>
            </w:r>
          </w:p>
          <w:p w14:paraId="1443FFA0" w14:textId="77777777" w:rsidR="00400C53" w:rsidRPr="00730C0D" w:rsidRDefault="00400C53" w:rsidP="00400C53">
            <w:pPr>
              <w:spacing w:before="0" w:after="0"/>
              <w:rPr>
                <w:rFonts w:ascii="Century Gothic" w:hAnsi="Century Gothic"/>
                <w:sz w:val="20"/>
                <w:szCs w:val="20"/>
              </w:rPr>
            </w:pPr>
          </w:p>
        </w:tc>
      </w:tr>
      <w:tr w:rsidR="00400C53" w:rsidRPr="00730C0D" w14:paraId="6956B205" w14:textId="77777777" w:rsidTr="00CD7C81">
        <w:tc>
          <w:tcPr>
            <w:tcW w:w="1980" w:type="dxa"/>
            <w:vAlign w:val="top"/>
          </w:tcPr>
          <w:p w14:paraId="49CA7316" w14:textId="707AD40C" w:rsidR="00400C53" w:rsidRPr="00730C0D" w:rsidRDefault="00400C53" w:rsidP="00DC63B5">
            <w:pPr>
              <w:spacing w:before="0" w:after="0" w:line="259" w:lineRule="auto"/>
              <w:rPr>
                <w:rFonts w:ascii="Century Gothic" w:hAnsi="Century Gothic"/>
                <w:b/>
                <w:sz w:val="20"/>
                <w:szCs w:val="20"/>
              </w:rPr>
            </w:pPr>
            <w:r w:rsidRPr="00730C0D">
              <w:rPr>
                <w:rFonts w:ascii="Century Gothic" w:hAnsi="Century Gothic"/>
                <w:b/>
                <w:sz w:val="20"/>
                <w:szCs w:val="20"/>
              </w:rPr>
              <w:t xml:space="preserve">Dual sector </w:t>
            </w:r>
            <w:r w:rsidR="00DC63B5">
              <w:rPr>
                <w:rFonts w:ascii="Century Gothic" w:hAnsi="Century Gothic"/>
                <w:b/>
                <w:sz w:val="20"/>
                <w:szCs w:val="20"/>
              </w:rPr>
              <w:t>provider</w:t>
            </w:r>
          </w:p>
        </w:tc>
        <w:tc>
          <w:tcPr>
            <w:tcW w:w="7659" w:type="dxa"/>
            <w:vAlign w:val="top"/>
          </w:tcPr>
          <w:p w14:paraId="76ADF898" w14:textId="570108E0" w:rsidR="00400C53" w:rsidRPr="00730C0D" w:rsidRDefault="00782546" w:rsidP="00400C53">
            <w:pPr>
              <w:spacing w:before="0" w:after="0" w:line="259" w:lineRule="auto"/>
              <w:rPr>
                <w:rFonts w:ascii="Century Gothic" w:hAnsi="Century Gothic"/>
                <w:sz w:val="20"/>
                <w:szCs w:val="20"/>
              </w:rPr>
            </w:pPr>
            <w:r w:rsidRPr="00730C0D">
              <w:rPr>
                <w:rFonts w:ascii="Century Gothic" w:hAnsi="Century Gothic"/>
                <w:sz w:val="20"/>
                <w:szCs w:val="20"/>
              </w:rPr>
              <w:t>Dual sector p</w:t>
            </w:r>
            <w:r w:rsidR="00400C53" w:rsidRPr="00730C0D">
              <w:rPr>
                <w:rFonts w:ascii="Century Gothic" w:hAnsi="Century Gothic"/>
                <w:sz w:val="20"/>
                <w:szCs w:val="20"/>
              </w:rPr>
              <w:t xml:space="preserve">roviders are registered with both </w:t>
            </w:r>
            <w:r w:rsidR="00DC63B5">
              <w:rPr>
                <w:rFonts w:ascii="Century Gothic" w:hAnsi="Century Gothic"/>
                <w:sz w:val="20"/>
                <w:szCs w:val="20"/>
              </w:rPr>
              <w:t xml:space="preserve">the </w:t>
            </w:r>
            <w:r w:rsidRPr="00730C0D">
              <w:rPr>
                <w:rFonts w:ascii="Century Gothic" w:hAnsi="Century Gothic"/>
                <w:sz w:val="20"/>
                <w:szCs w:val="20"/>
              </w:rPr>
              <w:t xml:space="preserve">Tertiary Education Quality and Standards Agency (TEQSA) </w:t>
            </w:r>
            <w:r w:rsidR="00400C53" w:rsidRPr="00730C0D">
              <w:rPr>
                <w:rFonts w:ascii="Century Gothic" w:hAnsi="Century Gothic"/>
                <w:sz w:val="20"/>
                <w:szCs w:val="20"/>
              </w:rPr>
              <w:t xml:space="preserve">and </w:t>
            </w:r>
            <w:r w:rsidRPr="00730C0D">
              <w:rPr>
                <w:rFonts w:ascii="Century Gothic" w:hAnsi="Century Gothic"/>
                <w:sz w:val="20"/>
                <w:szCs w:val="20"/>
              </w:rPr>
              <w:t>the Australian Skills Quality Authority (ASQA)</w:t>
            </w:r>
            <w:r w:rsidR="004C6D3D" w:rsidRPr="00730C0D">
              <w:rPr>
                <w:rFonts w:ascii="Century Gothic" w:hAnsi="Century Gothic"/>
                <w:sz w:val="20"/>
                <w:szCs w:val="20"/>
              </w:rPr>
              <w:t xml:space="preserve"> (or in some cases a state regulator)</w:t>
            </w:r>
            <w:r w:rsidRPr="00730C0D">
              <w:rPr>
                <w:rFonts w:ascii="Century Gothic" w:hAnsi="Century Gothic"/>
                <w:sz w:val="20"/>
                <w:szCs w:val="20"/>
              </w:rPr>
              <w:t xml:space="preserve"> </w:t>
            </w:r>
            <w:r w:rsidR="00400C53" w:rsidRPr="00730C0D">
              <w:rPr>
                <w:rFonts w:ascii="Century Gothic" w:hAnsi="Century Gothic"/>
                <w:sz w:val="20"/>
                <w:szCs w:val="20"/>
              </w:rPr>
              <w:t xml:space="preserve">and offer both higher education and vocational education courses. </w:t>
            </w:r>
          </w:p>
          <w:p w14:paraId="0B26C4C0"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32015171" w14:textId="77777777" w:rsidTr="00B73BFE">
        <w:tc>
          <w:tcPr>
            <w:tcW w:w="1980" w:type="dxa"/>
            <w:vAlign w:val="top"/>
          </w:tcPr>
          <w:p w14:paraId="708B0DFA" w14:textId="43E72C2E"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Excellence in Research for Australia (ERA)</w:t>
            </w:r>
            <w:r w:rsidRPr="00730C0D">
              <w:rPr>
                <w:rFonts w:ascii="Century Gothic" w:hAnsi="Century Gothic"/>
                <w:b/>
                <w:sz w:val="20"/>
                <w:szCs w:val="20"/>
              </w:rPr>
              <w:br/>
            </w:r>
          </w:p>
        </w:tc>
        <w:tc>
          <w:tcPr>
            <w:tcW w:w="7659" w:type="dxa"/>
            <w:vAlign w:val="top"/>
          </w:tcPr>
          <w:p w14:paraId="598AAC45" w14:textId="567ABFCA" w:rsidR="00400C53" w:rsidRPr="00730C0D" w:rsidRDefault="00400C53" w:rsidP="00400C53">
            <w:pPr>
              <w:spacing w:before="0" w:after="0"/>
              <w:rPr>
                <w:rFonts w:ascii="Century Gothic" w:hAnsi="Century Gothic"/>
                <w:sz w:val="20"/>
                <w:szCs w:val="20"/>
                <w:lang w:val="en"/>
              </w:rPr>
            </w:pPr>
            <w:r w:rsidRPr="00730C0D">
              <w:rPr>
                <w:rFonts w:ascii="Century Gothic" w:hAnsi="Century Gothic"/>
                <w:sz w:val="20"/>
                <w:szCs w:val="20"/>
              </w:rPr>
              <w:t xml:space="preserve">The Australian Research Council (ARC) is responsible for administering Excellence in Research for Australia (ERA). </w:t>
            </w:r>
            <w:r w:rsidRPr="00730C0D">
              <w:rPr>
                <w:rFonts w:ascii="Century Gothic" w:hAnsi="Century Gothic"/>
                <w:sz w:val="20"/>
                <w:szCs w:val="20"/>
                <w:lang w:val="en"/>
              </w:rPr>
              <w:t>Through ERA the ARC is tasked with identifying excellence in research by comparing Australia's university research effort</w:t>
            </w:r>
            <w:r w:rsidR="00782546" w:rsidRPr="00730C0D">
              <w:rPr>
                <w:rFonts w:ascii="Century Gothic" w:hAnsi="Century Gothic"/>
                <w:sz w:val="20"/>
                <w:szCs w:val="20"/>
                <w:lang w:val="en"/>
              </w:rPr>
              <w:t>s</w:t>
            </w:r>
            <w:r w:rsidRPr="00730C0D">
              <w:rPr>
                <w:rFonts w:ascii="Century Gothic" w:hAnsi="Century Gothic"/>
                <w:sz w:val="20"/>
                <w:szCs w:val="20"/>
                <w:lang w:val="en"/>
              </w:rPr>
              <w:t xml:space="preserve"> against international benchmarks, creating incentives to improve the quality of research</w:t>
            </w:r>
            <w:r w:rsidR="00782546" w:rsidRPr="00730C0D">
              <w:rPr>
                <w:rFonts w:ascii="Century Gothic" w:hAnsi="Century Gothic"/>
                <w:sz w:val="20"/>
                <w:szCs w:val="20"/>
                <w:lang w:val="en"/>
              </w:rPr>
              <w:t>,</w:t>
            </w:r>
            <w:r w:rsidRPr="00730C0D">
              <w:rPr>
                <w:rFonts w:ascii="Century Gothic" w:hAnsi="Century Gothic"/>
                <w:sz w:val="20"/>
                <w:szCs w:val="20"/>
                <w:lang w:val="en"/>
              </w:rPr>
              <w:t xml:space="preserve"> and identifying emerging research areas and opportunities for further development. </w:t>
            </w:r>
          </w:p>
          <w:p w14:paraId="26BEFBDF" w14:textId="77777777" w:rsidR="00400C53" w:rsidRPr="00730C0D" w:rsidRDefault="00400C53" w:rsidP="00400C53">
            <w:pPr>
              <w:spacing w:before="0" w:after="0"/>
              <w:rPr>
                <w:rFonts w:ascii="Century Gothic" w:hAnsi="Century Gothic"/>
                <w:sz w:val="20"/>
                <w:szCs w:val="20"/>
                <w:lang w:val="en"/>
              </w:rPr>
            </w:pPr>
          </w:p>
          <w:p w14:paraId="39377C3C" w14:textId="06427FF6"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lang w:val="en"/>
              </w:rPr>
              <w:t xml:space="preserve">The first full round of ERA occurred in 2010 (replacing the Research Quality Framework) and the results were published in early 2011. There have been three subsequent rounds of ERA in 2012, 2015 and 2018. </w:t>
            </w:r>
            <w:r w:rsidRPr="00730C0D">
              <w:rPr>
                <w:rFonts w:ascii="Century Gothic" w:hAnsi="Century Gothic"/>
                <w:sz w:val="20"/>
                <w:szCs w:val="20"/>
              </w:rPr>
              <w:t xml:space="preserve">The submission for 2018 covered </w:t>
            </w:r>
            <w:r w:rsidR="00782546" w:rsidRPr="00730C0D">
              <w:rPr>
                <w:rFonts w:ascii="Century Gothic" w:hAnsi="Century Gothic"/>
                <w:sz w:val="20"/>
                <w:szCs w:val="20"/>
              </w:rPr>
              <w:t>six</w:t>
            </w:r>
            <w:r w:rsidRPr="00730C0D">
              <w:rPr>
                <w:rFonts w:ascii="Century Gothic" w:hAnsi="Century Gothic"/>
                <w:sz w:val="20"/>
                <w:szCs w:val="20"/>
              </w:rPr>
              <w:t xml:space="preserve"> years (2011-2016) of publications data and </w:t>
            </w:r>
            <w:r w:rsidR="00782546" w:rsidRPr="00730C0D">
              <w:rPr>
                <w:rFonts w:ascii="Century Gothic" w:hAnsi="Century Gothic"/>
                <w:sz w:val="20"/>
                <w:szCs w:val="20"/>
              </w:rPr>
              <w:t xml:space="preserve">three </w:t>
            </w:r>
            <w:r w:rsidRPr="00730C0D">
              <w:rPr>
                <w:rFonts w:ascii="Century Gothic" w:hAnsi="Century Gothic"/>
                <w:sz w:val="20"/>
                <w:szCs w:val="20"/>
              </w:rPr>
              <w:t xml:space="preserve">years </w:t>
            </w:r>
            <w:r w:rsidR="00E54FF8" w:rsidRPr="00730C0D">
              <w:rPr>
                <w:rFonts w:ascii="Century Gothic" w:hAnsi="Century Gothic"/>
                <w:sz w:val="20"/>
                <w:szCs w:val="20"/>
              </w:rPr>
              <w:br/>
            </w:r>
            <w:r w:rsidRPr="00730C0D">
              <w:rPr>
                <w:rFonts w:ascii="Century Gothic" w:hAnsi="Century Gothic"/>
                <w:sz w:val="20"/>
                <w:szCs w:val="20"/>
              </w:rPr>
              <w:t>(2014-2016) of data for research income and other measures.</w:t>
            </w:r>
          </w:p>
          <w:p w14:paraId="21A42A8E" w14:textId="4033A30F" w:rsidR="00400C53" w:rsidRPr="00730C0D" w:rsidRDefault="00400C53" w:rsidP="00400C53">
            <w:pPr>
              <w:spacing w:before="0" w:after="0"/>
              <w:rPr>
                <w:rFonts w:ascii="Century Gothic" w:hAnsi="Century Gothic"/>
                <w:sz w:val="20"/>
                <w:szCs w:val="20"/>
              </w:rPr>
            </w:pPr>
          </w:p>
        </w:tc>
      </w:tr>
      <w:tr w:rsidR="00400C53" w:rsidRPr="00730C0D" w14:paraId="441C4E9D" w14:textId="77777777" w:rsidTr="00CD7C81">
        <w:tc>
          <w:tcPr>
            <w:tcW w:w="1980" w:type="dxa"/>
            <w:vAlign w:val="top"/>
          </w:tcPr>
          <w:p w14:paraId="3DF85377" w14:textId="593F7B9B"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 xml:space="preserve">Field of study/field of education </w:t>
            </w:r>
          </w:p>
        </w:tc>
        <w:tc>
          <w:tcPr>
            <w:tcW w:w="7659" w:type="dxa"/>
            <w:vAlign w:val="top"/>
          </w:tcPr>
          <w:p w14:paraId="7AA6DA69" w14:textId="28AE634C"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sz w:val="20"/>
                <w:szCs w:val="20"/>
              </w:rPr>
              <w:t>There are</w:t>
            </w:r>
            <w:r w:rsidR="00782546" w:rsidRPr="00730C0D">
              <w:rPr>
                <w:rFonts w:ascii="Century Gothic" w:hAnsi="Century Gothic"/>
                <w:sz w:val="20"/>
                <w:szCs w:val="20"/>
              </w:rPr>
              <w:t xml:space="preserve"> 12</w:t>
            </w:r>
            <w:r w:rsidRPr="00730C0D">
              <w:rPr>
                <w:rFonts w:ascii="Century Gothic" w:hAnsi="Century Gothic"/>
                <w:sz w:val="20"/>
                <w:szCs w:val="20"/>
              </w:rPr>
              <w:t xml:space="preserve"> broad (2-digit), </w:t>
            </w:r>
            <w:r w:rsidR="00782546" w:rsidRPr="00730C0D">
              <w:rPr>
                <w:rFonts w:ascii="Century Gothic" w:hAnsi="Century Gothic"/>
                <w:sz w:val="20"/>
                <w:szCs w:val="20"/>
              </w:rPr>
              <w:t xml:space="preserve">71 </w:t>
            </w:r>
            <w:r w:rsidRPr="00730C0D">
              <w:rPr>
                <w:rFonts w:ascii="Century Gothic" w:hAnsi="Century Gothic"/>
                <w:sz w:val="20"/>
                <w:szCs w:val="20"/>
              </w:rPr>
              <w:t xml:space="preserve">narrow (4-digit) and </w:t>
            </w:r>
            <w:r w:rsidR="00782546" w:rsidRPr="00730C0D">
              <w:rPr>
                <w:rFonts w:ascii="Century Gothic" w:hAnsi="Century Gothic"/>
                <w:sz w:val="20"/>
                <w:szCs w:val="20"/>
              </w:rPr>
              <w:t xml:space="preserve">356 </w:t>
            </w:r>
            <w:r w:rsidRPr="00730C0D">
              <w:rPr>
                <w:rFonts w:ascii="Century Gothic" w:hAnsi="Century Gothic"/>
                <w:sz w:val="20"/>
                <w:szCs w:val="20"/>
              </w:rPr>
              <w:t xml:space="preserve">detailed (6-digit) fields of education (study) in the Australian Standard Classification of Education (ASCED). The 12 broad fields of study are: </w:t>
            </w:r>
          </w:p>
          <w:p w14:paraId="6E15FAB5" w14:textId="4EEC7896" w:rsidR="00400C53" w:rsidRPr="00730C0D" w:rsidRDefault="00400C53" w:rsidP="00400C53">
            <w:pPr>
              <w:pStyle w:val="ListParagraph"/>
              <w:numPr>
                <w:ilvl w:val="0"/>
                <w:numId w:val="2"/>
              </w:numPr>
              <w:spacing w:before="0" w:after="0" w:line="259" w:lineRule="auto"/>
              <w:ind w:left="714" w:hanging="357"/>
              <w:rPr>
                <w:rFonts w:ascii="Century Gothic" w:hAnsi="Century Gothic"/>
                <w:sz w:val="20"/>
                <w:szCs w:val="20"/>
              </w:rPr>
            </w:pPr>
            <w:r w:rsidRPr="00730C0D">
              <w:rPr>
                <w:rFonts w:ascii="Century Gothic" w:hAnsi="Century Gothic"/>
                <w:sz w:val="20"/>
                <w:szCs w:val="20"/>
              </w:rPr>
              <w:t>Natural and Physical Sciences</w:t>
            </w:r>
            <w:r w:rsidR="00DC63B5">
              <w:rPr>
                <w:rFonts w:ascii="Century Gothic" w:hAnsi="Century Gothic"/>
                <w:sz w:val="20"/>
                <w:szCs w:val="20"/>
              </w:rPr>
              <w:t>;</w:t>
            </w:r>
            <w:r w:rsidRPr="00730C0D">
              <w:rPr>
                <w:rFonts w:ascii="Century Gothic" w:hAnsi="Century Gothic"/>
                <w:sz w:val="20"/>
                <w:szCs w:val="20"/>
              </w:rPr>
              <w:t xml:space="preserve"> </w:t>
            </w:r>
          </w:p>
          <w:p w14:paraId="5C3FE8AA" w14:textId="1733DD3B"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Information Technology</w:t>
            </w:r>
            <w:r w:rsidR="00DC63B5">
              <w:rPr>
                <w:rFonts w:ascii="Century Gothic" w:hAnsi="Century Gothic"/>
                <w:sz w:val="20"/>
                <w:szCs w:val="20"/>
              </w:rPr>
              <w:t>;</w:t>
            </w:r>
          </w:p>
          <w:p w14:paraId="1ACDA5CA" w14:textId="1FDD54DE"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Engineering and Related Technologies</w:t>
            </w:r>
            <w:r w:rsidR="00DC63B5">
              <w:rPr>
                <w:rFonts w:ascii="Century Gothic" w:hAnsi="Century Gothic"/>
                <w:sz w:val="20"/>
                <w:szCs w:val="20"/>
              </w:rPr>
              <w:t>;</w:t>
            </w:r>
          </w:p>
          <w:p w14:paraId="5E5DFCAA" w14:textId="26A7BBE2"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Architecture and Building</w:t>
            </w:r>
            <w:r w:rsidR="00DC63B5">
              <w:rPr>
                <w:rFonts w:ascii="Century Gothic" w:hAnsi="Century Gothic"/>
                <w:sz w:val="20"/>
                <w:szCs w:val="20"/>
              </w:rPr>
              <w:t>;</w:t>
            </w:r>
            <w:r w:rsidRPr="00730C0D">
              <w:rPr>
                <w:rFonts w:ascii="Century Gothic" w:hAnsi="Century Gothic"/>
                <w:sz w:val="20"/>
                <w:szCs w:val="20"/>
              </w:rPr>
              <w:t xml:space="preserve"> </w:t>
            </w:r>
          </w:p>
          <w:p w14:paraId="56B2EE22" w14:textId="5226C94D"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Agriculture, Environmental and Related Studies</w:t>
            </w:r>
            <w:r w:rsidR="00DC63B5">
              <w:rPr>
                <w:rFonts w:ascii="Century Gothic" w:hAnsi="Century Gothic"/>
                <w:sz w:val="20"/>
                <w:szCs w:val="20"/>
              </w:rPr>
              <w:t>;</w:t>
            </w:r>
            <w:r w:rsidRPr="00730C0D">
              <w:rPr>
                <w:rFonts w:ascii="Century Gothic" w:hAnsi="Century Gothic"/>
                <w:sz w:val="20"/>
                <w:szCs w:val="20"/>
              </w:rPr>
              <w:t xml:space="preserve"> </w:t>
            </w:r>
          </w:p>
          <w:p w14:paraId="2966692B" w14:textId="2BCEAFCC"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Health</w:t>
            </w:r>
            <w:r w:rsidR="00DC63B5">
              <w:rPr>
                <w:rFonts w:ascii="Century Gothic" w:hAnsi="Century Gothic"/>
                <w:sz w:val="20"/>
                <w:szCs w:val="20"/>
              </w:rPr>
              <w:t>;</w:t>
            </w:r>
          </w:p>
          <w:p w14:paraId="58DD4FCA" w14:textId="45C3BAA0"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Education</w:t>
            </w:r>
            <w:r w:rsidR="00DC63B5">
              <w:rPr>
                <w:rFonts w:ascii="Century Gothic" w:hAnsi="Century Gothic"/>
                <w:sz w:val="20"/>
                <w:szCs w:val="20"/>
              </w:rPr>
              <w:t>;</w:t>
            </w:r>
          </w:p>
          <w:p w14:paraId="3D4AE8ED" w14:textId="113BFFE4"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Management and Commerce</w:t>
            </w:r>
            <w:r w:rsidR="00DC63B5">
              <w:rPr>
                <w:rFonts w:ascii="Century Gothic" w:hAnsi="Century Gothic"/>
                <w:sz w:val="20"/>
                <w:szCs w:val="20"/>
              </w:rPr>
              <w:t>;</w:t>
            </w:r>
          </w:p>
          <w:p w14:paraId="7DD69F31" w14:textId="40EEDE2C"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Society and Culture</w:t>
            </w:r>
            <w:r w:rsidR="00DC63B5">
              <w:rPr>
                <w:rFonts w:ascii="Century Gothic" w:hAnsi="Century Gothic"/>
                <w:sz w:val="20"/>
                <w:szCs w:val="20"/>
              </w:rPr>
              <w:t>;</w:t>
            </w:r>
            <w:r w:rsidRPr="00730C0D">
              <w:rPr>
                <w:rFonts w:ascii="Century Gothic" w:hAnsi="Century Gothic"/>
                <w:sz w:val="20"/>
                <w:szCs w:val="20"/>
              </w:rPr>
              <w:t xml:space="preserve"> </w:t>
            </w:r>
          </w:p>
          <w:p w14:paraId="2DA60580" w14:textId="5A3F7E44"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Creative Arts</w:t>
            </w:r>
            <w:r w:rsidR="00DC63B5">
              <w:rPr>
                <w:rFonts w:ascii="Century Gothic" w:hAnsi="Century Gothic"/>
                <w:sz w:val="20"/>
                <w:szCs w:val="20"/>
              </w:rPr>
              <w:t>;</w:t>
            </w:r>
          </w:p>
          <w:p w14:paraId="552DCC27" w14:textId="23C3E894"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Food, Hospitality and Personal Services</w:t>
            </w:r>
            <w:r w:rsidR="00DC63B5">
              <w:rPr>
                <w:rFonts w:ascii="Century Gothic" w:hAnsi="Century Gothic"/>
                <w:sz w:val="20"/>
                <w:szCs w:val="20"/>
              </w:rPr>
              <w:t>; and</w:t>
            </w:r>
          </w:p>
          <w:p w14:paraId="58FDC70A" w14:textId="3CEE7C35" w:rsidR="00400C53" w:rsidRPr="00730C0D" w:rsidRDefault="00400C53" w:rsidP="00400C53">
            <w:pPr>
              <w:pStyle w:val="ListParagraph"/>
              <w:numPr>
                <w:ilvl w:val="0"/>
                <w:numId w:val="2"/>
              </w:numPr>
              <w:spacing w:before="0" w:after="0" w:line="259" w:lineRule="auto"/>
              <w:rPr>
                <w:rFonts w:ascii="Century Gothic" w:hAnsi="Century Gothic"/>
                <w:sz w:val="20"/>
                <w:szCs w:val="20"/>
              </w:rPr>
            </w:pPr>
            <w:r w:rsidRPr="00730C0D">
              <w:rPr>
                <w:rFonts w:ascii="Century Gothic" w:hAnsi="Century Gothic"/>
                <w:sz w:val="20"/>
                <w:szCs w:val="20"/>
              </w:rPr>
              <w:t>Mixed Field Programs</w:t>
            </w:r>
            <w:r w:rsidR="00DC63B5">
              <w:rPr>
                <w:rFonts w:ascii="Century Gothic" w:hAnsi="Century Gothic"/>
                <w:sz w:val="20"/>
                <w:szCs w:val="20"/>
              </w:rPr>
              <w:t>.</w:t>
            </w:r>
            <w:r w:rsidRPr="00730C0D">
              <w:rPr>
                <w:rFonts w:ascii="Century Gothic" w:hAnsi="Century Gothic"/>
                <w:sz w:val="20"/>
                <w:szCs w:val="20"/>
              </w:rPr>
              <w:t xml:space="preserve"> </w:t>
            </w:r>
          </w:p>
          <w:p w14:paraId="1AC9A06E" w14:textId="77777777" w:rsidR="00400C53" w:rsidRPr="00730C0D" w:rsidRDefault="00400C53" w:rsidP="00400C53">
            <w:pPr>
              <w:pStyle w:val="ListParagraph"/>
              <w:spacing w:before="0" w:after="0" w:line="259" w:lineRule="auto"/>
              <w:rPr>
                <w:rFonts w:ascii="Century Gothic" w:hAnsi="Century Gothic"/>
                <w:sz w:val="20"/>
                <w:szCs w:val="20"/>
              </w:rPr>
            </w:pPr>
          </w:p>
        </w:tc>
      </w:tr>
      <w:tr w:rsidR="00400C53" w:rsidRPr="00730C0D" w14:paraId="7A22CABD" w14:textId="77777777" w:rsidTr="00CD7C81">
        <w:tc>
          <w:tcPr>
            <w:tcW w:w="1980" w:type="dxa"/>
            <w:vAlign w:val="top"/>
          </w:tcPr>
          <w:p w14:paraId="0D00AEC9"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 xml:space="preserve">Field of research </w:t>
            </w:r>
          </w:p>
        </w:tc>
        <w:tc>
          <w:tcPr>
            <w:tcW w:w="7659" w:type="dxa"/>
            <w:vAlign w:val="top"/>
          </w:tcPr>
          <w:p w14:paraId="6E3E0F03" w14:textId="32299763"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There are </w:t>
            </w:r>
            <w:r w:rsidR="00782546" w:rsidRPr="00730C0D">
              <w:rPr>
                <w:rFonts w:ascii="Century Gothic" w:hAnsi="Century Gothic"/>
                <w:sz w:val="20"/>
                <w:szCs w:val="20"/>
              </w:rPr>
              <w:t xml:space="preserve">22 divisions </w:t>
            </w:r>
            <w:r w:rsidRPr="00730C0D">
              <w:rPr>
                <w:rFonts w:ascii="Century Gothic" w:hAnsi="Century Gothic"/>
                <w:sz w:val="20"/>
                <w:szCs w:val="20"/>
              </w:rPr>
              <w:t xml:space="preserve">(2-digit), </w:t>
            </w:r>
            <w:r w:rsidR="00782546" w:rsidRPr="00730C0D">
              <w:rPr>
                <w:rFonts w:ascii="Century Gothic" w:hAnsi="Century Gothic"/>
                <w:sz w:val="20"/>
                <w:szCs w:val="20"/>
              </w:rPr>
              <w:t xml:space="preserve">157 groups </w:t>
            </w:r>
            <w:r w:rsidRPr="00730C0D">
              <w:rPr>
                <w:rFonts w:ascii="Century Gothic" w:hAnsi="Century Gothic"/>
                <w:sz w:val="20"/>
                <w:szCs w:val="20"/>
              </w:rPr>
              <w:t xml:space="preserve">(4-digit) and </w:t>
            </w:r>
            <w:r w:rsidR="00782546" w:rsidRPr="00730C0D">
              <w:rPr>
                <w:rFonts w:ascii="Century Gothic" w:hAnsi="Century Gothic"/>
                <w:sz w:val="20"/>
                <w:szCs w:val="20"/>
              </w:rPr>
              <w:t xml:space="preserve">1238 fields </w:t>
            </w:r>
            <w:r w:rsidRPr="00730C0D">
              <w:rPr>
                <w:rFonts w:ascii="Century Gothic" w:hAnsi="Century Gothic"/>
                <w:sz w:val="20"/>
                <w:szCs w:val="20"/>
              </w:rPr>
              <w:t xml:space="preserve">(6-digit) of research in the Australian New Zealand Research Classification (ANZSRC). The 22 broad fields of research are: </w:t>
            </w:r>
          </w:p>
          <w:p w14:paraId="5DD2D68E" w14:textId="2986CE6E"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Mathematical Sciences</w:t>
            </w:r>
            <w:r w:rsidR="00DC63B5">
              <w:rPr>
                <w:rFonts w:ascii="Century Gothic" w:hAnsi="Century Gothic"/>
                <w:sz w:val="20"/>
                <w:szCs w:val="20"/>
              </w:rPr>
              <w:t>;</w:t>
            </w:r>
          </w:p>
          <w:p w14:paraId="7C7DF826" w14:textId="7806EA1A"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Physical Sciences</w:t>
            </w:r>
            <w:r w:rsidR="00DC63B5">
              <w:rPr>
                <w:rFonts w:ascii="Century Gothic" w:hAnsi="Century Gothic"/>
                <w:sz w:val="20"/>
                <w:szCs w:val="20"/>
              </w:rPr>
              <w:t>;</w:t>
            </w:r>
          </w:p>
          <w:p w14:paraId="07A5BF99" w14:textId="432D1CB0"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Chemical Sciences</w:t>
            </w:r>
            <w:r w:rsidR="00DC63B5">
              <w:rPr>
                <w:rFonts w:ascii="Century Gothic" w:hAnsi="Century Gothic"/>
                <w:sz w:val="20"/>
                <w:szCs w:val="20"/>
              </w:rPr>
              <w:t>;</w:t>
            </w:r>
          </w:p>
          <w:p w14:paraId="7CB3F25F" w14:textId="3CCDA034"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Earth Sciences</w:t>
            </w:r>
            <w:r w:rsidR="00DC63B5">
              <w:rPr>
                <w:rFonts w:ascii="Century Gothic" w:hAnsi="Century Gothic"/>
                <w:sz w:val="20"/>
                <w:szCs w:val="20"/>
              </w:rPr>
              <w:t>;</w:t>
            </w:r>
          </w:p>
          <w:p w14:paraId="1E6623A5" w14:textId="76929252"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Environmental Sciences</w:t>
            </w:r>
            <w:r w:rsidR="00DC63B5">
              <w:rPr>
                <w:rFonts w:ascii="Century Gothic" w:hAnsi="Century Gothic"/>
                <w:sz w:val="20"/>
                <w:szCs w:val="20"/>
              </w:rPr>
              <w:t>;</w:t>
            </w:r>
          </w:p>
          <w:p w14:paraId="4F72319B" w14:textId="23BDED12"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Biological Sciences</w:t>
            </w:r>
            <w:r w:rsidR="00DC63B5">
              <w:rPr>
                <w:rFonts w:ascii="Century Gothic" w:hAnsi="Century Gothic"/>
                <w:sz w:val="20"/>
                <w:szCs w:val="20"/>
              </w:rPr>
              <w:t>;</w:t>
            </w:r>
          </w:p>
          <w:p w14:paraId="6AE5D7C7" w14:textId="491DFB0D"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Agriculture and Veterinary Sciences</w:t>
            </w:r>
            <w:r w:rsidR="00DC63B5">
              <w:rPr>
                <w:rFonts w:ascii="Century Gothic" w:hAnsi="Century Gothic"/>
                <w:sz w:val="20"/>
                <w:szCs w:val="20"/>
              </w:rPr>
              <w:t>;</w:t>
            </w:r>
          </w:p>
          <w:p w14:paraId="0E93F0A5" w14:textId="6B5194A0"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Information and Computing Sciences</w:t>
            </w:r>
            <w:r w:rsidR="00DC63B5">
              <w:rPr>
                <w:rFonts w:ascii="Century Gothic" w:hAnsi="Century Gothic"/>
                <w:sz w:val="20"/>
                <w:szCs w:val="20"/>
              </w:rPr>
              <w:t>;</w:t>
            </w:r>
          </w:p>
          <w:p w14:paraId="5C83AD73" w14:textId="26C98057"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Engineering</w:t>
            </w:r>
            <w:r w:rsidR="00DC63B5">
              <w:rPr>
                <w:rFonts w:ascii="Century Gothic" w:hAnsi="Century Gothic"/>
                <w:sz w:val="20"/>
                <w:szCs w:val="20"/>
              </w:rPr>
              <w:t>;</w:t>
            </w:r>
          </w:p>
          <w:p w14:paraId="42A207DE" w14:textId="3F9E9BD8"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Technology</w:t>
            </w:r>
            <w:r w:rsidR="00DC63B5">
              <w:rPr>
                <w:rFonts w:ascii="Century Gothic" w:hAnsi="Century Gothic"/>
                <w:sz w:val="20"/>
                <w:szCs w:val="20"/>
              </w:rPr>
              <w:t>;</w:t>
            </w:r>
          </w:p>
          <w:p w14:paraId="5D14A97C" w14:textId="41520506"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Medical and Health Sciences</w:t>
            </w:r>
            <w:r w:rsidR="00DC63B5">
              <w:rPr>
                <w:rFonts w:ascii="Century Gothic" w:hAnsi="Century Gothic"/>
                <w:sz w:val="20"/>
                <w:szCs w:val="20"/>
              </w:rPr>
              <w:t>;</w:t>
            </w:r>
          </w:p>
          <w:p w14:paraId="7CB6F214" w14:textId="200B7017"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Built Environment and Design</w:t>
            </w:r>
            <w:r w:rsidR="00DC63B5">
              <w:rPr>
                <w:rFonts w:ascii="Century Gothic" w:hAnsi="Century Gothic"/>
                <w:sz w:val="20"/>
                <w:szCs w:val="20"/>
              </w:rPr>
              <w:t>;</w:t>
            </w:r>
          </w:p>
          <w:p w14:paraId="1171E906" w14:textId="4894A445"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Education</w:t>
            </w:r>
            <w:r w:rsidR="00DC63B5">
              <w:rPr>
                <w:rFonts w:ascii="Century Gothic" w:hAnsi="Century Gothic"/>
                <w:sz w:val="20"/>
                <w:szCs w:val="20"/>
              </w:rPr>
              <w:t>;</w:t>
            </w:r>
          </w:p>
          <w:p w14:paraId="5A05331D" w14:textId="291832CB"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Economics</w:t>
            </w:r>
            <w:r w:rsidR="00DC63B5">
              <w:rPr>
                <w:rFonts w:ascii="Century Gothic" w:hAnsi="Century Gothic"/>
                <w:sz w:val="20"/>
                <w:szCs w:val="20"/>
              </w:rPr>
              <w:t>;</w:t>
            </w:r>
          </w:p>
          <w:p w14:paraId="1486D89F" w14:textId="1E2C7AEA"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Commerce, Management, Tourism and Services</w:t>
            </w:r>
            <w:r w:rsidR="00DC63B5">
              <w:rPr>
                <w:rFonts w:ascii="Century Gothic" w:hAnsi="Century Gothic"/>
                <w:sz w:val="20"/>
                <w:szCs w:val="20"/>
              </w:rPr>
              <w:t>;</w:t>
            </w:r>
          </w:p>
          <w:p w14:paraId="1431139F" w14:textId="726A4A33"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Studies in Human Society</w:t>
            </w:r>
            <w:r w:rsidR="00DC63B5">
              <w:rPr>
                <w:rFonts w:ascii="Century Gothic" w:hAnsi="Century Gothic"/>
                <w:sz w:val="20"/>
                <w:szCs w:val="20"/>
              </w:rPr>
              <w:t>;</w:t>
            </w:r>
          </w:p>
          <w:p w14:paraId="39CA75A8" w14:textId="0238BB6A"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Psychological and Cognitive Sciences</w:t>
            </w:r>
            <w:r w:rsidR="00DC63B5">
              <w:rPr>
                <w:rFonts w:ascii="Century Gothic" w:hAnsi="Century Gothic"/>
                <w:sz w:val="20"/>
                <w:szCs w:val="20"/>
              </w:rPr>
              <w:t>;</w:t>
            </w:r>
          </w:p>
          <w:p w14:paraId="27107F08" w14:textId="2016F98F"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Law and Legal Studies</w:t>
            </w:r>
            <w:r w:rsidR="00DC63B5">
              <w:rPr>
                <w:rFonts w:ascii="Century Gothic" w:hAnsi="Century Gothic"/>
                <w:sz w:val="20"/>
                <w:szCs w:val="20"/>
              </w:rPr>
              <w:t>;</w:t>
            </w:r>
          </w:p>
          <w:p w14:paraId="3EE616F2" w14:textId="6C72197E"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Studies in Creative Arts and Writing</w:t>
            </w:r>
            <w:r w:rsidR="00DC63B5">
              <w:rPr>
                <w:rFonts w:ascii="Century Gothic" w:hAnsi="Century Gothic"/>
                <w:sz w:val="20"/>
                <w:szCs w:val="20"/>
              </w:rPr>
              <w:t>;</w:t>
            </w:r>
          </w:p>
          <w:p w14:paraId="1C0B0EDE" w14:textId="2004A6A9"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Language, Communication and Culture</w:t>
            </w:r>
            <w:r w:rsidR="00DC63B5">
              <w:rPr>
                <w:rFonts w:ascii="Century Gothic" w:hAnsi="Century Gothic"/>
                <w:sz w:val="20"/>
                <w:szCs w:val="20"/>
              </w:rPr>
              <w:t>;</w:t>
            </w:r>
          </w:p>
          <w:p w14:paraId="6F462307" w14:textId="0D8B8DCA"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History and Archaeology</w:t>
            </w:r>
            <w:r w:rsidR="00DC63B5">
              <w:rPr>
                <w:rFonts w:ascii="Century Gothic" w:hAnsi="Century Gothic"/>
                <w:sz w:val="20"/>
                <w:szCs w:val="20"/>
              </w:rPr>
              <w:t>; and</w:t>
            </w:r>
          </w:p>
          <w:p w14:paraId="70BAAF36" w14:textId="3BB29826" w:rsidR="00400C53" w:rsidRPr="00730C0D" w:rsidRDefault="00400C53" w:rsidP="00400C53">
            <w:pPr>
              <w:pStyle w:val="ListParagraph"/>
              <w:numPr>
                <w:ilvl w:val="0"/>
                <w:numId w:val="2"/>
              </w:numPr>
              <w:spacing w:before="0" w:after="0"/>
              <w:rPr>
                <w:rFonts w:ascii="Century Gothic" w:hAnsi="Century Gothic"/>
                <w:sz w:val="20"/>
                <w:szCs w:val="20"/>
              </w:rPr>
            </w:pPr>
            <w:r w:rsidRPr="00730C0D">
              <w:rPr>
                <w:rFonts w:ascii="Century Gothic" w:hAnsi="Century Gothic"/>
                <w:sz w:val="20"/>
                <w:szCs w:val="20"/>
              </w:rPr>
              <w:t>Philosophy and Religious Studies</w:t>
            </w:r>
            <w:r w:rsidR="00DC63B5">
              <w:rPr>
                <w:rFonts w:ascii="Century Gothic" w:hAnsi="Century Gothic"/>
                <w:sz w:val="20"/>
                <w:szCs w:val="20"/>
              </w:rPr>
              <w:t>.</w:t>
            </w:r>
          </w:p>
          <w:p w14:paraId="44E0AB92" w14:textId="77777777" w:rsidR="00400C53" w:rsidRPr="00730C0D" w:rsidRDefault="00400C53" w:rsidP="00400C53">
            <w:pPr>
              <w:pStyle w:val="ListParagraph"/>
              <w:spacing w:before="0" w:after="0"/>
              <w:rPr>
                <w:rFonts w:ascii="Century Gothic" w:hAnsi="Century Gothic"/>
                <w:sz w:val="20"/>
                <w:szCs w:val="20"/>
              </w:rPr>
            </w:pPr>
          </w:p>
        </w:tc>
      </w:tr>
      <w:tr w:rsidR="00400C53" w:rsidRPr="00730C0D" w14:paraId="653ED6E1" w14:textId="77777777" w:rsidTr="00CD7C81">
        <w:tc>
          <w:tcPr>
            <w:tcW w:w="1980" w:type="dxa"/>
            <w:vAlign w:val="top"/>
          </w:tcPr>
          <w:p w14:paraId="208045EF" w14:textId="2B7294B4"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‘Greenfield’ university</w:t>
            </w:r>
          </w:p>
        </w:tc>
        <w:tc>
          <w:tcPr>
            <w:tcW w:w="7659" w:type="dxa"/>
            <w:vAlign w:val="top"/>
          </w:tcPr>
          <w:p w14:paraId="65BF85D9" w14:textId="77777777"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A ‘greenfield’ university is a newly established entity which has not previously been registered by TEQSA as a higher education provider and seeks to apply directly for university status. </w:t>
            </w:r>
          </w:p>
          <w:p w14:paraId="7407AB2D" w14:textId="77777777" w:rsidR="00400C53" w:rsidRPr="00730C0D" w:rsidRDefault="00400C53" w:rsidP="00400C53">
            <w:pPr>
              <w:spacing w:before="0" w:after="0"/>
              <w:rPr>
                <w:rFonts w:ascii="Century Gothic" w:hAnsi="Century Gothic"/>
                <w:sz w:val="20"/>
                <w:szCs w:val="20"/>
              </w:rPr>
            </w:pPr>
          </w:p>
        </w:tc>
      </w:tr>
      <w:tr w:rsidR="00400C53" w:rsidRPr="00730C0D" w14:paraId="1EDE1B48" w14:textId="77777777" w:rsidTr="00CD7C81">
        <w:tc>
          <w:tcPr>
            <w:tcW w:w="1980" w:type="dxa"/>
            <w:vAlign w:val="top"/>
          </w:tcPr>
          <w:p w14:paraId="665C2D9E" w14:textId="5011D59C"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b/>
                <w:sz w:val="20"/>
                <w:szCs w:val="20"/>
              </w:rPr>
              <w:t xml:space="preserve">Higher degrees by research </w:t>
            </w:r>
          </w:p>
        </w:tc>
        <w:tc>
          <w:tcPr>
            <w:tcW w:w="7659" w:type="dxa"/>
            <w:vAlign w:val="top"/>
          </w:tcPr>
          <w:p w14:paraId="3B41C6D4" w14:textId="31C80B83"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The term ‘higher degrees by research’ is used to describe higher education qualifications that</w:t>
            </w:r>
            <w:r w:rsidR="00DC63B5">
              <w:rPr>
                <w:rFonts w:ascii="Century Gothic" w:hAnsi="Century Gothic"/>
                <w:sz w:val="20"/>
                <w:szCs w:val="20"/>
              </w:rPr>
              <w:t xml:space="preserve"> primarily</w:t>
            </w:r>
            <w:r w:rsidRPr="00730C0D">
              <w:rPr>
                <w:rFonts w:ascii="Century Gothic" w:hAnsi="Century Gothic"/>
                <w:sz w:val="20"/>
                <w:szCs w:val="20"/>
              </w:rPr>
              <w:t xml:space="preserve"> involve research namely, </w:t>
            </w:r>
            <w:r w:rsidR="001153C7" w:rsidRPr="00730C0D">
              <w:rPr>
                <w:rFonts w:ascii="Century Gothic" w:hAnsi="Century Gothic"/>
                <w:sz w:val="20"/>
                <w:szCs w:val="20"/>
              </w:rPr>
              <w:t>D</w:t>
            </w:r>
            <w:r w:rsidRPr="00730C0D">
              <w:rPr>
                <w:rFonts w:ascii="Century Gothic" w:hAnsi="Century Gothic"/>
                <w:sz w:val="20"/>
                <w:szCs w:val="20"/>
              </w:rPr>
              <w:t xml:space="preserve">octoral </w:t>
            </w:r>
            <w:r w:rsidR="001153C7" w:rsidRPr="00730C0D">
              <w:rPr>
                <w:rFonts w:ascii="Century Gothic" w:hAnsi="Century Gothic"/>
                <w:sz w:val="20"/>
                <w:szCs w:val="20"/>
              </w:rPr>
              <w:t>D</w:t>
            </w:r>
            <w:r w:rsidRPr="00730C0D">
              <w:rPr>
                <w:rFonts w:ascii="Century Gothic" w:hAnsi="Century Gothic"/>
                <w:sz w:val="20"/>
                <w:szCs w:val="20"/>
              </w:rPr>
              <w:t>egrees</w:t>
            </w:r>
            <w:r w:rsidR="00F40377" w:rsidRPr="00730C0D">
              <w:rPr>
                <w:rFonts w:ascii="Century Gothic" w:hAnsi="Century Gothic"/>
                <w:sz w:val="20"/>
                <w:szCs w:val="20"/>
              </w:rPr>
              <w:t xml:space="preserve"> (</w:t>
            </w:r>
            <w:r w:rsidR="001153C7" w:rsidRPr="00730C0D">
              <w:rPr>
                <w:rFonts w:ascii="Century Gothic" w:hAnsi="Century Gothic"/>
                <w:sz w:val="20"/>
                <w:szCs w:val="20"/>
              </w:rPr>
              <w:t>R</w:t>
            </w:r>
            <w:r w:rsidR="00F40377" w:rsidRPr="00730C0D">
              <w:rPr>
                <w:rFonts w:ascii="Century Gothic" w:hAnsi="Century Gothic"/>
                <w:sz w:val="20"/>
                <w:szCs w:val="20"/>
              </w:rPr>
              <w:t>esearch)</w:t>
            </w:r>
            <w:r w:rsidRPr="00730C0D">
              <w:rPr>
                <w:rFonts w:ascii="Century Gothic" w:hAnsi="Century Gothic"/>
                <w:sz w:val="20"/>
                <w:szCs w:val="20"/>
              </w:rPr>
              <w:t xml:space="preserve"> and </w:t>
            </w:r>
            <w:r w:rsidR="001153C7" w:rsidRPr="00730C0D">
              <w:rPr>
                <w:rFonts w:ascii="Century Gothic" w:hAnsi="Century Gothic"/>
                <w:sz w:val="20"/>
                <w:szCs w:val="20"/>
              </w:rPr>
              <w:t>M</w:t>
            </w:r>
            <w:r w:rsidRPr="00730C0D">
              <w:rPr>
                <w:rFonts w:ascii="Century Gothic" w:hAnsi="Century Gothic"/>
                <w:sz w:val="20"/>
                <w:szCs w:val="20"/>
              </w:rPr>
              <w:t xml:space="preserve">asters </w:t>
            </w:r>
            <w:r w:rsidR="001153C7" w:rsidRPr="00730C0D">
              <w:rPr>
                <w:rFonts w:ascii="Century Gothic" w:hAnsi="Century Gothic"/>
                <w:sz w:val="20"/>
                <w:szCs w:val="20"/>
              </w:rPr>
              <w:t>D</w:t>
            </w:r>
            <w:r w:rsidRPr="00730C0D">
              <w:rPr>
                <w:rFonts w:ascii="Century Gothic" w:hAnsi="Century Gothic"/>
                <w:sz w:val="20"/>
                <w:szCs w:val="20"/>
              </w:rPr>
              <w:t>egrees (</w:t>
            </w:r>
            <w:r w:rsidR="001153C7" w:rsidRPr="00730C0D">
              <w:rPr>
                <w:rFonts w:ascii="Century Gothic" w:hAnsi="Century Gothic"/>
                <w:sz w:val="20"/>
                <w:szCs w:val="20"/>
              </w:rPr>
              <w:t>R</w:t>
            </w:r>
            <w:r w:rsidRPr="00730C0D">
              <w:rPr>
                <w:rFonts w:ascii="Century Gothic" w:hAnsi="Century Gothic"/>
                <w:sz w:val="20"/>
                <w:szCs w:val="20"/>
              </w:rPr>
              <w:t xml:space="preserve">esearch). </w:t>
            </w:r>
          </w:p>
          <w:p w14:paraId="6B422E83" w14:textId="3D47C160" w:rsidR="00E54FF8" w:rsidRDefault="00E54FF8" w:rsidP="00400C53">
            <w:pPr>
              <w:spacing w:before="0" w:after="0"/>
              <w:rPr>
                <w:rFonts w:ascii="Century Gothic" w:hAnsi="Century Gothic"/>
                <w:sz w:val="20"/>
                <w:szCs w:val="20"/>
              </w:rPr>
            </w:pPr>
          </w:p>
          <w:p w14:paraId="04D25632" w14:textId="77777777" w:rsidR="00B34F91" w:rsidRPr="00730C0D" w:rsidRDefault="00B34F91" w:rsidP="00400C53">
            <w:pPr>
              <w:spacing w:before="0" w:after="0"/>
              <w:rPr>
                <w:rFonts w:ascii="Century Gothic" w:hAnsi="Century Gothic"/>
                <w:sz w:val="20"/>
                <w:szCs w:val="20"/>
              </w:rPr>
            </w:pPr>
          </w:p>
          <w:p w14:paraId="6627C5DA" w14:textId="4F3CF83D" w:rsidR="00400C53" w:rsidRPr="00730C0D" w:rsidRDefault="00400C53" w:rsidP="00400C53">
            <w:pPr>
              <w:spacing w:before="0" w:after="0" w:line="259" w:lineRule="auto"/>
              <w:rPr>
                <w:rFonts w:ascii="Century Gothic" w:hAnsi="Century Gothic"/>
                <w:sz w:val="20"/>
                <w:szCs w:val="20"/>
              </w:rPr>
            </w:pPr>
          </w:p>
        </w:tc>
      </w:tr>
      <w:tr w:rsidR="00400C53" w:rsidRPr="00730C0D" w14:paraId="0F28A931" w14:textId="77777777" w:rsidTr="00CD7C81">
        <w:tc>
          <w:tcPr>
            <w:tcW w:w="1980" w:type="dxa"/>
            <w:vAlign w:val="top"/>
          </w:tcPr>
          <w:p w14:paraId="28337E06" w14:textId="3D6A1C31"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Higher education award</w:t>
            </w:r>
          </w:p>
        </w:tc>
        <w:tc>
          <w:tcPr>
            <w:tcW w:w="7659" w:type="dxa"/>
            <w:vAlign w:val="top"/>
          </w:tcPr>
          <w:p w14:paraId="2AC861FD" w14:textId="77777777"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A higher education award means: </w:t>
            </w:r>
          </w:p>
          <w:p w14:paraId="6463E6BF" w14:textId="742D6326" w:rsidR="00400C53" w:rsidRPr="00DC63B5" w:rsidRDefault="00400C53" w:rsidP="0024520B">
            <w:pPr>
              <w:pStyle w:val="ListParagraph"/>
              <w:numPr>
                <w:ilvl w:val="0"/>
                <w:numId w:val="70"/>
              </w:numPr>
              <w:spacing w:before="0" w:after="0"/>
              <w:rPr>
                <w:rFonts w:ascii="Century Gothic" w:hAnsi="Century Gothic"/>
                <w:sz w:val="20"/>
                <w:szCs w:val="20"/>
              </w:rPr>
            </w:pPr>
            <w:r w:rsidRPr="00DC63B5">
              <w:rPr>
                <w:rFonts w:ascii="Century Gothic" w:hAnsi="Century Gothic"/>
                <w:sz w:val="20"/>
                <w:szCs w:val="20"/>
              </w:rPr>
              <w:t xml:space="preserve">a </w:t>
            </w:r>
            <w:r w:rsidR="001153C7" w:rsidRPr="00DC63B5">
              <w:rPr>
                <w:rFonts w:ascii="Century Gothic" w:hAnsi="Century Gothic"/>
                <w:sz w:val="20"/>
                <w:szCs w:val="20"/>
              </w:rPr>
              <w:t>D</w:t>
            </w:r>
            <w:r w:rsidRPr="00DC63B5">
              <w:rPr>
                <w:rFonts w:ascii="Century Gothic" w:hAnsi="Century Gothic"/>
                <w:sz w:val="20"/>
                <w:szCs w:val="20"/>
              </w:rPr>
              <w:t xml:space="preserve">iploma, </w:t>
            </w:r>
            <w:r w:rsidR="001153C7" w:rsidRPr="00DC63B5">
              <w:rPr>
                <w:rFonts w:ascii="Century Gothic" w:hAnsi="Century Gothic"/>
                <w:sz w:val="20"/>
                <w:szCs w:val="20"/>
              </w:rPr>
              <w:t>A</w:t>
            </w:r>
            <w:r w:rsidRPr="00DC63B5">
              <w:rPr>
                <w:rFonts w:ascii="Century Gothic" w:hAnsi="Century Gothic"/>
                <w:sz w:val="20"/>
                <w:szCs w:val="20"/>
              </w:rPr>
              <w:t xml:space="preserve">dvanced </w:t>
            </w:r>
            <w:r w:rsidR="001153C7" w:rsidRPr="00DC63B5">
              <w:rPr>
                <w:rFonts w:ascii="Century Gothic" w:hAnsi="Century Gothic"/>
                <w:sz w:val="20"/>
                <w:szCs w:val="20"/>
              </w:rPr>
              <w:t>D</w:t>
            </w:r>
            <w:r w:rsidRPr="00DC63B5">
              <w:rPr>
                <w:rFonts w:ascii="Century Gothic" w:hAnsi="Century Gothic"/>
                <w:sz w:val="20"/>
                <w:szCs w:val="20"/>
              </w:rPr>
              <w:t xml:space="preserve">iploma, </w:t>
            </w:r>
            <w:r w:rsidR="001153C7" w:rsidRPr="00DC63B5">
              <w:rPr>
                <w:rFonts w:ascii="Century Gothic" w:hAnsi="Century Gothic"/>
                <w:sz w:val="20"/>
                <w:szCs w:val="20"/>
              </w:rPr>
              <w:t>A</w:t>
            </w:r>
            <w:r w:rsidRPr="00DC63B5">
              <w:rPr>
                <w:rFonts w:ascii="Century Gothic" w:hAnsi="Century Gothic"/>
                <w:sz w:val="20"/>
                <w:szCs w:val="20"/>
              </w:rPr>
              <w:t xml:space="preserve">ssociate </w:t>
            </w:r>
            <w:r w:rsidR="001153C7" w:rsidRPr="00DC63B5">
              <w:rPr>
                <w:rFonts w:ascii="Century Gothic" w:hAnsi="Century Gothic"/>
                <w:sz w:val="20"/>
                <w:szCs w:val="20"/>
              </w:rPr>
              <w:t>D</w:t>
            </w:r>
            <w:r w:rsidRPr="00DC63B5">
              <w:rPr>
                <w:rFonts w:ascii="Century Gothic" w:hAnsi="Century Gothic"/>
                <w:sz w:val="20"/>
                <w:szCs w:val="20"/>
              </w:rPr>
              <w:t xml:space="preserve">egree, </w:t>
            </w:r>
            <w:r w:rsidR="001153C7" w:rsidRPr="00DC63B5">
              <w:rPr>
                <w:rFonts w:ascii="Century Gothic" w:hAnsi="Century Gothic"/>
                <w:sz w:val="20"/>
                <w:szCs w:val="20"/>
              </w:rPr>
              <w:t>B</w:t>
            </w:r>
            <w:r w:rsidRPr="00DC63B5">
              <w:rPr>
                <w:rFonts w:ascii="Century Gothic" w:hAnsi="Century Gothic"/>
                <w:sz w:val="20"/>
                <w:szCs w:val="20"/>
              </w:rPr>
              <w:t xml:space="preserve">achelor </w:t>
            </w:r>
            <w:r w:rsidR="001153C7" w:rsidRPr="00DC63B5">
              <w:rPr>
                <w:rFonts w:ascii="Century Gothic" w:hAnsi="Century Gothic"/>
                <w:sz w:val="20"/>
                <w:szCs w:val="20"/>
              </w:rPr>
              <w:t>D</w:t>
            </w:r>
            <w:r w:rsidRPr="00DC63B5">
              <w:rPr>
                <w:rFonts w:ascii="Century Gothic" w:hAnsi="Century Gothic"/>
                <w:sz w:val="20"/>
                <w:szCs w:val="20"/>
              </w:rPr>
              <w:t xml:space="preserve">egree, </w:t>
            </w:r>
            <w:r w:rsidR="001153C7" w:rsidRPr="00DC63B5">
              <w:rPr>
                <w:rFonts w:ascii="Century Gothic" w:hAnsi="Century Gothic"/>
                <w:sz w:val="20"/>
                <w:szCs w:val="20"/>
              </w:rPr>
              <w:t>B</w:t>
            </w:r>
            <w:r w:rsidR="00CF006C" w:rsidRPr="00DC63B5">
              <w:rPr>
                <w:rFonts w:ascii="Century Gothic" w:hAnsi="Century Gothic"/>
                <w:sz w:val="20"/>
                <w:szCs w:val="20"/>
              </w:rPr>
              <w:t xml:space="preserve">achelor </w:t>
            </w:r>
            <w:r w:rsidR="001153C7" w:rsidRPr="00DC63B5">
              <w:rPr>
                <w:rFonts w:ascii="Century Gothic" w:hAnsi="Century Gothic"/>
                <w:sz w:val="20"/>
                <w:szCs w:val="20"/>
              </w:rPr>
              <w:t>H</w:t>
            </w:r>
            <w:r w:rsidR="00F40377" w:rsidRPr="00DC63B5">
              <w:rPr>
                <w:rFonts w:ascii="Century Gothic" w:hAnsi="Century Gothic"/>
                <w:sz w:val="20"/>
                <w:szCs w:val="20"/>
              </w:rPr>
              <w:t xml:space="preserve">onours </w:t>
            </w:r>
            <w:r w:rsidR="001153C7" w:rsidRPr="00DC63B5">
              <w:rPr>
                <w:rFonts w:ascii="Century Gothic" w:hAnsi="Century Gothic"/>
                <w:sz w:val="20"/>
                <w:szCs w:val="20"/>
              </w:rPr>
              <w:t>D</w:t>
            </w:r>
            <w:r w:rsidR="00F40377" w:rsidRPr="00DC63B5">
              <w:rPr>
                <w:rFonts w:ascii="Century Gothic" w:hAnsi="Century Gothic"/>
                <w:sz w:val="20"/>
                <w:szCs w:val="20"/>
              </w:rPr>
              <w:t xml:space="preserve">egree, </w:t>
            </w:r>
            <w:r w:rsidR="001153C7" w:rsidRPr="00DC63B5">
              <w:rPr>
                <w:rFonts w:ascii="Century Gothic" w:hAnsi="Century Gothic"/>
                <w:sz w:val="20"/>
                <w:szCs w:val="20"/>
              </w:rPr>
              <w:t>G</w:t>
            </w:r>
            <w:r w:rsidRPr="00DC63B5">
              <w:rPr>
                <w:rFonts w:ascii="Century Gothic" w:hAnsi="Century Gothic"/>
                <w:sz w:val="20"/>
                <w:szCs w:val="20"/>
              </w:rPr>
              <w:t xml:space="preserve">raduate </w:t>
            </w:r>
            <w:r w:rsidR="001153C7" w:rsidRPr="00DC63B5">
              <w:rPr>
                <w:rFonts w:ascii="Century Gothic" w:hAnsi="Century Gothic"/>
                <w:sz w:val="20"/>
                <w:szCs w:val="20"/>
              </w:rPr>
              <w:t>C</w:t>
            </w:r>
            <w:r w:rsidRPr="00DC63B5">
              <w:rPr>
                <w:rFonts w:ascii="Century Gothic" w:hAnsi="Century Gothic"/>
                <w:sz w:val="20"/>
                <w:szCs w:val="20"/>
              </w:rPr>
              <w:t xml:space="preserve">ertificate, </w:t>
            </w:r>
            <w:r w:rsidR="001153C7" w:rsidRPr="00DC63B5">
              <w:rPr>
                <w:rFonts w:ascii="Century Gothic" w:hAnsi="Century Gothic"/>
                <w:sz w:val="20"/>
                <w:szCs w:val="20"/>
              </w:rPr>
              <w:t>G</w:t>
            </w:r>
            <w:r w:rsidRPr="00DC63B5">
              <w:rPr>
                <w:rFonts w:ascii="Century Gothic" w:hAnsi="Century Gothic"/>
                <w:sz w:val="20"/>
                <w:szCs w:val="20"/>
              </w:rPr>
              <w:t xml:space="preserve">raduate </w:t>
            </w:r>
            <w:r w:rsidR="001153C7" w:rsidRPr="00DC63B5">
              <w:rPr>
                <w:rFonts w:ascii="Century Gothic" w:hAnsi="Century Gothic"/>
                <w:sz w:val="20"/>
                <w:szCs w:val="20"/>
              </w:rPr>
              <w:t>D</w:t>
            </w:r>
            <w:r w:rsidRPr="00DC63B5">
              <w:rPr>
                <w:rFonts w:ascii="Century Gothic" w:hAnsi="Century Gothic"/>
                <w:sz w:val="20"/>
                <w:szCs w:val="20"/>
              </w:rPr>
              <w:t xml:space="preserve">iploma, </w:t>
            </w:r>
            <w:r w:rsidR="001153C7" w:rsidRPr="00DC63B5">
              <w:rPr>
                <w:rFonts w:ascii="Century Gothic" w:hAnsi="Century Gothic"/>
                <w:sz w:val="20"/>
                <w:szCs w:val="20"/>
              </w:rPr>
              <w:t>M</w:t>
            </w:r>
            <w:r w:rsidRPr="00DC63B5">
              <w:rPr>
                <w:rFonts w:ascii="Century Gothic" w:hAnsi="Century Gothic"/>
                <w:sz w:val="20"/>
                <w:szCs w:val="20"/>
              </w:rPr>
              <w:t>asters</w:t>
            </w:r>
            <w:r w:rsidR="001153C7" w:rsidRPr="00DC63B5">
              <w:rPr>
                <w:rFonts w:ascii="Century Gothic" w:hAnsi="Century Gothic"/>
                <w:sz w:val="20"/>
                <w:szCs w:val="20"/>
              </w:rPr>
              <w:t> </w:t>
            </w:r>
            <w:r w:rsidRPr="00DC63B5">
              <w:rPr>
                <w:rFonts w:ascii="Century Gothic" w:hAnsi="Century Gothic"/>
                <w:sz w:val="20"/>
                <w:szCs w:val="20"/>
              </w:rPr>
              <w:t xml:space="preserve">degree or </w:t>
            </w:r>
            <w:r w:rsidR="001153C7" w:rsidRPr="00DC63B5">
              <w:rPr>
                <w:rFonts w:ascii="Century Gothic" w:hAnsi="Century Gothic"/>
                <w:sz w:val="20"/>
                <w:szCs w:val="20"/>
              </w:rPr>
              <w:t>D</w:t>
            </w:r>
            <w:r w:rsidRPr="00DC63B5">
              <w:rPr>
                <w:rFonts w:ascii="Century Gothic" w:hAnsi="Century Gothic"/>
                <w:sz w:val="20"/>
                <w:szCs w:val="20"/>
              </w:rPr>
              <w:t xml:space="preserve">octoral </w:t>
            </w:r>
            <w:r w:rsidR="001153C7" w:rsidRPr="00DC63B5">
              <w:rPr>
                <w:rFonts w:ascii="Century Gothic" w:hAnsi="Century Gothic"/>
                <w:sz w:val="20"/>
                <w:szCs w:val="20"/>
              </w:rPr>
              <w:t>D</w:t>
            </w:r>
            <w:r w:rsidRPr="00DC63B5">
              <w:rPr>
                <w:rFonts w:ascii="Century Gothic" w:hAnsi="Century Gothic"/>
                <w:sz w:val="20"/>
                <w:szCs w:val="20"/>
              </w:rPr>
              <w:t xml:space="preserve">egree; or </w:t>
            </w:r>
          </w:p>
          <w:p w14:paraId="6798244C" w14:textId="0E96557F" w:rsidR="00400C53" w:rsidRPr="00DC63B5" w:rsidRDefault="00400C53" w:rsidP="0024520B">
            <w:pPr>
              <w:pStyle w:val="ListParagraph"/>
              <w:numPr>
                <w:ilvl w:val="0"/>
                <w:numId w:val="70"/>
              </w:numPr>
              <w:spacing w:before="0" w:after="0"/>
              <w:rPr>
                <w:rFonts w:ascii="Century Gothic" w:hAnsi="Century Gothic"/>
                <w:sz w:val="20"/>
                <w:szCs w:val="20"/>
              </w:rPr>
            </w:pPr>
            <w:r w:rsidRPr="00DC63B5">
              <w:rPr>
                <w:rFonts w:ascii="Century Gothic" w:hAnsi="Century Gothic"/>
                <w:sz w:val="20"/>
                <w:szCs w:val="20"/>
              </w:rPr>
              <w:t xml:space="preserve">a qualification covered by Levels 5-10 of the Australian Qualifications Framework; or </w:t>
            </w:r>
          </w:p>
          <w:p w14:paraId="52B55B90" w14:textId="2FEE89CE" w:rsidR="00400C53" w:rsidRPr="00DC63B5" w:rsidRDefault="00400C53" w:rsidP="0024520B">
            <w:pPr>
              <w:pStyle w:val="ListParagraph"/>
              <w:numPr>
                <w:ilvl w:val="0"/>
                <w:numId w:val="70"/>
              </w:numPr>
              <w:spacing w:before="0" w:after="0"/>
              <w:rPr>
                <w:rFonts w:ascii="Century Gothic" w:hAnsi="Century Gothic"/>
                <w:sz w:val="20"/>
                <w:szCs w:val="20"/>
              </w:rPr>
            </w:pPr>
            <w:r w:rsidRPr="00DC63B5">
              <w:rPr>
                <w:rFonts w:ascii="Century Gothic" w:hAnsi="Century Gothic"/>
                <w:sz w:val="20"/>
                <w:szCs w:val="20"/>
              </w:rPr>
              <w:t>an award of a similar kind or represented as being of a similar kind, to any of the above awards;</w:t>
            </w:r>
          </w:p>
          <w:p w14:paraId="128688FE" w14:textId="77777777" w:rsidR="00400C53" w:rsidRPr="00DC63B5" w:rsidRDefault="00400C53" w:rsidP="00DC63B5">
            <w:pPr>
              <w:spacing w:before="0" w:after="0"/>
              <w:rPr>
                <w:rFonts w:ascii="Century Gothic" w:hAnsi="Century Gothic"/>
                <w:sz w:val="20"/>
                <w:szCs w:val="20"/>
              </w:rPr>
            </w:pPr>
            <w:r w:rsidRPr="00DC63B5">
              <w:rPr>
                <w:rFonts w:ascii="Century Gothic" w:hAnsi="Century Gothic"/>
                <w:sz w:val="20"/>
                <w:szCs w:val="20"/>
              </w:rPr>
              <w:t xml:space="preserve">other than an award offered or conferred for the completion of a vocational education and training course. </w:t>
            </w:r>
          </w:p>
          <w:p w14:paraId="5A768066" w14:textId="77777777" w:rsidR="00400C53" w:rsidRPr="00730C0D" w:rsidRDefault="00400C53" w:rsidP="00400C53">
            <w:pPr>
              <w:spacing w:before="0" w:after="0"/>
              <w:rPr>
                <w:rFonts w:ascii="Century Gothic" w:hAnsi="Century Gothic"/>
                <w:sz w:val="20"/>
                <w:szCs w:val="20"/>
              </w:rPr>
            </w:pPr>
          </w:p>
        </w:tc>
      </w:tr>
      <w:tr w:rsidR="00400C53" w:rsidRPr="00730C0D" w14:paraId="183942DD" w14:textId="77777777" w:rsidTr="00CD7C81">
        <w:tc>
          <w:tcPr>
            <w:tcW w:w="1980" w:type="dxa"/>
            <w:vAlign w:val="top"/>
          </w:tcPr>
          <w:p w14:paraId="49C95FE3" w14:textId="2FA48029"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b/>
                <w:sz w:val="20"/>
                <w:szCs w:val="20"/>
              </w:rPr>
              <w:t>Higher education provider</w:t>
            </w:r>
          </w:p>
          <w:p w14:paraId="4D707349" w14:textId="77777777" w:rsidR="00400C53" w:rsidRPr="00730C0D" w:rsidRDefault="00400C53" w:rsidP="00400C53">
            <w:pPr>
              <w:spacing w:before="0" w:after="0" w:line="259" w:lineRule="auto"/>
              <w:rPr>
                <w:rFonts w:ascii="Century Gothic" w:hAnsi="Century Gothic"/>
                <w:sz w:val="20"/>
                <w:szCs w:val="20"/>
              </w:rPr>
            </w:pPr>
          </w:p>
        </w:tc>
        <w:tc>
          <w:tcPr>
            <w:tcW w:w="7659" w:type="dxa"/>
            <w:vAlign w:val="top"/>
          </w:tcPr>
          <w:p w14:paraId="3B045557" w14:textId="755790BA"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sz w:val="20"/>
                <w:szCs w:val="20"/>
              </w:rPr>
              <w:t xml:space="preserve">A higher education provider is an institution offering at least one accredited higher education qualification. Also known as ‘registered higher education providers’, they are registered under Part 3 of the </w:t>
            </w:r>
            <w:r w:rsidRPr="00730C0D">
              <w:rPr>
                <w:rFonts w:ascii="Century Gothic" w:hAnsi="Century Gothic"/>
                <w:i/>
                <w:sz w:val="20"/>
                <w:szCs w:val="20"/>
              </w:rPr>
              <w:t>TEQSA Act 2011</w:t>
            </w:r>
            <w:r w:rsidRPr="00730C0D">
              <w:rPr>
                <w:rFonts w:ascii="Century Gothic" w:hAnsi="Century Gothic"/>
                <w:sz w:val="20"/>
                <w:szCs w:val="20"/>
              </w:rPr>
              <w:t xml:space="preserve"> and are listed on the National Register under </w:t>
            </w:r>
            <w:r w:rsidR="00DC63B5">
              <w:rPr>
                <w:rFonts w:ascii="Century Gothic" w:hAnsi="Century Gothic"/>
                <w:sz w:val="20"/>
                <w:szCs w:val="20"/>
              </w:rPr>
              <w:t>Section 198(1</w:t>
            </w:r>
            <w:r w:rsidRPr="00730C0D">
              <w:rPr>
                <w:rFonts w:ascii="Century Gothic" w:hAnsi="Century Gothic"/>
                <w:sz w:val="20"/>
                <w:szCs w:val="20"/>
              </w:rPr>
              <w:t>a</w:t>
            </w:r>
            <w:r w:rsidR="00DC63B5">
              <w:rPr>
                <w:rFonts w:ascii="Century Gothic" w:hAnsi="Century Gothic"/>
                <w:sz w:val="20"/>
                <w:szCs w:val="20"/>
              </w:rPr>
              <w:t>)</w:t>
            </w:r>
            <w:r w:rsidRPr="00730C0D">
              <w:rPr>
                <w:rFonts w:ascii="Century Gothic" w:hAnsi="Century Gothic"/>
                <w:sz w:val="20"/>
                <w:szCs w:val="20"/>
              </w:rPr>
              <w:t xml:space="preserve"> of the </w:t>
            </w:r>
            <w:r w:rsidRPr="00730C0D">
              <w:rPr>
                <w:rFonts w:ascii="Century Gothic" w:hAnsi="Century Gothic"/>
                <w:sz w:val="20"/>
                <w:szCs w:val="20"/>
              </w:rPr>
              <w:br/>
            </w:r>
            <w:r w:rsidRPr="00730C0D">
              <w:rPr>
                <w:rFonts w:ascii="Century Gothic" w:hAnsi="Century Gothic"/>
                <w:i/>
                <w:sz w:val="20"/>
                <w:szCs w:val="20"/>
              </w:rPr>
              <w:t>TEQSA Act 2011</w:t>
            </w:r>
            <w:r w:rsidRPr="00730C0D">
              <w:rPr>
                <w:rFonts w:ascii="Century Gothic" w:hAnsi="Century Gothic"/>
                <w:sz w:val="20"/>
                <w:szCs w:val="20"/>
              </w:rPr>
              <w:t>. Higher education providers include both public and private and self-accrediting and non-self-accrediting institutions.</w:t>
            </w:r>
          </w:p>
          <w:p w14:paraId="1C1CCEE1" w14:textId="4A690C29" w:rsidR="00400C53" w:rsidRPr="00730C0D" w:rsidRDefault="00400C53" w:rsidP="00400C53">
            <w:pPr>
              <w:spacing w:before="0" w:after="0" w:line="259" w:lineRule="auto"/>
              <w:rPr>
                <w:rFonts w:ascii="Century Gothic" w:hAnsi="Century Gothic"/>
                <w:sz w:val="20"/>
                <w:szCs w:val="20"/>
              </w:rPr>
            </w:pPr>
          </w:p>
        </w:tc>
      </w:tr>
      <w:tr w:rsidR="00400C53" w:rsidRPr="00730C0D" w14:paraId="596D78DD" w14:textId="77777777" w:rsidTr="00CD7C81">
        <w:tc>
          <w:tcPr>
            <w:tcW w:w="1980" w:type="dxa"/>
            <w:vAlign w:val="top"/>
          </w:tcPr>
          <w:p w14:paraId="67C6E9CE" w14:textId="5AD63BAD"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Higher Education Standards Panel (HESP)</w:t>
            </w:r>
          </w:p>
          <w:p w14:paraId="550475A7" w14:textId="77777777" w:rsidR="00400C53" w:rsidRPr="00730C0D" w:rsidRDefault="00400C53" w:rsidP="00400C53">
            <w:pPr>
              <w:spacing w:before="0" w:after="0"/>
              <w:rPr>
                <w:rFonts w:ascii="Century Gothic" w:hAnsi="Century Gothic"/>
                <w:b/>
                <w:sz w:val="20"/>
                <w:szCs w:val="20"/>
              </w:rPr>
            </w:pPr>
          </w:p>
        </w:tc>
        <w:tc>
          <w:tcPr>
            <w:tcW w:w="7659" w:type="dxa"/>
            <w:vAlign w:val="top"/>
          </w:tcPr>
          <w:p w14:paraId="27225E23" w14:textId="6D700493"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The </w:t>
            </w:r>
            <w:r w:rsidR="00CF006C" w:rsidRPr="00730C0D">
              <w:rPr>
                <w:rFonts w:ascii="Century Gothic" w:hAnsi="Century Gothic"/>
                <w:sz w:val="20"/>
                <w:szCs w:val="20"/>
              </w:rPr>
              <w:t>Higher Education Standards Panel (HESP)</w:t>
            </w:r>
            <w:r w:rsidRPr="00730C0D">
              <w:rPr>
                <w:rFonts w:ascii="Century Gothic" w:hAnsi="Century Gothic"/>
                <w:sz w:val="20"/>
                <w:szCs w:val="20"/>
              </w:rPr>
              <w:t xml:space="preserve">, established by Section 166 of the </w:t>
            </w:r>
            <w:r w:rsidR="00CF006C" w:rsidRPr="00730C0D">
              <w:rPr>
                <w:rFonts w:ascii="Century Gothic" w:hAnsi="Century Gothic"/>
                <w:i/>
                <w:sz w:val="20"/>
                <w:szCs w:val="20"/>
              </w:rPr>
              <w:t>TEQSA Act 2011</w:t>
            </w:r>
            <w:r w:rsidRPr="00730C0D">
              <w:rPr>
                <w:rFonts w:ascii="Century Gothic" w:hAnsi="Century Gothic"/>
                <w:sz w:val="20"/>
                <w:szCs w:val="20"/>
              </w:rPr>
              <w:t>, is responsible for developing and monitoring the Higher Education Standards Framework. HESP members are appointed by the Minister</w:t>
            </w:r>
            <w:r w:rsidR="00CF006C" w:rsidRPr="00730C0D">
              <w:rPr>
                <w:rFonts w:ascii="Century Gothic" w:hAnsi="Century Gothic"/>
                <w:sz w:val="20"/>
                <w:szCs w:val="20"/>
              </w:rPr>
              <w:t xml:space="preserve"> for Education</w:t>
            </w:r>
            <w:r w:rsidRPr="00730C0D">
              <w:rPr>
                <w:rFonts w:ascii="Century Gothic" w:hAnsi="Century Gothic"/>
                <w:sz w:val="20"/>
                <w:szCs w:val="20"/>
              </w:rPr>
              <w:t>. As from 1 January 2015, the HESP has been supported by the Department of Education.</w:t>
            </w:r>
          </w:p>
          <w:p w14:paraId="6C822FB7" w14:textId="77777777" w:rsidR="00400C53" w:rsidRPr="00730C0D" w:rsidRDefault="00400C53" w:rsidP="00400C53">
            <w:pPr>
              <w:spacing w:before="0" w:after="0"/>
              <w:rPr>
                <w:rFonts w:ascii="Century Gothic" w:hAnsi="Century Gothic"/>
                <w:sz w:val="20"/>
                <w:szCs w:val="20"/>
              </w:rPr>
            </w:pPr>
          </w:p>
        </w:tc>
      </w:tr>
      <w:tr w:rsidR="00400C53" w:rsidRPr="00730C0D" w14:paraId="0D17E589" w14:textId="77777777" w:rsidTr="00CD7C81">
        <w:tc>
          <w:tcPr>
            <w:tcW w:w="1980" w:type="dxa"/>
            <w:vAlign w:val="top"/>
          </w:tcPr>
          <w:p w14:paraId="57C29A03" w14:textId="77777777"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 xml:space="preserve">Higher Education Standards Framework </w:t>
            </w:r>
          </w:p>
        </w:tc>
        <w:tc>
          <w:tcPr>
            <w:tcW w:w="7659" w:type="dxa"/>
            <w:vAlign w:val="top"/>
          </w:tcPr>
          <w:p w14:paraId="662DEF90" w14:textId="0271DDDF" w:rsidR="00400C53" w:rsidRPr="00730C0D" w:rsidRDefault="00400C53" w:rsidP="00DC63B5">
            <w:pPr>
              <w:spacing w:before="0" w:after="0"/>
              <w:ind w:right="-247"/>
              <w:rPr>
                <w:rFonts w:ascii="Century Gothic" w:hAnsi="Century Gothic"/>
                <w:sz w:val="20"/>
                <w:szCs w:val="20"/>
              </w:rPr>
            </w:pPr>
            <w:r w:rsidRPr="00730C0D">
              <w:rPr>
                <w:rFonts w:ascii="Century Gothic" w:hAnsi="Century Gothic"/>
                <w:sz w:val="20"/>
                <w:szCs w:val="20"/>
              </w:rPr>
              <w:t xml:space="preserve">The </w:t>
            </w:r>
            <w:r w:rsidRPr="00730C0D">
              <w:rPr>
                <w:rFonts w:ascii="Century Gothic" w:hAnsi="Century Gothic"/>
                <w:i/>
                <w:iCs/>
                <w:sz w:val="20"/>
                <w:szCs w:val="20"/>
              </w:rPr>
              <w:t xml:space="preserve">Higher Education Standards Framework (Threshold Standards) 2015 </w:t>
            </w:r>
            <w:r w:rsidRPr="00730C0D">
              <w:rPr>
                <w:rFonts w:ascii="Century Gothic" w:hAnsi="Century Gothic"/>
                <w:sz w:val="20"/>
                <w:szCs w:val="20"/>
              </w:rPr>
              <w:t>(Threshold Standards)</w:t>
            </w:r>
            <w:r w:rsidR="00CF006C" w:rsidRPr="00730C0D">
              <w:rPr>
                <w:rFonts w:ascii="Century Gothic" w:hAnsi="Century Gothic"/>
                <w:sz w:val="20"/>
                <w:szCs w:val="20"/>
              </w:rPr>
              <w:t xml:space="preserve"> is a legislative instrument </w:t>
            </w:r>
            <w:r w:rsidR="00DC63B5">
              <w:rPr>
                <w:rFonts w:ascii="Century Gothic" w:hAnsi="Century Gothic"/>
                <w:sz w:val="20"/>
                <w:szCs w:val="20"/>
              </w:rPr>
              <w:t xml:space="preserve">established </w:t>
            </w:r>
            <w:r w:rsidR="00CF006C" w:rsidRPr="00730C0D">
              <w:rPr>
                <w:rFonts w:ascii="Century Gothic" w:hAnsi="Century Gothic"/>
                <w:sz w:val="20"/>
                <w:szCs w:val="20"/>
              </w:rPr>
              <w:t xml:space="preserve">under the </w:t>
            </w:r>
            <w:r w:rsidR="00DC63B5">
              <w:rPr>
                <w:rFonts w:ascii="Century Gothic" w:hAnsi="Century Gothic"/>
                <w:sz w:val="20"/>
                <w:szCs w:val="20"/>
              </w:rPr>
              <w:br/>
            </w:r>
            <w:r w:rsidR="00CF006C" w:rsidRPr="00730C0D">
              <w:rPr>
                <w:rFonts w:ascii="Century Gothic" w:hAnsi="Century Gothic"/>
                <w:i/>
                <w:sz w:val="20"/>
                <w:szCs w:val="20"/>
              </w:rPr>
              <w:t>TESQA Act 2011</w:t>
            </w:r>
            <w:r w:rsidR="00CF006C" w:rsidRPr="00730C0D">
              <w:rPr>
                <w:rFonts w:ascii="Century Gothic" w:hAnsi="Century Gothic"/>
                <w:sz w:val="20"/>
                <w:szCs w:val="20"/>
              </w:rPr>
              <w:t>.</w:t>
            </w:r>
            <w:r w:rsidRPr="00730C0D">
              <w:rPr>
                <w:rFonts w:ascii="Century Gothic" w:hAnsi="Century Gothic"/>
                <w:sz w:val="20"/>
                <w:szCs w:val="20"/>
              </w:rPr>
              <w:t xml:space="preserve"> </w:t>
            </w:r>
            <w:r w:rsidR="00CF006C" w:rsidRPr="00730C0D">
              <w:rPr>
                <w:rFonts w:ascii="Century Gothic" w:hAnsi="Century Gothic"/>
                <w:sz w:val="20"/>
                <w:szCs w:val="20"/>
              </w:rPr>
              <w:t xml:space="preserve">It </w:t>
            </w:r>
            <w:r w:rsidRPr="00730C0D">
              <w:rPr>
                <w:rFonts w:ascii="Century Gothic" w:hAnsi="Century Gothic"/>
                <w:sz w:val="20"/>
                <w:szCs w:val="20"/>
              </w:rPr>
              <w:t>commenced on 1 January 2017. For more informatio</w:t>
            </w:r>
            <w:r w:rsidR="00DC63B5">
              <w:rPr>
                <w:rFonts w:ascii="Century Gothic" w:hAnsi="Century Gothic"/>
                <w:sz w:val="20"/>
                <w:szCs w:val="20"/>
              </w:rPr>
              <w:t xml:space="preserve">n </w:t>
            </w:r>
            <w:r w:rsidR="00DC63B5">
              <w:rPr>
                <w:rFonts w:ascii="Century Gothic" w:hAnsi="Century Gothic"/>
                <w:sz w:val="20"/>
                <w:szCs w:val="20"/>
              </w:rPr>
              <w:br/>
              <w:t xml:space="preserve">about the Threshold Standards see: </w:t>
            </w:r>
            <w:hyperlink r:id="rId38" w:history="1">
              <w:r w:rsidRPr="00730C0D">
                <w:rPr>
                  <w:rStyle w:val="Hyperlink"/>
                  <w:rFonts w:ascii="Century Gothic" w:hAnsi="Century Gothic"/>
                  <w:bCs/>
                  <w:sz w:val="20"/>
                  <w:szCs w:val="20"/>
                </w:rPr>
                <w:t>https://www.legislation.gov.au/Details/F2015L01639</w:t>
              </w:r>
            </w:hyperlink>
            <w:r w:rsidRPr="00730C0D">
              <w:rPr>
                <w:rFonts w:ascii="Century Gothic" w:hAnsi="Century Gothic"/>
                <w:bCs/>
                <w:sz w:val="20"/>
                <w:szCs w:val="20"/>
              </w:rPr>
              <w:t>.</w:t>
            </w:r>
          </w:p>
          <w:p w14:paraId="0B4C66FE" w14:textId="77777777" w:rsidR="00400C53" w:rsidRPr="00730C0D" w:rsidRDefault="00400C53" w:rsidP="00400C53">
            <w:pPr>
              <w:spacing w:before="0" w:after="0"/>
              <w:rPr>
                <w:rFonts w:ascii="Century Gothic" w:hAnsi="Century Gothic"/>
                <w:sz w:val="20"/>
                <w:szCs w:val="20"/>
              </w:rPr>
            </w:pPr>
            <w:r w:rsidRPr="00730C0D">
              <w:rPr>
                <w:rFonts w:ascii="Century Gothic" w:hAnsi="Century Gothic"/>
                <w:bCs/>
                <w:sz w:val="20"/>
                <w:szCs w:val="20"/>
              </w:rPr>
              <w:t xml:space="preserve"> </w:t>
            </w:r>
          </w:p>
        </w:tc>
      </w:tr>
      <w:tr w:rsidR="00400C53" w:rsidRPr="00730C0D" w14:paraId="468A4238" w14:textId="77777777" w:rsidTr="00CD7C81">
        <w:tc>
          <w:tcPr>
            <w:tcW w:w="1980" w:type="dxa"/>
            <w:vAlign w:val="top"/>
          </w:tcPr>
          <w:p w14:paraId="1494FC5B" w14:textId="30964DCE"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Pathway providers</w:t>
            </w:r>
          </w:p>
          <w:p w14:paraId="70E3C812" w14:textId="41AC9320" w:rsidR="00400C53" w:rsidRPr="00730C0D" w:rsidRDefault="00400C53" w:rsidP="00400C53">
            <w:pPr>
              <w:spacing w:before="0" w:after="0"/>
              <w:rPr>
                <w:rFonts w:ascii="Century Gothic" w:hAnsi="Century Gothic"/>
                <w:b/>
                <w:sz w:val="20"/>
                <w:szCs w:val="20"/>
              </w:rPr>
            </w:pPr>
          </w:p>
        </w:tc>
        <w:tc>
          <w:tcPr>
            <w:tcW w:w="7659" w:type="dxa"/>
            <w:vAlign w:val="top"/>
          </w:tcPr>
          <w:p w14:paraId="76658A88" w14:textId="7DF3944F" w:rsidR="00CF006C" w:rsidRPr="00730C0D" w:rsidRDefault="00CF006C" w:rsidP="00CF006C">
            <w:pPr>
              <w:spacing w:before="0" w:after="0"/>
              <w:rPr>
                <w:rFonts w:ascii="Century Gothic" w:hAnsi="Century Gothic"/>
                <w:sz w:val="20"/>
                <w:szCs w:val="20"/>
              </w:rPr>
            </w:pPr>
            <w:r w:rsidRPr="00730C0D">
              <w:rPr>
                <w:rFonts w:ascii="Century Gothic" w:hAnsi="Century Gothic"/>
                <w:sz w:val="20"/>
                <w:szCs w:val="20"/>
              </w:rPr>
              <w:t xml:space="preserve">Pathway providers serve an important function in offering diploma or foundational courses to help prepare students for entry into higher degrees. Generally, pathway providers have a relationship with a specific university through articulation and credit recognition arrangements, but others may admit students into multiple universities. </w:t>
            </w:r>
          </w:p>
          <w:p w14:paraId="6D7F4516" w14:textId="1D60D9FE" w:rsidR="00400C53" w:rsidRPr="00730C0D" w:rsidRDefault="00400C53" w:rsidP="00400C53">
            <w:pPr>
              <w:spacing w:before="0" w:after="0"/>
              <w:rPr>
                <w:rFonts w:ascii="Century Gothic" w:hAnsi="Century Gothic"/>
                <w:sz w:val="20"/>
                <w:szCs w:val="20"/>
              </w:rPr>
            </w:pPr>
          </w:p>
        </w:tc>
      </w:tr>
      <w:tr w:rsidR="00400C53" w:rsidRPr="00730C0D" w14:paraId="50E0D542" w14:textId="77777777" w:rsidTr="00CD7C81">
        <w:tc>
          <w:tcPr>
            <w:tcW w:w="1980" w:type="dxa"/>
            <w:vAlign w:val="top"/>
          </w:tcPr>
          <w:p w14:paraId="249803A9" w14:textId="60B2D99B"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Provider category</w:t>
            </w:r>
          </w:p>
        </w:tc>
        <w:tc>
          <w:tcPr>
            <w:tcW w:w="7659" w:type="dxa"/>
            <w:vAlign w:val="top"/>
          </w:tcPr>
          <w:p w14:paraId="6298C4D0" w14:textId="77777777"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There are currently six provider categories listed in the Higher Education Provider Category Standards: </w:t>
            </w:r>
          </w:p>
          <w:p w14:paraId="19C34F95" w14:textId="77777777" w:rsidR="00400C53" w:rsidRPr="00730C0D" w:rsidRDefault="00400C53" w:rsidP="0024520B">
            <w:pPr>
              <w:pStyle w:val="ListParagraph"/>
              <w:numPr>
                <w:ilvl w:val="0"/>
                <w:numId w:val="68"/>
              </w:numPr>
              <w:spacing w:before="0" w:after="0"/>
              <w:rPr>
                <w:rFonts w:ascii="Century Gothic" w:hAnsi="Century Gothic"/>
                <w:sz w:val="20"/>
                <w:szCs w:val="20"/>
              </w:rPr>
            </w:pPr>
            <w:r w:rsidRPr="00730C0D">
              <w:rPr>
                <w:rFonts w:ascii="Century Gothic" w:hAnsi="Century Gothic"/>
                <w:sz w:val="20"/>
                <w:szCs w:val="20"/>
              </w:rPr>
              <w:t xml:space="preserve">Higher Education Provider </w:t>
            </w:r>
          </w:p>
          <w:p w14:paraId="74D0CFCE" w14:textId="77777777" w:rsidR="00400C53" w:rsidRPr="00730C0D" w:rsidRDefault="00400C53" w:rsidP="0024520B">
            <w:pPr>
              <w:pStyle w:val="ListParagraph"/>
              <w:numPr>
                <w:ilvl w:val="0"/>
                <w:numId w:val="68"/>
              </w:numPr>
              <w:spacing w:before="0" w:after="0"/>
              <w:rPr>
                <w:rFonts w:ascii="Century Gothic" w:hAnsi="Century Gothic"/>
                <w:sz w:val="20"/>
                <w:szCs w:val="20"/>
              </w:rPr>
            </w:pPr>
            <w:r w:rsidRPr="00730C0D">
              <w:rPr>
                <w:rFonts w:ascii="Century Gothic" w:hAnsi="Century Gothic"/>
                <w:sz w:val="20"/>
                <w:szCs w:val="20"/>
              </w:rPr>
              <w:t>Australian University College</w:t>
            </w:r>
          </w:p>
          <w:p w14:paraId="09C11963" w14:textId="77777777" w:rsidR="00400C53" w:rsidRPr="00730C0D" w:rsidRDefault="00400C53" w:rsidP="0024520B">
            <w:pPr>
              <w:pStyle w:val="ListParagraph"/>
              <w:numPr>
                <w:ilvl w:val="0"/>
                <w:numId w:val="68"/>
              </w:numPr>
              <w:spacing w:before="0" w:after="0"/>
              <w:rPr>
                <w:rFonts w:ascii="Century Gothic" w:hAnsi="Century Gothic"/>
                <w:sz w:val="20"/>
                <w:szCs w:val="20"/>
              </w:rPr>
            </w:pPr>
            <w:r w:rsidRPr="00730C0D">
              <w:rPr>
                <w:rFonts w:ascii="Century Gothic" w:hAnsi="Century Gothic"/>
                <w:sz w:val="20"/>
                <w:szCs w:val="20"/>
              </w:rPr>
              <w:t>Australian University of Specialisation</w:t>
            </w:r>
          </w:p>
          <w:p w14:paraId="4FF78EB4" w14:textId="77777777" w:rsidR="00400C53" w:rsidRPr="00730C0D" w:rsidRDefault="00400C53" w:rsidP="0024520B">
            <w:pPr>
              <w:pStyle w:val="ListParagraph"/>
              <w:numPr>
                <w:ilvl w:val="0"/>
                <w:numId w:val="68"/>
              </w:numPr>
              <w:spacing w:before="0" w:after="0"/>
              <w:rPr>
                <w:rFonts w:ascii="Century Gothic" w:hAnsi="Century Gothic"/>
                <w:sz w:val="20"/>
                <w:szCs w:val="20"/>
              </w:rPr>
            </w:pPr>
            <w:r w:rsidRPr="00730C0D">
              <w:rPr>
                <w:rFonts w:ascii="Century Gothic" w:hAnsi="Century Gothic"/>
                <w:sz w:val="20"/>
                <w:szCs w:val="20"/>
              </w:rPr>
              <w:t>Australian University</w:t>
            </w:r>
          </w:p>
          <w:p w14:paraId="504951E3" w14:textId="77777777" w:rsidR="00400C53" w:rsidRPr="00730C0D" w:rsidRDefault="00400C53" w:rsidP="0024520B">
            <w:pPr>
              <w:pStyle w:val="ListParagraph"/>
              <w:numPr>
                <w:ilvl w:val="0"/>
                <w:numId w:val="68"/>
              </w:numPr>
              <w:spacing w:before="0" w:after="0"/>
              <w:rPr>
                <w:rFonts w:ascii="Century Gothic" w:hAnsi="Century Gothic"/>
                <w:sz w:val="20"/>
                <w:szCs w:val="20"/>
              </w:rPr>
            </w:pPr>
            <w:r w:rsidRPr="00730C0D">
              <w:rPr>
                <w:rFonts w:ascii="Century Gothic" w:hAnsi="Century Gothic"/>
                <w:sz w:val="20"/>
                <w:szCs w:val="20"/>
              </w:rPr>
              <w:t>Overseas University</w:t>
            </w:r>
          </w:p>
          <w:p w14:paraId="733010FF" w14:textId="77777777" w:rsidR="00400C53" w:rsidRPr="00730C0D" w:rsidRDefault="00400C53" w:rsidP="0024520B">
            <w:pPr>
              <w:pStyle w:val="ListParagraph"/>
              <w:numPr>
                <w:ilvl w:val="0"/>
                <w:numId w:val="68"/>
              </w:numPr>
              <w:spacing w:before="0" w:after="0"/>
              <w:rPr>
                <w:rFonts w:ascii="Century Gothic" w:hAnsi="Century Gothic"/>
                <w:sz w:val="20"/>
                <w:szCs w:val="20"/>
              </w:rPr>
            </w:pPr>
            <w:r w:rsidRPr="00730C0D">
              <w:rPr>
                <w:rFonts w:ascii="Century Gothic" w:hAnsi="Century Gothic"/>
                <w:sz w:val="20"/>
                <w:szCs w:val="20"/>
              </w:rPr>
              <w:t>Overseas University of Specialisation</w:t>
            </w:r>
          </w:p>
          <w:p w14:paraId="76D12762" w14:textId="6A26F273" w:rsidR="00400C53" w:rsidRPr="00730C0D" w:rsidRDefault="00400C53" w:rsidP="006A7659">
            <w:pPr>
              <w:pStyle w:val="ListParagraph"/>
              <w:spacing w:before="0" w:after="0"/>
              <w:rPr>
                <w:rFonts w:ascii="Century Gothic" w:hAnsi="Century Gothic"/>
                <w:sz w:val="20"/>
                <w:szCs w:val="20"/>
              </w:rPr>
            </w:pPr>
          </w:p>
        </w:tc>
      </w:tr>
      <w:tr w:rsidR="00400C53" w:rsidRPr="00730C0D" w14:paraId="07FDE900" w14:textId="77777777" w:rsidTr="00CD7C81">
        <w:tc>
          <w:tcPr>
            <w:tcW w:w="1980" w:type="dxa"/>
            <w:vAlign w:val="top"/>
          </w:tcPr>
          <w:p w14:paraId="28624816" w14:textId="77777777"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b/>
                <w:sz w:val="20"/>
                <w:szCs w:val="20"/>
              </w:rPr>
              <w:t>Post-secondary education</w:t>
            </w:r>
          </w:p>
        </w:tc>
        <w:tc>
          <w:tcPr>
            <w:tcW w:w="7659" w:type="dxa"/>
            <w:vAlign w:val="top"/>
          </w:tcPr>
          <w:p w14:paraId="5D743F85" w14:textId="048DA4CC" w:rsidR="00400C53" w:rsidRPr="00730C0D" w:rsidRDefault="00CF006C" w:rsidP="00400C53">
            <w:pPr>
              <w:spacing w:before="0" w:after="0" w:line="259" w:lineRule="auto"/>
              <w:rPr>
                <w:rFonts w:ascii="Century Gothic" w:hAnsi="Century Gothic"/>
                <w:sz w:val="20"/>
                <w:szCs w:val="20"/>
              </w:rPr>
            </w:pPr>
            <w:r w:rsidRPr="00730C0D">
              <w:rPr>
                <w:rFonts w:ascii="Century Gothic" w:hAnsi="Century Gothic"/>
                <w:sz w:val="20"/>
                <w:szCs w:val="20"/>
              </w:rPr>
              <w:t>Post-secondary education encompasses a</w:t>
            </w:r>
            <w:r w:rsidR="00400C53" w:rsidRPr="00730C0D">
              <w:rPr>
                <w:rFonts w:ascii="Century Gothic" w:hAnsi="Century Gothic"/>
                <w:sz w:val="20"/>
                <w:szCs w:val="20"/>
              </w:rPr>
              <w:t>ll education and training undertaken after secondary schooling including vocational education and training, higher education, and adult and community education.</w:t>
            </w:r>
          </w:p>
          <w:p w14:paraId="4FB5AEC0"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2299548C" w14:textId="77777777" w:rsidTr="00CD7C81">
        <w:tc>
          <w:tcPr>
            <w:tcW w:w="1980" w:type="dxa"/>
            <w:vAlign w:val="top"/>
          </w:tcPr>
          <w:p w14:paraId="32E05208"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Qualification</w:t>
            </w:r>
          </w:p>
        </w:tc>
        <w:tc>
          <w:tcPr>
            <w:tcW w:w="7659" w:type="dxa"/>
            <w:vAlign w:val="top"/>
          </w:tcPr>
          <w:p w14:paraId="42AA8411" w14:textId="417D4CE2"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sz w:val="20"/>
                <w:szCs w:val="20"/>
              </w:rPr>
              <w:t>A qualification is a formal certification, issued by a relevant approved body, to recognise that a person has achieved learning outcomes or competencies relevant to identified individual, professional, industry</w:t>
            </w:r>
            <w:r w:rsidR="00CF006C" w:rsidRPr="00730C0D">
              <w:rPr>
                <w:rFonts w:ascii="Century Gothic" w:hAnsi="Century Gothic"/>
                <w:sz w:val="20"/>
                <w:szCs w:val="20"/>
              </w:rPr>
              <w:t>,</w:t>
            </w:r>
            <w:r w:rsidRPr="00730C0D">
              <w:rPr>
                <w:rFonts w:ascii="Century Gothic" w:hAnsi="Century Gothic"/>
                <w:sz w:val="20"/>
                <w:szCs w:val="20"/>
              </w:rPr>
              <w:t xml:space="preserve"> or community needs.</w:t>
            </w:r>
          </w:p>
        </w:tc>
      </w:tr>
      <w:tr w:rsidR="00400C53" w:rsidRPr="00730C0D" w14:paraId="5160FE07" w14:textId="77777777" w:rsidTr="00CD7C81">
        <w:tc>
          <w:tcPr>
            <w:tcW w:w="1980" w:type="dxa"/>
            <w:vAlign w:val="top"/>
          </w:tcPr>
          <w:p w14:paraId="6F4D4690"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Registered Training Organisation (RTO)</w:t>
            </w:r>
          </w:p>
        </w:tc>
        <w:tc>
          <w:tcPr>
            <w:tcW w:w="7659" w:type="dxa"/>
            <w:vAlign w:val="top"/>
          </w:tcPr>
          <w:p w14:paraId="0298FC00" w14:textId="5B254675"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sz w:val="20"/>
                <w:szCs w:val="20"/>
              </w:rPr>
              <w:t xml:space="preserve">A Registered Training Organisation (RTO) is a training provider registered by </w:t>
            </w:r>
            <w:r w:rsidR="00CF006C" w:rsidRPr="00730C0D">
              <w:rPr>
                <w:rFonts w:ascii="Century Gothic" w:hAnsi="Century Gothic"/>
                <w:sz w:val="20"/>
                <w:szCs w:val="20"/>
              </w:rPr>
              <w:t xml:space="preserve">the Australian Skills Quality Authority </w:t>
            </w:r>
            <w:r w:rsidRPr="00730C0D">
              <w:rPr>
                <w:rFonts w:ascii="Century Gothic" w:hAnsi="Century Gothic"/>
                <w:sz w:val="20"/>
                <w:szCs w:val="20"/>
              </w:rPr>
              <w:t xml:space="preserve">(or, in some cases, a state regulator) to deliver vocational education and training services. RTOs deliver </w:t>
            </w:r>
            <w:r w:rsidR="00DC63B5">
              <w:rPr>
                <w:rFonts w:ascii="Century Gothic" w:hAnsi="Century Gothic"/>
                <w:sz w:val="20"/>
                <w:szCs w:val="20"/>
              </w:rPr>
              <w:br/>
            </w:r>
            <w:r w:rsidRPr="00730C0D">
              <w:rPr>
                <w:rFonts w:ascii="Century Gothic" w:hAnsi="Century Gothic"/>
                <w:sz w:val="20"/>
                <w:szCs w:val="20"/>
              </w:rPr>
              <w:t>certificates I-IV, VET diplomas and advanced diplomas</w:t>
            </w:r>
            <w:r w:rsidR="00DC63B5">
              <w:rPr>
                <w:rFonts w:ascii="Century Gothic" w:hAnsi="Century Gothic"/>
                <w:sz w:val="20"/>
                <w:szCs w:val="20"/>
              </w:rPr>
              <w:t>,</w:t>
            </w:r>
            <w:r w:rsidRPr="00730C0D">
              <w:rPr>
                <w:rFonts w:ascii="Century Gothic" w:hAnsi="Century Gothic"/>
                <w:sz w:val="20"/>
                <w:szCs w:val="20"/>
              </w:rPr>
              <w:t xml:space="preserve"> and VET graduate certificates.</w:t>
            </w:r>
          </w:p>
          <w:p w14:paraId="42083EE0"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5DDA67F2" w14:textId="77777777" w:rsidTr="00CD7C81">
        <w:tc>
          <w:tcPr>
            <w:tcW w:w="1980" w:type="dxa"/>
            <w:vAlign w:val="top"/>
          </w:tcPr>
          <w:p w14:paraId="10FE3D8B"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 xml:space="preserve">Regulator </w:t>
            </w:r>
          </w:p>
        </w:tc>
        <w:tc>
          <w:tcPr>
            <w:tcW w:w="7659" w:type="dxa"/>
            <w:vAlign w:val="top"/>
          </w:tcPr>
          <w:p w14:paraId="048BBFA9" w14:textId="3F7F29B4" w:rsidR="00400C53" w:rsidRPr="00730C0D" w:rsidRDefault="00400C53" w:rsidP="00400C53">
            <w:pPr>
              <w:spacing w:before="0" w:after="0" w:line="259" w:lineRule="auto"/>
              <w:rPr>
                <w:rFonts w:ascii="Century Gothic" w:hAnsi="Century Gothic"/>
                <w:iCs/>
                <w:sz w:val="20"/>
                <w:szCs w:val="20"/>
              </w:rPr>
            </w:pPr>
            <w:r w:rsidRPr="00730C0D">
              <w:rPr>
                <w:rFonts w:ascii="Century Gothic" w:hAnsi="Century Gothic"/>
                <w:iCs/>
                <w:sz w:val="20"/>
                <w:szCs w:val="20"/>
              </w:rPr>
              <w:t>The regulator for higher education in Australia is the Tertiary Education Quality and Standards Agency (TEQSA). The</w:t>
            </w:r>
            <w:r w:rsidR="004C6D3D" w:rsidRPr="00730C0D">
              <w:rPr>
                <w:rFonts w:ascii="Century Gothic" w:hAnsi="Century Gothic"/>
                <w:iCs/>
                <w:sz w:val="20"/>
                <w:szCs w:val="20"/>
              </w:rPr>
              <w:t xml:space="preserve"> main</w:t>
            </w:r>
            <w:r w:rsidRPr="00730C0D">
              <w:rPr>
                <w:rFonts w:ascii="Century Gothic" w:hAnsi="Century Gothic"/>
                <w:iCs/>
                <w:sz w:val="20"/>
                <w:szCs w:val="20"/>
              </w:rPr>
              <w:t xml:space="preserve"> regulator for vocational education in Australia is the Australian Skills Quality Authority (ASQA). </w:t>
            </w:r>
            <w:r w:rsidR="004C6D3D" w:rsidRPr="00730C0D">
              <w:rPr>
                <w:rFonts w:ascii="Century Gothic" w:hAnsi="Century Gothic"/>
                <w:iCs/>
                <w:sz w:val="20"/>
                <w:szCs w:val="20"/>
              </w:rPr>
              <w:br/>
              <w:t>The Victorian Registration and Qualifications Authority and the Tertiary Accreditation Council Western Australia are the regulators for VET providers delivering qualifications in those states and to domestic students only.</w:t>
            </w:r>
          </w:p>
          <w:p w14:paraId="004478C9"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6B5129D7" w14:textId="77777777" w:rsidTr="00CD7C81">
        <w:tc>
          <w:tcPr>
            <w:tcW w:w="1980" w:type="dxa"/>
            <w:vAlign w:val="top"/>
          </w:tcPr>
          <w:p w14:paraId="1ED2A036"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Research</w:t>
            </w:r>
          </w:p>
        </w:tc>
        <w:tc>
          <w:tcPr>
            <w:tcW w:w="7659" w:type="dxa"/>
            <w:vAlign w:val="top"/>
          </w:tcPr>
          <w:p w14:paraId="1158EBB2" w14:textId="37DE1333" w:rsidR="00400C53" w:rsidRPr="00730C0D" w:rsidRDefault="00400C53" w:rsidP="00400C53">
            <w:pPr>
              <w:spacing w:before="0" w:after="0" w:line="259" w:lineRule="auto"/>
              <w:rPr>
                <w:rFonts w:ascii="Century Gothic" w:hAnsi="Century Gothic"/>
                <w:sz w:val="20"/>
                <w:szCs w:val="20"/>
                <w:lang w:val="en"/>
              </w:rPr>
            </w:pPr>
            <w:r w:rsidRPr="00730C0D">
              <w:rPr>
                <w:rFonts w:ascii="Century Gothic" w:hAnsi="Century Gothic"/>
                <w:sz w:val="20"/>
                <w:szCs w:val="20"/>
              </w:rPr>
              <w:t xml:space="preserve">There are many definitions of research. For the purposes of the </w:t>
            </w:r>
            <w:r w:rsidR="001C4E7E" w:rsidRPr="00730C0D">
              <w:rPr>
                <w:rFonts w:ascii="Century Gothic" w:hAnsi="Century Gothic"/>
                <w:sz w:val="20"/>
                <w:szCs w:val="20"/>
              </w:rPr>
              <w:br/>
            </w:r>
            <w:r w:rsidRPr="00730C0D">
              <w:rPr>
                <w:rFonts w:ascii="Century Gothic" w:hAnsi="Century Gothic"/>
                <w:sz w:val="20"/>
                <w:szCs w:val="20"/>
              </w:rPr>
              <w:t xml:space="preserve">Threshold Standards, TEQSA defines research as </w:t>
            </w:r>
            <w:r w:rsidRPr="00730C0D">
              <w:rPr>
                <w:rFonts w:ascii="Century Gothic" w:hAnsi="Century Gothic"/>
                <w:iCs/>
                <w:sz w:val="20"/>
                <w:szCs w:val="20"/>
                <w:lang w:val="en"/>
              </w:rPr>
              <w:t>academic activities of a higher education provider that contribute to new knowledge through original investigation</w:t>
            </w:r>
            <w:r w:rsidRPr="00730C0D">
              <w:rPr>
                <w:rFonts w:ascii="Century Gothic" w:hAnsi="Century Gothic"/>
                <w:sz w:val="20"/>
                <w:szCs w:val="20"/>
                <w:lang w:val="en"/>
              </w:rPr>
              <w:t>.</w:t>
            </w:r>
          </w:p>
          <w:p w14:paraId="1B56C85C"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1EA4CD81" w14:textId="77777777" w:rsidTr="00CD7C81">
        <w:tc>
          <w:tcPr>
            <w:tcW w:w="1980" w:type="dxa"/>
            <w:vAlign w:val="top"/>
          </w:tcPr>
          <w:p w14:paraId="696C61E3" w14:textId="1816B003"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 xml:space="preserve">Self-accrediting provider </w:t>
            </w:r>
          </w:p>
        </w:tc>
        <w:tc>
          <w:tcPr>
            <w:tcW w:w="7659" w:type="dxa"/>
            <w:vAlign w:val="top"/>
          </w:tcPr>
          <w:p w14:paraId="1EAD28A8" w14:textId="67E3A9FA"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A self-accrediting provider is one which has authority to accredit some or all of its higher education courses. Part B2 of the PCS sets out the criteria for </w:t>
            </w:r>
            <w:r w:rsidR="001C4E7E" w:rsidRPr="00730C0D">
              <w:rPr>
                <w:rFonts w:ascii="Century Gothic" w:hAnsi="Century Gothic"/>
                <w:sz w:val="20"/>
                <w:szCs w:val="20"/>
              </w:rPr>
              <w:br/>
            </w:r>
            <w:r w:rsidRPr="00730C0D">
              <w:rPr>
                <w:rFonts w:ascii="Century Gothic" w:hAnsi="Century Gothic"/>
                <w:sz w:val="20"/>
                <w:szCs w:val="20"/>
              </w:rPr>
              <w:t xml:space="preserve">self-accrediting authority. The types of self-accrediting authority that can be authorised by TEQSA are: </w:t>
            </w:r>
          </w:p>
          <w:p w14:paraId="73FD8786" w14:textId="77777777" w:rsidR="00400C53" w:rsidRPr="00730C0D" w:rsidRDefault="00400C53" w:rsidP="0024520B">
            <w:pPr>
              <w:numPr>
                <w:ilvl w:val="0"/>
                <w:numId w:val="44"/>
              </w:numPr>
              <w:spacing w:before="0" w:after="0"/>
              <w:rPr>
                <w:rFonts w:ascii="Century Gothic" w:hAnsi="Century Gothic"/>
                <w:sz w:val="20"/>
                <w:szCs w:val="20"/>
              </w:rPr>
            </w:pPr>
            <w:r w:rsidRPr="00730C0D">
              <w:rPr>
                <w:rFonts w:ascii="Century Gothic" w:hAnsi="Century Gothic"/>
                <w:sz w:val="20"/>
                <w:szCs w:val="20"/>
              </w:rPr>
              <w:t>Unlimited: self-accrediting authority for all higher education courses of study that the provider delivers, or may deliver, in any AQF level or field of education; and</w:t>
            </w:r>
          </w:p>
          <w:p w14:paraId="43AACCD8" w14:textId="10FBE276" w:rsidR="00400C53" w:rsidRPr="00730C0D" w:rsidRDefault="00400C53" w:rsidP="0024520B">
            <w:pPr>
              <w:numPr>
                <w:ilvl w:val="0"/>
                <w:numId w:val="44"/>
              </w:numPr>
              <w:spacing w:before="0" w:after="0"/>
              <w:rPr>
                <w:rFonts w:ascii="Century Gothic" w:hAnsi="Century Gothic"/>
                <w:sz w:val="20"/>
                <w:szCs w:val="20"/>
              </w:rPr>
            </w:pPr>
            <w:r w:rsidRPr="00730C0D">
              <w:rPr>
                <w:rFonts w:ascii="Century Gothic" w:hAnsi="Century Gothic"/>
                <w:sz w:val="20"/>
                <w:szCs w:val="20"/>
              </w:rPr>
              <w:t xml:space="preserve">Limited: self-accrediting authority for higher education courses that the provider delivers, or may deliver, in a specific combination of AQF levels and/or fields of education. </w:t>
            </w:r>
          </w:p>
          <w:p w14:paraId="7DF4426A" w14:textId="739F5C74" w:rsidR="00400C53" w:rsidRPr="00730C0D" w:rsidRDefault="00400C53" w:rsidP="00400C53">
            <w:pPr>
              <w:spacing w:before="0" w:after="0"/>
              <w:rPr>
                <w:rFonts w:ascii="Century Gothic" w:hAnsi="Century Gothic"/>
                <w:sz w:val="20"/>
                <w:szCs w:val="20"/>
              </w:rPr>
            </w:pPr>
          </w:p>
        </w:tc>
      </w:tr>
      <w:tr w:rsidR="00400C53" w:rsidRPr="00730C0D" w14:paraId="38A37EFA" w14:textId="77777777" w:rsidTr="00CD7C81">
        <w:tc>
          <w:tcPr>
            <w:tcW w:w="1980" w:type="dxa"/>
            <w:vAlign w:val="top"/>
          </w:tcPr>
          <w:p w14:paraId="23BF14B1"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Scholarship</w:t>
            </w:r>
          </w:p>
        </w:tc>
        <w:tc>
          <w:tcPr>
            <w:tcW w:w="7659" w:type="dxa"/>
            <w:vAlign w:val="top"/>
          </w:tcPr>
          <w:p w14:paraId="7489A03E" w14:textId="78DF86E8" w:rsidR="00400C53" w:rsidRPr="00730C0D" w:rsidRDefault="001C4E7E" w:rsidP="00400C53">
            <w:pPr>
              <w:spacing w:before="0" w:after="0" w:line="259" w:lineRule="auto"/>
              <w:rPr>
                <w:rFonts w:ascii="Century Gothic" w:hAnsi="Century Gothic"/>
                <w:sz w:val="20"/>
                <w:szCs w:val="20"/>
              </w:rPr>
            </w:pPr>
            <w:r w:rsidRPr="00730C0D">
              <w:rPr>
                <w:rFonts w:ascii="Century Gothic" w:hAnsi="Century Gothic"/>
                <w:sz w:val="20"/>
                <w:szCs w:val="20"/>
              </w:rPr>
              <w:t>Scholarship includes a</w:t>
            </w:r>
            <w:r w:rsidR="00400C53" w:rsidRPr="00730C0D">
              <w:rPr>
                <w:rFonts w:ascii="Century Gothic" w:hAnsi="Century Gothic"/>
                <w:sz w:val="20"/>
                <w:szCs w:val="20"/>
              </w:rPr>
              <w:t>ctivities concerned with gaining new or improved understanding, appreciation and insights into a field of knowledge, and engaging with and keeping up to date with advances in the field. This includes advances in ways of teaching and learning in the relevant field</w:t>
            </w:r>
            <w:r w:rsidRPr="00730C0D">
              <w:rPr>
                <w:rFonts w:ascii="Century Gothic" w:hAnsi="Century Gothic"/>
                <w:sz w:val="20"/>
                <w:szCs w:val="20"/>
              </w:rPr>
              <w:t>,</w:t>
            </w:r>
            <w:r w:rsidR="00400C53" w:rsidRPr="00730C0D">
              <w:rPr>
                <w:rFonts w:ascii="Century Gothic" w:hAnsi="Century Gothic"/>
                <w:sz w:val="20"/>
                <w:szCs w:val="20"/>
              </w:rPr>
              <w:t xml:space="preserve">  developments in professional practice, </w:t>
            </w:r>
            <w:r w:rsidRPr="00730C0D">
              <w:rPr>
                <w:rFonts w:ascii="Century Gothic" w:hAnsi="Century Gothic"/>
                <w:sz w:val="20"/>
                <w:szCs w:val="20"/>
              </w:rPr>
              <w:t>and</w:t>
            </w:r>
            <w:r w:rsidR="00400C53" w:rsidRPr="00730C0D">
              <w:rPr>
                <w:rFonts w:ascii="Century Gothic" w:hAnsi="Century Gothic"/>
                <w:sz w:val="20"/>
                <w:szCs w:val="20"/>
              </w:rPr>
              <w:t xml:space="preserve"> advances in disciplinary knowledge through original research.</w:t>
            </w:r>
          </w:p>
          <w:p w14:paraId="5ED55179"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78C5900F" w14:textId="77777777" w:rsidTr="00CD7C81">
        <w:tc>
          <w:tcPr>
            <w:tcW w:w="1980" w:type="dxa"/>
            <w:vAlign w:val="top"/>
          </w:tcPr>
          <w:p w14:paraId="734B057F" w14:textId="77777777" w:rsidR="00400C53" w:rsidRPr="00730C0D" w:rsidRDefault="00400C53" w:rsidP="00400C53">
            <w:pPr>
              <w:spacing w:before="0" w:after="0" w:line="259" w:lineRule="auto"/>
              <w:rPr>
                <w:rFonts w:ascii="Century Gothic" w:hAnsi="Century Gothic"/>
                <w:sz w:val="20"/>
                <w:szCs w:val="20"/>
              </w:rPr>
            </w:pPr>
            <w:r w:rsidRPr="00730C0D">
              <w:rPr>
                <w:rFonts w:ascii="Century Gothic" w:hAnsi="Century Gothic"/>
                <w:b/>
                <w:sz w:val="20"/>
                <w:szCs w:val="20"/>
              </w:rPr>
              <w:t>Sector</w:t>
            </w:r>
          </w:p>
          <w:p w14:paraId="201EE0AF" w14:textId="77777777" w:rsidR="00400C53" w:rsidRPr="00730C0D" w:rsidRDefault="00400C53" w:rsidP="00400C53">
            <w:pPr>
              <w:spacing w:before="0" w:after="0" w:line="259" w:lineRule="auto"/>
              <w:rPr>
                <w:rFonts w:ascii="Century Gothic" w:hAnsi="Century Gothic"/>
                <w:sz w:val="20"/>
                <w:szCs w:val="20"/>
              </w:rPr>
            </w:pPr>
          </w:p>
        </w:tc>
        <w:tc>
          <w:tcPr>
            <w:tcW w:w="7659" w:type="dxa"/>
            <w:vAlign w:val="top"/>
          </w:tcPr>
          <w:p w14:paraId="5B9E63AD" w14:textId="74114203" w:rsidR="00400C53" w:rsidRPr="00730C0D" w:rsidRDefault="001C4E7E" w:rsidP="00400C53">
            <w:pPr>
              <w:spacing w:before="0" w:after="0" w:line="259" w:lineRule="auto"/>
              <w:rPr>
                <w:rFonts w:ascii="Century Gothic" w:hAnsi="Century Gothic"/>
                <w:sz w:val="20"/>
                <w:szCs w:val="20"/>
              </w:rPr>
            </w:pPr>
            <w:r w:rsidRPr="00730C0D">
              <w:rPr>
                <w:rFonts w:ascii="Century Gothic" w:hAnsi="Century Gothic"/>
                <w:sz w:val="20"/>
                <w:szCs w:val="20"/>
              </w:rPr>
              <w:t>The term ‘sector’ refers to c</w:t>
            </w:r>
            <w:r w:rsidR="00400C53" w:rsidRPr="00730C0D">
              <w:rPr>
                <w:rFonts w:ascii="Century Gothic" w:hAnsi="Century Gothic"/>
                <w:sz w:val="20"/>
                <w:szCs w:val="20"/>
              </w:rPr>
              <w:t>ategories of educational activity which are defined in terms of course type and award. Sectors within tertiary education are the higher education sector and the vocational education and training sector.</w:t>
            </w:r>
          </w:p>
          <w:p w14:paraId="6662D656" w14:textId="77777777" w:rsidR="00400C53" w:rsidRPr="00730C0D" w:rsidRDefault="00400C53" w:rsidP="00400C53">
            <w:pPr>
              <w:spacing w:before="0" w:after="0" w:line="259" w:lineRule="auto"/>
              <w:rPr>
                <w:rFonts w:ascii="Century Gothic" w:hAnsi="Century Gothic"/>
                <w:sz w:val="20"/>
                <w:szCs w:val="20"/>
              </w:rPr>
            </w:pPr>
          </w:p>
        </w:tc>
      </w:tr>
      <w:tr w:rsidR="00400C53" w:rsidRPr="00730C0D" w14:paraId="665613DC" w14:textId="77777777" w:rsidTr="00CD7C81">
        <w:tc>
          <w:tcPr>
            <w:tcW w:w="1980" w:type="dxa"/>
            <w:vAlign w:val="top"/>
          </w:tcPr>
          <w:p w14:paraId="4E332329" w14:textId="77777777"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 xml:space="preserve">TAFE institution </w:t>
            </w:r>
          </w:p>
          <w:p w14:paraId="786B4FD7" w14:textId="2C2979D1" w:rsidR="00400C53" w:rsidRPr="00730C0D" w:rsidRDefault="00400C53" w:rsidP="00400C53">
            <w:pPr>
              <w:spacing w:before="0" w:after="0"/>
              <w:rPr>
                <w:rFonts w:ascii="Century Gothic" w:hAnsi="Century Gothic"/>
                <w:b/>
                <w:sz w:val="20"/>
                <w:szCs w:val="20"/>
              </w:rPr>
            </w:pPr>
          </w:p>
        </w:tc>
        <w:tc>
          <w:tcPr>
            <w:tcW w:w="7659" w:type="dxa"/>
            <w:vAlign w:val="top"/>
          </w:tcPr>
          <w:p w14:paraId="3CC04919" w14:textId="763AF781"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A Technical and Further Education (TAFE) institution is a registered training organisation owned and operated by a State government. TAFE institutions deliver the majority of publicly-funded vocational education and training.</w:t>
            </w:r>
          </w:p>
          <w:p w14:paraId="47E2E41D" w14:textId="71434523" w:rsidR="00400C53" w:rsidRPr="00730C0D" w:rsidRDefault="00400C53" w:rsidP="00400C53">
            <w:pPr>
              <w:spacing w:before="0" w:after="0"/>
              <w:rPr>
                <w:rFonts w:ascii="Century Gothic" w:hAnsi="Century Gothic"/>
                <w:sz w:val="20"/>
                <w:szCs w:val="20"/>
              </w:rPr>
            </w:pPr>
          </w:p>
        </w:tc>
      </w:tr>
      <w:tr w:rsidR="00400C53" w:rsidRPr="00730C0D" w14:paraId="48B0DDF1" w14:textId="77777777" w:rsidTr="00CD7C81">
        <w:tc>
          <w:tcPr>
            <w:tcW w:w="1980" w:type="dxa"/>
            <w:vAlign w:val="top"/>
          </w:tcPr>
          <w:p w14:paraId="2EB3C47E" w14:textId="526238B9"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 xml:space="preserve">Tertiary </w:t>
            </w:r>
          </w:p>
        </w:tc>
        <w:tc>
          <w:tcPr>
            <w:tcW w:w="7659" w:type="dxa"/>
            <w:vAlign w:val="top"/>
          </w:tcPr>
          <w:p w14:paraId="7E61129B" w14:textId="551E53E4"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 xml:space="preserve">Tertiary education in Australia refers to all post-secondary education including both the higher education and </w:t>
            </w:r>
            <w:r w:rsidR="00971230" w:rsidRPr="00730C0D">
              <w:rPr>
                <w:rFonts w:ascii="Century Gothic" w:hAnsi="Century Gothic"/>
                <w:sz w:val="20"/>
                <w:szCs w:val="20"/>
              </w:rPr>
              <w:t xml:space="preserve">vocational education and training </w:t>
            </w:r>
            <w:r w:rsidRPr="00730C0D">
              <w:rPr>
                <w:rFonts w:ascii="Century Gothic" w:hAnsi="Century Gothic"/>
                <w:sz w:val="20"/>
                <w:szCs w:val="20"/>
              </w:rPr>
              <w:t xml:space="preserve">sectors. </w:t>
            </w:r>
          </w:p>
          <w:p w14:paraId="4185E50C" w14:textId="68509775" w:rsidR="00DC63B5" w:rsidRPr="00730C0D" w:rsidRDefault="00DC63B5" w:rsidP="00400C53">
            <w:pPr>
              <w:spacing w:before="0" w:after="0"/>
              <w:rPr>
                <w:rFonts w:ascii="Century Gothic" w:hAnsi="Century Gothic"/>
                <w:sz w:val="20"/>
                <w:szCs w:val="20"/>
              </w:rPr>
            </w:pPr>
          </w:p>
        </w:tc>
      </w:tr>
      <w:tr w:rsidR="00400C53" w:rsidRPr="00730C0D" w14:paraId="03FD8388" w14:textId="77777777" w:rsidTr="00CD7C81">
        <w:tc>
          <w:tcPr>
            <w:tcW w:w="1980" w:type="dxa"/>
            <w:vAlign w:val="top"/>
          </w:tcPr>
          <w:p w14:paraId="52BE35FC" w14:textId="1CECF19B"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Tertiary Education Quality and Standards Agency (TEQSA)</w:t>
            </w:r>
          </w:p>
          <w:p w14:paraId="4E348217" w14:textId="4B212CBD" w:rsidR="00400C53" w:rsidRPr="00730C0D" w:rsidRDefault="00400C53" w:rsidP="00400C53">
            <w:pPr>
              <w:spacing w:before="0" w:after="0"/>
              <w:rPr>
                <w:rFonts w:ascii="Century Gothic" w:hAnsi="Century Gothic"/>
                <w:b/>
                <w:sz w:val="20"/>
                <w:szCs w:val="20"/>
              </w:rPr>
            </w:pPr>
          </w:p>
        </w:tc>
        <w:tc>
          <w:tcPr>
            <w:tcW w:w="7659" w:type="dxa"/>
            <w:vAlign w:val="top"/>
          </w:tcPr>
          <w:p w14:paraId="4F6F82E6" w14:textId="1C1F82D4" w:rsidR="00400C53" w:rsidRPr="00730C0D" w:rsidRDefault="00400C53">
            <w:pPr>
              <w:spacing w:before="0" w:after="0"/>
              <w:rPr>
                <w:rFonts w:ascii="Century Gothic" w:hAnsi="Century Gothic"/>
                <w:sz w:val="20"/>
                <w:szCs w:val="20"/>
              </w:rPr>
            </w:pPr>
            <w:r w:rsidRPr="00730C0D">
              <w:rPr>
                <w:rFonts w:ascii="Century Gothic" w:hAnsi="Century Gothic"/>
                <w:sz w:val="20"/>
                <w:szCs w:val="20"/>
                <w:lang w:val="en"/>
              </w:rPr>
              <w:t xml:space="preserve">The Tertiary Education Quality and Standards Agency (TEQSA) is Australia’s independent national quality assurance and regulatory agency for higher education, established by Section 132 of the </w:t>
            </w:r>
            <w:r w:rsidR="00971230" w:rsidRPr="00730C0D">
              <w:rPr>
                <w:rFonts w:ascii="Century Gothic" w:hAnsi="Century Gothic"/>
                <w:i/>
                <w:sz w:val="20"/>
                <w:szCs w:val="20"/>
                <w:lang w:val="en"/>
              </w:rPr>
              <w:t>TEQSA Act 2011</w:t>
            </w:r>
            <w:r w:rsidRPr="00730C0D">
              <w:rPr>
                <w:rFonts w:ascii="Century Gothic" w:hAnsi="Century Gothic"/>
                <w:sz w:val="20"/>
                <w:szCs w:val="20"/>
                <w:lang w:val="en"/>
              </w:rPr>
              <w:t>.</w:t>
            </w:r>
          </w:p>
        </w:tc>
      </w:tr>
      <w:tr w:rsidR="00400C53" w:rsidRPr="00730C0D" w14:paraId="288922DD" w14:textId="77777777" w:rsidTr="00CD7C81">
        <w:tc>
          <w:tcPr>
            <w:tcW w:w="1980" w:type="dxa"/>
            <w:vAlign w:val="top"/>
          </w:tcPr>
          <w:p w14:paraId="5AB19256" w14:textId="2194F332"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 xml:space="preserve">Third-party arrangements </w:t>
            </w:r>
          </w:p>
          <w:p w14:paraId="33E0DF4B" w14:textId="770A216F" w:rsidR="00400C53" w:rsidRPr="00730C0D" w:rsidRDefault="00400C53" w:rsidP="00400C53">
            <w:pPr>
              <w:spacing w:before="0" w:after="0"/>
              <w:rPr>
                <w:rFonts w:ascii="Century Gothic" w:hAnsi="Century Gothic"/>
                <w:b/>
                <w:sz w:val="20"/>
                <w:szCs w:val="20"/>
              </w:rPr>
            </w:pPr>
          </w:p>
        </w:tc>
        <w:tc>
          <w:tcPr>
            <w:tcW w:w="7659" w:type="dxa"/>
            <w:vAlign w:val="top"/>
          </w:tcPr>
          <w:p w14:paraId="5857BA2C" w14:textId="3A7AFFB2" w:rsidR="00400C53" w:rsidRPr="00730C0D" w:rsidRDefault="00971230" w:rsidP="00400C53">
            <w:pPr>
              <w:spacing w:before="0" w:after="0"/>
              <w:rPr>
                <w:rFonts w:ascii="Century Gothic" w:hAnsi="Century Gothic"/>
                <w:sz w:val="20"/>
                <w:szCs w:val="20"/>
                <w:lang w:val="en"/>
              </w:rPr>
            </w:pPr>
            <w:r w:rsidRPr="00730C0D">
              <w:rPr>
                <w:rFonts w:ascii="Century Gothic" w:hAnsi="Century Gothic"/>
                <w:sz w:val="20"/>
                <w:szCs w:val="20"/>
                <w:lang w:val="en"/>
              </w:rPr>
              <w:t>A third-party arrangement</w:t>
            </w:r>
            <w:r w:rsidR="00400C53" w:rsidRPr="00730C0D">
              <w:rPr>
                <w:rFonts w:ascii="Century Gothic" w:hAnsi="Century Gothic"/>
                <w:sz w:val="20"/>
                <w:szCs w:val="20"/>
                <w:lang w:val="en"/>
              </w:rPr>
              <w:t xml:space="preserve"> </w:t>
            </w:r>
            <w:r w:rsidRPr="00730C0D">
              <w:rPr>
                <w:rFonts w:ascii="Century Gothic" w:hAnsi="Century Gothic"/>
                <w:sz w:val="20"/>
                <w:szCs w:val="20"/>
                <w:lang w:val="en"/>
              </w:rPr>
              <w:t xml:space="preserve">is </w:t>
            </w:r>
            <w:r w:rsidR="00400C53" w:rsidRPr="00730C0D">
              <w:rPr>
                <w:rFonts w:ascii="Century Gothic" w:hAnsi="Century Gothic"/>
                <w:sz w:val="20"/>
                <w:szCs w:val="20"/>
                <w:lang w:val="en"/>
              </w:rPr>
              <w:t>an arrangement made by a provider with another party (in Australia or overseas) to deliver some or all of a higher education course</w:t>
            </w:r>
            <w:r w:rsidRPr="00730C0D">
              <w:rPr>
                <w:rFonts w:ascii="Century Gothic" w:hAnsi="Century Gothic"/>
                <w:sz w:val="20"/>
                <w:szCs w:val="20"/>
                <w:lang w:val="en"/>
              </w:rPr>
              <w:t xml:space="preserve"> on behalf of the provider</w:t>
            </w:r>
            <w:r w:rsidR="00400C53" w:rsidRPr="00730C0D">
              <w:rPr>
                <w:rFonts w:ascii="Century Gothic" w:hAnsi="Century Gothic"/>
                <w:sz w:val="20"/>
                <w:szCs w:val="20"/>
                <w:lang w:val="en"/>
              </w:rPr>
              <w:t>.</w:t>
            </w:r>
          </w:p>
          <w:p w14:paraId="54E32181" w14:textId="66A80F16" w:rsidR="00400C53" w:rsidRPr="00730C0D" w:rsidRDefault="00400C53" w:rsidP="00400C53">
            <w:pPr>
              <w:spacing w:before="0" w:after="0"/>
              <w:rPr>
                <w:rFonts w:ascii="Century Gothic" w:hAnsi="Century Gothic"/>
                <w:sz w:val="20"/>
                <w:szCs w:val="20"/>
              </w:rPr>
            </w:pPr>
          </w:p>
        </w:tc>
      </w:tr>
      <w:tr w:rsidR="00400C53" w:rsidRPr="00730C0D" w14:paraId="2FFCAC46" w14:textId="77777777" w:rsidTr="00CD7C81">
        <w:tc>
          <w:tcPr>
            <w:tcW w:w="1980" w:type="dxa"/>
            <w:vAlign w:val="top"/>
          </w:tcPr>
          <w:p w14:paraId="5DC4BCFE" w14:textId="76F2FFDD" w:rsidR="00400C53" w:rsidRPr="00730C0D" w:rsidRDefault="00400C53" w:rsidP="00400C53">
            <w:pPr>
              <w:spacing w:before="0" w:after="0"/>
              <w:rPr>
                <w:rFonts w:ascii="Century Gothic" w:hAnsi="Century Gothic"/>
                <w:b/>
                <w:sz w:val="20"/>
                <w:szCs w:val="20"/>
              </w:rPr>
            </w:pPr>
            <w:r w:rsidRPr="00730C0D">
              <w:rPr>
                <w:rFonts w:ascii="Century Gothic" w:hAnsi="Century Gothic"/>
                <w:b/>
                <w:sz w:val="20"/>
                <w:szCs w:val="20"/>
              </w:rPr>
              <w:t xml:space="preserve">University </w:t>
            </w:r>
          </w:p>
        </w:tc>
        <w:tc>
          <w:tcPr>
            <w:tcW w:w="7659" w:type="dxa"/>
            <w:vAlign w:val="top"/>
          </w:tcPr>
          <w:p w14:paraId="67C65046" w14:textId="6E228DC7" w:rsidR="00400C53" w:rsidRPr="00730C0D" w:rsidRDefault="00400C53" w:rsidP="00400C53">
            <w:pPr>
              <w:spacing w:before="0" w:after="0"/>
              <w:rPr>
                <w:rFonts w:ascii="Century Gothic" w:hAnsi="Century Gothic"/>
                <w:sz w:val="20"/>
                <w:szCs w:val="20"/>
              </w:rPr>
            </w:pPr>
            <w:r w:rsidRPr="00730C0D">
              <w:rPr>
                <w:rFonts w:ascii="Century Gothic" w:hAnsi="Century Gothic"/>
                <w:sz w:val="20"/>
                <w:szCs w:val="20"/>
              </w:rPr>
              <w:t>In Australia, a university is an institution which meets nationally-agreed criteria under the PCS and is established or recognised as a university under State, Territory or Commonwealth legislation.</w:t>
            </w:r>
          </w:p>
          <w:p w14:paraId="5F93464C" w14:textId="6312EACB" w:rsidR="00400C53" w:rsidRPr="00730C0D" w:rsidRDefault="00400C53" w:rsidP="00400C53">
            <w:pPr>
              <w:spacing w:before="0" w:after="0"/>
              <w:rPr>
                <w:rFonts w:ascii="Century Gothic" w:hAnsi="Century Gothic"/>
                <w:sz w:val="20"/>
                <w:szCs w:val="20"/>
              </w:rPr>
            </w:pPr>
          </w:p>
        </w:tc>
      </w:tr>
      <w:tr w:rsidR="00400C53" w:rsidRPr="00730C0D" w14:paraId="44F9F748" w14:textId="77777777" w:rsidTr="00CD7C81">
        <w:tc>
          <w:tcPr>
            <w:tcW w:w="1980" w:type="dxa"/>
            <w:vAlign w:val="top"/>
          </w:tcPr>
          <w:p w14:paraId="04CE0D37" w14:textId="77777777" w:rsidR="00400C53" w:rsidRPr="00730C0D" w:rsidRDefault="00400C53" w:rsidP="00400C53">
            <w:pPr>
              <w:spacing w:before="0" w:after="0" w:line="259" w:lineRule="auto"/>
              <w:rPr>
                <w:rFonts w:ascii="Century Gothic" w:hAnsi="Century Gothic"/>
                <w:b/>
                <w:sz w:val="20"/>
                <w:szCs w:val="20"/>
              </w:rPr>
            </w:pPr>
            <w:r w:rsidRPr="00730C0D">
              <w:rPr>
                <w:rFonts w:ascii="Century Gothic" w:hAnsi="Century Gothic"/>
                <w:b/>
                <w:sz w:val="20"/>
                <w:szCs w:val="20"/>
              </w:rPr>
              <w:t>Vocational education and training (VET)</w:t>
            </w:r>
          </w:p>
          <w:p w14:paraId="2FABA0F2" w14:textId="61BF5934" w:rsidR="00400C53" w:rsidRPr="00730C0D" w:rsidRDefault="00400C53" w:rsidP="00400C53">
            <w:pPr>
              <w:spacing w:before="0" w:after="0" w:line="259" w:lineRule="auto"/>
              <w:rPr>
                <w:rFonts w:ascii="Century Gothic" w:hAnsi="Century Gothic"/>
                <w:sz w:val="20"/>
                <w:szCs w:val="20"/>
              </w:rPr>
            </w:pPr>
          </w:p>
        </w:tc>
        <w:tc>
          <w:tcPr>
            <w:tcW w:w="7659" w:type="dxa"/>
            <w:vAlign w:val="top"/>
          </w:tcPr>
          <w:p w14:paraId="664A21A7" w14:textId="1BB015CD" w:rsidR="00400C53" w:rsidRPr="00730C0D" w:rsidRDefault="000C7749" w:rsidP="00400C53">
            <w:pPr>
              <w:spacing w:before="0" w:after="0" w:line="259" w:lineRule="auto"/>
              <w:rPr>
                <w:rFonts w:ascii="Century Gothic" w:hAnsi="Century Gothic"/>
                <w:sz w:val="20"/>
                <w:szCs w:val="20"/>
              </w:rPr>
            </w:pPr>
            <w:r w:rsidRPr="00730C0D">
              <w:rPr>
                <w:rFonts w:ascii="Century Gothic" w:hAnsi="Century Gothic"/>
                <w:sz w:val="20"/>
                <w:szCs w:val="20"/>
              </w:rPr>
              <w:t xml:space="preserve">Vocational Education and Training (VET) </w:t>
            </w:r>
            <w:r w:rsidR="00400C53" w:rsidRPr="00730C0D">
              <w:rPr>
                <w:rFonts w:ascii="Century Gothic" w:hAnsi="Century Gothic"/>
                <w:sz w:val="20"/>
                <w:szCs w:val="20"/>
              </w:rPr>
              <w:t xml:space="preserve">provides skills and knowledge for work through a national system of public and private Registered Training Organisations (RTOs). </w:t>
            </w:r>
          </w:p>
        </w:tc>
      </w:tr>
    </w:tbl>
    <w:p w14:paraId="44906969" w14:textId="77777777" w:rsidR="00CD7C81" w:rsidRPr="00730C0D" w:rsidRDefault="00CD7C81" w:rsidP="00D31B9A">
      <w:pPr>
        <w:spacing w:before="0" w:after="0"/>
        <w:rPr>
          <w:rFonts w:ascii="Century Gothic" w:hAnsi="Century Gothic"/>
          <w:sz w:val="20"/>
          <w:szCs w:val="20"/>
        </w:rPr>
      </w:pPr>
    </w:p>
    <w:p w14:paraId="7328BC54" w14:textId="77777777" w:rsidR="00CD7C81" w:rsidRPr="00730C0D" w:rsidRDefault="00CD7C81" w:rsidP="00D31B9A">
      <w:pPr>
        <w:spacing w:before="0" w:after="0"/>
        <w:rPr>
          <w:rFonts w:ascii="Century Gothic" w:hAnsi="Century Gothic"/>
          <w:sz w:val="20"/>
          <w:szCs w:val="20"/>
        </w:rPr>
      </w:pPr>
      <w:r w:rsidRPr="00730C0D">
        <w:rPr>
          <w:rFonts w:ascii="Century Gothic" w:hAnsi="Century Gothic"/>
          <w:sz w:val="20"/>
          <w:szCs w:val="20"/>
        </w:rPr>
        <w:br w:type="page"/>
      </w:r>
    </w:p>
    <w:p w14:paraId="0ECFCF22" w14:textId="77777777" w:rsidR="00FE78DE" w:rsidRPr="00730C0D" w:rsidRDefault="00FE78DE" w:rsidP="00FE78DE">
      <w:pPr>
        <w:pStyle w:val="Heading1"/>
      </w:pPr>
      <w:bookmarkStart w:id="104" w:name="_Appendix_A."/>
      <w:bookmarkStart w:id="105" w:name="_Toc18592361"/>
      <w:bookmarkStart w:id="106" w:name="_Toc12615367"/>
      <w:bookmarkEnd w:id="104"/>
      <w:r w:rsidRPr="00730C0D">
        <w:rPr>
          <w:b/>
        </w:rPr>
        <w:t>Appendix A.</w:t>
      </w:r>
      <w:bookmarkEnd w:id="105"/>
      <w:r w:rsidRPr="00730C0D">
        <w:t xml:space="preserve"> </w:t>
      </w:r>
    </w:p>
    <w:p w14:paraId="554A0D5D" w14:textId="0611431B" w:rsidR="00FE78DE" w:rsidRPr="00730C0D" w:rsidRDefault="008D58DD" w:rsidP="00FE78DE">
      <w:pPr>
        <w:pStyle w:val="Heading1"/>
      </w:pPr>
      <w:bookmarkStart w:id="107" w:name="_Toc16242143"/>
      <w:bookmarkStart w:id="108" w:name="_Toc16609466"/>
      <w:bookmarkStart w:id="109" w:name="_Toc18495599"/>
      <w:bookmarkStart w:id="110" w:name="_Toc18592362"/>
      <w:r w:rsidRPr="00730C0D">
        <w:rPr>
          <w:b/>
          <w:noProof/>
          <w:sz w:val="52"/>
          <w:szCs w:val="52"/>
          <w:lang w:eastAsia="en-AU"/>
        </w:rPr>
        <mc:AlternateContent>
          <mc:Choice Requires="wps">
            <w:drawing>
              <wp:anchor distT="0" distB="0" distL="114300" distR="114300" simplePos="0" relativeHeight="251704320" behindDoc="0" locked="0" layoutInCell="1" allowOverlap="1" wp14:anchorId="1A694738" wp14:editId="3DF43C92">
                <wp:simplePos x="0" y="0"/>
                <wp:positionH relativeFrom="column">
                  <wp:posOffset>-1400175</wp:posOffset>
                </wp:positionH>
                <wp:positionV relativeFrom="paragraph">
                  <wp:posOffset>422910</wp:posOffset>
                </wp:positionV>
                <wp:extent cx="7143750" cy="0"/>
                <wp:effectExtent l="0" t="0" r="19050" b="19050"/>
                <wp:wrapNone/>
                <wp:docPr id="42" name="Straight Connector 42"/>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47B811" id="Straight Connector 4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33.3pt" to="452.2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" strokecolor="black [3213]" strokeweight=".5pt">
                <v:stroke joinstyle="miter"/>
              </v:line>
            </w:pict>
          </mc:Fallback>
        </mc:AlternateContent>
      </w:r>
      <w:r w:rsidR="00FE78DE" w:rsidRPr="00730C0D">
        <w:t>Terms of Reference</w:t>
      </w:r>
      <w:bookmarkEnd w:id="106"/>
      <w:bookmarkEnd w:id="107"/>
      <w:bookmarkEnd w:id="108"/>
      <w:bookmarkEnd w:id="109"/>
      <w:bookmarkEnd w:id="110"/>
    </w:p>
    <w:p w14:paraId="14EF839A" w14:textId="266EDC97" w:rsidR="00FE78DE" w:rsidRPr="00730C0D" w:rsidRDefault="00FE78DE" w:rsidP="00FE78DE">
      <w:pPr>
        <w:spacing w:before="0" w:after="0"/>
        <w:rPr>
          <w:rFonts w:ascii="Century Gothic" w:hAnsi="Century Gothic"/>
          <w:sz w:val="20"/>
          <w:szCs w:val="20"/>
        </w:rPr>
      </w:pPr>
    </w:p>
    <w:p w14:paraId="4398641E" w14:textId="77777777" w:rsidR="00FE78DE" w:rsidRPr="00730C0D" w:rsidRDefault="00FE78DE" w:rsidP="00FE78DE">
      <w:pPr>
        <w:spacing w:before="0" w:after="0"/>
        <w:rPr>
          <w:rFonts w:ascii="Century Gothic" w:hAnsi="Century Gothic"/>
          <w:sz w:val="20"/>
          <w:szCs w:val="20"/>
        </w:rPr>
      </w:pPr>
    </w:p>
    <w:p w14:paraId="48459D14"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Review of the Higher Education Provider Category Standards will:</w:t>
      </w:r>
    </w:p>
    <w:p w14:paraId="31A7DB5D" w14:textId="77777777" w:rsidR="00FE78DE" w:rsidRPr="00730C0D" w:rsidRDefault="00FE78DE" w:rsidP="00FE78DE">
      <w:pPr>
        <w:pStyle w:val="ListParagraph"/>
        <w:numPr>
          <w:ilvl w:val="0"/>
          <w:numId w:val="3"/>
        </w:numPr>
        <w:spacing w:before="0" w:after="0"/>
        <w:rPr>
          <w:rFonts w:ascii="Century Gothic" w:hAnsi="Century Gothic"/>
          <w:sz w:val="20"/>
          <w:szCs w:val="20"/>
        </w:rPr>
      </w:pPr>
      <w:r w:rsidRPr="00730C0D">
        <w:rPr>
          <w:rFonts w:ascii="Century Gothic" w:hAnsi="Century Gothic"/>
          <w:sz w:val="20"/>
          <w:szCs w:val="20"/>
        </w:rPr>
        <w:t>Assess the effectiveness of the current Provider Category Standards as a framework for higher education delivery</w:t>
      </w:r>
    </w:p>
    <w:p w14:paraId="0F97431F" w14:textId="717DED29" w:rsidR="00FE78DE" w:rsidRPr="00730C0D" w:rsidRDefault="00FE78DE" w:rsidP="00FE78DE">
      <w:pPr>
        <w:pStyle w:val="ListParagraph"/>
        <w:numPr>
          <w:ilvl w:val="0"/>
          <w:numId w:val="3"/>
        </w:numPr>
        <w:spacing w:before="0" w:after="0"/>
        <w:rPr>
          <w:rFonts w:ascii="Century Gothic" w:hAnsi="Century Gothic"/>
          <w:sz w:val="20"/>
          <w:szCs w:val="20"/>
        </w:rPr>
      </w:pPr>
      <w:r w:rsidRPr="00730C0D">
        <w:rPr>
          <w:rFonts w:ascii="Century Gothic" w:hAnsi="Century Gothic"/>
          <w:sz w:val="20"/>
          <w:szCs w:val="20"/>
        </w:rPr>
        <w:t xml:space="preserve">Identify any technical or other relatively minor changes that should be made in the </w:t>
      </w:r>
      <w:r w:rsidR="008D58DD">
        <w:rPr>
          <w:rFonts w:ascii="Century Gothic" w:hAnsi="Century Gothic"/>
          <w:sz w:val="20"/>
          <w:szCs w:val="20"/>
        </w:rPr>
        <w:br/>
      </w:r>
      <w:r w:rsidRPr="00730C0D">
        <w:rPr>
          <w:rFonts w:ascii="Century Gothic" w:hAnsi="Century Gothic"/>
          <w:sz w:val="20"/>
          <w:szCs w:val="20"/>
        </w:rPr>
        <w:t>short-term to improve the operation or effectiveness of the current Provider Category Standards</w:t>
      </w:r>
    </w:p>
    <w:p w14:paraId="38F6C8EA" w14:textId="77777777" w:rsidR="00FE78DE" w:rsidRPr="00730C0D" w:rsidRDefault="00FE78DE" w:rsidP="00FE78DE">
      <w:pPr>
        <w:pStyle w:val="ListParagraph"/>
        <w:numPr>
          <w:ilvl w:val="0"/>
          <w:numId w:val="3"/>
        </w:numPr>
        <w:spacing w:before="0" w:after="0"/>
        <w:rPr>
          <w:rFonts w:ascii="Century Gothic" w:hAnsi="Century Gothic"/>
          <w:sz w:val="20"/>
          <w:szCs w:val="20"/>
        </w:rPr>
      </w:pPr>
      <w:r w:rsidRPr="00730C0D">
        <w:rPr>
          <w:rFonts w:ascii="Century Gothic" w:hAnsi="Century Gothic"/>
          <w:sz w:val="20"/>
          <w:szCs w:val="20"/>
        </w:rPr>
        <w:t xml:space="preserve">Analyse a range of possible different systems for the categorisation of higher education institutions, drawing on international experience and recent critical analysis including: </w:t>
      </w:r>
    </w:p>
    <w:p w14:paraId="6E868BE0" w14:textId="77777777" w:rsidR="00FE78DE" w:rsidRPr="00730C0D" w:rsidRDefault="00FE78DE" w:rsidP="00FE78DE">
      <w:pPr>
        <w:pStyle w:val="ListParagraph"/>
        <w:numPr>
          <w:ilvl w:val="1"/>
          <w:numId w:val="3"/>
        </w:numPr>
        <w:spacing w:before="0" w:after="0"/>
        <w:rPr>
          <w:rFonts w:ascii="Century Gothic" w:hAnsi="Century Gothic"/>
          <w:sz w:val="20"/>
          <w:szCs w:val="20"/>
        </w:rPr>
      </w:pPr>
      <w:r w:rsidRPr="00730C0D">
        <w:rPr>
          <w:rFonts w:ascii="Century Gothic" w:hAnsi="Century Gothic"/>
          <w:sz w:val="20"/>
          <w:szCs w:val="20"/>
        </w:rPr>
        <w:t>the key characteristics that are or would be relevant to defining the various categories of provider within each categorisation framework canvassed</w:t>
      </w:r>
    </w:p>
    <w:p w14:paraId="3AB10C88" w14:textId="77777777" w:rsidR="00FE78DE" w:rsidRPr="00730C0D" w:rsidRDefault="00FE78DE" w:rsidP="00FE78DE">
      <w:pPr>
        <w:pStyle w:val="ListParagraph"/>
        <w:numPr>
          <w:ilvl w:val="1"/>
          <w:numId w:val="3"/>
        </w:numPr>
        <w:spacing w:before="0" w:after="0"/>
        <w:rPr>
          <w:rFonts w:ascii="Century Gothic" w:hAnsi="Century Gothic"/>
          <w:sz w:val="20"/>
          <w:szCs w:val="20"/>
        </w:rPr>
      </w:pPr>
      <w:r w:rsidRPr="00730C0D">
        <w:rPr>
          <w:rFonts w:ascii="Century Gothic" w:hAnsi="Century Gothic"/>
          <w:sz w:val="20"/>
          <w:szCs w:val="20"/>
        </w:rPr>
        <w:t>the benefits and drawbacks of each approach for students, for higher education providers, other tertiary education providers, regulators, governments and the broader economy</w:t>
      </w:r>
    </w:p>
    <w:p w14:paraId="353A967F" w14:textId="77777777" w:rsidR="00FE78DE" w:rsidRPr="00730C0D" w:rsidRDefault="00FE78DE" w:rsidP="00FE78DE">
      <w:pPr>
        <w:pStyle w:val="ListParagraph"/>
        <w:numPr>
          <w:ilvl w:val="1"/>
          <w:numId w:val="3"/>
        </w:numPr>
        <w:spacing w:before="0" w:after="0"/>
        <w:rPr>
          <w:rFonts w:ascii="Century Gothic" w:hAnsi="Century Gothic"/>
          <w:sz w:val="20"/>
          <w:szCs w:val="20"/>
        </w:rPr>
      </w:pPr>
      <w:r w:rsidRPr="00730C0D">
        <w:rPr>
          <w:rFonts w:ascii="Century Gothic" w:hAnsi="Century Gothic"/>
          <w:sz w:val="20"/>
          <w:szCs w:val="20"/>
        </w:rPr>
        <w:t xml:space="preserve">the impact of adopting different institutional categories, for example: </w:t>
      </w:r>
    </w:p>
    <w:p w14:paraId="23AC5EDB" w14:textId="77777777" w:rsidR="00FE78DE" w:rsidRPr="00730C0D" w:rsidRDefault="00FE78DE" w:rsidP="00FE78DE">
      <w:pPr>
        <w:pStyle w:val="ListParagraph"/>
        <w:numPr>
          <w:ilvl w:val="2"/>
          <w:numId w:val="3"/>
        </w:numPr>
        <w:spacing w:before="0" w:after="0"/>
        <w:ind w:left="1418" w:hanging="284"/>
        <w:rPr>
          <w:rFonts w:ascii="Century Gothic" w:hAnsi="Century Gothic"/>
          <w:sz w:val="20"/>
          <w:szCs w:val="20"/>
        </w:rPr>
      </w:pPr>
      <w:r w:rsidRPr="00730C0D">
        <w:rPr>
          <w:rFonts w:ascii="Century Gothic" w:hAnsi="Century Gothic"/>
          <w:sz w:val="20"/>
          <w:szCs w:val="20"/>
        </w:rPr>
        <w:t>The potential for diversity of providers and student populations in each system</w:t>
      </w:r>
    </w:p>
    <w:p w14:paraId="26BFAD6F" w14:textId="77777777" w:rsidR="00FE78DE" w:rsidRPr="00730C0D" w:rsidRDefault="00FE78DE" w:rsidP="00FE78DE">
      <w:pPr>
        <w:pStyle w:val="ListParagraph"/>
        <w:numPr>
          <w:ilvl w:val="2"/>
          <w:numId w:val="3"/>
        </w:numPr>
        <w:spacing w:before="0" w:after="0"/>
        <w:ind w:left="1418" w:hanging="284"/>
        <w:rPr>
          <w:rFonts w:ascii="Century Gothic" w:hAnsi="Century Gothic"/>
          <w:sz w:val="20"/>
          <w:szCs w:val="20"/>
        </w:rPr>
      </w:pPr>
      <w:r w:rsidRPr="00730C0D">
        <w:rPr>
          <w:rFonts w:ascii="Century Gothic" w:hAnsi="Century Gothic"/>
          <w:sz w:val="20"/>
          <w:szCs w:val="20"/>
        </w:rPr>
        <w:t>Appropriate barriers to and facilitation of new provider entry</w:t>
      </w:r>
    </w:p>
    <w:p w14:paraId="226D45CE" w14:textId="77777777" w:rsidR="00FE78DE" w:rsidRPr="00730C0D" w:rsidRDefault="00FE78DE" w:rsidP="00FE78DE">
      <w:pPr>
        <w:pStyle w:val="ListParagraph"/>
        <w:numPr>
          <w:ilvl w:val="2"/>
          <w:numId w:val="3"/>
        </w:numPr>
        <w:spacing w:before="0" w:after="0"/>
        <w:ind w:left="1418" w:hanging="284"/>
        <w:rPr>
          <w:rFonts w:ascii="Century Gothic" w:hAnsi="Century Gothic"/>
          <w:sz w:val="20"/>
          <w:szCs w:val="20"/>
        </w:rPr>
      </w:pPr>
      <w:r w:rsidRPr="00730C0D">
        <w:rPr>
          <w:rFonts w:ascii="Century Gothic" w:hAnsi="Century Gothic"/>
          <w:sz w:val="20"/>
          <w:szCs w:val="20"/>
        </w:rPr>
        <w:t>Change management and transitional issues that would need to be taken into account in moving to a new approach</w:t>
      </w:r>
    </w:p>
    <w:p w14:paraId="551BB871" w14:textId="77777777" w:rsidR="00FE78DE" w:rsidRPr="00730C0D" w:rsidRDefault="00FE78DE" w:rsidP="00FE78DE">
      <w:pPr>
        <w:pStyle w:val="ListParagraph"/>
        <w:numPr>
          <w:ilvl w:val="0"/>
          <w:numId w:val="3"/>
        </w:numPr>
        <w:spacing w:before="0" w:after="0"/>
        <w:rPr>
          <w:rFonts w:ascii="Century Gothic" w:hAnsi="Century Gothic"/>
          <w:sz w:val="20"/>
          <w:szCs w:val="20"/>
        </w:rPr>
      </w:pPr>
      <w:r w:rsidRPr="00730C0D">
        <w:rPr>
          <w:rFonts w:ascii="Century Gothic" w:hAnsi="Century Gothic"/>
          <w:sz w:val="20"/>
          <w:szCs w:val="20"/>
        </w:rPr>
        <w:t>Outline realistic and practical options that could be considered for adoption if a revised approach to categorising higher education providers in the Australian context were deemed to be warranted</w:t>
      </w:r>
    </w:p>
    <w:p w14:paraId="237FA144" w14:textId="77777777" w:rsidR="00FE78DE" w:rsidRPr="00730C0D" w:rsidRDefault="00FE78DE" w:rsidP="00FE78DE">
      <w:pPr>
        <w:pStyle w:val="ListParagraph"/>
        <w:numPr>
          <w:ilvl w:val="0"/>
          <w:numId w:val="3"/>
        </w:numPr>
        <w:spacing w:before="0" w:after="0"/>
        <w:rPr>
          <w:rFonts w:ascii="Century Gothic" w:hAnsi="Century Gothic"/>
          <w:sz w:val="20"/>
          <w:szCs w:val="20"/>
        </w:rPr>
      </w:pPr>
      <w:r w:rsidRPr="00730C0D">
        <w:rPr>
          <w:rFonts w:ascii="Century Gothic" w:hAnsi="Century Gothic"/>
          <w:sz w:val="20"/>
          <w:szCs w:val="20"/>
        </w:rPr>
        <w:t xml:space="preserve">Make recommendations as to: </w:t>
      </w:r>
    </w:p>
    <w:p w14:paraId="725A7BDA" w14:textId="77777777" w:rsidR="00FE78DE" w:rsidRPr="00730C0D" w:rsidRDefault="00FE78DE" w:rsidP="00FE78DE">
      <w:pPr>
        <w:pStyle w:val="ListParagraph"/>
        <w:numPr>
          <w:ilvl w:val="1"/>
          <w:numId w:val="3"/>
        </w:numPr>
        <w:spacing w:before="0" w:after="0"/>
        <w:rPr>
          <w:rFonts w:ascii="Century Gothic" w:hAnsi="Century Gothic"/>
          <w:sz w:val="20"/>
          <w:szCs w:val="20"/>
        </w:rPr>
      </w:pPr>
      <w:r w:rsidRPr="00730C0D">
        <w:rPr>
          <w:rFonts w:ascii="Century Gothic" w:hAnsi="Century Gothic"/>
          <w:sz w:val="20"/>
          <w:szCs w:val="20"/>
        </w:rPr>
        <w:t>the most appropriate categorisation system for Australian higher education delivery and</w:t>
      </w:r>
    </w:p>
    <w:p w14:paraId="144E4559" w14:textId="77777777" w:rsidR="00FE78DE" w:rsidRPr="00730C0D" w:rsidRDefault="00FE78DE" w:rsidP="00FE78DE">
      <w:pPr>
        <w:pStyle w:val="ListParagraph"/>
        <w:numPr>
          <w:ilvl w:val="1"/>
          <w:numId w:val="3"/>
        </w:numPr>
        <w:spacing w:before="0" w:after="0"/>
        <w:rPr>
          <w:rFonts w:ascii="Century Gothic" w:hAnsi="Century Gothic"/>
          <w:sz w:val="20"/>
          <w:szCs w:val="20"/>
        </w:rPr>
      </w:pPr>
      <w:r w:rsidRPr="00730C0D">
        <w:rPr>
          <w:rFonts w:ascii="Century Gothic" w:hAnsi="Century Gothic"/>
          <w:sz w:val="20"/>
          <w:szCs w:val="20"/>
        </w:rPr>
        <w:t>criteria settings within each of the recommended provider categories.</w:t>
      </w:r>
    </w:p>
    <w:p w14:paraId="19C71138" w14:textId="77777777" w:rsidR="00FE78DE" w:rsidRPr="00730C0D" w:rsidRDefault="00FE78DE" w:rsidP="00FE78DE">
      <w:pPr>
        <w:spacing w:before="0" w:after="0"/>
        <w:rPr>
          <w:rFonts w:ascii="Century Gothic" w:hAnsi="Century Gothic"/>
          <w:sz w:val="20"/>
          <w:szCs w:val="20"/>
        </w:rPr>
      </w:pPr>
    </w:p>
    <w:p w14:paraId="04EC596E"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Stakeholders will be consulted as part of the Review.</w:t>
      </w:r>
    </w:p>
    <w:p w14:paraId="7A2F7A65"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br w:type="page"/>
      </w:r>
    </w:p>
    <w:p w14:paraId="0A775FB1" w14:textId="77777777" w:rsidR="00FE78DE" w:rsidRPr="00730C0D" w:rsidRDefault="00FE78DE" w:rsidP="00FE78DE">
      <w:pPr>
        <w:pStyle w:val="Heading1"/>
        <w:rPr>
          <w:b/>
        </w:rPr>
      </w:pPr>
      <w:bookmarkStart w:id="111" w:name="_Appendix_B."/>
      <w:bookmarkStart w:id="112" w:name="_Toc18592363"/>
      <w:bookmarkStart w:id="113" w:name="_Toc12615368"/>
      <w:bookmarkEnd w:id="111"/>
      <w:r w:rsidRPr="00730C0D">
        <w:rPr>
          <w:b/>
        </w:rPr>
        <w:t>Appendix B.</w:t>
      </w:r>
      <w:bookmarkEnd w:id="112"/>
      <w:r w:rsidRPr="00730C0D">
        <w:rPr>
          <w:b/>
        </w:rPr>
        <w:t xml:space="preserve"> </w:t>
      </w:r>
    </w:p>
    <w:p w14:paraId="209ECB77" w14:textId="308AD13C" w:rsidR="00FE78DE" w:rsidRPr="00730C0D" w:rsidRDefault="00FE78DE" w:rsidP="00FE78DE">
      <w:pPr>
        <w:pStyle w:val="Heading1"/>
      </w:pPr>
      <w:bookmarkStart w:id="114" w:name="_Toc16242145"/>
      <w:bookmarkStart w:id="115" w:name="_Toc16609468"/>
      <w:bookmarkStart w:id="116" w:name="_Toc18495601"/>
      <w:bookmarkStart w:id="117" w:name="_Toc18592364"/>
      <w:r w:rsidRPr="00730C0D">
        <w:t>Review Process</w:t>
      </w:r>
      <w:bookmarkEnd w:id="113"/>
      <w:bookmarkEnd w:id="114"/>
      <w:bookmarkEnd w:id="115"/>
      <w:bookmarkEnd w:id="116"/>
      <w:bookmarkEnd w:id="117"/>
    </w:p>
    <w:p w14:paraId="06F0569F" w14:textId="5889BE7E" w:rsidR="00FE78DE" w:rsidRPr="00730C0D" w:rsidRDefault="008D58DD" w:rsidP="00FE78DE">
      <w:pPr>
        <w:spacing w:before="0" w:after="0"/>
        <w:rPr>
          <w:rFonts w:ascii="Century Gothic" w:hAnsi="Century Gothic"/>
          <w:sz w:val="20"/>
          <w:szCs w:val="20"/>
        </w:rPr>
      </w:pPr>
      <w:r w:rsidRPr="00730C0D">
        <w:rPr>
          <w:b/>
          <w:noProof/>
          <w:sz w:val="52"/>
          <w:szCs w:val="52"/>
          <w:lang w:eastAsia="en-AU"/>
        </w:rPr>
        <mc:AlternateContent>
          <mc:Choice Requires="wps">
            <w:drawing>
              <wp:anchor distT="0" distB="0" distL="114300" distR="114300" simplePos="0" relativeHeight="251705344" behindDoc="0" locked="0" layoutInCell="1" allowOverlap="1" wp14:anchorId="06B191A8" wp14:editId="412D0F98">
                <wp:simplePos x="0" y="0"/>
                <wp:positionH relativeFrom="column">
                  <wp:posOffset>-19050</wp:posOffset>
                </wp:positionH>
                <wp:positionV relativeFrom="paragraph">
                  <wp:posOffset>66675</wp:posOffset>
                </wp:positionV>
                <wp:extent cx="7143750" cy="0"/>
                <wp:effectExtent l="0" t="0" r="19050" b="19050"/>
                <wp:wrapNone/>
                <wp:docPr id="43" name="Straight Connector 43"/>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ABC24" id="Straight Connector 4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25pt" to="561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" strokecolor="black [3213]" strokeweight=".5pt">
                <v:stroke joinstyle="miter"/>
              </v:line>
            </w:pict>
          </mc:Fallback>
        </mc:AlternateContent>
      </w:r>
    </w:p>
    <w:p w14:paraId="4D37C2B0" w14:textId="77777777" w:rsidR="00FE78DE" w:rsidRPr="00730C0D" w:rsidRDefault="00FE78DE" w:rsidP="00FE78DE">
      <w:pPr>
        <w:spacing w:before="0" w:after="0"/>
        <w:rPr>
          <w:rFonts w:ascii="Century Gothic" w:hAnsi="Century Gothic"/>
          <w:sz w:val="20"/>
          <w:szCs w:val="20"/>
        </w:rPr>
      </w:pPr>
    </w:p>
    <w:p w14:paraId="6F34CB3A"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The 2017–18 Budget higher education reform package included a measure for the Higher Education Standards Panel (HESP) to oversee a Review of the Higher Education Provider Category Standards (PCS). The Review was part of the Australian Government’s commitment to continuous improvement of its education quality assurance measures. </w:t>
      </w:r>
    </w:p>
    <w:p w14:paraId="5765627C" w14:textId="77777777" w:rsidR="00FE78DE" w:rsidRPr="00730C0D" w:rsidRDefault="00FE78DE" w:rsidP="00FE78DE">
      <w:pPr>
        <w:spacing w:before="0" w:after="0"/>
        <w:rPr>
          <w:rFonts w:ascii="Century Gothic" w:hAnsi="Century Gothic"/>
          <w:sz w:val="20"/>
          <w:szCs w:val="20"/>
        </w:rPr>
      </w:pPr>
    </w:p>
    <w:p w14:paraId="678016F8"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On 17 October 2018, the Hon Dan Tehan MP, Minister for Education, announced the appointment of Emeritus Professor Peter Coaldrake </w:t>
      </w:r>
      <w:r w:rsidRPr="00730C0D">
        <w:rPr>
          <w:rFonts w:ascii="Century Gothic" w:hAnsi="Century Gothic"/>
          <w:sz w:val="16"/>
          <w:szCs w:val="16"/>
        </w:rPr>
        <w:t>AO</w:t>
      </w:r>
      <w:r w:rsidRPr="00730C0D">
        <w:rPr>
          <w:rFonts w:ascii="Century Gothic" w:hAnsi="Century Gothic"/>
          <w:sz w:val="20"/>
          <w:szCs w:val="20"/>
        </w:rPr>
        <w:t xml:space="preserve"> to undertake the PCS Review.</w:t>
      </w:r>
    </w:p>
    <w:p w14:paraId="37FE25D3" w14:textId="77777777" w:rsidR="00FE78DE" w:rsidRPr="00730C0D" w:rsidRDefault="00FE78DE" w:rsidP="00FE78DE">
      <w:pPr>
        <w:spacing w:before="0" w:after="0"/>
        <w:rPr>
          <w:rFonts w:ascii="Century Gothic" w:hAnsi="Century Gothic"/>
          <w:sz w:val="20"/>
          <w:szCs w:val="20"/>
        </w:rPr>
      </w:pPr>
    </w:p>
    <w:p w14:paraId="2BFDE18D"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hAnsi="Century Gothic" w:cstheme="minorHAnsi"/>
          <w:b/>
          <w:sz w:val="20"/>
          <w:szCs w:val="20"/>
        </w:rPr>
        <w:t>Reviewer</w:t>
      </w:r>
    </w:p>
    <w:p w14:paraId="45C2A627"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Emeritus Professor Peter Coaldrake </w:t>
      </w:r>
      <w:r w:rsidRPr="00730C0D">
        <w:rPr>
          <w:rFonts w:ascii="Century Gothic" w:hAnsi="Century Gothic" w:cstheme="minorHAnsi"/>
          <w:sz w:val="16"/>
          <w:szCs w:val="16"/>
        </w:rPr>
        <w:t>AO</w:t>
      </w:r>
    </w:p>
    <w:p w14:paraId="576D0E64" w14:textId="77777777" w:rsidR="00FE78DE" w:rsidRPr="00730C0D" w:rsidRDefault="00FE78DE" w:rsidP="00FE78DE">
      <w:pPr>
        <w:spacing w:before="0" w:after="0"/>
        <w:contextualSpacing/>
        <w:rPr>
          <w:rFonts w:ascii="Century Gothic" w:hAnsi="Century Gothic" w:cstheme="minorHAnsi"/>
          <w:sz w:val="20"/>
          <w:szCs w:val="20"/>
        </w:rPr>
      </w:pPr>
    </w:p>
    <w:p w14:paraId="0DCE0592"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hAnsi="Century Gothic" w:cstheme="minorHAnsi"/>
          <w:b/>
          <w:sz w:val="20"/>
          <w:szCs w:val="20"/>
        </w:rPr>
        <w:t>Higher Education Standards Panel (HESP)</w:t>
      </w:r>
    </w:p>
    <w:p w14:paraId="33B87374" w14:textId="77777777" w:rsidR="00FE78DE" w:rsidRPr="00730C0D" w:rsidRDefault="00FE78DE" w:rsidP="00FE78DE">
      <w:pPr>
        <w:spacing w:before="0" w:after="0"/>
        <w:rPr>
          <w:rFonts w:ascii="Century Gothic" w:hAnsi="Century Gothic" w:cstheme="minorHAnsi"/>
          <w:sz w:val="20"/>
          <w:szCs w:val="20"/>
        </w:rPr>
      </w:pPr>
      <w:r w:rsidRPr="00730C0D">
        <w:rPr>
          <w:rFonts w:ascii="Century Gothic" w:hAnsi="Century Gothic" w:cstheme="minorHAnsi"/>
          <w:sz w:val="20"/>
          <w:szCs w:val="20"/>
        </w:rPr>
        <w:t xml:space="preserve">The HESP provided steering oversight for the Review. </w:t>
      </w:r>
    </w:p>
    <w:p w14:paraId="4631F292" w14:textId="77777777" w:rsidR="00FE78DE" w:rsidRPr="00730C0D" w:rsidRDefault="00FE78DE" w:rsidP="00FE78DE">
      <w:pPr>
        <w:spacing w:before="0" w:after="0"/>
        <w:rPr>
          <w:rFonts w:ascii="Century Gothic" w:hAnsi="Century Gothic" w:cstheme="minorHAnsi"/>
          <w:sz w:val="20"/>
          <w:szCs w:val="20"/>
        </w:rPr>
      </w:pPr>
    </w:p>
    <w:p w14:paraId="0533A52F" w14:textId="77777777" w:rsidR="00FE78DE" w:rsidRPr="00730C0D" w:rsidRDefault="00FE78DE" w:rsidP="00FE78DE">
      <w:pPr>
        <w:spacing w:before="0" w:after="0"/>
        <w:rPr>
          <w:rFonts w:ascii="Century Gothic" w:hAnsi="Century Gothic" w:cstheme="minorHAnsi"/>
          <w:i/>
          <w:sz w:val="20"/>
          <w:szCs w:val="20"/>
        </w:rPr>
      </w:pPr>
      <w:r w:rsidRPr="00730C0D">
        <w:rPr>
          <w:rFonts w:ascii="Century Gothic" w:hAnsi="Century Gothic" w:cstheme="minorHAnsi"/>
          <w:i/>
          <w:sz w:val="20"/>
          <w:szCs w:val="20"/>
        </w:rPr>
        <w:t>HESP Members</w:t>
      </w:r>
    </w:p>
    <w:p w14:paraId="29549CE5"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Professor Ian O'Connor </w:t>
      </w:r>
      <w:r w:rsidRPr="00730C0D">
        <w:rPr>
          <w:rFonts w:ascii="Century Gothic" w:hAnsi="Century Gothic" w:cstheme="minorHAnsi"/>
          <w:sz w:val="16"/>
          <w:szCs w:val="16"/>
        </w:rPr>
        <w:t>AC</w:t>
      </w:r>
      <w:r w:rsidRPr="00730C0D">
        <w:rPr>
          <w:rFonts w:ascii="Century Gothic" w:hAnsi="Century Gothic" w:cstheme="minorHAnsi"/>
          <w:sz w:val="20"/>
          <w:szCs w:val="20"/>
        </w:rPr>
        <w:t xml:space="preserve"> (Chair)</w:t>
      </w:r>
    </w:p>
    <w:p w14:paraId="2E13C619"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Professor Kerri-Lee Krause (Deputy Chair)</w:t>
      </w:r>
    </w:p>
    <w:p w14:paraId="47A37CCE"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The Hon Phil Honeywood</w:t>
      </w:r>
    </w:p>
    <w:p w14:paraId="65F7CEDD"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Dr Krystal Evans</w:t>
      </w:r>
    </w:p>
    <w:p w14:paraId="6EC7E0EE"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Dr Don Owers </w:t>
      </w:r>
      <w:r w:rsidRPr="00730C0D">
        <w:rPr>
          <w:rFonts w:ascii="Century Gothic" w:hAnsi="Century Gothic" w:cstheme="minorHAnsi"/>
          <w:sz w:val="16"/>
          <w:szCs w:val="16"/>
        </w:rPr>
        <w:t>AM</w:t>
      </w:r>
    </w:p>
    <w:p w14:paraId="050CF2D7"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Dr Sadie Heckenberg</w:t>
      </w:r>
    </w:p>
    <w:p w14:paraId="5CCCD6A1"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Ms Adrienne Nieuwenhuis</w:t>
      </w:r>
    </w:p>
    <w:p w14:paraId="3952C4FE"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Professor Kent Anderson</w:t>
      </w:r>
    </w:p>
    <w:p w14:paraId="375C0A55" w14:textId="77777777" w:rsidR="00FE78DE" w:rsidRPr="00730C0D" w:rsidRDefault="00FE78DE" w:rsidP="00FE78DE">
      <w:pPr>
        <w:spacing w:before="0" w:after="0"/>
        <w:contextualSpacing/>
        <w:rPr>
          <w:rFonts w:ascii="Century Gothic" w:hAnsi="Century Gothic" w:cstheme="minorHAnsi"/>
          <w:sz w:val="20"/>
          <w:szCs w:val="20"/>
        </w:rPr>
      </w:pPr>
    </w:p>
    <w:p w14:paraId="61053259" w14:textId="77777777" w:rsidR="00FE78DE" w:rsidRPr="00730C0D" w:rsidRDefault="00FE78DE" w:rsidP="00FE78DE">
      <w:pPr>
        <w:spacing w:before="0" w:after="0"/>
        <w:contextualSpacing/>
        <w:rPr>
          <w:rFonts w:ascii="Century Gothic" w:hAnsi="Century Gothic" w:cstheme="minorHAnsi"/>
          <w:b/>
          <w:sz w:val="20"/>
          <w:szCs w:val="20"/>
        </w:rPr>
      </w:pPr>
      <w:r w:rsidRPr="00730C0D">
        <w:rPr>
          <w:rFonts w:ascii="Century Gothic" w:hAnsi="Century Gothic" w:cstheme="minorHAnsi"/>
          <w:b/>
          <w:sz w:val="20"/>
          <w:szCs w:val="20"/>
        </w:rPr>
        <w:t xml:space="preserve">Secretariat </w:t>
      </w:r>
    </w:p>
    <w:p w14:paraId="1F696783"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A secretariat from the Australian Government Department of Education supported the activities of the Review. </w:t>
      </w:r>
    </w:p>
    <w:p w14:paraId="29B4C4A3" w14:textId="77777777" w:rsidR="00FE78DE" w:rsidRPr="00730C0D" w:rsidRDefault="00FE78DE" w:rsidP="00FE78DE">
      <w:pPr>
        <w:spacing w:before="0" w:after="0"/>
        <w:contextualSpacing/>
        <w:rPr>
          <w:rFonts w:ascii="Century Gothic" w:hAnsi="Century Gothic" w:cstheme="minorHAnsi"/>
          <w:sz w:val="20"/>
          <w:szCs w:val="20"/>
        </w:rPr>
      </w:pPr>
    </w:p>
    <w:p w14:paraId="16E875F6" w14:textId="77777777" w:rsidR="00FE78DE" w:rsidRPr="00730C0D" w:rsidRDefault="00FE78DE" w:rsidP="00FE78DE">
      <w:pPr>
        <w:spacing w:before="0" w:after="0"/>
        <w:contextualSpacing/>
        <w:rPr>
          <w:rFonts w:ascii="Century Gothic" w:hAnsi="Century Gothic" w:cstheme="minorHAnsi"/>
          <w:i/>
          <w:sz w:val="20"/>
          <w:szCs w:val="20"/>
        </w:rPr>
      </w:pPr>
      <w:r w:rsidRPr="00730C0D">
        <w:rPr>
          <w:rFonts w:ascii="Century Gothic" w:hAnsi="Century Gothic" w:cstheme="minorHAnsi"/>
          <w:i/>
          <w:sz w:val="20"/>
          <w:szCs w:val="20"/>
        </w:rPr>
        <w:t>Secretariat Team</w:t>
      </w:r>
    </w:p>
    <w:p w14:paraId="6F02228D"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Dr Peter Nolan, Director </w:t>
      </w:r>
    </w:p>
    <w:p w14:paraId="3FF4604D"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Ms Julie Brandon, Assistant Director </w:t>
      </w:r>
    </w:p>
    <w:p w14:paraId="1D1F452A"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 xml:space="preserve">Mr Josh Donnelly, Assistant Director </w:t>
      </w:r>
    </w:p>
    <w:p w14:paraId="53AD11E8"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Ms Jessica Wright, Policy Officer</w:t>
      </w:r>
    </w:p>
    <w:p w14:paraId="3194CD38"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Mr Gabriel Coburn, Policy Officer</w:t>
      </w:r>
    </w:p>
    <w:p w14:paraId="3491B250" w14:textId="77777777" w:rsidR="00FE78DE" w:rsidRPr="00730C0D" w:rsidRDefault="00FE78DE" w:rsidP="00FE78DE">
      <w:pPr>
        <w:spacing w:before="0" w:after="0"/>
        <w:contextualSpacing/>
        <w:rPr>
          <w:rFonts w:ascii="Century Gothic" w:hAnsi="Century Gothic" w:cstheme="minorHAnsi"/>
          <w:sz w:val="20"/>
          <w:szCs w:val="20"/>
        </w:rPr>
      </w:pPr>
    </w:p>
    <w:p w14:paraId="54728027" w14:textId="20346E20" w:rsidR="00FE78DE" w:rsidRPr="00730C0D" w:rsidRDefault="008D58DD" w:rsidP="00FE78DE">
      <w:pPr>
        <w:spacing w:before="0" w:after="0"/>
        <w:contextualSpacing/>
        <w:rPr>
          <w:rFonts w:ascii="Century Gothic" w:hAnsi="Century Gothic" w:cstheme="minorHAnsi"/>
          <w:i/>
          <w:sz w:val="20"/>
          <w:szCs w:val="20"/>
        </w:rPr>
      </w:pPr>
      <w:r>
        <w:rPr>
          <w:rFonts w:ascii="Century Gothic" w:hAnsi="Century Gothic" w:cstheme="minorHAnsi"/>
          <w:i/>
          <w:sz w:val="20"/>
          <w:szCs w:val="20"/>
        </w:rPr>
        <w:t>Executive S</w:t>
      </w:r>
      <w:r w:rsidR="00FE78DE" w:rsidRPr="00730C0D">
        <w:rPr>
          <w:rFonts w:ascii="Century Gothic" w:hAnsi="Century Gothic" w:cstheme="minorHAnsi"/>
          <w:i/>
          <w:sz w:val="20"/>
          <w:szCs w:val="20"/>
        </w:rPr>
        <w:t>upport</w:t>
      </w:r>
    </w:p>
    <w:p w14:paraId="47AB30E2"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Ms Dan Donegan, Branch Manager</w:t>
      </w:r>
    </w:p>
    <w:p w14:paraId="0D7F2A57"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Ms Liz De Luca, Acting Branch Manager</w:t>
      </w:r>
    </w:p>
    <w:p w14:paraId="62881615" w14:textId="77777777" w:rsidR="00FE78DE" w:rsidRPr="00730C0D" w:rsidRDefault="00FE78DE" w:rsidP="00FE78DE">
      <w:pPr>
        <w:spacing w:before="0" w:after="0"/>
        <w:contextualSpacing/>
        <w:rPr>
          <w:rFonts w:ascii="Century Gothic" w:hAnsi="Century Gothic" w:cstheme="minorHAnsi"/>
          <w:sz w:val="20"/>
          <w:szCs w:val="20"/>
        </w:rPr>
      </w:pPr>
      <w:r w:rsidRPr="00730C0D">
        <w:rPr>
          <w:rFonts w:ascii="Century Gothic" w:hAnsi="Century Gothic" w:cstheme="minorHAnsi"/>
          <w:sz w:val="20"/>
          <w:szCs w:val="20"/>
        </w:rPr>
        <w:t>Mr Stephen Erskine, Acting Branch Manager</w:t>
      </w:r>
    </w:p>
    <w:p w14:paraId="19C4129A" w14:textId="77777777" w:rsidR="00FE78DE" w:rsidRPr="00730C0D" w:rsidRDefault="00FE78DE" w:rsidP="00FE78DE">
      <w:pPr>
        <w:spacing w:before="0" w:after="0"/>
        <w:rPr>
          <w:rFonts w:ascii="Century Gothic" w:hAnsi="Century Gothic"/>
          <w:b/>
          <w:sz w:val="20"/>
          <w:szCs w:val="20"/>
        </w:rPr>
      </w:pPr>
    </w:p>
    <w:p w14:paraId="120A51CC" w14:textId="77777777" w:rsidR="00FE78DE" w:rsidRPr="00730C0D" w:rsidRDefault="00FE78DE" w:rsidP="00FE78DE">
      <w:pPr>
        <w:spacing w:before="0" w:after="0"/>
        <w:rPr>
          <w:rFonts w:ascii="Century Gothic" w:hAnsi="Century Gothic"/>
          <w:b/>
          <w:sz w:val="20"/>
          <w:szCs w:val="20"/>
        </w:rPr>
      </w:pPr>
      <w:r w:rsidRPr="00730C0D">
        <w:rPr>
          <w:rFonts w:ascii="Century Gothic" w:hAnsi="Century Gothic"/>
          <w:b/>
          <w:sz w:val="20"/>
          <w:szCs w:val="20"/>
        </w:rPr>
        <w:t>Scoping Study</w:t>
      </w:r>
    </w:p>
    <w:p w14:paraId="30F0CD43" w14:textId="77777777" w:rsidR="00FE78DE" w:rsidRPr="00B842DE"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In June 2018, the LH Martin Institute at the University of Melbourne was commissioned to undertake a scoping study on the PCS to help inform the HESP in its planning for the Review. The scoping study is </w:t>
      </w:r>
      <w:r w:rsidRPr="00B842DE">
        <w:rPr>
          <w:rFonts w:ascii="Century Gothic" w:hAnsi="Century Gothic"/>
          <w:sz w:val="20"/>
          <w:szCs w:val="20"/>
        </w:rPr>
        <w:t xml:space="preserve">available at </w:t>
      </w:r>
      <w:hyperlink r:id="rId39" w:history="1">
        <w:r w:rsidRPr="00B842DE">
          <w:rPr>
            <w:rStyle w:val="Hyperlink"/>
            <w:rFonts w:ascii="Century Gothic" w:hAnsi="Century Gothic"/>
            <w:sz w:val="20"/>
            <w:szCs w:val="20"/>
          </w:rPr>
          <w:t>www.education.gov.au/review-higher-education-provider-category-standards</w:t>
        </w:r>
      </w:hyperlink>
      <w:r w:rsidRPr="00B842DE">
        <w:rPr>
          <w:rFonts w:ascii="Century Gothic" w:hAnsi="Century Gothic"/>
          <w:sz w:val="20"/>
          <w:szCs w:val="20"/>
        </w:rPr>
        <w:t>.</w:t>
      </w:r>
    </w:p>
    <w:p w14:paraId="20FF4820"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 </w:t>
      </w:r>
    </w:p>
    <w:p w14:paraId="7A1C2F8A" w14:textId="77777777" w:rsidR="00B34F91" w:rsidRDefault="00B34F91">
      <w:pPr>
        <w:spacing w:before="0" w:after="160"/>
        <w:rPr>
          <w:rFonts w:ascii="Century Gothic" w:hAnsi="Century Gothic"/>
          <w:b/>
          <w:sz w:val="20"/>
          <w:szCs w:val="20"/>
        </w:rPr>
      </w:pPr>
      <w:r>
        <w:rPr>
          <w:rFonts w:ascii="Century Gothic" w:hAnsi="Century Gothic"/>
          <w:b/>
          <w:sz w:val="20"/>
          <w:szCs w:val="20"/>
        </w:rPr>
        <w:br w:type="page"/>
      </w:r>
    </w:p>
    <w:p w14:paraId="7C7EC3B8" w14:textId="19C01CC3" w:rsidR="00FE78DE" w:rsidRPr="00730C0D" w:rsidRDefault="00FE78DE" w:rsidP="00FE78DE">
      <w:pPr>
        <w:spacing w:before="0" w:after="0"/>
        <w:rPr>
          <w:rFonts w:ascii="Century Gothic" w:hAnsi="Century Gothic"/>
          <w:sz w:val="20"/>
          <w:szCs w:val="20"/>
        </w:rPr>
      </w:pPr>
      <w:r w:rsidRPr="00730C0D">
        <w:rPr>
          <w:rFonts w:ascii="Century Gothic" w:hAnsi="Century Gothic"/>
          <w:b/>
          <w:sz w:val="20"/>
          <w:szCs w:val="20"/>
        </w:rPr>
        <w:t>Terms of Reference</w:t>
      </w:r>
    </w:p>
    <w:p w14:paraId="262770B7" w14:textId="77777777" w:rsidR="00FE78DE" w:rsidRPr="00730C0D" w:rsidRDefault="00FE78DE" w:rsidP="00FE78DE">
      <w:pPr>
        <w:spacing w:before="0" w:after="0"/>
        <w:rPr>
          <w:rFonts w:ascii="Century Gothic" w:hAnsi="Century Gothic"/>
          <w:sz w:val="20"/>
          <w:szCs w:val="20"/>
        </w:rPr>
      </w:pPr>
      <w:r>
        <w:rPr>
          <w:rFonts w:ascii="Century Gothic" w:hAnsi="Century Gothic"/>
          <w:sz w:val="20"/>
          <w:szCs w:val="20"/>
        </w:rPr>
        <w:t>O</w:t>
      </w:r>
      <w:r w:rsidRPr="00730C0D">
        <w:rPr>
          <w:rFonts w:ascii="Century Gothic" w:hAnsi="Century Gothic"/>
          <w:sz w:val="20"/>
          <w:szCs w:val="20"/>
        </w:rPr>
        <w:t>n 5 </w:t>
      </w:r>
      <w:r w:rsidRPr="00B842DE">
        <w:rPr>
          <w:rFonts w:ascii="Century Gothic" w:hAnsi="Century Gothic"/>
          <w:sz w:val="20"/>
          <w:szCs w:val="20"/>
        </w:rPr>
        <w:t xml:space="preserve">December 2018, the terms of reference for the PCS Review (see </w:t>
      </w:r>
      <w:hyperlink w:anchor="_Appendix_A." w:history="1">
        <w:r w:rsidRPr="00B842DE">
          <w:rPr>
            <w:rStyle w:val="Hyperlink"/>
            <w:rFonts w:ascii="Century Gothic" w:hAnsi="Century Gothic"/>
            <w:sz w:val="20"/>
            <w:szCs w:val="20"/>
          </w:rPr>
          <w:t>Appendix A</w:t>
        </w:r>
      </w:hyperlink>
      <w:r w:rsidRPr="00B842DE">
        <w:rPr>
          <w:rFonts w:ascii="Century Gothic" w:hAnsi="Century Gothic"/>
          <w:sz w:val="20"/>
          <w:szCs w:val="20"/>
        </w:rPr>
        <w:t xml:space="preserve">) were released and are available at </w:t>
      </w:r>
      <w:hyperlink r:id="rId40" w:history="1">
        <w:r w:rsidRPr="00B842DE">
          <w:rPr>
            <w:rStyle w:val="Hyperlink"/>
            <w:rFonts w:ascii="Century Gothic" w:hAnsi="Century Gothic"/>
            <w:sz w:val="20"/>
            <w:szCs w:val="20"/>
          </w:rPr>
          <w:t>www.education.gov.au/review-higher-education-provider-category-standards</w:t>
        </w:r>
      </w:hyperlink>
      <w:r w:rsidRPr="00B842DE">
        <w:rPr>
          <w:rFonts w:ascii="Century Gothic" w:hAnsi="Century Gothic"/>
          <w:sz w:val="20"/>
          <w:szCs w:val="20"/>
        </w:rPr>
        <w:t>.</w:t>
      </w:r>
    </w:p>
    <w:p w14:paraId="521BF485" w14:textId="77777777" w:rsidR="00FE78DE" w:rsidRPr="00730C0D" w:rsidRDefault="00FE78DE" w:rsidP="00FE78DE">
      <w:pPr>
        <w:spacing w:before="0" w:after="0"/>
        <w:rPr>
          <w:rFonts w:ascii="Century Gothic" w:hAnsi="Century Gothic"/>
          <w:sz w:val="20"/>
          <w:szCs w:val="20"/>
        </w:rPr>
      </w:pPr>
    </w:p>
    <w:p w14:paraId="15807C91" w14:textId="77777777" w:rsidR="00FE78DE" w:rsidRPr="00730C0D" w:rsidRDefault="00FE78DE" w:rsidP="00FE78DE">
      <w:pPr>
        <w:spacing w:before="0" w:after="0"/>
        <w:rPr>
          <w:rFonts w:ascii="Century Gothic" w:hAnsi="Century Gothic"/>
          <w:b/>
          <w:sz w:val="20"/>
          <w:szCs w:val="20"/>
        </w:rPr>
      </w:pPr>
      <w:r w:rsidRPr="00730C0D">
        <w:rPr>
          <w:rFonts w:ascii="Century Gothic" w:hAnsi="Century Gothic"/>
          <w:b/>
          <w:sz w:val="20"/>
          <w:szCs w:val="20"/>
        </w:rPr>
        <w:t>Public Submissions</w:t>
      </w:r>
    </w:p>
    <w:p w14:paraId="7D378FE1"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On 5 December 2018, Professor Coaldrake released a Discussion Paper inviting public submissions to the PCS Review by 8 March 2019. The Discussion Paper set out a number of considerations to help guide submissions, including:</w:t>
      </w:r>
    </w:p>
    <w:p w14:paraId="57979656" w14:textId="77777777" w:rsidR="00FE78DE" w:rsidRPr="00B842DE" w:rsidRDefault="00FE78DE" w:rsidP="00FE78DE">
      <w:pPr>
        <w:pStyle w:val="ListParagraph"/>
        <w:numPr>
          <w:ilvl w:val="0"/>
          <w:numId w:val="4"/>
        </w:numPr>
        <w:spacing w:before="0" w:after="0"/>
        <w:rPr>
          <w:rFonts w:ascii="Century Gothic" w:hAnsi="Century Gothic"/>
          <w:sz w:val="20"/>
          <w:szCs w:val="20"/>
        </w:rPr>
      </w:pPr>
      <w:r w:rsidRPr="00B842DE">
        <w:rPr>
          <w:rFonts w:ascii="Century Gothic" w:hAnsi="Century Gothic"/>
          <w:sz w:val="20"/>
          <w:szCs w:val="20"/>
        </w:rPr>
        <w:t>the way Australia defines its higher education providers and universities</w:t>
      </w:r>
    </w:p>
    <w:p w14:paraId="6D6F34C9" w14:textId="77777777" w:rsidR="00FE78DE" w:rsidRPr="00B842DE" w:rsidRDefault="00FE78DE" w:rsidP="00FE78DE">
      <w:pPr>
        <w:pStyle w:val="ListParagraph"/>
        <w:numPr>
          <w:ilvl w:val="0"/>
          <w:numId w:val="4"/>
        </w:numPr>
        <w:spacing w:before="0" w:after="0"/>
        <w:rPr>
          <w:rFonts w:ascii="Century Gothic" w:hAnsi="Century Gothic"/>
          <w:sz w:val="20"/>
          <w:szCs w:val="20"/>
        </w:rPr>
      </w:pPr>
      <w:r w:rsidRPr="00B842DE">
        <w:rPr>
          <w:rFonts w:ascii="Century Gothic" w:hAnsi="Century Gothic"/>
          <w:sz w:val="20"/>
          <w:szCs w:val="20"/>
        </w:rPr>
        <w:t>how the PCS signal differentiation across the sector</w:t>
      </w:r>
    </w:p>
    <w:p w14:paraId="5E48F12A" w14:textId="77777777" w:rsidR="00FE78DE" w:rsidRPr="00B842DE" w:rsidRDefault="00FE78DE" w:rsidP="00FE78DE">
      <w:pPr>
        <w:pStyle w:val="ListParagraph"/>
        <w:numPr>
          <w:ilvl w:val="0"/>
          <w:numId w:val="4"/>
        </w:numPr>
        <w:spacing w:before="0" w:after="0"/>
        <w:rPr>
          <w:rFonts w:ascii="Century Gothic" w:hAnsi="Century Gothic"/>
          <w:sz w:val="20"/>
          <w:szCs w:val="20"/>
        </w:rPr>
      </w:pPr>
      <w:r w:rsidRPr="00B842DE">
        <w:rPr>
          <w:rFonts w:ascii="Century Gothic" w:hAnsi="Century Gothic"/>
          <w:sz w:val="20"/>
          <w:szCs w:val="20"/>
        </w:rPr>
        <w:t>how the PCS can be optimised to best meet student, industry, regulator, and government needs.</w:t>
      </w:r>
    </w:p>
    <w:p w14:paraId="2F58B2B3" w14:textId="77777777" w:rsidR="00FE78DE" w:rsidRPr="00B842DE" w:rsidRDefault="00FE78DE" w:rsidP="00FE78DE">
      <w:pPr>
        <w:spacing w:before="0" w:after="0"/>
        <w:rPr>
          <w:rFonts w:ascii="Century Gothic" w:hAnsi="Century Gothic"/>
          <w:sz w:val="20"/>
          <w:szCs w:val="20"/>
        </w:rPr>
      </w:pPr>
    </w:p>
    <w:p w14:paraId="78CC39B7"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 xml:space="preserve">The discussion paper is available at </w:t>
      </w:r>
      <w:hyperlink r:id="rId41" w:history="1">
        <w:r w:rsidRPr="00B842DE">
          <w:rPr>
            <w:rStyle w:val="Hyperlink"/>
            <w:rFonts w:ascii="Century Gothic" w:hAnsi="Century Gothic"/>
            <w:sz w:val="20"/>
            <w:szCs w:val="20"/>
          </w:rPr>
          <w:t>www.education.gov.au/review-higher-education-provider-category-standards</w:t>
        </w:r>
      </w:hyperlink>
      <w:r w:rsidRPr="00B842DE">
        <w:rPr>
          <w:rFonts w:ascii="Century Gothic" w:hAnsi="Century Gothic"/>
          <w:sz w:val="20"/>
          <w:szCs w:val="20"/>
        </w:rPr>
        <w:t xml:space="preserve">. </w:t>
      </w:r>
    </w:p>
    <w:p w14:paraId="4DCF26A1" w14:textId="77777777" w:rsidR="00FE78DE" w:rsidRPr="00B842DE" w:rsidRDefault="00FE78DE" w:rsidP="00FE78DE">
      <w:pPr>
        <w:spacing w:before="0" w:after="0"/>
        <w:rPr>
          <w:rFonts w:ascii="Century Gothic" w:hAnsi="Century Gothic"/>
          <w:sz w:val="20"/>
          <w:szCs w:val="20"/>
        </w:rPr>
      </w:pPr>
    </w:p>
    <w:p w14:paraId="1F09BFCA"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 xml:space="preserve">The public submission process was open to all interested parties and sought comments on issues and concerns, and potential alternatives or improvements, to the PCS. A total of 67 submissions were received (see </w:t>
      </w:r>
      <w:hyperlink w:anchor="_Appendix_B1._List" w:history="1">
        <w:r w:rsidRPr="00B842DE">
          <w:rPr>
            <w:rStyle w:val="Hyperlink"/>
            <w:rFonts w:ascii="Century Gothic" w:hAnsi="Century Gothic"/>
            <w:sz w:val="20"/>
            <w:szCs w:val="20"/>
          </w:rPr>
          <w:t>Appendix B1</w:t>
        </w:r>
      </w:hyperlink>
      <w:r w:rsidRPr="00B842DE">
        <w:rPr>
          <w:rFonts w:ascii="Century Gothic" w:hAnsi="Century Gothic"/>
          <w:sz w:val="20"/>
          <w:szCs w:val="20"/>
        </w:rPr>
        <w:t xml:space="preserve">) and are available at </w:t>
      </w:r>
      <w:hyperlink r:id="rId42" w:history="1">
        <w:r w:rsidRPr="00B842DE">
          <w:rPr>
            <w:rStyle w:val="Hyperlink"/>
            <w:rFonts w:ascii="Century Gothic" w:hAnsi="Century Gothic"/>
            <w:sz w:val="20"/>
            <w:szCs w:val="20"/>
          </w:rPr>
          <w:t>www.education.gov.au/review-higher-education-provider-category-standards</w:t>
        </w:r>
      </w:hyperlink>
      <w:r w:rsidRPr="00B842DE">
        <w:rPr>
          <w:rFonts w:ascii="Century Gothic" w:hAnsi="Century Gothic"/>
          <w:sz w:val="20"/>
          <w:szCs w:val="20"/>
        </w:rPr>
        <w:t>.</w:t>
      </w:r>
    </w:p>
    <w:p w14:paraId="540F5EEE" w14:textId="77777777" w:rsidR="00FE78DE" w:rsidRPr="00730C0D" w:rsidRDefault="00FE78DE" w:rsidP="00FE78DE">
      <w:pPr>
        <w:spacing w:before="0" w:after="0"/>
        <w:rPr>
          <w:rFonts w:ascii="Century Gothic" w:hAnsi="Century Gothic"/>
          <w:sz w:val="20"/>
          <w:szCs w:val="20"/>
        </w:rPr>
      </w:pPr>
    </w:p>
    <w:p w14:paraId="6CB9B34A" w14:textId="77777777" w:rsidR="00FE78DE" w:rsidRPr="00730C0D" w:rsidRDefault="00FE78DE" w:rsidP="00FE78DE">
      <w:pPr>
        <w:spacing w:before="0" w:after="0"/>
        <w:rPr>
          <w:rFonts w:ascii="Century Gothic" w:hAnsi="Century Gothic"/>
          <w:b/>
          <w:sz w:val="20"/>
          <w:szCs w:val="20"/>
        </w:rPr>
      </w:pPr>
      <w:r w:rsidRPr="00730C0D">
        <w:rPr>
          <w:rFonts w:ascii="Century Gothic" w:hAnsi="Century Gothic"/>
          <w:b/>
          <w:sz w:val="20"/>
          <w:szCs w:val="20"/>
        </w:rPr>
        <w:t>Stakeholder Consultations</w:t>
      </w:r>
    </w:p>
    <w:p w14:paraId="2B200E21"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From 1 November to 29 November 2018, Professor Coaldrake undertook preliminary consultations in Canberra with higher education peak bodies prior to release of the Discussion Paper for the review.</w:t>
      </w:r>
    </w:p>
    <w:p w14:paraId="07CABF5D"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 xml:space="preserve"> </w:t>
      </w:r>
    </w:p>
    <w:p w14:paraId="081C0F2E"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 xml:space="preserve">From 28 February to 3 April 2019, Professor Coaldrake undertook targeted consultations with key stakeholders across Australia. Stakeholders included universities and other higher education providers, peak bodies, student groups, industry bodies, State and Territory departments, regulatory bodies, and education policy experts. </w:t>
      </w:r>
    </w:p>
    <w:p w14:paraId="377F1A9F" w14:textId="77777777" w:rsidR="00FE78DE" w:rsidRPr="00B842DE" w:rsidRDefault="00FE78DE" w:rsidP="00FE78DE">
      <w:pPr>
        <w:spacing w:before="0" w:after="0"/>
        <w:rPr>
          <w:rFonts w:ascii="Century Gothic" w:hAnsi="Century Gothic"/>
          <w:sz w:val="20"/>
          <w:szCs w:val="20"/>
        </w:rPr>
      </w:pPr>
    </w:p>
    <w:p w14:paraId="222D2778" w14:textId="77777777" w:rsidR="00FE78DE" w:rsidRPr="00B842DE" w:rsidRDefault="00FE78DE" w:rsidP="00FE78DE">
      <w:pPr>
        <w:spacing w:before="0" w:after="0"/>
        <w:rPr>
          <w:rFonts w:ascii="Century Gothic" w:hAnsi="Century Gothic"/>
          <w:iCs/>
          <w:sz w:val="20"/>
          <w:szCs w:val="20"/>
        </w:rPr>
      </w:pPr>
      <w:r w:rsidRPr="00B842DE">
        <w:rPr>
          <w:rFonts w:ascii="Century Gothic" w:hAnsi="Century Gothic"/>
          <w:sz w:val="20"/>
          <w:szCs w:val="20"/>
        </w:rPr>
        <w:t xml:space="preserve">From </w:t>
      </w:r>
      <w:r w:rsidRPr="00B842DE">
        <w:rPr>
          <w:rFonts w:ascii="Century Gothic" w:hAnsi="Century Gothic"/>
          <w:iCs/>
          <w:sz w:val="20"/>
          <w:szCs w:val="20"/>
        </w:rPr>
        <w:t xml:space="preserve">15 July to 13 August 2019, Professor Coaldrake undertook a further round of targeted consultations with higher education peak bodies in Melbourne, Canberra and Sydney. </w:t>
      </w:r>
    </w:p>
    <w:p w14:paraId="394FFB0A" w14:textId="77777777" w:rsidR="00FE78DE" w:rsidRPr="00B842DE" w:rsidRDefault="00FE78DE" w:rsidP="00FE78DE">
      <w:pPr>
        <w:spacing w:before="0" w:after="0"/>
        <w:rPr>
          <w:rFonts w:ascii="Century Gothic" w:hAnsi="Century Gothic"/>
          <w:iCs/>
          <w:sz w:val="20"/>
          <w:szCs w:val="20"/>
        </w:rPr>
      </w:pPr>
    </w:p>
    <w:p w14:paraId="4C5E7D4F" w14:textId="77777777" w:rsidR="00FE78DE" w:rsidRPr="00B842DE" w:rsidRDefault="00FE78DE" w:rsidP="00FE78DE">
      <w:pPr>
        <w:spacing w:before="0" w:after="0"/>
        <w:rPr>
          <w:rFonts w:ascii="Century Gothic" w:hAnsi="Century Gothic"/>
          <w:iCs/>
          <w:sz w:val="20"/>
          <w:szCs w:val="20"/>
        </w:rPr>
      </w:pPr>
      <w:r w:rsidRPr="00B842DE">
        <w:rPr>
          <w:rFonts w:ascii="Century Gothic" w:hAnsi="Century Gothic"/>
          <w:iCs/>
          <w:sz w:val="20"/>
          <w:szCs w:val="20"/>
        </w:rPr>
        <w:t xml:space="preserve">Throughout the Review period, Professor Coaldrake consulted from time to time with the Australian Government Department of Education, the </w:t>
      </w:r>
      <w:r w:rsidRPr="00B842DE">
        <w:rPr>
          <w:rFonts w:ascii="Century Gothic" w:hAnsi="Century Gothic"/>
          <w:sz w:val="20"/>
          <w:szCs w:val="20"/>
        </w:rPr>
        <w:t>Tertiary Education Quality and Standards Agency (</w:t>
      </w:r>
      <w:r w:rsidRPr="00B842DE">
        <w:rPr>
          <w:rFonts w:ascii="Century Gothic" w:hAnsi="Century Gothic"/>
          <w:iCs/>
          <w:sz w:val="20"/>
          <w:szCs w:val="20"/>
        </w:rPr>
        <w:t xml:space="preserve">TEQSA), lead reviewers appointed by the Australian Government for other reviews, education policy experts, and individual providers. </w:t>
      </w:r>
    </w:p>
    <w:p w14:paraId="5FFA0EE6" w14:textId="77777777" w:rsidR="00FE78DE" w:rsidRPr="00B842DE" w:rsidRDefault="00FE78DE" w:rsidP="00FE78DE">
      <w:pPr>
        <w:spacing w:before="0" w:after="0"/>
        <w:rPr>
          <w:rFonts w:ascii="Century Gothic" w:hAnsi="Century Gothic"/>
          <w:iCs/>
          <w:sz w:val="20"/>
          <w:szCs w:val="20"/>
        </w:rPr>
      </w:pPr>
    </w:p>
    <w:p w14:paraId="171A672C" w14:textId="77777777" w:rsidR="00FE78DE" w:rsidRPr="00B842DE" w:rsidRDefault="00FE78DE" w:rsidP="00FE78DE">
      <w:pPr>
        <w:spacing w:before="0" w:after="0"/>
        <w:rPr>
          <w:rFonts w:ascii="Century Gothic" w:hAnsi="Century Gothic"/>
          <w:iCs/>
          <w:sz w:val="20"/>
          <w:szCs w:val="20"/>
        </w:rPr>
      </w:pPr>
      <w:r w:rsidRPr="00B842DE">
        <w:rPr>
          <w:rFonts w:ascii="Century Gothic" w:hAnsi="Century Gothic"/>
          <w:iCs/>
          <w:sz w:val="20"/>
          <w:szCs w:val="20"/>
        </w:rPr>
        <w:t>Opportunities to publicly share findings and seek feedback on possible landing points were also facilitated through conferences and other forums.</w:t>
      </w:r>
    </w:p>
    <w:p w14:paraId="6AF4BFC0"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iCs/>
          <w:sz w:val="20"/>
          <w:szCs w:val="20"/>
        </w:rPr>
        <w:t xml:space="preserve"> </w:t>
      </w:r>
    </w:p>
    <w:p w14:paraId="4A6D0E81" w14:textId="77777777" w:rsidR="00FE78DE" w:rsidRPr="00B842DE" w:rsidRDefault="00FE78DE" w:rsidP="00FE78DE">
      <w:pPr>
        <w:spacing w:before="0" w:after="0"/>
        <w:rPr>
          <w:rFonts w:ascii="Century Gothic" w:hAnsi="Century Gothic"/>
          <w:sz w:val="20"/>
          <w:szCs w:val="20"/>
        </w:rPr>
      </w:pPr>
      <w:r w:rsidRPr="00B842DE">
        <w:rPr>
          <w:rFonts w:ascii="Century Gothic" w:hAnsi="Century Gothic"/>
          <w:sz w:val="20"/>
          <w:szCs w:val="20"/>
        </w:rPr>
        <w:t xml:space="preserve">Professor Coaldrake considered the full range of issues and suggestions put forward by stakeholders through the submissions and consultations. The list of key stakeholders consulted is provided at </w:t>
      </w:r>
      <w:hyperlink w:anchor="_Appendix_B2._List" w:history="1">
        <w:r w:rsidRPr="00B842DE">
          <w:rPr>
            <w:rStyle w:val="Hyperlink"/>
            <w:rFonts w:ascii="Century Gothic" w:hAnsi="Century Gothic"/>
            <w:sz w:val="20"/>
            <w:szCs w:val="20"/>
          </w:rPr>
          <w:t>Appendix B2</w:t>
        </w:r>
      </w:hyperlink>
      <w:r w:rsidRPr="00B842DE">
        <w:rPr>
          <w:rFonts w:ascii="Century Gothic" w:hAnsi="Century Gothic"/>
          <w:sz w:val="20"/>
          <w:szCs w:val="20"/>
        </w:rPr>
        <w:t xml:space="preserve">. </w:t>
      </w:r>
    </w:p>
    <w:p w14:paraId="54D2381D" w14:textId="77777777" w:rsidR="00FE78DE" w:rsidRPr="00730C0D" w:rsidRDefault="00FE78DE" w:rsidP="00FE78DE">
      <w:pPr>
        <w:spacing w:before="0" w:after="0"/>
        <w:rPr>
          <w:rFonts w:ascii="Century Gothic" w:hAnsi="Century Gothic"/>
          <w:sz w:val="20"/>
          <w:szCs w:val="20"/>
        </w:rPr>
      </w:pPr>
    </w:p>
    <w:p w14:paraId="1FBF94CB" w14:textId="77777777" w:rsidR="00FE78DE" w:rsidRPr="00730C0D" w:rsidRDefault="00FE78DE" w:rsidP="00FE78DE">
      <w:pPr>
        <w:spacing w:before="0" w:after="0"/>
        <w:rPr>
          <w:rFonts w:ascii="Century Gothic" w:hAnsi="Century Gothic"/>
          <w:b/>
          <w:sz w:val="20"/>
          <w:szCs w:val="20"/>
        </w:rPr>
      </w:pPr>
      <w:r w:rsidRPr="00730C0D">
        <w:rPr>
          <w:rFonts w:ascii="Century Gothic" w:hAnsi="Century Gothic"/>
          <w:b/>
          <w:sz w:val="20"/>
          <w:szCs w:val="20"/>
        </w:rPr>
        <w:t>Final Review Report</w:t>
      </w:r>
    </w:p>
    <w:p w14:paraId="13BBE493"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Professor Coaldrake presented this Final Report to the Hon Dan Tehan MP, Australian Government Minister for Education</w:t>
      </w:r>
      <w:r>
        <w:rPr>
          <w:rFonts w:ascii="Century Gothic" w:hAnsi="Century Gothic"/>
          <w:sz w:val="20"/>
          <w:szCs w:val="20"/>
        </w:rPr>
        <w:t xml:space="preserve"> in September 2019</w:t>
      </w:r>
      <w:r w:rsidRPr="00730C0D">
        <w:rPr>
          <w:rFonts w:ascii="Century Gothic" w:hAnsi="Century Gothic"/>
          <w:sz w:val="20"/>
          <w:szCs w:val="20"/>
        </w:rPr>
        <w:t>.</w:t>
      </w:r>
    </w:p>
    <w:p w14:paraId="2A3C910D" w14:textId="77777777" w:rsidR="00FE78DE" w:rsidRPr="00730C0D" w:rsidRDefault="00FE78DE" w:rsidP="00FE78DE">
      <w:pPr>
        <w:spacing w:before="0" w:after="0"/>
        <w:rPr>
          <w:rFonts w:ascii="Century Gothic" w:eastAsiaTheme="majorEastAsia" w:hAnsi="Century Gothic" w:cstheme="majorBidi"/>
          <w:color w:val="2E74B5" w:themeColor="accent1" w:themeShade="BF"/>
          <w:sz w:val="20"/>
          <w:szCs w:val="20"/>
        </w:rPr>
      </w:pPr>
      <w:bookmarkStart w:id="118" w:name="_Toc12615369"/>
      <w:r w:rsidRPr="00730C0D">
        <w:rPr>
          <w:rFonts w:ascii="Century Gothic" w:hAnsi="Century Gothic"/>
          <w:sz w:val="20"/>
          <w:szCs w:val="20"/>
        </w:rPr>
        <w:br w:type="page"/>
      </w:r>
    </w:p>
    <w:p w14:paraId="70957BA8" w14:textId="77777777" w:rsidR="00FE78DE" w:rsidRPr="00730C0D" w:rsidRDefault="00FE78DE" w:rsidP="00FE78DE">
      <w:pPr>
        <w:pStyle w:val="Heading2"/>
      </w:pPr>
      <w:bookmarkStart w:id="119" w:name="_Appendix_B1._List"/>
      <w:bookmarkStart w:id="120" w:name="_Toc16242146"/>
      <w:bookmarkStart w:id="121" w:name="_Toc16609469"/>
      <w:bookmarkStart w:id="122" w:name="_Toc18495602"/>
      <w:bookmarkStart w:id="123" w:name="_Toc18592365"/>
      <w:bookmarkEnd w:id="119"/>
      <w:r w:rsidRPr="00730C0D">
        <w:t>Appendix B1. List of Public Submissions</w:t>
      </w:r>
      <w:bookmarkEnd w:id="118"/>
      <w:bookmarkEnd w:id="120"/>
      <w:bookmarkEnd w:id="121"/>
      <w:bookmarkEnd w:id="122"/>
      <w:bookmarkEnd w:id="123"/>
      <w:r w:rsidRPr="00730C0D">
        <w:t xml:space="preserve"> </w:t>
      </w:r>
    </w:p>
    <w:p w14:paraId="31B5D75D" w14:textId="77777777" w:rsidR="00FE78DE" w:rsidRPr="00730C0D" w:rsidRDefault="00FE78DE" w:rsidP="00FE78DE">
      <w:pPr>
        <w:spacing w:before="0" w:after="0"/>
        <w:rPr>
          <w:rFonts w:ascii="Century Gothic" w:hAnsi="Century Gothic"/>
          <w:iCs/>
          <w:sz w:val="20"/>
          <w:szCs w:val="20"/>
        </w:rPr>
      </w:pPr>
      <w:r w:rsidRPr="00730C0D">
        <w:rPr>
          <w:rFonts w:ascii="Century Gothic" w:hAnsi="Century Gothic"/>
          <w:iCs/>
          <w:sz w:val="20"/>
          <w:szCs w:val="20"/>
        </w:rPr>
        <w:t xml:space="preserve">The public submission process opened on 5 December 2018. All interested parties were encouraged to make a submission by </w:t>
      </w:r>
      <w:r w:rsidRPr="00730C0D">
        <w:rPr>
          <w:rFonts w:ascii="Century Gothic" w:hAnsi="Century Gothic"/>
          <w:bCs/>
          <w:iCs/>
          <w:sz w:val="20"/>
          <w:szCs w:val="20"/>
        </w:rPr>
        <w:t>8 March 2019</w:t>
      </w:r>
      <w:r w:rsidRPr="00730C0D">
        <w:rPr>
          <w:rFonts w:ascii="Century Gothic" w:hAnsi="Century Gothic"/>
          <w:iCs/>
          <w:sz w:val="20"/>
          <w:szCs w:val="20"/>
        </w:rPr>
        <w:t xml:space="preserve">. </w:t>
      </w:r>
    </w:p>
    <w:p w14:paraId="2813E407" w14:textId="77777777" w:rsidR="00FE78DE" w:rsidRPr="00730C0D" w:rsidRDefault="00FE78DE" w:rsidP="00FE78DE">
      <w:pPr>
        <w:spacing w:before="0" w:after="0"/>
        <w:rPr>
          <w:rFonts w:ascii="Century Gothic" w:hAnsi="Century Gothic"/>
          <w:iCs/>
          <w:sz w:val="20"/>
          <w:szCs w:val="20"/>
        </w:rPr>
      </w:pPr>
    </w:p>
    <w:p w14:paraId="1E1FA0D5" w14:textId="71759860" w:rsidR="00FE78DE" w:rsidRPr="00730C0D" w:rsidRDefault="00FE78DE" w:rsidP="00FE78DE">
      <w:pPr>
        <w:spacing w:before="0" w:after="0"/>
        <w:rPr>
          <w:rFonts w:ascii="Century Gothic" w:hAnsi="Century Gothic"/>
          <w:iCs/>
          <w:sz w:val="20"/>
          <w:szCs w:val="20"/>
        </w:rPr>
      </w:pPr>
      <w:r w:rsidRPr="00730C0D">
        <w:rPr>
          <w:rFonts w:ascii="Century Gothic" w:hAnsi="Century Gothic"/>
          <w:iCs/>
          <w:sz w:val="20"/>
          <w:szCs w:val="20"/>
        </w:rPr>
        <w:t xml:space="preserve">A total </w:t>
      </w:r>
      <w:r>
        <w:rPr>
          <w:rFonts w:ascii="Century Gothic" w:hAnsi="Century Gothic"/>
          <w:iCs/>
          <w:sz w:val="20"/>
          <w:szCs w:val="20"/>
        </w:rPr>
        <w:t xml:space="preserve">of </w:t>
      </w:r>
      <w:r w:rsidRPr="00730C0D">
        <w:rPr>
          <w:rFonts w:ascii="Century Gothic" w:hAnsi="Century Gothic"/>
          <w:iCs/>
          <w:sz w:val="20"/>
          <w:szCs w:val="20"/>
        </w:rPr>
        <w:t xml:space="preserve">67 public submissions were received, listed </w:t>
      </w:r>
      <w:r>
        <w:rPr>
          <w:rFonts w:ascii="Century Gothic" w:hAnsi="Century Gothic"/>
          <w:iCs/>
          <w:sz w:val="20"/>
          <w:szCs w:val="20"/>
        </w:rPr>
        <w:t xml:space="preserve">below </w:t>
      </w:r>
      <w:r w:rsidRPr="00730C0D">
        <w:rPr>
          <w:rFonts w:ascii="Century Gothic" w:hAnsi="Century Gothic"/>
          <w:iCs/>
          <w:sz w:val="20"/>
          <w:szCs w:val="20"/>
        </w:rPr>
        <w:t xml:space="preserve">in alphabetical order. </w:t>
      </w:r>
      <w:r w:rsidR="00B842DE">
        <w:rPr>
          <w:rFonts w:ascii="Century Gothic" w:hAnsi="Century Gothic"/>
          <w:iCs/>
          <w:sz w:val="20"/>
          <w:szCs w:val="20"/>
        </w:rPr>
        <w:br/>
      </w:r>
      <w:r w:rsidRPr="00730C0D">
        <w:rPr>
          <w:rFonts w:ascii="Century Gothic" w:hAnsi="Century Gothic"/>
          <w:iCs/>
          <w:sz w:val="20"/>
          <w:szCs w:val="20"/>
        </w:rPr>
        <w:t xml:space="preserve">One author who specifically requested that their submission remain confidential is not included in this list. </w:t>
      </w:r>
    </w:p>
    <w:p w14:paraId="3E69DF60" w14:textId="77777777" w:rsidR="00FE78DE" w:rsidRPr="00B842DE" w:rsidRDefault="00FE78DE" w:rsidP="00FE78DE">
      <w:pPr>
        <w:spacing w:before="0" w:after="0"/>
        <w:rPr>
          <w:rFonts w:ascii="Century Gothic" w:hAnsi="Century Gothic"/>
          <w:iCs/>
          <w:sz w:val="20"/>
          <w:szCs w:val="20"/>
        </w:rPr>
      </w:pPr>
    </w:p>
    <w:p w14:paraId="7EAB3119" w14:textId="77777777" w:rsidR="00FE78DE" w:rsidRPr="00B842DE" w:rsidRDefault="00FE78DE" w:rsidP="00FE78DE">
      <w:pPr>
        <w:spacing w:before="0" w:after="0"/>
        <w:rPr>
          <w:rStyle w:val="Hyperlink"/>
          <w:rFonts w:ascii="Century Gothic" w:hAnsi="Century Gothic"/>
          <w:sz w:val="20"/>
          <w:szCs w:val="20"/>
        </w:rPr>
      </w:pPr>
      <w:r w:rsidRPr="00B842DE">
        <w:rPr>
          <w:rFonts w:ascii="Century Gothic" w:hAnsi="Century Gothic"/>
          <w:iCs/>
          <w:sz w:val="20"/>
          <w:szCs w:val="20"/>
        </w:rPr>
        <w:t xml:space="preserve">Submissions are available at </w:t>
      </w:r>
      <w:hyperlink r:id="rId43" w:history="1">
        <w:r w:rsidRPr="00B842DE">
          <w:rPr>
            <w:rStyle w:val="Hyperlink"/>
            <w:rFonts w:ascii="Century Gothic" w:hAnsi="Century Gothic"/>
            <w:sz w:val="20"/>
            <w:szCs w:val="20"/>
          </w:rPr>
          <w:t>www.education.gov.au/review-higher-education-provider-category-standards</w:t>
        </w:r>
      </w:hyperlink>
      <w:r w:rsidRPr="00B842DE">
        <w:rPr>
          <w:rFonts w:ascii="Century Gothic" w:hAnsi="Century Gothic"/>
          <w:sz w:val="20"/>
          <w:szCs w:val="20"/>
        </w:rPr>
        <w:t>.</w:t>
      </w:r>
    </w:p>
    <w:p w14:paraId="08879A60" w14:textId="77777777" w:rsidR="00FE78DE" w:rsidRPr="00730C0D" w:rsidRDefault="00FE78DE" w:rsidP="00FE78DE">
      <w:pPr>
        <w:spacing w:before="0" w:after="0"/>
        <w:rPr>
          <w:rStyle w:val="Hyperlink"/>
          <w:iCs/>
          <w:sz w:val="20"/>
          <w:szCs w:val="20"/>
        </w:rPr>
      </w:pPr>
    </w:p>
    <w:tbl>
      <w:tblPr>
        <w:tblStyle w:val="GridTable4-Accent5"/>
        <w:tblW w:w="500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7"/>
      </w:tblGrid>
      <w:tr w:rsidR="00FE78DE" w:rsidRPr="00730C0D" w14:paraId="2E033A82" w14:textId="77777777" w:rsidTr="00FE78D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hideMark/>
          </w:tcPr>
          <w:p w14:paraId="553A05F4"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sz w:val="20"/>
                <w:szCs w:val="20"/>
              </w:rPr>
              <w:t>Public submissions</w:t>
            </w:r>
          </w:p>
        </w:tc>
      </w:tr>
      <w:tr w:rsidR="00FE78DE" w:rsidRPr="00730C0D" w14:paraId="0779AEE0"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CE85109"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Alphacrucis College</w:t>
            </w:r>
          </w:p>
        </w:tc>
      </w:tr>
      <w:tr w:rsidR="00FE78DE" w:rsidRPr="00730C0D" w14:paraId="5C9B6B5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2366A5D"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Australian Association for Research in Education</w:t>
            </w:r>
          </w:p>
        </w:tc>
      </w:tr>
      <w:tr w:rsidR="00FE78DE" w:rsidRPr="00730C0D" w14:paraId="7551053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170F417"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Australian Catholic University</w:t>
            </w:r>
          </w:p>
        </w:tc>
      </w:tr>
      <w:tr w:rsidR="00FE78DE" w:rsidRPr="00730C0D" w14:paraId="6E4E497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0433B7F"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Australian Film Television and Radio School</w:t>
            </w:r>
          </w:p>
        </w:tc>
      </w:tr>
      <w:tr w:rsidR="00FE78DE" w:rsidRPr="00730C0D" w14:paraId="7C1F563E"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C65E56D"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Australian Institute of Business</w:t>
            </w:r>
          </w:p>
        </w:tc>
      </w:tr>
      <w:tr w:rsidR="00FE78DE" w:rsidRPr="00730C0D" w14:paraId="02D1B3D6"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93C8BF2"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Australian Institute of Police Management</w:t>
            </w:r>
          </w:p>
        </w:tc>
      </w:tr>
      <w:tr w:rsidR="00FE78DE" w:rsidRPr="00730C0D" w14:paraId="32D983BD"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1ECC1F4"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Australian Library and Information Association</w:t>
            </w:r>
          </w:p>
        </w:tc>
      </w:tr>
      <w:tr w:rsidR="00FE78DE" w:rsidRPr="00730C0D" w14:paraId="511C8536"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9FA8D3"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Australian Technology Network of Universities</w:t>
            </w:r>
          </w:p>
        </w:tc>
      </w:tr>
      <w:tr w:rsidR="00FE78DE" w:rsidRPr="00730C0D" w14:paraId="076884E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E2F4B4C" w14:textId="77777777" w:rsidR="00FE78DE" w:rsidRPr="00730C0D" w:rsidRDefault="00FE78DE" w:rsidP="00FE78DE">
            <w:pPr>
              <w:spacing w:before="0" w:after="0" w:line="259" w:lineRule="auto"/>
              <w:rPr>
                <w:rFonts w:ascii="Century Gothic" w:hAnsi="Century Gothic" w:cstheme="minorHAnsi"/>
                <w:b w:val="0"/>
                <w:vanish/>
                <w:sz w:val="20"/>
                <w:szCs w:val="20"/>
              </w:rPr>
            </w:pPr>
            <w:r w:rsidRPr="00730C0D">
              <w:rPr>
                <w:rFonts w:ascii="Century Gothic" w:hAnsi="Century Gothic" w:cstheme="minorHAnsi"/>
                <w:b w:val="0"/>
                <w:sz w:val="20"/>
                <w:szCs w:val="20"/>
                <w:lang w:val="en"/>
              </w:rPr>
              <w:t>Avondale College</w:t>
            </w:r>
            <w:r>
              <w:rPr>
                <w:rFonts w:ascii="Century Gothic" w:hAnsi="Century Gothic" w:cstheme="minorHAnsi"/>
                <w:b w:val="0"/>
                <w:sz w:val="20"/>
                <w:szCs w:val="20"/>
                <w:lang w:val="en"/>
              </w:rPr>
              <w:t xml:space="preserve"> of Higher Education</w:t>
            </w:r>
          </w:p>
        </w:tc>
      </w:tr>
      <w:tr w:rsidR="00FE78DE" w:rsidRPr="00730C0D" w14:paraId="10A0E7D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FBFEAD6"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Batchelor Institute</w:t>
            </w:r>
          </w:p>
        </w:tc>
      </w:tr>
      <w:tr w:rsidR="00FE78DE" w:rsidRPr="00730C0D" w14:paraId="33933E48"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7E9E8C3"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Charles Darwin University</w:t>
            </w:r>
          </w:p>
        </w:tc>
      </w:tr>
      <w:tr w:rsidR="00FE78DE" w:rsidRPr="00730C0D" w14:paraId="6A0C70ED"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2C927E6"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Charles Sturt University</w:t>
            </w:r>
          </w:p>
        </w:tc>
      </w:tr>
      <w:tr w:rsidR="00FE78DE" w:rsidRPr="00730C0D" w14:paraId="31BE7FE8"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A553426"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Council of Australian University Librarians</w:t>
            </w:r>
          </w:p>
        </w:tc>
      </w:tr>
      <w:tr w:rsidR="00FE78DE" w:rsidRPr="00730C0D" w14:paraId="7B91C8B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3DA28C"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CQUniversity</w:t>
            </w:r>
          </w:p>
        </w:tc>
      </w:tr>
      <w:tr w:rsidR="00FE78DE" w:rsidRPr="00730C0D" w14:paraId="3935264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2CD4DFA"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Curtin University</w:t>
            </w:r>
          </w:p>
        </w:tc>
      </w:tr>
      <w:tr w:rsidR="00FE78DE" w:rsidRPr="00730C0D" w14:paraId="0850EB2D"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70AE71C"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Deakin University</w:t>
            </w:r>
          </w:p>
        </w:tc>
      </w:tr>
      <w:tr w:rsidR="00FE78DE" w:rsidRPr="00730C0D" w14:paraId="6E8B5A81"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35AD432"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Edith Cowan University</w:t>
            </w:r>
          </w:p>
        </w:tc>
      </w:tr>
      <w:tr w:rsidR="00FE78DE" w:rsidRPr="00730C0D" w14:paraId="106B410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31BE69E"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Foster, Dr David</w:t>
            </w:r>
          </w:p>
        </w:tc>
      </w:tr>
      <w:tr w:rsidR="00FE78DE" w:rsidRPr="00730C0D" w14:paraId="62BDB2C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DA94B61"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Griffith University</w:t>
            </w:r>
          </w:p>
        </w:tc>
      </w:tr>
      <w:tr w:rsidR="00FE78DE" w:rsidRPr="00730C0D" w14:paraId="3DA98FF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280AE40"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Group of Eight</w:t>
            </w:r>
          </w:p>
        </w:tc>
      </w:tr>
      <w:tr w:rsidR="00FE78DE" w:rsidRPr="00730C0D" w14:paraId="028FE8B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D03B6FE"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 xml:space="preserve">Holmesglen Institute </w:t>
            </w:r>
          </w:p>
        </w:tc>
      </w:tr>
      <w:tr w:rsidR="00FE78DE" w:rsidRPr="00730C0D" w14:paraId="504C047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5DFA864"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 xml:space="preserve">Independent Higher Education Australia (formerly Council of Private Higher Education) </w:t>
            </w:r>
          </w:p>
        </w:tc>
      </w:tr>
      <w:tr w:rsidR="00FE78DE" w:rsidRPr="00730C0D" w14:paraId="1F809210" w14:textId="77777777" w:rsidTr="00FE78DE">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F53DE37" w14:textId="77777777" w:rsidR="00FE78DE" w:rsidRPr="00730C0D" w:rsidRDefault="00FE78DE" w:rsidP="00FE78DE">
            <w:pPr>
              <w:pStyle w:val="NormalWeb"/>
              <w:spacing w:before="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Independent Tertiary Education Council Australia (formerly Australian Council of Private Education and Training)</w:t>
            </w:r>
          </w:p>
        </w:tc>
      </w:tr>
      <w:tr w:rsidR="00FE78DE" w:rsidRPr="00730C0D" w14:paraId="471A109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2703E7D"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Innovative Research Universities</w:t>
            </w:r>
          </w:p>
        </w:tc>
      </w:tr>
      <w:tr w:rsidR="00FE78DE" w:rsidRPr="00730C0D" w14:paraId="592375A6"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DFC0A49"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JMC Academy</w:t>
            </w:r>
          </w:p>
        </w:tc>
      </w:tr>
      <w:tr w:rsidR="00FE78DE" w:rsidRPr="00730C0D" w14:paraId="0863D78E"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065470F"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Kenvale College</w:t>
            </w:r>
          </w:p>
        </w:tc>
      </w:tr>
      <w:tr w:rsidR="00FE78DE" w:rsidRPr="00730C0D" w14:paraId="36411B90"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9511289"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La Trobe University</w:t>
            </w:r>
          </w:p>
        </w:tc>
      </w:tr>
      <w:tr w:rsidR="00FE78DE" w:rsidRPr="00730C0D" w14:paraId="622F504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ACB3EA6"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Loxton, Professor John</w:t>
            </w:r>
          </w:p>
        </w:tc>
      </w:tr>
      <w:tr w:rsidR="00FE78DE" w:rsidRPr="00730C0D" w14:paraId="010CE92A"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C26A175"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Macleay College</w:t>
            </w:r>
          </w:p>
        </w:tc>
      </w:tr>
      <w:tr w:rsidR="00FE78DE" w:rsidRPr="00730C0D" w14:paraId="728410A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75993B2"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Macquarie University</w:t>
            </w:r>
          </w:p>
        </w:tc>
      </w:tr>
      <w:tr w:rsidR="00FE78DE" w:rsidRPr="00730C0D" w14:paraId="66B90F1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F7F6E58"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Melbourne Institute of Technology</w:t>
            </w:r>
          </w:p>
        </w:tc>
      </w:tr>
      <w:tr w:rsidR="00FE78DE" w:rsidRPr="00730C0D" w14:paraId="587E9B1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484DF7D"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Melbourne Polytechnic</w:t>
            </w:r>
          </w:p>
        </w:tc>
      </w:tr>
      <w:tr w:rsidR="00FE78DE" w:rsidRPr="00730C0D" w14:paraId="7DD50EF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C10DC03"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Monash College</w:t>
            </w:r>
          </w:p>
        </w:tc>
      </w:tr>
      <w:tr w:rsidR="00FE78DE" w:rsidRPr="00730C0D" w14:paraId="72D0531E"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1AC1C8D"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Monash University</w:t>
            </w:r>
          </w:p>
        </w:tc>
      </w:tr>
      <w:tr w:rsidR="00FE78DE" w:rsidRPr="00730C0D" w14:paraId="66C8201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D119684"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National Institute of Dramatic Art</w:t>
            </w:r>
          </w:p>
        </w:tc>
      </w:tr>
      <w:tr w:rsidR="00FE78DE" w:rsidRPr="00730C0D" w14:paraId="30FD09D3"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683FFE7"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National Tertiary Education Union</w:t>
            </w:r>
          </w:p>
        </w:tc>
      </w:tr>
      <w:tr w:rsidR="00FE78DE" w:rsidRPr="00730C0D" w14:paraId="0FE44DE8"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66EB360"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Navitas</w:t>
            </w:r>
          </w:p>
        </w:tc>
      </w:tr>
      <w:tr w:rsidR="00FE78DE" w:rsidRPr="00730C0D" w14:paraId="03FFF39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48D83A4"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 xml:space="preserve">Northern Territory Department of Education </w:t>
            </w:r>
          </w:p>
        </w:tc>
      </w:tr>
      <w:tr w:rsidR="00FE78DE" w:rsidRPr="00730C0D" w14:paraId="740CF27C"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D2F8BA5"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 xml:space="preserve">Queensland University of Technology </w:t>
            </w:r>
          </w:p>
        </w:tc>
      </w:tr>
      <w:tr w:rsidR="00FE78DE" w:rsidRPr="00730C0D" w14:paraId="5DA1AD1A"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FBF6C12"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Regional Universities Network</w:t>
            </w:r>
          </w:p>
        </w:tc>
      </w:tr>
      <w:tr w:rsidR="00FE78DE" w:rsidRPr="00730C0D" w14:paraId="640AEDD5"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E7AB1FD"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Swinburne University</w:t>
            </w:r>
          </w:p>
        </w:tc>
      </w:tr>
      <w:tr w:rsidR="00FE78DE" w:rsidRPr="00730C0D" w14:paraId="10F5B294"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252E3B1"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Sydney College of Divinity</w:t>
            </w:r>
          </w:p>
        </w:tc>
      </w:tr>
      <w:tr w:rsidR="00FE78DE" w:rsidRPr="00730C0D" w14:paraId="2852317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CD090DD"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TAFE Queensland</w:t>
            </w:r>
          </w:p>
        </w:tc>
      </w:tr>
      <w:tr w:rsidR="00FE78DE" w:rsidRPr="00730C0D" w14:paraId="167DE30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41AC5A"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Tertiary Education Quality and Standards Agency</w:t>
            </w:r>
          </w:p>
        </w:tc>
      </w:tr>
      <w:tr w:rsidR="00FE78DE" w:rsidRPr="00730C0D" w14:paraId="68CADF41"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67B0710"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The College of Law</w:t>
            </w:r>
          </w:p>
        </w:tc>
      </w:tr>
      <w:tr w:rsidR="00FE78DE" w:rsidRPr="00730C0D" w14:paraId="3FED74A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9E3B6ED"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The University of Adelaide</w:t>
            </w:r>
          </w:p>
        </w:tc>
      </w:tr>
      <w:tr w:rsidR="00FE78DE" w:rsidRPr="00730C0D" w14:paraId="3B2CECE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3A1A468"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The University of Melbourne</w:t>
            </w:r>
          </w:p>
        </w:tc>
      </w:tr>
      <w:tr w:rsidR="00FE78DE" w:rsidRPr="00730C0D" w14:paraId="512272D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589C39F"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The University of Queensland</w:t>
            </w:r>
          </w:p>
        </w:tc>
      </w:tr>
      <w:tr w:rsidR="00FE78DE" w:rsidRPr="00730C0D" w14:paraId="5F8A53B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19C9845"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The University of Sydney</w:t>
            </w:r>
          </w:p>
        </w:tc>
      </w:tr>
      <w:tr w:rsidR="00FE78DE" w:rsidRPr="00730C0D" w14:paraId="6E3523F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8B9E28D"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Top Education Institute</w:t>
            </w:r>
          </w:p>
        </w:tc>
      </w:tr>
      <w:tr w:rsidR="00FE78DE" w:rsidRPr="00730C0D" w14:paraId="4DBB36C1"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7B1DEC1"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Torrens University</w:t>
            </w:r>
            <w:r>
              <w:rPr>
                <w:rFonts w:ascii="Century Gothic" w:hAnsi="Century Gothic" w:cstheme="minorHAnsi"/>
                <w:b w:val="0"/>
                <w:sz w:val="20"/>
                <w:szCs w:val="20"/>
                <w:lang w:val="en"/>
              </w:rPr>
              <w:t xml:space="preserve"> Australia</w:t>
            </w:r>
          </w:p>
        </w:tc>
      </w:tr>
      <w:tr w:rsidR="00FE78DE" w:rsidRPr="00730C0D" w14:paraId="3471C51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2305D23"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Universities Australia</w:t>
            </w:r>
          </w:p>
        </w:tc>
      </w:tr>
      <w:tr w:rsidR="00FE78DE" w:rsidRPr="00730C0D" w14:paraId="75314CE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BA28768"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University of Canberra</w:t>
            </w:r>
          </w:p>
        </w:tc>
      </w:tr>
      <w:tr w:rsidR="00FE78DE" w:rsidRPr="00730C0D" w14:paraId="350DE569"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F608652"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University of Divinity</w:t>
            </w:r>
          </w:p>
        </w:tc>
      </w:tr>
      <w:tr w:rsidR="00FE78DE" w:rsidRPr="00730C0D" w14:paraId="7631144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126BD17"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University of Newcastle</w:t>
            </w:r>
          </w:p>
        </w:tc>
      </w:tr>
      <w:tr w:rsidR="00FE78DE" w:rsidRPr="00730C0D" w14:paraId="75C4639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E43B51" w14:textId="77777777" w:rsidR="00FE78DE" w:rsidRPr="00730C0D" w:rsidRDefault="00FE78DE" w:rsidP="00FE78DE">
            <w:pPr>
              <w:spacing w:before="0" w:after="0" w:line="259" w:lineRule="auto"/>
              <w:rPr>
                <w:rFonts w:ascii="Century Gothic" w:hAnsi="Century Gothic" w:cstheme="minorHAnsi"/>
                <w:sz w:val="20"/>
                <w:szCs w:val="20"/>
                <w:lang w:val="en"/>
              </w:rPr>
            </w:pPr>
            <w:r w:rsidRPr="00730C0D">
              <w:rPr>
                <w:rFonts w:ascii="Century Gothic" w:hAnsi="Century Gothic" w:cstheme="minorHAnsi"/>
                <w:b w:val="0"/>
                <w:sz w:val="20"/>
                <w:szCs w:val="20"/>
                <w:lang w:val="en"/>
              </w:rPr>
              <w:t>University of Notre Dame</w:t>
            </w:r>
          </w:p>
        </w:tc>
      </w:tr>
      <w:tr w:rsidR="00FE78DE" w:rsidRPr="00730C0D" w14:paraId="73CFC718"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A2CCD61"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University of South Australia</w:t>
            </w:r>
          </w:p>
        </w:tc>
      </w:tr>
      <w:tr w:rsidR="00FE78DE" w:rsidRPr="00730C0D" w14:paraId="336B4B5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515E127"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University of Southern Queensland</w:t>
            </w:r>
          </w:p>
        </w:tc>
      </w:tr>
      <w:tr w:rsidR="00FE78DE" w:rsidRPr="00730C0D" w14:paraId="57B44B7D"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362EF5"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University of Technology Sydney</w:t>
            </w:r>
          </w:p>
        </w:tc>
      </w:tr>
      <w:tr w:rsidR="00FE78DE" w:rsidRPr="00730C0D" w14:paraId="12E349B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AC0D61F"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University of the Sunshine Coast</w:t>
            </w:r>
          </w:p>
        </w:tc>
      </w:tr>
      <w:tr w:rsidR="00FE78DE" w:rsidRPr="00730C0D" w14:paraId="64F735E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48ECA64"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University of Wollongong</w:t>
            </w:r>
          </w:p>
        </w:tc>
      </w:tr>
      <w:tr w:rsidR="00FE78DE" w:rsidRPr="00730C0D" w14:paraId="733BFCEA"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ADC5F2B"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UTS Insearch</w:t>
            </w:r>
          </w:p>
        </w:tc>
      </w:tr>
      <w:tr w:rsidR="00FE78DE" w:rsidRPr="00730C0D" w14:paraId="61CC19AD"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62866E"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 xml:space="preserve">Victoria University </w:t>
            </w:r>
          </w:p>
        </w:tc>
      </w:tr>
      <w:tr w:rsidR="00FE78DE" w:rsidRPr="00730C0D" w14:paraId="5D15A9E7"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E01FB61"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Victorian TAFE Association</w:t>
            </w:r>
          </w:p>
        </w:tc>
      </w:tr>
      <w:tr w:rsidR="00FE78DE" w:rsidRPr="00730C0D" w14:paraId="35036BAE"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323F1E4"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b w:val="0"/>
                <w:sz w:val="20"/>
                <w:szCs w:val="20"/>
                <w:lang w:val="en"/>
              </w:rPr>
              <w:t>Western Sydney University</w:t>
            </w:r>
          </w:p>
        </w:tc>
      </w:tr>
      <w:tr w:rsidR="00FE78DE" w:rsidRPr="00730C0D" w14:paraId="384E749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46C05C"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William Angliss Institute</w:t>
            </w:r>
          </w:p>
        </w:tc>
      </w:tr>
    </w:tbl>
    <w:p w14:paraId="34DAD523" w14:textId="77777777" w:rsidR="00FE78DE" w:rsidRPr="00730C0D" w:rsidRDefault="00FE78DE" w:rsidP="00FE78DE">
      <w:pPr>
        <w:spacing w:before="0" w:after="0"/>
        <w:rPr>
          <w:rFonts w:ascii="Century Gothic" w:hAnsi="Century Gothic"/>
          <w:iCs/>
          <w:sz w:val="20"/>
          <w:szCs w:val="20"/>
        </w:rPr>
      </w:pPr>
    </w:p>
    <w:p w14:paraId="4A2F8039"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br w:type="page"/>
      </w:r>
    </w:p>
    <w:p w14:paraId="1B56E2C0" w14:textId="77777777" w:rsidR="00FE78DE" w:rsidRPr="00730C0D" w:rsidRDefault="00FE78DE" w:rsidP="00FE78DE">
      <w:pPr>
        <w:pStyle w:val="Heading2"/>
      </w:pPr>
      <w:bookmarkStart w:id="124" w:name="_Appendix_B2._List"/>
      <w:bookmarkStart w:id="125" w:name="_Toc16242147"/>
      <w:bookmarkStart w:id="126" w:name="_Toc16609470"/>
      <w:bookmarkStart w:id="127" w:name="_Toc18495603"/>
      <w:bookmarkStart w:id="128" w:name="_Toc18592366"/>
      <w:bookmarkStart w:id="129" w:name="_Toc12615370"/>
      <w:bookmarkEnd w:id="124"/>
      <w:r w:rsidRPr="00730C0D">
        <w:t>Appendix B2. List of Consulted Stakeholders</w:t>
      </w:r>
      <w:bookmarkEnd w:id="125"/>
      <w:bookmarkEnd w:id="126"/>
      <w:bookmarkEnd w:id="127"/>
      <w:bookmarkEnd w:id="128"/>
      <w:r w:rsidRPr="00730C0D">
        <w:t xml:space="preserve"> </w:t>
      </w:r>
      <w:bookmarkEnd w:id="129"/>
    </w:p>
    <w:p w14:paraId="6F45A3A2" w14:textId="77777777" w:rsidR="00FE78DE" w:rsidRPr="00730C0D" w:rsidRDefault="00FE78DE" w:rsidP="00FE78DE">
      <w:pPr>
        <w:spacing w:before="0" w:after="0"/>
        <w:rPr>
          <w:rFonts w:ascii="Century Gothic" w:hAnsi="Century Gothic"/>
          <w:iCs/>
          <w:sz w:val="20"/>
          <w:szCs w:val="20"/>
        </w:rPr>
      </w:pPr>
      <w:r w:rsidRPr="00730C0D">
        <w:rPr>
          <w:rFonts w:ascii="Century Gothic" w:hAnsi="Century Gothic"/>
          <w:iCs/>
          <w:sz w:val="20"/>
          <w:szCs w:val="20"/>
        </w:rPr>
        <w:t xml:space="preserve">Key stakeholders consulted as part of this Review are listed by type in alphabetical order (by trading name except where noted). </w:t>
      </w:r>
    </w:p>
    <w:p w14:paraId="5DA36D6B" w14:textId="77777777" w:rsidR="00FE78DE" w:rsidRPr="00730C0D" w:rsidRDefault="00FE78DE" w:rsidP="00FE78DE">
      <w:pPr>
        <w:spacing w:before="0" w:after="0"/>
        <w:rPr>
          <w:rFonts w:ascii="Century Gothic" w:hAnsi="Century Gothic"/>
          <w:iCs/>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40A7E802" w14:textId="77777777" w:rsidTr="00FE78D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tcPr>
          <w:p w14:paraId="61A98D8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sz w:val="20"/>
                <w:szCs w:val="20"/>
              </w:rPr>
              <w:t>Higher Education Providers</w:t>
            </w:r>
          </w:p>
        </w:tc>
      </w:tr>
      <w:tr w:rsidR="00FE78DE" w:rsidRPr="00730C0D" w14:paraId="3717666A"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47C7EC1"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ACER (The Australian Council for Educational Research Limited*)</w:t>
            </w:r>
          </w:p>
        </w:tc>
      </w:tr>
      <w:tr w:rsidR="00FE78DE" w:rsidRPr="00730C0D" w14:paraId="58E3583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7C0C21C"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Acknowledge Education</w:t>
            </w:r>
          </w:p>
        </w:tc>
      </w:tr>
      <w:tr w:rsidR="00FE78DE" w:rsidRPr="00730C0D" w14:paraId="73974108"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4BCA1C8"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Alphacrucis College</w:t>
            </w:r>
          </w:p>
        </w:tc>
      </w:tr>
      <w:tr w:rsidR="00FE78DE" w:rsidRPr="00730C0D" w14:paraId="74FDE5C3"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CA6C5C6"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Asia Pacific International College</w:t>
            </w:r>
          </w:p>
        </w:tc>
      </w:tr>
      <w:tr w:rsidR="00FE78DE" w:rsidRPr="00730C0D" w14:paraId="663C5A0E"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B6469D1"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College of Nursing</w:t>
            </w:r>
          </w:p>
        </w:tc>
      </w:tr>
      <w:tr w:rsidR="00FE78DE" w:rsidRPr="00730C0D" w14:paraId="2327F53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457B0D7"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College of Theology</w:t>
            </w:r>
          </w:p>
        </w:tc>
      </w:tr>
      <w:tr w:rsidR="00FE78DE" w:rsidRPr="00730C0D" w14:paraId="6C796C7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EF6C892"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Film Television and Radio School</w:t>
            </w:r>
          </w:p>
        </w:tc>
      </w:tr>
      <w:tr w:rsidR="00FE78DE" w:rsidRPr="00730C0D" w14:paraId="6D373EB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94312DC"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Institute of Business</w:t>
            </w:r>
          </w:p>
        </w:tc>
      </w:tr>
      <w:tr w:rsidR="00AF31F6" w:rsidRPr="00730C0D" w14:paraId="17CF128E"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B6CCBB0" w14:textId="121FC15E"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Batchelor Institute of Indigenous Tertiary Education</w:t>
            </w:r>
          </w:p>
        </w:tc>
      </w:tr>
      <w:tr w:rsidR="00AF31F6" w:rsidRPr="00730C0D" w14:paraId="031AF66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E078F8C" w14:textId="6749EBB8"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BBI The Australian Institute of Theological Education</w:t>
            </w:r>
          </w:p>
        </w:tc>
      </w:tr>
      <w:tr w:rsidR="00AF31F6" w:rsidRPr="00730C0D" w14:paraId="6638F10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C6ABF48" w14:textId="19E4D101"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Box Hill Institute</w:t>
            </w:r>
          </w:p>
        </w:tc>
      </w:tr>
      <w:tr w:rsidR="00AF31F6" w:rsidRPr="00730C0D" w14:paraId="32E1946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1841335" w14:textId="7A32E110"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Campion College Australia</w:t>
            </w:r>
          </w:p>
        </w:tc>
      </w:tr>
      <w:tr w:rsidR="00AF31F6" w:rsidRPr="00730C0D" w14:paraId="2C814D04"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307C79B" w14:textId="0CF10A84"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Canberra Institute of Technology</w:t>
            </w:r>
          </w:p>
        </w:tc>
      </w:tr>
      <w:tr w:rsidR="00AF31F6" w:rsidRPr="00730C0D" w14:paraId="4771362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77465C5" w14:textId="162D2C6B"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Christian Heritage College</w:t>
            </w:r>
          </w:p>
        </w:tc>
      </w:tr>
      <w:tr w:rsidR="00AF31F6" w:rsidRPr="00730C0D" w14:paraId="46F28F4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37F659" w14:textId="5E0DBCC4"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Collarts (Australian College of the Arts*)</w:t>
            </w:r>
          </w:p>
        </w:tc>
      </w:tr>
      <w:tr w:rsidR="00AF31F6" w:rsidRPr="00730C0D" w14:paraId="0230DDC9"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2701DB7" w14:textId="500F985F"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EQUALS International </w:t>
            </w:r>
          </w:p>
        </w:tc>
      </w:tr>
      <w:tr w:rsidR="00AF31F6" w:rsidRPr="00730C0D" w14:paraId="027AB32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7B91581" w14:textId="0155674E"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Holmesglen Institute</w:t>
            </w:r>
          </w:p>
        </w:tc>
      </w:tr>
      <w:tr w:rsidR="00AF31F6" w:rsidRPr="00730C0D" w14:paraId="538C652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37E657" w14:textId="4468D94D"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International College of Hotel Management</w:t>
            </w:r>
          </w:p>
        </w:tc>
      </w:tr>
      <w:tr w:rsidR="00AF31F6" w:rsidRPr="00730C0D" w14:paraId="5B3F6B9C"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C11A04C" w14:textId="05654122"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JMC Academy</w:t>
            </w:r>
          </w:p>
        </w:tc>
      </w:tr>
      <w:tr w:rsidR="00AF31F6" w:rsidRPr="00730C0D" w14:paraId="245C008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B101E02" w14:textId="18807259" w:rsidR="00AF31F6" w:rsidRPr="00730C0D" w:rsidRDefault="00AF31F6" w:rsidP="00AF31F6">
            <w:pPr>
              <w:spacing w:before="0" w:after="0" w:line="259" w:lineRule="auto"/>
              <w:rPr>
                <w:rFonts w:ascii="Century Gothic" w:hAnsi="Century Gothic"/>
                <w:sz w:val="20"/>
                <w:szCs w:val="20"/>
              </w:rPr>
            </w:pPr>
            <w:r w:rsidRPr="00730C0D">
              <w:rPr>
                <w:rFonts w:ascii="Century Gothic" w:hAnsi="Century Gothic"/>
                <w:b w:val="0"/>
                <w:sz w:val="20"/>
                <w:szCs w:val="20"/>
              </w:rPr>
              <w:t>Kaplan Education</w:t>
            </w:r>
          </w:p>
        </w:tc>
      </w:tr>
      <w:tr w:rsidR="00AF31F6" w:rsidRPr="00730C0D" w14:paraId="3247DF5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88C1D2A" w14:textId="12AF6E44" w:rsidR="00AF31F6" w:rsidRPr="00730C0D" w:rsidRDefault="00AF31F6" w:rsidP="00AF31F6">
            <w:pPr>
              <w:spacing w:before="0" w:after="0"/>
              <w:rPr>
                <w:rFonts w:ascii="Century Gothic" w:hAnsi="Century Gothic"/>
                <w:b w:val="0"/>
                <w:sz w:val="20"/>
                <w:szCs w:val="20"/>
              </w:rPr>
            </w:pPr>
            <w:r w:rsidRPr="00730C0D">
              <w:rPr>
                <w:rFonts w:ascii="Century Gothic" w:hAnsi="Century Gothic"/>
                <w:b w:val="0"/>
                <w:sz w:val="20"/>
                <w:szCs w:val="20"/>
              </w:rPr>
              <w:t>Macleay College</w:t>
            </w:r>
          </w:p>
        </w:tc>
      </w:tr>
      <w:tr w:rsidR="00AF31F6" w:rsidRPr="00730C0D" w14:paraId="200175A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A4F51CA" w14:textId="6F25E770"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Melbourne Institute of Technology</w:t>
            </w:r>
          </w:p>
        </w:tc>
      </w:tr>
      <w:tr w:rsidR="00AF31F6" w:rsidRPr="00730C0D" w14:paraId="2E4E398A"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30BFF4E" w14:textId="1C2CB17F"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Melbourne Polytechnic</w:t>
            </w:r>
          </w:p>
        </w:tc>
      </w:tr>
      <w:tr w:rsidR="00AF31F6" w:rsidRPr="00730C0D" w14:paraId="11857E2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A0233AF" w14:textId="79A207B6"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Monash College</w:t>
            </w:r>
          </w:p>
        </w:tc>
      </w:tr>
      <w:tr w:rsidR="00AF31F6" w:rsidRPr="00730C0D" w14:paraId="1C1F1B5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945F6EF" w14:textId="580EC242"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Montessori World Educational Institute (Australia)</w:t>
            </w:r>
          </w:p>
        </w:tc>
      </w:tr>
      <w:tr w:rsidR="00AF31F6" w:rsidRPr="00730C0D" w14:paraId="5EEADB2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067F33A" w14:textId="493F429B"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Moore Theological College</w:t>
            </w:r>
          </w:p>
        </w:tc>
      </w:tr>
      <w:tr w:rsidR="00AF31F6" w:rsidRPr="00730C0D" w14:paraId="5EDE021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2E5398E" w14:textId="1AEB0BFA"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National Institute of Dramatic Art</w:t>
            </w:r>
          </w:p>
        </w:tc>
      </w:tr>
      <w:tr w:rsidR="00AF31F6" w:rsidRPr="00730C0D" w14:paraId="58044774"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603BA07" w14:textId="46373D3A"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Navitas</w:t>
            </w:r>
          </w:p>
        </w:tc>
      </w:tr>
      <w:tr w:rsidR="00AF31F6" w:rsidRPr="00730C0D" w14:paraId="2FB95138"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7360DB9" w14:textId="5034B7E1"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North Metropolitan TAFE</w:t>
            </w:r>
          </w:p>
        </w:tc>
      </w:tr>
      <w:tr w:rsidR="00AF31F6" w:rsidRPr="00730C0D" w14:paraId="4D64A8C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36D911B" w14:textId="117F1C77"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Perth Bible College</w:t>
            </w:r>
          </w:p>
        </w:tc>
      </w:tr>
      <w:tr w:rsidR="00AF31F6" w:rsidRPr="00730C0D" w14:paraId="151404B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9AAB5FA" w14:textId="5473C005"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Photography Studies College</w:t>
            </w:r>
          </w:p>
        </w:tc>
      </w:tr>
      <w:tr w:rsidR="00AF31F6" w:rsidRPr="00730C0D" w14:paraId="2821A07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C050871" w14:textId="779A61E5"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SAE Creative Media Institute</w:t>
            </w:r>
          </w:p>
        </w:tc>
      </w:tr>
      <w:tr w:rsidR="00AF31F6" w:rsidRPr="00730C0D" w14:paraId="4FC02DD5"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D1668D3" w14:textId="78AA8579"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Sydney College of Divinity</w:t>
            </w:r>
          </w:p>
        </w:tc>
      </w:tr>
      <w:tr w:rsidR="00AF31F6" w:rsidRPr="00730C0D" w14:paraId="34E9370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AAB33A6" w14:textId="40CF79C1"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Tabor</w:t>
            </w:r>
          </w:p>
        </w:tc>
      </w:tr>
      <w:tr w:rsidR="00AF31F6" w:rsidRPr="00730C0D" w14:paraId="428A2CA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1F0EB92" w14:textId="727EB242"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TAFE NSW Higher Education </w:t>
            </w:r>
          </w:p>
        </w:tc>
      </w:tr>
      <w:tr w:rsidR="00AF31F6" w:rsidRPr="00730C0D" w14:paraId="5C4C8DD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9E11E19" w14:textId="01898352"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TAFE Queensland</w:t>
            </w:r>
          </w:p>
        </w:tc>
      </w:tr>
      <w:tr w:rsidR="00AF31F6" w:rsidRPr="00730C0D" w14:paraId="4E68C06A"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FE9FBAB" w14:textId="137F7F4A"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TAFE South Australia</w:t>
            </w:r>
          </w:p>
        </w:tc>
      </w:tr>
      <w:tr w:rsidR="00AF31F6" w:rsidRPr="00730C0D" w14:paraId="5C604BC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3AA6E90" w14:textId="1D42EA97"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The Cairnmillar Institute</w:t>
            </w:r>
          </w:p>
        </w:tc>
      </w:tr>
      <w:tr w:rsidR="00AF31F6" w:rsidRPr="00730C0D" w14:paraId="3459E59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878DDB" w14:textId="2FFB1148" w:rsidR="00AF31F6" w:rsidRPr="00730C0D" w:rsidRDefault="00AF31F6" w:rsidP="00AF31F6">
            <w:pPr>
              <w:spacing w:before="0" w:after="0"/>
              <w:rPr>
                <w:rFonts w:ascii="Century Gothic" w:hAnsi="Century Gothic"/>
                <w:b w:val="0"/>
                <w:sz w:val="20"/>
                <w:szCs w:val="20"/>
              </w:rPr>
            </w:pPr>
            <w:r w:rsidRPr="00730C0D">
              <w:rPr>
                <w:rFonts w:ascii="Century Gothic" w:hAnsi="Century Gothic"/>
                <w:b w:val="0"/>
                <w:sz w:val="20"/>
                <w:szCs w:val="20"/>
              </w:rPr>
              <w:t>The College of Law</w:t>
            </w:r>
          </w:p>
        </w:tc>
      </w:tr>
      <w:tr w:rsidR="00AF31F6" w:rsidRPr="00730C0D" w14:paraId="1888CD37"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7C9ECA7" w14:textId="4DD2BABE"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Top Education Group Limited*</w:t>
            </w:r>
          </w:p>
        </w:tc>
      </w:tr>
      <w:tr w:rsidR="00AF31F6" w:rsidRPr="00730C0D" w14:paraId="426D25B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3564E9" w14:textId="21A17B03" w:rsidR="00AF31F6" w:rsidRPr="00730C0D" w:rsidRDefault="00AF31F6" w:rsidP="00AF31F6">
            <w:pPr>
              <w:spacing w:before="0" w:after="0" w:line="259" w:lineRule="auto"/>
              <w:rPr>
                <w:rFonts w:ascii="Century Gothic" w:hAnsi="Century Gothic"/>
                <w:b w:val="0"/>
                <w:sz w:val="20"/>
                <w:szCs w:val="20"/>
              </w:rPr>
            </w:pPr>
            <w:r w:rsidRPr="00AF31F6">
              <w:rPr>
                <w:rFonts w:ascii="Century Gothic" w:hAnsi="Century Gothic"/>
                <w:noProof/>
                <w:sz w:val="20"/>
                <w:szCs w:val="20"/>
                <w:lang w:eastAsia="en-AU"/>
              </w:rPr>
              <mc:AlternateContent>
                <mc:Choice Requires="wps">
                  <w:drawing>
                    <wp:anchor distT="45720" distB="45720" distL="114300" distR="114300" simplePos="0" relativeHeight="251714560" behindDoc="1" locked="0" layoutInCell="1" allowOverlap="1" wp14:anchorId="68F70A8D" wp14:editId="7CFA8367">
                      <wp:simplePos x="0" y="0"/>
                      <wp:positionH relativeFrom="column">
                        <wp:posOffset>4587875</wp:posOffset>
                      </wp:positionH>
                      <wp:positionV relativeFrom="paragraph">
                        <wp:posOffset>172085</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0D70AD6" w14:textId="05B42A62" w:rsidR="00374E52" w:rsidRPr="00AF31F6" w:rsidRDefault="00374E52">
                                  <w:r w:rsidRPr="00AF31F6">
                                    <w:rPr>
                                      <w:rFonts w:ascii="Century Gothic" w:hAnsi="Century Gothic"/>
                                      <w:sz w:val="14"/>
                                      <w:szCs w:val="14"/>
                                    </w:rPr>
                                    <w:t>* Legal Business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8F70A8D" id="_x0000_t202" coordsize="21600,21600" o:spt="202" path="m,l,21600r21600,l21600,xe">
                      <v:stroke joinstyle="miter"/>
                      <v:path gradientshapeok="t" o:connecttype="rect"/>
                    </v:shapetype>
                    <v:shape id="Text Box 2" o:spid="_x0000_s1026" type="#_x0000_t202" style="position:absolute;margin-left:361.25pt;margin-top:13.55pt;width:185.9pt;height:110.6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" filled="f" stroked="f">
                      <v:textbox style="mso-fit-shape-to-text:t">
                        <w:txbxContent>
                          <w:p w14:paraId="30D70AD6" w14:textId="05B42A62" w:rsidR="00374E52" w:rsidRPr="00AF31F6" w:rsidRDefault="00374E52">
                            <w:r w:rsidRPr="00AF31F6">
                              <w:rPr>
                                <w:rFonts w:ascii="Century Gothic" w:hAnsi="Century Gothic"/>
                                <w:sz w:val="14"/>
                                <w:szCs w:val="14"/>
                              </w:rPr>
                              <w:t>* Legal Business Name</w:t>
                            </w:r>
                          </w:p>
                        </w:txbxContent>
                      </v:textbox>
                    </v:shape>
                  </w:pict>
                </mc:Fallback>
              </mc:AlternateContent>
            </w:r>
            <w:r w:rsidRPr="00730C0D">
              <w:rPr>
                <w:rFonts w:ascii="Century Gothic" w:hAnsi="Century Gothic"/>
                <w:b w:val="0"/>
                <w:sz w:val="20"/>
                <w:szCs w:val="20"/>
              </w:rPr>
              <w:t>UTS Insearch</w:t>
            </w:r>
          </w:p>
        </w:tc>
      </w:tr>
      <w:tr w:rsidR="00AF31F6" w:rsidRPr="00730C0D" w14:paraId="77C388E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04DE7D3" w14:textId="015B2B87" w:rsidR="00AF31F6" w:rsidRPr="00730C0D" w:rsidRDefault="00AF31F6" w:rsidP="00AF31F6">
            <w:pPr>
              <w:spacing w:before="0" w:after="0" w:line="259" w:lineRule="auto"/>
              <w:rPr>
                <w:rFonts w:ascii="Century Gothic" w:hAnsi="Century Gothic"/>
                <w:b w:val="0"/>
                <w:sz w:val="20"/>
                <w:szCs w:val="20"/>
              </w:rPr>
            </w:pPr>
            <w:r w:rsidRPr="00730C0D">
              <w:rPr>
                <w:rFonts w:ascii="Century Gothic" w:hAnsi="Century Gothic"/>
                <w:b w:val="0"/>
                <w:sz w:val="20"/>
                <w:szCs w:val="20"/>
              </w:rPr>
              <w:t>William Angliss Institute</w:t>
            </w:r>
          </w:p>
        </w:tc>
      </w:tr>
    </w:tbl>
    <w:p w14:paraId="07D601E9" w14:textId="77777777" w:rsidR="00FE78DE" w:rsidRPr="00730C0D" w:rsidRDefault="00FE78DE" w:rsidP="00FE78DE">
      <w:pPr>
        <w:spacing w:before="0" w:after="0"/>
        <w:rPr>
          <w:rFonts w:ascii="Century Gothic" w:hAnsi="Century Gothic"/>
          <w:iCs/>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73C90C95" w14:textId="77777777" w:rsidTr="00FE78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tcPr>
          <w:p w14:paraId="381409C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sz w:val="20"/>
                <w:szCs w:val="20"/>
              </w:rPr>
              <w:t xml:space="preserve">Individuals </w:t>
            </w:r>
          </w:p>
        </w:tc>
      </w:tr>
      <w:tr w:rsidR="00FE78DE" w:rsidRPr="00730C0D" w14:paraId="7FBBC305"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2F4ADCA"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Andrew Norton (Grattan Institute) </w:t>
            </w:r>
          </w:p>
        </w:tc>
      </w:tr>
      <w:tr w:rsidR="00FE78DE" w:rsidRPr="00730C0D" w14:paraId="5EE9EF5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tcPr>
          <w:p w14:paraId="6135903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Dr Alan Finkel </w:t>
            </w:r>
            <w:r w:rsidRPr="00AF31F6">
              <w:rPr>
                <w:rFonts w:ascii="Century Gothic" w:hAnsi="Century Gothic"/>
                <w:b w:val="0"/>
                <w:sz w:val="16"/>
                <w:szCs w:val="16"/>
              </w:rPr>
              <w:t>AO</w:t>
            </w:r>
            <w:r w:rsidRPr="00730C0D">
              <w:rPr>
                <w:rFonts w:ascii="Century Gothic" w:hAnsi="Century Gothic"/>
                <w:b w:val="0"/>
                <w:sz w:val="20"/>
                <w:szCs w:val="20"/>
              </w:rPr>
              <w:t xml:space="preserve"> (Australia’s Chief Scientist) </w:t>
            </w:r>
          </w:p>
        </w:tc>
      </w:tr>
      <w:tr w:rsidR="00FE78DE" w:rsidRPr="00730C0D" w14:paraId="4FEAFA92"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F8F84E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Dr David Foster (William Angliss Institute)</w:t>
            </w:r>
          </w:p>
        </w:tc>
      </w:tr>
      <w:tr w:rsidR="00FE78DE" w:rsidRPr="00730C0D" w14:paraId="5E6FC5C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49B8CA8"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Emeritus Professor Denise Bradley </w:t>
            </w:r>
            <w:r w:rsidRPr="00B842DE">
              <w:rPr>
                <w:rFonts w:ascii="Century Gothic" w:hAnsi="Century Gothic"/>
                <w:b w:val="0"/>
                <w:sz w:val="16"/>
                <w:szCs w:val="16"/>
              </w:rPr>
              <w:t>AC</w:t>
            </w:r>
          </w:p>
        </w:tc>
      </w:tr>
      <w:tr w:rsidR="00FE78DE" w:rsidRPr="00730C0D" w14:paraId="12D4D364"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10408DE"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Professor Glyn Davis </w:t>
            </w:r>
            <w:r w:rsidRPr="00B842DE">
              <w:rPr>
                <w:rFonts w:ascii="Century Gothic" w:hAnsi="Century Gothic"/>
                <w:b w:val="0"/>
                <w:sz w:val="16"/>
                <w:szCs w:val="16"/>
              </w:rPr>
              <w:t>AC</w:t>
            </w:r>
          </w:p>
        </w:tc>
      </w:tr>
      <w:tr w:rsidR="00FE78DE" w:rsidRPr="00730C0D" w14:paraId="658DE016"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9BE5349"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Professor Ian Chubb </w:t>
            </w:r>
            <w:r w:rsidRPr="00B842DE">
              <w:rPr>
                <w:rFonts w:ascii="Century Gothic" w:hAnsi="Century Gothic"/>
                <w:b w:val="0"/>
                <w:sz w:val="16"/>
                <w:szCs w:val="16"/>
              </w:rPr>
              <w:t>AC FAA</w:t>
            </w:r>
          </w:p>
        </w:tc>
      </w:tr>
      <w:tr w:rsidR="00FE78DE" w:rsidRPr="00730C0D" w14:paraId="72B5A245"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EDA95E8"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Professor Peter Noonan (AQF Review)</w:t>
            </w:r>
          </w:p>
        </w:tc>
      </w:tr>
      <w:tr w:rsidR="00FE78DE" w:rsidRPr="00730C0D" w14:paraId="6FDD3F6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D1F2BB9" w14:textId="77777777" w:rsidR="00FE78DE" w:rsidRPr="00730C0D" w:rsidRDefault="00FE78DE" w:rsidP="00FE78DE">
            <w:pPr>
              <w:spacing w:before="0" w:after="0"/>
              <w:rPr>
                <w:rFonts w:ascii="Century Gothic" w:hAnsi="Century Gothic"/>
                <w:b w:val="0"/>
                <w:sz w:val="20"/>
                <w:szCs w:val="20"/>
              </w:rPr>
            </w:pPr>
            <w:r w:rsidRPr="00730C0D">
              <w:rPr>
                <w:rFonts w:ascii="Century Gothic" w:hAnsi="Century Gothic"/>
                <w:b w:val="0"/>
                <w:sz w:val="20"/>
                <w:szCs w:val="20"/>
              </w:rPr>
              <w:t>The Honourable Steven Joyce (VET Review)</w:t>
            </w:r>
          </w:p>
        </w:tc>
      </w:tr>
    </w:tbl>
    <w:p w14:paraId="15D57104" w14:textId="77777777" w:rsidR="00FE78DE" w:rsidRPr="00730C0D" w:rsidRDefault="00FE78DE" w:rsidP="00FE78DE">
      <w:pPr>
        <w:spacing w:before="0" w:after="0"/>
        <w:rPr>
          <w:rFonts w:ascii="Century Gothic" w:hAnsi="Century Gothic"/>
          <w:iCs/>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6F8C59ED" w14:textId="77777777" w:rsidTr="00FE78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tcPr>
          <w:p w14:paraId="385D54D6" w14:textId="77777777" w:rsidR="00FE78DE" w:rsidRPr="00730C0D" w:rsidRDefault="00FE78DE" w:rsidP="00FE78DE">
            <w:pPr>
              <w:spacing w:before="0" w:after="0" w:line="259" w:lineRule="auto"/>
              <w:rPr>
                <w:rFonts w:ascii="Century Gothic" w:hAnsi="Century Gothic"/>
                <w:sz w:val="20"/>
                <w:szCs w:val="20"/>
              </w:rPr>
            </w:pPr>
            <w:r w:rsidRPr="00730C0D">
              <w:rPr>
                <w:rFonts w:ascii="Century Gothic" w:hAnsi="Century Gothic"/>
                <w:sz w:val="20"/>
                <w:szCs w:val="20"/>
              </w:rPr>
              <w:t xml:space="preserve">Industry </w:t>
            </w:r>
          </w:p>
        </w:tc>
      </w:tr>
      <w:tr w:rsidR="00FE78DE" w:rsidRPr="00730C0D" w14:paraId="45269F8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662BE2C"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Business Council of Australia </w:t>
            </w:r>
          </w:p>
        </w:tc>
      </w:tr>
    </w:tbl>
    <w:p w14:paraId="75C326DA" w14:textId="77777777" w:rsidR="00FE78DE" w:rsidRPr="00730C0D" w:rsidRDefault="00FE78DE" w:rsidP="00FE78DE">
      <w:pPr>
        <w:spacing w:before="0" w:after="0"/>
        <w:rPr>
          <w:rFonts w:ascii="Century Gothic" w:hAnsi="Century Gothic"/>
          <w:iCs/>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26B7E014" w14:textId="77777777" w:rsidTr="00FE78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tcPr>
          <w:p w14:paraId="5AB68276"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sz w:val="20"/>
                <w:szCs w:val="20"/>
              </w:rPr>
              <w:t>Peak Bodies</w:t>
            </w:r>
          </w:p>
        </w:tc>
      </w:tr>
      <w:tr w:rsidR="00FE78DE" w:rsidRPr="00730C0D" w14:paraId="10B93321"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71C38BA"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Technology Network of Universities</w:t>
            </w:r>
          </w:p>
        </w:tc>
      </w:tr>
      <w:tr w:rsidR="00FE78DE" w:rsidRPr="00730C0D" w14:paraId="7B1DBFF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BEB40B2"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Career Industry Council of Australia</w:t>
            </w:r>
          </w:p>
        </w:tc>
      </w:tr>
      <w:tr w:rsidR="00FE78DE" w:rsidRPr="00730C0D" w14:paraId="2113A8C0"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F5AFFC9"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Group of Eight</w:t>
            </w:r>
          </w:p>
        </w:tc>
      </w:tr>
      <w:tr w:rsidR="00FE78DE" w:rsidRPr="00730C0D" w14:paraId="74BE7DCD"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A3D825A"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Independent Higher Education Australia (formerly Council for Private Higher Education)</w:t>
            </w:r>
          </w:p>
        </w:tc>
      </w:tr>
      <w:tr w:rsidR="00FE78DE" w:rsidRPr="00730C0D" w14:paraId="029CC4C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AED09C6"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Independent Tertiary Education Council Australia (formerly Australian Council of Private Education and Training)</w:t>
            </w:r>
          </w:p>
        </w:tc>
      </w:tr>
      <w:tr w:rsidR="00FE78DE" w:rsidRPr="00730C0D" w14:paraId="509D1B4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35C395"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Innovative Research Universities</w:t>
            </w:r>
          </w:p>
        </w:tc>
      </w:tr>
      <w:tr w:rsidR="00FE78DE" w:rsidRPr="00730C0D" w14:paraId="7C3A474E"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62D203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National Tertiary Education Union</w:t>
            </w:r>
          </w:p>
        </w:tc>
      </w:tr>
      <w:tr w:rsidR="00FE78DE" w:rsidRPr="00730C0D" w14:paraId="24440774"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2CE6D4D"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Regional Universities Network</w:t>
            </w:r>
          </w:p>
        </w:tc>
      </w:tr>
      <w:tr w:rsidR="00FE78DE" w:rsidRPr="00730C0D" w14:paraId="5B1A58A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0DEB6DE"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TAFE Directors Australia</w:t>
            </w:r>
          </w:p>
        </w:tc>
      </w:tr>
      <w:tr w:rsidR="00FE78DE" w:rsidRPr="00730C0D" w14:paraId="45C4DAE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CC82875"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Universities Australia</w:t>
            </w:r>
          </w:p>
        </w:tc>
      </w:tr>
      <w:tr w:rsidR="00FE78DE" w:rsidRPr="00730C0D" w14:paraId="51724E7D"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C0EDE49"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Victorian TAFE Association</w:t>
            </w:r>
          </w:p>
        </w:tc>
      </w:tr>
      <w:tr w:rsidR="00FE78DE" w:rsidRPr="00730C0D" w14:paraId="31F3BA8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93A058D" w14:textId="77777777" w:rsidR="00FE78DE" w:rsidRPr="00730C0D" w:rsidRDefault="00FE78DE" w:rsidP="00FE78DE">
            <w:pPr>
              <w:spacing w:before="0" w:after="0" w:line="259" w:lineRule="auto"/>
              <w:rPr>
                <w:rFonts w:ascii="Century Gothic" w:hAnsi="Century Gothic"/>
                <w:b w:val="0"/>
                <w:sz w:val="20"/>
                <w:szCs w:val="20"/>
              </w:rPr>
            </w:pPr>
          </w:p>
        </w:tc>
      </w:tr>
      <w:tr w:rsidR="00FE78DE" w:rsidRPr="00730C0D" w14:paraId="4F7ACB05" w14:textId="77777777" w:rsidTr="00FE78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2763AC"/>
            <w:vAlign w:val="center"/>
          </w:tcPr>
          <w:p w14:paraId="6E47B1BE"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color w:val="FFFFFF" w:themeColor="background1"/>
                <w:sz w:val="20"/>
                <w:szCs w:val="20"/>
              </w:rPr>
              <w:t>Registered Training Organisation</w:t>
            </w:r>
          </w:p>
        </w:tc>
      </w:tr>
      <w:tr w:rsidR="00FE78DE" w:rsidRPr="00730C0D" w14:paraId="7A765B4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4CB688B" w14:textId="77777777" w:rsidR="00FE78DE" w:rsidRPr="00730C0D" w:rsidRDefault="00FE78DE" w:rsidP="00FE78DE">
            <w:pPr>
              <w:spacing w:before="0" w:after="0" w:line="259" w:lineRule="auto"/>
              <w:rPr>
                <w:rFonts w:ascii="Century Gothic" w:hAnsi="Century Gothic"/>
                <w:b w:val="0"/>
                <w:sz w:val="20"/>
                <w:szCs w:val="20"/>
                <w:highlight w:val="yellow"/>
              </w:rPr>
            </w:pPr>
            <w:r w:rsidRPr="00730C0D">
              <w:rPr>
                <w:rFonts w:ascii="Century Gothic" w:hAnsi="Century Gothic"/>
                <w:b w:val="0"/>
                <w:sz w:val="20"/>
                <w:szCs w:val="20"/>
              </w:rPr>
              <w:t>Kenvale College</w:t>
            </w:r>
          </w:p>
        </w:tc>
      </w:tr>
    </w:tbl>
    <w:p w14:paraId="2998E19A" w14:textId="77777777" w:rsidR="00FE78DE" w:rsidRPr="00730C0D" w:rsidRDefault="00FE78DE" w:rsidP="00FE78DE">
      <w:pPr>
        <w:spacing w:before="0" w:after="0"/>
        <w:rPr>
          <w:rFonts w:ascii="Century Gothic" w:hAnsi="Century Gothic"/>
          <w:iCs/>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313881F4" w14:textId="77777777" w:rsidTr="00FE78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tcPr>
          <w:p w14:paraId="6913A1F1" w14:textId="77777777" w:rsidR="00FE78DE" w:rsidRPr="00730C0D" w:rsidRDefault="00FE78DE" w:rsidP="00FE78DE">
            <w:pPr>
              <w:spacing w:before="0" w:after="0" w:line="259" w:lineRule="auto"/>
              <w:rPr>
                <w:rFonts w:ascii="Century Gothic" w:hAnsi="Century Gothic"/>
                <w:sz w:val="20"/>
                <w:szCs w:val="20"/>
              </w:rPr>
            </w:pPr>
            <w:r w:rsidRPr="00730C0D">
              <w:rPr>
                <w:rFonts w:ascii="Century Gothic" w:hAnsi="Century Gothic"/>
                <w:sz w:val="20"/>
                <w:szCs w:val="20"/>
              </w:rPr>
              <w:t>Regulators</w:t>
            </w:r>
          </w:p>
        </w:tc>
      </w:tr>
      <w:tr w:rsidR="00FE78DE" w:rsidRPr="00730C0D" w14:paraId="6B7AA199"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DE3A97"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Skills Quality Authority</w:t>
            </w:r>
          </w:p>
        </w:tc>
      </w:tr>
      <w:tr w:rsidR="00FE78DE" w:rsidRPr="00730C0D" w14:paraId="5477D633"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A965641"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Tertiary Education Quality and Standards Agency</w:t>
            </w:r>
          </w:p>
        </w:tc>
      </w:tr>
    </w:tbl>
    <w:p w14:paraId="74CDEBDB" w14:textId="2A248137" w:rsidR="00FE78DE" w:rsidRPr="001D3E9B" w:rsidRDefault="00FE78DE" w:rsidP="001D3E9B">
      <w:pPr>
        <w:spacing w:before="0" w:after="0"/>
        <w:rPr>
          <w:rFonts w:ascii="Century Gothic" w:hAnsi="Century Gothic"/>
          <w:b/>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57D3A83D" w14:textId="77777777" w:rsidTr="00FE78D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hideMark/>
          </w:tcPr>
          <w:p w14:paraId="1ADE28E5" w14:textId="77777777" w:rsidR="00FE78DE" w:rsidRPr="00730C0D" w:rsidRDefault="00FE78DE" w:rsidP="00FE78DE">
            <w:pPr>
              <w:spacing w:before="0" w:after="0" w:line="259" w:lineRule="auto"/>
              <w:rPr>
                <w:rFonts w:ascii="Century Gothic" w:hAnsi="Century Gothic" w:cstheme="minorHAnsi"/>
                <w:b w:val="0"/>
                <w:sz w:val="20"/>
                <w:szCs w:val="20"/>
              </w:rPr>
            </w:pPr>
            <w:r w:rsidRPr="00730C0D">
              <w:rPr>
                <w:rFonts w:ascii="Century Gothic" w:hAnsi="Century Gothic" w:cstheme="minorHAnsi"/>
                <w:sz w:val="20"/>
                <w:szCs w:val="20"/>
              </w:rPr>
              <w:t>State/Territory Governments</w:t>
            </w:r>
          </w:p>
        </w:tc>
      </w:tr>
      <w:tr w:rsidR="00FE78DE" w:rsidRPr="00730C0D" w14:paraId="499575E6"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DEA1E3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cstheme="minorHAnsi"/>
                <w:b w:val="0"/>
                <w:sz w:val="20"/>
                <w:szCs w:val="20"/>
                <w:lang w:val="en"/>
              </w:rPr>
              <w:t>Department of Education and Training Victoria</w:t>
            </w:r>
          </w:p>
        </w:tc>
      </w:tr>
      <w:tr w:rsidR="00FE78DE" w:rsidRPr="00730C0D" w14:paraId="6BBB6AF6"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5D8DDA3"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b w:val="0"/>
                <w:sz w:val="20"/>
                <w:szCs w:val="20"/>
              </w:rPr>
              <w:t>New South Wales Department of Education</w:t>
            </w:r>
          </w:p>
        </w:tc>
      </w:tr>
      <w:tr w:rsidR="00FE78DE" w:rsidRPr="00730C0D" w14:paraId="6BBE3E0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0035AC7"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Northern</w:t>
            </w:r>
            <w:r w:rsidRPr="00730C0D">
              <w:rPr>
                <w:rFonts w:ascii="Century Gothic" w:hAnsi="Century Gothic" w:cstheme="minorHAnsi"/>
                <w:b w:val="0"/>
                <w:sz w:val="20"/>
                <w:szCs w:val="20"/>
                <w:lang w:val="en"/>
              </w:rPr>
              <w:t xml:space="preserve"> Territory Department of Education</w:t>
            </w:r>
          </w:p>
        </w:tc>
      </w:tr>
      <w:tr w:rsidR="00FE78DE" w:rsidRPr="00730C0D" w14:paraId="01708685"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C5FC75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Northern Territory Department of Trade, Business and Innovation</w:t>
            </w:r>
          </w:p>
        </w:tc>
      </w:tr>
      <w:tr w:rsidR="00FE78DE" w:rsidRPr="00730C0D" w14:paraId="7B86782D"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4E54B4C"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b w:val="0"/>
                <w:sz w:val="20"/>
                <w:szCs w:val="20"/>
              </w:rPr>
              <w:t>Queensland Government</w:t>
            </w:r>
            <w:r w:rsidRPr="00730C0D">
              <w:rPr>
                <w:rFonts w:ascii="Century Gothic" w:hAnsi="Century Gothic" w:cstheme="minorHAnsi"/>
                <w:b w:val="0"/>
                <w:sz w:val="20"/>
                <w:szCs w:val="20"/>
                <w:lang w:val="en"/>
              </w:rPr>
              <w:t xml:space="preserve"> Department of Education</w:t>
            </w:r>
          </w:p>
        </w:tc>
      </w:tr>
      <w:tr w:rsidR="00FE78DE" w:rsidRPr="00730C0D" w14:paraId="292462C4"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0BD4C48"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b w:val="0"/>
                <w:sz w:val="20"/>
                <w:szCs w:val="20"/>
              </w:rPr>
              <w:t>Queensland Government</w:t>
            </w:r>
            <w:r w:rsidRPr="00730C0D">
              <w:rPr>
                <w:rFonts w:ascii="Century Gothic" w:hAnsi="Century Gothic" w:cstheme="minorHAnsi"/>
                <w:b w:val="0"/>
                <w:sz w:val="20"/>
                <w:szCs w:val="20"/>
                <w:lang w:val="en"/>
              </w:rPr>
              <w:t xml:space="preserve"> Department of Employment, Small Business and Training</w:t>
            </w:r>
          </w:p>
        </w:tc>
      </w:tr>
      <w:tr w:rsidR="00FE78DE" w:rsidRPr="00730C0D" w14:paraId="006DDC3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3EDAF60"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b w:val="0"/>
                <w:sz w:val="20"/>
                <w:szCs w:val="20"/>
              </w:rPr>
              <w:t>South</w:t>
            </w:r>
            <w:r w:rsidRPr="00730C0D">
              <w:rPr>
                <w:rFonts w:ascii="Century Gothic" w:hAnsi="Century Gothic" w:cstheme="minorHAnsi"/>
                <w:b w:val="0"/>
                <w:sz w:val="20"/>
                <w:szCs w:val="20"/>
                <w:lang w:val="en"/>
              </w:rPr>
              <w:t xml:space="preserve"> Australia Department for Education</w:t>
            </w:r>
          </w:p>
        </w:tc>
      </w:tr>
      <w:tr w:rsidR="00FE78DE" w:rsidRPr="00730C0D" w14:paraId="3AE4920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1A67BB5" w14:textId="77777777" w:rsidR="00FE78DE" w:rsidRPr="00730C0D" w:rsidRDefault="00FE78DE" w:rsidP="00FE78DE">
            <w:pPr>
              <w:spacing w:before="0" w:after="0"/>
              <w:rPr>
                <w:rFonts w:ascii="Century Gothic" w:hAnsi="Century Gothic"/>
                <w:b w:val="0"/>
                <w:sz w:val="20"/>
                <w:szCs w:val="20"/>
              </w:rPr>
            </w:pPr>
          </w:p>
        </w:tc>
      </w:tr>
      <w:tr w:rsidR="00FE78DE" w:rsidRPr="00730C0D" w14:paraId="7E2BDF4F" w14:textId="77777777" w:rsidTr="00FE78D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2763AC"/>
            <w:vAlign w:val="center"/>
          </w:tcPr>
          <w:p w14:paraId="6DC37351"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color w:val="FFFFFF" w:themeColor="background1"/>
                <w:sz w:val="20"/>
                <w:szCs w:val="20"/>
              </w:rPr>
              <w:t>Student Groups</w:t>
            </w:r>
          </w:p>
        </w:tc>
      </w:tr>
      <w:tr w:rsidR="00FE78DE" w:rsidRPr="00730C0D" w14:paraId="7A1F2CDE"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22E7A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Council of International Students Australia</w:t>
            </w:r>
          </w:p>
        </w:tc>
      </w:tr>
      <w:tr w:rsidR="00FE78DE" w:rsidRPr="00730C0D" w14:paraId="0F9FE44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9092A1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National Aboriginal and Torres Strait Islander Postgraduates Association</w:t>
            </w:r>
          </w:p>
        </w:tc>
      </w:tr>
      <w:tr w:rsidR="00FE78DE" w:rsidRPr="00730C0D" w14:paraId="3D5AFC1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4048B27"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National Union of Students</w:t>
            </w:r>
          </w:p>
        </w:tc>
      </w:tr>
      <w:tr w:rsidR="00FE78DE" w:rsidRPr="00730C0D" w14:paraId="51EA7AA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68686B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TEQSA Student Expert Advisory Group</w:t>
            </w:r>
          </w:p>
        </w:tc>
      </w:tr>
    </w:tbl>
    <w:p w14:paraId="2B6F917D" w14:textId="03F53401" w:rsidR="00FE78DE" w:rsidRDefault="00FE78DE" w:rsidP="00FE78DE">
      <w:pPr>
        <w:spacing w:before="0" w:after="0"/>
        <w:rPr>
          <w:rStyle w:val="IntenseReference"/>
          <w:rFonts w:ascii="Century Gothic" w:hAnsi="Century Gothic"/>
          <w:color w:val="2E74B5" w:themeColor="accent1" w:themeShade="BF"/>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B842DE" w:rsidRPr="00730C0D" w14:paraId="0950939E" w14:textId="77777777" w:rsidTr="00CE6D0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shd w:val="clear" w:color="auto" w:fill="2763AC"/>
            <w:vAlign w:val="center"/>
          </w:tcPr>
          <w:p w14:paraId="34F3D574" w14:textId="0446A550" w:rsidR="00B842DE" w:rsidRPr="00730C0D" w:rsidRDefault="00B842DE" w:rsidP="00CE6D06">
            <w:pPr>
              <w:spacing w:before="0" w:after="0" w:line="259" w:lineRule="auto"/>
              <w:rPr>
                <w:rFonts w:ascii="Century Gothic" w:hAnsi="Century Gothic"/>
                <w:b w:val="0"/>
                <w:sz w:val="20"/>
                <w:szCs w:val="20"/>
              </w:rPr>
            </w:pPr>
            <w:r>
              <w:rPr>
                <w:rFonts w:ascii="Century Gothic" w:hAnsi="Century Gothic"/>
                <w:sz w:val="20"/>
                <w:szCs w:val="20"/>
              </w:rPr>
              <w:t>University College</w:t>
            </w:r>
          </w:p>
        </w:tc>
      </w:tr>
      <w:tr w:rsidR="00B842DE" w:rsidRPr="00730C0D" w14:paraId="57E8689D" w14:textId="77777777" w:rsidTr="00CE6D0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33BCB05" w14:textId="18270F66" w:rsidR="00B842DE" w:rsidRPr="00730C0D" w:rsidRDefault="00B842DE" w:rsidP="00CE6D06">
            <w:pPr>
              <w:spacing w:before="0" w:after="0" w:line="259" w:lineRule="auto"/>
              <w:rPr>
                <w:rFonts w:ascii="Century Gothic" w:hAnsi="Century Gothic"/>
                <w:b w:val="0"/>
                <w:sz w:val="20"/>
                <w:szCs w:val="20"/>
              </w:rPr>
            </w:pPr>
            <w:r>
              <w:rPr>
                <w:rFonts w:ascii="Century Gothic" w:hAnsi="Century Gothic"/>
                <w:b w:val="0"/>
                <w:sz w:val="20"/>
                <w:szCs w:val="20"/>
              </w:rPr>
              <w:t xml:space="preserve">Avondale College of Higher Education </w:t>
            </w:r>
          </w:p>
        </w:tc>
      </w:tr>
    </w:tbl>
    <w:p w14:paraId="0DBB965E" w14:textId="413ACDFE" w:rsidR="00B842DE" w:rsidRPr="00730C0D" w:rsidRDefault="00B842DE" w:rsidP="00FE78DE">
      <w:pPr>
        <w:spacing w:before="0" w:after="0"/>
        <w:rPr>
          <w:rStyle w:val="IntenseReference"/>
          <w:rFonts w:ascii="Century Gothic" w:hAnsi="Century Gothic"/>
          <w:color w:val="2E74B5" w:themeColor="accent1" w:themeShade="BF"/>
          <w:sz w:val="20"/>
          <w:szCs w:val="20"/>
        </w:rPr>
      </w:pPr>
    </w:p>
    <w:tbl>
      <w:tblPr>
        <w:tblStyle w:val="ListTable4-Accent5"/>
        <w:tblW w:w="5006"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7"/>
      </w:tblGrid>
      <w:tr w:rsidR="00FE78DE" w:rsidRPr="00730C0D" w14:paraId="4A1D47E9" w14:textId="77777777" w:rsidTr="00FE78DE">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2763AC"/>
            <w:vAlign w:val="center"/>
          </w:tcPr>
          <w:p w14:paraId="722D2CD1"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cstheme="minorHAnsi"/>
                <w:sz w:val="20"/>
                <w:szCs w:val="20"/>
              </w:rPr>
              <w:t>Universities</w:t>
            </w:r>
          </w:p>
        </w:tc>
      </w:tr>
      <w:tr w:rsidR="00FE78DE" w:rsidRPr="00730C0D" w14:paraId="584FECDC"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05C8464"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Australian Catholic University</w:t>
            </w:r>
          </w:p>
        </w:tc>
      </w:tr>
      <w:tr w:rsidR="00FE78DE" w:rsidRPr="00730C0D" w14:paraId="332A8B04"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D3E896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Bond University</w:t>
            </w:r>
          </w:p>
        </w:tc>
      </w:tr>
      <w:tr w:rsidR="00FE78DE" w:rsidRPr="00730C0D" w14:paraId="33952CA6"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223D45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Carnegie Mellon University Australia</w:t>
            </w:r>
          </w:p>
        </w:tc>
      </w:tr>
      <w:tr w:rsidR="00FE78DE" w:rsidRPr="00730C0D" w14:paraId="06BF54F7"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CDEB47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Charles Darwin University</w:t>
            </w:r>
          </w:p>
        </w:tc>
      </w:tr>
      <w:tr w:rsidR="00FE78DE" w:rsidRPr="00730C0D" w14:paraId="1737AA2B"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52B3FB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Charles Sturt University</w:t>
            </w:r>
          </w:p>
        </w:tc>
      </w:tr>
      <w:tr w:rsidR="00FE78DE" w:rsidRPr="00730C0D" w14:paraId="74DE578A"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D87FC14"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CQUniversity </w:t>
            </w:r>
          </w:p>
        </w:tc>
      </w:tr>
      <w:tr w:rsidR="00FE78DE" w:rsidRPr="00730C0D" w14:paraId="4772FFF0"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0D145E4"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Curtin University</w:t>
            </w:r>
          </w:p>
        </w:tc>
      </w:tr>
      <w:tr w:rsidR="00FE78DE" w:rsidRPr="00730C0D" w14:paraId="7C00DAD7"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1D1784D"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Deakin University</w:t>
            </w:r>
          </w:p>
        </w:tc>
      </w:tr>
      <w:tr w:rsidR="00FE78DE" w:rsidRPr="00730C0D" w14:paraId="53ACD372"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7D8652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Edith Cowan University</w:t>
            </w:r>
          </w:p>
        </w:tc>
      </w:tr>
      <w:tr w:rsidR="00FE78DE" w:rsidRPr="00730C0D" w14:paraId="1C8D3CF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8388D30"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Federation University Australia</w:t>
            </w:r>
          </w:p>
        </w:tc>
      </w:tr>
      <w:tr w:rsidR="00FE78DE" w:rsidRPr="00730C0D" w14:paraId="292C0A56"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167762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Flinders University</w:t>
            </w:r>
          </w:p>
        </w:tc>
      </w:tr>
      <w:tr w:rsidR="00FE78DE" w:rsidRPr="00730C0D" w14:paraId="10F20B60"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9955531"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Griffith University</w:t>
            </w:r>
          </w:p>
        </w:tc>
      </w:tr>
      <w:tr w:rsidR="00FE78DE" w:rsidRPr="00730C0D" w14:paraId="2F56243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0AB1BCC"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James Cook University</w:t>
            </w:r>
          </w:p>
        </w:tc>
      </w:tr>
      <w:tr w:rsidR="00FE78DE" w:rsidRPr="00730C0D" w14:paraId="5F03E7CB"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6B9552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La Trobe University</w:t>
            </w:r>
          </w:p>
        </w:tc>
      </w:tr>
      <w:tr w:rsidR="00FE78DE" w:rsidRPr="00730C0D" w14:paraId="3EF34B4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3E04CE9"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Macquarie University</w:t>
            </w:r>
          </w:p>
        </w:tc>
      </w:tr>
      <w:tr w:rsidR="00FE78DE" w:rsidRPr="00730C0D" w14:paraId="71D3CB2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69BCB52"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Monash University</w:t>
            </w:r>
          </w:p>
        </w:tc>
      </w:tr>
      <w:tr w:rsidR="00FE78DE" w:rsidRPr="00730C0D" w14:paraId="0A89E296"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52654A3"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Murdoch University</w:t>
            </w:r>
          </w:p>
        </w:tc>
      </w:tr>
      <w:tr w:rsidR="00FE78DE" w:rsidRPr="00730C0D" w14:paraId="5EBE328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6C64126"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Queensland University of Technology</w:t>
            </w:r>
          </w:p>
        </w:tc>
      </w:tr>
      <w:tr w:rsidR="00FE78DE" w:rsidRPr="00730C0D" w14:paraId="058DE0F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1A5828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RMIT University</w:t>
            </w:r>
          </w:p>
        </w:tc>
      </w:tr>
      <w:tr w:rsidR="00FE78DE" w:rsidRPr="00730C0D" w14:paraId="45FCED1D"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EFD4997" w14:textId="77777777" w:rsidR="00FE78DE" w:rsidRPr="00730C0D" w:rsidRDefault="00FE78DE" w:rsidP="00FE78DE">
            <w:pPr>
              <w:spacing w:before="0" w:after="0"/>
              <w:rPr>
                <w:rFonts w:ascii="Century Gothic" w:hAnsi="Century Gothic"/>
                <w:b w:val="0"/>
                <w:sz w:val="20"/>
                <w:szCs w:val="20"/>
              </w:rPr>
            </w:pPr>
            <w:r w:rsidRPr="00730C0D">
              <w:rPr>
                <w:rFonts w:ascii="Century Gothic" w:hAnsi="Century Gothic"/>
                <w:b w:val="0"/>
                <w:sz w:val="20"/>
                <w:szCs w:val="20"/>
              </w:rPr>
              <w:t>Southern Cross University</w:t>
            </w:r>
          </w:p>
        </w:tc>
      </w:tr>
      <w:tr w:rsidR="00FE78DE" w:rsidRPr="00730C0D" w14:paraId="7DD724BE"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3214169"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The Australian National University</w:t>
            </w:r>
          </w:p>
        </w:tc>
      </w:tr>
      <w:tr w:rsidR="00FE78DE" w:rsidRPr="00730C0D" w14:paraId="2231098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1A997CA"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The University of Adelaide</w:t>
            </w:r>
          </w:p>
        </w:tc>
      </w:tr>
      <w:tr w:rsidR="00FE78DE" w:rsidRPr="00730C0D" w14:paraId="04A87A54"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E4693F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The University of Melbourne</w:t>
            </w:r>
          </w:p>
        </w:tc>
      </w:tr>
      <w:tr w:rsidR="00FE78DE" w:rsidRPr="00730C0D" w14:paraId="42C9258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E699014"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The University of Newcastle</w:t>
            </w:r>
          </w:p>
        </w:tc>
      </w:tr>
      <w:tr w:rsidR="00FE78DE" w:rsidRPr="00730C0D" w14:paraId="4E0FE752"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9B0C8B0"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The University of Queensland</w:t>
            </w:r>
          </w:p>
        </w:tc>
      </w:tr>
      <w:tr w:rsidR="00FE78DE" w:rsidRPr="00730C0D" w14:paraId="10D05908"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32A1765"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cstheme="minorHAnsi"/>
                <w:b w:val="0"/>
                <w:sz w:val="20"/>
                <w:szCs w:val="20"/>
                <w:lang w:val="en"/>
              </w:rPr>
              <w:t xml:space="preserve">The </w:t>
            </w:r>
            <w:r w:rsidRPr="00730C0D">
              <w:rPr>
                <w:rFonts w:ascii="Century Gothic" w:hAnsi="Century Gothic"/>
                <w:b w:val="0"/>
                <w:sz w:val="20"/>
                <w:szCs w:val="20"/>
              </w:rPr>
              <w:t>University</w:t>
            </w:r>
            <w:r w:rsidRPr="00730C0D">
              <w:rPr>
                <w:rFonts w:ascii="Century Gothic" w:hAnsi="Century Gothic" w:cstheme="minorHAnsi"/>
                <w:b w:val="0"/>
                <w:sz w:val="20"/>
                <w:szCs w:val="20"/>
                <w:lang w:val="en"/>
              </w:rPr>
              <w:t xml:space="preserve"> of Sydney</w:t>
            </w:r>
          </w:p>
        </w:tc>
      </w:tr>
      <w:tr w:rsidR="00FE78DE" w:rsidRPr="00730C0D" w14:paraId="6E00F477"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3F44B7E" w14:textId="77777777" w:rsidR="00FE78DE" w:rsidRPr="00730C0D" w:rsidRDefault="00FE78DE" w:rsidP="00FE78DE">
            <w:pPr>
              <w:spacing w:before="0" w:after="0" w:line="259" w:lineRule="auto"/>
              <w:rPr>
                <w:rFonts w:ascii="Century Gothic" w:hAnsi="Century Gothic" w:cstheme="minorHAnsi"/>
                <w:b w:val="0"/>
                <w:sz w:val="20"/>
                <w:szCs w:val="20"/>
                <w:lang w:val="en"/>
              </w:rPr>
            </w:pPr>
            <w:r w:rsidRPr="00730C0D">
              <w:rPr>
                <w:rFonts w:ascii="Century Gothic" w:hAnsi="Century Gothic"/>
                <w:b w:val="0"/>
                <w:sz w:val="20"/>
                <w:szCs w:val="20"/>
              </w:rPr>
              <w:t>The University of Western Australia</w:t>
            </w:r>
          </w:p>
        </w:tc>
      </w:tr>
      <w:tr w:rsidR="00FE78DE" w:rsidRPr="00730C0D" w14:paraId="2734501C"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5AF7550"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Torrens University Australia</w:t>
            </w:r>
          </w:p>
        </w:tc>
      </w:tr>
      <w:tr w:rsidR="00FE78DE" w:rsidRPr="00730C0D" w14:paraId="0E91179F"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CF2180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Canberra</w:t>
            </w:r>
          </w:p>
        </w:tc>
      </w:tr>
      <w:tr w:rsidR="00FE78DE" w:rsidRPr="00730C0D" w14:paraId="187684EA"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F43D606"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Divinity</w:t>
            </w:r>
          </w:p>
        </w:tc>
      </w:tr>
      <w:tr w:rsidR="00FE78DE" w:rsidRPr="00730C0D" w14:paraId="45F31D9C"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5D5CBA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New England</w:t>
            </w:r>
          </w:p>
        </w:tc>
      </w:tr>
      <w:tr w:rsidR="00FE78DE" w:rsidRPr="00730C0D" w14:paraId="65FEE9EE"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AC3D63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New South Wales*</w:t>
            </w:r>
          </w:p>
        </w:tc>
      </w:tr>
      <w:tr w:rsidR="00FE78DE" w:rsidRPr="00730C0D" w14:paraId="4E3DB7DA"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F612E64" w14:textId="77777777" w:rsidR="00FE78DE" w:rsidRPr="00730C0D" w:rsidRDefault="00FE78DE" w:rsidP="00FE78DE">
            <w:pPr>
              <w:spacing w:before="0" w:after="0" w:line="259" w:lineRule="auto"/>
              <w:rPr>
                <w:rFonts w:ascii="Century Gothic" w:hAnsi="Century Gothic"/>
                <w:sz w:val="20"/>
                <w:szCs w:val="20"/>
              </w:rPr>
            </w:pPr>
            <w:r w:rsidRPr="00730C0D">
              <w:rPr>
                <w:rFonts w:ascii="Century Gothic" w:hAnsi="Century Gothic"/>
                <w:b w:val="0"/>
                <w:sz w:val="20"/>
                <w:szCs w:val="20"/>
              </w:rPr>
              <w:t>University of Notre Dame Australia</w:t>
            </w:r>
          </w:p>
        </w:tc>
      </w:tr>
      <w:tr w:rsidR="00FE78DE" w:rsidRPr="00730C0D" w14:paraId="42193FA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0C2F40C"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Southern Queensland</w:t>
            </w:r>
          </w:p>
        </w:tc>
      </w:tr>
      <w:tr w:rsidR="00FE78DE" w:rsidRPr="00730C0D" w14:paraId="05BC2356"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DAB0A6F"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Tasmania</w:t>
            </w:r>
          </w:p>
        </w:tc>
      </w:tr>
      <w:tr w:rsidR="00FE78DE" w:rsidRPr="00730C0D" w14:paraId="451DC84E"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DA45A02"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Technology Sydney*</w:t>
            </w:r>
          </w:p>
        </w:tc>
      </w:tr>
      <w:tr w:rsidR="00FE78DE" w:rsidRPr="00730C0D" w14:paraId="12A5E173"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29A406A"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University of the Sunshine Coast</w:t>
            </w:r>
          </w:p>
        </w:tc>
      </w:tr>
      <w:tr w:rsidR="00FE78DE" w:rsidRPr="00730C0D" w14:paraId="641DE501"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0C6C270"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 xml:space="preserve">University of Wollongong </w:t>
            </w:r>
          </w:p>
        </w:tc>
      </w:tr>
      <w:tr w:rsidR="00FE78DE" w:rsidRPr="00730C0D" w14:paraId="6671285A"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9E7388B"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Victoria University</w:t>
            </w:r>
          </w:p>
        </w:tc>
      </w:tr>
      <w:tr w:rsidR="00FE78DE" w:rsidRPr="00730C0D" w14:paraId="2F49CEC2" w14:textId="77777777" w:rsidTr="00FE78DE">
        <w:trPr>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E25E834" w14:textId="77777777" w:rsidR="00FE78DE" w:rsidRPr="00730C0D" w:rsidRDefault="00FE78DE" w:rsidP="00FE78DE">
            <w:pPr>
              <w:spacing w:before="0" w:after="0" w:line="259" w:lineRule="auto"/>
              <w:rPr>
                <w:rFonts w:ascii="Century Gothic" w:hAnsi="Century Gothic"/>
                <w:b w:val="0"/>
                <w:sz w:val="20"/>
                <w:szCs w:val="20"/>
              </w:rPr>
            </w:pPr>
            <w:r w:rsidRPr="00730C0D">
              <w:rPr>
                <w:rFonts w:ascii="Century Gothic" w:hAnsi="Century Gothic"/>
                <w:b w:val="0"/>
                <w:sz w:val="20"/>
                <w:szCs w:val="20"/>
              </w:rPr>
              <w:t>Western Sydney University</w:t>
            </w:r>
          </w:p>
        </w:tc>
      </w:tr>
      <w:tr w:rsidR="00FE78DE" w:rsidRPr="00730C0D" w14:paraId="03250670" w14:textId="77777777" w:rsidTr="00FE78D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D8DC756" w14:textId="77777777" w:rsidR="00FE78DE" w:rsidRPr="00B842DE" w:rsidRDefault="00FE78DE" w:rsidP="00FE78DE">
            <w:pPr>
              <w:spacing w:before="0" w:after="0"/>
              <w:jc w:val="right"/>
              <w:rPr>
                <w:rFonts w:ascii="Century Gothic" w:hAnsi="Century Gothic"/>
                <w:b w:val="0"/>
                <w:sz w:val="20"/>
                <w:szCs w:val="20"/>
              </w:rPr>
            </w:pPr>
            <w:r w:rsidRPr="00B842DE">
              <w:rPr>
                <w:rFonts w:ascii="Century Gothic" w:hAnsi="Century Gothic"/>
                <w:b w:val="0"/>
                <w:sz w:val="14"/>
                <w:szCs w:val="14"/>
              </w:rPr>
              <w:t>* Legal Business Name</w:t>
            </w:r>
          </w:p>
        </w:tc>
      </w:tr>
    </w:tbl>
    <w:p w14:paraId="3E74A225" w14:textId="77777777" w:rsidR="00FE78DE" w:rsidRPr="00730C0D" w:rsidRDefault="00FE78DE" w:rsidP="00FE78DE">
      <w:pPr>
        <w:pStyle w:val="Heading1"/>
        <w:rPr>
          <w:b/>
        </w:rPr>
      </w:pPr>
      <w:bookmarkStart w:id="130" w:name="_Appendix_C."/>
      <w:bookmarkStart w:id="131" w:name="_Toc12615371"/>
      <w:bookmarkEnd w:id="130"/>
    </w:p>
    <w:p w14:paraId="1B7D4CC6" w14:textId="77777777" w:rsidR="00FE78DE" w:rsidRPr="00730C0D" w:rsidRDefault="00FE78DE" w:rsidP="00FE78DE">
      <w:pPr>
        <w:spacing w:before="0" w:after="160"/>
        <w:rPr>
          <w:rFonts w:ascii="Century Gothic" w:eastAsiaTheme="majorEastAsia" w:hAnsi="Century Gothic" w:cstheme="majorBidi"/>
          <w:b/>
          <w:color w:val="2763AC"/>
          <w:sz w:val="46"/>
          <w:szCs w:val="46"/>
        </w:rPr>
      </w:pPr>
      <w:r w:rsidRPr="00730C0D">
        <w:rPr>
          <w:rFonts w:ascii="Century Gothic" w:hAnsi="Century Gothic"/>
          <w:b/>
        </w:rPr>
        <w:br w:type="page"/>
      </w:r>
    </w:p>
    <w:p w14:paraId="30F6FE8E" w14:textId="77777777" w:rsidR="00FE78DE" w:rsidRPr="00730C0D" w:rsidRDefault="00FE78DE" w:rsidP="00FE78DE">
      <w:pPr>
        <w:pStyle w:val="Heading1"/>
        <w:rPr>
          <w:b/>
        </w:rPr>
      </w:pPr>
      <w:bookmarkStart w:id="132" w:name="_Toc18592367"/>
      <w:r w:rsidRPr="00730C0D">
        <w:rPr>
          <w:b/>
        </w:rPr>
        <w:t>Appendix C.</w:t>
      </w:r>
      <w:bookmarkEnd w:id="132"/>
      <w:r w:rsidRPr="00730C0D">
        <w:rPr>
          <w:b/>
        </w:rPr>
        <w:t xml:space="preserve"> </w:t>
      </w:r>
    </w:p>
    <w:p w14:paraId="0E905106" w14:textId="77777777" w:rsidR="00FE78DE" w:rsidRPr="00730C0D" w:rsidRDefault="00FE78DE" w:rsidP="00FE78DE">
      <w:pPr>
        <w:pStyle w:val="Heading1"/>
      </w:pPr>
      <w:bookmarkStart w:id="133" w:name="_Toc16242149"/>
      <w:bookmarkStart w:id="134" w:name="_Toc16609472"/>
      <w:bookmarkStart w:id="135" w:name="_Toc18495605"/>
      <w:bookmarkStart w:id="136" w:name="_Toc18592368"/>
      <w:r w:rsidRPr="00730C0D">
        <w:t>Existing Higher Education Standards Framework, Part B: Criteria for Higher Education Providers</w:t>
      </w:r>
      <w:bookmarkEnd w:id="131"/>
      <w:bookmarkEnd w:id="133"/>
      <w:bookmarkEnd w:id="134"/>
      <w:bookmarkEnd w:id="135"/>
      <w:bookmarkEnd w:id="136"/>
    </w:p>
    <w:p w14:paraId="518118F0" w14:textId="77777777" w:rsidR="00FE78DE" w:rsidRPr="00730C0D" w:rsidRDefault="00FE78DE" w:rsidP="00FE78DE">
      <w:pPr>
        <w:spacing w:before="0" w:after="0"/>
        <w:rPr>
          <w:rFonts w:ascii="Century Gothic" w:eastAsiaTheme="majorEastAsia" w:hAnsi="Century Gothic" w:cs="Arial"/>
          <w:b/>
          <w:bCs/>
          <w:sz w:val="20"/>
          <w:szCs w:val="20"/>
        </w:rPr>
      </w:pPr>
      <w:bookmarkStart w:id="137" w:name="_Toc418684298"/>
      <w:bookmarkStart w:id="138" w:name="_Toc428368879"/>
      <w:bookmarkStart w:id="139" w:name="_Toc530395123"/>
      <w:r w:rsidRPr="00730C0D">
        <w:rPr>
          <w:rFonts w:ascii="Century Gothic" w:hAnsi="Century Gothic"/>
          <w:b/>
          <w:noProof/>
          <w:sz w:val="52"/>
          <w:szCs w:val="52"/>
          <w:lang w:eastAsia="en-AU"/>
        </w:rPr>
        <mc:AlternateContent>
          <mc:Choice Requires="wps">
            <w:drawing>
              <wp:anchor distT="0" distB="0" distL="114300" distR="114300" simplePos="0" relativeHeight="251706368" behindDoc="0" locked="0" layoutInCell="1" allowOverlap="1" wp14:anchorId="20C29894" wp14:editId="64643CAE">
                <wp:simplePos x="0" y="0"/>
                <wp:positionH relativeFrom="column">
                  <wp:posOffset>0</wp:posOffset>
                </wp:positionH>
                <wp:positionV relativeFrom="paragraph">
                  <wp:posOffset>22225</wp:posOffset>
                </wp:positionV>
                <wp:extent cx="7143750" cy="0"/>
                <wp:effectExtent l="0" t="0" r="19050" b="19050"/>
                <wp:wrapNone/>
                <wp:docPr id="44" name="Straight Connector 44"/>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A439E" id="Straight Connector 4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5pt" to="56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" strokecolor="black [3213]" strokeweight=".5pt">
                <v:stroke joinstyle="miter"/>
              </v:line>
            </w:pict>
          </mc:Fallback>
        </mc:AlternateContent>
      </w:r>
    </w:p>
    <w:p w14:paraId="681A4C1B" w14:textId="77777777" w:rsidR="00794E80" w:rsidRDefault="00794E80" w:rsidP="00794E80">
      <w:pPr>
        <w:spacing w:before="0" w:after="0"/>
        <w:contextualSpacing/>
        <w:jc w:val="both"/>
        <w:rPr>
          <w:rFonts w:ascii="Century Gothic" w:eastAsiaTheme="majorEastAsia" w:hAnsi="Century Gothic" w:cs="Arial"/>
          <w:b/>
          <w:bCs/>
          <w:sz w:val="26"/>
          <w:szCs w:val="26"/>
        </w:rPr>
      </w:pPr>
    </w:p>
    <w:p w14:paraId="6C39236A" w14:textId="5300FDED" w:rsidR="00794E80" w:rsidRPr="00730C0D" w:rsidRDefault="00794E80" w:rsidP="00794E80">
      <w:pPr>
        <w:spacing w:before="0" w:after="0"/>
        <w:contextualSpacing/>
        <w:jc w:val="both"/>
        <w:rPr>
          <w:rFonts w:ascii="Century Gothic" w:eastAsiaTheme="majorEastAsia" w:hAnsi="Century Gothic" w:cs="Arial"/>
          <w:b/>
          <w:bCs/>
          <w:sz w:val="26"/>
          <w:szCs w:val="26"/>
        </w:rPr>
      </w:pPr>
      <w:r w:rsidRPr="00730C0D">
        <w:rPr>
          <w:rFonts w:ascii="Century Gothic" w:eastAsiaTheme="majorEastAsia" w:hAnsi="Century Gothic" w:cs="Arial"/>
          <w:b/>
          <w:bCs/>
          <w:sz w:val="26"/>
          <w:szCs w:val="26"/>
        </w:rPr>
        <w:t xml:space="preserve">PART B: Higher Education Provider Category Standards </w:t>
      </w:r>
    </w:p>
    <w:p w14:paraId="60A68D25" w14:textId="77777777" w:rsidR="00FE78DE" w:rsidRPr="00730C0D" w:rsidRDefault="00FE78DE" w:rsidP="00FE78DE">
      <w:pPr>
        <w:spacing w:before="0" w:after="0"/>
        <w:rPr>
          <w:rFonts w:ascii="Century Gothic" w:eastAsiaTheme="majorEastAsia" w:hAnsi="Century Gothic" w:cs="Arial"/>
          <w:b/>
          <w:bCs/>
          <w:sz w:val="20"/>
          <w:szCs w:val="20"/>
        </w:rPr>
      </w:pPr>
    </w:p>
    <w:p w14:paraId="7081BC19" w14:textId="77777777" w:rsidR="00FE78DE" w:rsidRPr="00730C0D" w:rsidRDefault="00FE78DE" w:rsidP="00FE78DE">
      <w:pPr>
        <w:spacing w:before="0" w:after="0"/>
        <w:rPr>
          <w:rFonts w:ascii="Century Gothic" w:eastAsiaTheme="majorEastAsia" w:hAnsi="Century Gothic" w:cs="Arial"/>
          <w:b/>
          <w:bCs/>
          <w:sz w:val="26"/>
          <w:szCs w:val="26"/>
        </w:rPr>
      </w:pPr>
      <w:r w:rsidRPr="00730C0D">
        <w:rPr>
          <w:rFonts w:ascii="Century Gothic" w:eastAsiaTheme="majorEastAsia" w:hAnsi="Century Gothic" w:cs="Arial"/>
          <w:b/>
          <w:bCs/>
          <w:sz w:val="26"/>
          <w:szCs w:val="26"/>
        </w:rPr>
        <w:t>B1: Criteria for Classification of Higher Education Provider Categories</w:t>
      </w:r>
      <w:bookmarkEnd w:id="137"/>
      <w:bookmarkEnd w:id="138"/>
      <w:bookmarkEnd w:id="139"/>
      <w:r w:rsidRPr="00730C0D">
        <w:rPr>
          <w:rFonts w:ascii="Century Gothic" w:eastAsiaTheme="majorEastAsia" w:hAnsi="Century Gothic" w:cs="Arial"/>
          <w:b/>
          <w:bCs/>
          <w:sz w:val="26"/>
          <w:szCs w:val="26"/>
        </w:rPr>
        <w:t xml:space="preserve"> </w:t>
      </w:r>
    </w:p>
    <w:p w14:paraId="3C1A0E5B" w14:textId="27D87DEE" w:rsidR="00FE78DE" w:rsidRPr="00730C0D" w:rsidRDefault="00FE78DE" w:rsidP="001D3E9B">
      <w:pPr>
        <w:spacing w:before="0" w:after="0"/>
        <w:jc w:val="both"/>
        <w:rPr>
          <w:rFonts w:ascii="Century Gothic" w:hAnsi="Century Gothic"/>
          <w:sz w:val="20"/>
          <w:szCs w:val="20"/>
        </w:rPr>
      </w:pPr>
      <w:r w:rsidRPr="00730C0D">
        <w:rPr>
          <w:rFonts w:ascii="Century Gothic" w:hAnsi="Century Gothic"/>
          <w:sz w:val="20"/>
          <w:szCs w:val="20"/>
        </w:rPr>
        <w:t xml:space="preserve">All providers of higher education that gain registration by TEQSA through meeting the </w:t>
      </w:r>
      <w:r w:rsidR="001D3E9B">
        <w:rPr>
          <w:rFonts w:ascii="Century Gothic" w:hAnsi="Century Gothic"/>
          <w:sz w:val="20"/>
          <w:szCs w:val="20"/>
        </w:rPr>
        <w:br/>
      </w:r>
      <w:r w:rsidRPr="00730C0D">
        <w:rPr>
          <w:rFonts w:ascii="Century Gothic" w:hAnsi="Century Gothic"/>
          <w:sz w:val="20"/>
          <w:szCs w:val="20"/>
        </w:rPr>
        <w:t xml:space="preserve">Higher Education Standards Framework become ‘Higher Education Providers’. This title signals to the public that the provider is a bona fide provider of quality higher education in Australia. </w:t>
      </w:r>
    </w:p>
    <w:p w14:paraId="4EA59BE3" w14:textId="77777777" w:rsidR="00FE78DE" w:rsidRPr="00730C0D" w:rsidRDefault="00FE78DE" w:rsidP="00FE78DE">
      <w:pPr>
        <w:spacing w:before="0" w:after="0"/>
        <w:rPr>
          <w:rFonts w:ascii="Century Gothic" w:hAnsi="Century Gothic"/>
          <w:sz w:val="20"/>
          <w:szCs w:val="20"/>
        </w:rPr>
      </w:pPr>
    </w:p>
    <w:p w14:paraId="425A43B5" w14:textId="72560E51" w:rsidR="00FE78DE" w:rsidRPr="00730C0D" w:rsidRDefault="00FE78DE" w:rsidP="001D3E9B">
      <w:pPr>
        <w:spacing w:before="0" w:after="0"/>
        <w:jc w:val="both"/>
        <w:rPr>
          <w:rFonts w:ascii="Century Gothic" w:hAnsi="Century Gothic"/>
          <w:sz w:val="20"/>
          <w:szCs w:val="20"/>
        </w:rPr>
      </w:pPr>
      <w:r w:rsidRPr="00730C0D">
        <w:rPr>
          <w:rFonts w:ascii="Century Gothic" w:hAnsi="Century Gothic"/>
          <w:sz w:val="20"/>
          <w:szCs w:val="20"/>
        </w:rPr>
        <w:t xml:space="preserve">Higher education providers are able to seek approval within a particular provider category under subsection 18(1) of the Tertiary Education Quality and Standards Agency Act 2011. </w:t>
      </w:r>
      <w:r w:rsidR="001D3E9B">
        <w:rPr>
          <w:rFonts w:ascii="Century Gothic" w:hAnsi="Century Gothic"/>
          <w:sz w:val="20"/>
          <w:szCs w:val="20"/>
        </w:rPr>
        <w:br/>
      </w:r>
      <w:r w:rsidRPr="00730C0D">
        <w:rPr>
          <w:rFonts w:ascii="Century Gothic" w:hAnsi="Century Gothic"/>
          <w:sz w:val="20"/>
          <w:szCs w:val="20"/>
        </w:rPr>
        <w:t>There are several provider categories that use the word ‘university’:</w:t>
      </w:r>
    </w:p>
    <w:p w14:paraId="1BE45458" w14:textId="77777777" w:rsidR="00FE78DE" w:rsidRPr="00730C0D" w:rsidRDefault="00FE78DE" w:rsidP="0024520B">
      <w:pPr>
        <w:numPr>
          <w:ilvl w:val="0"/>
          <w:numId w:val="71"/>
        </w:numPr>
        <w:spacing w:before="0" w:after="0"/>
        <w:jc w:val="both"/>
        <w:rPr>
          <w:rFonts w:ascii="Century Gothic" w:hAnsi="Century Gothic" w:cs="Arial"/>
          <w:sz w:val="20"/>
          <w:szCs w:val="20"/>
        </w:rPr>
      </w:pPr>
      <w:r w:rsidRPr="00730C0D">
        <w:rPr>
          <w:rFonts w:ascii="Century Gothic" w:hAnsi="Century Gothic" w:cs="Arial"/>
          <w:sz w:val="20"/>
          <w:szCs w:val="20"/>
        </w:rPr>
        <w:t>Australian University</w:t>
      </w:r>
    </w:p>
    <w:p w14:paraId="2184626D" w14:textId="77777777" w:rsidR="00FE78DE" w:rsidRPr="00730C0D" w:rsidRDefault="00FE78DE" w:rsidP="0024520B">
      <w:pPr>
        <w:numPr>
          <w:ilvl w:val="0"/>
          <w:numId w:val="71"/>
        </w:numPr>
        <w:spacing w:before="0" w:after="0"/>
        <w:jc w:val="both"/>
        <w:rPr>
          <w:rFonts w:ascii="Century Gothic" w:hAnsi="Century Gothic" w:cs="Arial"/>
          <w:sz w:val="20"/>
          <w:szCs w:val="20"/>
        </w:rPr>
      </w:pPr>
      <w:r w:rsidRPr="00730C0D">
        <w:rPr>
          <w:rFonts w:ascii="Century Gothic" w:hAnsi="Century Gothic" w:cs="Arial"/>
          <w:sz w:val="20"/>
          <w:szCs w:val="20"/>
        </w:rPr>
        <w:t>Australian University College</w:t>
      </w:r>
    </w:p>
    <w:p w14:paraId="6EC0BAC0" w14:textId="77777777" w:rsidR="00FE78DE" w:rsidRPr="00730C0D" w:rsidRDefault="00FE78DE" w:rsidP="0024520B">
      <w:pPr>
        <w:numPr>
          <w:ilvl w:val="0"/>
          <w:numId w:val="71"/>
        </w:numPr>
        <w:spacing w:before="0" w:after="0"/>
        <w:jc w:val="both"/>
        <w:rPr>
          <w:rFonts w:ascii="Century Gothic" w:hAnsi="Century Gothic" w:cs="Arial"/>
          <w:sz w:val="20"/>
          <w:szCs w:val="20"/>
        </w:rPr>
      </w:pPr>
      <w:r w:rsidRPr="00730C0D">
        <w:rPr>
          <w:rFonts w:ascii="Century Gothic" w:hAnsi="Century Gothic" w:cs="Arial"/>
          <w:sz w:val="20"/>
          <w:szCs w:val="20"/>
        </w:rPr>
        <w:t>Australian University of Specialisation</w:t>
      </w:r>
    </w:p>
    <w:p w14:paraId="72C938B4" w14:textId="77777777" w:rsidR="00FE78DE" w:rsidRPr="00730C0D" w:rsidRDefault="00FE78DE" w:rsidP="0024520B">
      <w:pPr>
        <w:numPr>
          <w:ilvl w:val="0"/>
          <w:numId w:val="71"/>
        </w:numPr>
        <w:spacing w:before="0" w:after="0"/>
        <w:jc w:val="both"/>
        <w:rPr>
          <w:rFonts w:ascii="Century Gothic" w:hAnsi="Century Gothic" w:cs="Arial"/>
          <w:sz w:val="20"/>
          <w:szCs w:val="20"/>
        </w:rPr>
      </w:pPr>
      <w:r w:rsidRPr="00730C0D">
        <w:rPr>
          <w:rFonts w:ascii="Century Gothic" w:hAnsi="Century Gothic" w:cs="Arial"/>
          <w:sz w:val="20"/>
          <w:szCs w:val="20"/>
        </w:rPr>
        <w:t>Overseas University</w:t>
      </w:r>
    </w:p>
    <w:p w14:paraId="2C915365" w14:textId="77777777" w:rsidR="00FE78DE" w:rsidRPr="00730C0D" w:rsidRDefault="00FE78DE" w:rsidP="0024520B">
      <w:pPr>
        <w:numPr>
          <w:ilvl w:val="0"/>
          <w:numId w:val="71"/>
        </w:numPr>
        <w:spacing w:before="0" w:after="0"/>
        <w:jc w:val="both"/>
        <w:rPr>
          <w:rFonts w:ascii="Century Gothic" w:hAnsi="Century Gothic" w:cs="Arial"/>
          <w:sz w:val="20"/>
          <w:szCs w:val="20"/>
        </w:rPr>
      </w:pPr>
      <w:r w:rsidRPr="00730C0D">
        <w:rPr>
          <w:rFonts w:ascii="Century Gothic" w:hAnsi="Century Gothic" w:cs="Arial"/>
          <w:sz w:val="20"/>
          <w:szCs w:val="20"/>
        </w:rPr>
        <w:t>Overseas University of Specialisation.</w:t>
      </w:r>
    </w:p>
    <w:p w14:paraId="5E3902DC" w14:textId="77777777" w:rsidR="00FE78DE" w:rsidRPr="00730C0D" w:rsidRDefault="00FE78DE" w:rsidP="00FE78DE">
      <w:pPr>
        <w:spacing w:before="0" w:after="0"/>
        <w:ind w:left="568"/>
        <w:jc w:val="both"/>
        <w:rPr>
          <w:rFonts w:ascii="Century Gothic" w:hAnsi="Century Gothic" w:cs="Arial"/>
          <w:sz w:val="20"/>
          <w:szCs w:val="20"/>
        </w:rPr>
      </w:pPr>
    </w:p>
    <w:p w14:paraId="4C2FA277" w14:textId="77777777" w:rsidR="00FE78DE" w:rsidRPr="00730C0D" w:rsidRDefault="00FE78DE" w:rsidP="001D3E9B">
      <w:pPr>
        <w:spacing w:before="0" w:after="0"/>
        <w:jc w:val="both"/>
        <w:rPr>
          <w:rFonts w:ascii="Century Gothic" w:hAnsi="Century Gothic"/>
          <w:sz w:val="20"/>
          <w:szCs w:val="20"/>
        </w:rPr>
      </w:pPr>
      <w:r w:rsidRPr="00730C0D">
        <w:rPr>
          <w:rFonts w:ascii="Century Gothic" w:hAnsi="Century Gothic"/>
          <w:sz w:val="20"/>
          <w:szCs w:val="20"/>
        </w:rPr>
        <w:t xml:space="preserve">A higher education provider must meet the additional criteria for use of a provider category that uses the word ‘university’. </w:t>
      </w:r>
    </w:p>
    <w:p w14:paraId="5A788253" w14:textId="77777777" w:rsidR="00FE78DE" w:rsidRPr="00730C0D" w:rsidRDefault="00FE78DE" w:rsidP="00FE78DE">
      <w:pPr>
        <w:spacing w:before="0" w:after="0"/>
        <w:rPr>
          <w:rFonts w:ascii="Century Gothic" w:hAnsi="Century Gothic"/>
          <w:sz w:val="20"/>
          <w:szCs w:val="20"/>
        </w:rPr>
      </w:pPr>
    </w:p>
    <w:p w14:paraId="5C2C94D9"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B1.1</w:t>
      </w:r>
      <w:r w:rsidRPr="00730C0D">
        <w:rPr>
          <w:rFonts w:ascii="Century Gothic" w:eastAsiaTheme="majorEastAsia" w:hAnsi="Century Gothic" w:cs="Arial"/>
          <w:b/>
          <w:bCs/>
        </w:rPr>
        <w:tab/>
        <w:t xml:space="preserve">“Higher Education Provider” Category </w:t>
      </w:r>
    </w:p>
    <w:p w14:paraId="35573BD9" w14:textId="77777777" w:rsidR="00FE78DE" w:rsidRPr="00730C0D" w:rsidRDefault="00FE78DE" w:rsidP="001D3E9B">
      <w:pPr>
        <w:spacing w:before="0" w:after="0"/>
        <w:jc w:val="both"/>
        <w:rPr>
          <w:rFonts w:ascii="Century Gothic" w:hAnsi="Century Gothic"/>
          <w:sz w:val="20"/>
          <w:szCs w:val="20"/>
        </w:rPr>
      </w:pPr>
      <w:r w:rsidRPr="00730C0D">
        <w:rPr>
          <w:rFonts w:ascii="Century Gothic" w:hAnsi="Century Gothic"/>
          <w:sz w:val="20"/>
          <w:szCs w:val="20"/>
        </w:rPr>
        <w:t>The higher education provider offers an Australian higher education qualification and/or an overseas higher education qualification</w:t>
      </w:r>
    </w:p>
    <w:p w14:paraId="6E9FC6B3" w14:textId="77777777" w:rsidR="00FE78DE" w:rsidRPr="00730C0D" w:rsidRDefault="00FE78DE" w:rsidP="00FE78DE">
      <w:pPr>
        <w:numPr>
          <w:ilvl w:val="0"/>
          <w:numId w:val="13"/>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meets the Higher Education Standards Framework and offers at least one accredited course of study.</w:t>
      </w:r>
    </w:p>
    <w:p w14:paraId="0296BD30" w14:textId="77777777" w:rsidR="00FE78DE" w:rsidRPr="00730C0D" w:rsidRDefault="00FE78DE" w:rsidP="00FE78DE">
      <w:pPr>
        <w:numPr>
          <w:ilvl w:val="0"/>
          <w:numId w:val="13"/>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a clearly articulated higher education purpose that includes a commitment to and support for free intellectual inquiry in its academic endeavours.</w:t>
      </w:r>
    </w:p>
    <w:p w14:paraId="6BE48D29" w14:textId="77777777" w:rsidR="00FE78DE" w:rsidRPr="00730C0D" w:rsidRDefault="00FE78DE" w:rsidP="00FE78DE">
      <w:pPr>
        <w:numPr>
          <w:ilvl w:val="0"/>
          <w:numId w:val="13"/>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delivers teaching and learning that engage with advanced knowledge and inquiry.</w:t>
      </w:r>
    </w:p>
    <w:p w14:paraId="3A085CFA" w14:textId="77777777" w:rsidR="00FE78DE" w:rsidRPr="00730C0D" w:rsidRDefault="00FE78DE" w:rsidP="00FE78DE">
      <w:pPr>
        <w:numPr>
          <w:ilvl w:val="0"/>
          <w:numId w:val="13"/>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provider’s academic staff are active in scholarship that informs their teaching, and are active in research when engaged in research student supervision.</w:t>
      </w:r>
    </w:p>
    <w:p w14:paraId="6DE3AFC5" w14:textId="77777777" w:rsidR="00FE78DE" w:rsidRPr="00730C0D" w:rsidRDefault="00FE78DE" w:rsidP="00FE78DE">
      <w:pPr>
        <w:spacing w:before="0" w:after="0"/>
        <w:rPr>
          <w:rFonts w:ascii="Century Gothic" w:hAnsi="Century Gothic"/>
          <w:sz w:val="20"/>
          <w:szCs w:val="20"/>
        </w:rPr>
      </w:pPr>
    </w:p>
    <w:p w14:paraId="52DB074F" w14:textId="0A521A55"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B1.2</w:t>
      </w:r>
      <w:r w:rsidRPr="00730C0D">
        <w:rPr>
          <w:rFonts w:ascii="Century Gothic" w:eastAsiaTheme="majorEastAsia" w:hAnsi="Century Gothic" w:cs="Arial"/>
          <w:b/>
          <w:bCs/>
        </w:rPr>
        <w:tab/>
        <w:t xml:space="preserve">“Australian University” Category </w:t>
      </w:r>
    </w:p>
    <w:p w14:paraId="37B44D86"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higher education provider offers an Australian higher education qualification</w:t>
      </w:r>
    </w:p>
    <w:p w14:paraId="1B0ECFC5" w14:textId="325EC3F6" w:rsidR="00FE78DE"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self-accredits and delivers undergraduate and postgraduate courses of study that meet the Higher Education Standards Framework across a range of broad fields of study (including Masters Degrees (Research) and Doctoral Degrees (Research) in at least three of the broad fields of study it offers).</w:t>
      </w:r>
    </w:p>
    <w:p w14:paraId="688DCCB3" w14:textId="77777777" w:rsidR="00794E80" w:rsidRDefault="00794E80">
      <w:pPr>
        <w:spacing w:before="0" w:after="160"/>
        <w:rPr>
          <w:rFonts w:ascii="Century Gothic" w:eastAsia="Calibri" w:hAnsi="Century Gothic" w:cs="Arial"/>
          <w:sz w:val="20"/>
          <w:szCs w:val="20"/>
        </w:rPr>
      </w:pPr>
      <w:r>
        <w:rPr>
          <w:rFonts w:ascii="Century Gothic" w:eastAsia="Calibri" w:hAnsi="Century Gothic" w:cs="Arial"/>
          <w:sz w:val="20"/>
          <w:szCs w:val="20"/>
        </w:rPr>
        <w:br w:type="page"/>
      </w:r>
    </w:p>
    <w:p w14:paraId="224573FD" w14:textId="7D48AFD0"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been authorised for at least the last five years to self-accredit at least 85% of its total courses of study, including Masters Degrees (Research) and Doctoral Degrees (Research) in at least three of the broad fields of study.</w:t>
      </w:r>
    </w:p>
    <w:p w14:paraId="5D7F65F5"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undertakes research that leads to the creation of new knowledge and original creative endeavour at least in those broad fields of study in which Masters Degrees (Research) and Doctoral Degrees (Research) are offered.</w:t>
      </w:r>
    </w:p>
    <w:p w14:paraId="7B7758EB"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demonstrates the commitment of teachers, researchers, course designers and assessors to the systematic advancement and dissemination of knowledge.</w:t>
      </w:r>
    </w:p>
    <w:p w14:paraId="2C9B254F"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demonstrates sustained scholarship that informs teaching and learning in all fields in which courses of study are offered. </w:t>
      </w:r>
    </w:p>
    <w:p w14:paraId="56F31DF1"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identifies and implements good practices in student teaching and learning, including those that have the potential for wider dissemination nationally.  </w:t>
      </w:r>
    </w:p>
    <w:p w14:paraId="47D08303"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offers an extensive range of student services, including student academic and learning support, and extensive resources for student learning in all disciplines offered.</w:t>
      </w:r>
    </w:p>
    <w:p w14:paraId="253EE97A"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demonstrates engagement with its local and regional communities and demonstrates a commitment to social responsibility in its activities. </w:t>
      </w:r>
    </w:p>
    <w:p w14:paraId="798FA98F"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systematic, mature internal processes for quality assurance and the maintenance of academic standards and academic integrity.</w:t>
      </w:r>
    </w:p>
    <w:p w14:paraId="1768D4A7" w14:textId="77777777" w:rsidR="00FE78DE" w:rsidRPr="00730C0D" w:rsidRDefault="00FE78DE" w:rsidP="00FE78DE">
      <w:pPr>
        <w:numPr>
          <w:ilvl w:val="0"/>
          <w:numId w:val="15"/>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provider’s application for registration has the support of the relevant Commonwealth, State or Territory government.</w:t>
      </w:r>
    </w:p>
    <w:p w14:paraId="2BB2CE54" w14:textId="77777777" w:rsidR="00FE78DE" w:rsidRPr="00730C0D" w:rsidRDefault="00FE78DE" w:rsidP="00FE78DE">
      <w:pPr>
        <w:spacing w:before="0" w:after="0"/>
        <w:rPr>
          <w:rFonts w:ascii="Century Gothic" w:hAnsi="Century Gothic"/>
          <w:sz w:val="20"/>
          <w:szCs w:val="20"/>
        </w:rPr>
      </w:pPr>
    </w:p>
    <w:p w14:paraId="05A2472F"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B1.3</w:t>
      </w:r>
      <w:r w:rsidRPr="00730C0D">
        <w:rPr>
          <w:rFonts w:ascii="Century Gothic" w:eastAsiaTheme="majorEastAsia" w:hAnsi="Century Gothic" w:cs="Arial"/>
          <w:b/>
          <w:bCs/>
        </w:rPr>
        <w:tab/>
        <w:t>“Australian University College” Category</w:t>
      </w:r>
    </w:p>
    <w:p w14:paraId="3D91814F"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higher education provider offers an Australian higher education qualification</w:t>
      </w:r>
    </w:p>
    <w:p w14:paraId="121A8620"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realistic and achievable plans to meet all the criteria for an “Australian University” Category within five years of its approval to use the title “Australian University College”.</w:t>
      </w:r>
    </w:p>
    <w:p w14:paraId="1E98259C"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self-accredits and delivers undergraduate and postgraduate courses of study that meet the Higher Education Standards Framework across a range of broad fields of study (including Masters Degrees (Coursework) in at least three broad fields of study and Masters Degrees (Research) and Doctoral Degrees (Research) in at least one of the broad fields of study it offers).</w:t>
      </w:r>
    </w:p>
    <w:p w14:paraId="4DE79D0D"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undertakes research that leads to the creation of new knowledge and original creative endeavour at least in those broad fields of study in which Masters Degrees (Research) and Doctoral Degrees (Research) are offered.</w:t>
      </w:r>
    </w:p>
    <w:p w14:paraId="4980CB39"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demonstrates the commitment of teachers, researchers, course designers and assessors to the systematic advancement and dissemination of knowledge.</w:t>
      </w:r>
    </w:p>
    <w:p w14:paraId="6D0118D4"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demonstrates sustained scholarship that informs teaching and learning in all fields in which courses of study are offered. </w:t>
      </w:r>
    </w:p>
    <w:p w14:paraId="5E227606"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identifies and implements good practices in student teaching and learning, including those that have the potential for wider dissemination nationally.  </w:t>
      </w:r>
    </w:p>
    <w:p w14:paraId="6B16AB81"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offers an extensive range of student services, including student academic and learning support, and extensive resources for student learning in all disciplines offered.</w:t>
      </w:r>
    </w:p>
    <w:p w14:paraId="0E83390E" w14:textId="77777777" w:rsidR="00794E80" w:rsidRDefault="00794E80">
      <w:pPr>
        <w:spacing w:before="0" w:after="160"/>
        <w:rPr>
          <w:rFonts w:ascii="Century Gothic" w:eastAsia="Calibri" w:hAnsi="Century Gothic" w:cs="Arial"/>
          <w:sz w:val="20"/>
          <w:szCs w:val="20"/>
        </w:rPr>
      </w:pPr>
      <w:r>
        <w:rPr>
          <w:rFonts w:ascii="Century Gothic" w:eastAsia="Calibri" w:hAnsi="Century Gothic" w:cs="Arial"/>
          <w:sz w:val="20"/>
          <w:szCs w:val="20"/>
        </w:rPr>
        <w:br w:type="page"/>
      </w:r>
    </w:p>
    <w:p w14:paraId="5FBE6035" w14:textId="0C255038"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demonstrates engagement with its local and regional communities and demonstrates a commitment to social responsibility in its activities. </w:t>
      </w:r>
    </w:p>
    <w:p w14:paraId="257DC445" w14:textId="77777777" w:rsidR="00FE78DE" w:rsidRPr="00730C0D"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systematic, well developed internal processes for quality assurance and the maintenance of academic standards and academic integrity.</w:t>
      </w:r>
    </w:p>
    <w:p w14:paraId="64DF5DEF" w14:textId="34613DF9" w:rsidR="00FE78DE" w:rsidRDefault="00FE78DE" w:rsidP="0024520B">
      <w:pPr>
        <w:numPr>
          <w:ilvl w:val="0"/>
          <w:numId w:val="1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provider’s application for registration has the support of the relevant Commonwealth, State or Territory government.</w:t>
      </w:r>
    </w:p>
    <w:p w14:paraId="11935612" w14:textId="77777777" w:rsidR="001D3E9B" w:rsidRPr="00730C0D" w:rsidRDefault="001D3E9B" w:rsidP="001D3E9B">
      <w:pPr>
        <w:spacing w:before="0" w:after="0"/>
        <w:ind w:left="720"/>
        <w:jc w:val="both"/>
        <w:rPr>
          <w:rFonts w:ascii="Century Gothic" w:eastAsia="Calibri" w:hAnsi="Century Gothic" w:cs="Arial"/>
          <w:sz w:val="20"/>
          <w:szCs w:val="20"/>
        </w:rPr>
      </w:pPr>
    </w:p>
    <w:p w14:paraId="682395FA"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B1.4</w:t>
      </w:r>
      <w:r w:rsidRPr="00730C0D">
        <w:rPr>
          <w:rFonts w:ascii="Century Gothic" w:eastAsiaTheme="majorEastAsia" w:hAnsi="Century Gothic" w:cs="Arial"/>
          <w:b/>
          <w:bCs/>
        </w:rPr>
        <w:tab/>
        <w:t xml:space="preserve">“Australian University of Specialisation” Category </w:t>
      </w:r>
    </w:p>
    <w:p w14:paraId="383D9733"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higher education provider offers an Australian higher education qualification</w:t>
      </w:r>
    </w:p>
    <w:p w14:paraId="2DDE5147"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self-accredits and delivers undergraduate and postgraduate courses of study that meet the Higher Education Standards Framework in one or two broad fields of study only (including Masters Degrees (Research) and Doctoral Degrees (Research) in these one or two broad fields of study it offers).</w:t>
      </w:r>
    </w:p>
    <w:p w14:paraId="44E0CACA"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been authorised for at least the last five years to self-accredit at least 85% of its total courses of study in one or two broad fields of study only, including Masters Degrees (Research) and Doctoral Degrees (Research) in these broad field/s of study.</w:t>
      </w:r>
    </w:p>
    <w:p w14:paraId="7ED0717C"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undertakes research that leads to the creation of new knowledge and original creative endeavour at least in those broad fields of study in which Masters Degrees (Research) and Doctoral Degrees (Research) are offered.</w:t>
      </w:r>
    </w:p>
    <w:p w14:paraId="1D9E948A"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demonstrates the commitment of teachers, researchers, course designers and assessors to the systematic advancement of knowledge.</w:t>
      </w:r>
    </w:p>
    <w:p w14:paraId="67B53A96"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demonstrates sustained scholarship that informs teaching and learning in all fields in which courses of study are offered. </w:t>
      </w:r>
    </w:p>
    <w:p w14:paraId="2E957F22"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identifies and implements good practices in student teaching and learning, including those that have the potential for wider dissemination nationally.  </w:t>
      </w:r>
    </w:p>
    <w:p w14:paraId="383B11BF"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offers an extensive range of student services, including student academic and learning support, and extensive resources for student learning in all disciplines offered.</w:t>
      </w:r>
    </w:p>
    <w:p w14:paraId="4D24906C"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demonstrates engagement with its local and regional communities and demonstrates a commitment to social responsibility in its activities. </w:t>
      </w:r>
    </w:p>
    <w:p w14:paraId="0EC55661"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has systematic, mature internal processes for quality assurance and the maintenance of academic standards and academic integrity.</w:t>
      </w:r>
    </w:p>
    <w:p w14:paraId="438F843B" w14:textId="77777777" w:rsidR="00FE78DE" w:rsidRPr="00730C0D" w:rsidRDefault="00FE78DE" w:rsidP="0024520B">
      <w:pPr>
        <w:numPr>
          <w:ilvl w:val="0"/>
          <w:numId w:val="18"/>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provider’s application for registration has the support of the relevant Commonwealth, State or Territory government.</w:t>
      </w:r>
    </w:p>
    <w:p w14:paraId="73D09FBA" w14:textId="77777777" w:rsidR="00FE78DE" w:rsidRPr="00730C0D" w:rsidRDefault="00FE78DE" w:rsidP="00FE78DE">
      <w:pPr>
        <w:spacing w:before="0" w:after="0"/>
        <w:rPr>
          <w:rFonts w:ascii="Century Gothic" w:hAnsi="Century Gothic"/>
          <w:sz w:val="20"/>
          <w:szCs w:val="20"/>
        </w:rPr>
      </w:pPr>
    </w:p>
    <w:p w14:paraId="258C89AC"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B1.5</w:t>
      </w:r>
      <w:r w:rsidRPr="00730C0D">
        <w:rPr>
          <w:rFonts w:ascii="Century Gothic" w:eastAsiaTheme="majorEastAsia" w:hAnsi="Century Gothic" w:cs="Arial"/>
          <w:b/>
          <w:bCs/>
        </w:rPr>
        <w:tab/>
        <w:t xml:space="preserve">“Overseas University” Category </w:t>
      </w:r>
    </w:p>
    <w:p w14:paraId="1B8A62EE"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higher education provider offers an overseas higher education qualification</w:t>
      </w:r>
    </w:p>
    <w:p w14:paraId="2701F6F7" w14:textId="77777777" w:rsidR="00FE78DE" w:rsidRPr="00730C0D" w:rsidRDefault="00FE78DE" w:rsidP="0024520B">
      <w:pPr>
        <w:numPr>
          <w:ilvl w:val="0"/>
          <w:numId w:val="19"/>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is recognised as a university by its home country registration or accreditation authority or equivalent governmental authority, the standing and standards of which are acceptable to TEQSA.  </w:t>
      </w:r>
    </w:p>
    <w:p w14:paraId="116C258B" w14:textId="77777777" w:rsidR="00FE78DE" w:rsidRPr="00730C0D" w:rsidRDefault="00FE78DE" w:rsidP="00FE78DE">
      <w:pPr>
        <w:spacing w:before="0" w:after="0"/>
        <w:ind w:left="720"/>
        <w:jc w:val="both"/>
        <w:rPr>
          <w:rFonts w:ascii="Century Gothic" w:eastAsia="Calibri" w:hAnsi="Century Gothic" w:cs="Arial"/>
          <w:sz w:val="20"/>
          <w:szCs w:val="20"/>
        </w:rPr>
      </w:pPr>
      <w:r w:rsidRPr="00730C0D">
        <w:rPr>
          <w:rFonts w:ascii="Century Gothic" w:eastAsia="Calibri" w:hAnsi="Century Gothic" w:cs="Arial"/>
          <w:sz w:val="20"/>
          <w:szCs w:val="20"/>
        </w:rPr>
        <w:t>AND</w:t>
      </w:r>
    </w:p>
    <w:p w14:paraId="7CE907BB" w14:textId="77777777" w:rsidR="00FE78DE" w:rsidRPr="00730C0D" w:rsidRDefault="00FE78DE" w:rsidP="0024520B">
      <w:pPr>
        <w:numPr>
          <w:ilvl w:val="0"/>
          <w:numId w:val="19"/>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meets criteria equivalent to those for the “Australian University” Category.</w:t>
      </w:r>
    </w:p>
    <w:p w14:paraId="12DA80A8" w14:textId="77777777" w:rsidR="00FE78DE" w:rsidRPr="00730C0D" w:rsidRDefault="00FE78DE" w:rsidP="00FE78DE">
      <w:pPr>
        <w:spacing w:before="0" w:after="0"/>
        <w:ind w:left="993"/>
        <w:jc w:val="both"/>
        <w:rPr>
          <w:rFonts w:ascii="Century Gothic" w:eastAsia="Calibri" w:hAnsi="Century Gothic" w:cs="Arial"/>
          <w:sz w:val="20"/>
          <w:szCs w:val="20"/>
        </w:rPr>
      </w:pPr>
    </w:p>
    <w:p w14:paraId="6F883D47" w14:textId="77777777" w:rsidR="00794E80" w:rsidRDefault="00794E80">
      <w:pPr>
        <w:spacing w:before="0" w:after="160"/>
        <w:rPr>
          <w:rFonts w:ascii="Century Gothic" w:eastAsiaTheme="majorEastAsia" w:hAnsi="Century Gothic" w:cs="Arial"/>
          <w:b/>
          <w:bCs/>
        </w:rPr>
      </w:pPr>
      <w:r>
        <w:rPr>
          <w:rFonts w:ascii="Century Gothic" w:eastAsiaTheme="majorEastAsia" w:hAnsi="Century Gothic" w:cs="Arial"/>
          <w:b/>
          <w:bCs/>
        </w:rPr>
        <w:br w:type="page"/>
      </w:r>
    </w:p>
    <w:p w14:paraId="638659E9" w14:textId="007A5129"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B1.6</w:t>
      </w:r>
      <w:r w:rsidRPr="00730C0D">
        <w:rPr>
          <w:rFonts w:ascii="Century Gothic" w:eastAsiaTheme="majorEastAsia" w:hAnsi="Century Gothic" w:cs="Arial"/>
          <w:b/>
          <w:bCs/>
        </w:rPr>
        <w:tab/>
        <w:t xml:space="preserve">“Overseas University of Specialisation” Category </w:t>
      </w:r>
    </w:p>
    <w:p w14:paraId="34343848"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higher education provider offers an overseas higher education qualification</w:t>
      </w:r>
    </w:p>
    <w:p w14:paraId="525FE691" w14:textId="77777777" w:rsidR="00FE78DE" w:rsidRPr="00730C0D" w:rsidRDefault="00FE78DE" w:rsidP="0024520B">
      <w:pPr>
        <w:numPr>
          <w:ilvl w:val="0"/>
          <w:numId w:val="20"/>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is recognised as a university by its home country registration or accreditation authority or equivalent governmental authority, the standing and standards of which are acceptable to TEQSA.  </w:t>
      </w:r>
    </w:p>
    <w:p w14:paraId="441D1C4C" w14:textId="77777777" w:rsidR="00FE78DE" w:rsidRPr="00730C0D" w:rsidRDefault="00FE78DE" w:rsidP="00FE78DE">
      <w:pPr>
        <w:spacing w:before="0" w:after="0"/>
        <w:ind w:left="720"/>
        <w:jc w:val="both"/>
        <w:rPr>
          <w:rFonts w:ascii="Century Gothic" w:eastAsia="Calibri" w:hAnsi="Century Gothic" w:cs="Arial"/>
          <w:sz w:val="20"/>
          <w:szCs w:val="20"/>
        </w:rPr>
      </w:pPr>
      <w:r w:rsidRPr="00730C0D">
        <w:rPr>
          <w:rFonts w:ascii="Century Gothic" w:eastAsia="Calibri" w:hAnsi="Century Gothic" w:cs="Arial"/>
          <w:sz w:val="20"/>
          <w:szCs w:val="20"/>
        </w:rPr>
        <w:t>AND</w:t>
      </w:r>
    </w:p>
    <w:p w14:paraId="2BD35E5C" w14:textId="77777777" w:rsidR="00FE78DE" w:rsidRPr="00730C0D" w:rsidRDefault="00FE78DE" w:rsidP="0024520B">
      <w:pPr>
        <w:numPr>
          <w:ilvl w:val="0"/>
          <w:numId w:val="20"/>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The higher education provider meets criteria equivalent to those for the “Australian University of Specialisation” Category.</w:t>
      </w:r>
    </w:p>
    <w:p w14:paraId="523E27F9" w14:textId="30AED040" w:rsidR="00FE78DE" w:rsidRPr="00730C0D" w:rsidRDefault="00FE78DE" w:rsidP="00FE78DE">
      <w:pPr>
        <w:spacing w:before="0" w:after="0"/>
        <w:rPr>
          <w:rFonts w:ascii="Century Gothic" w:eastAsiaTheme="majorEastAsia" w:hAnsi="Century Gothic" w:cs="Arial"/>
          <w:b/>
          <w:bCs/>
          <w:sz w:val="20"/>
          <w:szCs w:val="20"/>
        </w:rPr>
      </w:pPr>
      <w:bookmarkStart w:id="140" w:name="_Toc418684299"/>
      <w:bookmarkStart w:id="141" w:name="_Toc428368880"/>
      <w:bookmarkStart w:id="142" w:name="_Toc530395124"/>
    </w:p>
    <w:p w14:paraId="35905A51" w14:textId="334A6DA6" w:rsidR="00FE78DE" w:rsidRDefault="00FE78DE" w:rsidP="00794E80">
      <w:pPr>
        <w:spacing w:before="0" w:after="0"/>
        <w:ind w:left="720" w:hanging="720"/>
        <w:rPr>
          <w:rFonts w:ascii="Century Gothic" w:eastAsiaTheme="majorEastAsia" w:hAnsi="Century Gothic" w:cs="Arial"/>
          <w:b/>
          <w:bCs/>
          <w:sz w:val="26"/>
          <w:szCs w:val="26"/>
        </w:rPr>
      </w:pPr>
      <w:r w:rsidRPr="00730C0D">
        <w:rPr>
          <w:rFonts w:ascii="Century Gothic" w:eastAsiaTheme="majorEastAsia" w:hAnsi="Century Gothic" w:cs="Arial"/>
          <w:b/>
          <w:bCs/>
          <w:sz w:val="26"/>
          <w:szCs w:val="26"/>
        </w:rPr>
        <w:t>B2:</w:t>
      </w:r>
      <w:r w:rsidRPr="00730C0D">
        <w:rPr>
          <w:rFonts w:ascii="Century Gothic" w:eastAsiaTheme="majorEastAsia" w:hAnsi="Century Gothic" w:cs="Arial"/>
          <w:b/>
          <w:bCs/>
          <w:sz w:val="26"/>
          <w:szCs w:val="26"/>
        </w:rPr>
        <w:tab/>
        <w:t>Criteria for Seeking Authority for Self-Accreditation of Courses of Study</w:t>
      </w:r>
      <w:bookmarkEnd w:id="140"/>
      <w:bookmarkEnd w:id="141"/>
      <w:bookmarkEnd w:id="142"/>
    </w:p>
    <w:p w14:paraId="495D486E" w14:textId="77777777" w:rsidR="00794E80" w:rsidRPr="00730C0D" w:rsidRDefault="00794E80" w:rsidP="00794E80">
      <w:pPr>
        <w:spacing w:before="0" w:after="0"/>
        <w:ind w:left="720" w:hanging="720"/>
        <w:rPr>
          <w:rFonts w:ascii="Century Gothic" w:eastAsiaTheme="majorEastAsia" w:hAnsi="Century Gothic" w:cs="Arial"/>
          <w:b/>
          <w:bCs/>
          <w:sz w:val="26"/>
          <w:szCs w:val="26"/>
        </w:rPr>
      </w:pPr>
    </w:p>
    <w:p w14:paraId="7DE5AD9D"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 xml:space="preserve">Providers with Authority to Self-Accredit some or all Courses of Study </w:t>
      </w:r>
    </w:p>
    <w:p w14:paraId="6F425838" w14:textId="77777777" w:rsidR="00FE78DE" w:rsidRPr="00730C0D" w:rsidRDefault="00FE78DE" w:rsidP="00794E80">
      <w:p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Registration of a higher education provider in certain categories of provider may confer </w:t>
      </w:r>
      <w:r w:rsidRPr="00730C0D">
        <w:rPr>
          <w:rFonts w:ascii="Century Gothic" w:eastAsia="Calibri" w:hAnsi="Century Gothic" w:cs="Arial"/>
          <w:sz w:val="20"/>
          <w:szCs w:val="20"/>
        </w:rPr>
        <w:br/>
        <w:t>self-accrediting authority on the provider. A higher education provider that is registered in the ‘Australian University’ provider category and meets the requirements under Section 45(1) of the TEQSA Act 2011 is authorised under the TEQSA Act 2011 to self-accredit each course of study that leads to a higher education qualification that it offers or confers. TEQSA will authorise a higher education provider that is registered in the ‘Australian University College’ provider category to self-accredit all of its courses of study. A higher education provider that is registered</w:t>
      </w:r>
      <w:r w:rsidRPr="00730C0D" w:rsidDel="00962741">
        <w:rPr>
          <w:rFonts w:ascii="Century Gothic" w:eastAsia="Calibri" w:hAnsi="Century Gothic" w:cs="Arial"/>
          <w:sz w:val="20"/>
          <w:szCs w:val="20"/>
        </w:rPr>
        <w:t xml:space="preserve"> </w:t>
      </w:r>
      <w:r w:rsidRPr="00730C0D">
        <w:rPr>
          <w:rFonts w:ascii="Century Gothic" w:eastAsia="Calibri" w:hAnsi="Century Gothic" w:cs="Arial"/>
          <w:sz w:val="20"/>
          <w:szCs w:val="20"/>
        </w:rPr>
        <w:t>in the ‘Australian University of Specialisation’ provider category self-accredits some of its courses of study and TEQSA may authorise the provider to self-accredit all of the courses of study it offers, in its one or two broad fields of education only.</w:t>
      </w:r>
    </w:p>
    <w:p w14:paraId="5F3F43AB" w14:textId="77777777" w:rsidR="00FE78DE" w:rsidRPr="00730C0D" w:rsidRDefault="00FE78DE" w:rsidP="00FE78DE">
      <w:pPr>
        <w:spacing w:before="0" w:after="0"/>
        <w:rPr>
          <w:rFonts w:ascii="Century Gothic" w:eastAsia="Calibri" w:hAnsi="Century Gothic" w:cs="Arial"/>
          <w:sz w:val="20"/>
          <w:szCs w:val="20"/>
        </w:rPr>
      </w:pPr>
    </w:p>
    <w:p w14:paraId="1913E38C"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Types of Self-Accrediting Authority that may be Sought</w:t>
      </w:r>
    </w:p>
    <w:p w14:paraId="2B0D1EF8" w14:textId="77777777" w:rsidR="00FE78DE" w:rsidRPr="00730C0D" w:rsidRDefault="00FE78DE" w:rsidP="0024520B">
      <w:pPr>
        <w:numPr>
          <w:ilvl w:val="0"/>
          <w:numId w:val="21"/>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 </w:t>
      </w:r>
      <w:r w:rsidRPr="00730C0D">
        <w:rPr>
          <w:rFonts w:ascii="Century Gothic" w:eastAsia="Calibri" w:hAnsi="Century Gothic"/>
          <w:sz w:val="20"/>
          <w:szCs w:val="20"/>
        </w:rPr>
        <w:t>higher</w:t>
      </w:r>
      <w:r w:rsidRPr="00730C0D">
        <w:rPr>
          <w:rFonts w:ascii="Century Gothic" w:eastAsia="Calibri" w:hAnsi="Century Gothic" w:cs="Arial"/>
          <w:sz w:val="20"/>
          <w:szCs w:val="20"/>
        </w:rPr>
        <w:t xml:space="preserve"> education provider that is registered in the ‘Higher Education Provider’, ‘Overseas University’ or ‘Overseas University of Specialisation’ provider category, or any other registered provider that proposes to extend the scope of its self-accrediting authority, may seek authorisation from TEQSA to self-accredit:</w:t>
      </w:r>
    </w:p>
    <w:p w14:paraId="3169D0E8" w14:textId="77777777" w:rsidR="00FE78DE" w:rsidRPr="00730C0D" w:rsidRDefault="00FE78DE" w:rsidP="00794E80">
      <w:pPr>
        <w:numPr>
          <w:ilvl w:val="1"/>
          <w:numId w:val="14"/>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one or more existing courses of study</w:t>
      </w:r>
    </w:p>
    <w:p w14:paraId="438032B1" w14:textId="77777777" w:rsidR="00FE78DE" w:rsidRPr="00730C0D" w:rsidRDefault="00FE78DE" w:rsidP="00794E80">
      <w:pPr>
        <w:numPr>
          <w:ilvl w:val="1"/>
          <w:numId w:val="14"/>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one or more existing courses of study and new course(s) of study at the same qualification level in the same narrow or broad field of education </w:t>
      </w:r>
    </w:p>
    <w:p w14:paraId="2825850C" w14:textId="77777777" w:rsidR="00FE78DE" w:rsidRPr="00730C0D" w:rsidRDefault="00FE78DE" w:rsidP="00794E80">
      <w:pPr>
        <w:numPr>
          <w:ilvl w:val="1"/>
          <w:numId w:val="14"/>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one or more existing courses of study and new course(s) of study at the same qualification level in nominated new narrow or broad field(s) of education </w:t>
      </w:r>
    </w:p>
    <w:p w14:paraId="426DE18B" w14:textId="77777777" w:rsidR="00FE78DE" w:rsidRPr="00730C0D" w:rsidRDefault="00FE78DE" w:rsidP="00794E80">
      <w:pPr>
        <w:numPr>
          <w:ilvl w:val="1"/>
          <w:numId w:val="14"/>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one or more existing courses of study and new courses of study at one or more new qualification levels in the same narrow or broad field of education </w:t>
      </w:r>
    </w:p>
    <w:p w14:paraId="0C727694" w14:textId="77777777" w:rsidR="00FE78DE" w:rsidRPr="00730C0D" w:rsidRDefault="00FE78DE" w:rsidP="00794E80">
      <w:pPr>
        <w:numPr>
          <w:ilvl w:val="1"/>
          <w:numId w:val="14"/>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one or more existing courses of study and new courses of study at one or more qualification levels in nominated new narrow or broad fields of education, or</w:t>
      </w:r>
    </w:p>
    <w:p w14:paraId="1E3BC084" w14:textId="77777777" w:rsidR="00FE78DE" w:rsidRPr="00730C0D" w:rsidRDefault="00FE78DE" w:rsidP="00794E80">
      <w:pPr>
        <w:numPr>
          <w:ilvl w:val="1"/>
          <w:numId w:val="14"/>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all higher education courses of study that it offers, or may offer, irrespective of level of qualification or field of education.</w:t>
      </w:r>
    </w:p>
    <w:p w14:paraId="75555CFE" w14:textId="77777777" w:rsidR="00FE78DE" w:rsidRPr="00730C0D" w:rsidRDefault="00FE78DE" w:rsidP="00FE78DE">
      <w:pPr>
        <w:spacing w:before="0" w:after="0"/>
        <w:ind w:left="1440"/>
        <w:jc w:val="both"/>
        <w:rPr>
          <w:rFonts w:ascii="Century Gothic" w:eastAsia="Calibri" w:hAnsi="Century Gothic" w:cs="Arial"/>
          <w:sz w:val="20"/>
          <w:szCs w:val="20"/>
        </w:rPr>
      </w:pPr>
    </w:p>
    <w:p w14:paraId="66DD82B1" w14:textId="77777777" w:rsidR="00FE78DE" w:rsidRPr="00730C0D" w:rsidRDefault="00FE78DE" w:rsidP="00FE78DE">
      <w:pPr>
        <w:spacing w:before="0" w:after="0"/>
        <w:rPr>
          <w:rFonts w:ascii="Century Gothic" w:eastAsiaTheme="majorEastAsia" w:hAnsi="Century Gothic" w:cs="Arial"/>
          <w:b/>
          <w:bCs/>
          <w:sz w:val="20"/>
          <w:szCs w:val="20"/>
        </w:rPr>
      </w:pPr>
      <w:r w:rsidRPr="00730C0D">
        <w:rPr>
          <w:rFonts w:ascii="Century Gothic" w:eastAsiaTheme="majorEastAsia" w:hAnsi="Century Gothic" w:cs="Arial"/>
          <w:b/>
          <w:bCs/>
        </w:rPr>
        <w:t xml:space="preserve">Providers Seeking Authority from TEQSA to Self-Accredit Nominated Courses of Study </w:t>
      </w:r>
    </w:p>
    <w:p w14:paraId="5AEBBB68" w14:textId="77777777" w:rsidR="00FE78DE" w:rsidRPr="00730C0D" w:rsidRDefault="00FE78DE" w:rsidP="0024520B">
      <w:pPr>
        <w:numPr>
          <w:ilvl w:val="0"/>
          <w:numId w:val="22"/>
        </w:numPr>
        <w:spacing w:before="0" w:after="0"/>
        <w:jc w:val="both"/>
        <w:rPr>
          <w:rFonts w:ascii="Century Gothic" w:eastAsia="Calibri" w:hAnsi="Century Gothic"/>
          <w:sz w:val="20"/>
          <w:szCs w:val="20"/>
        </w:rPr>
      </w:pPr>
      <w:r w:rsidRPr="00730C0D">
        <w:rPr>
          <w:rFonts w:ascii="Century Gothic" w:eastAsia="Calibri" w:hAnsi="Century Gothic"/>
          <w:sz w:val="20"/>
          <w:szCs w:val="20"/>
        </w:rPr>
        <w:t>A provider that is seeking authorisation to self-accredit a nominated course(s) of study as specified in 1a – 1e above is able to demonstrate:</w:t>
      </w:r>
    </w:p>
    <w:p w14:paraId="20816F55" w14:textId="77777777" w:rsidR="00FE78DE" w:rsidRPr="00730C0D" w:rsidRDefault="00FE78DE" w:rsidP="0024520B">
      <w:pPr>
        <w:numPr>
          <w:ilvl w:val="0"/>
          <w:numId w:val="72"/>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sustained and sustainable achievement of all of the Standards for Higher Education (Part A) that apply to the provider, including for course approval processes in particular and any delivery arrangements with other parties</w:t>
      </w:r>
    </w:p>
    <w:p w14:paraId="2098CE99" w14:textId="77777777" w:rsidR="00FE78DE" w:rsidRPr="00730C0D" w:rsidRDefault="00FE78DE" w:rsidP="0024520B">
      <w:pPr>
        <w:numPr>
          <w:ilvl w:val="0"/>
          <w:numId w:val="72"/>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there are no unresolved compliance matters with TEQSA, or conditions outstanding from the most recent registration and course accreditations by TEQSA or a recognised registration or accreditation authority, and there is no history of significant continuing compliance problems in any other assessments, audits or reviews of its higher education operations conducted by TEQSA, professional bodies or government agencies</w:t>
      </w:r>
    </w:p>
    <w:p w14:paraId="213A7855" w14:textId="77777777" w:rsidR="00FE78DE" w:rsidRPr="00730C0D" w:rsidRDefault="00FE78DE" w:rsidP="0024520B">
      <w:pPr>
        <w:numPr>
          <w:ilvl w:val="0"/>
          <w:numId w:val="72"/>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a history over at least five years of successful delivery of the course(s) of study for which self-accrediting authority is sought, which is supported by evidence of student success based on analysis of trend data including completion rates and times, attrition rates and grades awarded that are referenced against credible national or international comparators and encompass at least three cohorts of graduates from each course of study</w:t>
      </w:r>
    </w:p>
    <w:p w14:paraId="5B2729EC" w14:textId="77777777" w:rsidR="00FE78DE" w:rsidRPr="00730C0D" w:rsidRDefault="00FE78DE" w:rsidP="0024520B">
      <w:pPr>
        <w:numPr>
          <w:ilvl w:val="0"/>
          <w:numId w:val="72"/>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where a cycle of review and improvement is required by the Standards for Higher Education (Part A) in relation to courses of study and their oversight (see Table 3), the provider has, in relation to all course(s) of study proposed for self-accreditation:</w:t>
      </w:r>
    </w:p>
    <w:p w14:paraId="088022CC" w14:textId="77777777" w:rsidR="00FE78DE" w:rsidRPr="00730C0D" w:rsidRDefault="00FE78DE" w:rsidP="00794E80">
      <w:pPr>
        <w:numPr>
          <w:ilvl w:val="2"/>
          <w:numId w:val="14"/>
        </w:numPr>
        <w:spacing w:before="0" w:after="0"/>
        <w:ind w:left="1560" w:hanging="284"/>
        <w:jc w:val="both"/>
        <w:rPr>
          <w:rFonts w:ascii="Century Gothic" w:eastAsia="Calibri" w:hAnsi="Century Gothic" w:cs="Arial"/>
          <w:sz w:val="20"/>
          <w:szCs w:val="20"/>
        </w:rPr>
      </w:pPr>
      <w:r w:rsidRPr="00730C0D">
        <w:rPr>
          <w:rFonts w:ascii="Century Gothic" w:eastAsia="Calibri" w:hAnsi="Century Gothic" w:cs="Arial"/>
          <w:sz w:val="20"/>
          <w:szCs w:val="20"/>
        </w:rPr>
        <w:t xml:space="preserve">completed at least one cycle of review and improvement in relation to all relevant standards </w:t>
      </w:r>
    </w:p>
    <w:p w14:paraId="36C39A57" w14:textId="77777777" w:rsidR="00FE78DE" w:rsidRPr="00730C0D" w:rsidRDefault="00FE78DE" w:rsidP="00794E80">
      <w:pPr>
        <w:numPr>
          <w:ilvl w:val="2"/>
          <w:numId w:val="14"/>
        </w:numPr>
        <w:spacing w:before="0" w:after="0"/>
        <w:ind w:left="1560" w:hanging="284"/>
        <w:jc w:val="both"/>
        <w:rPr>
          <w:rFonts w:ascii="Century Gothic" w:eastAsia="Calibri" w:hAnsi="Century Gothic" w:cs="Arial"/>
          <w:sz w:val="20"/>
          <w:szCs w:val="20"/>
        </w:rPr>
      </w:pPr>
      <w:r w:rsidRPr="00730C0D">
        <w:rPr>
          <w:rFonts w:ascii="Century Gothic" w:eastAsia="Calibri" w:hAnsi="Century Gothic" w:cs="Arial"/>
          <w:sz w:val="20"/>
          <w:szCs w:val="20"/>
        </w:rPr>
        <w:t>demonstrated successful implementation of evidence-based improvements arising from the reviews, and</w:t>
      </w:r>
    </w:p>
    <w:p w14:paraId="0904D838" w14:textId="77777777" w:rsidR="00FE78DE" w:rsidRPr="00730C0D" w:rsidRDefault="00FE78DE" w:rsidP="00794E80">
      <w:pPr>
        <w:numPr>
          <w:ilvl w:val="2"/>
          <w:numId w:val="14"/>
        </w:numPr>
        <w:spacing w:before="0" w:after="0"/>
        <w:ind w:left="1560" w:hanging="284"/>
        <w:jc w:val="both"/>
        <w:rPr>
          <w:rFonts w:ascii="Century Gothic" w:eastAsia="Calibri" w:hAnsi="Century Gothic" w:cs="Arial"/>
          <w:sz w:val="20"/>
          <w:szCs w:val="20"/>
        </w:rPr>
      </w:pPr>
      <w:r w:rsidRPr="00730C0D">
        <w:rPr>
          <w:rFonts w:ascii="Century Gothic" w:eastAsia="Calibri" w:hAnsi="Century Gothic" w:cs="Arial"/>
          <w:sz w:val="20"/>
          <w:szCs w:val="20"/>
        </w:rPr>
        <w:t xml:space="preserve">has established these review and improvement activities as effective sustainable features of the provider’s operations across all courses of study. </w:t>
      </w:r>
    </w:p>
    <w:p w14:paraId="19E7A34E" w14:textId="77777777" w:rsidR="00FE78DE" w:rsidRPr="00730C0D" w:rsidRDefault="00FE78DE" w:rsidP="00FE78DE">
      <w:pPr>
        <w:spacing w:before="0" w:after="0"/>
        <w:rPr>
          <w:rFonts w:ascii="Century Gothic" w:eastAsia="Calibri" w:hAnsi="Century Gothic" w:cs="Arial"/>
          <w:b/>
          <w:sz w:val="20"/>
          <w:szCs w:val="20"/>
        </w:rPr>
      </w:pPr>
    </w:p>
    <w:p w14:paraId="66709B56" w14:textId="77777777" w:rsidR="00FE78DE" w:rsidRPr="00730C0D" w:rsidRDefault="00FE78DE" w:rsidP="00FE78DE">
      <w:pPr>
        <w:spacing w:before="0" w:after="0"/>
        <w:jc w:val="center"/>
        <w:rPr>
          <w:rFonts w:ascii="Century Gothic" w:hAnsi="Century Gothic"/>
          <w:b/>
          <w:sz w:val="20"/>
          <w:szCs w:val="20"/>
        </w:rPr>
      </w:pPr>
      <w:r w:rsidRPr="00730C0D">
        <w:rPr>
          <w:rFonts w:ascii="Century Gothic" w:hAnsi="Century Gothic"/>
          <w:b/>
          <w:sz w:val="20"/>
          <w:szCs w:val="20"/>
        </w:rPr>
        <w:t>Table 3 – Standards Referring to Review and Improvement Activities</w:t>
      </w:r>
    </w:p>
    <w:tbl>
      <w:tblPr>
        <w:tblStyle w:val="LightGrid-Accent1"/>
        <w:tblW w:w="9213" w:type="dxa"/>
        <w:jc w:val="center"/>
        <w:tblLayout w:type="fixed"/>
        <w:tblLook w:val="04A0" w:firstRow="1" w:lastRow="0" w:firstColumn="1" w:lastColumn="0" w:noHBand="0" w:noVBand="1"/>
      </w:tblPr>
      <w:tblGrid>
        <w:gridCol w:w="6095"/>
        <w:gridCol w:w="3118"/>
      </w:tblGrid>
      <w:tr w:rsidR="00FE78DE" w:rsidRPr="00730C0D" w14:paraId="3FD8F315" w14:textId="77777777" w:rsidTr="00FE78DE">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5B9BD5" w:themeColor="accent1"/>
              <w:bottom w:val="single" w:sz="12" w:space="0" w:color="5B9BD5" w:themeColor="accent1"/>
              <w:right w:val="single" w:sz="12" w:space="0" w:color="5B9BD5" w:themeColor="accent1"/>
            </w:tcBorders>
            <w:vAlign w:val="center"/>
          </w:tcPr>
          <w:p w14:paraId="09040E55" w14:textId="77777777" w:rsidR="00FE78DE" w:rsidRPr="00730C0D" w:rsidRDefault="00FE78DE" w:rsidP="00FE78DE">
            <w:pPr>
              <w:spacing w:before="0" w:after="0" w:line="259" w:lineRule="auto"/>
              <w:rPr>
                <w:rFonts w:ascii="Century Gothic" w:eastAsiaTheme="minorHAnsi" w:hAnsi="Century Gothic" w:cs="Arial"/>
                <w:b w:val="0"/>
                <w:bCs w:val="0"/>
                <w:sz w:val="20"/>
                <w:szCs w:val="20"/>
              </w:rPr>
            </w:pPr>
            <w:r w:rsidRPr="00730C0D">
              <w:rPr>
                <w:rFonts w:ascii="Century Gothic" w:hAnsi="Century Gothic" w:cs="Arial"/>
                <w:sz w:val="20"/>
                <w:szCs w:val="20"/>
              </w:rPr>
              <w:t>Higher Education Standards</w:t>
            </w:r>
          </w:p>
        </w:tc>
        <w:tc>
          <w:tcPr>
            <w:tcW w:w="3118" w:type="dxa"/>
            <w:tcBorders>
              <w:left w:val="single" w:sz="12" w:space="0" w:color="5B9BD5" w:themeColor="accent1"/>
              <w:bottom w:val="single" w:sz="12" w:space="0" w:color="5B9BD5" w:themeColor="accent1"/>
              <w:right w:val="single" w:sz="12" w:space="0" w:color="5B9BD5" w:themeColor="accent1"/>
            </w:tcBorders>
            <w:vAlign w:val="center"/>
          </w:tcPr>
          <w:p w14:paraId="7BA68F6B" w14:textId="77777777" w:rsidR="00FE78DE" w:rsidRPr="00730C0D" w:rsidRDefault="00FE78DE" w:rsidP="00FE78DE">
            <w:pPr>
              <w:spacing w:before="0" w:after="0" w:line="259" w:lineRule="auto"/>
              <w:contextualSpacing/>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0"/>
                <w:szCs w:val="20"/>
              </w:rPr>
            </w:pPr>
            <w:r w:rsidRPr="00730C0D">
              <w:rPr>
                <w:rFonts w:ascii="Century Gothic" w:hAnsi="Century Gothic" w:cs="Arial"/>
                <w:sz w:val="20"/>
                <w:szCs w:val="20"/>
              </w:rPr>
              <w:t>Applicable Standards</w:t>
            </w:r>
          </w:p>
        </w:tc>
      </w:tr>
      <w:tr w:rsidR="00FE78DE" w:rsidRPr="00730C0D" w14:paraId="697ABBC8" w14:textId="77777777" w:rsidTr="00FE78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8496B0" w:themeFill="text2" w:themeFillTint="99"/>
            <w:vAlign w:val="center"/>
          </w:tcPr>
          <w:p w14:paraId="00F2462C" w14:textId="77777777" w:rsidR="00FE78DE" w:rsidRPr="00730C0D" w:rsidRDefault="00FE78DE" w:rsidP="00FE78DE">
            <w:pPr>
              <w:pStyle w:val="ListParagraph"/>
              <w:numPr>
                <w:ilvl w:val="1"/>
                <w:numId w:val="6"/>
              </w:numPr>
              <w:tabs>
                <w:tab w:val="left" w:pos="1134"/>
              </w:tabs>
              <w:spacing w:before="0" w:after="0" w:line="259" w:lineRule="auto"/>
              <w:ind w:hanging="326"/>
              <w:rPr>
                <w:rFonts w:ascii="Century Gothic" w:hAnsi="Century Gothic" w:cs="Arial"/>
                <w:color w:val="FFFFFF" w:themeColor="background1"/>
                <w:sz w:val="20"/>
                <w:szCs w:val="20"/>
              </w:rPr>
            </w:pPr>
            <w:r w:rsidRPr="00730C0D">
              <w:rPr>
                <w:rFonts w:ascii="Century Gothic" w:hAnsi="Century Gothic" w:cs="Arial"/>
                <w:color w:val="FFFFFF" w:themeColor="background1"/>
                <w:sz w:val="20"/>
                <w:szCs w:val="20"/>
              </w:rPr>
              <w:t>Learning Environment</w:t>
            </w:r>
          </w:p>
        </w:tc>
      </w:tr>
      <w:tr w:rsidR="00FE78DE" w:rsidRPr="00730C0D" w14:paraId="12AE8D68" w14:textId="77777777" w:rsidTr="00FE78D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95" w:type="dxa"/>
            <w:tcBorders>
              <w:top w:val="single" w:sz="12" w:space="0" w:color="5B9BD5" w:themeColor="accent1"/>
              <w:left w:val="single" w:sz="12" w:space="0" w:color="5B9BD5" w:themeColor="accent1"/>
              <w:right w:val="single" w:sz="12" w:space="0" w:color="5B9BD5" w:themeColor="accent1"/>
            </w:tcBorders>
            <w:vAlign w:val="center"/>
          </w:tcPr>
          <w:p w14:paraId="2482D188" w14:textId="77777777" w:rsidR="00FE78DE" w:rsidRPr="00730C0D" w:rsidRDefault="00FE78DE" w:rsidP="00FE78DE">
            <w:pPr>
              <w:pStyle w:val="ListParagraph"/>
              <w:numPr>
                <w:ilvl w:val="0"/>
                <w:numId w:val="7"/>
              </w:numPr>
              <w:spacing w:before="0" w:after="0" w:line="259" w:lineRule="auto"/>
              <w:ind w:left="851" w:hanging="567"/>
              <w:rPr>
                <w:rFonts w:ascii="Century Gothic" w:hAnsi="Century Gothic" w:cs="Arial"/>
                <w:b w:val="0"/>
                <w:sz w:val="20"/>
                <w:szCs w:val="20"/>
              </w:rPr>
            </w:pPr>
            <w:r w:rsidRPr="00730C0D">
              <w:rPr>
                <w:rFonts w:ascii="Century Gothic" w:hAnsi="Century Gothic" w:cs="Arial"/>
                <w:sz w:val="20"/>
                <w:szCs w:val="20"/>
              </w:rPr>
              <w:t>Diversity and Equity</w:t>
            </w:r>
          </w:p>
        </w:tc>
        <w:tc>
          <w:tcPr>
            <w:tcW w:w="3118" w:type="dxa"/>
            <w:tcBorders>
              <w:top w:val="single" w:sz="12" w:space="0" w:color="5B9BD5" w:themeColor="accent1"/>
              <w:left w:val="single" w:sz="12" w:space="0" w:color="5B9BD5" w:themeColor="accent1"/>
              <w:right w:val="single" w:sz="12" w:space="0" w:color="5B9BD5" w:themeColor="accent1"/>
            </w:tcBorders>
            <w:vAlign w:val="center"/>
          </w:tcPr>
          <w:p w14:paraId="49AD2699" w14:textId="77777777" w:rsidR="00FE78DE" w:rsidRPr="00730C0D" w:rsidRDefault="00FE78DE" w:rsidP="00FE78DE">
            <w:pPr>
              <w:spacing w:before="0" w:after="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730C0D">
              <w:rPr>
                <w:rFonts w:ascii="Century Gothic" w:hAnsi="Century Gothic" w:cs="Arial"/>
                <w:sz w:val="20"/>
                <w:szCs w:val="20"/>
              </w:rPr>
              <w:t>2.2.3</w:t>
            </w:r>
          </w:p>
        </w:tc>
      </w:tr>
      <w:tr w:rsidR="00FE78DE" w:rsidRPr="00730C0D" w14:paraId="655E585E" w14:textId="77777777" w:rsidTr="00FE78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8496B0" w:themeFill="text2" w:themeFillTint="99"/>
            <w:vAlign w:val="center"/>
          </w:tcPr>
          <w:p w14:paraId="4D738FBE" w14:textId="77777777" w:rsidR="00FE78DE" w:rsidRPr="00730C0D" w:rsidRDefault="00FE78DE" w:rsidP="00FE78DE">
            <w:pPr>
              <w:pStyle w:val="ListParagraph"/>
              <w:numPr>
                <w:ilvl w:val="1"/>
                <w:numId w:val="9"/>
              </w:numPr>
              <w:tabs>
                <w:tab w:val="left" w:pos="1134"/>
              </w:tabs>
              <w:spacing w:before="0" w:after="0" w:line="259" w:lineRule="auto"/>
              <w:ind w:hanging="326"/>
              <w:rPr>
                <w:rFonts w:ascii="Century Gothic" w:hAnsi="Century Gothic" w:cs="Arial"/>
                <w:color w:val="FFFFFF" w:themeColor="background1"/>
                <w:sz w:val="20"/>
                <w:szCs w:val="20"/>
              </w:rPr>
            </w:pPr>
            <w:r w:rsidRPr="00730C0D">
              <w:rPr>
                <w:rFonts w:ascii="Century Gothic" w:hAnsi="Century Gothic" w:cs="Arial"/>
                <w:color w:val="FFFFFF" w:themeColor="background1"/>
                <w:sz w:val="20"/>
                <w:szCs w:val="20"/>
              </w:rPr>
              <w:t>Institutional Quality Assurance</w:t>
            </w:r>
          </w:p>
        </w:tc>
      </w:tr>
      <w:tr w:rsidR="00FE78DE" w:rsidRPr="00730C0D" w14:paraId="1761A301" w14:textId="77777777" w:rsidTr="00FE78D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5B9BD5" w:themeColor="accent1"/>
              <w:bottom w:val="single" w:sz="12" w:space="0" w:color="5B9BD5" w:themeColor="accent1"/>
              <w:right w:val="single" w:sz="12" w:space="0" w:color="5B9BD5" w:themeColor="accent1"/>
            </w:tcBorders>
            <w:vAlign w:val="center"/>
          </w:tcPr>
          <w:p w14:paraId="6F710103" w14:textId="77777777" w:rsidR="00FE78DE" w:rsidRPr="00730C0D" w:rsidRDefault="00FE78DE" w:rsidP="00FE78DE">
            <w:pPr>
              <w:pStyle w:val="ListParagraph"/>
              <w:numPr>
                <w:ilvl w:val="0"/>
                <w:numId w:val="10"/>
              </w:numPr>
              <w:spacing w:before="0" w:after="0" w:line="259" w:lineRule="auto"/>
              <w:ind w:left="885" w:hanging="601"/>
              <w:rPr>
                <w:rFonts w:ascii="Century Gothic" w:hAnsi="Century Gothic" w:cs="Arial"/>
                <w:b w:val="0"/>
                <w:sz w:val="20"/>
                <w:szCs w:val="20"/>
              </w:rPr>
            </w:pPr>
            <w:r w:rsidRPr="00730C0D">
              <w:rPr>
                <w:rFonts w:ascii="Century Gothic" w:hAnsi="Century Gothic" w:cs="Arial"/>
                <w:sz w:val="20"/>
                <w:szCs w:val="20"/>
              </w:rPr>
              <w:t>Monitoring, Review and Improvement</w:t>
            </w:r>
          </w:p>
        </w:tc>
        <w:tc>
          <w:tcPr>
            <w:tcW w:w="3118" w:type="dxa"/>
            <w:tcBorders>
              <w:left w:val="single" w:sz="12" w:space="0" w:color="5B9BD5" w:themeColor="accent1"/>
              <w:bottom w:val="single" w:sz="12" w:space="0" w:color="5B9BD5" w:themeColor="accent1"/>
              <w:right w:val="single" w:sz="12" w:space="0" w:color="5B9BD5" w:themeColor="accent1"/>
            </w:tcBorders>
            <w:vAlign w:val="center"/>
          </w:tcPr>
          <w:p w14:paraId="5D40BB63" w14:textId="77777777" w:rsidR="00FE78DE" w:rsidRPr="00730C0D" w:rsidRDefault="00FE78DE" w:rsidP="00FE78DE">
            <w:pPr>
              <w:pStyle w:val="ListParagraph"/>
              <w:spacing w:before="0" w:after="0" w:line="259" w:lineRule="auto"/>
              <w:ind w:left="885"/>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730C0D">
              <w:rPr>
                <w:rFonts w:ascii="Century Gothic" w:hAnsi="Century Gothic" w:cs="Arial"/>
                <w:sz w:val="20"/>
                <w:szCs w:val="20"/>
              </w:rPr>
              <w:t>Entire section</w:t>
            </w:r>
          </w:p>
        </w:tc>
      </w:tr>
      <w:tr w:rsidR="00FE78DE" w:rsidRPr="00730C0D" w14:paraId="64D17C7E" w14:textId="77777777" w:rsidTr="00FE78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8496B0" w:themeFill="text2" w:themeFillTint="99"/>
            <w:vAlign w:val="center"/>
          </w:tcPr>
          <w:p w14:paraId="17B70F45" w14:textId="77777777" w:rsidR="00FE78DE" w:rsidRPr="00730C0D" w:rsidRDefault="00FE78DE" w:rsidP="00FE78DE">
            <w:pPr>
              <w:pStyle w:val="ListParagraph"/>
              <w:numPr>
                <w:ilvl w:val="1"/>
                <w:numId w:val="8"/>
              </w:numPr>
              <w:tabs>
                <w:tab w:val="left" w:pos="1134"/>
              </w:tabs>
              <w:spacing w:before="0" w:after="0" w:line="259" w:lineRule="auto"/>
              <w:ind w:left="368" w:hanging="308"/>
              <w:rPr>
                <w:rFonts w:ascii="Century Gothic" w:hAnsi="Century Gothic" w:cs="Arial"/>
                <w:color w:val="FFFFFF" w:themeColor="background1"/>
                <w:sz w:val="20"/>
                <w:szCs w:val="20"/>
              </w:rPr>
            </w:pPr>
            <w:r w:rsidRPr="00730C0D">
              <w:rPr>
                <w:rFonts w:ascii="Century Gothic" w:hAnsi="Century Gothic" w:cs="Arial"/>
                <w:color w:val="FFFFFF" w:themeColor="background1"/>
                <w:sz w:val="20"/>
                <w:szCs w:val="20"/>
              </w:rPr>
              <w:t>Governance and Accountability</w:t>
            </w:r>
          </w:p>
        </w:tc>
      </w:tr>
      <w:tr w:rsidR="00FE78DE" w:rsidRPr="00730C0D" w14:paraId="47BDE47A" w14:textId="77777777" w:rsidTr="00FE78D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5B9BD5" w:themeColor="accent1"/>
              <w:bottom w:val="single" w:sz="12" w:space="0" w:color="5B9BD5" w:themeColor="accent1"/>
              <w:right w:val="single" w:sz="12" w:space="0" w:color="5B9BD5" w:themeColor="accent1"/>
            </w:tcBorders>
            <w:vAlign w:val="center"/>
          </w:tcPr>
          <w:p w14:paraId="53A1D0FA" w14:textId="77777777" w:rsidR="00FE78DE" w:rsidRPr="00730C0D" w:rsidRDefault="00FE78DE" w:rsidP="00FE78DE">
            <w:pPr>
              <w:pStyle w:val="ListParagraph"/>
              <w:numPr>
                <w:ilvl w:val="0"/>
                <w:numId w:val="11"/>
              </w:numPr>
              <w:spacing w:before="0" w:after="0" w:line="259" w:lineRule="auto"/>
              <w:ind w:left="885" w:hanging="567"/>
              <w:rPr>
                <w:rFonts w:ascii="Century Gothic" w:hAnsi="Century Gothic" w:cs="Arial"/>
                <w:sz w:val="20"/>
                <w:szCs w:val="20"/>
              </w:rPr>
            </w:pPr>
            <w:r w:rsidRPr="00730C0D">
              <w:rPr>
                <w:rFonts w:ascii="Century Gothic" w:hAnsi="Century Gothic" w:cs="Arial"/>
                <w:sz w:val="20"/>
                <w:szCs w:val="20"/>
              </w:rPr>
              <w:t>Corporate Governance</w:t>
            </w:r>
          </w:p>
        </w:tc>
        <w:tc>
          <w:tcPr>
            <w:tcW w:w="3118" w:type="dxa"/>
            <w:tcBorders>
              <w:left w:val="single" w:sz="12" w:space="0" w:color="5B9BD5" w:themeColor="accent1"/>
              <w:bottom w:val="single" w:sz="12" w:space="0" w:color="5B9BD5" w:themeColor="accent1"/>
              <w:right w:val="single" w:sz="12" w:space="0" w:color="5B9BD5" w:themeColor="accent1"/>
            </w:tcBorders>
            <w:vAlign w:val="center"/>
          </w:tcPr>
          <w:p w14:paraId="01DAF38C" w14:textId="77777777" w:rsidR="00FE78DE" w:rsidRPr="00730C0D" w:rsidRDefault="00FE78DE" w:rsidP="00FE78DE">
            <w:pPr>
              <w:spacing w:before="0" w:after="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730C0D">
              <w:rPr>
                <w:rFonts w:ascii="Century Gothic" w:hAnsi="Century Gothic" w:cs="Arial"/>
                <w:sz w:val="20"/>
                <w:szCs w:val="20"/>
              </w:rPr>
              <w:t>6.1.2d</w:t>
            </w:r>
          </w:p>
        </w:tc>
      </w:tr>
      <w:tr w:rsidR="00FE78DE" w:rsidRPr="00730C0D" w14:paraId="7FD030F3" w14:textId="77777777" w:rsidTr="00FE78DE">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5B9BD5" w:themeColor="accent1"/>
              <w:bottom w:val="single" w:sz="12" w:space="0" w:color="5B9BD5" w:themeColor="accent1"/>
              <w:right w:val="single" w:sz="12" w:space="0" w:color="5B9BD5" w:themeColor="accent1"/>
            </w:tcBorders>
            <w:vAlign w:val="center"/>
          </w:tcPr>
          <w:p w14:paraId="5AF2F303" w14:textId="77777777" w:rsidR="00FE78DE" w:rsidRPr="00730C0D" w:rsidRDefault="00FE78DE" w:rsidP="00FE78DE">
            <w:pPr>
              <w:pStyle w:val="ListParagraph"/>
              <w:numPr>
                <w:ilvl w:val="0"/>
                <w:numId w:val="11"/>
              </w:numPr>
              <w:spacing w:before="0" w:after="0" w:line="259" w:lineRule="auto"/>
              <w:ind w:left="885" w:hanging="567"/>
              <w:rPr>
                <w:rFonts w:ascii="Century Gothic" w:hAnsi="Century Gothic" w:cs="Arial"/>
                <w:sz w:val="20"/>
                <w:szCs w:val="20"/>
              </w:rPr>
            </w:pPr>
            <w:r w:rsidRPr="00730C0D">
              <w:rPr>
                <w:rFonts w:ascii="Century Gothic" w:hAnsi="Century Gothic" w:cs="Arial"/>
                <w:sz w:val="20"/>
                <w:szCs w:val="20"/>
              </w:rPr>
              <w:t>Corporate Monitoring and Accountability</w:t>
            </w:r>
          </w:p>
        </w:tc>
        <w:tc>
          <w:tcPr>
            <w:tcW w:w="3118" w:type="dxa"/>
            <w:tcBorders>
              <w:left w:val="single" w:sz="12" w:space="0" w:color="5B9BD5" w:themeColor="accent1"/>
              <w:bottom w:val="single" w:sz="12" w:space="0" w:color="5B9BD5" w:themeColor="accent1"/>
              <w:right w:val="single" w:sz="12" w:space="0" w:color="5B9BD5" w:themeColor="accent1"/>
            </w:tcBorders>
            <w:vAlign w:val="center"/>
          </w:tcPr>
          <w:p w14:paraId="3561B101" w14:textId="77777777" w:rsidR="00FE78DE" w:rsidRPr="00730C0D" w:rsidRDefault="00FE78DE" w:rsidP="00FE78DE">
            <w:pPr>
              <w:spacing w:before="0" w:after="0" w:line="259" w:lineRule="auto"/>
              <w:contextualSpacing/>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0"/>
                <w:szCs w:val="20"/>
              </w:rPr>
            </w:pPr>
            <w:r w:rsidRPr="00730C0D">
              <w:rPr>
                <w:rFonts w:ascii="Century Gothic" w:hAnsi="Century Gothic" w:cs="Arial"/>
                <w:sz w:val="20"/>
                <w:szCs w:val="20"/>
              </w:rPr>
              <w:t>6.2.1f</w:t>
            </w:r>
          </w:p>
        </w:tc>
      </w:tr>
      <w:tr w:rsidR="00FE78DE" w:rsidRPr="00730C0D" w14:paraId="480C211E" w14:textId="77777777" w:rsidTr="00FE78DE">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5B9BD5" w:themeColor="accent1"/>
              <w:bottom w:val="single" w:sz="12" w:space="0" w:color="5B9BD5" w:themeColor="accent1"/>
              <w:right w:val="single" w:sz="12" w:space="0" w:color="5B9BD5" w:themeColor="accent1"/>
            </w:tcBorders>
            <w:vAlign w:val="center"/>
          </w:tcPr>
          <w:p w14:paraId="70F2E651" w14:textId="77777777" w:rsidR="00FE78DE" w:rsidRPr="00730C0D" w:rsidRDefault="00FE78DE" w:rsidP="00FE78DE">
            <w:pPr>
              <w:pStyle w:val="ListParagraph"/>
              <w:numPr>
                <w:ilvl w:val="0"/>
                <w:numId w:val="12"/>
              </w:numPr>
              <w:spacing w:before="0" w:after="0" w:line="259" w:lineRule="auto"/>
              <w:ind w:left="884" w:hanging="567"/>
              <w:rPr>
                <w:rFonts w:ascii="Century Gothic" w:hAnsi="Century Gothic" w:cs="Arial"/>
                <w:b w:val="0"/>
                <w:sz w:val="20"/>
                <w:szCs w:val="20"/>
              </w:rPr>
            </w:pPr>
            <w:r w:rsidRPr="00730C0D">
              <w:rPr>
                <w:rFonts w:ascii="Century Gothic" w:hAnsi="Century Gothic" w:cs="Arial"/>
                <w:sz w:val="20"/>
                <w:szCs w:val="20"/>
              </w:rPr>
              <w:t xml:space="preserve">Academic Governance </w:t>
            </w:r>
          </w:p>
        </w:tc>
        <w:tc>
          <w:tcPr>
            <w:tcW w:w="3118" w:type="dxa"/>
            <w:tcBorders>
              <w:left w:val="single" w:sz="12" w:space="0" w:color="5B9BD5" w:themeColor="accent1"/>
              <w:bottom w:val="single" w:sz="12" w:space="0" w:color="5B9BD5" w:themeColor="accent1"/>
              <w:right w:val="single" w:sz="12" w:space="0" w:color="5B9BD5" w:themeColor="accent1"/>
            </w:tcBorders>
            <w:vAlign w:val="center"/>
          </w:tcPr>
          <w:p w14:paraId="317A9E00" w14:textId="77777777" w:rsidR="00FE78DE" w:rsidRPr="00730C0D" w:rsidRDefault="00FE78DE" w:rsidP="00FE78DE">
            <w:pPr>
              <w:spacing w:before="0" w:after="0" w:line="259" w:lineRule="auto"/>
              <w:contextualSpacing/>
              <w:jc w:val="center"/>
              <w:cnfStyle w:val="000000010000" w:firstRow="0" w:lastRow="0" w:firstColumn="0" w:lastColumn="0" w:oddVBand="0" w:evenVBand="0" w:oddHBand="0" w:evenHBand="1" w:firstRowFirstColumn="0" w:firstRowLastColumn="0" w:lastRowFirstColumn="0" w:lastRowLastColumn="0"/>
              <w:rPr>
                <w:rFonts w:ascii="Century Gothic" w:hAnsi="Century Gothic" w:cs="Arial"/>
                <w:sz w:val="20"/>
                <w:szCs w:val="20"/>
              </w:rPr>
            </w:pPr>
            <w:r w:rsidRPr="00730C0D">
              <w:rPr>
                <w:rFonts w:ascii="Century Gothic" w:hAnsi="Century Gothic" w:cs="Arial"/>
                <w:sz w:val="20"/>
                <w:szCs w:val="20"/>
              </w:rPr>
              <w:t>6.3.2</w:t>
            </w:r>
          </w:p>
        </w:tc>
      </w:tr>
    </w:tbl>
    <w:p w14:paraId="145F61CE" w14:textId="77777777" w:rsidR="00FE78DE" w:rsidRPr="00730C0D" w:rsidRDefault="00FE78DE" w:rsidP="00FE78DE">
      <w:pPr>
        <w:spacing w:before="0" w:after="0"/>
        <w:rPr>
          <w:rFonts w:ascii="Century Gothic" w:eastAsia="Calibri" w:hAnsi="Century Gothic" w:cs="Arial"/>
          <w:b/>
          <w:sz w:val="20"/>
          <w:szCs w:val="20"/>
        </w:rPr>
      </w:pPr>
    </w:p>
    <w:p w14:paraId="2A37D083" w14:textId="77777777" w:rsidR="00FE78DE" w:rsidRPr="00730C0D" w:rsidRDefault="00FE78DE" w:rsidP="00FE78DE">
      <w:pPr>
        <w:spacing w:before="0" w:after="0"/>
        <w:rPr>
          <w:rFonts w:ascii="Century Gothic" w:eastAsiaTheme="majorEastAsia" w:hAnsi="Century Gothic" w:cs="Arial"/>
          <w:b/>
          <w:bCs/>
        </w:rPr>
      </w:pPr>
      <w:r w:rsidRPr="00730C0D">
        <w:rPr>
          <w:rFonts w:ascii="Century Gothic" w:eastAsiaTheme="majorEastAsia" w:hAnsi="Century Gothic" w:cs="Arial"/>
          <w:b/>
          <w:bCs/>
        </w:rPr>
        <w:t xml:space="preserve">Providers Seeking Authority from TEQSA to Self-Accredit All Courses of Study </w:t>
      </w:r>
    </w:p>
    <w:p w14:paraId="3A46FFAA" w14:textId="77777777" w:rsidR="00FE78DE" w:rsidRPr="00730C0D" w:rsidRDefault="00FE78DE" w:rsidP="0024520B">
      <w:pPr>
        <w:numPr>
          <w:ilvl w:val="0"/>
          <w:numId w:val="23"/>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Where a provider is seeking self-accrediting authority under Criterion 1f for all courses of study that it </w:t>
      </w:r>
      <w:r w:rsidRPr="00730C0D">
        <w:rPr>
          <w:rFonts w:ascii="Century Gothic" w:eastAsia="Calibri" w:hAnsi="Century Gothic"/>
          <w:sz w:val="20"/>
          <w:szCs w:val="20"/>
        </w:rPr>
        <w:t>offers</w:t>
      </w:r>
      <w:r w:rsidRPr="00730C0D">
        <w:rPr>
          <w:rFonts w:ascii="Century Gothic" w:eastAsia="Calibri" w:hAnsi="Century Gothic" w:cs="Arial"/>
          <w:sz w:val="20"/>
          <w:szCs w:val="20"/>
        </w:rPr>
        <w:t>, or may offer, in addition to meeting Criteria 2a – 2d, the provider is able to demonstrate the necessary capacity and capability to provide new courses leading to any level of higher education qualification in any field of education, including:</w:t>
      </w:r>
    </w:p>
    <w:p w14:paraId="50CB00F0" w14:textId="77777777" w:rsidR="00FE78DE" w:rsidRPr="00730C0D" w:rsidRDefault="00FE78DE" w:rsidP="0024520B">
      <w:pPr>
        <w:numPr>
          <w:ilvl w:val="0"/>
          <w:numId w:val="16"/>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processes for the design, delivery, accreditation, monitoring, quality assurance, review and improvement of existing courses of study that are transferrable to any new courses of study and any new level of qualification offered</w:t>
      </w:r>
    </w:p>
    <w:p w14:paraId="16EFCB69" w14:textId="77777777" w:rsidR="00FE78DE" w:rsidRPr="00730C0D" w:rsidRDefault="00FE78DE" w:rsidP="0024520B">
      <w:pPr>
        <w:numPr>
          <w:ilvl w:val="0"/>
          <w:numId w:val="16"/>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capability in planning and establishment of new courses of study in new broad fields of education</w:t>
      </w:r>
    </w:p>
    <w:p w14:paraId="085B34EB" w14:textId="77777777" w:rsidR="00FE78DE" w:rsidRPr="00730C0D" w:rsidRDefault="00FE78DE" w:rsidP="0024520B">
      <w:pPr>
        <w:numPr>
          <w:ilvl w:val="0"/>
          <w:numId w:val="16"/>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capacity for competent academic governance, oversight and scrutiny of the accreditation of new courses in new broad fields of education</w:t>
      </w:r>
    </w:p>
    <w:p w14:paraId="2E09D092" w14:textId="77777777" w:rsidR="00FE78DE" w:rsidRPr="00730C0D" w:rsidRDefault="00FE78DE" w:rsidP="0024520B">
      <w:pPr>
        <w:numPr>
          <w:ilvl w:val="0"/>
          <w:numId w:val="16"/>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sufficient breadth and depth of academic leadership, scholarship and expertise in relevant disciplines to guide entry into and sustain new levels and broad fields of higher education, and</w:t>
      </w:r>
    </w:p>
    <w:p w14:paraId="49934987" w14:textId="77777777" w:rsidR="00FE78DE" w:rsidRPr="00730C0D" w:rsidRDefault="00FE78DE" w:rsidP="0024520B">
      <w:pPr>
        <w:numPr>
          <w:ilvl w:val="0"/>
          <w:numId w:val="16"/>
        </w:numPr>
        <w:spacing w:before="0" w:after="0"/>
        <w:ind w:left="1134" w:hanging="425"/>
        <w:jc w:val="both"/>
        <w:rPr>
          <w:rFonts w:ascii="Century Gothic" w:eastAsia="Calibri" w:hAnsi="Century Gothic" w:cs="Arial"/>
          <w:sz w:val="20"/>
          <w:szCs w:val="20"/>
        </w:rPr>
      </w:pPr>
      <w:r w:rsidRPr="00730C0D">
        <w:rPr>
          <w:rFonts w:ascii="Century Gothic" w:eastAsia="Calibri" w:hAnsi="Century Gothic" w:cs="Arial"/>
          <w:sz w:val="20"/>
          <w:szCs w:val="20"/>
        </w:rPr>
        <w:t>where professional accreditation is applicable to otherwise self-accredited courses, professional accreditation can reasonably be expected to be obtained and maintained.</w:t>
      </w:r>
    </w:p>
    <w:p w14:paraId="3278ADBD" w14:textId="77777777" w:rsidR="00FE78DE" w:rsidRPr="00730C0D" w:rsidRDefault="00FE78DE" w:rsidP="00FE78DE">
      <w:pPr>
        <w:spacing w:before="0" w:after="0"/>
        <w:rPr>
          <w:rFonts w:ascii="Century Gothic" w:hAnsi="Century Gothic"/>
          <w:iCs/>
          <w:sz w:val="20"/>
          <w:szCs w:val="20"/>
        </w:rPr>
      </w:pPr>
      <w:r w:rsidRPr="00730C0D">
        <w:rPr>
          <w:rFonts w:ascii="Century Gothic" w:hAnsi="Century Gothic"/>
          <w:iCs/>
          <w:sz w:val="20"/>
          <w:szCs w:val="20"/>
        </w:rPr>
        <w:br w:type="page"/>
      </w:r>
    </w:p>
    <w:p w14:paraId="5AAE0280" w14:textId="77777777" w:rsidR="00FE78DE" w:rsidRPr="00730C0D" w:rsidRDefault="00FE78DE" w:rsidP="00FE78DE">
      <w:pPr>
        <w:pStyle w:val="Heading1"/>
        <w:rPr>
          <w:b/>
        </w:rPr>
      </w:pPr>
      <w:bookmarkStart w:id="143" w:name="_Appendix_D."/>
      <w:bookmarkStart w:id="144" w:name="_Toc18592369"/>
      <w:bookmarkStart w:id="145" w:name="_Toc12615372"/>
      <w:bookmarkEnd w:id="143"/>
      <w:r w:rsidRPr="00730C0D">
        <w:rPr>
          <w:b/>
        </w:rPr>
        <w:t>Appendix D.</w:t>
      </w:r>
      <w:bookmarkEnd w:id="144"/>
      <w:r w:rsidRPr="00730C0D">
        <w:rPr>
          <w:b/>
        </w:rPr>
        <w:t xml:space="preserve"> </w:t>
      </w:r>
    </w:p>
    <w:p w14:paraId="60A2D658" w14:textId="77777777" w:rsidR="00FE78DE" w:rsidRPr="00730C0D" w:rsidRDefault="00FE78DE" w:rsidP="00FE78DE">
      <w:pPr>
        <w:pStyle w:val="Heading1"/>
      </w:pPr>
      <w:bookmarkStart w:id="146" w:name="_Toc16242151"/>
      <w:bookmarkStart w:id="147" w:name="_Toc16609474"/>
      <w:bookmarkStart w:id="148" w:name="_Toc18495607"/>
      <w:bookmarkStart w:id="149" w:name="_Toc18592370"/>
      <w:r w:rsidRPr="00730C0D">
        <w:t>Recommended Categorisation and Criteria for Higher Education Providers</w:t>
      </w:r>
      <w:bookmarkEnd w:id="145"/>
      <w:bookmarkEnd w:id="146"/>
      <w:bookmarkEnd w:id="147"/>
      <w:bookmarkEnd w:id="148"/>
      <w:bookmarkEnd w:id="149"/>
    </w:p>
    <w:p w14:paraId="6205D2BF" w14:textId="77777777" w:rsidR="00FE78DE" w:rsidRPr="00730C0D" w:rsidRDefault="00FE78DE" w:rsidP="00FE78DE">
      <w:pPr>
        <w:rPr>
          <w:rFonts w:ascii="Century Gothic" w:hAnsi="Century Gothic"/>
        </w:rPr>
      </w:pPr>
      <w:r w:rsidRPr="00730C0D">
        <w:rPr>
          <w:rFonts w:ascii="Century Gothic" w:hAnsi="Century Gothic"/>
          <w:b/>
          <w:noProof/>
          <w:sz w:val="52"/>
          <w:szCs w:val="52"/>
          <w:lang w:eastAsia="en-AU"/>
        </w:rPr>
        <mc:AlternateContent>
          <mc:Choice Requires="wps">
            <w:drawing>
              <wp:anchor distT="0" distB="0" distL="114300" distR="114300" simplePos="0" relativeHeight="251710464" behindDoc="0" locked="0" layoutInCell="1" allowOverlap="1" wp14:anchorId="7478D405" wp14:editId="5A6ACAD6">
                <wp:simplePos x="0" y="0"/>
                <wp:positionH relativeFrom="column">
                  <wp:posOffset>-1276350</wp:posOffset>
                </wp:positionH>
                <wp:positionV relativeFrom="paragraph">
                  <wp:posOffset>94615</wp:posOffset>
                </wp:positionV>
                <wp:extent cx="7143750" cy="0"/>
                <wp:effectExtent l="0" t="0" r="19050" b="19050"/>
                <wp:wrapNone/>
                <wp:docPr id="45" name="Straight Connector 45"/>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D9E5E" id="Straight Connector 45"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7.45pt" to="462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" strokecolor="black [3213]" strokeweight=".5pt">
                <v:stroke joinstyle="miter"/>
              </v:line>
            </w:pict>
          </mc:Fallback>
        </mc:AlternateContent>
      </w:r>
    </w:p>
    <w:p w14:paraId="1472CEFE" w14:textId="77777777" w:rsidR="00FE78DE" w:rsidRPr="00C93260" w:rsidRDefault="00FE78DE" w:rsidP="00FE78DE">
      <w:pPr>
        <w:spacing w:before="0" w:after="0"/>
        <w:contextualSpacing/>
        <w:jc w:val="both"/>
        <w:rPr>
          <w:rFonts w:ascii="Century Gothic" w:eastAsiaTheme="majorEastAsia" w:hAnsi="Century Gothic" w:cs="Arial"/>
          <w:b/>
          <w:bCs/>
          <w:sz w:val="28"/>
          <w:szCs w:val="28"/>
        </w:rPr>
      </w:pPr>
      <w:r w:rsidRPr="00C93260">
        <w:rPr>
          <w:rFonts w:ascii="Century Gothic" w:eastAsiaTheme="majorEastAsia" w:hAnsi="Century Gothic" w:cs="Arial"/>
          <w:b/>
          <w:bCs/>
          <w:sz w:val="28"/>
          <w:szCs w:val="28"/>
        </w:rPr>
        <w:t xml:space="preserve">PART B: Higher Education Provider Category Standards </w:t>
      </w:r>
    </w:p>
    <w:p w14:paraId="137BA571" w14:textId="77777777" w:rsidR="00FE78DE" w:rsidRPr="00730C0D" w:rsidRDefault="00FE78DE" w:rsidP="00FE78DE">
      <w:pPr>
        <w:spacing w:before="0" w:after="0"/>
        <w:contextualSpacing/>
        <w:jc w:val="both"/>
        <w:rPr>
          <w:rFonts w:ascii="Century Gothic" w:eastAsiaTheme="majorEastAsia" w:hAnsi="Century Gothic" w:cs="Arial"/>
          <w:b/>
          <w:bCs/>
          <w:sz w:val="24"/>
          <w:szCs w:val="24"/>
        </w:rPr>
      </w:pPr>
    </w:p>
    <w:p w14:paraId="09869840" w14:textId="77777777" w:rsidR="00FE78DE" w:rsidRPr="00730C0D" w:rsidRDefault="00FE78DE" w:rsidP="00FE78DE">
      <w:pPr>
        <w:spacing w:before="0" w:after="0"/>
        <w:contextualSpacing/>
        <w:jc w:val="both"/>
        <w:rPr>
          <w:rFonts w:ascii="Century Gothic" w:eastAsiaTheme="majorEastAsia" w:hAnsi="Century Gothic" w:cs="Arial"/>
          <w:b/>
          <w:bCs/>
          <w:sz w:val="24"/>
          <w:szCs w:val="24"/>
        </w:rPr>
      </w:pPr>
      <w:r w:rsidRPr="00730C0D">
        <w:rPr>
          <w:rFonts w:ascii="Century Gothic" w:eastAsiaTheme="majorEastAsia" w:hAnsi="Century Gothic" w:cs="Arial"/>
          <w:b/>
          <w:bCs/>
          <w:sz w:val="24"/>
          <w:szCs w:val="24"/>
        </w:rPr>
        <w:t xml:space="preserve">B1: Criteria for Higher Education Provider Categories </w:t>
      </w:r>
    </w:p>
    <w:p w14:paraId="0B8B8B92" w14:textId="77777777" w:rsidR="00FE78DE" w:rsidRPr="00730C0D" w:rsidRDefault="00FE78DE" w:rsidP="00794E80">
      <w:pPr>
        <w:spacing w:before="0" w:after="0"/>
        <w:contextualSpacing/>
        <w:jc w:val="both"/>
        <w:rPr>
          <w:rFonts w:ascii="Century Gothic" w:hAnsi="Century Gothic"/>
          <w:sz w:val="20"/>
          <w:szCs w:val="20"/>
        </w:rPr>
      </w:pPr>
      <w:r w:rsidRPr="00730C0D">
        <w:rPr>
          <w:rFonts w:ascii="Century Gothic" w:hAnsi="Century Gothic"/>
          <w:sz w:val="20"/>
          <w:szCs w:val="20"/>
        </w:rPr>
        <w:t xml:space="preserve">All providers of higher education must </w:t>
      </w:r>
      <w:r>
        <w:rPr>
          <w:rFonts w:ascii="Century Gothic" w:hAnsi="Century Gothic"/>
          <w:sz w:val="20"/>
          <w:szCs w:val="20"/>
        </w:rPr>
        <w:t>gain registration from</w:t>
      </w:r>
      <w:r w:rsidRPr="00730C0D">
        <w:rPr>
          <w:rFonts w:ascii="Century Gothic" w:hAnsi="Century Gothic"/>
          <w:sz w:val="20"/>
          <w:szCs w:val="20"/>
        </w:rPr>
        <w:t xml:space="preserve"> TEQSA through meeting the requirements of Part A of the </w:t>
      </w:r>
      <w:r w:rsidRPr="00730C0D">
        <w:rPr>
          <w:rFonts w:ascii="Century Gothic" w:hAnsi="Century Gothic"/>
          <w:i/>
          <w:sz w:val="20"/>
          <w:szCs w:val="20"/>
        </w:rPr>
        <w:t>Higher Education Standards Framework</w:t>
      </w:r>
      <w:r w:rsidRPr="00730C0D">
        <w:rPr>
          <w:rFonts w:ascii="Century Gothic" w:hAnsi="Century Gothic"/>
          <w:sz w:val="20"/>
          <w:szCs w:val="20"/>
        </w:rPr>
        <w:t xml:space="preserve"> </w:t>
      </w:r>
      <w:r>
        <w:rPr>
          <w:rFonts w:ascii="Century Gothic" w:hAnsi="Century Gothic"/>
          <w:sz w:val="20"/>
          <w:szCs w:val="20"/>
        </w:rPr>
        <w:t xml:space="preserve">to </w:t>
      </w:r>
      <w:r w:rsidRPr="00730C0D">
        <w:rPr>
          <w:rFonts w:ascii="Century Gothic" w:hAnsi="Century Gothic"/>
          <w:sz w:val="20"/>
          <w:szCs w:val="20"/>
        </w:rPr>
        <w:t xml:space="preserve">become ‘higher education providers’. Higher education providers seek approval within a particular provider category under subsection 18(1) of the </w:t>
      </w:r>
      <w:r w:rsidRPr="00730C0D">
        <w:rPr>
          <w:rFonts w:ascii="Century Gothic" w:hAnsi="Century Gothic"/>
          <w:i/>
          <w:sz w:val="20"/>
          <w:szCs w:val="20"/>
        </w:rPr>
        <w:t>TEQSA Act 2011</w:t>
      </w:r>
      <w:r w:rsidRPr="00730C0D">
        <w:rPr>
          <w:rFonts w:ascii="Century Gothic" w:hAnsi="Century Gothic"/>
          <w:sz w:val="20"/>
          <w:szCs w:val="20"/>
        </w:rPr>
        <w:t xml:space="preserve">. There are four </w:t>
      </w:r>
      <w:r>
        <w:rPr>
          <w:rFonts w:ascii="Century Gothic" w:hAnsi="Century Gothic"/>
          <w:sz w:val="20"/>
          <w:szCs w:val="20"/>
        </w:rPr>
        <w:t xml:space="preserve">provider </w:t>
      </w:r>
      <w:r w:rsidRPr="00730C0D">
        <w:rPr>
          <w:rFonts w:ascii="Century Gothic" w:hAnsi="Century Gothic"/>
          <w:sz w:val="20"/>
          <w:szCs w:val="20"/>
        </w:rPr>
        <w:t>categories:</w:t>
      </w:r>
    </w:p>
    <w:p w14:paraId="03761BFC" w14:textId="72E46386" w:rsidR="00FE78DE" w:rsidRPr="00730C0D" w:rsidRDefault="00C776B4" w:rsidP="00FE78DE">
      <w:pPr>
        <w:numPr>
          <w:ilvl w:val="0"/>
          <w:numId w:val="5"/>
        </w:numPr>
        <w:spacing w:before="0" w:after="0"/>
        <w:ind w:left="568" w:hanging="284"/>
        <w:contextualSpacing/>
        <w:jc w:val="both"/>
        <w:rPr>
          <w:rFonts w:ascii="Century Gothic" w:hAnsi="Century Gothic" w:cs="Arial"/>
          <w:sz w:val="20"/>
          <w:szCs w:val="20"/>
        </w:rPr>
      </w:pPr>
      <w:r>
        <w:rPr>
          <w:rFonts w:ascii="Century Gothic" w:hAnsi="Century Gothic"/>
          <w:sz w:val="20"/>
          <w:szCs w:val="20"/>
        </w:rPr>
        <w:t>Institute of Higher Education</w:t>
      </w:r>
      <w:r w:rsidR="00FE78DE" w:rsidRPr="00730C0D">
        <w:rPr>
          <w:rFonts w:ascii="Century Gothic" w:hAnsi="Century Gothic" w:cs="Arial"/>
          <w:sz w:val="20"/>
          <w:szCs w:val="20"/>
        </w:rPr>
        <w:t>;</w:t>
      </w:r>
    </w:p>
    <w:p w14:paraId="651C5202" w14:textId="3ECB0FEE" w:rsidR="00FE78DE" w:rsidRPr="00730C0D" w:rsidRDefault="00FE78DE" w:rsidP="00FE78DE">
      <w:pPr>
        <w:numPr>
          <w:ilvl w:val="0"/>
          <w:numId w:val="5"/>
        </w:numPr>
        <w:spacing w:before="0" w:after="0"/>
        <w:ind w:left="568" w:hanging="284"/>
        <w:contextualSpacing/>
        <w:jc w:val="both"/>
        <w:rPr>
          <w:rFonts w:ascii="Century Gothic" w:hAnsi="Century Gothic" w:cs="Arial"/>
          <w:sz w:val="20"/>
          <w:szCs w:val="20"/>
        </w:rPr>
      </w:pPr>
      <w:r w:rsidRPr="00730C0D">
        <w:rPr>
          <w:rFonts w:ascii="Century Gothic" w:hAnsi="Century Gothic" w:cs="Arial"/>
          <w:sz w:val="20"/>
          <w:szCs w:val="20"/>
        </w:rPr>
        <w:t xml:space="preserve">National Institute of Higher Education; </w:t>
      </w:r>
    </w:p>
    <w:p w14:paraId="0A83112A" w14:textId="77777777" w:rsidR="00FE78DE" w:rsidRPr="00730C0D" w:rsidRDefault="00FE78DE" w:rsidP="00FE78DE">
      <w:pPr>
        <w:numPr>
          <w:ilvl w:val="0"/>
          <w:numId w:val="5"/>
        </w:numPr>
        <w:spacing w:before="0" w:after="0"/>
        <w:ind w:left="568" w:hanging="284"/>
        <w:contextualSpacing/>
        <w:jc w:val="both"/>
        <w:rPr>
          <w:rFonts w:ascii="Century Gothic" w:hAnsi="Century Gothic" w:cs="Arial"/>
          <w:sz w:val="20"/>
          <w:szCs w:val="20"/>
        </w:rPr>
      </w:pPr>
      <w:r w:rsidRPr="00730C0D">
        <w:rPr>
          <w:rFonts w:ascii="Century Gothic" w:hAnsi="Century Gothic" w:cs="Arial"/>
          <w:sz w:val="20"/>
          <w:szCs w:val="20"/>
        </w:rPr>
        <w:t>Australian University; and</w:t>
      </w:r>
    </w:p>
    <w:p w14:paraId="61362417" w14:textId="77777777" w:rsidR="00FE78DE" w:rsidRPr="00730C0D" w:rsidRDefault="00FE78DE" w:rsidP="00FE78DE">
      <w:pPr>
        <w:numPr>
          <w:ilvl w:val="0"/>
          <w:numId w:val="5"/>
        </w:numPr>
        <w:spacing w:before="0" w:after="0"/>
        <w:ind w:left="568" w:hanging="284"/>
        <w:contextualSpacing/>
        <w:jc w:val="both"/>
        <w:rPr>
          <w:rFonts w:ascii="Century Gothic" w:hAnsi="Century Gothic" w:cs="Arial"/>
          <w:sz w:val="20"/>
          <w:szCs w:val="20"/>
        </w:rPr>
      </w:pPr>
      <w:r w:rsidRPr="00730C0D">
        <w:rPr>
          <w:rFonts w:ascii="Century Gothic" w:hAnsi="Century Gothic" w:cs="Arial"/>
          <w:sz w:val="20"/>
          <w:szCs w:val="20"/>
        </w:rPr>
        <w:t>Overseas University in Australia.</w:t>
      </w:r>
    </w:p>
    <w:p w14:paraId="75136A28" w14:textId="77777777" w:rsidR="00FE78DE" w:rsidRPr="00730C0D" w:rsidRDefault="00FE78DE" w:rsidP="00FE78DE">
      <w:pPr>
        <w:spacing w:before="0" w:after="0"/>
        <w:contextualSpacing/>
        <w:jc w:val="both"/>
        <w:rPr>
          <w:rFonts w:ascii="Century Gothic" w:hAnsi="Century Gothic" w:cs="Arial"/>
          <w:sz w:val="20"/>
          <w:szCs w:val="20"/>
        </w:rPr>
      </w:pPr>
    </w:p>
    <w:p w14:paraId="04DC7EA4" w14:textId="77777777" w:rsidR="00FE78DE" w:rsidRPr="00730C0D" w:rsidRDefault="00FE78DE" w:rsidP="00FE78DE">
      <w:pPr>
        <w:spacing w:before="0" w:after="0"/>
        <w:contextualSpacing/>
        <w:jc w:val="both"/>
        <w:rPr>
          <w:rFonts w:ascii="Century Gothic" w:hAnsi="Century Gothic"/>
          <w:sz w:val="20"/>
          <w:szCs w:val="20"/>
        </w:rPr>
      </w:pPr>
      <w:r w:rsidRPr="00730C0D">
        <w:rPr>
          <w:rFonts w:ascii="Century Gothic" w:hAnsi="Century Gothic"/>
          <w:sz w:val="20"/>
          <w:szCs w:val="20"/>
        </w:rPr>
        <w:t xml:space="preserve">In assessing applications for registration in a particular provider category, TEQSA will have regard to the objects of the </w:t>
      </w:r>
      <w:r w:rsidRPr="00730C0D">
        <w:rPr>
          <w:rFonts w:ascii="Century Gothic" w:hAnsi="Century Gothic"/>
          <w:i/>
          <w:sz w:val="20"/>
          <w:szCs w:val="20"/>
        </w:rPr>
        <w:t>TEQSA Act 2011</w:t>
      </w:r>
      <w:r w:rsidRPr="00730C0D">
        <w:rPr>
          <w:rFonts w:ascii="Century Gothic" w:hAnsi="Century Gothic"/>
          <w:sz w:val="20"/>
          <w:szCs w:val="20"/>
        </w:rPr>
        <w:t>, in particular</w:t>
      </w:r>
      <w:r>
        <w:rPr>
          <w:rFonts w:ascii="Century Gothic" w:hAnsi="Century Gothic"/>
          <w:sz w:val="20"/>
          <w:szCs w:val="20"/>
        </w:rPr>
        <w:t>,</w:t>
      </w:r>
      <w:r w:rsidRPr="00730C0D">
        <w:rPr>
          <w:rFonts w:ascii="Century Gothic" w:hAnsi="Century Gothic"/>
          <w:sz w:val="20"/>
          <w:szCs w:val="20"/>
        </w:rPr>
        <w:t xml:space="preserve"> to protect and enhance:</w:t>
      </w:r>
    </w:p>
    <w:p w14:paraId="19F301AB" w14:textId="77777777" w:rsidR="00FE78DE" w:rsidRPr="00730C0D" w:rsidRDefault="00FE78DE" w:rsidP="0024520B">
      <w:pPr>
        <w:pStyle w:val="ListParagraph"/>
        <w:numPr>
          <w:ilvl w:val="0"/>
          <w:numId w:val="24"/>
        </w:numPr>
        <w:spacing w:before="0" w:after="0"/>
        <w:ind w:left="567" w:hanging="141"/>
        <w:jc w:val="both"/>
        <w:rPr>
          <w:rFonts w:ascii="Century Gothic" w:hAnsi="Century Gothic"/>
          <w:sz w:val="20"/>
          <w:szCs w:val="20"/>
        </w:rPr>
      </w:pPr>
      <w:r w:rsidRPr="00730C0D">
        <w:rPr>
          <w:rFonts w:ascii="Century Gothic" w:hAnsi="Century Gothic"/>
          <w:sz w:val="20"/>
          <w:szCs w:val="20"/>
        </w:rPr>
        <w:t>Australia’s reputation for quality higher educ</w:t>
      </w:r>
      <w:r>
        <w:rPr>
          <w:rFonts w:ascii="Century Gothic" w:hAnsi="Century Gothic"/>
          <w:sz w:val="20"/>
          <w:szCs w:val="20"/>
        </w:rPr>
        <w:t>ation and training services;</w:t>
      </w:r>
    </w:p>
    <w:p w14:paraId="1A93B76B" w14:textId="77777777" w:rsidR="00FE78DE" w:rsidRPr="00730C0D" w:rsidRDefault="00FE78DE" w:rsidP="0024520B">
      <w:pPr>
        <w:pStyle w:val="ListParagraph"/>
        <w:numPr>
          <w:ilvl w:val="0"/>
          <w:numId w:val="24"/>
        </w:numPr>
        <w:spacing w:before="0" w:after="0"/>
        <w:ind w:left="567" w:hanging="141"/>
        <w:jc w:val="both"/>
        <w:rPr>
          <w:rFonts w:ascii="Century Gothic" w:hAnsi="Century Gothic"/>
          <w:sz w:val="20"/>
          <w:szCs w:val="20"/>
        </w:rPr>
      </w:pPr>
      <w:r w:rsidRPr="00730C0D">
        <w:rPr>
          <w:rFonts w:ascii="Century Gothic" w:hAnsi="Century Gothic"/>
          <w:sz w:val="20"/>
          <w:szCs w:val="20"/>
        </w:rPr>
        <w:t>Australia’s international competitiveness in the higher education sector; and</w:t>
      </w:r>
    </w:p>
    <w:p w14:paraId="2FF0437D" w14:textId="77777777" w:rsidR="00FE78DE" w:rsidRPr="00730C0D" w:rsidRDefault="00FE78DE" w:rsidP="0024520B">
      <w:pPr>
        <w:pStyle w:val="ListParagraph"/>
        <w:numPr>
          <w:ilvl w:val="0"/>
          <w:numId w:val="24"/>
        </w:numPr>
        <w:spacing w:before="0" w:after="0"/>
        <w:ind w:left="567" w:hanging="141"/>
        <w:jc w:val="both"/>
        <w:rPr>
          <w:rFonts w:ascii="Century Gothic" w:hAnsi="Century Gothic"/>
          <w:sz w:val="20"/>
          <w:szCs w:val="20"/>
        </w:rPr>
      </w:pPr>
      <w:r w:rsidRPr="00730C0D">
        <w:rPr>
          <w:rFonts w:ascii="Century Gothic" w:hAnsi="Century Gothic"/>
          <w:sz w:val="20"/>
          <w:szCs w:val="20"/>
        </w:rPr>
        <w:t>excellence, diversity and innovation in higher education in Australia.</w:t>
      </w:r>
    </w:p>
    <w:p w14:paraId="2F59CE0E" w14:textId="77777777" w:rsidR="00FE78DE" w:rsidRPr="00730C0D" w:rsidRDefault="00FE78DE" w:rsidP="00FE78DE">
      <w:pPr>
        <w:spacing w:before="0" w:after="0"/>
        <w:jc w:val="both"/>
        <w:rPr>
          <w:rFonts w:ascii="Century Gothic" w:hAnsi="Century Gothic"/>
          <w:sz w:val="20"/>
          <w:szCs w:val="20"/>
        </w:rPr>
      </w:pPr>
    </w:p>
    <w:p w14:paraId="2342B90B" w14:textId="77777777" w:rsidR="00FE78DE" w:rsidRPr="00730C0D"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TEQSA will have regard to the basic principles of regulation under Part 2 of the </w:t>
      </w:r>
      <w:r w:rsidRPr="00730C0D">
        <w:rPr>
          <w:rFonts w:ascii="Century Gothic" w:hAnsi="Century Gothic"/>
          <w:i/>
          <w:sz w:val="20"/>
          <w:szCs w:val="20"/>
        </w:rPr>
        <w:t>TEQSA Act 2011</w:t>
      </w:r>
      <w:r>
        <w:rPr>
          <w:rFonts w:ascii="Century Gothic" w:hAnsi="Century Gothic"/>
          <w:sz w:val="20"/>
          <w:szCs w:val="20"/>
        </w:rPr>
        <w:t xml:space="preserve"> when exercising its powers</w:t>
      </w:r>
      <w:r w:rsidRPr="00730C0D">
        <w:rPr>
          <w:rFonts w:ascii="Century Gothic" w:hAnsi="Century Gothic"/>
          <w:sz w:val="20"/>
          <w:szCs w:val="20"/>
        </w:rPr>
        <w:t xml:space="preserve"> </w:t>
      </w:r>
      <w:r>
        <w:rPr>
          <w:rFonts w:ascii="Century Gothic" w:hAnsi="Century Gothic"/>
          <w:sz w:val="20"/>
          <w:szCs w:val="20"/>
        </w:rPr>
        <w:t>and applying these standards. These principles are:</w:t>
      </w:r>
      <w:r w:rsidRPr="00730C0D">
        <w:rPr>
          <w:rFonts w:ascii="Century Gothic" w:hAnsi="Century Gothic"/>
          <w:sz w:val="20"/>
          <w:szCs w:val="20"/>
        </w:rPr>
        <w:t xml:space="preserve"> </w:t>
      </w:r>
    </w:p>
    <w:p w14:paraId="51C19930" w14:textId="77777777" w:rsidR="00FE78DE" w:rsidRPr="00730C0D" w:rsidRDefault="00FE78DE" w:rsidP="0024520B">
      <w:pPr>
        <w:pStyle w:val="ListParagraph"/>
        <w:numPr>
          <w:ilvl w:val="0"/>
          <w:numId w:val="59"/>
        </w:numPr>
        <w:spacing w:before="0" w:after="0"/>
        <w:ind w:left="567" w:hanging="141"/>
        <w:jc w:val="both"/>
        <w:rPr>
          <w:rFonts w:ascii="Century Gothic" w:hAnsi="Century Gothic"/>
          <w:sz w:val="20"/>
          <w:szCs w:val="20"/>
        </w:rPr>
      </w:pPr>
      <w:r w:rsidRPr="00730C0D">
        <w:rPr>
          <w:rFonts w:ascii="Century Gothic" w:hAnsi="Century Gothic"/>
          <w:sz w:val="20"/>
          <w:szCs w:val="20"/>
        </w:rPr>
        <w:t>the principle of regulatory necessity;</w:t>
      </w:r>
    </w:p>
    <w:p w14:paraId="0B1E9724" w14:textId="77777777" w:rsidR="00FE78DE" w:rsidRPr="00730C0D" w:rsidRDefault="00FE78DE" w:rsidP="0024520B">
      <w:pPr>
        <w:pStyle w:val="ListParagraph"/>
        <w:numPr>
          <w:ilvl w:val="0"/>
          <w:numId w:val="59"/>
        </w:numPr>
        <w:spacing w:before="0" w:after="0"/>
        <w:ind w:left="567" w:hanging="141"/>
        <w:jc w:val="both"/>
        <w:rPr>
          <w:rFonts w:ascii="Century Gothic" w:hAnsi="Century Gothic"/>
          <w:sz w:val="20"/>
          <w:szCs w:val="20"/>
        </w:rPr>
      </w:pPr>
      <w:r w:rsidRPr="00730C0D">
        <w:rPr>
          <w:rFonts w:ascii="Century Gothic" w:hAnsi="Century Gothic"/>
          <w:sz w:val="20"/>
          <w:szCs w:val="20"/>
        </w:rPr>
        <w:t>the principle of reflecting risk;</w:t>
      </w:r>
      <w:r>
        <w:rPr>
          <w:rFonts w:ascii="Century Gothic" w:hAnsi="Century Gothic"/>
          <w:sz w:val="20"/>
          <w:szCs w:val="20"/>
        </w:rPr>
        <w:t xml:space="preserve"> and</w:t>
      </w:r>
    </w:p>
    <w:p w14:paraId="2F98E53E" w14:textId="77777777" w:rsidR="00FE78DE" w:rsidRPr="00730C0D" w:rsidRDefault="00FE78DE" w:rsidP="0024520B">
      <w:pPr>
        <w:pStyle w:val="ListParagraph"/>
        <w:numPr>
          <w:ilvl w:val="0"/>
          <w:numId w:val="59"/>
        </w:numPr>
        <w:spacing w:before="0" w:after="0"/>
        <w:ind w:left="567" w:hanging="141"/>
        <w:jc w:val="both"/>
        <w:rPr>
          <w:rFonts w:ascii="Century Gothic" w:hAnsi="Century Gothic"/>
          <w:sz w:val="20"/>
          <w:szCs w:val="20"/>
        </w:rPr>
      </w:pPr>
      <w:r w:rsidRPr="00730C0D">
        <w:rPr>
          <w:rFonts w:ascii="Century Gothic" w:hAnsi="Century Gothic"/>
          <w:sz w:val="20"/>
          <w:szCs w:val="20"/>
        </w:rPr>
        <w:t>the principle of proportionate regulation.</w:t>
      </w:r>
    </w:p>
    <w:p w14:paraId="49AC5259" w14:textId="77777777" w:rsidR="00B95DF1" w:rsidRDefault="00B95DF1" w:rsidP="00FE78DE">
      <w:pPr>
        <w:spacing w:before="0" w:after="0"/>
        <w:contextualSpacing/>
        <w:jc w:val="both"/>
        <w:rPr>
          <w:rFonts w:ascii="Century Gothic" w:hAnsi="Century Gothic"/>
          <w:sz w:val="20"/>
          <w:szCs w:val="20"/>
        </w:rPr>
      </w:pPr>
    </w:p>
    <w:p w14:paraId="57249C40" w14:textId="7CCC6E31" w:rsidR="00FE78DE" w:rsidRPr="00730C0D" w:rsidRDefault="00FE78DE" w:rsidP="00FE78DE">
      <w:pPr>
        <w:spacing w:before="0" w:after="0"/>
        <w:contextualSpacing/>
        <w:jc w:val="both"/>
        <w:rPr>
          <w:rFonts w:ascii="Century Gothic" w:hAnsi="Century Gothic"/>
          <w:sz w:val="20"/>
          <w:szCs w:val="20"/>
        </w:rPr>
      </w:pPr>
      <w:r w:rsidRPr="00730C0D">
        <w:rPr>
          <w:rFonts w:ascii="Century Gothic" w:hAnsi="Century Gothic"/>
          <w:sz w:val="20"/>
          <w:szCs w:val="20"/>
        </w:rPr>
        <w:t xml:space="preserve">The provider category of each higher education provider will be detailed on the National Register of Higher Education Providers (administered by TEQSA). </w:t>
      </w:r>
    </w:p>
    <w:p w14:paraId="328B16A5" w14:textId="77777777" w:rsidR="00FE78DE" w:rsidRPr="00730C0D" w:rsidRDefault="00FE78DE" w:rsidP="00FE78DE">
      <w:pPr>
        <w:spacing w:before="0" w:after="0"/>
        <w:contextualSpacing/>
        <w:jc w:val="both"/>
        <w:rPr>
          <w:rFonts w:ascii="Century Gothic" w:hAnsi="Century Gothic"/>
          <w:sz w:val="20"/>
          <w:szCs w:val="20"/>
        </w:rPr>
      </w:pPr>
    </w:p>
    <w:p w14:paraId="1CF09827" w14:textId="77777777" w:rsidR="00FE78DE" w:rsidRPr="00730C0D" w:rsidRDefault="00FE78DE" w:rsidP="00FE78DE">
      <w:pPr>
        <w:spacing w:before="0" w:after="0"/>
        <w:contextualSpacing/>
        <w:jc w:val="both"/>
        <w:rPr>
          <w:rFonts w:ascii="Century Gothic" w:hAnsi="Century Gothic"/>
          <w:sz w:val="20"/>
          <w:szCs w:val="20"/>
        </w:rPr>
      </w:pPr>
      <w:r w:rsidRPr="00730C0D">
        <w:rPr>
          <w:rFonts w:ascii="Century Gothic" w:hAnsi="Century Gothic"/>
          <w:sz w:val="20"/>
          <w:szCs w:val="20"/>
        </w:rPr>
        <w:t xml:space="preserve">To </w:t>
      </w:r>
      <w:r>
        <w:rPr>
          <w:rFonts w:ascii="Century Gothic" w:hAnsi="Century Gothic"/>
          <w:sz w:val="20"/>
          <w:szCs w:val="20"/>
        </w:rPr>
        <w:t>provide</w:t>
      </w:r>
      <w:r w:rsidRPr="00730C0D">
        <w:rPr>
          <w:rFonts w:ascii="Century Gothic" w:hAnsi="Century Gothic"/>
          <w:sz w:val="20"/>
          <w:szCs w:val="20"/>
        </w:rPr>
        <w:t xml:space="preserve"> transparency, all registered higher education providers should feature their TEQSA Provider Identification and provider category on relevant public material.</w:t>
      </w:r>
    </w:p>
    <w:p w14:paraId="5509CC56" w14:textId="77777777" w:rsidR="00FE78DE" w:rsidRPr="00730C0D" w:rsidRDefault="00FE78DE" w:rsidP="00FE78DE">
      <w:pPr>
        <w:spacing w:before="0" w:after="0"/>
        <w:contextualSpacing/>
        <w:jc w:val="both"/>
        <w:rPr>
          <w:rFonts w:ascii="Century Gothic" w:hAnsi="Century Gothic"/>
          <w:sz w:val="20"/>
          <w:szCs w:val="20"/>
        </w:rPr>
      </w:pPr>
    </w:p>
    <w:p w14:paraId="73F0D39C" w14:textId="1581F14A" w:rsidR="00FE78DE" w:rsidRPr="00730C0D" w:rsidRDefault="00FE78DE" w:rsidP="00FE78DE">
      <w:pPr>
        <w:spacing w:before="0" w:after="0"/>
        <w:contextualSpacing/>
        <w:jc w:val="both"/>
        <w:rPr>
          <w:rFonts w:ascii="Century Gothic" w:eastAsiaTheme="majorEastAsia" w:hAnsi="Century Gothic" w:cs="Arial"/>
          <w:b/>
          <w:bCs/>
        </w:rPr>
      </w:pPr>
      <w:r w:rsidRPr="00730C0D">
        <w:rPr>
          <w:rFonts w:ascii="Century Gothic" w:eastAsiaTheme="majorEastAsia" w:hAnsi="Century Gothic" w:cs="Arial"/>
          <w:b/>
          <w:bCs/>
        </w:rPr>
        <w:t>B1.1</w:t>
      </w:r>
      <w:r w:rsidRPr="00730C0D">
        <w:rPr>
          <w:rFonts w:ascii="Century Gothic" w:eastAsiaTheme="majorEastAsia" w:hAnsi="Century Gothic" w:cs="Arial"/>
          <w:b/>
          <w:bCs/>
        </w:rPr>
        <w:tab/>
      </w:r>
      <w:r w:rsidR="00C776B4">
        <w:rPr>
          <w:rFonts w:ascii="Century Gothic" w:eastAsiaTheme="majorEastAsia" w:hAnsi="Century Gothic" w:cs="Arial"/>
          <w:b/>
          <w:bCs/>
        </w:rPr>
        <w:t>‘</w:t>
      </w:r>
      <w:r w:rsidR="00C776B4" w:rsidRPr="00C93260">
        <w:rPr>
          <w:rFonts w:ascii="Century Gothic" w:eastAsiaTheme="majorEastAsia" w:hAnsi="Century Gothic" w:cs="Arial"/>
          <w:b/>
          <w:bCs/>
        </w:rPr>
        <w:t>Institute of Higher Education’</w:t>
      </w:r>
      <w:r w:rsidR="00C776B4" w:rsidRPr="00730C0D">
        <w:rPr>
          <w:rFonts w:ascii="Century Gothic" w:hAnsi="Century Gothic"/>
          <w:sz w:val="20"/>
          <w:szCs w:val="20"/>
        </w:rPr>
        <w:t xml:space="preserve"> </w:t>
      </w:r>
      <w:r w:rsidRPr="00730C0D">
        <w:rPr>
          <w:rFonts w:ascii="Century Gothic" w:eastAsiaTheme="majorEastAsia" w:hAnsi="Century Gothic" w:cs="Arial"/>
          <w:b/>
          <w:bCs/>
        </w:rPr>
        <w:t xml:space="preserve">Category </w:t>
      </w:r>
    </w:p>
    <w:p w14:paraId="78F2F5BD" w14:textId="77777777" w:rsidR="00FE78DE" w:rsidRPr="00730C0D"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The higher education provider meets Part A of the </w:t>
      </w:r>
      <w:r w:rsidRPr="00730C0D">
        <w:rPr>
          <w:rFonts w:ascii="Century Gothic" w:hAnsi="Century Gothic"/>
          <w:i/>
          <w:sz w:val="20"/>
          <w:szCs w:val="20"/>
        </w:rPr>
        <w:t>Higher Education Standards Framework</w:t>
      </w:r>
      <w:r w:rsidRPr="00730C0D">
        <w:rPr>
          <w:rFonts w:ascii="Century Gothic" w:hAnsi="Century Gothic"/>
          <w:sz w:val="20"/>
          <w:szCs w:val="20"/>
        </w:rPr>
        <w:t xml:space="preserve"> and has a clearly articulated quality higher education purpose. </w:t>
      </w:r>
    </w:p>
    <w:p w14:paraId="1BCA4D6C" w14:textId="77777777" w:rsidR="00FE78DE" w:rsidRPr="00730C0D" w:rsidRDefault="00FE78DE" w:rsidP="00FE78DE">
      <w:pPr>
        <w:spacing w:before="0" w:after="0"/>
        <w:contextualSpacing/>
        <w:jc w:val="both"/>
        <w:rPr>
          <w:rFonts w:ascii="Century Gothic" w:hAnsi="Century Gothic"/>
          <w:sz w:val="20"/>
          <w:szCs w:val="20"/>
        </w:rPr>
      </w:pPr>
    </w:p>
    <w:p w14:paraId="3B08E228" w14:textId="77777777" w:rsidR="00FE78DE" w:rsidRPr="00730C0D" w:rsidRDefault="00FE78DE" w:rsidP="00FE78DE">
      <w:pPr>
        <w:spacing w:before="0" w:after="0"/>
        <w:jc w:val="both"/>
        <w:rPr>
          <w:rFonts w:ascii="Century Gothic" w:hAnsi="Century Gothic"/>
          <w:sz w:val="20"/>
          <w:szCs w:val="20"/>
        </w:rPr>
      </w:pPr>
      <w:r w:rsidRPr="00730C0D">
        <w:rPr>
          <w:rFonts w:ascii="Century Gothic" w:hAnsi="Century Gothic"/>
          <w:sz w:val="20"/>
          <w:szCs w:val="20"/>
        </w:rPr>
        <w:t>The higher education provider’s academic and teaching staff are active in scholarship that informs their teaching, supported by the provider.</w:t>
      </w:r>
    </w:p>
    <w:p w14:paraId="28BAEA4E" w14:textId="0A5BFA2A" w:rsidR="00794E80" w:rsidRDefault="00794E80">
      <w:pPr>
        <w:spacing w:before="0" w:after="160"/>
        <w:rPr>
          <w:rFonts w:ascii="Century Gothic" w:eastAsia="Calibri" w:hAnsi="Century Gothic" w:cs="Arial"/>
          <w:sz w:val="20"/>
          <w:szCs w:val="20"/>
        </w:rPr>
      </w:pPr>
      <w:r>
        <w:rPr>
          <w:rFonts w:ascii="Century Gothic" w:eastAsia="Calibri" w:hAnsi="Century Gothic" w:cs="Arial"/>
          <w:sz w:val="20"/>
          <w:szCs w:val="20"/>
        </w:rPr>
        <w:br w:type="page"/>
      </w:r>
    </w:p>
    <w:p w14:paraId="25BB74B9" w14:textId="35125BDB" w:rsidR="00FE78DE" w:rsidRPr="00730C0D" w:rsidRDefault="00FE78DE" w:rsidP="00FE78DE">
      <w:pPr>
        <w:spacing w:before="0" w:after="0"/>
        <w:contextualSpacing/>
        <w:jc w:val="both"/>
        <w:rPr>
          <w:rFonts w:ascii="Century Gothic" w:eastAsiaTheme="majorEastAsia" w:hAnsi="Century Gothic" w:cs="Arial"/>
          <w:b/>
          <w:bCs/>
        </w:rPr>
      </w:pPr>
      <w:r w:rsidRPr="00730C0D">
        <w:rPr>
          <w:rFonts w:ascii="Century Gothic" w:eastAsiaTheme="majorEastAsia" w:hAnsi="Century Gothic" w:cs="Arial"/>
          <w:b/>
          <w:bCs/>
        </w:rPr>
        <w:t>B1.2</w:t>
      </w:r>
      <w:r w:rsidRPr="00730C0D">
        <w:rPr>
          <w:rFonts w:ascii="Century Gothic" w:eastAsiaTheme="majorEastAsia" w:hAnsi="Century Gothic" w:cs="Arial"/>
          <w:b/>
          <w:bCs/>
        </w:rPr>
        <w:tab/>
        <w:t xml:space="preserve">‘National Institute of Higher Education’ Category </w:t>
      </w:r>
    </w:p>
    <w:p w14:paraId="4BD488CC" w14:textId="66652F7B" w:rsidR="004C0BE2"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The higher education provider meets Part A of the </w:t>
      </w:r>
      <w:r w:rsidRPr="00730C0D">
        <w:rPr>
          <w:rFonts w:ascii="Century Gothic" w:hAnsi="Century Gothic"/>
          <w:i/>
          <w:sz w:val="20"/>
          <w:szCs w:val="20"/>
        </w:rPr>
        <w:t>Higher Education Standards Framework</w:t>
      </w:r>
      <w:r w:rsidRPr="00730C0D">
        <w:rPr>
          <w:rFonts w:ascii="Century Gothic" w:hAnsi="Century Gothic"/>
          <w:sz w:val="20"/>
          <w:szCs w:val="20"/>
        </w:rPr>
        <w:t>, has a clearly articulated quality higher education purpose</w:t>
      </w:r>
      <w:r>
        <w:rPr>
          <w:rFonts w:ascii="Century Gothic" w:hAnsi="Century Gothic"/>
          <w:sz w:val="20"/>
          <w:szCs w:val="20"/>
        </w:rPr>
        <w:t>,</w:t>
      </w:r>
      <w:r w:rsidRPr="00730C0D">
        <w:rPr>
          <w:rFonts w:ascii="Century Gothic" w:hAnsi="Century Gothic"/>
          <w:sz w:val="20"/>
          <w:szCs w:val="20"/>
        </w:rPr>
        <w:t xml:space="preserve"> and meets the additional </w:t>
      </w:r>
      <w:r w:rsidR="000A423E">
        <w:rPr>
          <w:rFonts w:ascii="Century Gothic" w:hAnsi="Century Gothic"/>
          <w:sz w:val="20"/>
          <w:szCs w:val="20"/>
        </w:rPr>
        <w:br/>
      </w:r>
      <w:r w:rsidRPr="00730C0D">
        <w:rPr>
          <w:rFonts w:ascii="Century Gothic" w:hAnsi="Century Gothic"/>
          <w:sz w:val="20"/>
          <w:szCs w:val="20"/>
        </w:rPr>
        <w:t xml:space="preserve">criteria below. </w:t>
      </w:r>
    </w:p>
    <w:p w14:paraId="4BB1DF08" w14:textId="77777777" w:rsidR="004C0BE2" w:rsidRDefault="004C0BE2" w:rsidP="00FE78DE">
      <w:pPr>
        <w:spacing w:before="0" w:after="0"/>
        <w:jc w:val="both"/>
        <w:rPr>
          <w:rFonts w:ascii="Century Gothic" w:hAnsi="Century Gothic"/>
          <w:sz w:val="20"/>
          <w:szCs w:val="20"/>
        </w:rPr>
      </w:pPr>
    </w:p>
    <w:p w14:paraId="289D369F" w14:textId="5B829157" w:rsidR="004C0BE2"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All registered higher education providers, both those seeking to enter the category and those currently registered in the category, must demonstrate a mature level of development and </w:t>
      </w:r>
      <w:r w:rsidR="000A423E">
        <w:rPr>
          <w:rFonts w:ascii="Century Gothic" w:hAnsi="Century Gothic"/>
          <w:sz w:val="20"/>
          <w:szCs w:val="20"/>
        </w:rPr>
        <w:br/>
      </w:r>
      <w:r w:rsidRPr="00730C0D">
        <w:rPr>
          <w:rFonts w:ascii="Century Gothic" w:hAnsi="Century Gothic"/>
          <w:sz w:val="20"/>
          <w:szCs w:val="20"/>
        </w:rPr>
        <w:t xml:space="preserve">a track record of compliance against each criterion. </w:t>
      </w:r>
    </w:p>
    <w:p w14:paraId="0F0E5D6E" w14:textId="77777777" w:rsidR="00FE78DE" w:rsidRPr="00730C0D" w:rsidRDefault="00FE78DE" w:rsidP="00FE78DE">
      <w:pPr>
        <w:spacing w:before="0" w:after="0"/>
        <w:contextualSpacing/>
        <w:jc w:val="both"/>
        <w:rPr>
          <w:rFonts w:ascii="Century Gothic" w:hAnsi="Century Gothic"/>
          <w:sz w:val="20"/>
          <w:szCs w:val="20"/>
        </w:rPr>
      </w:pPr>
    </w:p>
    <w:p w14:paraId="35231104" w14:textId="77777777" w:rsidR="00FE78DE" w:rsidRPr="00730C0D" w:rsidRDefault="00FE78DE" w:rsidP="00FE78DE">
      <w:pPr>
        <w:spacing w:before="0" w:after="0"/>
        <w:jc w:val="both"/>
        <w:rPr>
          <w:rFonts w:ascii="Century Gothic" w:eastAsia="Calibri" w:hAnsi="Century Gothic" w:cs="Arial"/>
          <w:sz w:val="20"/>
          <w:szCs w:val="20"/>
        </w:rPr>
      </w:pPr>
      <w:r w:rsidRPr="00730C0D">
        <w:rPr>
          <w:rFonts w:ascii="Century Gothic" w:hAnsi="Century Gothic"/>
          <w:sz w:val="20"/>
          <w:szCs w:val="20"/>
        </w:rPr>
        <w:t>The higher education provider:</w:t>
      </w:r>
    </w:p>
    <w:p w14:paraId="1D5087F1" w14:textId="77777777" w:rsidR="00FE78DE" w:rsidRPr="00730C0D" w:rsidRDefault="00FE78DE" w:rsidP="0024520B">
      <w:pPr>
        <w:numPr>
          <w:ilvl w:val="0"/>
          <w:numId w:val="25"/>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has authority to self-accredit at least 70 per cent (at time of application to TEQSA) of its total courses of study; </w:t>
      </w:r>
    </w:p>
    <w:p w14:paraId="357BF8F3" w14:textId="7893CAC5" w:rsidR="00FE78DE" w:rsidRPr="00730C0D" w:rsidRDefault="00FE78DE" w:rsidP="0024520B">
      <w:pPr>
        <w:numPr>
          <w:ilvl w:val="0"/>
          <w:numId w:val="25"/>
        </w:numPr>
        <w:spacing w:before="0" w:after="0"/>
        <w:ind w:left="709" w:hanging="425"/>
        <w:jc w:val="both"/>
        <w:rPr>
          <w:rFonts w:ascii="Century Gothic" w:hAnsi="Century Gothic"/>
          <w:sz w:val="20"/>
          <w:szCs w:val="20"/>
        </w:rPr>
      </w:pPr>
      <w:r w:rsidRPr="00730C0D">
        <w:rPr>
          <w:rFonts w:ascii="Century Gothic" w:hAnsi="Century Gothic"/>
          <w:sz w:val="20"/>
          <w:szCs w:val="20"/>
        </w:rPr>
        <w:t xml:space="preserve">has a </w:t>
      </w:r>
      <w:r w:rsidRPr="00AE52BF">
        <w:rPr>
          <w:rFonts w:ascii="Century Gothic" w:eastAsia="Calibri" w:hAnsi="Century Gothic" w:cs="Arial"/>
          <w:sz w:val="20"/>
          <w:szCs w:val="20"/>
        </w:rPr>
        <w:t>history</w:t>
      </w:r>
      <w:r w:rsidRPr="00730C0D">
        <w:rPr>
          <w:rFonts w:ascii="Century Gothic" w:hAnsi="Century Gothic"/>
          <w:sz w:val="20"/>
          <w:szCs w:val="20"/>
        </w:rPr>
        <w:t xml:space="preserve"> of at least five years of successful delivery with strong student outcomes, taking into account different student cohorts. Student outcomes can be measured against a variety of sources deemed acceptable to TEQSA, such as graduate outcomes, </w:t>
      </w:r>
      <w:r>
        <w:rPr>
          <w:rFonts w:ascii="Century Gothic" w:hAnsi="Century Gothic"/>
          <w:sz w:val="20"/>
          <w:szCs w:val="20"/>
        </w:rPr>
        <w:t>adjusted attrition</w:t>
      </w:r>
      <w:r w:rsidRPr="00730C0D">
        <w:rPr>
          <w:rFonts w:ascii="Century Gothic" w:hAnsi="Century Gothic"/>
          <w:sz w:val="20"/>
          <w:szCs w:val="20"/>
        </w:rPr>
        <w:t xml:space="preserve"> rates</w:t>
      </w:r>
      <w:r>
        <w:rPr>
          <w:rFonts w:ascii="Century Gothic" w:hAnsi="Century Gothic"/>
          <w:sz w:val="20"/>
          <w:szCs w:val="20"/>
        </w:rPr>
        <w:t>,</w:t>
      </w:r>
      <w:r w:rsidRPr="00730C0D">
        <w:rPr>
          <w:rFonts w:ascii="Century Gothic" w:hAnsi="Century Gothic"/>
          <w:sz w:val="20"/>
          <w:szCs w:val="20"/>
        </w:rPr>
        <w:t xml:space="preserve"> and</w:t>
      </w:r>
      <w:r w:rsidR="00B37A0B">
        <w:rPr>
          <w:rFonts w:ascii="Century Gothic" w:hAnsi="Century Gothic"/>
          <w:sz w:val="20"/>
          <w:szCs w:val="20"/>
        </w:rPr>
        <w:t xml:space="preserve"> measures of student experience;</w:t>
      </w:r>
    </w:p>
    <w:p w14:paraId="700A584B" w14:textId="77777777" w:rsidR="00FE78DE" w:rsidRPr="00730C0D" w:rsidRDefault="00FE78DE" w:rsidP="0024520B">
      <w:pPr>
        <w:numPr>
          <w:ilvl w:val="0"/>
          <w:numId w:val="25"/>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has mature and advanced processes for the design, delivery, accreditation, monitoring, quality assurance, review and improvement of courses of study</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the maintenance of academic integrity;</w:t>
      </w:r>
    </w:p>
    <w:p w14:paraId="57EA232A" w14:textId="77777777" w:rsidR="00FE78DE" w:rsidRPr="00730C0D" w:rsidRDefault="00FE78DE" w:rsidP="0024520B">
      <w:pPr>
        <w:numPr>
          <w:ilvl w:val="0"/>
          <w:numId w:val="25"/>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demonstrates systematic support for scholarship and demonstrates scholarly activities and outcomes that inform teaching, learning</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professional practice, and make a contribution to the advancement and dissemination of knowledge;</w:t>
      </w:r>
    </w:p>
    <w:p w14:paraId="4C53EE14" w14:textId="77777777" w:rsidR="00FE78DE" w:rsidRPr="00730C0D" w:rsidRDefault="00FE78DE" w:rsidP="0024520B">
      <w:pPr>
        <w:numPr>
          <w:ilvl w:val="0"/>
          <w:numId w:val="25"/>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identifies and implements good practices and advances in teaching and learning, and shares those practices with the higher education sector more broadly;    </w:t>
      </w:r>
    </w:p>
    <w:p w14:paraId="4AE15DB7" w14:textId="77777777" w:rsidR="00FE78DE" w:rsidRPr="00730C0D" w:rsidRDefault="00FE78DE" w:rsidP="0024520B">
      <w:pPr>
        <w:numPr>
          <w:ilvl w:val="0"/>
          <w:numId w:val="25"/>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has sufficient depth of academic leadership and expertise in the fields of education it delivers to guide teaching, learning</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academic governance; </w:t>
      </w:r>
      <w:r>
        <w:rPr>
          <w:rFonts w:ascii="Century Gothic" w:eastAsia="Calibri" w:hAnsi="Century Gothic" w:cs="Arial"/>
          <w:sz w:val="20"/>
          <w:szCs w:val="20"/>
        </w:rPr>
        <w:t>and</w:t>
      </w:r>
    </w:p>
    <w:p w14:paraId="42D51743" w14:textId="77777777" w:rsidR="00FE78DE" w:rsidRPr="00730C0D" w:rsidRDefault="00FE78DE" w:rsidP="0024520B">
      <w:pPr>
        <w:numPr>
          <w:ilvl w:val="0"/>
          <w:numId w:val="25"/>
        </w:numPr>
        <w:spacing w:before="0" w:after="0"/>
        <w:ind w:left="709" w:hanging="425"/>
        <w:jc w:val="both"/>
        <w:rPr>
          <w:rFonts w:ascii="Century Gothic" w:eastAsia="Calibri" w:hAnsi="Century Gothic" w:cs="Arial"/>
          <w:sz w:val="20"/>
          <w:szCs w:val="20"/>
        </w:rPr>
      </w:pPr>
      <w:r>
        <w:rPr>
          <w:rFonts w:ascii="Century Gothic" w:eastAsia="Calibri" w:hAnsi="Century Gothic" w:cs="Arial"/>
          <w:sz w:val="20"/>
          <w:szCs w:val="20"/>
        </w:rPr>
        <w:t xml:space="preserve">demonstrates </w:t>
      </w:r>
      <w:r w:rsidRPr="00730C0D">
        <w:rPr>
          <w:rFonts w:ascii="Century Gothic" w:eastAsia="Calibri" w:hAnsi="Century Gothic" w:cs="Arial"/>
          <w:sz w:val="20"/>
          <w:szCs w:val="20"/>
        </w:rPr>
        <w:t>engagement with employers, industry</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the professions in areas such as course development, work-integrated learning</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research partnerships.</w:t>
      </w:r>
    </w:p>
    <w:p w14:paraId="03EA40C2" w14:textId="77777777" w:rsidR="00FE78DE" w:rsidRPr="00730C0D" w:rsidRDefault="00FE78DE" w:rsidP="00FE78DE">
      <w:pPr>
        <w:spacing w:before="0" w:after="0"/>
        <w:contextualSpacing/>
        <w:jc w:val="both"/>
        <w:rPr>
          <w:rFonts w:ascii="Century Gothic" w:eastAsia="Calibri" w:hAnsi="Century Gothic" w:cs="Arial"/>
          <w:sz w:val="20"/>
          <w:szCs w:val="20"/>
        </w:rPr>
      </w:pPr>
    </w:p>
    <w:p w14:paraId="4CC2F6AB" w14:textId="5F9D3E0B" w:rsidR="00FE78DE" w:rsidRPr="00730C0D" w:rsidRDefault="00FE78DE" w:rsidP="00FE78DE">
      <w:pPr>
        <w:spacing w:before="0" w:after="0"/>
        <w:contextualSpacing/>
        <w:jc w:val="both"/>
        <w:rPr>
          <w:rFonts w:ascii="Century Gothic" w:eastAsia="Calibri" w:hAnsi="Century Gothic" w:cs="Arial"/>
          <w:sz w:val="20"/>
          <w:szCs w:val="20"/>
        </w:rPr>
      </w:pPr>
      <w:r w:rsidRPr="00730C0D">
        <w:rPr>
          <w:rFonts w:ascii="Century Gothic" w:hAnsi="Century Gothic"/>
          <w:sz w:val="20"/>
          <w:szCs w:val="20"/>
        </w:rPr>
        <w:t xml:space="preserve">A higher education provider may choose to remain in this category indefinitely for the </w:t>
      </w:r>
      <w:r w:rsidR="000A423E">
        <w:rPr>
          <w:rFonts w:ascii="Century Gothic" w:hAnsi="Century Gothic"/>
          <w:sz w:val="20"/>
          <w:szCs w:val="20"/>
        </w:rPr>
        <w:br/>
      </w:r>
      <w:r w:rsidRPr="00730C0D">
        <w:rPr>
          <w:rFonts w:ascii="Century Gothic" w:hAnsi="Century Gothic"/>
          <w:sz w:val="20"/>
          <w:szCs w:val="20"/>
        </w:rPr>
        <w:t xml:space="preserve">duration of </w:t>
      </w:r>
      <w:r>
        <w:rPr>
          <w:rFonts w:ascii="Century Gothic" w:hAnsi="Century Gothic"/>
          <w:sz w:val="20"/>
          <w:szCs w:val="20"/>
        </w:rPr>
        <w:t>its</w:t>
      </w:r>
      <w:r w:rsidRPr="00730C0D">
        <w:rPr>
          <w:rFonts w:ascii="Century Gothic" w:hAnsi="Century Gothic"/>
          <w:sz w:val="20"/>
          <w:szCs w:val="20"/>
        </w:rPr>
        <w:t xml:space="preserve"> registration. Alternatively, a higher education provider </w:t>
      </w:r>
      <w:r>
        <w:rPr>
          <w:rFonts w:ascii="Century Gothic" w:hAnsi="Century Gothic"/>
          <w:sz w:val="20"/>
          <w:szCs w:val="20"/>
        </w:rPr>
        <w:t xml:space="preserve">registered in this </w:t>
      </w:r>
      <w:r w:rsidR="000A423E">
        <w:rPr>
          <w:rFonts w:ascii="Century Gothic" w:hAnsi="Century Gothic"/>
          <w:sz w:val="20"/>
          <w:szCs w:val="20"/>
        </w:rPr>
        <w:br/>
      </w:r>
      <w:r>
        <w:rPr>
          <w:rFonts w:ascii="Century Gothic" w:hAnsi="Century Gothic"/>
          <w:sz w:val="20"/>
          <w:szCs w:val="20"/>
        </w:rPr>
        <w:t xml:space="preserve">category </w:t>
      </w:r>
      <w:r w:rsidRPr="00730C0D">
        <w:rPr>
          <w:rFonts w:ascii="Century Gothic" w:hAnsi="Century Gothic"/>
          <w:sz w:val="20"/>
          <w:szCs w:val="20"/>
        </w:rPr>
        <w:t xml:space="preserve">may wish to build capacity and position itself to apply for registration in the </w:t>
      </w:r>
      <w:r w:rsidR="000A423E">
        <w:rPr>
          <w:rFonts w:ascii="Century Gothic" w:hAnsi="Century Gothic"/>
          <w:sz w:val="20"/>
          <w:szCs w:val="20"/>
        </w:rPr>
        <w:br/>
      </w:r>
      <w:r w:rsidRPr="00730C0D">
        <w:rPr>
          <w:rFonts w:ascii="Century Gothic" w:hAnsi="Century Gothic"/>
          <w:sz w:val="20"/>
          <w:szCs w:val="20"/>
        </w:rPr>
        <w:t>‘Australian University’ category.</w:t>
      </w:r>
      <w:r w:rsidR="00B95DF1">
        <w:rPr>
          <w:rFonts w:ascii="Century Gothic" w:hAnsi="Century Gothic"/>
          <w:sz w:val="20"/>
          <w:szCs w:val="20"/>
        </w:rPr>
        <w:t xml:space="preserve"> </w:t>
      </w:r>
    </w:p>
    <w:p w14:paraId="6E7DCDB1" w14:textId="77777777" w:rsidR="00FE78DE" w:rsidRPr="00730C0D" w:rsidRDefault="00FE78DE" w:rsidP="00FE78DE">
      <w:pPr>
        <w:spacing w:before="0" w:after="0"/>
        <w:contextualSpacing/>
        <w:jc w:val="both"/>
        <w:rPr>
          <w:rFonts w:ascii="Century Gothic" w:hAnsi="Century Gothic"/>
          <w:sz w:val="20"/>
          <w:szCs w:val="20"/>
        </w:rPr>
      </w:pPr>
    </w:p>
    <w:p w14:paraId="2C9BCD03" w14:textId="77777777" w:rsidR="00E81142" w:rsidRDefault="00E81142">
      <w:pPr>
        <w:spacing w:before="0" w:after="160"/>
        <w:rPr>
          <w:rFonts w:ascii="Century Gothic" w:eastAsiaTheme="majorEastAsia" w:hAnsi="Century Gothic" w:cs="Arial"/>
          <w:b/>
          <w:bCs/>
        </w:rPr>
      </w:pPr>
      <w:r>
        <w:rPr>
          <w:rFonts w:ascii="Century Gothic" w:eastAsiaTheme="majorEastAsia" w:hAnsi="Century Gothic" w:cs="Arial"/>
          <w:b/>
          <w:bCs/>
        </w:rPr>
        <w:br w:type="page"/>
      </w:r>
    </w:p>
    <w:p w14:paraId="6B48FBC1" w14:textId="71999952" w:rsidR="00FE78DE" w:rsidRPr="00730C0D" w:rsidRDefault="00FE78DE" w:rsidP="00FE78DE">
      <w:pPr>
        <w:spacing w:before="0" w:after="0"/>
        <w:contextualSpacing/>
        <w:jc w:val="both"/>
        <w:rPr>
          <w:rFonts w:ascii="Century Gothic" w:eastAsiaTheme="majorEastAsia" w:hAnsi="Century Gothic" w:cs="Arial"/>
          <w:b/>
          <w:bCs/>
        </w:rPr>
      </w:pPr>
      <w:r w:rsidRPr="00730C0D">
        <w:rPr>
          <w:rFonts w:ascii="Century Gothic" w:eastAsiaTheme="majorEastAsia" w:hAnsi="Century Gothic" w:cs="Arial"/>
          <w:b/>
          <w:bCs/>
        </w:rPr>
        <w:t>B1.3</w:t>
      </w:r>
      <w:r w:rsidRPr="00730C0D">
        <w:rPr>
          <w:rFonts w:ascii="Century Gothic" w:eastAsiaTheme="majorEastAsia" w:hAnsi="Century Gothic" w:cs="Arial"/>
          <w:b/>
          <w:bCs/>
        </w:rPr>
        <w:tab/>
        <w:t xml:space="preserve">‘Australian University’ Category </w:t>
      </w:r>
    </w:p>
    <w:p w14:paraId="5B3919B3" w14:textId="2FC11307" w:rsidR="004C0BE2"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The higher education provider meets Part A of the </w:t>
      </w:r>
      <w:r w:rsidRPr="00730C0D">
        <w:rPr>
          <w:rFonts w:ascii="Century Gothic" w:hAnsi="Century Gothic"/>
          <w:i/>
          <w:sz w:val="20"/>
          <w:szCs w:val="20"/>
        </w:rPr>
        <w:t>Higher Education Standards Framework</w:t>
      </w:r>
      <w:r w:rsidRPr="00730C0D">
        <w:rPr>
          <w:rFonts w:ascii="Century Gothic" w:hAnsi="Century Gothic"/>
          <w:sz w:val="20"/>
          <w:szCs w:val="20"/>
        </w:rPr>
        <w:t>, has a clearly articulated quality higher education purpose</w:t>
      </w:r>
      <w:r>
        <w:rPr>
          <w:rFonts w:ascii="Century Gothic" w:hAnsi="Century Gothic"/>
          <w:sz w:val="20"/>
          <w:szCs w:val="20"/>
        </w:rPr>
        <w:t>,</w:t>
      </w:r>
      <w:r w:rsidRPr="00730C0D">
        <w:rPr>
          <w:rFonts w:ascii="Century Gothic" w:hAnsi="Century Gothic"/>
          <w:sz w:val="20"/>
          <w:szCs w:val="20"/>
        </w:rPr>
        <w:t xml:space="preserve"> and meets the additional </w:t>
      </w:r>
      <w:r w:rsidR="000A423E">
        <w:rPr>
          <w:rFonts w:ascii="Century Gothic" w:hAnsi="Century Gothic"/>
          <w:sz w:val="20"/>
          <w:szCs w:val="20"/>
        </w:rPr>
        <w:br/>
      </w:r>
      <w:r w:rsidRPr="00730C0D">
        <w:rPr>
          <w:rFonts w:ascii="Century Gothic" w:hAnsi="Century Gothic"/>
          <w:sz w:val="20"/>
          <w:szCs w:val="20"/>
        </w:rPr>
        <w:t xml:space="preserve">criteria below. </w:t>
      </w:r>
    </w:p>
    <w:p w14:paraId="03065EBA" w14:textId="77777777" w:rsidR="004C0BE2" w:rsidRDefault="004C0BE2" w:rsidP="00FE78DE">
      <w:pPr>
        <w:spacing w:before="0" w:after="0"/>
        <w:jc w:val="both"/>
        <w:rPr>
          <w:rFonts w:ascii="Century Gothic" w:hAnsi="Century Gothic"/>
          <w:sz w:val="20"/>
          <w:szCs w:val="20"/>
        </w:rPr>
      </w:pPr>
    </w:p>
    <w:p w14:paraId="27DEE831" w14:textId="26CF6055" w:rsidR="004C0BE2"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All registered higher education providers, both those seeking to enter the category and those currently registered in the category, must demonstrate a mature level of development and a track record of compliance against each criterion. </w:t>
      </w:r>
      <w:r w:rsidR="004C0BE2">
        <w:rPr>
          <w:rFonts w:ascii="Century Gothic" w:hAnsi="Century Gothic"/>
          <w:sz w:val="20"/>
          <w:szCs w:val="20"/>
        </w:rPr>
        <w:t xml:space="preserve">In the case of a ‘greenfield’ provider, that is, </w:t>
      </w:r>
      <w:r w:rsidR="004C0BE2" w:rsidRPr="00E92F1D">
        <w:rPr>
          <w:rFonts w:ascii="Century Gothic" w:hAnsi="Century Gothic"/>
          <w:sz w:val="20"/>
          <w:szCs w:val="20"/>
        </w:rPr>
        <w:t xml:space="preserve">for a newly established entity which has not been registered by TEQSA as a higher education provider and seeks to apply directly for </w:t>
      </w:r>
      <w:r w:rsidR="004C0BE2">
        <w:rPr>
          <w:rFonts w:ascii="Century Gothic" w:hAnsi="Century Gothic"/>
          <w:sz w:val="20"/>
          <w:szCs w:val="20"/>
        </w:rPr>
        <w:t>‘Australian U</w:t>
      </w:r>
      <w:r w:rsidR="004C0BE2" w:rsidRPr="00E92F1D">
        <w:rPr>
          <w:rFonts w:ascii="Century Gothic" w:hAnsi="Century Gothic"/>
          <w:sz w:val="20"/>
          <w:szCs w:val="20"/>
        </w:rPr>
        <w:t>niversity</w:t>
      </w:r>
      <w:r w:rsidR="004C0BE2">
        <w:rPr>
          <w:rFonts w:ascii="Century Gothic" w:hAnsi="Century Gothic"/>
          <w:sz w:val="20"/>
          <w:szCs w:val="20"/>
        </w:rPr>
        <w:t>’</w:t>
      </w:r>
      <w:r w:rsidR="004C0BE2" w:rsidRPr="00E92F1D">
        <w:rPr>
          <w:rFonts w:ascii="Century Gothic" w:hAnsi="Century Gothic"/>
          <w:sz w:val="20"/>
          <w:szCs w:val="20"/>
        </w:rPr>
        <w:t xml:space="preserve"> status</w:t>
      </w:r>
      <w:r w:rsidR="004C0BE2">
        <w:rPr>
          <w:rFonts w:ascii="Century Gothic" w:hAnsi="Century Gothic"/>
          <w:sz w:val="20"/>
          <w:szCs w:val="20"/>
        </w:rPr>
        <w:t>, TEQSA will have consideration of whether the provider would realistically be able to meet these criteria at the time of its registration or within an agreed timeframe.</w:t>
      </w:r>
    </w:p>
    <w:p w14:paraId="13489793" w14:textId="77777777" w:rsidR="00FE78DE" w:rsidRPr="00730C0D" w:rsidRDefault="00FE78DE" w:rsidP="00FE78DE">
      <w:pPr>
        <w:spacing w:before="0" w:after="0"/>
        <w:contextualSpacing/>
        <w:jc w:val="both"/>
        <w:rPr>
          <w:rFonts w:ascii="Century Gothic" w:hAnsi="Century Gothic"/>
          <w:sz w:val="20"/>
          <w:szCs w:val="20"/>
        </w:rPr>
      </w:pPr>
    </w:p>
    <w:p w14:paraId="7B8C48B3" w14:textId="2727EC5E" w:rsidR="00794E80"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A higher education provider registered in this category automatically has authority to </w:t>
      </w:r>
      <w:r>
        <w:rPr>
          <w:rFonts w:ascii="Century Gothic" w:hAnsi="Century Gothic"/>
          <w:sz w:val="20"/>
          <w:szCs w:val="20"/>
        </w:rPr>
        <w:br/>
      </w:r>
      <w:r w:rsidRPr="00730C0D">
        <w:rPr>
          <w:rFonts w:ascii="Century Gothic" w:hAnsi="Century Gothic"/>
          <w:sz w:val="20"/>
          <w:szCs w:val="20"/>
        </w:rPr>
        <w:t xml:space="preserve">self-accredit each course of study that leads to a higher education qualification in all fields of education. Where an ‘Australian University’ wishes to specialise in one or two broad fields </w:t>
      </w:r>
      <w:r w:rsidR="000A423E">
        <w:rPr>
          <w:rFonts w:ascii="Century Gothic" w:hAnsi="Century Gothic"/>
          <w:sz w:val="20"/>
          <w:szCs w:val="20"/>
        </w:rPr>
        <w:br/>
      </w:r>
      <w:r w:rsidRPr="00730C0D">
        <w:rPr>
          <w:rFonts w:ascii="Century Gothic" w:hAnsi="Century Gothic"/>
          <w:sz w:val="20"/>
          <w:szCs w:val="20"/>
        </w:rPr>
        <w:t xml:space="preserve">of education only, TEQSA will deem </w:t>
      </w:r>
      <w:r>
        <w:rPr>
          <w:rFonts w:ascii="Century Gothic" w:hAnsi="Century Gothic"/>
          <w:sz w:val="20"/>
          <w:szCs w:val="20"/>
        </w:rPr>
        <w:t>it</w:t>
      </w:r>
      <w:r w:rsidRPr="00730C0D">
        <w:rPr>
          <w:rFonts w:ascii="Century Gothic" w:hAnsi="Century Gothic"/>
          <w:sz w:val="20"/>
          <w:szCs w:val="20"/>
        </w:rPr>
        <w:t xml:space="preserve"> to have a specialised focus and self-accrediting authority will be limited to the one or two broad </w:t>
      </w:r>
      <w:r>
        <w:rPr>
          <w:rFonts w:ascii="Century Gothic" w:hAnsi="Century Gothic"/>
          <w:sz w:val="20"/>
          <w:szCs w:val="20"/>
        </w:rPr>
        <w:t xml:space="preserve">(2-digit) </w:t>
      </w:r>
      <w:r w:rsidRPr="00730C0D">
        <w:rPr>
          <w:rFonts w:ascii="Century Gothic" w:hAnsi="Century Gothic"/>
          <w:sz w:val="20"/>
          <w:szCs w:val="20"/>
        </w:rPr>
        <w:t xml:space="preserve">fields of education in which it specialises. </w:t>
      </w:r>
      <w:r w:rsidR="00E81142">
        <w:rPr>
          <w:rFonts w:ascii="Century Gothic" w:hAnsi="Century Gothic"/>
          <w:sz w:val="20"/>
          <w:szCs w:val="20"/>
        </w:rPr>
        <w:br/>
      </w:r>
      <w:r w:rsidRPr="00730C0D">
        <w:rPr>
          <w:rFonts w:ascii="Century Gothic" w:hAnsi="Century Gothic"/>
          <w:sz w:val="20"/>
          <w:szCs w:val="20"/>
        </w:rPr>
        <w:t>With authorisation from TEQSA, a</w:t>
      </w:r>
      <w:r>
        <w:rPr>
          <w:rFonts w:ascii="Century Gothic" w:hAnsi="Century Gothic"/>
          <w:sz w:val="20"/>
          <w:szCs w:val="20"/>
        </w:rPr>
        <w:t>n ‘Australian U</w:t>
      </w:r>
      <w:r w:rsidRPr="00730C0D">
        <w:rPr>
          <w:rFonts w:ascii="Century Gothic" w:hAnsi="Century Gothic"/>
          <w:sz w:val="20"/>
          <w:szCs w:val="20"/>
        </w:rPr>
        <w:t>niversity</w:t>
      </w:r>
      <w:r>
        <w:rPr>
          <w:rFonts w:ascii="Century Gothic" w:hAnsi="Century Gothic"/>
          <w:sz w:val="20"/>
          <w:szCs w:val="20"/>
        </w:rPr>
        <w:t>’</w:t>
      </w:r>
      <w:r w:rsidRPr="00730C0D">
        <w:rPr>
          <w:rFonts w:ascii="Century Gothic" w:hAnsi="Century Gothic"/>
          <w:sz w:val="20"/>
          <w:szCs w:val="20"/>
        </w:rPr>
        <w:t xml:space="preserve"> with a specialised focus </w:t>
      </w:r>
      <w:r w:rsidRPr="00490518">
        <w:rPr>
          <w:rFonts w:ascii="Century Gothic" w:hAnsi="Century Gothic"/>
          <w:sz w:val="20"/>
          <w:szCs w:val="20"/>
        </w:rPr>
        <w:t xml:space="preserve">may </w:t>
      </w:r>
      <w:r w:rsidRPr="00730C0D">
        <w:rPr>
          <w:rFonts w:ascii="Century Gothic" w:hAnsi="Century Gothic"/>
          <w:sz w:val="20"/>
          <w:szCs w:val="20"/>
        </w:rPr>
        <w:t xml:space="preserve">expand its offerings to new </w:t>
      </w:r>
      <w:r>
        <w:rPr>
          <w:rFonts w:ascii="Century Gothic" w:hAnsi="Century Gothic"/>
          <w:sz w:val="20"/>
          <w:szCs w:val="20"/>
        </w:rPr>
        <w:t xml:space="preserve">broad (2-digit) </w:t>
      </w:r>
      <w:r w:rsidRPr="00730C0D">
        <w:rPr>
          <w:rFonts w:ascii="Century Gothic" w:hAnsi="Century Gothic"/>
          <w:sz w:val="20"/>
          <w:szCs w:val="20"/>
        </w:rPr>
        <w:t xml:space="preserve">field/s of education. </w:t>
      </w:r>
    </w:p>
    <w:p w14:paraId="2FE8555D" w14:textId="77777777" w:rsidR="004C0BE2" w:rsidRDefault="004C0BE2" w:rsidP="00FE78DE">
      <w:pPr>
        <w:spacing w:before="0" w:after="0"/>
        <w:jc w:val="both"/>
        <w:rPr>
          <w:rFonts w:ascii="Century Gothic" w:hAnsi="Century Gothic"/>
          <w:sz w:val="20"/>
          <w:szCs w:val="20"/>
        </w:rPr>
      </w:pPr>
    </w:p>
    <w:p w14:paraId="62EBA0BE" w14:textId="243922D4" w:rsidR="00FE78DE" w:rsidRPr="00730C0D" w:rsidRDefault="00FE78DE" w:rsidP="00FE78DE">
      <w:pPr>
        <w:spacing w:before="0" w:after="0"/>
        <w:jc w:val="both"/>
        <w:rPr>
          <w:rFonts w:ascii="Century Gothic" w:hAnsi="Century Gothic"/>
          <w:sz w:val="20"/>
          <w:szCs w:val="20"/>
        </w:rPr>
      </w:pPr>
      <w:r w:rsidRPr="00730C0D">
        <w:rPr>
          <w:rFonts w:ascii="Century Gothic" w:hAnsi="Century Gothic"/>
          <w:sz w:val="20"/>
          <w:szCs w:val="20"/>
        </w:rPr>
        <w:t>Where a</w:t>
      </w:r>
      <w:r>
        <w:rPr>
          <w:rFonts w:ascii="Century Gothic" w:hAnsi="Century Gothic"/>
          <w:sz w:val="20"/>
          <w:szCs w:val="20"/>
        </w:rPr>
        <w:t>n ‘Australian U</w:t>
      </w:r>
      <w:r w:rsidRPr="00730C0D">
        <w:rPr>
          <w:rFonts w:ascii="Century Gothic" w:hAnsi="Century Gothic"/>
          <w:sz w:val="20"/>
          <w:szCs w:val="20"/>
        </w:rPr>
        <w:t>niversity</w:t>
      </w:r>
      <w:r>
        <w:rPr>
          <w:rFonts w:ascii="Century Gothic" w:hAnsi="Century Gothic"/>
          <w:sz w:val="20"/>
          <w:szCs w:val="20"/>
        </w:rPr>
        <w:t>’</w:t>
      </w:r>
      <w:r w:rsidRPr="00730C0D">
        <w:rPr>
          <w:rFonts w:ascii="Century Gothic" w:hAnsi="Century Gothic"/>
          <w:sz w:val="20"/>
          <w:szCs w:val="20"/>
        </w:rPr>
        <w:t xml:space="preserve"> with a specialised focus </w:t>
      </w:r>
      <w:r w:rsidR="00E81142">
        <w:rPr>
          <w:rFonts w:ascii="Century Gothic" w:hAnsi="Century Gothic"/>
          <w:sz w:val="20"/>
          <w:szCs w:val="20"/>
        </w:rPr>
        <w:t xml:space="preserve">delivers </w:t>
      </w:r>
      <w:r w:rsidRPr="00730C0D">
        <w:rPr>
          <w:rFonts w:ascii="Century Gothic" w:hAnsi="Century Gothic"/>
          <w:sz w:val="20"/>
          <w:szCs w:val="20"/>
        </w:rPr>
        <w:t>courses in new broad</w:t>
      </w:r>
      <w:r>
        <w:rPr>
          <w:rFonts w:ascii="Century Gothic" w:hAnsi="Century Gothic"/>
          <w:sz w:val="20"/>
          <w:szCs w:val="20"/>
        </w:rPr>
        <w:t xml:space="preserve"> (2-digit)</w:t>
      </w:r>
      <w:r w:rsidRPr="00730C0D">
        <w:rPr>
          <w:rFonts w:ascii="Century Gothic" w:hAnsi="Century Gothic"/>
          <w:sz w:val="20"/>
          <w:szCs w:val="20"/>
        </w:rPr>
        <w:t xml:space="preserve"> field/s of education, the provider must be </w:t>
      </w:r>
      <w:r>
        <w:rPr>
          <w:rFonts w:ascii="Century Gothic" w:hAnsi="Century Gothic"/>
          <w:sz w:val="20"/>
          <w:szCs w:val="20"/>
        </w:rPr>
        <w:t>successful in seeking authorisation to self-accredit courses</w:t>
      </w:r>
      <w:r w:rsidRPr="00730C0D">
        <w:rPr>
          <w:rFonts w:ascii="Century Gothic" w:hAnsi="Century Gothic"/>
          <w:sz w:val="20"/>
          <w:szCs w:val="20"/>
        </w:rPr>
        <w:t xml:space="preserve"> in the new field/s within 10</w:t>
      </w:r>
      <w:r>
        <w:rPr>
          <w:rFonts w:ascii="Century Gothic" w:hAnsi="Century Gothic"/>
          <w:sz w:val="20"/>
          <w:szCs w:val="20"/>
        </w:rPr>
        <w:t> </w:t>
      </w:r>
      <w:r w:rsidRPr="00730C0D">
        <w:rPr>
          <w:rFonts w:ascii="Century Gothic" w:hAnsi="Century Gothic"/>
          <w:sz w:val="20"/>
          <w:szCs w:val="20"/>
        </w:rPr>
        <w:t>years from the commencement of those courses</w:t>
      </w:r>
      <w:r>
        <w:rPr>
          <w:rFonts w:ascii="Century Gothic" w:hAnsi="Century Gothic"/>
          <w:sz w:val="20"/>
          <w:szCs w:val="20"/>
        </w:rPr>
        <w:t xml:space="preserve">. </w:t>
      </w:r>
      <w:r w:rsidR="00E81142">
        <w:rPr>
          <w:rFonts w:ascii="Century Gothic" w:hAnsi="Century Gothic"/>
          <w:sz w:val="20"/>
          <w:szCs w:val="20"/>
        </w:rPr>
        <w:br/>
      </w:r>
      <w:r>
        <w:rPr>
          <w:rFonts w:ascii="Century Gothic" w:hAnsi="Century Gothic"/>
          <w:sz w:val="20"/>
          <w:szCs w:val="20"/>
        </w:rPr>
        <w:t xml:space="preserve">Upon reaching </w:t>
      </w:r>
      <w:r w:rsidRPr="00730C0D">
        <w:rPr>
          <w:rFonts w:ascii="Century Gothic" w:eastAsia="Calibri" w:hAnsi="Century Gothic" w:cs="Arial"/>
          <w:sz w:val="20"/>
          <w:szCs w:val="20"/>
        </w:rPr>
        <w:t>at least three broad</w:t>
      </w:r>
      <w:r>
        <w:rPr>
          <w:rFonts w:ascii="Century Gothic" w:eastAsia="Calibri" w:hAnsi="Century Gothic" w:cs="Arial"/>
          <w:sz w:val="20"/>
          <w:szCs w:val="20"/>
        </w:rPr>
        <w:t xml:space="preserve"> (2-digit)</w:t>
      </w:r>
      <w:r w:rsidRPr="00730C0D">
        <w:rPr>
          <w:rFonts w:ascii="Century Gothic" w:eastAsia="Calibri" w:hAnsi="Century Gothic" w:cs="Arial"/>
          <w:sz w:val="20"/>
          <w:szCs w:val="20"/>
        </w:rPr>
        <w:t xml:space="preserve"> fields of education (including Doctoral Degrees (Research)</w:t>
      </w:r>
      <w:r w:rsidR="00023BAF">
        <w:rPr>
          <w:rFonts w:ascii="Century Gothic" w:eastAsia="Calibri" w:hAnsi="Century Gothic" w:cs="Arial"/>
          <w:sz w:val="20"/>
          <w:szCs w:val="20"/>
        </w:rPr>
        <w:t>)</w:t>
      </w:r>
      <w:r>
        <w:rPr>
          <w:rFonts w:ascii="Century Gothic" w:hAnsi="Century Gothic"/>
          <w:sz w:val="20"/>
          <w:szCs w:val="20"/>
        </w:rPr>
        <w:t xml:space="preserve">, the ‘Australian University’ is no longer deemed to have a specialised focus. </w:t>
      </w:r>
    </w:p>
    <w:p w14:paraId="048277A9" w14:textId="77777777" w:rsidR="00FE78DE" w:rsidRPr="00730C0D" w:rsidRDefault="00FE78DE" w:rsidP="00FE78DE">
      <w:pPr>
        <w:spacing w:before="0" w:after="0"/>
        <w:contextualSpacing/>
        <w:jc w:val="both"/>
        <w:rPr>
          <w:rFonts w:ascii="Century Gothic" w:hAnsi="Century Gothic"/>
          <w:sz w:val="20"/>
          <w:szCs w:val="20"/>
        </w:rPr>
      </w:pPr>
    </w:p>
    <w:p w14:paraId="1C3551AF" w14:textId="77777777" w:rsidR="00FE78DE" w:rsidRPr="00730C0D" w:rsidRDefault="00FE78DE" w:rsidP="00FE78DE">
      <w:p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At the time of application to TEQSA for entry to the ‘Australian University’ category, the higher education provider must: </w:t>
      </w:r>
    </w:p>
    <w:p w14:paraId="448B5E65" w14:textId="77777777" w:rsidR="00FE78DE" w:rsidRPr="00730C0D" w:rsidRDefault="00FE78DE" w:rsidP="0024520B">
      <w:pPr>
        <w:pStyle w:val="ListParagraph"/>
        <w:numPr>
          <w:ilvl w:val="0"/>
          <w:numId w:val="30"/>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be authorised to self-accredit courses in at least three broad</w:t>
      </w:r>
      <w:r>
        <w:rPr>
          <w:rFonts w:ascii="Century Gothic" w:eastAsia="Calibri" w:hAnsi="Century Gothic" w:cs="Arial"/>
          <w:sz w:val="20"/>
          <w:szCs w:val="20"/>
        </w:rPr>
        <w:t xml:space="preserve"> (2-digit)</w:t>
      </w:r>
      <w:r w:rsidRPr="00730C0D">
        <w:rPr>
          <w:rFonts w:ascii="Century Gothic" w:eastAsia="Calibri" w:hAnsi="Century Gothic" w:cs="Arial"/>
          <w:sz w:val="20"/>
          <w:szCs w:val="20"/>
        </w:rPr>
        <w:t xml:space="preserve"> fields of education (including Doctoral Degrees (Research) in each), or one or two broad fields in the case of universities with a specialised focus; and </w:t>
      </w:r>
    </w:p>
    <w:p w14:paraId="31B12EE5" w14:textId="77777777" w:rsidR="00FE78DE" w:rsidRPr="00730C0D" w:rsidRDefault="00FE78DE" w:rsidP="0024520B">
      <w:pPr>
        <w:pStyle w:val="ListParagraph"/>
        <w:numPr>
          <w:ilvl w:val="0"/>
          <w:numId w:val="30"/>
        </w:numPr>
        <w:spacing w:before="0" w:after="0"/>
        <w:jc w:val="both"/>
        <w:rPr>
          <w:rFonts w:ascii="Century Gothic" w:eastAsia="Calibri" w:hAnsi="Century Gothic" w:cs="Arial"/>
          <w:sz w:val="20"/>
          <w:szCs w:val="20"/>
        </w:rPr>
      </w:pPr>
      <w:r>
        <w:rPr>
          <w:rFonts w:ascii="Century Gothic" w:eastAsia="Calibri" w:hAnsi="Century Gothic" w:cs="Arial"/>
          <w:sz w:val="20"/>
          <w:szCs w:val="20"/>
        </w:rPr>
        <w:t xml:space="preserve">at least </w:t>
      </w:r>
      <w:r w:rsidRPr="00730C0D">
        <w:rPr>
          <w:rFonts w:ascii="Century Gothic" w:eastAsia="Calibri" w:hAnsi="Century Gothic" w:cs="Arial"/>
          <w:sz w:val="20"/>
          <w:szCs w:val="20"/>
        </w:rPr>
        <w:t xml:space="preserve">75 per cent of these self-accredited courses must have been through at least one cycle of review and improvement by the provider. </w:t>
      </w:r>
    </w:p>
    <w:p w14:paraId="7560D7BD" w14:textId="77777777" w:rsidR="00FE78DE" w:rsidRPr="00730C0D" w:rsidRDefault="00FE78DE" w:rsidP="00FE78DE">
      <w:pPr>
        <w:spacing w:before="0" w:after="0"/>
        <w:jc w:val="both"/>
        <w:rPr>
          <w:rFonts w:ascii="Century Gothic" w:eastAsia="Calibri" w:hAnsi="Century Gothic" w:cs="Arial"/>
          <w:sz w:val="20"/>
          <w:szCs w:val="20"/>
        </w:rPr>
      </w:pPr>
    </w:p>
    <w:p w14:paraId="1F41519E" w14:textId="77777777" w:rsidR="00FE78DE" w:rsidRPr="00730C0D" w:rsidRDefault="00FE78DE" w:rsidP="00FE78DE">
      <w:p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For new entrants to the ‘Australian University’ category, research requirements will be assessed against </w:t>
      </w:r>
      <w:r>
        <w:rPr>
          <w:rFonts w:ascii="Century Gothic" w:eastAsia="Calibri" w:hAnsi="Century Gothic" w:cs="Arial"/>
          <w:sz w:val="20"/>
          <w:szCs w:val="20"/>
        </w:rPr>
        <w:t xml:space="preserve">the percentage set out in </w:t>
      </w:r>
      <w:r w:rsidRPr="00730C0D">
        <w:rPr>
          <w:rFonts w:ascii="Century Gothic" w:eastAsia="Calibri" w:hAnsi="Century Gothic" w:cs="Arial"/>
          <w:sz w:val="20"/>
          <w:szCs w:val="20"/>
        </w:rPr>
        <w:t>criterion B1.3.3</w:t>
      </w:r>
      <w:r>
        <w:rPr>
          <w:rFonts w:ascii="Century Gothic" w:eastAsia="Calibri" w:hAnsi="Century Gothic" w:cs="Arial"/>
          <w:sz w:val="20"/>
          <w:szCs w:val="20"/>
        </w:rPr>
        <w:t xml:space="preserve"> (a) and (b)</w:t>
      </w:r>
      <w:r w:rsidRPr="00730C0D">
        <w:rPr>
          <w:rFonts w:ascii="Century Gothic" w:eastAsia="Calibri" w:hAnsi="Century Gothic" w:cs="Arial"/>
          <w:sz w:val="20"/>
          <w:szCs w:val="20"/>
        </w:rPr>
        <w:t xml:space="preserve"> for the first ten years after entry to the category. Following this period, the provider’s research requirements will be assessed against </w:t>
      </w:r>
      <w:r>
        <w:rPr>
          <w:rFonts w:ascii="Century Gothic" w:eastAsia="Calibri" w:hAnsi="Century Gothic" w:cs="Arial"/>
          <w:sz w:val="20"/>
          <w:szCs w:val="20"/>
        </w:rPr>
        <w:t xml:space="preserve">the percentage set out in </w:t>
      </w:r>
      <w:r w:rsidRPr="00730C0D">
        <w:rPr>
          <w:rFonts w:ascii="Century Gothic" w:eastAsia="Calibri" w:hAnsi="Century Gothic" w:cs="Arial"/>
          <w:sz w:val="20"/>
          <w:szCs w:val="20"/>
        </w:rPr>
        <w:t>criterion B1.3.4.</w:t>
      </w:r>
    </w:p>
    <w:p w14:paraId="27E4D9DD" w14:textId="77777777" w:rsidR="00FE78DE" w:rsidRPr="00730C0D" w:rsidRDefault="00FE78DE" w:rsidP="00FE78DE">
      <w:pPr>
        <w:spacing w:before="0" w:after="0"/>
        <w:jc w:val="both"/>
        <w:rPr>
          <w:rFonts w:ascii="Century Gothic" w:eastAsia="Calibri" w:hAnsi="Century Gothic" w:cs="Arial"/>
          <w:sz w:val="20"/>
          <w:szCs w:val="20"/>
        </w:rPr>
      </w:pPr>
    </w:p>
    <w:p w14:paraId="002C8802" w14:textId="77777777" w:rsidR="00E81142" w:rsidRDefault="00E81142">
      <w:pPr>
        <w:spacing w:before="0" w:after="160"/>
        <w:rPr>
          <w:rFonts w:ascii="Century Gothic" w:hAnsi="Century Gothic"/>
          <w:sz w:val="20"/>
          <w:szCs w:val="20"/>
        </w:rPr>
      </w:pPr>
      <w:r>
        <w:rPr>
          <w:rFonts w:ascii="Century Gothic" w:hAnsi="Century Gothic"/>
          <w:sz w:val="20"/>
          <w:szCs w:val="20"/>
        </w:rPr>
        <w:br w:type="page"/>
      </w:r>
    </w:p>
    <w:p w14:paraId="1186C75C" w14:textId="2E25EE1D" w:rsidR="00FE78DE" w:rsidRPr="00730C0D" w:rsidRDefault="00FE78DE" w:rsidP="00FE78DE">
      <w:pPr>
        <w:spacing w:before="0" w:after="0"/>
        <w:jc w:val="both"/>
        <w:rPr>
          <w:rFonts w:ascii="Century Gothic" w:hAnsi="Century Gothic"/>
          <w:sz w:val="20"/>
          <w:szCs w:val="20"/>
        </w:rPr>
      </w:pPr>
      <w:r w:rsidRPr="00730C0D">
        <w:rPr>
          <w:rFonts w:ascii="Century Gothic" w:hAnsi="Century Gothic"/>
          <w:sz w:val="20"/>
          <w:szCs w:val="20"/>
        </w:rPr>
        <w:t xml:space="preserve">The higher education provider: </w:t>
      </w:r>
    </w:p>
    <w:p w14:paraId="7A9AC040" w14:textId="010B3128" w:rsidR="00FE78DE" w:rsidRPr="00730C0D" w:rsidRDefault="00E81142" w:rsidP="0024520B">
      <w:pPr>
        <w:numPr>
          <w:ilvl w:val="0"/>
          <w:numId w:val="27"/>
        </w:numPr>
        <w:spacing w:before="0" w:after="0"/>
        <w:ind w:left="709" w:hanging="425"/>
        <w:jc w:val="both"/>
        <w:rPr>
          <w:rFonts w:ascii="Century Gothic" w:eastAsia="Calibri" w:hAnsi="Century Gothic" w:cs="Arial"/>
          <w:sz w:val="20"/>
          <w:szCs w:val="20"/>
        </w:rPr>
      </w:pPr>
      <w:r>
        <w:rPr>
          <w:rFonts w:ascii="Century Gothic" w:eastAsia="Calibri" w:hAnsi="Century Gothic" w:cs="Arial"/>
          <w:sz w:val="20"/>
          <w:szCs w:val="20"/>
        </w:rPr>
        <w:t>is</w:t>
      </w:r>
      <w:r w:rsidRPr="00730C0D">
        <w:rPr>
          <w:rFonts w:ascii="Century Gothic" w:eastAsia="Calibri" w:hAnsi="Century Gothic" w:cs="Arial"/>
          <w:sz w:val="20"/>
          <w:szCs w:val="20"/>
        </w:rPr>
        <w:t xml:space="preserve"> </w:t>
      </w:r>
      <w:r w:rsidR="00FE78DE" w:rsidRPr="00730C0D">
        <w:rPr>
          <w:rFonts w:ascii="Century Gothic" w:eastAsia="Calibri" w:hAnsi="Century Gothic" w:cs="Arial"/>
          <w:sz w:val="20"/>
          <w:szCs w:val="20"/>
        </w:rPr>
        <w:t>authorised to self-accredit courses and deliver</w:t>
      </w:r>
      <w:r w:rsidR="00FE78DE">
        <w:rPr>
          <w:rFonts w:ascii="Century Gothic" w:eastAsia="Calibri" w:hAnsi="Century Gothic" w:cs="Arial"/>
          <w:sz w:val="20"/>
          <w:szCs w:val="20"/>
        </w:rPr>
        <w:t xml:space="preserve"> a range of</w:t>
      </w:r>
      <w:r w:rsidR="00FE78DE" w:rsidRPr="00730C0D">
        <w:rPr>
          <w:rFonts w:ascii="Century Gothic" w:eastAsia="Calibri" w:hAnsi="Century Gothic" w:cs="Arial"/>
          <w:sz w:val="20"/>
          <w:szCs w:val="20"/>
        </w:rPr>
        <w:t xml:space="preserve"> undergraduate and postgraduate courses of study in at least three broad (2-digit) fields of education, or one or two broad (2-digit) fields of education only in the case of universities with a specialised focus;</w:t>
      </w:r>
    </w:p>
    <w:p w14:paraId="1DCE616C" w14:textId="77777777"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delivers Doctoral Degrees (Research) in: </w:t>
      </w:r>
    </w:p>
    <w:p w14:paraId="117C1D9E" w14:textId="77777777" w:rsidR="00FE78DE" w:rsidRPr="00730C0D" w:rsidRDefault="00FE78DE" w:rsidP="0024520B">
      <w:pPr>
        <w:numPr>
          <w:ilvl w:val="1"/>
          <w:numId w:val="2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at least three, or at least 50 per cent, of the broad (2-digit) fields of education it delivers, whichever is greater; or </w:t>
      </w:r>
    </w:p>
    <w:p w14:paraId="6188DE69" w14:textId="77777777" w:rsidR="00FE78DE" w:rsidRPr="00730C0D" w:rsidRDefault="00FE78DE" w:rsidP="0024520B">
      <w:pPr>
        <w:numPr>
          <w:ilvl w:val="1"/>
          <w:numId w:val="2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all broad (2-digit) fields of education </w:t>
      </w:r>
      <w:r>
        <w:rPr>
          <w:rFonts w:ascii="Century Gothic" w:eastAsia="Calibri" w:hAnsi="Century Gothic" w:cs="Arial"/>
          <w:sz w:val="20"/>
          <w:szCs w:val="20"/>
        </w:rPr>
        <w:t xml:space="preserve">it delivers </w:t>
      </w:r>
      <w:r w:rsidRPr="00730C0D">
        <w:rPr>
          <w:rFonts w:ascii="Century Gothic" w:eastAsia="Calibri" w:hAnsi="Century Gothic" w:cs="Arial"/>
          <w:sz w:val="20"/>
          <w:szCs w:val="20"/>
        </w:rPr>
        <w:t>in the case of universities with a specialised focus;</w:t>
      </w:r>
    </w:p>
    <w:p w14:paraId="5AC93BD5" w14:textId="1AFB6361"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from the commencement date of this instrument until 31 December 2029, undertakes research at or above world standard that leads to the creation of new knowledge and original creative endeavour in:</w:t>
      </w:r>
    </w:p>
    <w:p w14:paraId="75094479" w14:textId="77777777" w:rsidR="00FE78DE" w:rsidRPr="00730C0D" w:rsidRDefault="00FE78DE" w:rsidP="0024520B">
      <w:pPr>
        <w:numPr>
          <w:ilvl w:val="1"/>
          <w:numId w:val="2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at least three, or at least 30 per cent, of the broad (2-digit) fields of education it delivers, whichever is greater; or </w:t>
      </w:r>
    </w:p>
    <w:p w14:paraId="7F94DDF3" w14:textId="77777777" w:rsidR="00FE78DE" w:rsidRPr="00730C0D" w:rsidRDefault="00FE78DE" w:rsidP="0024520B">
      <w:pPr>
        <w:numPr>
          <w:ilvl w:val="1"/>
          <w:numId w:val="2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all broad (2-digit) fields of education</w:t>
      </w:r>
      <w:r>
        <w:rPr>
          <w:rFonts w:ascii="Century Gothic" w:eastAsia="Calibri" w:hAnsi="Century Gothic" w:cs="Arial"/>
          <w:sz w:val="20"/>
          <w:szCs w:val="20"/>
        </w:rPr>
        <w:t xml:space="preserve"> it delivers</w:t>
      </w:r>
      <w:r w:rsidRPr="00730C0D">
        <w:rPr>
          <w:rFonts w:ascii="Century Gothic" w:eastAsia="Calibri" w:hAnsi="Century Gothic" w:cs="Arial"/>
          <w:sz w:val="20"/>
          <w:szCs w:val="20"/>
        </w:rPr>
        <w:t xml:space="preserve"> in the case of universities with a specialised focus. </w:t>
      </w:r>
    </w:p>
    <w:p w14:paraId="58E0EFCA" w14:textId="345E7B80" w:rsidR="00794E80" w:rsidRDefault="00FE78DE" w:rsidP="00C93260">
      <w:pPr>
        <w:spacing w:before="0" w:after="0"/>
        <w:ind w:left="709"/>
        <w:jc w:val="both"/>
        <w:rPr>
          <w:rFonts w:ascii="Century Gothic" w:eastAsia="Calibri" w:hAnsi="Century Gothic" w:cs="Arial"/>
          <w:sz w:val="20"/>
          <w:szCs w:val="20"/>
        </w:rPr>
      </w:pPr>
      <w:r w:rsidRPr="00730C0D">
        <w:rPr>
          <w:rFonts w:ascii="Century Gothic" w:eastAsia="Calibri" w:hAnsi="Century Gothic" w:cs="Arial"/>
          <w:sz w:val="20"/>
          <w:szCs w:val="20"/>
        </w:rPr>
        <w:t xml:space="preserve">Quality and quantity of research in each field will be measured and benchmarked against a variety of measures deemed acceptable </w:t>
      </w:r>
      <w:r>
        <w:rPr>
          <w:rFonts w:ascii="Century Gothic" w:eastAsia="Calibri" w:hAnsi="Century Gothic" w:cs="Arial"/>
          <w:sz w:val="20"/>
          <w:szCs w:val="20"/>
        </w:rPr>
        <w:t>by</w:t>
      </w:r>
      <w:r w:rsidRPr="00730C0D">
        <w:rPr>
          <w:rFonts w:ascii="Century Gothic" w:eastAsia="Calibri" w:hAnsi="Century Gothic" w:cs="Arial"/>
          <w:sz w:val="20"/>
          <w:szCs w:val="20"/>
        </w:rPr>
        <w:t xml:space="preserve"> TEQSA, which may include peer review, citation analysis</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other national and international benchmarks. </w:t>
      </w:r>
      <w:r w:rsidRPr="00730C0D">
        <w:rPr>
          <w:rFonts w:ascii="Century Gothic" w:hAnsi="Century Gothic"/>
          <w:sz w:val="20"/>
          <w:szCs w:val="20"/>
        </w:rPr>
        <w:t xml:space="preserve">Where a provider </w:t>
      </w:r>
      <w:r w:rsidR="00AA031C">
        <w:rPr>
          <w:rFonts w:ascii="Century Gothic" w:hAnsi="Century Gothic"/>
          <w:sz w:val="20"/>
          <w:szCs w:val="20"/>
        </w:rPr>
        <w:t>delivers</w:t>
      </w:r>
      <w:r w:rsidR="00AA031C" w:rsidRPr="00730C0D">
        <w:rPr>
          <w:rFonts w:ascii="Century Gothic" w:hAnsi="Century Gothic"/>
          <w:sz w:val="20"/>
          <w:szCs w:val="20"/>
        </w:rPr>
        <w:t xml:space="preserve"> </w:t>
      </w:r>
      <w:r w:rsidRPr="00730C0D">
        <w:rPr>
          <w:rFonts w:ascii="Century Gothic" w:hAnsi="Century Gothic"/>
          <w:sz w:val="20"/>
          <w:szCs w:val="20"/>
        </w:rPr>
        <w:t xml:space="preserve">courses in new broad (2-digit) field/s of education, the </w:t>
      </w:r>
      <w:r w:rsidR="00930973">
        <w:rPr>
          <w:rFonts w:ascii="Century Gothic" w:hAnsi="Century Gothic"/>
          <w:sz w:val="20"/>
          <w:szCs w:val="20"/>
        </w:rPr>
        <w:t xml:space="preserve">provider may nominate for those </w:t>
      </w:r>
      <w:r w:rsidRPr="00730C0D">
        <w:rPr>
          <w:rFonts w:ascii="Century Gothic" w:hAnsi="Century Gothic"/>
          <w:sz w:val="20"/>
          <w:szCs w:val="20"/>
        </w:rPr>
        <w:t xml:space="preserve">field/s  not </w:t>
      </w:r>
      <w:r w:rsidR="00745537">
        <w:rPr>
          <w:rFonts w:ascii="Century Gothic" w:hAnsi="Century Gothic"/>
          <w:sz w:val="20"/>
          <w:szCs w:val="20"/>
        </w:rPr>
        <w:t xml:space="preserve">to </w:t>
      </w:r>
      <w:r w:rsidRPr="00730C0D">
        <w:rPr>
          <w:rFonts w:ascii="Century Gothic" w:hAnsi="Century Gothic"/>
          <w:sz w:val="20"/>
          <w:szCs w:val="20"/>
        </w:rPr>
        <w:t xml:space="preserve">be considered in the quantum of fields for the purposes of compliance of this criterion </w:t>
      </w:r>
      <w:r w:rsidR="003D468B">
        <w:rPr>
          <w:rFonts w:ascii="Century Gothic" w:hAnsi="Century Gothic"/>
          <w:sz w:val="20"/>
          <w:szCs w:val="20"/>
        </w:rPr>
        <w:t xml:space="preserve">for </w:t>
      </w:r>
      <w:r w:rsidR="00930973">
        <w:rPr>
          <w:rFonts w:ascii="Century Gothic" w:hAnsi="Century Gothic"/>
          <w:sz w:val="20"/>
          <w:szCs w:val="20"/>
        </w:rPr>
        <w:t>a period of no more than</w:t>
      </w:r>
      <w:r w:rsidRPr="00730C0D">
        <w:rPr>
          <w:rFonts w:ascii="Century Gothic" w:hAnsi="Century Gothic"/>
          <w:sz w:val="20"/>
          <w:szCs w:val="20"/>
        </w:rPr>
        <w:t xml:space="preserve"> ten years from the commenc</w:t>
      </w:r>
      <w:r>
        <w:rPr>
          <w:rFonts w:ascii="Century Gothic" w:hAnsi="Century Gothic"/>
          <w:sz w:val="20"/>
          <w:szCs w:val="20"/>
        </w:rPr>
        <w:t>ement of those course offerings</w:t>
      </w:r>
      <w:r w:rsidRPr="00730C0D">
        <w:rPr>
          <w:rFonts w:ascii="Century Gothic" w:eastAsia="Calibri" w:hAnsi="Century Gothic" w:cs="Arial"/>
          <w:sz w:val="20"/>
          <w:szCs w:val="20"/>
        </w:rPr>
        <w:t>;</w:t>
      </w:r>
    </w:p>
    <w:p w14:paraId="4601DCA4" w14:textId="39ED1F92"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from 1 January 2030, undertakes research at or above world standard that leads to the creation of new knowledge and original creative endeavour in:</w:t>
      </w:r>
    </w:p>
    <w:p w14:paraId="507A5140" w14:textId="77777777" w:rsidR="00FE78DE" w:rsidRPr="00730C0D" w:rsidRDefault="00FE78DE" w:rsidP="0024520B">
      <w:pPr>
        <w:numPr>
          <w:ilvl w:val="1"/>
          <w:numId w:val="2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at least three, or at least 50 per cent, of the broad (2-digit) fields of education it delivers, whichever is greater; or </w:t>
      </w:r>
    </w:p>
    <w:p w14:paraId="7F8BDDA3" w14:textId="77777777" w:rsidR="00FE78DE" w:rsidRPr="00730C0D" w:rsidRDefault="00FE78DE" w:rsidP="0024520B">
      <w:pPr>
        <w:numPr>
          <w:ilvl w:val="1"/>
          <w:numId w:val="27"/>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all broad (2-digit) fields of education in the case of specialised universities. </w:t>
      </w:r>
    </w:p>
    <w:p w14:paraId="33C2AACE" w14:textId="2DF62E63" w:rsidR="00FE78DE" w:rsidRPr="00730C0D" w:rsidRDefault="00FE78DE" w:rsidP="00FE78DE">
      <w:pPr>
        <w:spacing w:before="0" w:after="0"/>
        <w:ind w:left="709"/>
        <w:jc w:val="both"/>
        <w:rPr>
          <w:rFonts w:ascii="Century Gothic" w:eastAsia="Calibri" w:hAnsi="Century Gothic" w:cs="Arial"/>
          <w:sz w:val="20"/>
          <w:szCs w:val="20"/>
        </w:rPr>
      </w:pPr>
      <w:r w:rsidRPr="00730C0D">
        <w:rPr>
          <w:rFonts w:ascii="Century Gothic" w:eastAsia="Calibri" w:hAnsi="Century Gothic" w:cs="Arial"/>
          <w:sz w:val="20"/>
          <w:szCs w:val="20"/>
        </w:rPr>
        <w:t>Quality and quantity of research in each field will be measured and benchmarked against a variety of measures deemed acceptable by TEQSA, which may include peer review, citation analysis</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other national and international benchmarks. </w:t>
      </w:r>
      <w:r w:rsidRPr="00730C0D">
        <w:rPr>
          <w:rFonts w:ascii="Century Gothic" w:hAnsi="Century Gothic"/>
          <w:sz w:val="20"/>
          <w:szCs w:val="20"/>
        </w:rPr>
        <w:t xml:space="preserve">Where a provider </w:t>
      </w:r>
      <w:r w:rsidR="00AA031C">
        <w:rPr>
          <w:rFonts w:ascii="Century Gothic" w:hAnsi="Century Gothic"/>
          <w:sz w:val="20"/>
          <w:szCs w:val="20"/>
        </w:rPr>
        <w:t>delivers</w:t>
      </w:r>
      <w:r w:rsidR="00AA031C" w:rsidRPr="00730C0D">
        <w:rPr>
          <w:rFonts w:ascii="Century Gothic" w:hAnsi="Century Gothic"/>
          <w:sz w:val="20"/>
          <w:szCs w:val="20"/>
        </w:rPr>
        <w:t xml:space="preserve"> </w:t>
      </w:r>
      <w:r w:rsidRPr="00730C0D">
        <w:rPr>
          <w:rFonts w:ascii="Century Gothic" w:hAnsi="Century Gothic"/>
          <w:sz w:val="20"/>
          <w:szCs w:val="20"/>
        </w:rPr>
        <w:t xml:space="preserve">courses in new broad </w:t>
      </w:r>
      <w:r>
        <w:rPr>
          <w:rFonts w:ascii="Century Gothic" w:hAnsi="Century Gothic"/>
          <w:sz w:val="20"/>
          <w:szCs w:val="20"/>
        </w:rPr>
        <w:t xml:space="preserve">(2-digit) </w:t>
      </w:r>
      <w:r w:rsidRPr="00730C0D">
        <w:rPr>
          <w:rFonts w:ascii="Century Gothic" w:hAnsi="Century Gothic"/>
          <w:sz w:val="20"/>
          <w:szCs w:val="20"/>
        </w:rPr>
        <w:t xml:space="preserve">field/s of education, the </w:t>
      </w:r>
      <w:r w:rsidR="00930973">
        <w:rPr>
          <w:rFonts w:ascii="Century Gothic" w:hAnsi="Century Gothic"/>
          <w:sz w:val="20"/>
          <w:szCs w:val="20"/>
        </w:rPr>
        <w:t xml:space="preserve">provider may nominate for those </w:t>
      </w:r>
      <w:r w:rsidRPr="00730C0D">
        <w:rPr>
          <w:rFonts w:ascii="Century Gothic" w:hAnsi="Century Gothic"/>
          <w:sz w:val="20"/>
          <w:szCs w:val="20"/>
        </w:rPr>
        <w:t xml:space="preserve">field/s not </w:t>
      </w:r>
      <w:r w:rsidR="00745537">
        <w:rPr>
          <w:rFonts w:ascii="Century Gothic" w:hAnsi="Century Gothic"/>
          <w:sz w:val="20"/>
          <w:szCs w:val="20"/>
        </w:rPr>
        <w:t xml:space="preserve">to </w:t>
      </w:r>
      <w:r w:rsidRPr="00730C0D">
        <w:rPr>
          <w:rFonts w:ascii="Century Gothic" w:hAnsi="Century Gothic"/>
          <w:sz w:val="20"/>
          <w:szCs w:val="20"/>
        </w:rPr>
        <w:t xml:space="preserve">be considered in the quantum of fields for the purposes of compliance of this criterion </w:t>
      </w:r>
      <w:r w:rsidR="00930973">
        <w:rPr>
          <w:rFonts w:ascii="Century Gothic" w:hAnsi="Century Gothic"/>
          <w:sz w:val="20"/>
          <w:szCs w:val="20"/>
        </w:rPr>
        <w:t xml:space="preserve">for a period of no more than </w:t>
      </w:r>
      <w:r w:rsidRPr="00730C0D">
        <w:rPr>
          <w:rFonts w:ascii="Century Gothic" w:hAnsi="Century Gothic"/>
          <w:sz w:val="20"/>
          <w:szCs w:val="20"/>
        </w:rPr>
        <w:t>ten years from the commencement of those course offerings</w:t>
      </w:r>
      <w:r w:rsidRPr="00730C0D">
        <w:rPr>
          <w:rFonts w:ascii="Century Gothic" w:eastAsia="Calibri" w:hAnsi="Century Gothic" w:cs="Arial"/>
          <w:sz w:val="20"/>
          <w:szCs w:val="20"/>
        </w:rPr>
        <w:t>;</w:t>
      </w:r>
    </w:p>
    <w:p w14:paraId="4E1F6C97" w14:textId="0B077F7F" w:rsidR="00FE78DE" w:rsidRPr="00730C0D" w:rsidRDefault="00FE78DE" w:rsidP="0024520B">
      <w:pPr>
        <w:numPr>
          <w:ilvl w:val="0"/>
          <w:numId w:val="27"/>
        </w:numPr>
        <w:spacing w:before="0" w:after="0"/>
        <w:ind w:left="709" w:hanging="425"/>
        <w:jc w:val="both"/>
        <w:rPr>
          <w:rFonts w:ascii="Century Gothic" w:hAnsi="Century Gothic"/>
          <w:sz w:val="20"/>
          <w:szCs w:val="20"/>
        </w:rPr>
      </w:pPr>
      <w:r w:rsidRPr="00730C0D">
        <w:rPr>
          <w:rFonts w:ascii="Century Gothic" w:hAnsi="Century Gothic"/>
          <w:sz w:val="20"/>
          <w:szCs w:val="20"/>
        </w:rPr>
        <w:t xml:space="preserve">has a </w:t>
      </w:r>
      <w:r w:rsidRPr="00E11DA7">
        <w:rPr>
          <w:rFonts w:ascii="Century Gothic" w:eastAsia="Calibri" w:hAnsi="Century Gothic" w:cs="Arial"/>
          <w:sz w:val="20"/>
          <w:szCs w:val="20"/>
        </w:rPr>
        <w:t>history</w:t>
      </w:r>
      <w:r w:rsidRPr="00730C0D">
        <w:rPr>
          <w:rFonts w:ascii="Century Gothic" w:hAnsi="Century Gothic"/>
          <w:sz w:val="20"/>
          <w:szCs w:val="20"/>
        </w:rPr>
        <w:t xml:space="preserve"> of at least five years of successful delivery with strong student outcomes, taking into account different student cohorts. Student outcomes can be measured against a variety of sources deemed acceptable to TEQSA, such as graduate outcomes, </w:t>
      </w:r>
      <w:r>
        <w:rPr>
          <w:rFonts w:ascii="Century Gothic" w:hAnsi="Century Gothic"/>
          <w:sz w:val="20"/>
          <w:szCs w:val="20"/>
        </w:rPr>
        <w:t>adjusted attrition</w:t>
      </w:r>
      <w:r w:rsidRPr="00730C0D">
        <w:rPr>
          <w:rFonts w:ascii="Century Gothic" w:hAnsi="Century Gothic"/>
          <w:sz w:val="20"/>
          <w:szCs w:val="20"/>
        </w:rPr>
        <w:t xml:space="preserve"> rates</w:t>
      </w:r>
      <w:r>
        <w:rPr>
          <w:rFonts w:ascii="Century Gothic" w:hAnsi="Century Gothic"/>
          <w:sz w:val="20"/>
          <w:szCs w:val="20"/>
        </w:rPr>
        <w:t>,</w:t>
      </w:r>
      <w:r w:rsidRPr="00730C0D">
        <w:rPr>
          <w:rFonts w:ascii="Century Gothic" w:hAnsi="Century Gothic"/>
          <w:sz w:val="20"/>
          <w:szCs w:val="20"/>
        </w:rPr>
        <w:t xml:space="preserve"> and measures of student experience</w:t>
      </w:r>
      <w:r w:rsidR="00B37A0B">
        <w:rPr>
          <w:rFonts w:ascii="Century Gothic" w:hAnsi="Century Gothic"/>
          <w:sz w:val="20"/>
          <w:szCs w:val="20"/>
        </w:rPr>
        <w:t>;</w:t>
      </w:r>
    </w:p>
    <w:p w14:paraId="2695A8D6" w14:textId="77777777"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has mature and advanced processes for the design, delivery, accreditation, monitoring, institutional quality assurance, review and improvement of courses of study</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the maintenance of academic integrity;</w:t>
      </w:r>
    </w:p>
    <w:p w14:paraId="567AD443" w14:textId="77777777"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demonstrates systematic support for scholarship and demonstrates scholarly activities and outcomes that inform teaching, learning</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professional practice and make a contribution to the advancement and dissemination of knowledge;</w:t>
      </w:r>
    </w:p>
    <w:p w14:paraId="412DE2DC" w14:textId="77777777"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identifies and implements good practices and advances in teaching and learning, and shares those practices with the higher education sector more broadly;   </w:t>
      </w:r>
    </w:p>
    <w:p w14:paraId="1864E791" w14:textId="77777777"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has breadth and depth of academic leadership and expertise in the fields of education it delivers, to guide </w:t>
      </w:r>
      <w:r>
        <w:rPr>
          <w:rFonts w:ascii="Century Gothic" w:eastAsia="Calibri" w:hAnsi="Century Gothic" w:cs="Arial"/>
          <w:sz w:val="20"/>
          <w:szCs w:val="20"/>
        </w:rPr>
        <w:t xml:space="preserve">teaching, learning, and </w:t>
      </w:r>
      <w:r w:rsidRPr="00730C0D">
        <w:rPr>
          <w:rFonts w:ascii="Century Gothic" w:eastAsia="Calibri" w:hAnsi="Century Gothic" w:cs="Arial"/>
          <w:sz w:val="20"/>
          <w:szCs w:val="20"/>
        </w:rPr>
        <w:t xml:space="preserve">academic governance; </w:t>
      </w:r>
    </w:p>
    <w:p w14:paraId="4425B1E6" w14:textId="77777777" w:rsidR="00B725F6" w:rsidRDefault="00B725F6">
      <w:pPr>
        <w:spacing w:before="0" w:after="160"/>
        <w:rPr>
          <w:rFonts w:ascii="Century Gothic" w:eastAsia="Calibri" w:hAnsi="Century Gothic" w:cs="Arial"/>
          <w:sz w:val="20"/>
          <w:szCs w:val="20"/>
        </w:rPr>
      </w:pPr>
      <w:r>
        <w:rPr>
          <w:rFonts w:ascii="Century Gothic" w:eastAsia="Calibri" w:hAnsi="Century Gothic" w:cs="Arial"/>
          <w:sz w:val="20"/>
          <w:szCs w:val="20"/>
        </w:rPr>
        <w:br w:type="page"/>
      </w:r>
    </w:p>
    <w:p w14:paraId="721470C0" w14:textId="7F88F4D6"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demonstrates engagement with employers, industry</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the professions in areas such as course development, work-integrated learning</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research partnerships; </w:t>
      </w:r>
    </w:p>
    <w:p w14:paraId="1536761B" w14:textId="77777777" w:rsidR="00FE78DE" w:rsidRPr="00730C0D" w:rsidRDefault="00FE78DE" w:rsidP="0024520B">
      <w:pPr>
        <w:numPr>
          <w:ilvl w:val="0"/>
          <w:numId w:val="27"/>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demonstrates strong </w:t>
      </w:r>
      <w:r>
        <w:rPr>
          <w:rFonts w:ascii="Century Gothic" w:eastAsia="Calibri" w:hAnsi="Century Gothic" w:cs="Arial"/>
          <w:sz w:val="20"/>
          <w:szCs w:val="20"/>
        </w:rPr>
        <w:t xml:space="preserve">civic leadership, </w:t>
      </w:r>
      <w:r w:rsidRPr="00730C0D">
        <w:rPr>
          <w:rFonts w:ascii="Century Gothic" w:eastAsia="Calibri" w:hAnsi="Century Gothic" w:cs="Arial"/>
          <w:sz w:val="20"/>
          <w:szCs w:val="20"/>
        </w:rPr>
        <w:t>engagement with its local and regional communities</w:t>
      </w:r>
      <w:r>
        <w:rPr>
          <w:rFonts w:ascii="Century Gothic" w:eastAsia="Calibri" w:hAnsi="Century Gothic" w:cs="Arial"/>
          <w:sz w:val="20"/>
          <w:szCs w:val="20"/>
        </w:rPr>
        <w:t>,</w:t>
      </w:r>
      <w:r w:rsidRPr="00730C0D">
        <w:rPr>
          <w:rFonts w:ascii="Century Gothic" w:eastAsia="Calibri" w:hAnsi="Century Gothic" w:cs="Arial"/>
          <w:sz w:val="20"/>
          <w:szCs w:val="20"/>
        </w:rPr>
        <w:t xml:space="preserve"> and demonstrates a commitment to social responsibility; and</w:t>
      </w:r>
    </w:p>
    <w:p w14:paraId="5448011A" w14:textId="46A82247" w:rsidR="00FE78DE" w:rsidRPr="00B725F6" w:rsidRDefault="00FE78DE" w:rsidP="00C93260">
      <w:pPr>
        <w:numPr>
          <w:ilvl w:val="0"/>
          <w:numId w:val="27"/>
        </w:numPr>
        <w:spacing w:before="0" w:after="0"/>
        <w:ind w:left="709" w:hanging="425"/>
        <w:jc w:val="both"/>
        <w:rPr>
          <w:rFonts w:ascii="Century Gothic" w:eastAsiaTheme="majorEastAsia" w:hAnsi="Century Gothic" w:cs="Arial"/>
          <w:b/>
          <w:bCs/>
          <w:sz w:val="20"/>
          <w:szCs w:val="20"/>
        </w:rPr>
      </w:pPr>
      <w:r w:rsidRPr="00730C0D">
        <w:rPr>
          <w:rFonts w:ascii="Century Gothic" w:eastAsia="Calibri" w:hAnsi="Century Gothic" w:cs="Arial"/>
          <w:sz w:val="20"/>
          <w:szCs w:val="20"/>
        </w:rPr>
        <w:t>has the support of the relevant State, Territory or Commonwealth government for its application for registration in the Australian University category.</w:t>
      </w:r>
    </w:p>
    <w:p w14:paraId="3B37CCC5" w14:textId="77777777" w:rsidR="00B725F6" w:rsidRPr="00842C66" w:rsidRDefault="00B725F6" w:rsidP="00B725F6">
      <w:pPr>
        <w:spacing w:before="0" w:after="0"/>
        <w:ind w:left="709"/>
        <w:jc w:val="both"/>
        <w:rPr>
          <w:rFonts w:ascii="Century Gothic" w:eastAsiaTheme="majorEastAsia" w:hAnsi="Century Gothic" w:cs="Arial"/>
          <w:b/>
          <w:bCs/>
          <w:sz w:val="20"/>
          <w:szCs w:val="20"/>
        </w:rPr>
      </w:pPr>
    </w:p>
    <w:p w14:paraId="695F33A9" w14:textId="56622BA9" w:rsidR="00FE78DE" w:rsidRPr="00730C0D" w:rsidRDefault="00FE78DE" w:rsidP="00FE78DE">
      <w:pPr>
        <w:spacing w:before="0" w:after="0"/>
        <w:contextualSpacing/>
        <w:jc w:val="both"/>
        <w:rPr>
          <w:rFonts w:ascii="Century Gothic" w:eastAsiaTheme="majorEastAsia" w:hAnsi="Century Gothic" w:cs="Arial"/>
          <w:b/>
          <w:bCs/>
        </w:rPr>
      </w:pPr>
      <w:r w:rsidRPr="00730C0D">
        <w:rPr>
          <w:rFonts w:ascii="Century Gothic" w:eastAsiaTheme="majorEastAsia" w:hAnsi="Century Gothic" w:cs="Arial"/>
          <w:b/>
          <w:bCs/>
        </w:rPr>
        <w:t>B1.4</w:t>
      </w:r>
      <w:r w:rsidRPr="00730C0D">
        <w:rPr>
          <w:rFonts w:ascii="Century Gothic" w:eastAsiaTheme="majorEastAsia" w:hAnsi="Century Gothic" w:cs="Arial"/>
          <w:b/>
          <w:bCs/>
        </w:rPr>
        <w:tab/>
        <w:t xml:space="preserve">‘Overseas University in Australia’ Category </w:t>
      </w:r>
    </w:p>
    <w:p w14:paraId="044DC5D8" w14:textId="77777777" w:rsidR="00FE78DE" w:rsidRPr="00730C0D" w:rsidRDefault="00FE78DE" w:rsidP="00FE78DE">
      <w:pPr>
        <w:spacing w:before="0" w:after="0"/>
        <w:jc w:val="both"/>
        <w:rPr>
          <w:rFonts w:ascii="Century Gothic" w:hAnsi="Century Gothic"/>
          <w:sz w:val="20"/>
          <w:szCs w:val="20"/>
        </w:rPr>
      </w:pPr>
      <w:r w:rsidRPr="00730C0D">
        <w:rPr>
          <w:rFonts w:ascii="Century Gothic" w:hAnsi="Century Gothic"/>
          <w:sz w:val="20"/>
          <w:szCs w:val="20"/>
        </w:rPr>
        <w:t>The higher education provider delivers at least one overseas higher education award in Australia. Its profile in Australia may be an element of its broader international offerings.</w:t>
      </w:r>
    </w:p>
    <w:p w14:paraId="36ABB514" w14:textId="77777777" w:rsidR="00FE78DE" w:rsidRPr="00730C0D" w:rsidRDefault="00FE78DE" w:rsidP="00FE78DE">
      <w:pPr>
        <w:spacing w:before="0" w:after="0"/>
        <w:contextualSpacing/>
        <w:jc w:val="both"/>
        <w:rPr>
          <w:rFonts w:ascii="Century Gothic" w:hAnsi="Century Gothic"/>
          <w:sz w:val="20"/>
          <w:szCs w:val="20"/>
        </w:rPr>
      </w:pPr>
    </w:p>
    <w:p w14:paraId="744E9049" w14:textId="77777777" w:rsidR="00FE78DE" w:rsidRPr="00730C0D" w:rsidRDefault="00FE78DE" w:rsidP="00FE78DE">
      <w:p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The higher education provider: </w:t>
      </w:r>
    </w:p>
    <w:p w14:paraId="0502406D" w14:textId="77777777" w:rsidR="00FE78DE" w:rsidRPr="00730C0D" w:rsidRDefault="00FE78DE" w:rsidP="0024520B">
      <w:pPr>
        <w:numPr>
          <w:ilvl w:val="0"/>
          <w:numId w:val="28"/>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is recognised as a university by its home country registration or accreditation authority or equivalent governmental authority, the standing and standards of which are acceptable to TEQSA;  and</w:t>
      </w:r>
    </w:p>
    <w:p w14:paraId="426E4B79" w14:textId="416FEF4D" w:rsidR="00FE78DE" w:rsidRDefault="00FE78DE" w:rsidP="0024520B">
      <w:pPr>
        <w:numPr>
          <w:ilvl w:val="0"/>
          <w:numId w:val="28"/>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meets criteria equivalent to those for the ‘Australian University’ category. </w:t>
      </w:r>
    </w:p>
    <w:p w14:paraId="7E3C3DA0" w14:textId="77777777" w:rsidR="00E81142" w:rsidRPr="00730C0D" w:rsidRDefault="00E81142" w:rsidP="00C93260">
      <w:pPr>
        <w:spacing w:before="0" w:after="0"/>
        <w:jc w:val="both"/>
        <w:rPr>
          <w:rFonts w:ascii="Century Gothic" w:eastAsia="Calibri" w:hAnsi="Century Gothic" w:cs="Arial"/>
          <w:sz w:val="20"/>
          <w:szCs w:val="20"/>
        </w:rPr>
      </w:pPr>
    </w:p>
    <w:p w14:paraId="1C522B70" w14:textId="77777777" w:rsidR="00FE78DE" w:rsidRPr="00730C0D" w:rsidRDefault="00FE78DE" w:rsidP="00FE78DE">
      <w:pPr>
        <w:pStyle w:val="ListParagraph"/>
        <w:keepNext/>
        <w:spacing w:before="0" w:after="0"/>
        <w:ind w:left="1440"/>
        <w:jc w:val="both"/>
        <w:outlineLvl w:val="0"/>
        <w:rPr>
          <w:rFonts w:ascii="Century Gothic" w:eastAsia="Batang" w:hAnsi="Century Gothic" w:cs="Arial"/>
          <w:b/>
          <w:bCs/>
          <w:sz w:val="20"/>
          <w:szCs w:val="20"/>
        </w:rPr>
      </w:pPr>
    </w:p>
    <w:p w14:paraId="539E8775" w14:textId="3E187656" w:rsidR="00FE78DE" w:rsidRPr="00730C0D" w:rsidRDefault="00FE78DE" w:rsidP="00FE78DE">
      <w:pPr>
        <w:spacing w:before="0" w:after="0"/>
        <w:contextualSpacing/>
        <w:jc w:val="both"/>
        <w:rPr>
          <w:rFonts w:ascii="Century Gothic" w:eastAsia="Calibri" w:hAnsi="Century Gothic" w:cs="Arial"/>
          <w:sz w:val="20"/>
          <w:szCs w:val="20"/>
        </w:rPr>
      </w:pPr>
      <w:r w:rsidRPr="00730C0D">
        <w:rPr>
          <w:rFonts w:ascii="Century Gothic" w:eastAsiaTheme="majorEastAsia" w:hAnsi="Century Gothic" w:cs="Arial"/>
          <w:b/>
          <w:bCs/>
          <w:sz w:val="24"/>
          <w:szCs w:val="24"/>
        </w:rPr>
        <w:t>B2:</w:t>
      </w:r>
      <w:r w:rsidRPr="00730C0D">
        <w:rPr>
          <w:rFonts w:ascii="Century Gothic" w:eastAsiaTheme="majorEastAsia" w:hAnsi="Century Gothic" w:cs="Arial"/>
          <w:b/>
          <w:bCs/>
          <w:sz w:val="24"/>
          <w:szCs w:val="24"/>
        </w:rPr>
        <w:tab/>
        <w:t xml:space="preserve">Criteria for Seeking Self-Accrediting Authority </w:t>
      </w:r>
    </w:p>
    <w:p w14:paraId="03BF8805" w14:textId="77777777" w:rsidR="00FE78DE" w:rsidRPr="00730C0D" w:rsidRDefault="00FE78DE" w:rsidP="00FE78DE">
      <w:p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Providers can apply to TEQSA for self-accrediting authority. The types of self-accrediting authority that can be authorised by TEQSA are: </w:t>
      </w:r>
    </w:p>
    <w:p w14:paraId="65D1EC99" w14:textId="77777777" w:rsidR="00FE78DE" w:rsidRPr="00730C0D" w:rsidRDefault="00FE78DE" w:rsidP="0024520B">
      <w:pPr>
        <w:numPr>
          <w:ilvl w:val="1"/>
          <w:numId w:val="26"/>
        </w:numPr>
        <w:spacing w:before="0" w:after="0"/>
        <w:ind w:left="567" w:hanging="283"/>
        <w:contextualSpacing/>
        <w:jc w:val="both"/>
        <w:rPr>
          <w:rFonts w:ascii="Century Gothic" w:eastAsia="Calibri" w:hAnsi="Century Gothic" w:cs="Arial"/>
          <w:sz w:val="20"/>
          <w:szCs w:val="20"/>
        </w:rPr>
      </w:pPr>
      <w:r w:rsidRPr="00730C0D">
        <w:rPr>
          <w:rFonts w:ascii="Century Gothic" w:eastAsia="Calibri" w:hAnsi="Century Gothic" w:cs="Arial"/>
          <w:sz w:val="20"/>
          <w:szCs w:val="20"/>
        </w:rPr>
        <w:t>Unlimited: self-accrediting authority for all higher education courses of study that the provider delivers, or may deliver, in any level or field of education; or</w:t>
      </w:r>
    </w:p>
    <w:p w14:paraId="416EA00B" w14:textId="77777777" w:rsidR="00FE78DE" w:rsidRPr="00730C0D" w:rsidRDefault="00FE78DE" w:rsidP="0024520B">
      <w:pPr>
        <w:numPr>
          <w:ilvl w:val="1"/>
          <w:numId w:val="26"/>
        </w:numPr>
        <w:spacing w:before="0" w:after="0"/>
        <w:ind w:left="567" w:hanging="283"/>
        <w:contextualSpacing/>
        <w:jc w:val="both"/>
        <w:rPr>
          <w:rFonts w:ascii="Century Gothic" w:eastAsia="Calibri" w:hAnsi="Century Gothic" w:cs="Arial"/>
          <w:sz w:val="20"/>
          <w:szCs w:val="20"/>
        </w:rPr>
      </w:pPr>
      <w:r w:rsidRPr="00730C0D">
        <w:rPr>
          <w:rFonts w:ascii="Century Gothic" w:eastAsia="Calibri" w:hAnsi="Century Gothic" w:cs="Arial"/>
          <w:sz w:val="20"/>
          <w:szCs w:val="20"/>
        </w:rPr>
        <w:t xml:space="preserve">Limited: self-accrediting authority for higher education courses that the provider delivers, or may deliver, in a specific combination of levels and/or fields of education. </w:t>
      </w:r>
    </w:p>
    <w:p w14:paraId="4BFEA681" w14:textId="77777777" w:rsidR="00FE78DE" w:rsidRPr="00730C0D" w:rsidRDefault="00FE78DE" w:rsidP="00FE78DE">
      <w:pPr>
        <w:spacing w:before="0" w:after="0"/>
        <w:contextualSpacing/>
        <w:jc w:val="both"/>
        <w:rPr>
          <w:rFonts w:ascii="Century Gothic" w:eastAsia="Calibri" w:hAnsi="Century Gothic" w:cs="Arial"/>
          <w:sz w:val="20"/>
          <w:szCs w:val="20"/>
        </w:rPr>
      </w:pPr>
    </w:p>
    <w:p w14:paraId="03467AE8" w14:textId="77777777" w:rsidR="00FE78DE" w:rsidRPr="00730C0D" w:rsidRDefault="00FE78DE" w:rsidP="00FE78DE">
      <w:pPr>
        <w:spacing w:before="0" w:after="0"/>
        <w:contextualSpacing/>
        <w:jc w:val="both"/>
        <w:rPr>
          <w:rFonts w:ascii="Century Gothic" w:eastAsia="Calibri" w:hAnsi="Century Gothic" w:cs="Arial"/>
          <w:sz w:val="20"/>
          <w:szCs w:val="20"/>
        </w:rPr>
      </w:pPr>
      <w:r w:rsidRPr="00730C0D">
        <w:rPr>
          <w:rFonts w:ascii="Century Gothic" w:eastAsia="Calibri" w:hAnsi="Century Gothic" w:cs="Arial"/>
          <w:sz w:val="20"/>
          <w:szCs w:val="20"/>
        </w:rPr>
        <w:t>A provider that is seeking authorisation for unlimited or limited self-accreditation must demonstrate that:</w:t>
      </w:r>
    </w:p>
    <w:p w14:paraId="41E5DA2B" w14:textId="77777777" w:rsidR="00FE78DE" w:rsidRPr="00730C0D" w:rsidRDefault="00FE78DE" w:rsidP="0024520B">
      <w:pPr>
        <w:numPr>
          <w:ilvl w:val="0"/>
          <w:numId w:val="29"/>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it has consistently maintained compliance with Part A of the </w:t>
      </w:r>
      <w:r w:rsidRPr="00730C0D">
        <w:rPr>
          <w:rFonts w:ascii="Century Gothic" w:eastAsia="Calibri" w:hAnsi="Century Gothic" w:cs="Arial"/>
          <w:i/>
          <w:sz w:val="20"/>
          <w:szCs w:val="20"/>
        </w:rPr>
        <w:t>Higher Education Standards Framework</w:t>
      </w:r>
      <w:r w:rsidRPr="00730C0D">
        <w:rPr>
          <w:rFonts w:ascii="Century Gothic" w:eastAsia="Calibri" w:hAnsi="Century Gothic" w:cs="Arial"/>
          <w:sz w:val="20"/>
          <w:szCs w:val="20"/>
        </w:rPr>
        <w:t>;</w:t>
      </w:r>
    </w:p>
    <w:p w14:paraId="29EF6CD4" w14:textId="77777777" w:rsidR="00FE78DE" w:rsidRPr="00730C0D" w:rsidRDefault="00FE78DE" w:rsidP="0024520B">
      <w:pPr>
        <w:numPr>
          <w:ilvl w:val="0"/>
          <w:numId w:val="29"/>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it has a five year track record of applications for course accreditation that have consistently been found by TEQSA to meet Part A of the </w:t>
      </w:r>
      <w:r w:rsidRPr="00730C0D">
        <w:rPr>
          <w:rFonts w:ascii="Century Gothic" w:eastAsia="Calibri" w:hAnsi="Century Gothic" w:cs="Arial"/>
          <w:i/>
          <w:sz w:val="20"/>
          <w:szCs w:val="20"/>
        </w:rPr>
        <w:t>Higher Education Standards Framework</w:t>
      </w:r>
      <w:r w:rsidRPr="00730C0D">
        <w:rPr>
          <w:rFonts w:ascii="Century Gothic" w:eastAsia="Calibri" w:hAnsi="Century Gothic" w:cs="Arial"/>
          <w:sz w:val="20"/>
          <w:szCs w:val="20"/>
        </w:rPr>
        <w:t xml:space="preserve"> and there are no outstanding conditions imposed on any of the provider’s courses;  </w:t>
      </w:r>
    </w:p>
    <w:p w14:paraId="612EDD40" w14:textId="12589F58" w:rsidR="00FE78DE" w:rsidRPr="00730C0D" w:rsidRDefault="00FE78DE" w:rsidP="0024520B">
      <w:pPr>
        <w:numPr>
          <w:ilvl w:val="0"/>
          <w:numId w:val="29"/>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there are no unresolved compliance matters or conditions outstanding from the most recent registration by TEQSA or a recognised registration or accreditation authority. There is also no history of continuing compliance issues in any other assessments, audits</w:t>
      </w:r>
      <w:r w:rsidR="00B37A0B">
        <w:rPr>
          <w:rFonts w:ascii="Century Gothic" w:eastAsia="Calibri" w:hAnsi="Century Gothic" w:cs="Arial"/>
          <w:sz w:val="20"/>
          <w:szCs w:val="20"/>
        </w:rPr>
        <w:t>,</w:t>
      </w:r>
      <w:r w:rsidRPr="00730C0D">
        <w:rPr>
          <w:rFonts w:ascii="Century Gothic" w:eastAsia="Calibri" w:hAnsi="Century Gothic" w:cs="Arial"/>
          <w:sz w:val="20"/>
          <w:szCs w:val="20"/>
        </w:rPr>
        <w:t xml:space="preserve"> or reviews of its higher education operations conducted by TEQSA, relevant professional bodies (if appropriate) or government agencies;</w:t>
      </w:r>
    </w:p>
    <w:p w14:paraId="5DEAD117" w14:textId="5600A4C2" w:rsidR="00FE78DE" w:rsidRPr="00730C0D" w:rsidRDefault="00FE78DE" w:rsidP="0024520B">
      <w:pPr>
        <w:numPr>
          <w:ilvl w:val="0"/>
          <w:numId w:val="29"/>
        </w:numPr>
        <w:spacing w:before="0" w:after="0"/>
        <w:ind w:left="709" w:hanging="425"/>
        <w:jc w:val="both"/>
        <w:rPr>
          <w:rFonts w:ascii="Century Gothic" w:eastAsia="Calibri" w:hAnsi="Century Gothic" w:cs="Arial"/>
          <w:sz w:val="20"/>
          <w:szCs w:val="20"/>
        </w:rPr>
      </w:pPr>
      <w:r w:rsidRPr="00730C0D">
        <w:rPr>
          <w:rFonts w:ascii="Century Gothic" w:eastAsia="Calibri" w:hAnsi="Century Gothic" w:cs="Arial"/>
          <w:sz w:val="20"/>
          <w:szCs w:val="20"/>
        </w:rPr>
        <w:t xml:space="preserve">it has complied with the following standards from Part A of the </w:t>
      </w:r>
      <w:r w:rsidRPr="00730C0D">
        <w:rPr>
          <w:rFonts w:ascii="Century Gothic" w:eastAsia="Calibri" w:hAnsi="Century Gothic" w:cs="Arial"/>
          <w:i/>
          <w:sz w:val="20"/>
          <w:szCs w:val="20"/>
        </w:rPr>
        <w:t>Higher Education Standards Framework</w:t>
      </w:r>
      <w:r w:rsidRPr="00730C0D">
        <w:rPr>
          <w:rFonts w:ascii="Century Gothic" w:eastAsia="Calibri" w:hAnsi="Century Gothic" w:cs="Arial"/>
          <w:sz w:val="20"/>
          <w:szCs w:val="20"/>
        </w:rPr>
        <w:t xml:space="preserve"> (2.2.3, 5.3, 6.1.3.d, 6.2.1.f and 6.3.2) in relation to its academic governance, course approval processes and the course(s) of study in which </w:t>
      </w:r>
      <w:r w:rsidR="00E81142">
        <w:rPr>
          <w:rFonts w:ascii="Century Gothic" w:eastAsia="Calibri" w:hAnsi="Century Gothic" w:cs="Arial"/>
          <w:sz w:val="20"/>
          <w:szCs w:val="20"/>
        </w:rPr>
        <w:br/>
      </w:r>
      <w:r w:rsidRPr="00730C0D">
        <w:rPr>
          <w:rFonts w:ascii="Century Gothic" w:eastAsia="Calibri" w:hAnsi="Century Gothic" w:cs="Arial"/>
          <w:sz w:val="20"/>
          <w:szCs w:val="20"/>
        </w:rPr>
        <w:t>self-accreditation is sought. In addition, it has:</w:t>
      </w:r>
    </w:p>
    <w:p w14:paraId="14644E54" w14:textId="77777777" w:rsidR="00FE78DE" w:rsidRPr="00730C0D" w:rsidRDefault="00FE78DE" w:rsidP="0024520B">
      <w:pPr>
        <w:numPr>
          <w:ilvl w:val="1"/>
          <w:numId w:val="29"/>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completed at least one cycle of review and improvement in relation to the course(s) of study in which self-accreditation is sought; </w:t>
      </w:r>
    </w:p>
    <w:p w14:paraId="671DA05D" w14:textId="77777777" w:rsidR="00FE78DE" w:rsidRPr="00730C0D" w:rsidRDefault="00FE78DE" w:rsidP="0024520B">
      <w:pPr>
        <w:numPr>
          <w:ilvl w:val="1"/>
          <w:numId w:val="29"/>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demonstrated successful implementation of evidence-based improvements arising from the reviews; and</w:t>
      </w:r>
    </w:p>
    <w:p w14:paraId="769E044C" w14:textId="77777777" w:rsidR="00FE78DE" w:rsidRPr="00730C0D" w:rsidRDefault="00FE78DE" w:rsidP="0024520B">
      <w:pPr>
        <w:numPr>
          <w:ilvl w:val="1"/>
          <w:numId w:val="29"/>
        </w:numPr>
        <w:spacing w:before="0" w:after="0"/>
        <w:jc w:val="both"/>
        <w:rPr>
          <w:rFonts w:ascii="Century Gothic" w:eastAsia="Calibri" w:hAnsi="Century Gothic" w:cs="Arial"/>
          <w:sz w:val="20"/>
          <w:szCs w:val="20"/>
        </w:rPr>
      </w:pPr>
      <w:r w:rsidRPr="00730C0D">
        <w:rPr>
          <w:rFonts w:ascii="Century Gothic" w:eastAsia="Calibri" w:hAnsi="Century Gothic" w:cs="Arial"/>
          <w:sz w:val="20"/>
          <w:szCs w:val="20"/>
        </w:rPr>
        <w:t xml:space="preserve">established course review and improvement activities as effective features of the provider’s operations across all courses of study. </w:t>
      </w:r>
    </w:p>
    <w:p w14:paraId="2717C2C2" w14:textId="77777777" w:rsidR="00FE78DE" w:rsidRPr="00730C0D" w:rsidRDefault="00FE78DE" w:rsidP="00FE78DE">
      <w:pPr>
        <w:spacing w:before="0" w:after="0"/>
        <w:contextualSpacing/>
        <w:jc w:val="both"/>
        <w:rPr>
          <w:rFonts w:ascii="Century Gothic" w:eastAsia="Calibri" w:hAnsi="Century Gothic" w:cs="Arial"/>
          <w:sz w:val="20"/>
          <w:szCs w:val="20"/>
        </w:rPr>
      </w:pPr>
    </w:p>
    <w:p w14:paraId="55975CB9" w14:textId="77777777" w:rsidR="00FE78DE" w:rsidRPr="00730C0D" w:rsidRDefault="00FE78DE" w:rsidP="00FE78DE">
      <w:pPr>
        <w:spacing w:before="0" w:after="160"/>
        <w:rPr>
          <w:rFonts w:ascii="Century Gothic" w:eastAsiaTheme="majorEastAsia" w:hAnsi="Century Gothic" w:cstheme="majorBidi"/>
          <w:b/>
          <w:color w:val="2763AC"/>
          <w:sz w:val="46"/>
          <w:szCs w:val="46"/>
        </w:rPr>
      </w:pPr>
      <w:bookmarkStart w:id="150" w:name="_Appendix_E."/>
      <w:bookmarkStart w:id="151" w:name="_Toc12615373"/>
      <w:bookmarkEnd w:id="150"/>
      <w:r w:rsidRPr="00730C0D">
        <w:rPr>
          <w:rFonts w:ascii="Century Gothic" w:hAnsi="Century Gothic"/>
          <w:b/>
        </w:rPr>
        <w:br w:type="page"/>
      </w:r>
    </w:p>
    <w:p w14:paraId="5286AE7B" w14:textId="77777777" w:rsidR="00392E49" w:rsidRPr="00D05844" w:rsidRDefault="00392E49" w:rsidP="00392E49">
      <w:pPr>
        <w:pStyle w:val="Heading1"/>
        <w:rPr>
          <w:b/>
        </w:rPr>
      </w:pPr>
      <w:bookmarkStart w:id="152" w:name="_Appendix_E._1"/>
      <w:bookmarkStart w:id="153" w:name="_Appendix_F."/>
      <w:bookmarkStart w:id="154" w:name="_Toc18592371"/>
      <w:bookmarkStart w:id="155" w:name="_Toc12615375"/>
      <w:bookmarkStart w:id="156" w:name="_Toc15397779"/>
      <w:bookmarkEnd w:id="151"/>
      <w:bookmarkEnd w:id="152"/>
      <w:bookmarkEnd w:id="153"/>
      <w:r w:rsidRPr="00D05844">
        <w:rPr>
          <w:b/>
        </w:rPr>
        <w:t>Appendix E.</w:t>
      </w:r>
      <w:bookmarkEnd w:id="154"/>
      <w:r w:rsidRPr="00D05844">
        <w:rPr>
          <w:b/>
        </w:rPr>
        <w:t xml:space="preserve"> </w:t>
      </w:r>
    </w:p>
    <w:p w14:paraId="13E07ED3" w14:textId="77777777" w:rsidR="00392E49" w:rsidRPr="00C966D1" w:rsidRDefault="00392E49" w:rsidP="00392E49">
      <w:pPr>
        <w:pStyle w:val="Heading1"/>
      </w:pPr>
      <w:bookmarkStart w:id="157" w:name="_Toc16242153"/>
      <w:bookmarkStart w:id="158" w:name="_Toc16609476"/>
      <w:bookmarkStart w:id="159" w:name="_Toc18495609"/>
      <w:bookmarkStart w:id="160" w:name="_Toc18592372"/>
      <w:r w:rsidRPr="00FF6A89">
        <w:rPr>
          <w:b/>
          <w:noProof/>
          <w:sz w:val="52"/>
          <w:szCs w:val="52"/>
          <w:lang w:eastAsia="en-AU"/>
        </w:rPr>
        <mc:AlternateContent>
          <mc:Choice Requires="wps">
            <w:drawing>
              <wp:anchor distT="0" distB="0" distL="114300" distR="114300" simplePos="0" relativeHeight="251712512" behindDoc="0" locked="0" layoutInCell="1" allowOverlap="1" wp14:anchorId="3F51F281" wp14:editId="45D10C1D">
                <wp:simplePos x="0" y="0"/>
                <wp:positionH relativeFrom="column">
                  <wp:posOffset>-58393</wp:posOffset>
                </wp:positionH>
                <wp:positionV relativeFrom="paragraph">
                  <wp:posOffset>1213540</wp:posOffset>
                </wp:positionV>
                <wp:extent cx="7143750" cy="0"/>
                <wp:effectExtent l="0" t="0" r="19050" b="19050"/>
                <wp:wrapNone/>
                <wp:docPr id="46" name="Straight Connector 46"/>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9229A1" id="Straight Connector 46"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95.55pt" to="557.9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" strokecolor="black [3213]" strokeweight=".5pt">
                <v:stroke joinstyle="miter"/>
              </v:line>
            </w:pict>
          </mc:Fallback>
        </mc:AlternateContent>
      </w:r>
      <w:r w:rsidRPr="00C966D1">
        <w:t>Higher Education Provider Access to Australian Government Funding and Self</w:t>
      </w:r>
      <w:r w:rsidRPr="00C966D1">
        <w:noBreakHyphen/>
        <w:t>Accrediting Authority Status</w:t>
      </w:r>
      <w:bookmarkEnd w:id="157"/>
      <w:bookmarkEnd w:id="158"/>
      <w:bookmarkEnd w:id="159"/>
      <w:bookmarkEnd w:id="160"/>
      <w:r w:rsidRPr="00C966D1">
        <w:br/>
      </w:r>
    </w:p>
    <w:p w14:paraId="266E2BD6" w14:textId="40B85224" w:rsidR="00392E49" w:rsidRPr="00A8043F" w:rsidRDefault="00392E49" w:rsidP="00392E49">
      <w:pPr>
        <w:spacing w:before="0" w:after="0" w:line="240" w:lineRule="auto"/>
        <w:rPr>
          <w:rFonts w:ascii="Century Gothic" w:eastAsiaTheme="majorEastAsia" w:hAnsi="Century Gothic" w:cstheme="minorHAnsi"/>
          <w:sz w:val="20"/>
          <w:szCs w:val="20"/>
        </w:rPr>
      </w:pPr>
      <w:r w:rsidRPr="00A8043F">
        <w:rPr>
          <w:rFonts w:ascii="Century Gothic" w:eastAsiaTheme="majorEastAsia" w:hAnsi="Century Gothic" w:cstheme="minorHAnsi"/>
          <w:sz w:val="20"/>
          <w:szCs w:val="20"/>
        </w:rPr>
        <w:t xml:space="preserve">The following table sets out higher education provider access to Australian Government funding through the Commonwealth Grant Scheme (CGS), FEE-HELP and Research Block Grants (RBG). It also identifies the self-accrediting authority (SAA) status, including </w:t>
      </w:r>
      <w:r w:rsidR="00794E80">
        <w:rPr>
          <w:rFonts w:ascii="Century Gothic" w:eastAsiaTheme="majorEastAsia" w:hAnsi="Century Gothic" w:cstheme="minorHAnsi"/>
          <w:sz w:val="20"/>
          <w:szCs w:val="20"/>
        </w:rPr>
        <w:t xml:space="preserve">those that have limited self-accrediting authority, </w:t>
      </w:r>
      <w:r w:rsidRPr="00A8043F">
        <w:rPr>
          <w:rFonts w:ascii="Century Gothic" w:eastAsiaTheme="majorEastAsia" w:hAnsi="Century Gothic" w:cstheme="minorHAnsi"/>
          <w:sz w:val="20"/>
          <w:szCs w:val="20"/>
        </w:rPr>
        <w:t>of each higher education provider.</w:t>
      </w:r>
      <w:r>
        <w:rPr>
          <w:rFonts w:ascii="Century Gothic" w:eastAsiaTheme="majorEastAsia" w:hAnsi="Century Gothic" w:cstheme="minorHAnsi"/>
          <w:sz w:val="20"/>
          <w:szCs w:val="20"/>
        </w:rPr>
        <w:t xml:space="preserve"> </w:t>
      </w:r>
      <w:r w:rsidR="00794E80">
        <w:rPr>
          <w:rFonts w:ascii="Century Gothic" w:eastAsiaTheme="majorEastAsia" w:hAnsi="Century Gothic" w:cstheme="minorHAnsi"/>
          <w:sz w:val="20"/>
          <w:szCs w:val="20"/>
        </w:rPr>
        <w:t xml:space="preserve">Providers are listed in alphabetical order by legal business name as per the TEQSA National Register. </w:t>
      </w:r>
    </w:p>
    <w:p w14:paraId="6B9479A5" w14:textId="77777777" w:rsidR="00392E49" w:rsidRPr="00A8043F" w:rsidRDefault="00392E49" w:rsidP="00392E49">
      <w:pPr>
        <w:spacing w:before="0" w:after="160"/>
        <w:rPr>
          <w:rFonts w:ascii="Century Gothic" w:hAnsi="Century Gothic"/>
          <w:sz w:val="20"/>
          <w:szCs w:val="20"/>
        </w:rPr>
      </w:pPr>
    </w:p>
    <w:tbl>
      <w:tblPr>
        <w:tblW w:w="11049" w:type="dxa"/>
        <w:tblInd w:w="-99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08"/>
        <w:gridCol w:w="990"/>
        <w:gridCol w:w="3822"/>
        <w:gridCol w:w="850"/>
        <w:gridCol w:w="990"/>
        <w:gridCol w:w="853"/>
        <w:gridCol w:w="1136"/>
      </w:tblGrid>
      <w:tr w:rsidR="00392E49" w:rsidRPr="007A5946" w14:paraId="6BC6E192" w14:textId="77777777" w:rsidTr="00392E49">
        <w:trPr>
          <w:trHeight w:val="414"/>
        </w:trPr>
        <w:tc>
          <w:tcPr>
            <w:tcW w:w="11049" w:type="dxa"/>
            <w:gridSpan w:val="7"/>
            <w:shd w:val="clear" w:color="auto" w:fill="2763AC"/>
            <w:noWrap/>
            <w:vAlign w:val="center"/>
          </w:tcPr>
          <w:p w14:paraId="3A0BA507" w14:textId="77777777" w:rsidR="00392E49" w:rsidRPr="007A5946" w:rsidRDefault="00392E49" w:rsidP="00392E49">
            <w:pPr>
              <w:spacing w:before="40" w:after="40"/>
              <w:jc w:val="center"/>
              <w:rPr>
                <w:rFonts w:ascii="Century Gothic" w:hAnsi="Century Gothic"/>
                <w:b/>
                <w:bCs/>
                <w:color w:val="FFFFFF" w:themeColor="background1"/>
                <w:sz w:val="24"/>
                <w:szCs w:val="24"/>
              </w:rPr>
            </w:pPr>
            <w:r w:rsidRPr="007A5946">
              <w:rPr>
                <w:rFonts w:ascii="Century Gothic" w:hAnsi="Century Gothic"/>
                <w:b/>
                <w:bCs/>
                <w:color w:val="FFFFFF" w:themeColor="background1"/>
                <w:sz w:val="24"/>
                <w:szCs w:val="24"/>
              </w:rPr>
              <w:t>Universities</w:t>
            </w:r>
          </w:p>
        </w:tc>
      </w:tr>
      <w:tr w:rsidR="00392E49" w:rsidRPr="007A5946" w14:paraId="2FAD0C7B" w14:textId="77777777" w:rsidTr="00392E49">
        <w:trPr>
          <w:trHeight w:val="268"/>
        </w:trPr>
        <w:tc>
          <w:tcPr>
            <w:tcW w:w="2408" w:type="dxa"/>
            <w:noWrap/>
            <w:vAlign w:val="center"/>
            <w:hideMark/>
          </w:tcPr>
          <w:p w14:paraId="47C88AAF"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Provider Category</w:t>
            </w:r>
          </w:p>
        </w:tc>
        <w:tc>
          <w:tcPr>
            <w:tcW w:w="990" w:type="dxa"/>
            <w:noWrap/>
            <w:vAlign w:val="center"/>
            <w:hideMark/>
          </w:tcPr>
          <w:p w14:paraId="737D4419"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Table</w:t>
            </w:r>
          </w:p>
        </w:tc>
        <w:tc>
          <w:tcPr>
            <w:tcW w:w="3822" w:type="dxa"/>
            <w:noWrap/>
            <w:vAlign w:val="center"/>
            <w:hideMark/>
          </w:tcPr>
          <w:p w14:paraId="27AA5BD5"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Provider Name</w:t>
            </w:r>
          </w:p>
        </w:tc>
        <w:tc>
          <w:tcPr>
            <w:tcW w:w="850" w:type="dxa"/>
            <w:noWrap/>
            <w:vAlign w:val="center"/>
            <w:hideMark/>
          </w:tcPr>
          <w:p w14:paraId="4D91D1D2"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CGS</w:t>
            </w:r>
          </w:p>
        </w:tc>
        <w:tc>
          <w:tcPr>
            <w:tcW w:w="990" w:type="dxa"/>
            <w:noWrap/>
            <w:vAlign w:val="center"/>
            <w:hideMark/>
          </w:tcPr>
          <w:p w14:paraId="6E2B3E27"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FEE-HELP</w:t>
            </w:r>
          </w:p>
        </w:tc>
        <w:tc>
          <w:tcPr>
            <w:tcW w:w="853" w:type="dxa"/>
            <w:noWrap/>
            <w:vAlign w:val="center"/>
            <w:hideMark/>
          </w:tcPr>
          <w:p w14:paraId="0BFC4858"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RBG</w:t>
            </w:r>
          </w:p>
        </w:tc>
        <w:tc>
          <w:tcPr>
            <w:tcW w:w="1136" w:type="dxa"/>
            <w:noWrap/>
            <w:vAlign w:val="center"/>
            <w:hideMark/>
          </w:tcPr>
          <w:p w14:paraId="68701A47" w14:textId="77777777" w:rsidR="00392E49" w:rsidRPr="007A5946" w:rsidRDefault="00392E49" w:rsidP="00392E49">
            <w:pPr>
              <w:spacing w:before="0" w:after="0"/>
              <w:rPr>
                <w:rFonts w:ascii="Century Gothic" w:hAnsi="Century Gothic"/>
                <w:b/>
                <w:bCs/>
                <w:sz w:val="18"/>
                <w:szCs w:val="18"/>
              </w:rPr>
            </w:pPr>
            <w:r w:rsidRPr="007A5946">
              <w:rPr>
                <w:rFonts w:ascii="Century Gothic" w:hAnsi="Century Gothic"/>
                <w:b/>
                <w:bCs/>
                <w:sz w:val="18"/>
                <w:szCs w:val="18"/>
              </w:rPr>
              <w:t>SAA</w:t>
            </w:r>
          </w:p>
        </w:tc>
      </w:tr>
      <w:tr w:rsidR="00392E49" w:rsidRPr="007A5946" w14:paraId="6505C178" w14:textId="77777777" w:rsidTr="00392E49">
        <w:trPr>
          <w:trHeight w:val="285"/>
        </w:trPr>
        <w:tc>
          <w:tcPr>
            <w:tcW w:w="2408" w:type="dxa"/>
            <w:shd w:val="clear" w:color="auto" w:fill="FFF2CC" w:themeFill="accent4" w:themeFillTint="33"/>
            <w:noWrap/>
            <w:vAlign w:val="center"/>
            <w:hideMark/>
          </w:tcPr>
          <w:p w14:paraId="1CC499BC"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3D4A8CF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700F17D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Catholic University</w:t>
            </w:r>
            <w:r>
              <w:rPr>
                <w:rFonts w:ascii="Century Gothic" w:hAnsi="Century Gothic"/>
                <w:sz w:val="18"/>
                <w:szCs w:val="18"/>
              </w:rPr>
              <w:t xml:space="preserve"> Limited</w:t>
            </w:r>
          </w:p>
        </w:tc>
        <w:tc>
          <w:tcPr>
            <w:tcW w:w="850" w:type="dxa"/>
            <w:shd w:val="clear" w:color="auto" w:fill="C5E0B3" w:themeFill="accent6" w:themeFillTint="66"/>
            <w:noWrap/>
            <w:vAlign w:val="center"/>
            <w:hideMark/>
          </w:tcPr>
          <w:p w14:paraId="0E12050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645764F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07C90A8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46A5E31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0DB69B1" w14:textId="77777777" w:rsidTr="00392E49">
        <w:trPr>
          <w:trHeight w:val="285"/>
        </w:trPr>
        <w:tc>
          <w:tcPr>
            <w:tcW w:w="2408" w:type="dxa"/>
            <w:shd w:val="clear" w:color="auto" w:fill="FFF2CC" w:themeFill="accent4" w:themeFillTint="33"/>
            <w:noWrap/>
            <w:vAlign w:val="center"/>
            <w:hideMark/>
          </w:tcPr>
          <w:p w14:paraId="28DC09D0"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1C7135A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3E23E6E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National University</w:t>
            </w:r>
          </w:p>
        </w:tc>
        <w:tc>
          <w:tcPr>
            <w:tcW w:w="850" w:type="dxa"/>
            <w:shd w:val="clear" w:color="auto" w:fill="C5E0B3" w:themeFill="accent6" w:themeFillTint="66"/>
            <w:noWrap/>
            <w:vAlign w:val="center"/>
            <w:hideMark/>
          </w:tcPr>
          <w:p w14:paraId="025E6F0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7BD65F7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6A18749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473D2C5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465FA41D" w14:textId="77777777" w:rsidTr="00392E49">
        <w:trPr>
          <w:trHeight w:val="285"/>
        </w:trPr>
        <w:tc>
          <w:tcPr>
            <w:tcW w:w="2408" w:type="dxa"/>
            <w:shd w:val="clear" w:color="auto" w:fill="FFF2CC" w:themeFill="accent4" w:themeFillTint="33"/>
            <w:noWrap/>
            <w:vAlign w:val="center"/>
            <w:hideMark/>
          </w:tcPr>
          <w:p w14:paraId="4C725B7B"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F4B083" w:themeFill="accent2" w:themeFillTint="99"/>
            <w:noWrap/>
            <w:vAlign w:val="center"/>
            <w:hideMark/>
          </w:tcPr>
          <w:p w14:paraId="5A2C4FA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B</w:t>
            </w:r>
          </w:p>
        </w:tc>
        <w:tc>
          <w:tcPr>
            <w:tcW w:w="3822" w:type="dxa"/>
            <w:noWrap/>
            <w:vAlign w:val="center"/>
            <w:hideMark/>
          </w:tcPr>
          <w:p w14:paraId="70F8AEE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Bond University</w:t>
            </w:r>
            <w:r>
              <w:rPr>
                <w:rFonts w:ascii="Century Gothic" w:hAnsi="Century Gothic"/>
                <w:sz w:val="18"/>
                <w:szCs w:val="18"/>
              </w:rPr>
              <w:t xml:space="preserve"> Limited</w:t>
            </w:r>
          </w:p>
        </w:tc>
        <w:tc>
          <w:tcPr>
            <w:tcW w:w="850" w:type="dxa"/>
            <w:shd w:val="clear" w:color="auto" w:fill="C5E0B3" w:themeFill="accent6" w:themeFillTint="66"/>
            <w:noWrap/>
            <w:vAlign w:val="center"/>
            <w:hideMark/>
          </w:tcPr>
          <w:p w14:paraId="0F5BC49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4E90BB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2186575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39D1F2E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F21FD21" w14:textId="77777777" w:rsidTr="00392E49">
        <w:trPr>
          <w:trHeight w:val="285"/>
        </w:trPr>
        <w:tc>
          <w:tcPr>
            <w:tcW w:w="2408" w:type="dxa"/>
            <w:shd w:val="clear" w:color="auto" w:fill="FFF2CC" w:themeFill="accent4" w:themeFillTint="33"/>
            <w:noWrap/>
            <w:vAlign w:val="center"/>
            <w:hideMark/>
          </w:tcPr>
          <w:p w14:paraId="5E27C87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37429E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11D7C33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Central Queensland University</w:t>
            </w:r>
          </w:p>
        </w:tc>
        <w:tc>
          <w:tcPr>
            <w:tcW w:w="850" w:type="dxa"/>
            <w:shd w:val="clear" w:color="auto" w:fill="C5E0B3" w:themeFill="accent6" w:themeFillTint="66"/>
            <w:noWrap/>
            <w:vAlign w:val="center"/>
            <w:hideMark/>
          </w:tcPr>
          <w:p w14:paraId="1D67E12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3535716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5E4C6D4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35086B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7EFC3502" w14:textId="77777777" w:rsidTr="00392E49">
        <w:trPr>
          <w:trHeight w:val="285"/>
        </w:trPr>
        <w:tc>
          <w:tcPr>
            <w:tcW w:w="2408" w:type="dxa"/>
            <w:shd w:val="clear" w:color="auto" w:fill="FFF2CC" w:themeFill="accent4" w:themeFillTint="33"/>
            <w:noWrap/>
            <w:vAlign w:val="center"/>
            <w:hideMark/>
          </w:tcPr>
          <w:p w14:paraId="75F8A923"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5F7D8E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6EDE848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Charles Darwin University</w:t>
            </w:r>
          </w:p>
        </w:tc>
        <w:tc>
          <w:tcPr>
            <w:tcW w:w="850" w:type="dxa"/>
            <w:shd w:val="clear" w:color="auto" w:fill="C5E0B3" w:themeFill="accent6" w:themeFillTint="66"/>
            <w:noWrap/>
            <w:vAlign w:val="center"/>
            <w:hideMark/>
          </w:tcPr>
          <w:p w14:paraId="698F43D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382AD22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5DCCA80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0F565B6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36DD733" w14:textId="77777777" w:rsidTr="00392E49">
        <w:trPr>
          <w:trHeight w:val="285"/>
        </w:trPr>
        <w:tc>
          <w:tcPr>
            <w:tcW w:w="2408" w:type="dxa"/>
            <w:shd w:val="clear" w:color="auto" w:fill="FFF2CC" w:themeFill="accent4" w:themeFillTint="33"/>
            <w:noWrap/>
            <w:vAlign w:val="center"/>
            <w:hideMark/>
          </w:tcPr>
          <w:p w14:paraId="2C8A8457"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5903C5C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00C6A09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Charles Sturt University</w:t>
            </w:r>
          </w:p>
        </w:tc>
        <w:tc>
          <w:tcPr>
            <w:tcW w:w="850" w:type="dxa"/>
            <w:shd w:val="clear" w:color="auto" w:fill="C5E0B3" w:themeFill="accent6" w:themeFillTint="66"/>
            <w:noWrap/>
            <w:vAlign w:val="center"/>
            <w:hideMark/>
          </w:tcPr>
          <w:p w14:paraId="5F0C41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742D90F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131F91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3D103FD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AEFA2E2" w14:textId="77777777" w:rsidTr="00392E49">
        <w:trPr>
          <w:trHeight w:val="285"/>
        </w:trPr>
        <w:tc>
          <w:tcPr>
            <w:tcW w:w="2408" w:type="dxa"/>
            <w:shd w:val="clear" w:color="auto" w:fill="FFF2CC" w:themeFill="accent4" w:themeFillTint="33"/>
            <w:noWrap/>
            <w:vAlign w:val="center"/>
            <w:hideMark/>
          </w:tcPr>
          <w:p w14:paraId="17E58CEE"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5C5C524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5CCDB3D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Curtin University of Technology</w:t>
            </w:r>
          </w:p>
        </w:tc>
        <w:tc>
          <w:tcPr>
            <w:tcW w:w="850" w:type="dxa"/>
            <w:shd w:val="clear" w:color="auto" w:fill="C5E0B3" w:themeFill="accent6" w:themeFillTint="66"/>
            <w:noWrap/>
            <w:vAlign w:val="center"/>
            <w:hideMark/>
          </w:tcPr>
          <w:p w14:paraId="5A78A8C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61EFAF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432096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543CC8C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AADF2F8" w14:textId="77777777" w:rsidTr="00392E49">
        <w:trPr>
          <w:trHeight w:val="285"/>
        </w:trPr>
        <w:tc>
          <w:tcPr>
            <w:tcW w:w="2408" w:type="dxa"/>
            <w:shd w:val="clear" w:color="auto" w:fill="FFF2CC" w:themeFill="accent4" w:themeFillTint="33"/>
            <w:noWrap/>
            <w:vAlign w:val="center"/>
            <w:hideMark/>
          </w:tcPr>
          <w:p w14:paraId="1648861B"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774D70A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70E7B55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Deakin University</w:t>
            </w:r>
          </w:p>
        </w:tc>
        <w:tc>
          <w:tcPr>
            <w:tcW w:w="850" w:type="dxa"/>
            <w:shd w:val="clear" w:color="auto" w:fill="C5E0B3" w:themeFill="accent6" w:themeFillTint="66"/>
            <w:noWrap/>
            <w:vAlign w:val="center"/>
            <w:hideMark/>
          </w:tcPr>
          <w:p w14:paraId="0425DD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3BA95F1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6BB20BA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28763A7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F283619" w14:textId="77777777" w:rsidTr="00392E49">
        <w:trPr>
          <w:trHeight w:val="285"/>
        </w:trPr>
        <w:tc>
          <w:tcPr>
            <w:tcW w:w="2408" w:type="dxa"/>
            <w:shd w:val="clear" w:color="auto" w:fill="FFF2CC" w:themeFill="accent4" w:themeFillTint="33"/>
            <w:noWrap/>
            <w:vAlign w:val="center"/>
            <w:hideMark/>
          </w:tcPr>
          <w:p w14:paraId="5E4F0B14"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1968E93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68C6B7F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Edith Cowan University</w:t>
            </w:r>
          </w:p>
        </w:tc>
        <w:tc>
          <w:tcPr>
            <w:tcW w:w="850" w:type="dxa"/>
            <w:shd w:val="clear" w:color="auto" w:fill="C5E0B3" w:themeFill="accent6" w:themeFillTint="66"/>
            <w:noWrap/>
            <w:vAlign w:val="center"/>
            <w:hideMark/>
          </w:tcPr>
          <w:p w14:paraId="2A8D782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1046FA5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0DFF69E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1A8D70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6245D21F" w14:textId="77777777" w:rsidTr="00392E49">
        <w:trPr>
          <w:trHeight w:val="285"/>
        </w:trPr>
        <w:tc>
          <w:tcPr>
            <w:tcW w:w="2408" w:type="dxa"/>
            <w:shd w:val="clear" w:color="auto" w:fill="FFF2CC" w:themeFill="accent4" w:themeFillTint="33"/>
            <w:noWrap/>
            <w:vAlign w:val="center"/>
            <w:hideMark/>
          </w:tcPr>
          <w:p w14:paraId="04B03F1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78711F4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26CAFE4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Federation University Australia</w:t>
            </w:r>
          </w:p>
        </w:tc>
        <w:tc>
          <w:tcPr>
            <w:tcW w:w="850" w:type="dxa"/>
            <w:shd w:val="clear" w:color="auto" w:fill="C5E0B3" w:themeFill="accent6" w:themeFillTint="66"/>
            <w:noWrap/>
            <w:vAlign w:val="center"/>
            <w:hideMark/>
          </w:tcPr>
          <w:p w14:paraId="5488D47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204B8C5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0D536E1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54B2968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09271ED" w14:textId="77777777" w:rsidTr="00392E49">
        <w:trPr>
          <w:trHeight w:val="285"/>
        </w:trPr>
        <w:tc>
          <w:tcPr>
            <w:tcW w:w="2408" w:type="dxa"/>
            <w:shd w:val="clear" w:color="auto" w:fill="FFF2CC" w:themeFill="accent4" w:themeFillTint="33"/>
            <w:noWrap/>
            <w:vAlign w:val="center"/>
            <w:hideMark/>
          </w:tcPr>
          <w:p w14:paraId="2B9ACCA0"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6CA8D60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242815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 xml:space="preserve">Flinders University </w:t>
            </w:r>
          </w:p>
        </w:tc>
        <w:tc>
          <w:tcPr>
            <w:tcW w:w="850" w:type="dxa"/>
            <w:shd w:val="clear" w:color="auto" w:fill="C5E0B3" w:themeFill="accent6" w:themeFillTint="66"/>
            <w:noWrap/>
            <w:vAlign w:val="center"/>
            <w:hideMark/>
          </w:tcPr>
          <w:p w14:paraId="30C032A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58637D4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7BC982A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7CA713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CD90DD4" w14:textId="77777777" w:rsidTr="00392E49">
        <w:trPr>
          <w:trHeight w:val="285"/>
        </w:trPr>
        <w:tc>
          <w:tcPr>
            <w:tcW w:w="2408" w:type="dxa"/>
            <w:shd w:val="clear" w:color="auto" w:fill="FFF2CC" w:themeFill="accent4" w:themeFillTint="33"/>
            <w:noWrap/>
            <w:vAlign w:val="center"/>
            <w:hideMark/>
          </w:tcPr>
          <w:p w14:paraId="7D295E5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3715609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4A2735D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Griffith University</w:t>
            </w:r>
          </w:p>
        </w:tc>
        <w:tc>
          <w:tcPr>
            <w:tcW w:w="850" w:type="dxa"/>
            <w:shd w:val="clear" w:color="auto" w:fill="C5E0B3" w:themeFill="accent6" w:themeFillTint="66"/>
            <w:noWrap/>
            <w:vAlign w:val="center"/>
            <w:hideMark/>
          </w:tcPr>
          <w:p w14:paraId="5D48EFF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522AAA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49D8ED5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22150E7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2438270" w14:textId="77777777" w:rsidTr="00392E49">
        <w:trPr>
          <w:trHeight w:val="285"/>
        </w:trPr>
        <w:tc>
          <w:tcPr>
            <w:tcW w:w="2408" w:type="dxa"/>
            <w:shd w:val="clear" w:color="auto" w:fill="FFF2CC" w:themeFill="accent4" w:themeFillTint="33"/>
            <w:noWrap/>
            <w:vAlign w:val="center"/>
            <w:hideMark/>
          </w:tcPr>
          <w:p w14:paraId="4DF437A3"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2D0735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08A959D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James Cook University</w:t>
            </w:r>
          </w:p>
        </w:tc>
        <w:tc>
          <w:tcPr>
            <w:tcW w:w="850" w:type="dxa"/>
            <w:shd w:val="clear" w:color="auto" w:fill="C5E0B3" w:themeFill="accent6" w:themeFillTint="66"/>
            <w:noWrap/>
            <w:vAlign w:val="center"/>
            <w:hideMark/>
          </w:tcPr>
          <w:p w14:paraId="63E853B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62DF64D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2F2BBC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3BFDCA3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014A1603" w14:textId="77777777" w:rsidTr="00392E49">
        <w:trPr>
          <w:trHeight w:val="285"/>
        </w:trPr>
        <w:tc>
          <w:tcPr>
            <w:tcW w:w="2408" w:type="dxa"/>
            <w:shd w:val="clear" w:color="auto" w:fill="FFF2CC" w:themeFill="accent4" w:themeFillTint="33"/>
            <w:noWrap/>
            <w:vAlign w:val="center"/>
            <w:hideMark/>
          </w:tcPr>
          <w:p w14:paraId="42EFD017"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050ECE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2408B40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La Trobe University</w:t>
            </w:r>
          </w:p>
        </w:tc>
        <w:tc>
          <w:tcPr>
            <w:tcW w:w="850" w:type="dxa"/>
            <w:shd w:val="clear" w:color="auto" w:fill="C5E0B3" w:themeFill="accent6" w:themeFillTint="66"/>
            <w:noWrap/>
            <w:vAlign w:val="center"/>
            <w:hideMark/>
          </w:tcPr>
          <w:p w14:paraId="7CEF009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77F602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33D0DF9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6F1E87B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11BAD5C" w14:textId="77777777" w:rsidTr="00392E49">
        <w:trPr>
          <w:trHeight w:val="285"/>
        </w:trPr>
        <w:tc>
          <w:tcPr>
            <w:tcW w:w="2408" w:type="dxa"/>
            <w:shd w:val="clear" w:color="auto" w:fill="FFF2CC" w:themeFill="accent4" w:themeFillTint="33"/>
            <w:noWrap/>
            <w:vAlign w:val="center"/>
            <w:hideMark/>
          </w:tcPr>
          <w:p w14:paraId="123B14FC"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7FA0BB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543C51F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Macquarie University</w:t>
            </w:r>
          </w:p>
        </w:tc>
        <w:tc>
          <w:tcPr>
            <w:tcW w:w="850" w:type="dxa"/>
            <w:shd w:val="clear" w:color="auto" w:fill="C5E0B3" w:themeFill="accent6" w:themeFillTint="66"/>
            <w:noWrap/>
            <w:vAlign w:val="center"/>
            <w:hideMark/>
          </w:tcPr>
          <w:p w14:paraId="29214C8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7D81515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651AA4A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4A2BE5C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1C916F9" w14:textId="77777777" w:rsidTr="00392E49">
        <w:trPr>
          <w:trHeight w:val="285"/>
        </w:trPr>
        <w:tc>
          <w:tcPr>
            <w:tcW w:w="2408" w:type="dxa"/>
            <w:shd w:val="clear" w:color="auto" w:fill="FFF2CC" w:themeFill="accent4" w:themeFillTint="33"/>
            <w:noWrap/>
            <w:vAlign w:val="center"/>
            <w:hideMark/>
          </w:tcPr>
          <w:p w14:paraId="6DD66BA0"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55EBC4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50E6C0C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Monash University</w:t>
            </w:r>
          </w:p>
        </w:tc>
        <w:tc>
          <w:tcPr>
            <w:tcW w:w="850" w:type="dxa"/>
            <w:shd w:val="clear" w:color="auto" w:fill="C5E0B3" w:themeFill="accent6" w:themeFillTint="66"/>
            <w:noWrap/>
            <w:vAlign w:val="center"/>
            <w:hideMark/>
          </w:tcPr>
          <w:p w14:paraId="3F7D73E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4AD3F2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400A2DC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618BF87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60FAC3CD" w14:textId="77777777" w:rsidTr="00392E49">
        <w:trPr>
          <w:trHeight w:val="285"/>
        </w:trPr>
        <w:tc>
          <w:tcPr>
            <w:tcW w:w="2408" w:type="dxa"/>
            <w:shd w:val="clear" w:color="auto" w:fill="FFF2CC" w:themeFill="accent4" w:themeFillTint="33"/>
            <w:noWrap/>
            <w:vAlign w:val="center"/>
            <w:hideMark/>
          </w:tcPr>
          <w:p w14:paraId="2A832B72"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052677D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2FD0ABF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Murdoch University</w:t>
            </w:r>
          </w:p>
        </w:tc>
        <w:tc>
          <w:tcPr>
            <w:tcW w:w="850" w:type="dxa"/>
            <w:shd w:val="clear" w:color="auto" w:fill="C5E0B3" w:themeFill="accent6" w:themeFillTint="66"/>
            <w:noWrap/>
            <w:vAlign w:val="center"/>
            <w:hideMark/>
          </w:tcPr>
          <w:p w14:paraId="73618D9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00821E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1ACF0D8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14461E0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F7C1FE4" w14:textId="77777777" w:rsidTr="00392E49">
        <w:trPr>
          <w:trHeight w:val="285"/>
        </w:trPr>
        <w:tc>
          <w:tcPr>
            <w:tcW w:w="2408" w:type="dxa"/>
            <w:shd w:val="clear" w:color="auto" w:fill="FFF2CC" w:themeFill="accent4" w:themeFillTint="33"/>
            <w:noWrap/>
            <w:vAlign w:val="center"/>
            <w:hideMark/>
          </w:tcPr>
          <w:p w14:paraId="0F367C16"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3843034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7DE27A5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Queensland University of Technology</w:t>
            </w:r>
          </w:p>
        </w:tc>
        <w:tc>
          <w:tcPr>
            <w:tcW w:w="850" w:type="dxa"/>
            <w:shd w:val="clear" w:color="auto" w:fill="C5E0B3" w:themeFill="accent6" w:themeFillTint="66"/>
            <w:noWrap/>
            <w:vAlign w:val="center"/>
            <w:hideMark/>
          </w:tcPr>
          <w:p w14:paraId="747D100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7CDC0ED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2132408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1FE216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9763996" w14:textId="77777777" w:rsidTr="00392E49">
        <w:trPr>
          <w:trHeight w:val="285"/>
        </w:trPr>
        <w:tc>
          <w:tcPr>
            <w:tcW w:w="2408" w:type="dxa"/>
            <w:shd w:val="clear" w:color="auto" w:fill="FFF2CC" w:themeFill="accent4" w:themeFillTint="33"/>
            <w:noWrap/>
            <w:vAlign w:val="center"/>
            <w:hideMark/>
          </w:tcPr>
          <w:p w14:paraId="17E03FBA"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10F98A8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504338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Royal Melbourne Institute of Technology</w:t>
            </w:r>
          </w:p>
        </w:tc>
        <w:tc>
          <w:tcPr>
            <w:tcW w:w="850" w:type="dxa"/>
            <w:shd w:val="clear" w:color="auto" w:fill="C5E0B3" w:themeFill="accent6" w:themeFillTint="66"/>
            <w:noWrap/>
            <w:vAlign w:val="center"/>
            <w:hideMark/>
          </w:tcPr>
          <w:p w14:paraId="3DE4047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6F8B71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53822E3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4434679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2F783C2" w14:textId="77777777" w:rsidTr="00392E49">
        <w:trPr>
          <w:trHeight w:val="285"/>
        </w:trPr>
        <w:tc>
          <w:tcPr>
            <w:tcW w:w="2408" w:type="dxa"/>
            <w:shd w:val="clear" w:color="auto" w:fill="FFF2CC" w:themeFill="accent4" w:themeFillTint="33"/>
            <w:noWrap/>
            <w:vAlign w:val="center"/>
            <w:hideMark/>
          </w:tcPr>
          <w:p w14:paraId="378BF866"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0FC530C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1AED265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Southern Cross University</w:t>
            </w:r>
          </w:p>
        </w:tc>
        <w:tc>
          <w:tcPr>
            <w:tcW w:w="850" w:type="dxa"/>
            <w:shd w:val="clear" w:color="auto" w:fill="C5E0B3" w:themeFill="accent6" w:themeFillTint="66"/>
            <w:noWrap/>
            <w:vAlign w:val="center"/>
            <w:hideMark/>
          </w:tcPr>
          <w:p w14:paraId="16E4047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448AFE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2359F3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4CEC5EA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17C26F9" w14:textId="77777777" w:rsidTr="00392E49">
        <w:trPr>
          <w:trHeight w:val="285"/>
        </w:trPr>
        <w:tc>
          <w:tcPr>
            <w:tcW w:w="2408" w:type="dxa"/>
            <w:shd w:val="clear" w:color="auto" w:fill="FFF2CC" w:themeFill="accent4" w:themeFillTint="33"/>
            <w:noWrap/>
            <w:vAlign w:val="center"/>
            <w:hideMark/>
          </w:tcPr>
          <w:p w14:paraId="0C867C93"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1E65D7B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44123A5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Swinburne University of Technology</w:t>
            </w:r>
          </w:p>
        </w:tc>
        <w:tc>
          <w:tcPr>
            <w:tcW w:w="850" w:type="dxa"/>
            <w:shd w:val="clear" w:color="auto" w:fill="C5E0B3" w:themeFill="accent6" w:themeFillTint="66"/>
            <w:noWrap/>
            <w:vAlign w:val="center"/>
            <w:hideMark/>
          </w:tcPr>
          <w:p w14:paraId="0A53E1F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4F0F639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1C6D7D6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2F711D4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46325DD" w14:textId="77777777" w:rsidTr="00392E49">
        <w:trPr>
          <w:trHeight w:val="285"/>
        </w:trPr>
        <w:tc>
          <w:tcPr>
            <w:tcW w:w="2408" w:type="dxa"/>
            <w:shd w:val="clear" w:color="auto" w:fill="FFF2CC" w:themeFill="accent4" w:themeFillTint="33"/>
            <w:noWrap/>
            <w:vAlign w:val="center"/>
            <w:hideMark/>
          </w:tcPr>
          <w:p w14:paraId="32EFE890"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F4B083" w:themeFill="accent2" w:themeFillTint="99"/>
            <w:noWrap/>
            <w:vAlign w:val="center"/>
            <w:hideMark/>
          </w:tcPr>
          <w:p w14:paraId="38B9A87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B</w:t>
            </w:r>
          </w:p>
        </w:tc>
        <w:tc>
          <w:tcPr>
            <w:tcW w:w="3822" w:type="dxa"/>
            <w:noWrap/>
            <w:vAlign w:val="center"/>
            <w:hideMark/>
          </w:tcPr>
          <w:p w14:paraId="457FBF8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Torrens University Australia</w:t>
            </w:r>
            <w:r>
              <w:rPr>
                <w:rFonts w:ascii="Century Gothic" w:hAnsi="Century Gothic"/>
                <w:sz w:val="18"/>
                <w:szCs w:val="18"/>
              </w:rPr>
              <w:t xml:space="preserve"> Ltd</w:t>
            </w:r>
          </w:p>
        </w:tc>
        <w:tc>
          <w:tcPr>
            <w:tcW w:w="850" w:type="dxa"/>
            <w:shd w:val="clear" w:color="auto" w:fill="FF7C80"/>
            <w:noWrap/>
            <w:vAlign w:val="center"/>
            <w:hideMark/>
          </w:tcPr>
          <w:p w14:paraId="50E2AA8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0" w:type="dxa"/>
            <w:shd w:val="clear" w:color="auto" w:fill="C5E0B3" w:themeFill="accent6" w:themeFillTint="66"/>
            <w:noWrap/>
            <w:vAlign w:val="center"/>
            <w:hideMark/>
          </w:tcPr>
          <w:p w14:paraId="22B3ED4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6BA1C10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3776673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3B02F84" w14:textId="77777777" w:rsidTr="00392E49">
        <w:trPr>
          <w:trHeight w:val="285"/>
        </w:trPr>
        <w:tc>
          <w:tcPr>
            <w:tcW w:w="2408" w:type="dxa"/>
            <w:shd w:val="clear" w:color="auto" w:fill="FFF2CC" w:themeFill="accent4" w:themeFillTint="33"/>
            <w:noWrap/>
            <w:vAlign w:val="center"/>
            <w:hideMark/>
          </w:tcPr>
          <w:p w14:paraId="7AB06A8B"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hideMark/>
          </w:tcPr>
          <w:p w14:paraId="5CF45FD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hideMark/>
          </w:tcPr>
          <w:p w14:paraId="260D9300"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 xml:space="preserve">The </w:t>
            </w:r>
            <w:r w:rsidRPr="007A5946">
              <w:rPr>
                <w:rFonts w:ascii="Century Gothic" w:hAnsi="Century Gothic"/>
                <w:sz w:val="18"/>
                <w:szCs w:val="18"/>
              </w:rPr>
              <w:t>University of Adelaide</w:t>
            </w:r>
          </w:p>
        </w:tc>
        <w:tc>
          <w:tcPr>
            <w:tcW w:w="850" w:type="dxa"/>
            <w:shd w:val="clear" w:color="auto" w:fill="C5E0B3" w:themeFill="accent6" w:themeFillTint="66"/>
            <w:noWrap/>
            <w:vAlign w:val="center"/>
            <w:hideMark/>
          </w:tcPr>
          <w:p w14:paraId="71CD1C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hideMark/>
          </w:tcPr>
          <w:p w14:paraId="64DC67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hideMark/>
          </w:tcPr>
          <w:p w14:paraId="76840F2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hideMark/>
          </w:tcPr>
          <w:p w14:paraId="4345468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4880F2C1" w14:textId="77777777" w:rsidTr="00392E49">
        <w:trPr>
          <w:trHeight w:val="285"/>
        </w:trPr>
        <w:tc>
          <w:tcPr>
            <w:tcW w:w="2408" w:type="dxa"/>
            <w:shd w:val="clear" w:color="auto" w:fill="FFF2CC" w:themeFill="accent4" w:themeFillTint="33"/>
            <w:noWrap/>
            <w:vAlign w:val="center"/>
          </w:tcPr>
          <w:p w14:paraId="291BBFCF"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289A2E6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3DF32D30"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 xml:space="preserve">The </w:t>
            </w:r>
            <w:r w:rsidRPr="007A5946">
              <w:rPr>
                <w:rFonts w:ascii="Century Gothic" w:hAnsi="Century Gothic"/>
                <w:sz w:val="18"/>
                <w:szCs w:val="18"/>
              </w:rPr>
              <w:t>University of Melbourne</w:t>
            </w:r>
          </w:p>
        </w:tc>
        <w:tc>
          <w:tcPr>
            <w:tcW w:w="850" w:type="dxa"/>
            <w:shd w:val="clear" w:color="auto" w:fill="C5E0B3" w:themeFill="accent6" w:themeFillTint="66"/>
            <w:noWrap/>
            <w:vAlign w:val="center"/>
          </w:tcPr>
          <w:p w14:paraId="3519695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2AEC40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4479D4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10CDF6C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DA51329" w14:textId="77777777" w:rsidTr="00392E49">
        <w:trPr>
          <w:trHeight w:val="285"/>
        </w:trPr>
        <w:tc>
          <w:tcPr>
            <w:tcW w:w="2408" w:type="dxa"/>
            <w:shd w:val="clear" w:color="auto" w:fill="FFF2CC" w:themeFill="accent4" w:themeFillTint="33"/>
            <w:noWrap/>
            <w:vAlign w:val="center"/>
          </w:tcPr>
          <w:p w14:paraId="15EDB460"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F4B083" w:themeFill="accent2" w:themeFillTint="99"/>
            <w:noWrap/>
            <w:vAlign w:val="center"/>
          </w:tcPr>
          <w:p w14:paraId="5B2D8D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B</w:t>
            </w:r>
          </w:p>
        </w:tc>
        <w:tc>
          <w:tcPr>
            <w:tcW w:w="3822" w:type="dxa"/>
            <w:noWrap/>
            <w:vAlign w:val="center"/>
          </w:tcPr>
          <w:p w14:paraId="7DA13EFF"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 xml:space="preserve">The </w:t>
            </w:r>
            <w:r w:rsidRPr="007A5946">
              <w:rPr>
                <w:rFonts w:ascii="Century Gothic" w:hAnsi="Century Gothic"/>
                <w:sz w:val="18"/>
                <w:szCs w:val="18"/>
              </w:rPr>
              <w:t>University of Notre Dame Australia</w:t>
            </w:r>
          </w:p>
        </w:tc>
        <w:tc>
          <w:tcPr>
            <w:tcW w:w="850" w:type="dxa"/>
            <w:shd w:val="clear" w:color="auto" w:fill="C5E0B3" w:themeFill="accent6" w:themeFillTint="66"/>
            <w:noWrap/>
            <w:vAlign w:val="center"/>
          </w:tcPr>
          <w:p w14:paraId="2DFAC75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08BDC3C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730B553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14D22A1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CAB71D6" w14:textId="77777777" w:rsidTr="00392E49">
        <w:trPr>
          <w:trHeight w:val="285"/>
        </w:trPr>
        <w:tc>
          <w:tcPr>
            <w:tcW w:w="2408" w:type="dxa"/>
            <w:shd w:val="clear" w:color="auto" w:fill="FFF2CC" w:themeFill="accent4" w:themeFillTint="33"/>
            <w:noWrap/>
            <w:vAlign w:val="center"/>
          </w:tcPr>
          <w:p w14:paraId="20DCFA31"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5876EBA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653BA5A2"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 xml:space="preserve">The </w:t>
            </w:r>
            <w:r w:rsidRPr="007A5946">
              <w:rPr>
                <w:rFonts w:ascii="Century Gothic" w:hAnsi="Century Gothic"/>
                <w:sz w:val="18"/>
                <w:szCs w:val="18"/>
              </w:rPr>
              <w:t>University of Queensland</w:t>
            </w:r>
          </w:p>
        </w:tc>
        <w:tc>
          <w:tcPr>
            <w:tcW w:w="850" w:type="dxa"/>
            <w:shd w:val="clear" w:color="auto" w:fill="C5E0B3" w:themeFill="accent6" w:themeFillTint="66"/>
            <w:noWrap/>
            <w:vAlign w:val="center"/>
          </w:tcPr>
          <w:p w14:paraId="3C4E1FA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1C202CE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19680D8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47DB21C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F2AD44F" w14:textId="77777777" w:rsidTr="00392E49">
        <w:trPr>
          <w:trHeight w:val="285"/>
        </w:trPr>
        <w:tc>
          <w:tcPr>
            <w:tcW w:w="2408" w:type="dxa"/>
            <w:shd w:val="clear" w:color="auto" w:fill="FFF2CC" w:themeFill="accent4" w:themeFillTint="33"/>
            <w:noWrap/>
            <w:vAlign w:val="center"/>
          </w:tcPr>
          <w:p w14:paraId="183AEE7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27DB2F4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1EB0E3A0"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 xml:space="preserve">The </w:t>
            </w:r>
            <w:r w:rsidRPr="007A5946">
              <w:rPr>
                <w:rFonts w:ascii="Century Gothic" w:hAnsi="Century Gothic"/>
                <w:sz w:val="18"/>
                <w:szCs w:val="18"/>
              </w:rPr>
              <w:t>University of Sydney</w:t>
            </w:r>
          </w:p>
        </w:tc>
        <w:tc>
          <w:tcPr>
            <w:tcW w:w="850" w:type="dxa"/>
            <w:shd w:val="clear" w:color="auto" w:fill="C5E0B3" w:themeFill="accent6" w:themeFillTint="66"/>
            <w:noWrap/>
            <w:vAlign w:val="center"/>
          </w:tcPr>
          <w:p w14:paraId="0319332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78CBA08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36DA3A9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6D0620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145A23F4" w14:textId="77777777" w:rsidTr="00392E49">
        <w:trPr>
          <w:trHeight w:val="285"/>
        </w:trPr>
        <w:tc>
          <w:tcPr>
            <w:tcW w:w="2408" w:type="dxa"/>
            <w:shd w:val="clear" w:color="auto" w:fill="FFF2CC" w:themeFill="accent4" w:themeFillTint="33"/>
            <w:noWrap/>
            <w:vAlign w:val="center"/>
          </w:tcPr>
          <w:p w14:paraId="491F9FDC"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5D44877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290F0567"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 xml:space="preserve">The </w:t>
            </w:r>
            <w:r w:rsidRPr="007A5946">
              <w:rPr>
                <w:rFonts w:ascii="Century Gothic" w:hAnsi="Century Gothic"/>
                <w:sz w:val="18"/>
                <w:szCs w:val="18"/>
              </w:rPr>
              <w:t>University of Western Australia</w:t>
            </w:r>
          </w:p>
        </w:tc>
        <w:tc>
          <w:tcPr>
            <w:tcW w:w="850" w:type="dxa"/>
            <w:shd w:val="clear" w:color="auto" w:fill="C5E0B3" w:themeFill="accent6" w:themeFillTint="66"/>
            <w:noWrap/>
            <w:vAlign w:val="center"/>
          </w:tcPr>
          <w:p w14:paraId="404F1A5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35B2078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09D74E9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23EE9F1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bl>
    <w:p w14:paraId="3638C8B7" w14:textId="77777777" w:rsidR="00794E80" w:rsidRDefault="00794E80">
      <w:r>
        <w:br w:type="page"/>
      </w:r>
    </w:p>
    <w:tbl>
      <w:tblPr>
        <w:tblW w:w="11049" w:type="dxa"/>
        <w:tblInd w:w="-99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08"/>
        <w:gridCol w:w="990"/>
        <w:gridCol w:w="3822"/>
        <w:gridCol w:w="850"/>
        <w:gridCol w:w="990"/>
        <w:gridCol w:w="853"/>
        <w:gridCol w:w="1136"/>
      </w:tblGrid>
      <w:tr w:rsidR="00794E80" w:rsidRPr="007A5946" w14:paraId="71D2E2F3" w14:textId="77777777" w:rsidTr="00CE6D06">
        <w:trPr>
          <w:trHeight w:val="268"/>
        </w:trPr>
        <w:tc>
          <w:tcPr>
            <w:tcW w:w="2408" w:type="dxa"/>
            <w:noWrap/>
            <w:vAlign w:val="center"/>
            <w:hideMark/>
          </w:tcPr>
          <w:p w14:paraId="1FBD0545" w14:textId="5F9A1C33"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Provider Category</w:t>
            </w:r>
          </w:p>
        </w:tc>
        <w:tc>
          <w:tcPr>
            <w:tcW w:w="990" w:type="dxa"/>
            <w:noWrap/>
            <w:vAlign w:val="center"/>
            <w:hideMark/>
          </w:tcPr>
          <w:p w14:paraId="317FD8B2" w14:textId="77777777"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Table</w:t>
            </w:r>
          </w:p>
        </w:tc>
        <w:tc>
          <w:tcPr>
            <w:tcW w:w="3822" w:type="dxa"/>
            <w:noWrap/>
            <w:vAlign w:val="center"/>
            <w:hideMark/>
          </w:tcPr>
          <w:p w14:paraId="10A8FA16" w14:textId="77777777"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Provider Name</w:t>
            </w:r>
          </w:p>
        </w:tc>
        <w:tc>
          <w:tcPr>
            <w:tcW w:w="850" w:type="dxa"/>
            <w:noWrap/>
            <w:vAlign w:val="center"/>
            <w:hideMark/>
          </w:tcPr>
          <w:p w14:paraId="3D8ED42A" w14:textId="77777777"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CGS</w:t>
            </w:r>
          </w:p>
        </w:tc>
        <w:tc>
          <w:tcPr>
            <w:tcW w:w="990" w:type="dxa"/>
            <w:noWrap/>
            <w:vAlign w:val="center"/>
            <w:hideMark/>
          </w:tcPr>
          <w:p w14:paraId="2B6E359D" w14:textId="77777777"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FEE-HELP</w:t>
            </w:r>
          </w:p>
        </w:tc>
        <w:tc>
          <w:tcPr>
            <w:tcW w:w="853" w:type="dxa"/>
            <w:noWrap/>
            <w:vAlign w:val="center"/>
            <w:hideMark/>
          </w:tcPr>
          <w:p w14:paraId="3E0B8028" w14:textId="77777777"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RBG</w:t>
            </w:r>
          </w:p>
        </w:tc>
        <w:tc>
          <w:tcPr>
            <w:tcW w:w="1136" w:type="dxa"/>
            <w:noWrap/>
            <w:vAlign w:val="center"/>
            <w:hideMark/>
          </w:tcPr>
          <w:p w14:paraId="5A405A3E" w14:textId="77777777" w:rsidR="00794E80" w:rsidRPr="007A5946" w:rsidRDefault="00794E80" w:rsidP="00CE6D06">
            <w:pPr>
              <w:spacing w:before="0" w:after="0"/>
              <w:rPr>
                <w:rFonts w:ascii="Century Gothic" w:hAnsi="Century Gothic"/>
                <w:b/>
                <w:bCs/>
                <w:sz w:val="18"/>
                <w:szCs w:val="18"/>
              </w:rPr>
            </w:pPr>
            <w:r w:rsidRPr="007A5946">
              <w:rPr>
                <w:rFonts w:ascii="Century Gothic" w:hAnsi="Century Gothic"/>
                <w:b/>
                <w:bCs/>
                <w:sz w:val="18"/>
                <w:szCs w:val="18"/>
              </w:rPr>
              <w:t>SAA</w:t>
            </w:r>
          </w:p>
        </w:tc>
      </w:tr>
      <w:tr w:rsidR="00392E49" w:rsidRPr="007A5946" w14:paraId="7108003C" w14:textId="77777777" w:rsidTr="00392E49">
        <w:trPr>
          <w:trHeight w:val="285"/>
        </w:trPr>
        <w:tc>
          <w:tcPr>
            <w:tcW w:w="2408" w:type="dxa"/>
            <w:shd w:val="clear" w:color="auto" w:fill="FFF2CC" w:themeFill="accent4" w:themeFillTint="33"/>
            <w:noWrap/>
            <w:vAlign w:val="center"/>
          </w:tcPr>
          <w:p w14:paraId="6121FF03"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7040F8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07975FB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Canberra</w:t>
            </w:r>
          </w:p>
        </w:tc>
        <w:tc>
          <w:tcPr>
            <w:tcW w:w="850" w:type="dxa"/>
            <w:shd w:val="clear" w:color="auto" w:fill="C5E0B3" w:themeFill="accent6" w:themeFillTint="66"/>
            <w:noWrap/>
            <w:vAlign w:val="center"/>
          </w:tcPr>
          <w:p w14:paraId="5540DDC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348A034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2DAB78C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2646466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6BEBE3E3" w14:textId="77777777" w:rsidTr="00392E49">
        <w:trPr>
          <w:trHeight w:val="285"/>
        </w:trPr>
        <w:tc>
          <w:tcPr>
            <w:tcW w:w="2408" w:type="dxa"/>
            <w:shd w:val="clear" w:color="auto" w:fill="FFF2CC" w:themeFill="accent4" w:themeFillTint="33"/>
            <w:noWrap/>
            <w:vAlign w:val="center"/>
          </w:tcPr>
          <w:p w14:paraId="5AFDF2AF"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5B540B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423E856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Newcastle</w:t>
            </w:r>
          </w:p>
        </w:tc>
        <w:tc>
          <w:tcPr>
            <w:tcW w:w="850" w:type="dxa"/>
            <w:shd w:val="clear" w:color="auto" w:fill="C5E0B3" w:themeFill="accent6" w:themeFillTint="66"/>
            <w:noWrap/>
            <w:vAlign w:val="center"/>
          </w:tcPr>
          <w:p w14:paraId="738FE2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7203A3F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10B6A42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49C37EF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8135552" w14:textId="77777777" w:rsidTr="00392E49">
        <w:trPr>
          <w:trHeight w:val="285"/>
        </w:trPr>
        <w:tc>
          <w:tcPr>
            <w:tcW w:w="2408" w:type="dxa"/>
            <w:shd w:val="clear" w:color="auto" w:fill="FFF2CC" w:themeFill="accent4" w:themeFillTint="33"/>
            <w:noWrap/>
            <w:vAlign w:val="center"/>
          </w:tcPr>
          <w:p w14:paraId="539260D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319A0F2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7E44B02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New England</w:t>
            </w:r>
          </w:p>
        </w:tc>
        <w:tc>
          <w:tcPr>
            <w:tcW w:w="850" w:type="dxa"/>
            <w:shd w:val="clear" w:color="auto" w:fill="C5E0B3" w:themeFill="accent6" w:themeFillTint="66"/>
            <w:noWrap/>
            <w:vAlign w:val="center"/>
          </w:tcPr>
          <w:p w14:paraId="2C267F3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5BEC34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0FA62D0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751B017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3E4C98BB" w14:textId="77777777" w:rsidTr="00392E49">
        <w:trPr>
          <w:trHeight w:val="285"/>
        </w:trPr>
        <w:tc>
          <w:tcPr>
            <w:tcW w:w="2408" w:type="dxa"/>
            <w:shd w:val="clear" w:color="auto" w:fill="FFF2CC" w:themeFill="accent4" w:themeFillTint="33"/>
            <w:noWrap/>
            <w:vAlign w:val="center"/>
          </w:tcPr>
          <w:p w14:paraId="08BCFBA4"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550E75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26C5696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New South Wales</w:t>
            </w:r>
          </w:p>
        </w:tc>
        <w:tc>
          <w:tcPr>
            <w:tcW w:w="850" w:type="dxa"/>
            <w:shd w:val="clear" w:color="auto" w:fill="C5E0B3" w:themeFill="accent6" w:themeFillTint="66"/>
            <w:noWrap/>
            <w:vAlign w:val="center"/>
          </w:tcPr>
          <w:p w14:paraId="7E69826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30BCE8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5A3E1D5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1BF9194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CF8A51C" w14:textId="77777777" w:rsidTr="00392E49">
        <w:trPr>
          <w:trHeight w:val="285"/>
        </w:trPr>
        <w:tc>
          <w:tcPr>
            <w:tcW w:w="2408" w:type="dxa"/>
            <w:shd w:val="clear" w:color="auto" w:fill="FFF2CC" w:themeFill="accent4" w:themeFillTint="33"/>
            <w:noWrap/>
            <w:vAlign w:val="center"/>
          </w:tcPr>
          <w:p w14:paraId="1B8C1E25"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696D2D9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1C7B8E0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South Australia</w:t>
            </w:r>
          </w:p>
        </w:tc>
        <w:tc>
          <w:tcPr>
            <w:tcW w:w="850" w:type="dxa"/>
            <w:shd w:val="clear" w:color="auto" w:fill="C5E0B3" w:themeFill="accent6" w:themeFillTint="66"/>
            <w:noWrap/>
            <w:vAlign w:val="center"/>
          </w:tcPr>
          <w:p w14:paraId="4B0503B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1A6BE3B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380B965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2F9407B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648BFC46" w14:textId="77777777" w:rsidTr="00392E49">
        <w:trPr>
          <w:trHeight w:val="285"/>
        </w:trPr>
        <w:tc>
          <w:tcPr>
            <w:tcW w:w="2408" w:type="dxa"/>
            <w:shd w:val="clear" w:color="auto" w:fill="FFF2CC" w:themeFill="accent4" w:themeFillTint="33"/>
            <w:noWrap/>
            <w:vAlign w:val="center"/>
          </w:tcPr>
          <w:p w14:paraId="49E314C3"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27A064C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4F468A9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Southern Queensland</w:t>
            </w:r>
          </w:p>
        </w:tc>
        <w:tc>
          <w:tcPr>
            <w:tcW w:w="850" w:type="dxa"/>
            <w:shd w:val="clear" w:color="auto" w:fill="C5E0B3" w:themeFill="accent6" w:themeFillTint="66"/>
            <w:noWrap/>
            <w:vAlign w:val="center"/>
          </w:tcPr>
          <w:p w14:paraId="603ED4E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657BC31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57F93E1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0FD11E8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3E30789" w14:textId="77777777" w:rsidTr="00392E49">
        <w:trPr>
          <w:trHeight w:val="285"/>
        </w:trPr>
        <w:tc>
          <w:tcPr>
            <w:tcW w:w="2408" w:type="dxa"/>
            <w:shd w:val="clear" w:color="auto" w:fill="FFF2CC" w:themeFill="accent4" w:themeFillTint="33"/>
            <w:noWrap/>
            <w:vAlign w:val="center"/>
          </w:tcPr>
          <w:p w14:paraId="6959F93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3BBAD9D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0A44210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Tasmania</w:t>
            </w:r>
          </w:p>
        </w:tc>
        <w:tc>
          <w:tcPr>
            <w:tcW w:w="850" w:type="dxa"/>
            <w:shd w:val="clear" w:color="auto" w:fill="C5E0B3" w:themeFill="accent6" w:themeFillTint="66"/>
            <w:noWrap/>
            <w:vAlign w:val="center"/>
          </w:tcPr>
          <w:p w14:paraId="72B35F5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665E1C2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436A9B7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6BDB373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0AEFCF89" w14:textId="77777777" w:rsidTr="00392E49">
        <w:trPr>
          <w:trHeight w:val="285"/>
        </w:trPr>
        <w:tc>
          <w:tcPr>
            <w:tcW w:w="2408" w:type="dxa"/>
            <w:shd w:val="clear" w:color="auto" w:fill="FFF2CC" w:themeFill="accent4" w:themeFillTint="33"/>
            <w:noWrap/>
            <w:vAlign w:val="center"/>
          </w:tcPr>
          <w:p w14:paraId="47A4EDA8"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1D3E2C8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753F49D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Technology Sydney</w:t>
            </w:r>
          </w:p>
        </w:tc>
        <w:tc>
          <w:tcPr>
            <w:tcW w:w="850" w:type="dxa"/>
            <w:shd w:val="clear" w:color="auto" w:fill="C5E0B3" w:themeFill="accent6" w:themeFillTint="66"/>
            <w:noWrap/>
            <w:vAlign w:val="center"/>
          </w:tcPr>
          <w:p w14:paraId="18001D7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5778055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3272F9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7FE839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BFD3482" w14:textId="77777777" w:rsidTr="00392E49">
        <w:trPr>
          <w:trHeight w:val="285"/>
        </w:trPr>
        <w:tc>
          <w:tcPr>
            <w:tcW w:w="2408" w:type="dxa"/>
            <w:shd w:val="clear" w:color="auto" w:fill="FFF2CC" w:themeFill="accent4" w:themeFillTint="33"/>
            <w:noWrap/>
            <w:vAlign w:val="center"/>
          </w:tcPr>
          <w:p w14:paraId="2CF97271"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78A8315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6778C93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the Sunshine Coast</w:t>
            </w:r>
          </w:p>
        </w:tc>
        <w:tc>
          <w:tcPr>
            <w:tcW w:w="850" w:type="dxa"/>
            <w:shd w:val="clear" w:color="auto" w:fill="C5E0B3" w:themeFill="accent6" w:themeFillTint="66"/>
            <w:noWrap/>
            <w:vAlign w:val="center"/>
          </w:tcPr>
          <w:p w14:paraId="1FCC264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75E4A5A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5FB455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2453555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0585BEFA" w14:textId="77777777" w:rsidTr="00392E49">
        <w:trPr>
          <w:trHeight w:val="285"/>
        </w:trPr>
        <w:tc>
          <w:tcPr>
            <w:tcW w:w="2408" w:type="dxa"/>
            <w:shd w:val="clear" w:color="auto" w:fill="FFF2CC" w:themeFill="accent4" w:themeFillTint="33"/>
            <w:noWrap/>
            <w:vAlign w:val="center"/>
          </w:tcPr>
          <w:p w14:paraId="2BD43386"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06C95C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75EB4C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Wollongong</w:t>
            </w:r>
          </w:p>
        </w:tc>
        <w:tc>
          <w:tcPr>
            <w:tcW w:w="850" w:type="dxa"/>
            <w:shd w:val="clear" w:color="auto" w:fill="C5E0B3" w:themeFill="accent6" w:themeFillTint="66"/>
            <w:noWrap/>
            <w:vAlign w:val="center"/>
          </w:tcPr>
          <w:p w14:paraId="5EDB71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23AE7B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77C1AE6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5C4CB34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639B82B0" w14:textId="77777777" w:rsidTr="00392E49">
        <w:trPr>
          <w:trHeight w:val="285"/>
        </w:trPr>
        <w:tc>
          <w:tcPr>
            <w:tcW w:w="2408" w:type="dxa"/>
            <w:shd w:val="clear" w:color="auto" w:fill="FFF2CC" w:themeFill="accent4" w:themeFillTint="33"/>
            <w:noWrap/>
            <w:vAlign w:val="center"/>
          </w:tcPr>
          <w:p w14:paraId="76FC21AF"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41A51E8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768FEBF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Victoria University</w:t>
            </w:r>
          </w:p>
        </w:tc>
        <w:tc>
          <w:tcPr>
            <w:tcW w:w="850" w:type="dxa"/>
            <w:shd w:val="clear" w:color="auto" w:fill="C5E0B3" w:themeFill="accent6" w:themeFillTint="66"/>
            <w:noWrap/>
            <w:vAlign w:val="center"/>
          </w:tcPr>
          <w:p w14:paraId="0A5B556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6CE8ADD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3561948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7B8CCC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011370D0" w14:textId="77777777" w:rsidTr="00392E49">
        <w:trPr>
          <w:trHeight w:val="285"/>
        </w:trPr>
        <w:tc>
          <w:tcPr>
            <w:tcW w:w="2408" w:type="dxa"/>
            <w:shd w:val="clear" w:color="auto" w:fill="FFF2CC" w:themeFill="accent4" w:themeFillTint="33"/>
            <w:noWrap/>
            <w:vAlign w:val="center"/>
          </w:tcPr>
          <w:p w14:paraId="5FF17C77"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Australian University</w:t>
            </w:r>
          </w:p>
        </w:tc>
        <w:tc>
          <w:tcPr>
            <w:tcW w:w="990" w:type="dxa"/>
            <w:shd w:val="clear" w:color="auto" w:fill="CC99FF"/>
            <w:noWrap/>
            <w:vAlign w:val="center"/>
          </w:tcPr>
          <w:p w14:paraId="4E40DBF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A</w:t>
            </w:r>
          </w:p>
        </w:tc>
        <w:tc>
          <w:tcPr>
            <w:tcW w:w="3822" w:type="dxa"/>
            <w:noWrap/>
            <w:vAlign w:val="center"/>
          </w:tcPr>
          <w:p w14:paraId="29435A70"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Western Sydney University</w:t>
            </w:r>
          </w:p>
        </w:tc>
        <w:tc>
          <w:tcPr>
            <w:tcW w:w="850" w:type="dxa"/>
            <w:shd w:val="clear" w:color="auto" w:fill="C5E0B3" w:themeFill="accent6" w:themeFillTint="66"/>
            <w:noWrap/>
            <w:vAlign w:val="center"/>
          </w:tcPr>
          <w:p w14:paraId="17F14E0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1F4A7BF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0782996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C5E0B3" w:themeFill="accent6" w:themeFillTint="66"/>
            <w:noWrap/>
            <w:vAlign w:val="center"/>
          </w:tcPr>
          <w:p w14:paraId="3843189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5BAD954" w14:textId="77777777" w:rsidTr="00392E49">
        <w:trPr>
          <w:trHeight w:val="285"/>
        </w:trPr>
        <w:tc>
          <w:tcPr>
            <w:tcW w:w="2408" w:type="dxa"/>
            <w:shd w:val="clear" w:color="auto" w:fill="FF85FF"/>
            <w:noWrap/>
            <w:vAlign w:val="center"/>
          </w:tcPr>
          <w:p w14:paraId="61DB9D1F"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University of Specialisation</w:t>
            </w:r>
          </w:p>
        </w:tc>
        <w:tc>
          <w:tcPr>
            <w:tcW w:w="990" w:type="dxa"/>
            <w:shd w:val="clear" w:color="auto" w:fill="F4B083" w:themeFill="accent2" w:themeFillTint="99"/>
            <w:noWrap/>
            <w:vAlign w:val="center"/>
          </w:tcPr>
          <w:p w14:paraId="4127ABF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B</w:t>
            </w:r>
          </w:p>
        </w:tc>
        <w:tc>
          <w:tcPr>
            <w:tcW w:w="3822" w:type="dxa"/>
            <w:noWrap/>
            <w:vAlign w:val="center"/>
          </w:tcPr>
          <w:p w14:paraId="29FE0CA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of Divinity</w:t>
            </w:r>
          </w:p>
        </w:tc>
        <w:tc>
          <w:tcPr>
            <w:tcW w:w="850" w:type="dxa"/>
            <w:shd w:val="clear" w:color="auto" w:fill="C5E0B3" w:themeFill="accent6" w:themeFillTint="66"/>
            <w:noWrap/>
            <w:vAlign w:val="center"/>
          </w:tcPr>
          <w:p w14:paraId="1237892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0" w:type="dxa"/>
            <w:shd w:val="clear" w:color="auto" w:fill="C5E0B3" w:themeFill="accent6" w:themeFillTint="66"/>
            <w:noWrap/>
            <w:vAlign w:val="center"/>
          </w:tcPr>
          <w:p w14:paraId="77948E8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C5E0B3" w:themeFill="accent6" w:themeFillTint="66"/>
            <w:noWrap/>
            <w:vAlign w:val="center"/>
          </w:tcPr>
          <w:p w14:paraId="192BCA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6" w:type="dxa"/>
            <w:shd w:val="clear" w:color="auto" w:fill="FFE599" w:themeFill="accent4" w:themeFillTint="66"/>
            <w:noWrap/>
            <w:vAlign w:val="center"/>
          </w:tcPr>
          <w:p w14:paraId="400BF4C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161571A2" w14:textId="77777777" w:rsidTr="00392E49">
        <w:trPr>
          <w:trHeight w:val="285"/>
        </w:trPr>
        <w:tc>
          <w:tcPr>
            <w:tcW w:w="2408" w:type="dxa"/>
            <w:shd w:val="clear" w:color="auto" w:fill="C9C9C9" w:themeFill="accent3" w:themeFillTint="99"/>
            <w:noWrap/>
            <w:vAlign w:val="center"/>
          </w:tcPr>
          <w:p w14:paraId="0C302D3B"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Overseas University</w:t>
            </w:r>
          </w:p>
        </w:tc>
        <w:tc>
          <w:tcPr>
            <w:tcW w:w="990" w:type="dxa"/>
            <w:shd w:val="clear" w:color="auto" w:fill="9CC2E5" w:themeFill="accent1" w:themeFillTint="99"/>
            <w:noWrap/>
            <w:vAlign w:val="center"/>
          </w:tcPr>
          <w:p w14:paraId="2F43EF6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C</w:t>
            </w:r>
          </w:p>
        </w:tc>
        <w:tc>
          <w:tcPr>
            <w:tcW w:w="3822" w:type="dxa"/>
            <w:noWrap/>
            <w:vAlign w:val="center"/>
          </w:tcPr>
          <w:p w14:paraId="5C42FF8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Carnegie Mellon University</w:t>
            </w:r>
          </w:p>
        </w:tc>
        <w:tc>
          <w:tcPr>
            <w:tcW w:w="850" w:type="dxa"/>
            <w:shd w:val="clear" w:color="auto" w:fill="FF7C80"/>
            <w:noWrap/>
            <w:vAlign w:val="center"/>
          </w:tcPr>
          <w:p w14:paraId="1151CD1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0" w:type="dxa"/>
            <w:shd w:val="clear" w:color="auto" w:fill="C5E0B3" w:themeFill="accent6" w:themeFillTint="66"/>
            <w:noWrap/>
            <w:vAlign w:val="center"/>
          </w:tcPr>
          <w:p w14:paraId="0A35A62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FF7C80"/>
            <w:noWrap/>
            <w:vAlign w:val="center"/>
          </w:tcPr>
          <w:p w14:paraId="4734D660"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N</w:t>
            </w:r>
          </w:p>
        </w:tc>
        <w:tc>
          <w:tcPr>
            <w:tcW w:w="1136" w:type="dxa"/>
            <w:shd w:val="clear" w:color="auto" w:fill="C5E0B3" w:themeFill="accent6" w:themeFillTint="66"/>
            <w:noWrap/>
            <w:vAlign w:val="center"/>
          </w:tcPr>
          <w:p w14:paraId="51110C6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833733F" w14:textId="77777777" w:rsidTr="00392E49">
        <w:trPr>
          <w:trHeight w:val="285"/>
        </w:trPr>
        <w:tc>
          <w:tcPr>
            <w:tcW w:w="2408" w:type="dxa"/>
            <w:shd w:val="clear" w:color="auto" w:fill="C9C9C9" w:themeFill="accent3" w:themeFillTint="99"/>
            <w:noWrap/>
            <w:vAlign w:val="center"/>
          </w:tcPr>
          <w:p w14:paraId="4FB51FC1"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sidRPr="007A5946">
              <w:rPr>
                <w:rFonts w:ascii="Century Gothic" w:eastAsia="Times New Roman" w:hAnsi="Century Gothic" w:cs="Calibri"/>
                <w:color w:val="000000"/>
                <w:sz w:val="18"/>
                <w:szCs w:val="18"/>
                <w:lang w:eastAsia="en-AU"/>
              </w:rPr>
              <w:t>Overseas University</w:t>
            </w:r>
          </w:p>
        </w:tc>
        <w:tc>
          <w:tcPr>
            <w:tcW w:w="990" w:type="dxa"/>
            <w:shd w:val="clear" w:color="auto" w:fill="9CC2E5" w:themeFill="accent1" w:themeFillTint="99"/>
            <w:noWrap/>
            <w:vAlign w:val="center"/>
          </w:tcPr>
          <w:p w14:paraId="7290090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Table C</w:t>
            </w:r>
          </w:p>
        </w:tc>
        <w:tc>
          <w:tcPr>
            <w:tcW w:w="3822" w:type="dxa"/>
            <w:noWrap/>
            <w:vAlign w:val="center"/>
          </w:tcPr>
          <w:p w14:paraId="1AB72A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University College London</w:t>
            </w:r>
          </w:p>
        </w:tc>
        <w:tc>
          <w:tcPr>
            <w:tcW w:w="850" w:type="dxa"/>
            <w:shd w:val="clear" w:color="auto" w:fill="FF7C80"/>
            <w:noWrap/>
            <w:vAlign w:val="center"/>
          </w:tcPr>
          <w:p w14:paraId="7FDA226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0" w:type="dxa"/>
            <w:shd w:val="clear" w:color="auto" w:fill="C5E0B3" w:themeFill="accent6" w:themeFillTint="66"/>
            <w:noWrap/>
            <w:vAlign w:val="center"/>
          </w:tcPr>
          <w:p w14:paraId="6E67387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853" w:type="dxa"/>
            <w:shd w:val="clear" w:color="auto" w:fill="FF7C80"/>
            <w:noWrap/>
            <w:vAlign w:val="center"/>
          </w:tcPr>
          <w:p w14:paraId="08ED0B50"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N</w:t>
            </w:r>
          </w:p>
        </w:tc>
        <w:tc>
          <w:tcPr>
            <w:tcW w:w="1136" w:type="dxa"/>
            <w:shd w:val="clear" w:color="auto" w:fill="C5E0B3" w:themeFill="accent6" w:themeFillTint="66"/>
            <w:noWrap/>
            <w:vAlign w:val="center"/>
          </w:tcPr>
          <w:p w14:paraId="08D7C1D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2995DF0F" w14:textId="77777777" w:rsidTr="00392E49">
        <w:trPr>
          <w:trHeight w:val="285"/>
        </w:trPr>
        <w:tc>
          <w:tcPr>
            <w:tcW w:w="2408" w:type="dxa"/>
            <w:shd w:val="clear" w:color="auto" w:fill="FFC000" w:themeFill="accent4"/>
            <w:noWrap/>
            <w:vAlign w:val="center"/>
          </w:tcPr>
          <w:p w14:paraId="48D92F8C" w14:textId="77777777" w:rsidR="00392E49" w:rsidRPr="007A5946" w:rsidRDefault="00392E49" w:rsidP="00392E49">
            <w:pPr>
              <w:spacing w:before="0" w:after="0"/>
              <w:rPr>
                <w:rFonts w:ascii="Century Gothic" w:eastAsia="Times New Roman" w:hAnsi="Century Gothic" w:cs="Calibri"/>
                <w:color w:val="000000"/>
                <w:sz w:val="18"/>
                <w:szCs w:val="18"/>
                <w:lang w:eastAsia="en-AU"/>
              </w:rPr>
            </w:pPr>
            <w:r>
              <w:rPr>
                <w:rFonts w:ascii="Century Gothic" w:eastAsia="Times New Roman" w:hAnsi="Century Gothic" w:cs="Calibri"/>
                <w:color w:val="000000"/>
                <w:sz w:val="18"/>
                <w:szCs w:val="18"/>
                <w:lang w:eastAsia="en-AU"/>
              </w:rPr>
              <w:t>Australian University College</w:t>
            </w:r>
          </w:p>
        </w:tc>
        <w:tc>
          <w:tcPr>
            <w:tcW w:w="990" w:type="dxa"/>
            <w:shd w:val="clear" w:color="auto" w:fill="auto"/>
            <w:noWrap/>
            <w:vAlign w:val="center"/>
          </w:tcPr>
          <w:p w14:paraId="4F01EAC5"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N/A</w:t>
            </w:r>
          </w:p>
        </w:tc>
        <w:tc>
          <w:tcPr>
            <w:tcW w:w="3822" w:type="dxa"/>
            <w:noWrap/>
            <w:vAlign w:val="center"/>
          </w:tcPr>
          <w:p w14:paraId="17986A66"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Avondale College Ltd</w:t>
            </w:r>
          </w:p>
        </w:tc>
        <w:tc>
          <w:tcPr>
            <w:tcW w:w="850" w:type="dxa"/>
            <w:shd w:val="clear" w:color="auto" w:fill="C5E0B3" w:themeFill="accent6" w:themeFillTint="66"/>
            <w:noWrap/>
            <w:vAlign w:val="center"/>
          </w:tcPr>
          <w:p w14:paraId="4D3694EF"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Y</w:t>
            </w:r>
          </w:p>
        </w:tc>
        <w:tc>
          <w:tcPr>
            <w:tcW w:w="990" w:type="dxa"/>
            <w:shd w:val="clear" w:color="auto" w:fill="C5E0B3" w:themeFill="accent6" w:themeFillTint="66"/>
            <w:noWrap/>
            <w:vAlign w:val="center"/>
          </w:tcPr>
          <w:p w14:paraId="41FC7269"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Y</w:t>
            </w:r>
          </w:p>
        </w:tc>
        <w:tc>
          <w:tcPr>
            <w:tcW w:w="853" w:type="dxa"/>
            <w:shd w:val="clear" w:color="auto" w:fill="FF7C80"/>
            <w:noWrap/>
            <w:vAlign w:val="center"/>
          </w:tcPr>
          <w:p w14:paraId="0CBDFAF8" w14:textId="77777777" w:rsidR="00392E49" w:rsidRDefault="00392E49" w:rsidP="00392E49">
            <w:pPr>
              <w:spacing w:before="0" w:after="0"/>
              <w:rPr>
                <w:rFonts w:ascii="Century Gothic" w:hAnsi="Century Gothic"/>
                <w:sz w:val="18"/>
                <w:szCs w:val="18"/>
              </w:rPr>
            </w:pPr>
            <w:r>
              <w:rPr>
                <w:rFonts w:ascii="Century Gothic" w:hAnsi="Century Gothic"/>
                <w:sz w:val="18"/>
                <w:szCs w:val="18"/>
              </w:rPr>
              <w:t>N</w:t>
            </w:r>
          </w:p>
        </w:tc>
        <w:tc>
          <w:tcPr>
            <w:tcW w:w="1136" w:type="dxa"/>
            <w:shd w:val="clear" w:color="auto" w:fill="C5E0B3" w:themeFill="accent6" w:themeFillTint="66"/>
            <w:noWrap/>
            <w:vAlign w:val="center"/>
          </w:tcPr>
          <w:p w14:paraId="6F51A0E2"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Y</w:t>
            </w:r>
          </w:p>
        </w:tc>
      </w:tr>
    </w:tbl>
    <w:p w14:paraId="759B1E15" w14:textId="77777777" w:rsidR="00392E49" w:rsidRPr="007A5946" w:rsidRDefault="00392E49" w:rsidP="00392E49">
      <w:pPr>
        <w:spacing w:before="0" w:after="0" w:line="240" w:lineRule="auto"/>
        <w:rPr>
          <w:rFonts w:ascii="Century Gothic" w:eastAsia="Times New Roman" w:hAnsi="Century Gothic" w:cs="Calibri"/>
          <w:color w:val="000000"/>
          <w:sz w:val="16"/>
          <w:szCs w:val="16"/>
          <w:lang w:eastAsia="en-AU"/>
        </w:rPr>
      </w:pPr>
      <w:r w:rsidRPr="007A5946">
        <w:rPr>
          <w:rFonts w:ascii="Century Gothic" w:eastAsia="Times New Roman" w:hAnsi="Century Gothic" w:cs="Calibri"/>
          <w:color w:val="000000"/>
          <w:sz w:val="16"/>
          <w:szCs w:val="16"/>
          <w:lang w:eastAsia="en-AU"/>
        </w:rPr>
        <w:t xml:space="preserve">* specified in the </w:t>
      </w:r>
      <w:r w:rsidRPr="007A5946">
        <w:rPr>
          <w:rFonts w:ascii="Century Gothic" w:eastAsia="Times New Roman" w:hAnsi="Century Gothic" w:cs="Calibri"/>
          <w:i/>
          <w:color w:val="000000"/>
          <w:sz w:val="16"/>
          <w:szCs w:val="16"/>
          <w:lang w:eastAsia="en-AU"/>
        </w:rPr>
        <w:t>Commonwealth Grant Scheme Guidelines 2012</w:t>
      </w:r>
      <w:r w:rsidRPr="007A5946">
        <w:rPr>
          <w:rFonts w:ascii="Century Gothic" w:eastAsia="Times New Roman" w:hAnsi="Century Gothic" w:cs="Calibri"/>
          <w:color w:val="000000"/>
          <w:sz w:val="16"/>
          <w:szCs w:val="16"/>
          <w:lang w:eastAsia="en-AU"/>
        </w:rPr>
        <w:t xml:space="preserve"> as a non-Table A higher education provider that can be paid grants under Part 2-2 of the </w:t>
      </w:r>
      <w:r w:rsidRPr="007A5946">
        <w:rPr>
          <w:rFonts w:ascii="Century Gothic" w:eastAsia="Times New Roman" w:hAnsi="Century Gothic" w:cs="Calibri"/>
          <w:i/>
          <w:color w:val="000000"/>
          <w:sz w:val="16"/>
          <w:szCs w:val="16"/>
          <w:lang w:eastAsia="en-AU"/>
        </w:rPr>
        <w:t>Higher Education Support Act 2003</w:t>
      </w:r>
      <w:r w:rsidRPr="007A5946">
        <w:rPr>
          <w:rFonts w:ascii="Century Gothic" w:eastAsia="Times New Roman" w:hAnsi="Century Gothic" w:cs="Calibri"/>
          <w:color w:val="000000"/>
          <w:sz w:val="16"/>
          <w:szCs w:val="16"/>
          <w:lang w:eastAsia="en-AU"/>
        </w:rPr>
        <w:t xml:space="preserve"> but does not currently have a CGS Funding Agreement with the Australian Government Department of Education.</w:t>
      </w:r>
    </w:p>
    <w:p w14:paraId="5ADE1173" w14:textId="77777777" w:rsidR="00392E49" w:rsidRPr="00A8043F" w:rsidRDefault="00392E49" w:rsidP="00392E49">
      <w:pPr>
        <w:spacing w:before="0" w:after="160"/>
        <w:rPr>
          <w:rFonts w:ascii="Century Gothic" w:hAnsi="Century Gothic"/>
          <w:sz w:val="20"/>
          <w:szCs w:val="20"/>
        </w:rPr>
      </w:pPr>
    </w:p>
    <w:tbl>
      <w:tblPr>
        <w:tblStyle w:val="TableGrid1"/>
        <w:tblW w:w="11248" w:type="dxa"/>
        <w:tblInd w:w="-1139" w:type="dxa"/>
        <w:tblBorders>
          <w:insideV w:val="none" w:sz="0" w:space="0" w:color="auto"/>
        </w:tblBorders>
        <w:tblLook w:val="04A0" w:firstRow="1" w:lastRow="0" w:firstColumn="1" w:lastColumn="0" w:noHBand="0" w:noVBand="1"/>
      </w:tblPr>
      <w:tblGrid>
        <w:gridCol w:w="2553"/>
        <w:gridCol w:w="5244"/>
        <w:gridCol w:w="709"/>
        <w:gridCol w:w="992"/>
        <w:gridCol w:w="616"/>
        <w:gridCol w:w="1134"/>
      </w:tblGrid>
      <w:tr w:rsidR="00392E49" w:rsidRPr="007A5946" w14:paraId="6879DDA7" w14:textId="77777777" w:rsidTr="00794E80">
        <w:trPr>
          <w:trHeight w:val="290"/>
        </w:trPr>
        <w:tc>
          <w:tcPr>
            <w:tcW w:w="11248" w:type="dxa"/>
            <w:gridSpan w:val="6"/>
            <w:shd w:val="clear" w:color="auto" w:fill="2763AC"/>
            <w:noWrap/>
            <w:vAlign w:val="center"/>
          </w:tcPr>
          <w:p w14:paraId="14505281" w14:textId="77777777" w:rsidR="00392E49" w:rsidRPr="007A5946" w:rsidRDefault="00392E49" w:rsidP="00392E49">
            <w:pPr>
              <w:spacing w:before="40" w:after="40"/>
              <w:jc w:val="center"/>
              <w:rPr>
                <w:rFonts w:ascii="Century Gothic" w:hAnsi="Century Gothic"/>
                <w:b/>
                <w:bCs/>
                <w:color w:val="FFFFFF" w:themeColor="background1"/>
                <w:sz w:val="24"/>
                <w:szCs w:val="24"/>
              </w:rPr>
            </w:pPr>
            <w:r w:rsidRPr="007A5946">
              <w:rPr>
                <w:rFonts w:ascii="Century Gothic" w:hAnsi="Century Gothic"/>
                <w:b/>
                <w:bCs/>
                <w:color w:val="FFFFFF" w:themeColor="background1"/>
                <w:sz w:val="24"/>
                <w:szCs w:val="24"/>
              </w:rPr>
              <w:t>Higher Education Providers</w:t>
            </w:r>
          </w:p>
        </w:tc>
      </w:tr>
      <w:tr w:rsidR="00392E49" w:rsidRPr="007A5946" w14:paraId="562BE0E5" w14:textId="77777777" w:rsidTr="00794E80">
        <w:trPr>
          <w:trHeight w:val="290"/>
        </w:trPr>
        <w:tc>
          <w:tcPr>
            <w:tcW w:w="2553" w:type="dxa"/>
            <w:shd w:val="clear" w:color="auto" w:fill="FFFFFF" w:themeFill="background1"/>
            <w:noWrap/>
            <w:vAlign w:val="center"/>
          </w:tcPr>
          <w:p w14:paraId="263931C0" w14:textId="77777777" w:rsidR="00392E49" w:rsidRPr="007A5946" w:rsidRDefault="00392E49" w:rsidP="00392E49">
            <w:pPr>
              <w:spacing w:before="0" w:after="0"/>
              <w:rPr>
                <w:rFonts w:ascii="Century Gothic" w:hAnsi="Century Gothic"/>
                <w:b/>
                <w:sz w:val="18"/>
                <w:szCs w:val="18"/>
              </w:rPr>
            </w:pPr>
            <w:r w:rsidRPr="007A5946">
              <w:rPr>
                <w:rFonts w:ascii="Century Gothic" w:hAnsi="Century Gothic"/>
                <w:b/>
                <w:sz w:val="18"/>
                <w:szCs w:val="18"/>
              </w:rPr>
              <w:t>Provider Category</w:t>
            </w:r>
          </w:p>
        </w:tc>
        <w:tc>
          <w:tcPr>
            <w:tcW w:w="5244" w:type="dxa"/>
            <w:shd w:val="clear" w:color="auto" w:fill="FFFFFF" w:themeFill="background1"/>
            <w:noWrap/>
            <w:vAlign w:val="center"/>
          </w:tcPr>
          <w:p w14:paraId="7B3663AB" w14:textId="77777777" w:rsidR="00392E49" w:rsidRPr="007A5946" w:rsidRDefault="00392E49" w:rsidP="00392E49">
            <w:pPr>
              <w:spacing w:before="0" w:after="0"/>
              <w:rPr>
                <w:rFonts w:ascii="Century Gothic" w:hAnsi="Century Gothic"/>
                <w:b/>
                <w:sz w:val="18"/>
                <w:szCs w:val="18"/>
              </w:rPr>
            </w:pPr>
            <w:r w:rsidRPr="007A5946">
              <w:rPr>
                <w:rFonts w:ascii="Century Gothic" w:hAnsi="Century Gothic"/>
                <w:b/>
                <w:sz w:val="18"/>
                <w:szCs w:val="18"/>
              </w:rPr>
              <w:t>Provider Name</w:t>
            </w:r>
          </w:p>
        </w:tc>
        <w:tc>
          <w:tcPr>
            <w:tcW w:w="709" w:type="dxa"/>
            <w:shd w:val="clear" w:color="auto" w:fill="FFFFFF" w:themeFill="background1"/>
            <w:noWrap/>
            <w:vAlign w:val="center"/>
          </w:tcPr>
          <w:p w14:paraId="709A9DEA" w14:textId="77777777" w:rsidR="00392E49" w:rsidRPr="007A5946" w:rsidRDefault="00392E49" w:rsidP="00392E49">
            <w:pPr>
              <w:spacing w:before="0" w:after="0"/>
              <w:rPr>
                <w:rFonts w:ascii="Century Gothic" w:hAnsi="Century Gothic"/>
                <w:b/>
                <w:sz w:val="18"/>
                <w:szCs w:val="18"/>
              </w:rPr>
            </w:pPr>
            <w:r w:rsidRPr="007A5946">
              <w:rPr>
                <w:rFonts w:ascii="Century Gothic" w:hAnsi="Century Gothic"/>
                <w:b/>
                <w:sz w:val="18"/>
                <w:szCs w:val="18"/>
              </w:rPr>
              <w:t>CGS</w:t>
            </w:r>
          </w:p>
        </w:tc>
        <w:tc>
          <w:tcPr>
            <w:tcW w:w="992" w:type="dxa"/>
            <w:shd w:val="clear" w:color="auto" w:fill="FFFFFF" w:themeFill="background1"/>
            <w:noWrap/>
            <w:vAlign w:val="center"/>
          </w:tcPr>
          <w:p w14:paraId="76A91184" w14:textId="77777777" w:rsidR="00392E49" w:rsidRPr="007A5946" w:rsidRDefault="00392E49" w:rsidP="00392E49">
            <w:pPr>
              <w:spacing w:before="0" w:after="0"/>
              <w:rPr>
                <w:rFonts w:ascii="Century Gothic" w:hAnsi="Century Gothic"/>
                <w:b/>
                <w:sz w:val="18"/>
                <w:szCs w:val="18"/>
              </w:rPr>
            </w:pPr>
            <w:r w:rsidRPr="007A5946">
              <w:rPr>
                <w:rFonts w:ascii="Century Gothic" w:hAnsi="Century Gothic"/>
                <w:b/>
                <w:sz w:val="18"/>
                <w:szCs w:val="18"/>
              </w:rPr>
              <w:t>FEE-HELP</w:t>
            </w:r>
          </w:p>
        </w:tc>
        <w:tc>
          <w:tcPr>
            <w:tcW w:w="616" w:type="dxa"/>
            <w:shd w:val="clear" w:color="auto" w:fill="FFFFFF" w:themeFill="background1"/>
            <w:noWrap/>
            <w:vAlign w:val="center"/>
          </w:tcPr>
          <w:p w14:paraId="4F11EA5D" w14:textId="77777777" w:rsidR="00392E49" w:rsidRPr="007A5946" w:rsidRDefault="00392E49" w:rsidP="00392E49">
            <w:pPr>
              <w:spacing w:before="0" w:after="0"/>
              <w:rPr>
                <w:rFonts w:ascii="Century Gothic" w:hAnsi="Century Gothic"/>
                <w:b/>
                <w:sz w:val="18"/>
                <w:szCs w:val="18"/>
              </w:rPr>
            </w:pPr>
            <w:r w:rsidRPr="007A5946">
              <w:rPr>
                <w:rFonts w:ascii="Century Gothic" w:hAnsi="Century Gothic"/>
                <w:b/>
                <w:sz w:val="18"/>
                <w:szCs w:val="18"/>
              </w:rPr>
              <w:t>RBG</w:t>
            </w:r>
          </w:p>
        </w:tc>
        <w:tc>
          <w:tcPr>
            <w:tcW w:w="1134" w:type="dxa"/>
            <w:shd w:val="clear" w:color="auto" w:fill="FFFFFF" w:themeFill="background1"/>
            <w:noWrap/>
            <w:vAlign w:val="center"/>
          </w:tcPr>
          <w:p w14:paraId="7D58E3E6" w14:textId="77777777" w:rsidR="00392E49" w:rsidRPr="007A5946" w:rsidRDefault="00392E49" w:rsidP="00392E49">
            <w:pPr>
              <w:spacing w:before="0" w:after="0"/>
              <w:rPr>
                <w:rFonts w:ascii="Century Gothic" w:hAnsi="Century Gothic"/>
                <w:b/>
                <w:sz w:val="18"/>
                <w:szCs w:val="18"/>
              </w:rPr>
            </w:pPr>
            <w:r w:rsidRPr="007A5946">
              <w:rPr>
                <w:rFonts w:ascii="Century Gothic" w:hAnsi="Century Gothic"/>
                <w:b/>
                <w:sz w:val="18"/>
                <w:szCs w:val="18"/>
              </w:rPr>
              <w:t>SAA</w:t>
            </w:r>
          </w:p>
        </w:tc>
      </w:tr>
      <w:tr w:rsidR="00392E49" w:rsidRPr="007A5946" w14:paraId="324FD998" w14:textId="77777777" w:rsidTr="00794E80">
        <w:trPr>
          <w:trHeight w:val="290"/>
        </w:trPr>
        <w:tc>
          <w:tcPr>
            <w:tcW w:w="2553" w:type="dxa"/>
            <w:shd w:val="clear" w:color="auto" w:fill="EAC0DD"/>
            <w:noWrap/>
            <w:vAlign w:val="center"/>
            <w:hideMark/>
          </w:tcPr>
          <w:p w14:paraId="6C5F923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979772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Academies Australasia Polytechnic Pty Limited (formerly AMI Education Pty Ltd)</w:t>
            </w:r>
          </w:p>
        </w:tc>
        <w:tc>
          <w:tcPr>
            <w:tcW w:w="709" w:type="dxa"/>
            <w:shd w:val="clear" w:color="auto" w:fill="FF7C80"/>
            <w:noWrap/>
            <w:vAlign w:val="center"/>
            <w:hideMark/>
          </w:tcPr>
          <w:p w14:paraId="33DD53C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4CE505F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09229F7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04B42D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00AE9EE" w14:textId="77777777" w:rsidTr="00794E80">
        <w:trPr>
          <w:trHeight w:val="290"/>
        </w:trPr>
        <w:tc>
          <w:tcPr>
            <w:tcW w:w="2553" w:type="dxa"/>
            <w:shd w:val="clear" w:color="auto" w:fill="EAC0DD"/>
            <w:noWrap/>
            <w:vAlign w:val="center"/>
            <w:hideMark/>
          </w:tcPr>
          <w:p w14:paraId="3C5B6B7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A37A15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Academy of Design Australia Limited (formerly Australian Academy of Design Inc)</w:t>
            </w:r>
          </w:p>
        </w:tc>
        <w:tc>
          <w:tcPr>
            <w:tcW w:w="709" w:type="dxa"/>
            <w:shd w:val="clear" w:color="auto" w:fill="FF7C80"/>
            <w:noWrap/>
            <w:vAlign w:val="center"/>
            <w:hideMark/>
          </w:tcPr>
          <w:p w14:paraId="6335FF1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987154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E491AE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59A6B1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AA9397F" w14:textId="77777777" w:rsidTr="00794E80">
        <w:trPr>
          <w:trHeight w:val="290"/>
        </w:trPr>
        <w:tc>
          <w:tcPr>
            <w:tcW w:w="2553" w:type="dxa"/>
            <w:shd w:val="clear" w:color="auto" w:fill="EAC0DD"/>
            <w:noWrap/>
            <w:vAlign w:val="center"/>
            <w:hideMark/>
          </w:tcPr>
          <w:p w14:paraId="1DBD3F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0391A5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Academy of Information Technology Pty Ltd</w:t>
            </w:r>
          </w:p>
        </w:tc>
        <w:tc>
          <w:tcPr>
            <w:tcW w:w="709" w:type="dxa"/>
            <w:shd w:val="clear" w:color="auto" w:fill="FF7C80"/>
            <w:noWrap/>
            <w:vAlign w:val="center"/>
            <w:hideMark/>
          </w:tcPr>
          <w:p w14:paraId="29B542F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9D6EE2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57A152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78B00C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D4A4DD9" w14:textId="77777777" w:rsidTr="00794E80">
        <w:trPr>
          <w:trHeight w:val="290"/>
        </w:trPr>
        <w:tc>
          <w:tcPr>
            <w:tcW w:w="2553" w:type="dxa"/>
            <w:shd w:val="clear" w:color="auto" w:fill="EAC0DD"/>
            <w:noWrap/>
            <w:vAlign w:val="center"/>
            <w:hideMark/>
          </w:tcPr>
          <w:p w14:paraId="690F6BE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FAAF0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Acknowledge Education Pty Ltd (formerly Stott's Colleges Pty Ltd)</w:t>
            </w:r>
          </w:p>
        </w:tc>
        <w:tc>
          <w:tcPr>
            <w:tcW w:w="709" w:type="dxa"/>
            <w:shd w:val="clear" w:color="auto" w:fill="FF7C80"/>
            <w:noWrap/>
            <w:vAlign w:val="center"/>
            <w:hideMark/>
          </w:tcPr>
          <w:p w14:paraId="2BE6D20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11459E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4C969A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DE60B4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526C66F" w14:textId="77777777" w:rsidTr="00794E80">
        <w:trPr>
          <w:trHeight w:val="290"/>
        </w:trPr>
        <w:tc>
          <w:tcPr>
            <w:tcW w:w="2553" w:type="dxa"/>
            <w:shd w:val="clear" w:color="auto" w:fill="EAC0DD"/>
            <w:noWrap/>
            <w:vAlign w:val="center"/>
            <w:hideMark/>
          </w:tcPr>
          <w:p w14:paraId="36994F2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27D81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ACPE Limited</w:t>
            </w:r>
          </w:p>
        </w:tc>
        <w:tc>
          <w:tcPr>
            <w:tcW w:w="709" w:type="dxa"/>
            <w:shd w:val="clear" w:color="auto" w:fill="FF7C80"/>
            <w:noWrap/>
            <w:vAlign w:val="center"/>
            <w:hideMark/>
          </w:tcPr>
          <w:p w14:paraId="13ED376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E729AD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DAB2E0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B12A3E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063D506" w14:textId="77777777" w:rsidTr="00794E80">
        <w:trPr>
          <w:trHeight w:val="290"/>
        </w:trPr>
        <w:tc>
          <w:tcPr>
            <w:tcW w:w="2553" w:type="dxa"/>
            <w:shd w:val="clear" w:color="auto" w:fill="EAC0DD"/>
            <w:noWrap/>
            <w:vAlign w:val="center"/>
            <w:hideMark/>
          </w:tcPr>
          <w:p w14:paraId="1B97714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BE1B2A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Adelaide Central School of Art Incorporated</w:t>
            </w:r>
          </w:p>
        </w:tc>
        <w:tc>
          <w:tcPr>
            <w:tcW w:w="709" w:type="dxa"/>
            <w:shd w:val="clear" w:color="auto" w:fill="FF7C80"/>
            <w:noWrap/>
            <w:vAlign w:val="center"/>
            <w:hideMark/>
          </w:tcPr>
          <w:p w14:paraId="3C8F357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D02E1A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298CD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AFEEA0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2051039" w14:textId="77777777" w:rsidTr="00794E80">
        <w:trPr>
          <w:trHeight w:val="290"/>
        </w:trPr>
        <w:tc>
          <w:tcPr>
            <w:tcW w:w="2553" w:type="dxa"/>
            <w:shd w:val="clear" w:color="auto" w:fill="EAC0DD"/>
            <w:noWrap/>
            <w:vAlign w:val="center"/>
            <w:hideMark/>
          </w:tcPr>
          <w:p w14:paraId="00F0048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2EB3FA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Adelaide College of Divinity Incorporated</w:t>
            </w:r>
          </w:p>
        </w:tc>
        <w:tc>
          <w:tcPr>
            <w:tcW w:w="709" w:type="dxa"/>
            <w:shd w:val="clear" w:color="auto" w:fill="FF7C80"/>
            <w:noWrap/>
            <w:vAlign w:val="center"/>
            <w:hideMark/>
          </w:tcPr>
          <w:p w14:paraId="65F4FC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281C7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7C1D2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1BBF07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36CE597" w14:textId="77777777" w:rsidTr="00794E80">
        <w:trPr>
          <w:trHeight w:val="290"/>
        </w:trPr>
        <w:tc>
          <w:tcPr>
            <w:tcW w:w="2553" w:type="dxa"/>
            <w:shd w:val="clear" w:color="auto" w:fill="EAC0DD"/>
            <w:noWrap/>
            <w:vAlign w:val="center"/>
            <w:hideMark/>
          </w:tcPr>
          <w:p w14:paraId="274C327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13834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Adelaide Institute of Higher Education Pty Ltd</w:t>
            </w:r>
          </w:p>
        </w:tc>
        <w:tc>
          <w:tcPr>
            <w:tcW w:w="709" w:type="dxa"/>
            <w:shd w:val="clear" w:color="auto" w:fill="FF7C80"/>
            <w:noWrap/>
            <w:vAlign w:val="center"/>
            <w:hideMark/>
          </w:tcPr>
          <w:p w14:paraId="543595D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26C2DCA9"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N</w:t>
            </w:r>
          </w:p>
        </w:tc>
        <w:tc>
          <w:tcPr>
            <w:tcW w:w="616" w:type="dxa"/>
            <w:shd w:val="clear" w:color="auto" w:fill="FF7C80"/>
            <w:noWrap/>
            <w:vAlign w:val="center"/>
            <w:hideMark/>
          </w:tcPr>
          <w:p w14:paraId="1C97FAA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D78193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23D0569" w14:textId="77777777" w:rsidTr="00794E80">
        <w:trPr>
          <w:trHeight w:val="290"/>
        </w:trPr>
        <w:tc>
          <w:tcPr>
            <w:tcW w:w="2553" w:type="dxa"/>
            <w:shd w:val="clear" w:color="auto" w:fill="EAC0DD"/>
            <w:noWrap/>
            <w:vAlign w:val="center"/>
            <w:hideMark/>
          </w:tcPr>
          <w:p w14:paraId="13B0C70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FD0CE2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Alphacrucis College Limited</w:t>
            </w:r>
          </w:p>
        </w:tc>
        <w:tc>
          <w:tcPr>
            <w:tcW w:w="709" w:type="dxa"/>
            <w:shd w:val="clear" w:color="auto" w:fill="FF7C80"/>
            <w:noWrap/>
            <w:vAlign w:val="center"/>
            <w:hideMark/>
          </w:tcPr>
          <w:p w14:paraId="0880BFB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E48003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B3DEA7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5157D9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486832CC" w14:textId="77777777" w:rsidTr="00794E80">
        <w:trPr>
          <w:trHeight w:val="290"/>
        </w:trPr>
        <w:tc>
          <w:tcPr>
            <w:tcW w:w="2553" w:type="dxa"/>
            <w:shd w:val="clear" w:color="auto" w:fill="EAC0DD"/>
            <w:noWrap/>
            <w:vAlign w:val="center"/>
            <w:hideMark/>
          </w:tcPr>
          <w:p w14:paraId="6A056CA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D27196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Asia Pacific International College Pty Ltd</w:t>
            </w:r>
          </w:p>
        </w:tc>
        <w:tc>
          <w:tcPr>
            <w:tcW w:w="709" w:type="dxa"/>
            <w:shd w:val="clear" w:color="auto" w:fill="FF7C80"/>
            <w:noWrap/>
            <w:vAlign w:val="center"/>
            <w:hideMark/>
          </w:tcPr>
          <w:p w14:paraId="1005E4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4D18EE0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506F96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3E7A31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C97E439" w14:textId="77777777" w:rsidTr="00794E80">
        <w:trPr>
          <w:trHeight w:val="290"/>
        </w:trPr>
        <w:tc>
          <w:tcPr>
            <w:tcW w:w="2553" w:type="dxa"/>
            <w:shd w:val="clear" w:color="auto" w:fill="EAC0DD"/>
            <w:noWrap/>
            <w:vAlign w:val="center"/>
            <w:hideMark/>
          </w:tcPr>
          <w:p w14:paraId="6071919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FEBA47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Australasian College of Health and Wellness Pty Ltd (formerly MHM Higher Education Pty Ltd)</w:t>
            </w:r>
          </w:p>
        </w:tc>
        <w:tc>
          <w:tcPr>
            <w:tcW w:w="709" w:type="dxa"/>
            <w:shd w:val="clear" w:color="auto" w:fill="FF7C80"/>
            <w:noWrap/>
            <w:vAlign w:val="center"/>
            <w:hideMark/>
          </w:tcPr>
          <w:p w14:paraId="0E10B20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189D5A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FD693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5E77C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5DF1DBA" w14:textId="77777777" w:rsidTr="00794E80">
        <w:trPr>
          <w:trHeight w:val="290"/>
        </w:trPr>
        <w:tc>
          <w:tcPr>
            <w:tcW w:w="2553" w:type="dxa"/>
            <w:shd w:val="clear" w:color="auto" w:fill="EAC0DD"/>
            <w:noWrap/>
            <w:vAlign w:val="center"/>
            <w:hideMark/>
          </w:tcPr>
          <w:p w14:paraId="3A1B212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DD44CE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Academy of Music and Performing Arts (formerly International Conservatorium of Music (Aust))</w:t>
            </w:r>
          </w:p>
        </w:tc>
        <w:tc>
          <w:tcPr>
            <w:tcW w:w="709" w:type="dxa"/>
            <w:shd w:val="clear" w:color="auto" w:fill="FF7C80"/>
            <w:noWrap/>
            <w:vAlign w:val="center"/>
            <w:hideMark/>
          </w:tcPr>
          <w:p w14:paraId="149640E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344F71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7C751D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49C93C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BEC9998" w14:textId="77777777" w:rsidTr="00794E80">
        <w:trPr>
          <w:trHeight w:val="290"/>
        </w:trPr>
        <w:tc>
          <w:tcPr>
            <w:tcW w:w="2553" w:type="dxa"/>
            <w:shd w:val="clear" w:color="auto" w:fill="EAC0DD"/>
            <w:noWrap/>
            <w:vAlign w:val="center"/>
            <w:hideMark/>
          </w:tcPr>
          <w:p w14:paraId="3B8444E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C53638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Campus Management Pty Ltd</w:t>
            </w:r>
          </w:p>
        </w:tc>
        <w:tc>
          <w:tcPr>
            <w:tcW w:w="709" w:type="dxa"/>
            <w:shd w:val="clear" w:color="auto" w:fill="FF7C80"/>
            <w:noWrap/>
            <w:vAlign w:val="center"/>
            <w:hideMark/>
          </w:tcPr>
          <w:p w14:paraId="061EDCB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6905E65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262889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91F2C2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1EBE50A" w14:textId="77777777" w:rsidTr="00794E80">
        <w:trPr>
          <w:trHeight w:val="290"/>
        </w:trPr>
        <w:tc>
          <w:tcPr>
            <w:tcW w:w="2553" w:type="dxa"/>
            <w:shd w:val="clear" w:color="auto" w:fill="EAC0DD"/>
            <w:noWrap/>
            <w:vAlign w:val="center"/>
            <w:hideMark/>
          </w:tcPr>
          <w:p w14:paraId="3ECD51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5BBBF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Chiropractic College Limited</w:t>
            </w:r>
          </w:p>
        </w:tc>
        <w:tc>
          <w:tcPr>
            <w:tcW w:w="709" w:type="dxa"/>
            <w:shd w:val="clear" w:color="auto" w:fill="FF7C80"/>
            <w:noWrap/>
            <w:vAlign w:val="center"/>
            <w:hideMark/>
          </w:tcPr>
          <w:p w14:paraId="6EBC558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4A2915F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53DB34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B1363E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0F798A8" w14:textId="77777777" w:rsidTr="00794E80">
        <w:trPr>
          <w:trHeight w:val="290"/>
        </w:trPr>
        <w:tc>
          <w:tcPr>
            <w:tcW w:w="2553" w:type="dxa"/>
            <w:shd w:val="clear" w:color="auto" w:fill="EAC0DD"/>
            <w:noWrap/>
            <w:vAlign w:val="center"/>
            <w:hideMark/>
          </w:tcPr>
          <w:p w14:paraId="11BE87D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56E7A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College of Christian Studies Ltd (formerly Tabor College (NSW) Ltd)</w:t>
            </w:r>
          </w:p>
        </w:tc>
        <w:tc>
          <w:tcPr>
            <w:tcW w:w="709" w:type="dxa"/>
            <w:shd w:val="clear" w:color="auto" w:fill="FF7C80"/>
            <w:noWrap/>
            <w:vAlign w:val="center"/>
            <w:hideMark/>
          </w:tcPr>
          <w:p w14:paraId="0A5120B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56080D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23C989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9B5DD4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51CD627" w14:textId="77777777" w:rsidTr="00794E80">
        <w:trPr>
          <w:trHeight w:val="290"/>
        </w:trPr>
        <w:tc>
          <w:tcPr>
            <w:tcW w:w="2553" w:type="dxa"/>
            <w:shd w:val="clear" w:color="auto" w:fill="EAC0DD"/>
            <w:noWrap/>
            <w:vAlign w:val="center"/>
            <w:hideMark/>
          </w:tcPr>
          <w:p w14:paraId="75A83C0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213879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College of Natural Medicine Pty Ltd</w:t>
            </w:r>
          </w:p>
        </w:tc>
        <w:tc>
          <w:tcPr>
            <w:tcW w:w="709" w:type="dxa"/>
            <w:shd w:val="clear" w:color="auto" w:fill="FF7C80"/>
            <w:noWrap/>
            <w:vAlign w:val="center"/>
            <w:hideMark/>
          </w:tcPr>
          <w:p w14:paraId="5245D51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C0DC64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77B63B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3ADFF0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565CACF" w14:textId="77777777" w:rsidTr="00794E80">
        <w:trPr>
          <w:trHeight w:val="290"/>
        </w:trPr>
        <w:tc>
          <w:tcPr>
            <w:tcW w:w="2553" w:type="dxa"/>
            <w:shd w:val="clear" w:color="auto" w:fill="EAC0DD"/>
            <w:noWrap/>
            <w:vAlign w:val="center"/>
            <w:hideMark/>
          </w:tcPr>
          <w:p w14:paraId="6E507BB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0A63A4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College of Nursing Ltd</w:t>
            </w:r>
          </w:p>
        </w:tc>
        <w:tc>
          <w:tcPr>
            <w:tcW w:w="709" w:type="dxa"/>
            <w:shd w:val="clear" w:color="auto" w:fill="FF7C80"/>
            <w:noWrap/>
            <w:vAlign w:val="center"/>
            <w:hideMark/>
          </w:tcPr>
          <w:p w14:paraId="24175F5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FB1250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9E685F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BAF0BD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439FF4E" w14:textId="77777777" w:rsidTr="00794E80">
        <w:trPr>
          <w:trHeight w:val="290"/>
        </w:trPr>
        <w:tc>
          <w:tcPr>
            <w:tcW w:w="2553" w:type="dxa"/>
            <w:shd w:val="clear" w:color="auto" w:fill="EAC0DD"/>
            <w:noWrap/>
            <w:vAlign w:val="center"/>
            <w:hideMark/>
          </w:tcPr>
          <w:p w14:paraId="0D225EA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A955B3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College of the Arts Pty Ltd</w:t>
            </w:r>
          </w:p>
        </w:tc>
        <w:tc>
          <w:tcPr>
            <w:tcW w:w="709" w:type="dxa"/>
            <w:shd w:val="clear" w:color="auto" w:fill="FF7C80"/>
            <w:noWrap/>
            <w:vAlign w:val="center"/>
            <w:hideMark/>
          </w:tcPr>
          <w:p w14:paraId="4ED9628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4A610E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1E2BC9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26ABF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D202411" w14:textId="77777777" w:rsidTr="00794E80">
        <w:trPr>
          <w:trHeight w:val="290"/>
        </w:trPr>
        <w:tc>
          <w:tcPr>
            <w:tcW w:w="2553" w:type="dxa"/>
            <w:shd w:val="clear" w:color="auto" w:fill="EAC0DD"/>
            <w:noWrap/>
            <w:vAlign w:val="center"/>
            <w:hideMark/>
          </w:tcPr>
          <w:p w14:paraId="700449B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F8D17B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College of Theology Limited</w:t>
            </w:r>
          </w:p>
        </w:tc>
        <w:tc>
          <w:tcPr>
            <w:tcW w:w="709" w:type="dxa"/>
            <w:shd w:val="clear" w:color="auto" w:fill="FF7C80"/>
            <w:noWrap/>
            <w:vAlign w:val="center"/>
            <w:hideMark/>
          </w:tcPr>
          <w:p w14:paraId="12D4D6A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A3A82A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1B41CC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75C121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bl>
    <w:p w14:paraId="52E8FD17" w14:textId="77777777" w:rsidR="00FB3867" w:rsidRDefault="00FB3867">
      <w:r>
        <w:br w:type="page"/>
      </w:r>
    </w:p>
    <w:tbl>
      <w:tblPr>
        <w:tblStyle w:val="TableGrid1"/>
        <w:tblW w:w="11248" w:type="dxa"/>
        <w:tblInd w:w="-1139" w:type="dxa"/>
        <w:tblBorders>
          <w:insideV w:val="none" w:sz="0" w:space="0" w:color="auto"/>
        </w:tblBorders>
        <w:tblLook w:val="04A0" w:firstRow="1" w:lastRow="0" w:firstColumn="1" w:lastColumn="0" w:noHBand="0" w:noVBand="1"/>
      </w:tblPr>
      <w:tblGrid>
        <w:gridCol w:w="2553"/>
        <w:gridCol w:w="5244"/>
        <w:gridCol w:w="709"/>
        <w:gridCol w:w="992"/>
        <w:gridCol w:w="616"/>
        <w:gridCol w:w="1134"/>
      </w:tblGrid>
      <w:tr w:rsidR="00794E80" w:rsidRPr="007A5946" w14:paraId="02396E87" w14:textId="77777777" w:rsidTr="00794E80">
        <w:trPr>
          <w:trHeight w:val="290"/>
        </w:trPr>
        <w:tc>
          <w:tcPr>
            <w:tcW w:w="2553" w:type="dxa"/>
            <w:shd w:val="clear" w:color="auto" w:fill="FFFFFF" w:themeFill="background1"/>
            <w:noWrap/>
            <w:vAlign w:val="center"/>
          </w:tcPr>
          <w:p w14:paraId="0C3D97E9" w14:textId="4C4374E9"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Provider Category</w:t>
            </w:r>
          </w:p>
        </w:tc>
        <w:tc>
          <w:tcPr>
            <w:tcW w:w="5244" w:type="dxa"/>
            <w:shd w:val="clear" w:color="auto" w:fill="FFFFFF" w:themeFill="background1"/>
            <w:noWrap/>
            <w:vAlign w:val="center"/>
          </w:tcPr>
          <w:p w14:paraId="31F9887B"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Provider Name</w:t>
            </w:r>
          </w:p>
        </w:tc>
        <w:tc>
          <w:tcPr>
            <w:tcW w:w="709" w:type="dxa"/>
            <w:shd w:val="clear" w:color="auto" w:fill="FFFFFF" w:themeFill="background1"/>
            <w:noWrap/>
            <w:vAlign w:val="center"/>
          </w:tcPr>
          <w:p w14:paraId="4CF5B16C"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CGS</w:t>
            </w:r>
          </w:p>
        </w:tc>
        <w:tc>
          <w:tcPr>
            <w:tcW w:w="992" w:type="dxa"/>
            <w:shd w:val="clear" w:color="auto" w:fill="FFFFFF" w:themeFill="background1"/>
            <w:noWrap/>
            <w:vAlign w:val="center"/>
          </w:tcPr>
          <w:p w14:paraId="08A454CE"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FEE-HELP</w:t>
            </w:r>
          </w:p>
        </w:tc>
        <w:tc>
          <w:tcPr>
            <w:tcW w:w="616" w:type="dxa"/>
            <w:shd w:val="clear" w:color="auto" w:fill="FFFFFF" w:themeFill="background1"/>
            <w:noWrap/>
            <w:vAlign w:val="center"/>
          </w:tcPr>
          <w:p w14:paraId="23560AC6"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RBG</w:t>
            </w:r>
          </w:p>
        </w:tc>
        <w:tc>
          <w:tcPr>
            <w:tcW w:w="1134" w:type="dxa"/>
            <w:shd w:val="clear" w:color="auto" w:fill="FFFFFF" w:themeFill="background1"/>
            <w:noWrap/>
            <w:vAlign w:val="center"/>
          </w:tcPr>
          <w:p w14:paraId="36E820A7"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SAA</w:t>
            </w:r>
          </w:p>
        </w:tc>
      </w:tr>
      <w:tr w:rsidR="00392E49" w:rsidRPr="007A5946" w14:paraId="3AEDC069" w14:textId="77777777" w:rsidTr="00794E80">
        <w:trPr>
          <w:trHeight w:val="290"/>
        </w:trPr>
        <w:tc>
          <w:tcPr>
            <w:tcW w:w="2553" w:type="dxa"/>
            <w:shd w:val="clear" w:color="auto" w:fill="EAC0DD"/>
            <w:noWrap/>
            <w:vAlign w:val="center"/>
            <w:hideMark/>
          </w:tcPr>
          <w:p w14:paraId="2514522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7A081E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Film</w:t>
            </w:r>
            <w:r>
              <w:rPr>
                <w:rFonts w:ascii="Century Gothic" w:hAnsi="Century Gothic"/>
                <w:sz w:val="18"/>
                <w:szCs w:val="18"/>
              </w:rPr>
              <w:t>,</w:t>
            </w:r>
            <w:r w:rsidRPr="007A5946">
              <w:rPr>
                <w:rFonts w:ascii="Century Gothic" w:hAnsi="Century Gothic"/>
                <w:sz w:val="18"/>
                <w:szCs w:val="18"/>
              </w:rPr>
              <w:t xml:space="preserve"> Television and Radio School</w:t>
            </w:r>
          </w:p>
        </w:tc>
        <w:tc>
          <w:tcPr>
            <w:tcW w:w="709" w:type="dxa"/>
            <w:shd w:val="clear" w:color="auto" w:fill="FF7C80"/>
            <w:noWrap/>
            <w:vAlign w:val="center"/>
            <w:hideMark/>
          </w:tcPr>
          <w:p w14:paraId="03A540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59C11C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F63F7A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C5E0B3" w:themeFill="accent6" w:themeFillTint="66"/>
            <w:noWrap/>
            <w:vAlign w:val="center"/>
            <w:hideMark/>
          </w:tcPr>
          <w:p w14:paraId="3920D0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r>
      <w:tr w:rsidR="00392E49" w:rsidRPr="007A5946" w14:paraId="58EF76F7" w14:textId="77777777" w:rsidTr="00794E80">
        <w:trPr>
          <w:trHeight w:val="290"/>
        </w:trPr>
        <w:tc>
          <w:tcPr>
            <w:tcW w:w="2553" w:type="dxa"/>
            <w:shd w:val="clear" w:color="auto" w:fill="EAC0DD"/>
            <w:noWrap/>
            <w:vAlign w:val="center"/>
            <w:hideMark/>
          </w:tcPr>
          <w:p w14:paraId="4DFB5A6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EC80E9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Guild of Music Education Inc.</w:t>
            </w:r>
          </w:p>
        </w:tc>
        <w:tc>
          <w:tcPr>
            <w:tcW w:w="709" w:type="dxa"/>
            <w:shd w:val="clear" w:color="auto" w:fill="FF7C80"/>
            <w:noWrap/>
            <w:vAlign w:val="center"/>
            <w:hideMark/>
          </w:tcPr>
          <w:p w14:paraId="1BE4834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88D457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EAF883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F090AC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B4EE606" w14:textId="77777777" w:rsidTr="00794E80">
        <w:trPr>
          <w:trHeight w:val="290"/>
        </w:trPr>
        <w:tc>
          <w:tcPr>
            <w:tcW w:w="2553" w:type="dxa"/>
            <w:shd w:val="clear" w:color="auto" w:fill="EAC0DD"/>
            <w:noWrap/>
            <w:vAlign w:val="center"/>
            <w:hideMark/>
          </w:tcPr>
          <w:p w14:paraId="75B3D98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FAD6D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Institute of Business and Management Pty Ltd</w:t>
            </w:r>
          </w:p>
        </w:tc>
        <w:tc>
          <w:tcPr>
            <w:tcW w:w="709" w:type="dxa"/>
            <w:shd w:val="clear" w:color="auto" w:fill="FF7C80"/>
            <w:noWrap/>
            <w:vAlign w:val="center"/>
            <w:hideMark/>
          </w:tcPr>
          <w:p w14:paraId="0B6110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5D3064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BA5864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81CFE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0E4BD44" w14:textId="77777777" w:rsidTr="00794E80">
        <w:trPr>
          <w:trHeight w:val="290"/>
        </w:trPr>
        <w:tc>
          <w:tcPr>
            <w:tcW w:w="2553" w:type="dxa"/>
            <w:shd w:val="clear" w:color="auto" w:fill="EAC0DD"/>
            <w:noWrap/>
            <w:vAlign w:val="center"/>
            <w:hideMark/>
          </w:tcPr>
          <w:p w14:paraId="7CDB556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5697AB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Institute of Business Pty Ltd</w:t>
            </w:r>
          </w:p>
        </w:tc>
        <w:tc>
          <w:tcPr>
            <w:tcW w:w="709" w:type="dxa"/>
            <w:shd w:val="clear" w:color="auto" w:fill="FF7C80"/>
            <w:noWrap/>
            <w:vAlign w:val="center"/>
            <w:hideMark/>
          </w:tcPr>
          <w:p w14:paraId="3A94730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C0E8DA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55CB73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0ED0BA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1B3EF37" w14:textId="77777777" w:rsidTr="00794E80">
        <w:trPr>
          <w:trHeight w:val="290"/>
        </w:trPr>
        <w:tc>
          <w:tcPr>
            <w:tcW w:w="2553" w:type="dxa"/>
            <w:shd w:val="clear" w:color="auto" w:fill="EAC0DD"/>
            <w:noWrap/>
            <w:vAlign w:val="center"/>
            <w:hideMark/>
          </w:tcPr>
          <w:p w14:paraId="523DAB0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2D5FBE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Institute of Higher Education Pty Ltd</w:t>
            </w:r>
          </w:p>
        </w:tc>
        <w:tc>
          <w:tcPr>
            <w:tcW w:w="709" w:type="dxa"/>
            <w:shd w:val="clear" w:color="auto" w:fill="FF7C80"/>
            <w:noWrap/>
            <w:vAlign w:val="center"/>
            <w:hideMark/>
          </w:tcPr>
          <w:p w14:paraId="062DFC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2D3B9E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6330E8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645755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A0D966C" w14:textId="77777777" w:rsidTr="00794E80">
        <w:trPr>
          <w:trHeight w:val="290"/>
        </w:trPr>
        <w:tc>
          <w:tcPr>
            <w:tcW w:w="2553" w:type="dxa"/>
            <w:shd w:val="clear" w:color="auto" w:fill="EAC0DD"/>
            <w:noWrap/>
            <w:vAlign w:val="center"/>
            <w:hideMark/>
          </w:tcPr>
          <w:p w14:paraId="3EECCB9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D4AA1E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Institute of Management Education and Training Pty Limited</w:t>
            </w:r>
          </w:p>
        </w:tc>
        <w:tc>
          <w:tcPr>
            <w:tcW w:w="709" w:type="dxa"/>
            <w:shd w:val="clear" w:color="auto" w:fill="FF7C80"/>
            <w:noWrap/>
            <w:vAlign w:val="center"/>
            <w:hideMark/>
          </w:tcPr>
          <w:p w14:paraId="533179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C093D2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97BB14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94C957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C0B3CC5" w14:textId="77777777" w:rsidTr="00794E80">
        <w:trPr>
          <w:trHeight w:val="290"/>
        </w:trPr>
        <w:tc>
          <w:tcPr>
            <w:tcW w:w="2553" w:type="dxa"/>
            <w:shd w:val="clear" w:color="auto" w:fill="EAC0DD"/>
            <w:noWrap/>
            <w:vAlign w:val="center"/>
            <w:hideMark/>
          </w:tcPr>
          <w:p w14:paraId="6650719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721BAB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Australian Institute of Professional Counsellors Pty Ltd As Trustee For AIPC Trust</w:t>
            </w:r>
          </w:p>
        </w:tc>
        <w:tc>
          <w:tcPr>
            <w:tcW w:w="709" w:type="dxa"/>
            <w:shd w:val="clear" w:color="auto" w:fill="FF7C80"/>
            <w:noWrap/>
            <w:vAlign w:val="center"/>
            <w:hideMark/>
          </w:tcPr>
          <w:p w14:paraId="2403EB2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561CCC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3F9C7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05FF37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0D3B6F5" w14:textId="77777777" w:rsidTr="00794E80">
        <w:trPr>
          <w:trHeight w:val="290"/>
        </w:trPr>
        <w:tc>
          <w:tcPr>
            <w:tcW w:w="2553" w:type="dxa"/>
            <w:shd w:val="clear" w:color="auto" w:fill="EAC0DD"/>
            <w:noWrap/>
            <w:vAlign w:val="center"/>
            <w:hideMark/>
          </w:tcPr>
          <w:p w14:paraId="062742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B1D1F7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Batchelor Institute of Indigenous Tertiary Education</w:t>
            </w:r>
          </w:p>
        </w:tc>
        <w:tc>
          <w:tcPr>
            <w:tcW w:w="709" w:type="dxa"/>
            <w:shd w:val="clear" w:color="auto" w:fill="C5E0B3" w:themeFill="accent6" w:themeFillTint="66"/>
            <w:noWrap/>
            <w:vAlign w:val="center"/>
            <w:hideMark/>
          </w:tcPr>
          <w:p w14:paraId="174D346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2" w:type="dxa"/>
            <w:shd w:val="clear" w:color="auto" w:fill="C5E0B3" w:themeFill="accent6" w:themeFillTint="66"/>
            <w:noWrap/>
            <w:vAlign w:val="center"/>
            <w:hideMark/>
          </w:tcPr>
          <w:p w14:paraId="07DF5BC3" w14:textId="77777777" w:rsidR="00392E49" w:rsidRPr="007A5946" w:rsidRDefault="00392E49" w:rsidP="00392E49">
            <w:pPr>
              <w:spacing w:before="0" w:after="0"/>
              <w:rPr>
                <w:rFonts w:ascii="Century Gothic" w:hAnsi="Century Gothic"/>
                <w:sz w:val="18"/>
                <w:szCs w:val="18"/>
              </w:rPr>
            </w:pPr>
            <w:r>
              <w:rPr>
                <w:rFonts w:ascii="Century Gothic" w:hAnsi="Century Gothic"/>
                <w:sz w:val="18"/>
                <w:szCs w:val="18"/>
              </w:rPr>
              <w:t>Y</w:t>
            </w:r>
          </w:p>
        </w:tc>
        <w:tc>
          <w:tcPr>
            <w:tcW w:w="616" w:type="dxa"/>
            <w:shd w:val="clear" w:color="auto" w:fill="C5E0B3" w:themeFill="accent6" w:themeFillTint="66"/>
            <w:noWrap/>
            <w:vAlign w:val="center"/>
            <w:hideMark/>
          </w:tcPr>
          <w:p w14:paraId="1ECFF8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1134" w:type="dxa"/>
            <w:shd w:val="clear" w:color="auto" w:fill="FFE599" w:themeFill="accent4" w:themeFillTint="66"/>
            <w:noWrap/>
            <w:vAlign w:val="center"/>
            <w:hideMark/>
          </w:tcPr>
          <w:p w14:paraId="2B73496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410C1B31" w14:textId="77777777" w:rsidTr="00794E80">
        <w:trPr>
          <w:trHeight w:val="290"/>
        </w:trPr>
        <w:tc>
          <w:tcPr>
            <w:tcW w:w="2553" w:type="dxa"/>
            <w:shd w:val="clear" w:color="auto" w:fill="EAC0DD"/>
            <w:noWrap/>
            <w:vAlign w:val="center"/>
            <w:hideMark/>
          </w:tcPr>
          <w:p w14:paraId="551E93D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11B94B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BBI The Australian Institute of Theological Education (formerly The Broken Bay Institute)</w:t>
            </w:r>
          </w:p>
        </w:tc>
        <w:tc>
          <w:tcPr>
            <w:tcW w:w="709" w:type="dxa"/>
            <w:shd w:val="clear" w:color="auto" w:fill="FF7C80"/>
            <w:noWrap/>
            <w:vAlign w:val="center"/>
            <w:hideMark/>
          </w:tcPr>
          <w:p w14:paraId="6A246F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12CE69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3A0617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AC84B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440D1C7" w14:textId="77777777" w:rsidTr="00794E80">
        <w:trPr>
          <w:trHeight w:val="290"/>
        </w:trPr>
        <w:tc>
          <w:tcPr>
            <w:tcW w:w="2553" w:type="dxa"/>
            <w:shd w:val="clear" w:color="auto" w:fill="EAC0DD"/>
            <w:noWrap/>
            <w:vAlign w:val="center"/>
            <w:hideMark/>
          </w:tcPr>
          <w:p w14:paraId="087BFD7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7B8AAA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Box Hill Institute (formerly Box Hill Institute of TAFE)</w:t>
            </w:r>
          </w:p>
        </w:tc>
        <w:tc>
          <w:tcPr>
            <w:tcW w:w="709" w:type="dxa"/>
            <w:shd w:val="clear" w:color="auto" w:fill="FF7C80"/>
            <w:noWrap/>
            <w:vAlign w:val="center"/>
            <w:hideMark/>
          </w:tcPr>
          <w:p w14:paraId="2278C23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DC036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1EF7B1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B5202C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5F5A8CF" w14:textId="77777777" w:rsidTr="00794E80">
        <w:trPr>
          <w:trHeight w:val="290"/>
        </w:trPr>
        <w:tc>
          <w:tcPr>
            <w:tcW w:w="2553" w:type="dxa"/>
            <w:shd w:val="clear" w:color="auto" w:fill="EAC0DD"/>
            <w:noWrap/>
            <w:vAlign w:val="center"/>
            <w:hideMark/>
          </w:tcPr>
          <w:p w14:paraId="15BC782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A5AB7E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Campion Institute Limited</w:t>
            </w:r>
          </w:p>
        </w:tc>
        <w:tc>
          <w:tcPr>
            <w:tcW w:w="709" w:type="dxa"/>
            <w:shd w:val="clear" w:color="auto" w:fill="FF7C80"/>
            <w:noWrap/>
            <w:vAlign w:val="center"/>
            <w:hideMark/>
          </w:tcPr>
          <w:p w14:paraId="054EE2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E5AF01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1BAB6F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30A1C8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A54323B" w14:textId="77777777" w:rsidTr="00794E80">
        <w:trPr>
          <w:trHeight w:val="290"/>
        </w:trPr>
        <w:tc>
          <w:tcPr>
            <w:tcW w:w="2553" w:type="dxa"/>
            <w:shd w:val="clear" w:color="auto" w:fill="EAC0DD"/>
            <w:noWrap/>
            <w:vAlign w:val="center"/>
            <w:hideMark/>
          </w:tcPr>
          <w:p w14:paraId="5C59DC6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E690EA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Canberra Institute of Technology</w:t>
            </w:r>
          </w:p>
        </w:tc>
        <w:tc>
          <w:tcPr>
            <w:tcW w:w="709" w:type="dxa"/>
            <w:shd w:val="clear" w:color="auto" w:fill="FF7C80"/>
            <w:noWrap/>
            <w:vAlign w:val="center"/>
            <w:hideMark/>
          </w:tcPr>
          <w:p w14:paraId="1F64994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158121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ABA5D5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A9B7E9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F6B0E7E" w14:textId="77777777" w:rsidTr="00794E80">
        <w:trPr>
          <w:trHeight w:val="290"/>
        </w:trPr>
        <w:tc>
          <w:tcPr>
            <w:tcW w:w="2553" w:type="dxa"/>
            <w:shd w:val="clear" w:color="auto" w:fill="EAC0DD"/>
            <w:noWrap/>
            <w:vAlign w:val="center"/>
            <w:hideMark/>
          </w:tcPr>
          <w:p w14:paraId="0B17F74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176EDC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Centre for Pavement Engineering Education Incorporated</w:t>
            </w:r>
          </w:p>
        </w:tc>
        <w:tc>
          <w:tcPr>
            <w:tcW w:w="709" w:type="dxa"/>
            <w:shd w:val="clear" w:color="auto" w:fill="FF7C80"/>
            <w:noWrap/>
            <w:vAlign w:val="center"/>
            <w:hideMark/>
          </w:tcPr>
          <w:p w14:paraId="3A8DF7D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7368C9B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160E710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313F35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C03FCDD" w14:textId="77777777" w:rsidTr="00794E80">
        <w:trPr>
          <w:trHeight w:val="290"/>
        </w:trPr>
        <w:tc>
          <w:tcPr>
            <w:tcW w:w="2553" w:type="dxa"/>
            <w:shd w:val="clear" w:color="auto" w:fill="EAC0DD"/>
            <w:noWrap/>
            <w:vAlign w:val="center"/>
            <w:hideMark/>
          </w:tcPr>
          <w:p w14:paraId="7917F95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7C4C13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Chartered Accountants Australia and New Zealand (formerly The Institute of Chartered Accountants in Australia)</w:t>
            </w:r>
          </w:p>
        </w:tc>
        <w:tc>
          <w:tcPr>
            <w:tcW w:w="709" w:type="dxa"/>
            <w:shd w:val="clear" w:color="auto" w:fill="FF7C80"/>
            <w:noWrap/>
            <w:vAlign w:val="center"/>
            <w:hideMark/>
          </w:tcPr>
          <w:p w14:paraId="4236242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21550E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76CD368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9B1FB5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220DAB7" w14:textId="77777777" w:rsidTr="00794E80">
        <w:trPr>
          <w:trHeight w:val="290"/>
        </w:trPr>
        <w:tc>
          <w:tcPr>
            <w:tcW w:w="2553" w:type="dxa"/>
            <w:shd w:val="clear" w:color="auto" w:fill="EAC0DD"/>
            <w:noWrap/>
            <w:vAlign w:val="center"/>
            <w:hideMark/>
          </w:tcPr>
          <w:p w14:paraId="4008965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47C120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Chisholm Institute (formerly Chisholm Institute of Technical and Further Education)</w:t>
            </w:r>
          </w:p>
        </w:tc>
        <w:tc>
          <w:tcPr>
            <w:tcW w:w="709" w:type="dxa"/>
            <w:shd w:val="clear" w:color="auto" w:fill="FF7C80"/>
            <w:noWrap/>
            <w:vAlign w:val="center"/>
            <w:hideMark/>
          </w:tcPr>
          <w:p w14:paraId="46CC2D2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1EDC54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9B61BE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A58F7A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C2209EC" w14:textId="77777777" w:rsidTr="00794E80">
        <w:trPr>
          <w:trHeight w:val="290"/>
        </w:trPr>
        <w:tc>
          <w:tcPr>
            <w:tcW w:w="2553" w:type="dxa"/>
            <w:shd w:val="clear" w:color="auto" w:fill="EAC0DD"/>
            <w:noWrap/>
            <w:vAlign w:val="center"/>
            <w:hideMark/>
          </w:tcPr>
          <w:p w14:paraId="217388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84E574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Christian Heritage College</w:t>
            </w:r>
          </w:p>
        </w:tc>
        <w:tc>
          <w:tcPr>
            <w:tcW w:w="709" w:type="dxa"/>
            <w:shd w:val="clear" w:color="auto" w:fill="C5E0B3" w:themeFill="accent6" w:themeFillTint="66"/>
            <w:noWrap/>
            <w:vAlign w:val="center"/>
            <w:hideMark/>
          </w:tcPr>
          <w:p w14:paraId="2076BB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2" w:type="dxa"/>
            <w:shd w:val="clear" w:color="auto" w:fill="C5E0B3" w:themeFill="accent6" w:themeFillTint="66"/>
            <w:noWrap/>
            <w:vAlign w:val="center"/>
            <w:hideMark/>
          </w:tcPr>
          <w:p w14:paraId="0600F16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D39EE1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26F8A8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5615F23" w14:textId="77777777" w:rsidTr="00794E80">
        <w:trPr>
          <w:trHeight w:val="290"/>
        </w:trPr>
        <w:tc>
          <w:tcPr>
            <w:tcW w:w="2553" w:type="dxa"/>
            <w:shd w:val="clear" w:color="auto" w:fill="EAC0DD"/>
            <w:noWrap/>
            <w:vAlign w:val="center"/>
            <w:hideMark/>
          </w:tcPr>
          <w:p w14:paraId="70E39B5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6CC501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CIC Higher Education Pty Ltd (formerly Cambridge International College (Vic) Pty Ltd)</w:t>
            </w:r>
          </w:p>
        </w:tc>
        <w:tc>
          <w:tcPr>
            <w:tcW w:w="709" w:type="dxa"/>
            <w:shd w:val="clear" w:color="auto" w:fill="FF7C80"/>
            <w:noWrap/>
            <w:vAlign w:val="center"/>
            <w:hideMark/>
          </w:tcPr>
          <w:p w14:paraId="4728A42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7D2EF97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0E24F6A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B17A6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6007F29" w14:textId="77777777" w:rsidTr="00794E80">
        <w:trPr>
          <w:trHeight w:val="290"/>
        </w:trPr>
        <w:tc>
          <w:tcPr>
            <w:tcW w:w="2553" w:type="dxa"/>
            <w:shd w:val="clear" w:color="auto" w:fill="EAC0DD"/>
            <w:noWrap/>
            <w:vAlign w:val="center"/>
            <w:hideMark/>
          </w:tcPr>
          <w:p w14:paraId="538B8EF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BF87D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Colleges of Business and Technology (WA) Pty Ltd</w:t>
            </w:r>
          </w:p>
        </w:tc>
        <w:tc>
          <w:tcPr>
            <w:tcW w:w="709" w:type="dxa"/>
            <w:shd w:val="clear" w:color="auto" w:fill="FF7C80"/>
            <w:noWrap/>
            <w:vAlign w:val="center"/>
            <w:hideMark/>
          </w:tcPr>
          <w:p w14:paraId="770607B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D6393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01719A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13F57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D5B600A" w14:textId="77777777" w:rsidTr="00794E80">
        <w:trPr>
          <w:trHeight w:val="290"/>
        </w:trPr>
        <w:tc>
          <w:tcPr>
            <w:tcW w:w="2553" w:type="dxa"/>
            <w:shd w:val="clear" w:color="auto" w:fill="EAC0DD"/>
            <w:noWrap/>
            <w:vAlign w:val="center"/>
            <w:hideMark/>
          </w:tcPr>
          <w:p w14:paraId="0C1B46F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D7EA63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Commissioner of the Australian Federal Police [Australian Institute of Police Management]</w:t>
            </w:r>
          </w:p>
        </w:tc>
        <w:tc>
          <w:tcPr>
            <w:tcW w:w="709" w:type="dxa"/>
            <w:shd w:val="clear" w:color="auto" w:fill="FF7C80"/>
            <w:noWrap/>
            <w:vAlign w:val="center"/>
            <w:hideMark/>
          </w:tcPr>
          <w:p w14:paraId="4EBC153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20872C3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7CB7DAC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451B36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29860BA" w14:textId="77777777" w:rsidTr="00794E80">
        <w:trPr>
          <w:trHeight w:val="290"/>
        </w:trPr>
        <w:tc>
          <w:tcPr>
            <w:tcW w:w="2553" w:type="dxa"/>
            <w:shd w:val="clear" w:color="auto" w:fill="EAC0DD"/>
            <w:noWrap/>
            <w:vAlign w:val="center"/>
            <w:hideMark/>
          </w:tcPr>
          <w:p w14:paraId="7580244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FFC2D3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Commonwealth of Australia [Bureau of Meteorology]</w:t>
            </w:r>
          </w:p>
        </w:tc>
        <w:tc>
          <w:tcPr>
            <w:tcW w:w="709" w:type="dxa"/>
            <w:shd w:val="clear" w:color="auto" w:fill="FF7C80"/>
            <w:noWrap/>
            <w:vAlign w:val="center"/>
            <w:hideMark/>
          </w:tcPr>
          <w:p w14:paraId="185FF2E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3F6197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033B3DF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2C45FB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A0075E7" w14:textId="77777777" w:rsidTr="00794E80">
        <w:trPr>
          <w:trHeight w:val="290"/>
        </w:trPr>
        <w:tc>
          <w:tcPr>
            <w:tcW w:w="2553" w:type="dxa"/>
            <w:shd w:val="clear" w:color="auto" w:fill="EAC0DD"/>
            <w:noWrap/>
            <w:vAlign w:val="center"/>
            <w:hideMark/>
          </w:tcPr>
          <w:p w14:paraId="7AC36C0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61331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Crown Institute of Higher Education Pty Ltd</w:t>
            </w:r>
          </w:p>
        </w:tc>
        <w:tc>
          <w:tcPr>
            <w:tcW w:w="709" w:type="dxa"/>
            <w:shd w:val="clear" w:color="auto" w:fill="FF7C80"/>
            <w:noWrap/>
            <w:vAlign w:val="center"/>
            <w:hideMark/>
          </w:tcPr>
          <w:p w14:paraId="1952DB9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1ABE67C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159FFAD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565B5E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26FE493" w14:textId="77777777" w:rsidTr="00794E80">
        <w:trPr>
          <w:trHeight w:val="290"/>
        </w:trPr>
        <w:tc>
          <w:tcPr>
            <w:tcW w:w="2553" w:type="dxa"/>
            <w:shd w:val="clear" w:color="auto" w:fill="EAC0DD"/>
            <w:noWrap/>
            <w:vAlign w:val="center"/>
            <w:hideMark/>
          </w:tcPr>
          <w:p w14:paraId="1EB7D29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D17DD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Eastern College Australia Incorporated (formerly Tabor College (Victoria) Inc.)</w:t>
            </w:r>
          </w:p>
        </w:tc>
        <w:tc>
          <w:tcPr>
            <w:tcW w:w="709" w:type="dxa"/>
            <w:shd w:val="clear" w:color="auto" w:fill="C5E0B3" w:themeFill="accent6" w:themeFillTint="66"/>
            <w:noWrap/>
            <w:vAlign w:val="center"/>
            <w:hideMark/>
          </w:tcPr>
          <w:p w14:paraId="67AB8C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2" w:type="dxa"/>
            <w:shd w:val="clear" w:color="auto" w:fill="C5E0B3" w:themeFill="accent6" w:themeFillTint="66"/>
            <w:noWrap/>
            <w:vAlign w:val="center"/>
            <w:hideMark/>
          </w:tcPr>
          <w:p w14:paraId="3B4730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5103C4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AE4B13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207EEF5" w14:textId="77777777" w:rsidTr="00794E80">
        <w:trPr>
          <w:trHeight w:val="290"/>
        </w:trPr>
        <w:tc>
          <w:tcPr>
            <w:tcW w:w="2553" w:type="dxa"/>
            <w:shd w:val="clear" w:color="auto" w:fill="EAC0DD"/>
            <w:noWrap/>
            <w:vAlign w:val="center"/>
            <w:hideMark/>
          </w:tcPr>
          <w:p w14:paraId="59A0A17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25EFF5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Eastern Health</w:t>
            </w:r>
          </w:p>
        </w:tc>
        <w:tc>
          <w:tcPr>
            <w:tcW w:w="709" w:type="dxa"/>
            <w:shd w:val="clear" w:color="auto" w:fill="FF7C80"/>
            <w:noWrap/>
            <w:vAlign w:val="center"/>
            <w:hideMark/>
          </w:tcPr>
          <w:p w14:paraId="11766D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0750804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365635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45EC06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7F635D0" w14:textId="77777777" w:rsidTr="00794E80">
        <w:trPr>
          <w:trHeight w:val="290"/>
        </w:trPr>
        <w:tc>
          <w:tcPr>
            <w:tcW w:w="2553" w:type="dxa"/>
            <w:shd w:val="clear" w:color="auto" w:fill="EAC0DD"/>
            <w:noWrap/>
            <w:vAlign w:val="center"/>
            <w:hideMark/>
          </w:tcPr>
          <w:p w14:paraId="656708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CAC5C1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Edith Cowan College Pty Ltd (formerly Perth Institute of Business and Technology Pty Ltd)</w:t>
            </w:r>
          </w:p>
        </w:tc>
        <w:tc>
          <w:tcPr>
            <w:tcW w:w="709" w:type="dxa"/>
            <w:shd w:val="clear" w:color="auto" w:fill="FF7C80"/>
            <w:noWrap/>
            <w:vAlign w:val="center"/>
            <w:hideMark/>
          </w:tcPr>
          <w:p w14:paraId="3B5502B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756211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E3F42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BF8197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5A2F24F" w14:textId="77777777" w:rsidTr="00794E80">
        <w:trPr>
          <w:trHeight w:val="290"/>
        </w:trPr>
        <w:tc>
          <w:tcPr>
            <w:tcW w:w="2553" w:type="dxa"/>
            <w:shd w:val="clear" w:color="auto" w:fill="EAC0DD"/>
            <w:noWrap/>
            <w:vAlign w:val="center"/>
            <w:hideMark/>
          </w:tcPr>
          <w:p w14:paraId="2B7B33F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0858EE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Educational Enterprises Australia Pty Ltd</w:t>
            </w:r>
          </w:p>
        </w:tc>
        <w:tc>
          <w:tcPr>
            <w:tcW w:w="709" w:type="dxa"/>
            <w:shd w:val="clear" w:color="auto" w:fill="FF7C80"/>
            <w:noWrap/>
            <w:vAlign w:val="center"/>
            <w:hideMark/>
          </w:tcPr>
          <w:p w14:paraId="0EC81DA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E2601B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31D450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4ED7B6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137200D" w14:textId="77777777" w:rsidTr="00794E80">
        <w:trPr>
          <w:trHeight w:val="290"/>
        </w:trPr>
        <w:tc>
          <w:tcPr>
            <w:tcW w:w="2553" w:type="dxa"/>
            <w:shd w:val="clear" w:color="auto" w:fill="EAC0DD"/>
            <w:noWrap/>
            <w:vAlign w:val="center"/>
            <w:hideMark/>
          </w:tcPr>
          <w:p w14:paraId="0736A8C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6F5994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Elite Education Institute Pty. Ltd.</w:t>
            </w:r>
          </w:p>
        </w:tc>
        <w:tc>
          <w:tcPr>
            <w:tcW w:w="709" w:type="dxa"/>
            <w:shd w:val="clear" w:color="auto" w:fill="FF7C80"/>
            <w:noWrap/>
            <w:vAlign w:val="center"/>
            <w:hideMark/>
          </w:tcPr>
          <w:p w14:paraId="27073C5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5BA200B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710227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AB8DE5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6FC195A" w14:textId="77777777" w:rsidTr="00794E80">
        <w:trPr>
          <w:trHeight w:val="290"/>
        </w:trPr>
        <w:tc>
          <w:tcPr>
            <w:tcW w:w="2553" w:type="dxa"/>
            <w:shd w:val="clear" w:color="auto" w:fill="EAC0DD"/>
            <w:noWrap/>
            <w:vAlign w:val="center"/>
            <w:hideMark/>
          </w:tcPr>
          <w:p w14:paraId="5AD5683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80BE97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Engineering Institute of Technology Pty Ltd</w:t>
            </w:r>
          </w:p>
        </w:tc>
        <w:tc>
          <w:tcPr>
            <w:tcW w:w="709" w:type="dxa"/>
            <w:shd w:val="clear" w:color="auto" w:fill="FF7C80"/>
            <w:noWrap/>
            <w:vAlign w:val="center"/>
            <w:hideMark/>
          </w:tcPr>
          <w:p w14:paraId="0C091C4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48EAEA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0CF14D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3600DB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0C62CE1" w14:textId="77777777" w:rsidTr="00794E80">
        <w:trPr>
          <w:trHeight w:val="290"/>
        </w:trPr>
        <w:tc>
          <w:tcPr>
            <w:tcW w:w="2553" w:type="dxa"/>
            <w:shd w:val="clear" w:color="auto" w:fill="EAC0DD"/>
            <w:noWrap/>
            <w:vAlign w:val="center"/>
            <w:hideMark/>
          </w:tcPr>
          <w:p w14:paraId="006563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C9AB6D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EQUALS International (Aust) Pty Ltd</w:t>
            </w:r>
          </w:p>
        </w:tc>
        <w:tc>
          <w:tcPr>
            <w:tcW w:w="709" w:type="dxa"/>
            <w:shd w:val="clear" w:color="auto" w:fill="FF7C80"/>
            <w:noWrap/>
            <w:vAlign w:val="center"/>
            <w:hideMark/>
          </w:tcPr>
          <w:p w14:paraId="666491B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B3648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C7929F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F4BFA1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0883A2E" w14:textId="77777777" w:rsidTr="00794E80">
        <w:trPr>
          <w:trHeight w:val="290"/>
        </w:trPr>
        <w:tc>
          <w:tcPr>
            <w:tcW w:w="2553" w:type="dxa"/>
            <w:shd w:val="clear" w:color="auto" w:fill="EAC0DD"/>
            <w:noWrap/>
            <w:vAlign w:val="center"/>
            <w:hideMark/>
          </w:tcPr>
          <w:p w14:paraId="2DB49C7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4E43EB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Excelsia College (formerly Wesley Institute)</w:t>
            </w:r>
          </w:p>
        </w:tc>
        <w:tc>
          <w:tcPr>
            <w:tcW w:w="709" w:type="dxa"/>
            <w:shd w:val="clear" w:color="auto" w:fill="FF7C80"/>
            <w:noWrap/>
            <w:vAlign w:val="center"/>
            <w:hideMark/>
          </w:tcPr>
          <w:p w14:paraId="43464A5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A9DF7D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939DA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5B91B98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727AD108" w14:textId="77777777" w:rsidTr="00794E80">
        <w:trPr>
          <w:trHeight w:val="290"/>
        </w:trPr>
        <w:tc>
          <w:tcPr>
            <w:tcW w:w="2553" w:type="dxa"/>
            <w:shd w:val="clear" w:color="auto" w:fill="EAC0DD"/>
            <w:noWrap/>
            <w:vAlign w:val="center"/>
            <w:hideMark/>
          </w:tcPr>
          <w:p w14:paraId="052CB60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F4FF0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Gestalt Therapy Brisbane Pty Ltd</w:t>
            </w:r>
          </w:p>
        </w:tc>
        <w:tc>
          <w:tcPr>
            <w:tcW w:w="709" w:type="dxa"/>
            <w:shd w:val="clear" w:color="auto" w:fill="FF7C80"/>
            <w:noWrap/>
            <w:vAlign w:val="center"/>
            <w:hideMark/>
          </w:tcPr>
          <w:p w14:paraId="58D102C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5649CB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FDD09C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DCCBC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CAB71CB" w14:textId="77777777" w:rsidTr="00794E80">
        <w:trPr>
          <w:trHeight w:val="290"/>
        </w:trPr>
        <w:tc>
          <w:tcPr>
            <w:tcW w:w="2553" w:type="dxa"/>
            <w:shd w:val="clear" w:color="auto" w:fill="EAC0DD"/>
            <w:noWrap/>
            <w:vAlign w:val="center"/>
            <w:hideMark/>
          </w:tcPr>
          <w:p w14:paraId="6CB216A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71C743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Governance Institute of Australia Ltd (formerly Chartered Secretaries Australia Ltd)</w:t>
            </w:r>
          </w:p>
        </w:tc>
        <w:tc>
          <w:tcPr>
            <w:tcW w:w="709" w:type="dxa"/>
            <w:shd w:val="clear" w:color="auto" w:fill="FF7C80"/>
            <w:noWrap/>
            <w:vAlign w:val="center"/>
            <w:hideMark/>
          </w:tcPr>
          <w:p w14:paraId="69A3309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48B8C5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6894832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47878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CD5D368" w14:textId="77777777" w:rsidTr="00794E80">
        <w:trPr>
          <w:trHeight w:val="290"/>
        </w:trPr>
        <w:tc>
          <w:tcPr>
            <w:tcW w:w="2553" w:type="dxa"/>
            <w:shd w:val="clear" w:color="auto" w:fill="EAC0DD"/>
            <w:noWrap/>
            <w:vAlign w:val="center"/>
            <w:hideMark/>
          </w:tcPr>
          <w:p w14:paraId="18395A7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B4FE89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Group Colleges Australia Pty Ltd</w:t>
            </w:r>
          </w:p>
        </w:tc>
        <w:tc>
          <w:tcPr>
            <w:tcW w:w="709" w:type="dxa"/>
            <w:shd w:val="clear" w:color="auto" w:fill="FF7C80"/>
            <w:noWrap/>
            <w:vAlign w:val="center"/>
            <w:hideMark/>
          </w:tcPr>
          <w:p w14:paraId="739A912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BBFEDF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D192AB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988B6B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1A7F556" w14:textId="77777777" w:rsidTr="00794E80">
        <w:trPr>
          <w:trHeight w:val="290"/>
        </w:trPr>
        <w:tc>
          <w:tcPr>
            <w:tcW w:w="2553" w:type="dxa"/>
            <w:shd w:val="clear" w:color="auto" w:fill="EAC0DD"/>
            <w:noWrap/>
            <w:vAlign w:val="center"/>
            <w:hideMark/>
          </w:tcPr>
          <w:p w14:paraId="321C299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D73E2B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Health Education and Training Institute</w:t>
            </w:r>
          </w:p>
        </w:tc>
        <w:tc>
          <w:tcPr>
            <w:tcW w:w="709" w:type="dxa"/>
            <w:shd w:val="clear" w:color="auto" w:fill="FF7C80"/>
            <w:noWrap/>
            <w:vAlign w:val="center"/>
            <w:hideMark/>
          </w:tcPr>
          <w:p w14:paraId="61CD590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1DDE282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EB7579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AA89D5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09BFF67" w14:textId="77777777" w:rsidTr="00794E80">
        <w:trPr>
          <w:trHeight w:val="290"/>
        </w:trPr>
        <w:tc>
          <w:tcPr>
            <w:tcW w:w="2553" w:type="dxa"/>
            <w:shd w:val="clear" w:color="auto" w:fill="EAC0DD"/>
            <w:noWrap/>
            <w:vAlign w:val="center"/>
            <w:hideMark/>
          </w:tcPr>
          <w:p w14:paraId="237B8D9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5F430F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Leadership Institute Pty Ltd</w:t>
            </w:r>
          </w:p>
        </w:tc>
        <w:tc>
          <w:tcPr>
            <w:tcW w:w="709" w:type="dxa"/>
            <w:shd w:val="clear" w:color="auto" w:fill="FF7C80"/>
            <w:noWrap/>
            <w:vAlign w:val="center"/>
            <w:hideMark/>
          </w:tcPr>
          <w:p w14:paraId="1407B89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741E2E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5ABAF6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674242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4B974AA" w14:textId="77777777" w:rsidTr="00794E80">
        <w:trPr>
          <w:trHeight w:val="290"/>
        </w:trPr>
        <w:tc>
          <w:tcPr>
            <w:tcW w:w="2553" w:type="dxa"/>
            <w:shd w:val="clear" w:color="auto" w:fill="EAC0DD"/>
            <w:noWrap/>
            <w:vAlign w:val="center"/>
            <w:hideMark/>
          </w:tcPr>
          <w:p w14:paraId="0BA1E95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D8156B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Holmes Institute Pty Ltd as Trustee for Holmes Institute Trust</w:t>
            </w:r>
          </w:p>
        </w:tc>
        <w:tc>
          <w:tcPr>
            <w:tcW w:w="709" w:type="dxa"/>
            <w:shd w:val="clear" w:color="auto" w:fill="FF7C80"/>
            <w:noWrap/>
            <w:vAlign w:val="center"/>
            <w:hideMark/>
          </w:tcPr>
          <w:p w14:paraId="45E7A4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2B030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C53EF3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B0BF4C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9000555" w14:textId="77777777" w:rsidTr="00794E80">
        <w:trPr>
          <w:trHeight w:val="290"/>
        </w:trPr>
        <w:tc>
          <w:tcPr>
            <w:tcW w:w="2553" w:type="dxa"/>
            <w:shd w:val="clear" w:color="auto" w:fill="EAC0DD"/>
            <w:noWrap/>
            <w:vAlign w:val="center"/>
            <w:hideMark/>
          </w:tcPr>
          <w:p w14:paraId="09BD94D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90307E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Holmesglen Institute (formerly Holmesglen Institute of TAFE)</w:t>
            </w:r>
          </w:p>
        </w:tc>
        <w:tc>
          <w:tcPr>
            <w:tcW w:w="709" w:type="dxa"/>
            <w:shd w:val="clear" w:color="auto" w:fill="C5E0B3" w:themeFill="accent6" w:themeFillTint="66"/>
            <w:noWrap/>
            <w:vAlign w:val="center"/>
            <w:hideMark/>
          </w:tcPr>
          <w:p w14:paraId="14529A3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2" w:type="dxa"/>
            <w:shd w:val="clear" w:color="auto" w:fill="C5E0B3" w:themeFill="accent6" w:themeFillTint="66"/>
            <w:noWrap/>
            <w:vAlign w:val="center"/>
            <w:hideMark/>
          </w:tcPr>
          <w:p w14:paraId="3FF3B2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315EB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B00CE8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C4B2194" w14:textId="77777777" w:rsidTr="00794E80">
        <w:trPr>
          <w:trHeight w:val="290"/>
        </w:trPr>
        <w:tc>
          <w:tcPr>
            <w:tcW w:w="2553" w:type="dxa"/>
            <w:shd w:val="clear" w:color="auto" w:fill="EAC0DD"/>
            <w:noWrap/>
            <w:vAlign w:val="center"/>
            <w:hideMark/>
          </w:tcPr>
          <w:p w14:paraId="40D97B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2582DE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ICHM Pty Ltd</w:t>
            </w:r>
          </w:p>
        </w:tc>
        <w:tc>
          <w:tcPr>
            <w:tcW w:w="709" w:type="dxa"/>
            <w:shd w:val="clear" w:color="auto" w:fill="FF7C80"/>
            <w:noWrap/>
            <w:vAlign w:val="center"/>
            <w:hideMark/>
          </w:tcPr>
          <w:p w14:paraId="3BE55FE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99D76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8EA9FB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BFE77E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3CABE97" w14:textId="77777777" w:rsidTr="00794E80">
        <w:trPr>
          <w:trHeight w:val="290"/>
        </w:trPr>
        <w:tc>
          <w:tcPr>
            <w:tcW w:w="2553" w:type="dxa"/>
            <w:shd w:val="clear" w:color="auto" w:fill="EAC0DD"/>
            <w:noWrap/>
            <w:vAlign w:val="center"/>
            <w:hideMark/>
          </w:tcPr>
          <w:p w14:paraId="5953EEE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3FFE57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INSEARCH Limited</w:t>
            </w:r>
          </w:p>
        </w:tc>
        <w:tc>
          <w:tcPr>
            <w:tcW w:w="709" w:type="dxa"/>
            <w:shd w:val="clear" w:color="auto" w:fill="FF7C80"/>
            <w:noWrap/>
            <w:vAlign w:val="center"/>
            <w:hideMark/>
          </w:tcPr>
          <w:p w14:paraId="0B13A54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BB88FD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272753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C0841A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bl>
    <w:p w14:paraId="5891ACC8" w14:textId="77777777" w:rsidR="00FB3867" w:rsidRDefault="00FB3867">
      <w:r>
        <w:br w:type="page"/>
      </w:r>
    </w:p>
    <w:tbl>
      <w:tblPr>
        <w:tblStyle w:val="TableGrid1"/>
        <w:tblW w:w="11248" w:type="dxa"/>
        <w:tblInd w:w="-1139" w:type="dxa"/>
        <w:tblBorders>
          <w:insideV w:val="none" w:sz="0" w:space="0" w:color="auto"/>
        </w:tblBorders>
        <w:tblLook w:val="04A0" w:firstRow="1" w:lastRow="0" w:firstColumn="1" w:lastColumn="0" w:noHBand="0" w:noVBand="1"/>
      </w:tblPr>
      <w:tblGrid>
        <w:gridCol w:w="2553"/>
        <w:gridCol w:w="5244"/>
        <w:gridCol w:w="709"/>
        <w:gridCol w:w="992"/>
        <w:gridCol w:w="616"/>
        <w:gridCol w:w="1134"/>
      </w:tblGrid>
      <w:tr w:rsidR="00794E80" w:rsidRPr="007A5946" w14:paraId="294511AD" w14:textId="77777777" w:rsidTr="00794E80">
        <w:trPr>
          <w:trHeight w:val="290"/>
        </w:trPr>
        <w:tc>
          <w:tcPr>
            <w:tcW w:w="2553" w:type="dxa"/>
            <w:shd w:val="clear" w:color="auto" w:fill="FFFFFF" w:themeFill="background1"/>
            <w:noWrap/>
            <w:vAlign w:val="center"/>
          </w:tcPr>
          <w:p w14:paraId="76EC5F91" w14:textId="51F2541D"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Provider Category</w:t>
            </w:r>
          </w:p>
        </w:tc>
        <w:tc>
          <w:tcPr>
            <w:tcW w:w="5244" w:type="dxa"/>
            <w:shd w:val="clear" w:color="auto" w:fill="FFFFFF" w:themeFill="background1"/>
            <w:noWrap/>
            <w:vAlign w:val="center"/>
          </w:tcPr>
          <w:p w14:paraId="651B430C"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Provider Name</w:t>
            </w:r>
          </w:p>
        </w:tc>
        <w:tc>
          <w:tcPr>
            <w:tcW w:w="709" w:type="dxa"/>
            <w:shd w:val="clear" w:color="auto" w:fill="FFFFFF" w:themeFill="background1"/>
            <w:noWrap/>
            <w:vAlign w:val="center"/>
          </w:tcPr>
          <w:p w14:paraId="61E81506"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CGS</w:t>
            </w:r>
          </w:p>
        </w:tc>
        <w:tc>
          <w:tcPr>
            <w:tcW w:w="992" w:type="dxa"/>
            <w:shd w:val="clear" w:color="auto" w:fill="FFFFFF" w:themeFill="background1"/>
            <w:noWrap/>
            <w:vAlign w:val="center"/>
          </w:tcPr>
          <w:p w14:paraId="1F7B7613"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FEE-HELP</w:t>
            </w:r>
          </w:p>
        </w:tc>
        <w:tc>
          <w:tcPr>
            <w:tcW w:w="616" w:type="dxa"/>
            <w:shd w:val="clear" w:color="auto" w:fill="FFFFFF" w:themeFill="background1"/>
            <w:noWrap/>
            <w:vAlign w:val="center"/>
          </w:tcPr>
          <w:p w14:paraId="5E6D8A25"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RBG</w:t>
            </w:r>
          </w:p>
        </w:tc>
        <w:tc>
          <w:tcPr>
            <w:tcW w:w="1134" w:type="dxa"/>
            <w:shd w:val="clear" w:color="auto" w:fill="FFFFFF" w:themeFill="background1"/>
            <w:noWrap/>
            <w:vAlign w:val="center"/>
          </w:tcPr>
          <w:p w14:paraId="2B59A614"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SAA</w:t>
            </w:r>
          </w:p>
        </w:tc>
      </w:tr>
      <w:tr w:rsidR="00392E49" w:rsidRPr="007A5946" w14:paraId="10577701" w14:textId="77777777" w:rsidTr="00794E80">
        <w:trPr>
          <w:trHeight w:val="290"/>
        </w:trPr>
        <w:tc>
          <w:tcPr>
            <w:tcW w:w="2553" w:type="dxa"/>
            <w:shd w:val="clear" w:color="auto" w:fill="EAC0DD"/>
            <w:noWrap/>
            <w:vAlign w:val="center"/>
            <w:hideMark/>
          </w:tcPr>
          <w:p w14:paraId="33FE7F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56B208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Institute for Emotionally Focused Therapy Pty Ltd</w:t>
            </w:r>
          </w:p>
        </w:tc>
        <w:tc>
          <w:tcPr>
            <w:tcW w:w="709" w:type="dxa"/>
            <w:shd w:val="clear" w:color="auto" w:fill="FF7C80"/>
            <w:noWrap/>
            <w:vAlign w:val="center"/>
            <w:hideMark/>
          </w:tcPr>
          <w:p w14:paraId="39CBFA7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61557BA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774B0B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2AD606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E3AF5C3" w14:textId="77777777" w:rsidTr="00794E80">
        <w:trPr>
          <w:trHeight w:val="290"/>
        </w:trPr>
        <w:tc>
          <w:tcPr>
            <w:tcW w:w="2553" w:type="dxa"/>
            <w:shd w:val="clear" w:color="auto" w:fill="EAC0DD"/>
            <w:noWrap/>
            <w:vAlign w:val="center"/>
            <w:hideMark/>
          </w:tcPr>
          <w:p w14:paraId="067D2E5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B66A1C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Institute of Health &amp; Management Pty Ltd</w:t>
            </w:r>
          </w:p>
        </w:tc>
        <w:tc>
          <w:tcPr>
            <w:tcW w:w="709" w:type="dxa"/>
            <w:shd w:val="clear" w:color="auto" w:fill="FF7C80"/>
            <w:noWrap/>
            <w:vAlign w:val="center"/>
            <w:hideMark/>
          </w:tcPr>
          <w:p w14:paraId="7B5A478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517620B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3BD2DCA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369003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86CB5DD" w14:textId="77777777" w:rsidTr="00794E80">
        <w:trPr>
          <w:trHeight w:val="290"/>
        </w:trPr>
        <w:tc>
          <w:tcPr>
            <w:tcW w:w="2553" w:type="dxa"/>
            <w:shd w:val="clear" w:color="auto" w:fill="EAC0DD"/>
            <w:noWrap/>
            <w:vAlign w:val="center"/>
            <w:hideMark/>
          </w:tcPr>
          <w:p w14:paraId="06F2E5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F6A7A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International College of Management, Sydney Pty. Limited</w:t>
            </w:r>
          </w:p>
        </w:tc>
        <w:tc>
          <w:tcPr>
            <w:tcW w:w="709" w:type="dxa"/>
            <w:shd w:val="clear" w:color="auto" w:fill="FF7C80"/>
            <w:noWrap/>
            <w:vAlign w:val="center"/>
            <w:hideMark/>
          </w:tcPr>
          <w:p w14:paraId="22F9BB4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193221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4905B4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10B454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BD2CE6E" w14:textId="77777777" w:rsidTr="00794E80">
        <w:trPr>
          <w:trHeight w:val="290"/>
        </w:trPr>
        <w:tc>
          <w:tcPr>
            <w:tcW w:w="2553" w:type="dxa"/>
            <w:shd w:val="clear" w:color="auto" w:fill="EAC0DD"/>
            <w:noWrap/>
            <w:vAlign w:val="center"/>
            <w:hideMark/>
          </w:tcPr>
          <w:p w14:paraId="7D89C4A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94A7E7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International Institute of Business and Technology (Australia) Pty Ltd</w:t>
            </w:r>
          </w:p>
        </w:tc>
        <w:tc>
          <w:tcPr>
            <w:tcW w:w="709" w:type="dxa"/>
            <w:shd w:val="clear" w:color="auto" w:fill="FF7C80"/>
            <w:noWrap/>
            <w:vAlign w:val="center"/>
            <w:hideMark/>
          </w:tcPr>
          <w:p w14:paraId="29E21A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6210623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9949AB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5013EC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461D5C9" w14:textId="77777777" w:rsidTr="00794E80">
        <w:trPr>
          <w:trHeight w:val="290"/>
        </w:trPr>
        <w:tc>
          <w:tcPr>
            <w:tcW w:w="2553" w:type="dxa"/>
            <w:shd w:val="clear" w:color="auto" w:fill="EAC0DD"/>
            <w:noWrap/>
            <w:vAlign w:val="center"/>
            <w:hideMark/>
          </w:tcPr>
          <w:p w14:paraId="4146464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001DB7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ISN Psychology Pty Ltd</w:t>
            </w:r>
          </w:p>
        </w:tc>
        <w:tc>
          <w:tcPr>
            <w:tcW w:w="709" w:type="dxa"/>
            <w:shd w:val="clear" w:color="auto" w:fill="FF7C80"/>
            <w:noWrap/>
            <w:vAlign w:val="center"/>
            <w:hideMark/>
          </w:tcPr>
          <w:p w14:paraId="224E4D3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0F5D6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226855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AD54FC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749D19A" w14:textId="77777777" w:rsidTr="00794E80">
        <w:trPr>
          <w:trHeight w:val="290"/>
        </w:trPr>
        <w:tc>
          <w:tcPr>
            <w:tcW w:w="2553" w:type="dxa"/>
            <w:shd w:val="clear" w:color="auto" w:fill="EAC0DD"/>
            <w:noWrap/>
            <w:vAlign w:val="center"/>
            <w:hideMark/>
          </w:tcPr>
          <w:p w14:paraId="18537A3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584E6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Jazz Music Institute Pty Ltd</w:t>
            </w:r>
          </w:p>
        </w:tc>
        <w:tc>
          <w:tcPr>
            <w:tcW w:w="709" w:type="dxa"/>
            <w:shd w:val="clear" w:color="auto" w:fill="FF7C80"/>
            <w:noWrap/>
            <w:vAlign w:val="center"/>
            <w:hideMark/>
          </w:tcPr>
          <w:p w14:paraId="6694375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F1D347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E739EB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49C9D4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275C65E" w14:textId="77777777" w:rsidTr="00794E80">
        <w:trPr>
          <w:trHeight w:val="290"/>
        </w:trPr>
        <w:tc>
          <w:tcPr>
            <w:tcW w:w="2553" w:type="dxa"/>
            <w:shd w:val="clear" w:color="auto" w:fill="EAC0DD"/>
            <w:noWrap/>
            <w:vAlign w:val="center"/>
            <w:hideMark/>
          </w:tcPr>
          <w:p w14:paraId="65FAFEF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914846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JMC Pty. Limited</w:t>
            </w:r>
          </w:p>
        </w:tc>
        <w:tc>
          <w:tcPr>
            <w:tcW w:w="709" w:type="dxa"/>
            <w:shd w:val="clear" w:color="auto" w:fill="FF7C80"/>
            <w:noWrap/>
            <w:vAlign w:val="center"/>
            <w:hideMark/>
          </w:tcPr>
          <w:p w14:paraId="5327429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433AF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DD6C3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31407A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0DF5A8D" w14:textId="77777777" w:rsidTr="00794E80">
        <w:trPr>
          <w:trHeight w:val="290"/>
        </w:trPr>
        <w:tc>
          <w:tcPr>
            <w:tcW w:w="2553" w:type="dxa"/>
            <w:shd w:val="clear" w:color="auto" w:fill="EAC0DD"/>
            <w:noWrap/>
            <w:vAlign w:val="center"/>
            <w:hideMark/>
          </w:tcPr>
          <w:p w14:paraId="4B47C8E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BF448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Kaplan Business School Pty Limited</w:t>
            </w:r>
          </w:p>
        </w:tc>
        <w:tc>
          <w:tcPr>
            <w:tcW w:w="709" w:type="dxa"/>
            <w:shd w:val="clear" w:color="auto" w:fill="FF7C80"/>
            <w:noWrap/>
            <w:vAlign w:val="center"/>
            <w:hideMark/>
          </w:tcPr>
          <w:p w14:paraId="059E66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8C5309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FE4EE9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CA0D38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D07321C" w14:textId="77777777" w:rsidTr="00794E80">
        <w:trPr>
          <w:trHeight w:val="290"/>
        </w:trPr>
        <w:tc>
          <w:tcPr>
            <w:tcW w:w="2553" w:type="dxa"/>
            <w:shd w:val="clear" w:color="auto" w:fill="EAC0DD"/>
            <w:noWrap/>
            <w:vAlign w:val="center"/>
            <w:hideMark/>
          </w:tcPr>
          <w:p w14:paraId="53A1A6C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B879B5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Kaplan Higher Education Pty Ltd</w:t>
            </w:r>
          </w:p>
        </w:tc>
        <w:tc>
          <w:tcPr>
            <w:tcW w:w="709" w:type="dxa"/>
            <w:shd w:val="clear" w:color="auto" w:fill="FF7C80"/>
            <w:noWrap/>
            <w:vAlign w:val="center"/>
            <w:hideMark/>
          </w:tcPr>
          <w:p w14:paraId="1C5F7FA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16AFCB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1303DA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2B9629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C9EAC5B" w14:textId="77777777" w:rsidTr="00794E80">
        <w:trPr>
          <w:trHeight w:val="290"/>
        </w:trPr>
        <w:tc>
          <w:tcPr>
            <w:tcW w:w="2553" w:type="dxa"/>
            <w:shd w:val="clear" w:color="auto" w:fill="EAC0DD"/>
            <w:noWrap/>
            <w:vAlign w:val="center"/>
            <w:hideMark/>
          </w:tcPr>
          <w:p w14:paraId="181A49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37F616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Kent Institute Australia Pty Ltd (formerly The Centre of Academic Excellence Pty. Ltd)</w:t>
            </w:r>
          </w:p>
        </w:tc>
        <w:tc>
          <w:tcPr>
            <w:tcW w:w="709" w:type="dxa"/>
            <w:shd w:val="clear" w:color="auto" w:fill="FF7C80"/>
            <w:noWrap/>
            <w:vAlign w:val="center"/>
            <w:hideMark/>
          </w:tcPr>
          <w:p w14:paraId="08C90D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41D99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EA8212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30B89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06E90FA" w14:textId="77777777" w:rsidTr="00794E80">
        <w:trPr>
          <w:trHeight w:val="290"/>
        </w:trPr>
        <w:tc>
          <w:tcPr>
            <w:tcW w:w="2553" w:type="dxa"/>
            <w:shd w:val="clear" w:color="auto" w:fill="EAC0DD"/>
            <w:noWrap/>
            <w:vAlign w:val="center"/>
            <w:hideMark/>
          </w:tcPr>
          <w:p w14:paraId="4E46FC0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4401BC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Kollel Academy of Advanced Jewish Education Limited</w:t>
            </w:r>
          </w:p>
        </w:tc>
        <w:tc>
          <w:tcPr>
            <w:tcW w:w="709" w:type="dxa"/>
            <w:shd w:val="clear" w:color="auto" w:fill="FF7C80"/>
            <w:noWrap/>
            <w:vAlign w:val="center"/>
            <w:hideMark/>
          </w:tcPr>
          <w:p w14:paraId="7A7726D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481AF09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4C8D621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6FA03B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DBF098A" w14:textId="77777777" w:rsidTr="00794E80">
        <w:trPr>
          <w:trHeight w:val="290"/>
        </w:trPr>
        <w:tc>
          <w:tcPr>
            <w:tcW w:w="2553" w:type="dxa"/>
            <w:shd w:val="clear" w:color="auto" w:fill="EAC0DD"/>
            <w:noWrap/>
            <w:vAlign w:val="center"/>
            <w:hideMark/>
          </w:tcPr>
          <w:p w14:paraId="4CBC917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924BF5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Le Cordon Bleu Australia Pty Limited</w:t>
            </w:r>
          </w:p>
        </w:tc>
        <w:tc>
          <w:tcPr>
            <w:tcW w:w="709" w:type="dxa"/>
            <w:shd w:val="clear" w:color="auto" w:fill="FF7C80"/>
            <w:noWrap/>
            <w:vAlign w:val="center"/>
            <w:hideMark/>
          </w:tcPr>
          <w:p w14:paraId="11CC7EC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D27CDE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B126F8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D4C936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6F8729C" w14:textId="77777777" w:rsidTr="00794E80">
        <w:trPr>
          <w:trHeight w:val="290"/>
        </w:trPr>
        <w:tc>
          <w:tcPr>
            <w:tcW w:w="2553" w:type="dxa"/>
            <w:shd w:val="clear" w:color="auto" w:fill="EAC0DD"/>
            <w:noWrap/>
            <w:vAlign w:val="center"/>
            <w:hideMark/>
          </w:tcPr>
          <w:p w14:paraId="24DDE58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FBC13C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Leaders Institute Pty Ltd</w:t>
            </w:r>
          </w:p>
        </w:tc>
        <w:tc>
          <w:tcPr>
            <w:tcW w:w="709" w:type="dxa"/>
            <w:shd w:val="clear" w:color="auto" w:fill="FF7C80"/>
            <w:noWrap/>
            <w:vAlign w:val="center"/>
            <w:hideMark/>
          </w:tcPr>
          <w:p w14:paraId="1D4FDD6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1BECF10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6BE6D5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1AAF7F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B84659E" w14:textId="77777777" w:rsidTr="00794E80">
        <w:trPr>
          <w:trHeight w:val="290"/>
        </w:trPr>
        <w:tc>
          <w:tcPr>
            <w:tcW w:w="2553" w:type="dxa"/>
            <w:shd w:val="clear" w:color="auto" w:fill="EAC0DD"/>
            <w:noWrap/>
            <w:vAlign w:val="center"/>
            <w:hideMark/>
          </w:tcPr>
          <w:p w14:paraId="6451B25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D34CF5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Leo Cussen Institute (formerly Leo Cussen Institute for Continuing Legal Education)</w:t>
            </w:r>
          </w:p>
        </w:tc>
        <w:tc>
          <w:tcPr>
            <w:tcW w:w="709" w:type="dxa"/>
            <w:shd w:val="clear" w:color="auto" w:fill="FF7C80"/>
            <w:noWrap/>
            <w:vAlign w:val="center"/>
            <w:hideMark/>
          </w:tcPr>
          <w:p w14:paraId="5E02F48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26ABF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447F5E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7B1CFF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262431B" w14:textId="77777777" w:rsidTr="00794E80">
        <w:trPr>
          <w:trHeight w:val="290"/>
        </w:trPr>
        <w:tc>
          <w:tcPr>
            <w:tcW w:w="2553" w:type="dxa"/>
            <w:shd w:val="clear" w:color="auto" w:fill="EAC0DD"/>
            <w:noWrap/>
            <w:vAlign w:val="center"/>
            <w:hideMark/>
          </w:tcPr>
          <w:p w14:paraId="413B0F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1DED36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Macleay College Pty Limited</w:t>
            </w:r>
          </w:p>
        </w:tc>
        <w:tc>
          <w:tcPr>
            <w:tcW w:w="709" w:type="dxa"/>
            <w:shd w:val="clear" w:color="auto" w:fill="FF7C80"/>
            <w:noWrap/>
            <w:vAlign w:val="center"/>
            <w:hideMark/>
          </w:tcPr>
          <w:p w14:paraId="2C61349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82B6FB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56926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E0935D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EFD5C68" w14:textId="77777777" w:rsidTr="00794E80">
        <w:trPr>
          <w:trHeight w:val="290"/>
        </w:trPr>
        <w:tc>
          <w:tcPr>
            <w:tcW w:w="2553" w:type="dxa"/>
            <w:shd w:val="clear" w:color="auto" w:fill="EAC0DD"/>
            <w:noWrap/>
            <w:vAlign w:val="center"/>
            <w:hideMark/>
          </w:tcPr>
          <w:p w14:paraId="1EB534C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8B6AB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Marcus Oldham College</w:t>
            </w:r>
          </w:p>
        </w:tc>
        <w:tc>
          <w:tcPr>
            <w:tcW w:w="709" w:type="dxa"/>
            <w:shd w:val="clear" w:color="auto" w:fill="FF7C80"/>
            <w:noWrap/>
            <w:vAlign w:val="center"/>
            <w:hideMark/>
          </w:tcPr>
          <w:p w14:paraId="02E04AB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19E358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D79467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091A89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6C6A84D" w14:textId="77777777" w:rsidTr="00794E80">
        <w:trPr>
          <w:trHeight w:val="290"/>
        </w:trPr>
        <w:tc>
          <w:tcPr>
            <w:tcW w:w="2553" w:type="dxa"/>
            <w:shd w:val="clear" w:color="auto" w:fill="EAC0DD"/>
            <w:noWrap/>
            <w:vAlign w:val="center"/>
            <w:hideMark/>
          </w:tcPr>
          <w:p w14:paraId="18CEDA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29E368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Mayfield Education Inc.</w:t>
            </w:r>
          </w:p>
        </w:tc>
        <w:tc>
          <w:tcPr>
            <w:tcW w:w="709" w:type="dxa"/>
            <w:shd w:val="clear" w:color="auto" w:fill="FF7C80"/>
            <w:noWrap/>
            <w:vAlign w:val="center"/>
            <w:hideMark/>
          </w:tcPr>
          <w:p w14:paraId="1A9DC17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113BA7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5CE51E9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CD3DC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34AD80E" w14:textId="77777777" w:rsidTr="00794E80">
        <w:trPr>
          <w:trHeight w:val="290"/>
        </w:trPr>
        <w:tc>
          <w:tcPr>
            <w:tcW w:w="2553" w:type="dxa"/>
            <w:shd w:val="clear" w:color="auto" w:fill="EAC0DD"/>
            <w:noWrap/>
            <w:vAlign w:val="center"/>
            <w:hideMark/>
          </w:tcPr>
          <w:p w14:paraId="4E3373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26E9AE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Melbourne Institute of Business and Technology Pty Ltd</w:t>
            </w:r>
          </w:p>
        </w:tc>
        <w:tc>
          <w:tcPr>
            <w:tcW w:w="709" w:type="dxa"/>
            <w:shd w:val="clear" w:color="auto" w:fill="FF7C80"/>
            <w:noWrap/>
            <w:vAlign w:val="center"/>
            <w:hideMark/>
          </w:tcPr>
          <w:p w14:paraId="6DDE31B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025BB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2A8595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F77D59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B0BE5D7" w14:textId="77777777" w:rsidTr="00794E80">
        <w:trPr>
          <w:trHeight w:val="290"/>
        </w:trPr>
        <w:tc>
          <w:tcPr>
            <w:tcW w:w="2553" w:type="dxa"/>
            <w:shd w:val="clear" w:color="auto" w:fill="EAC0DD"/>
            <w:noWrap/>
            <w:vAlign w:val="center"/>
            <w:hideMark/>
          </w:tcPr>
          <w:p w14:paraId="294F59C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433956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Melbourne Institute of Technology Pty Ltd</w:t>
            </w:r>
          </w:p>
        </w:tc>
        <w:tc>
          <w:tcPr>
            <w:tcW w:w="709" w:type="dxa"/>
            <w:shd w:val="clear" w:color="auto" w:fill="FF7C80"/>
            <w:noWrap/>
            <w:vAlign w:val="center"/>
            <w:hideMark/>
          </w:tcPr>
          <w:p w14:paraId="29F6C0F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A56BBC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C6F4DA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50424F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9001DB3" w14:textId="77777777" w:rsidTr="00794E80">
        <w:trPr>
          <w:trHeight w:val="290"/>
        </w:trPr>
        <w:tc>
          <w:tcPr>
            <w:tcW w:w="2553" w:type="dxa"/>
            <w:shd w:val="clear" w:color="auto" w:fill="EAC0DD"/>
            <w:noWrap/>
            <w:vAlign w:val="center"/>
            <w:hideMark/>
          </w:tcPr>
          <w:p w14:paraId="627D1A1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45F761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Melbourne Polytechnic (formerly Northern Melbourne Institute of TAFE)</w:t>
            </w:r>
          </w:p>
        </w:tc>
        <w:tc>
          <w:tcPr>
            <w:tcW w:w="709" w:type="dxa"/>
            <w:shd w:val="clear" w:color="auto" w:fill="C5E0B3" w:themeFill="accent6" w:themeFillTint="66"/>
            <w:noWrap/>
            <w:vAlign w:val="center"/>
            <w:hideMark/>
          </w:tcPr>
          <w:p w14:paraId="0D41587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2" w:type="dxa"/>
            <w:shd w:val="clear" w:color="auto" w:fill="C5E0B3" w:themeFill="accent6" w:themeFillTint="66"/>
            <w:noWrap/>
            <w:vAlign w:val="center"/>
            <w:hideMark/>
          </w:tcPr>
          <w:p w14:paraId="1EEBDBD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95CD42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944370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8C88B7E" w14:textId="77777777" w:rsidTr="00794E80">
        <w:trPr>
          <w:trHeight w:val="290"/>
        </w:trPr>
        <w:tc>
          <w:tcPr>
            <w:tcW w:w="2553" w:type="dxa"/>
            <w:shd w:val="clear" w:color="auto" w:fill="EAC0DD"/>
            <w:noWrap/>
            <w:vAlign w:val="center"/>
            <w:hideMark/>
          </w:tcPr>
          <w:p w14:paraId="0480362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5AAD6C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Monash College Pty Ltd</w:t>
            </w:r>
          </w:p>
        </w:tc>
        <w:tc>
          <w:tcPr>
            <w:tcW w:w="709" w:type="dxa"/>
            <w:shd w:val="clear" w:color="auto" w:fill="FF7C80"/>
            <w:noWrap/>
            <w:vAlign w:val="center"/>
            <w:hideMark/>
          </w:tcPr>
          <w:p w14:paraId="45FF65B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1EEF9B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7EFF86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C19E73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5E7615F" w14:textId="77777777" w:rsidTr="00794E80">
        <w:trPr>
          <w:trHeight w:val="290"/>
        </w:trPr>
        <w:tc>
          <w:tcPr>
            <w:tcW w:w="2553" w:type="dxa"/>
            <w:shd w:val="clear" w:color="auto" w:fill="EAC0DD"/>
            <w:noWrap/>
            <w:vAlign w:val="center"/>
            <w:hideMark/>
          </w:tcPr>
          <w:p w14:paraId="609C181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F54465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Montessori World Educational Institute (Australia) Inc</w:t>
            </w:r>
          </w:p>
        </w:tc>
        <w:tc>
          <w:tcPr>
            <w:tcW w:w="709" w:type="dxa"/>
            <w:shd w:val="clear" w:color="auto" w:fill="FF7C80"/>
            <w:noWrap/>
            <w:vAlign w:val="center"/>
            <w:hideMark/>
          </w:tcPr>
          <w:p w14:paraId="3F1ACB8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01FF9B3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45F17EC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C99087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1DFDBF7" w14:textId="77777777" w:rsidTr="00794E80">
        <w:trPr>
          <w:trHeight w:val="290"/>
        </w:trPr>
        <w:tc>
          <w:tcPr>
            <w:tcW w:w="2553" w:type="dxa"/>
            <w:shd w:val="clear" w:color="auto" w:fill="EAC0DD"/>
            <w:noWrap/>
            <w:vAlign w:val="center"/>
            <w:hideMark/>
          </w:tcPr>
          <w:p w14:paraId="488F820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47C44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Moore Theological College Council</w:t>
            </w:r>
          </w:p>
        </w:tc>
        <w:tc>
          <w:tcPr>
            <w:tcW w:w="709" w:type="dxa"/>
            <w:shd w:val="clear" w:color="auto" w:fill="FF7C80"/>
            <w:noWrap/>
            <w:vAlign w:val="center"/>
            <w:hideMark/>
          </w:tcPr>
          <w:p w14:paraId="6E6DE22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88A2E7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825508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noWrap/>
            <w:vAlign w:val="center"/>
            <w:hideMark/>
          </w:tcPr>
          <w:p w14:paraId="0A8F98A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12688435" w14:textId="77777777" w:rsidTr="00794E80">
        <w:trPr>
          <w:trHeight w:val="290"/>
        </w:trPr>
        <w:tc>
          <w:tcPr>
            <w:tcW w:w="2553" w:type="dxa"/>
            <w:shd w:val="clear" w:color="auto" w:fill="EAC0DD"/>
            <w:noWrap/>
            <w:vAlign w:val="center"/>
            <w:hideMark/>
          </w:tcPr>
          <w:p w14:paraId="44066D6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59F8D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Morling College Ltd</w:t>
            </w:r>
          </w:p>
        </w:tc>
        <w:tc>
          <w:tcPr>
            <w:tcW w:w="709" w:type="dxa"/>
            <w:shd w:val="clear" w:color="auto" w:fill="FF7C80"/>
            <w:noWrap/>
            <w:vAlign w:val="center"/>
            <w:hideMark/>
          </w:tcPr>
          <w:p w14:paraId="14FC22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7BCDCA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36AF0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8AA902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B5CD3AE" w14:textId="77777777" w:rsidTr="00794E80">
        <w:trPr>
          <w:trHeight w:val="290"/>
        </w:trPr>
        <w:tc>
          <w:tcPr>
            <w:tcW w:w="2553" w:type="dxa"/>
            <w:shd w:val="clear" w:color="auto" w:fill="EAC0DD"/>
            <w:noWrap/>
            <w:vAlign w:val="center"/>
            <w:hideMark/>
          </w:tcPr>
          <w:p w14:paraId="4EA4918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A701C0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Nan Tien Institute Limited</w:t>
            </w:r>
          </w:p>
        </w:tc>
        <w:tc>
          <w:tcPr>
            <w:tcW w:w="709" w:type="dxa"/>
            <w:shd w:val="clear" w:color="auto" w:fill="FF7C80"/>
            <w:noWrap/>
            <w:vAlign w:val="center"/>
            <w:hideMark/>
          </w:tcPr>
          <w:p w14:paraId="59EFD13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0393BC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EB778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FA797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A8CC77F" w14:textId="77777777" w:rsidTr="00794E80">
        <w:trPr>
          <w:trHeight w:val="290"/>
        </w:trPr>
        <w:tc>
          <w:tcPr>
            <w:tcW w:w="2553" w:type="dxa"/>
            <w:shd w:val="clear" w:color="auto" w:fill="EAC0DD"/>
            <w:noWrap/>
            <w:vAlign w:val="center"/>
            <w:hideMark/>
          </w:tcPr>
          <w:p w14:paraId="4331912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F996D7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National Art School</w:t>
            </w:r>
          </w:p>
        </w:tc>
        <w:tc>
          <w:tcPr>
            <w:tcW w:w="709" w:type="dxa"/>
            <w:shd w:val="clear" w:color="auto" w:fill="FF7C80"/>
            <w:noWrap/>
            <w:vAlign w:val="center"/>
            <w:hideMark/>
          </w:tcPr>
          <w:p w14:paraId="1C0842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3E60FF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BFE98E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13D5FB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5FEAABC" w14:textId="77777777" w:rsidTr="00794E80">
        <w:trPr>
          <w:trHeight w:val="290"/>
        </w:trPr>
        <w:tc>
          <w:tcPr>
            <w:tcW w:w="2553" w:type="dxa"/>
            <w:shd w:val="clear" w:color="auto" w:fill="EAC0DD"/>
            <w:noWrap/>
            <w:vAlign w:val="center"/>
            <w:hideMark/>
          </w:tcPr>
          <w:p w14:paraId="55CDFD7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A81D67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National Institute of Organisation Dynamics Australia Ltd</w:t>
            </w:r>
          </w:p>
        </w:tc>
        <w:tc>
          <w:tcPr>
            <w:tcW w:w="709" w:type="dxa"/>
            <w:shd w:val="clear" w:color="auto" w:fill="FF7C80"/>
            <w:noWrap/>
            <w:vAlign w:val="center"/>
            <w:hideMark/>
          </w:tcPr>
          <w:p w14:paraId="420E307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566CBE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3AA3CD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4ED7DC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416B2A3" w14:textId="77777777" w:rsidTr="00794E80">
        <w:trPr>
          <w:trHeight w:val="290"/>
        </w:trPr>
        <w:tc>
          <w:tcPr>
            <w:tcW w:w="2553" w:type="dxa"/>
            <w:shd w:val="clear" w:color="auto" w:fill="EAC0DD"/>
            <w:noWrap/>
            <w:vAlign w:val="center"/>
            <w:hideMark/>
          </w:tcPr>
          <w:p w14:paraId="25E8C2B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D83C1B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Navitas Bundoora Pty Ltd</w:t>
            </w:r>
          </w:p>
        </w:tc>
        <w:tc>
          <w:tcPr>
            <w:tcW w:w="709" w:type="dxa"/>
            <w:shd w:val="clear" w:color="auto" w:fill="FF7C80"/>
            <w:noWrap/>
            <w:vAlign w:val="center"/>
            <w:hideMark/>
          </w:tcPr>
          <w:p w14:paraId="72AABF3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1B76EDC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C8C15A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52769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B11E49C" w14:textId="77777777" w:rsidTr="00794E80">
        <w:trPr>
          <w:trHeight w:val="290"/>
        </w:trPr>
        <w:tc>
          <w:tcPr>
            <w:tcW w:w="2553" w:type="dxa"/>
            <w:shd w:val="clear" w:color="auto" w:fill="EAC0DD"/>
            <w:noWrap/>
            <w:vAlign w:val="center"/>
            <w:hideMark/>
          </w:tcPr>
          <w:p w14:paraId="65CFEA6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45FA34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Navitas Professional Institute Pty Ltd (formerly Australian College of Applied Psychology Pty. Limited)</w:t>
            </w:r>
          </w:p>
        </w:tc>
        <w:tc>
          <w:tcPr>
            <w:tcW w:w="709" w:type="dxa"/>
            <w:shd w:val="clear" w:color="auto" w:fill="FF7C80"/>
            <w:noWrap/>
            <w:vAlign w:val="center"/>
            <w:hideMark/>
          </w:tcPr>
          <w:p w14:paraId="1407569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891FED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3E9DD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noWrap/>
            <w:vAlign w:val="center"/>
            <w:hideMark/>
          </w:tcPr>
          <w:p w14:paraId="0DDB247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122C8B66" w14:textId="77777777" w:rsidTr="00794E80">
        <w:trPr>
          <w:trHeight w:val="290"/>
        </w:trPr>
        <w:tc>
          <w:tcPr>
            <w:tcW w:w="2553" w:type="dxa"/>
            <w:shd w:val="clear" w:color="auto" w:fill="EAC0DD"/>
            <w:noWrap/>
            <w:vAlign w:val="center"/>
            <w:hideMark/>
          </w:tcPr>
          <w:p w14:paraId="687BFB2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75FEAA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Newcastle International College Pty Ltd</w:t>
            </w:r>
          </w:p>
        </w:tc>
        <w:tc>
          <w:tcPr>
            <w:tcW w:w="709" w:type="dxa"/>
            <w:shd w:val="clear" w:color="auto" w:fill="FF7C80"/>
            <w:noWrap/>
            <w:vAlign w:val="center"/>
            <w:hideMark/>
          </w:tcPr>
          <w:p w14:paraId="35B8F0F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130007E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033CAF5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A1E945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621876E" w14:textId="77777777" w:rsidTr="00794E80">
        <w:trPr>
          <w:trHeight w:val="290"/>
        </w:trPr>
        <w:tc>
          <w:tcPr>
            <w:tcW w:w="2553" w:type="dxa"/>
            <w:shd w:val="clear" w:color="auto" w:fill="EAC0DD"/>
            <w:noWrap/>
            <w:vAlign w:val="center"/>
            <w:hideMark/>
          </w:tcPr>
          <w:p w14:paraId="51EC735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712902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North Metropolitan TAFE</w:t>
            </w:r>
          </w:p>
        </w:tc>
        <w:tc>
          <w:tcPr>
            <w:tcW w:w="709" w:type="dxa"/>
            <w:shd w:val="clear" w:color="auto" w:fill="FF7C80"/>
            <w:noWrap/>
            <w:vAlign w:val="center"/>
            <w:hideMark/>
          </w:tcPr>
          <w:p w14:paraId="1E31DC9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9E7BF2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A9D2D8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AE7B54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963DBFC" w14:textId="77777777" w:rsidTr="00794E80">
        <w:trPr>
          <w:trHeight w:val="290"/>
        </w:trPr>
        <w:tc>
          <w:tcPr>
            <w:tcW w:w="2553" w:type="dxa"/>
            <w:shd w:val="clear" w:color="auto" w:fill="EAC0DD"/>
            <w:noWrap/>
            <w:vAlign w:val="center"/>
            <w:hideMark/>
          </w:tcPr>
          <w:p w14:paraId="7F557A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D51FD7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Ozford Institute of Higher Education Pty Ltd</w:t>
            </w:r>
          </w:p>
        </w:tc>
        <w:tc>
          <w:tcPr>
            <w:tcW w:w="709" w:type="dxa"/>
            <w:shd w:val="clear" w:color="auto" w:fill="FF7C80"/>
            <w:noWrap/>
            <w:vAlign w:val="center"/>
            <w:hideMark/>
          </w:tcPr>
          <w:p w14:paraId="1D75E4F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4EDCF78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0E10A0D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EF6B3F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AC66B78" w14:textId="77777777" w:rsidTr="00794E80">
        <w:trPr>
          <w:trHeight w:val="290"/>
        </w:trPr>
        <w:tc>
          <w:tcPr>
            <w:tcW w:w="2553" w:type="dxa"/>
            <w:shd w:val="clear" w:color="auto" w:fill="EAC0DD"/>
            <w:noWrap/>
            <w:vAlign w:val="center"/>
            <w:hideMark/>
          </w:tcPr>
          <w:p w14:paraId="16FB1B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A61A07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Performing Arts Education Pty Ltd</w:t>
            </w:r>
          </w:p>
        </w:tc>
        <w:tc>
          <w:tcPr>
            <w:tcW w:w="709" w:type="dxa"/>
            <w:shd w:val="clear" w:color="auto" w:fill="FF7C80"/>
            <w:noWrap/>
            <w:vAlign w:val="center"/>
            <w:hideMark/>
          </w:tcPr>
          <w:p w14:paraId="4E563F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5DE1945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3203C53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5B2788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6C9F341" w14:textId="77777777" w:rsidTr="00794E80">
        <w:trPr>
          <w:trHeight w:val="290"/>
        </w:trPr>
        <w:tc>
          <w:tcPr>
            <w:tcW w:w="2553" w:type="dxa"/>
            <w:shd w:val="clear" w:color="auto" w:fill="EAC0DD"/>
            <w:noWrap/>
            <w:vAlign w:val="center"/>
            <w:hideMark/>
          </w:tcPr>
          <w:p w14:paraId="6915BC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1F409C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 xml:space="preserve">Perth Bible College </w:t>
            </w:r>
          </w:p>
        </w:tc>
        <w:tc>
          <w:tcPr>
            <w:tcW w:w="709" w:type="dxa"/>
            <w:shd w:val="clear" w:color="auto" w:fill="FF7C80"/>
            <w:noWrap/>
            <w:vAlign w:val="center"/>
            <w:hideMark/>
          </w:tcPr>
          <w:p w14:paraId="0A27AB0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ED7F01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D21E7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8CA5FC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58FF9F7" w14:textId="77777777" w:rsidTr="00794E80">
        <w:trPr>
          <w:trHeight w:val="290"/>
        </w:trPr>
        <w:tc>
          <w:tcPr>
            <w:tcW w:w="2553" w:type="dxa"/>
            <w:shd w:val="clear" w:color="auto" w:fill="EAC0DD"/>
            <w:noWrap/>
            <w:vAlign w:val="center"/>
            <w:hideMark/>
          </w:tcPr>
          <w:p w14:paraId="1C85FA8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AE8595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Photography Holdings Pty Ltd</w:t>
            </w:r>
          </w:p>
        </w:tc>
        <w:tc>
          <w:tcPr>
            <w:tcW w:w="709" w:type="dxa"/>
            <w:shd w:val="clear" w:color="auto" w:fill="FF7C80"/>
            <w:noWrap/>
            <w:vAlign w:val="center"/>
            <w:hideMark/>
          </w:tcPr>
          <w:p w14:paraId="1EB8521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03152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F447EF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1C88B2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8E77EA1" w14:textId="77777777" w:rsidTr="00794E80">
        <w:trPr>
          <w:trHeight w:val="290"/>
        </w:trPr>
        <w:tc>
          <w:tcPr>
            <w:tcW w:w="2553" w:type="dxa"/>
            <w:shd w:val="clear" w:color="auto" w:fill="EAC0DD"/>
            <w:noWrap/>
            <w:vAlign w:val="center"/>
            <w:hideMark/>
          </w:tcPr>
          <w:p w14:paraId="1F75508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29FE0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Polytechnic Institute Australia Pty Ltd</w:t>
            </w:r>
          </w:p>
        </w:tc>
        <w:tc>
          <w:tcPr>
            <w:tcW w:w="709" w:type="dxa"/>
            <w:shd w:val="clear" w:color="auto" w:fill="FF7C80"/>
            <w:noWrap/>
            <w:vAlign w:val="center"/>
            <w:hideMark/>
          </w:tcPr>
          <w:p w14:paraId="7A69007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2943732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1BA47EC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09F435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34D8E06" w14:textId="77777777" w:rsidTr="00794E80">
        <w:trPr>
          <w:trHeight w:val="290"/>
        </w:trPr>
        <w:tc>
          <w:tcPr>
            <w:tcW w:w="2553" w:type="dxa"/>
            <w:shd w:val="clear" w:color="auto" w:fill="EAC0DD"/>
            <w:noWrap/>
            <w:vAlign w:val="center"/>
            <w:hideMark/>
          </w:tcPr>
          <w:p w14:paraId="73F1C36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CE202E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Proteus Technologies Pty Ltd</w:t>
            </w:r>
          </w:p>
        </w:tc>
        <w:tc>
          <w:tcPr>
            <w:tcW w:w="709" w:type="dxa"/>
            <w:shd w:val="clear" w:color="auto" w:fill="FF7C80"/>
            <w:noWrap/>
            <w:vAlign w:val="center"/>
            <w:hideMark/>
          </w:tcPr>
          <w:p w14:paraId="259588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49F55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F9D074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62DBA3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CE19571" w14:textId="77777777" w:rsidTr="00794E80">
        <w:trPr>
          <w:trHeight w:val="290"/>
        </w:trPr>
        <w:tc>
          <w:tcPr>
            <w:tcW w:w="2553" w:type="dxa"/>
            <w:shd w:val="clear" w:color="auto" w:fill="EAC0DD"/>
            <w:noWrap/>
            <w:vAlign w:val="center"/>
            <w:hideMark/>
          </w:tcPr>
          <w:p w14:paraId="514E3EF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1D1775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Queensland Institute of Business &amp; Technology Pty Ltd</w:t>
            </w:r>
          </w:p>
        </w:tc>
        <w:tc>
          <w:tcPr>
            <w:tcW w:w="709" w:type="dxa"/>
            <w:shd w:val="clear" w:color="auto" w:fill="FF7C80"/>
            <w:noWrap/>
            <w:vAlign w:val="center"/>
            <w:hideMark/>
          </w:tcPr>
          <w:p w14:paraId="1BDB78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DA9CB8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5F26A9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FEEF2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34228A48" w14:textId="77777777" w:rsidTr="00794E80">
        <w:trPr>
          <w:trHeight w:val="290"/>
        </w:trPr>
        <w:tc>
          <w:tcPr>
            <w:tcW w:w="2553" w:type="dxa"/>
            <w:shd w:val="clear" w:color="auto" w:fill="EAC0DD"/>
            <w:noWrap/>
            <w:vAlign w:val="center"/>
            <w:hideMark/>
          </w:tcPr>
          <w:p w14:paraId="052EF6C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5BE0B4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Raffles College Pty Ltd</w:t>
            </w:r>
          </w:p>
        </w:tc>
        <w:tc>
          <w:tcPr>
            <w:tcW w:w="709" w:type="dxa"/>
            <w:shd w:val="clear" w:color="auto" w:fill="FF7C80"/>
            <w:noWrap/>
            <w:vAlign w:val="center"/>
            <w:hideMark/>
          </w:tcPr>
          <w:p w14:paraId="16C2AA1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503D00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E4F912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D814AE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7FC1741" w14:textId="77777777" w:rsidTr="00794E80">
        <w:trPr>
          <w:trHeight w:val="290"/>
        </w:trPr>
        <w:tc>
          <w:tcPr>
            <w:tcW w:w="2553" w:type="dxa"/>
            <w:shd w:val="clear" w:color="auto" w:fill="EAC0DD"/>
            <w:noWrap/>
            <w:vAlign w:val="center"/>
            <w:hideMark/>
          </w:tcPr>
          <w:p w14:paraId="2C1FBF4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8F8E4F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Russo Business School Pty Ltd (formerly Russo Higher Education 2 Pty Ltd)</w:t>
            </w:r>
          </w:p>
        </w:tc>
        <w:tc>
          <w:tcPr>
            <w:tcW w:w="709" w:type="dxa"/>
            <w:shd w:val="clear" w:color="auto" w:fill="FF7C80"/>
            <w:noWrap/>
            <w:vAlign w:val="center"/>
            <w:hideMark/>
          </w:tcPr>
          <w:p w14:paraId="5F740A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1D41F5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1C2D5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A8C008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BDF213E" w14:textId="77777777" w:rsidTr="00794E80">
        <w:trPr>
          <w:trHeight w:val="290"/>
        </w:trPr>
        <w:tc>
          <w:tcPr>
            <w:tcW w:w="2553" w:type="dxa"/>
            <w:shd w:val="clear" w:color="auto" w:fill="EAC0DD"/>
            <w:noWrap/>
            <w:vAlign w:val="center"/>
            <w:hideMark/>
          </w:tcPr>
          <w:p w14:paraId="3D14C98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184A4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 P Jain School of Global Management Pty Limited</w:t>
            </w:r>
          </w:p>
        </w:tc>
        <w:tc>
          <w:tcPr>
            <w:tcW w:w="709" w:type="dxa"/>
            <w:shd w:val="clear" w:color="auto" w:fill="FF7C80"/>
            <w:noWrap/>
            <w:vAlign w:val="center"/>
            <w:hideMark/>
          </w:tcPr>
          <w:p w14:paraId="38A4B5A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1D9892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16F93E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08AE7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bl>
    <w:p w14:paraId="2E53A9E5" w14:textId="77777777" w:rsidR="00FB3867" w:rsidRDefault="00FB3867">
      <w:r>
        <w:br w:type="page"/>
      </w:r>
    </w:p>
    <w:tbl>
      <w:tblPr>
        <w:tblStyle w:val="TableGrid1"/>
        <w:tblW w:w="11248" w:type="dxa"/>
        <w:tblInd w:w="-1139" w:type="dxa"/>
        <w:tblBorders>
          <w:insideV w:val="none" w:sz="0" w:space="0" w:color="auto"/>
        </w:tblBorders>
        <w:tblLook w:val="04A0" w:firstRow="1" w:lastRow="0" w:firstColumn="1" w:lastColumn="0" w:noHBand="0" w:noVBand="1"/>
      </w:tblPr>
      <w:tblGrid>
        <w:gridCol w:w="2553"/>
        <w:gridCol w:w="5244"/>
        <w:gridCol w:w="709"/>
        <w:gridCol w:w="992"/>
        <w:gridCol w:w="616"/>
        <w:gridCol w:w="1134"/>
      </w:tblGrid>
      <w:tr w:rsidR="00794E80" w:rsidRPr="007A5946" w14:paraId="1FE05289" w14:textId="77777777" w:rsidTr="00794E80">
        <w:trPr>
          <w:trHeight w:val="290"/>
        </w:trPr>
        <w:tc>
          <w:tcPr>
            <w:tcW w:w="2553" w:type="dxa"/>
            <w:shd w:val="clear" w:color="auto" w:fill="FFFFFF" w:themeFill="background1"/>
            <w:noWrap/>
            <w:vAlign w:val="center"/>
          </w:tcPr>
          <w:p w14:paraId="28D1A0B3" w14:textId="631817BD"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Provider Category</w:t>
            </w:r>
          </w:p>
        </w:tc>
        <w:tc>
          <w:tcPr>
            <w:tcW w:w="5244" w:type="dxa"/>
            <w:shd w:val="clear" w:color="auto" w:fill="FFFFFF" w:themeFill="background1"/>
            <w:noWrap/>
            <w:vAlign w:val="center"/>
          </w:tcPr>
          <w:p w14:paraId="0D0EC274"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Provider Name</w:t>
            </w:r>
          </w:p>
        </w:tc>
        <w:tc>
          <w:tcPr>
            <w:tcW w:w="709" w:type="dxa"/>
            <w:shd w:val="clear" w:color="auto" w:fill="FFFFFF" w:themeFill="background1"/>
            <w:noWrap/>
            <w:vAlign w:val="center"/>
          </w:tcPr>
          <w:p w14:paraId="0A46A44D"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CGS</w:t>
            </w:r>
          </w:p>
        </w:tc>
        <w:tc>
          <w:tcPr>
            <w:tcW w:w="992" w:type="dxa"/>
            <w:shd w:val="clear" w:color="auto" w:fill="FFFFFF" w:themeFill="background1"/>
            <w:noWrap/>
            <w:vAlign w:val="center"/>
          </w:tcPr>
          <w:p w14:paraId="5319CE60"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FEE-HELP</w:t>
            </w:r>
          </w:p>
        </w:tc>
        <w:tc>
          <w:tcPr>
            <w:tcW w:w="616" w:type="dxa"/>
            <w:shd w:val="clear" w:color="auto" w:fill="FFFFFF" w:themeFill="background1"/>
            <w:noWrap/>
            <w:vAlign w:val="center"/>
          </w:tcPr>
          <w:p w14:paraId="200F1FC1"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RBG</w:t>
            </w:r>
          </w:p>
        </w:tc>
        <w:tc>
          <w:tcPr>
            <w:tcW w:w="1134" w:type="dxa"/>
            <w:shd w:val="clear" w:color="auto" w:fill="FFFFFF" w:themeFill="background1"/>
            <w:noWrap/>
            <w:vAlign w:val="center"/>
          </w:tcPr>
          <w:p w14:paraId="7F41F1A5" w14:textId="77777777" w:rsidR="00794E80" w:rsidRPr="007A5946" w:rsidRDefault="00794E80" w:rsidP="00CE6D06">
            <w:pPr>
              <w:spacing w:before="0" w:after="0"/>
              <w:rPr>
                <w:rFonts w:ascii="Century Gothic" w:hAnsi="Century Gothic"/>
                <w:b/>
                <w:sz w:val="18"/>
                <w:szCs w:val="18"/>
              </w:rPr>
            </w:pPr>
            <w:r w:rsidRPr="007A5946">
              <w:rPr>
                <w:rFonts w:ascii="Century Gothic" w:hAnsi="Century Gothic"/>
                <w:b/>
                <w:sz w:val="18"/>
                <w:szCs w:val="18"/>
              </w:rPr>
              <w:t>SAA</w:t>
            </w:r>
          </w:p>
        </w:tc>
      </w:tr>
      <w:tr w:rsidR="00392E49" w:rsidRPr="007A5946" w14:paraId="6234F029" w14:textId="77777777" w:rsidTr="00794E80">
        <w:trPr>
          <w:trHeight w:val="290"/>
        </w:trPr>
        <w:tc>
          <w:tcPr>
            <w:tcW w:w="2553" w:type="dxa"/>
            <w:shd w:val="clear" w:color="auto" w:fill="EAC0DD"/>
            <w:noWrap/>
            <w:vAlign w:val="center"/>
            <w:hideMark/>
          </w:tcPr>
          <w:p w14:paraId="0A0B0CE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4FB01C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SAE Institute Pty Limited</w:t>
            </w:r>
          </w:p>
        </w:tc>
        <w:tc>
          <w:tcPr>
            <w:tcW w:w="709" w:type="dxa"/>
            <w:shd w:val="clear" w:color="auto" w:fill="FF7C80"/>
            <w:noWrap/>
            <w:vAlign w:val="center"/>
            <w:hideMark/>
          </w:tcPr>
          <w:p w14:paraId="0C7F7BB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11BB031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E714AE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B52CAA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E896595" w14:textId="77777777" w:rsidTr="00794E80">
        <w:trPr>
          <w:trHeight w:val="290"/>
        </w:trPr>
        <w:tc>
          <w:tcPr>
            <w:tcW w:w="2553" w:type="dxa"/>
            <w:shd w:val="clear" w:color="auto" w:fill="EAC0DD"/>
            <w:noWrap/>
            <w:vAlign w:val="center"/>
            <w:hideMark/>
          </w:tcPr>
          <w:p w14:paraId="23EE350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47529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Sheridan College Inc.</w:t>
            </w:r>
          </w:p>
        </w:tc>
        <w:tc>
          <w:tcPr>
            <w:tcW w:w="709" w:type="dxa"/>
            <w:shd w:val="clear" w:color="auto" w:fill="FF7C80"/>
            <w:noWrap/>
            <w:vAlign w:val="center"/>
            <w:hideMark/>
          </w:tcPr>
          <w:p w14:paraId="1DB6C94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085556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4CDCC52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C853D3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7ED42A4" w14:textId="77777777" w:rsidTr="00794E80">
        <w:trPr>
          <w:trHeight w:val="290"/>
        </w:trPr>
        <w:tc>
          <w:tcPr>
            <w:tcW w:w="2553" w:type="dxa"/>
            <w:shd w:val="clear" w:color="auto" w:fill="EAC0DD"/>
            <w:noWrap/>
            <w:vAlign w:val="center"/>
            <w:hideMark/>
          </w:tcPr>
          <w:p w14:paraId="680AC45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01C2FA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Sicop Education &amp; Technology Pty Ltd</w:t>
            </w:r>
          </w:p>
        </w:tc>
        <w:tc>
          <w:tcPr>
            <w:tcW w:w="709" w:type="dxa"/>
            <w:shd w:val="clear" w:color="auto" w:fill="FF7C80"/>
            <w:noWrap/>
            <w:vAlign w:val="center"/>
            <w:hideMark/>
          </w:tcPr>
          <w:p w14:paraId="545DDE6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02A1E7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5ADF85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C139FF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65B57EE" w14:textId="77777777" w:rsidTr="00794E80">
        <w:trPr>
          <w:trHeight w:val="290"/>
        </w:trPr>
        <w:tc>
          <w:tcPr>
            <w:tcW w:w="2553" w:type="dxa"/>
            <w:shd w:val="clear" w:color="auto" w:fill="EAC0DD"/>
            <w:noWrap/>
            <w:vAlign w:val="center"/>
            <w:hideMark/>
          </w:tcPr>
          <w:p w14:paraId="54225AF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5091B0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South Australian Institute of Business and Technology Pty Ltd</w:t>
            </w:r>
          </w:p>
        </w:tc>
        <w:tc>
          <w:tcPr>
            <w:tcW w:w="709" w:type="dxa"/>
            <w:shd w:val="clear" w:color="auto" w:fill="FF7C80"/>
            <w:noWrap/>
            <w:vAlign w:val="center"/>
            <w:hideMark/>
          </w:tcPr>
          <w:p w14:paraId="095E15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959D70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69B22C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892E4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D2F524C" w14:textId="77777777" w:rsidTr="00794E80">
        <w:trPr>
          <w:trHeight w:val="290"/>
        </w:trPr>
        <w:tc>
          <w:tcPr>
            <w:tcW w:w="2553" w:type="dxa"/>
            <w:shd w:val="clear" w:color="auto" w:fill="EAC0DD"/>
            <w:noWrap/>
            <w:vAlign w:val="center"/>
            <w:hideMark/>
          </w:tcPr>
          <w:p w14:paraId="7948F6D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F32647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South Metropolitan TAFE</w:t>
            </w:r>
          </w:p>
        </w:tc>
        <w:tc>
          <w:tcPr>
            <w:tcW w:w="709" w:type="dxa"/>
            <w:shd w:val="clear" w:color="auto" w:fill="FF7C80"/>
            <w:noWrap/>
            <w:vAlign w:val="center"/>
            <w:hideMark/>
          </w:tcPr>
          <w:p w14:paraId="4B459C8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89292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A083FF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698A641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0BE4109" w14:textId="77777777" w:rsidTr="00794E80">
        <w:trPr>
          <w:trHeight w:val="290"/>
        </w:trPr>
        <w:tc>
          <w:tcPr>
            <w:tcW w:w="2553" w:type="dxa"/>
            <w:shd w:val="clear" w:color="auto" w:fill="EAC0DD"/>
            <w:noWrap/>
            <w:vAlign w:val="center"/>
            <w:hideMark/>
          </w:tcPr>
          <w:p w14:paraId="1B751C6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6D0744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Southern Cross Education Institute (Higher Education) Pty Ltd</w:t>
            </w:r>
          </w:p>
        </w:tc>
        <w:tc>
          <w:tcPr>
            <w:tcW w:w="709" w:type="dxa"/>
            <w:shd w:val="clear" w:color="auto" w:fill="FF7C80"/>
            <w:noWrap/>
            <w:vAlign w:val="center"/>
            <w:hideMark/>
          </w:tcPr>
          <w:p w14:paraId="360AFE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5ECF5BA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53FC47D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05D276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A47EA58" w14:textId="77777777" w:rsidTr="00794E80">
        <w:trPr>
          <w:trHeight w:val="290"/>
        </w:trPr>
        <w:tc>
          <w:tcPr>
            <w:tcW w:w="2553" w:type="dxa"/>
            <w:shd w:val="clear" w:color="auto" w:fill="EAC0DD"/>
            <w:noWrap/>
            <w:vAlign w:val="center"/>
            <w:hideMark/>
          </w:tcPr>
          <w:p w14:paraId="7DD1D8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66005E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Stanley International College Pty Ltd</w:t>
            </w:r>
          </w:p>
        </w:tc>
        <w:tc>
          <w:tcPr>
            <w:tcW w:w="709" w:type="dxa"/>
            <w:shd w:val="clear" w:color="auto" w:fill="FF7C80"/>
            <w:noWrap/>
            <w:vAlign w:val="center"/>
            <w:hideMark/>
          </w:tcPr>
          <w:p w14:paraId="5CCE4B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7127C1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1D45091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C79734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76C58A9" w14:textId="77777777" w:rsidTr="00794E80">
        <w:trPr>
          <w:trHeight w:val="290"/>
        </w:trPr>
        <w:tc>
          <w:tcPr>
            <w:tcW w:w="2553" w:type="dxa"/>
            <w:shd w:val="clear" w:color="auto" w:fill="EAC0DD"/>
            <w:noWrap/>
            <w:vAlign w:val="center"/>
            <w:hideMark/>
          </w:tcPr>
          <w:p w14:paraId="13F6088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0B15B8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Study Group Australia Pty Limited</w:t>
            </w:r>
          </w:p>
        </w:tc>
        <w:tc>
          <w:tcPr>
            <w:tcW w:w="709" w:type="dxa"/>
            <w:shd w:val="clear" w:color="auto" w:fill="FF7C80"/>
            <w:noWrap/>
            <w:vAlign w:val="center"/>
            <w:hideMark/>
          </w:tcPr>
          <w:p w14:paraId="0F12723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1B465B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0AF377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CEF67C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D5F7EBD" w14:textId="77777777" w:rsidTr="00794E80">
        <w:trPr>
          <w:trHeight w:val="290"/>
        </w:trPr>
        <w:tc>
          <w:tcPr>
            <w:tcW w:w="2553" w:type="dxa"/>
            <w:shd w:val="clear" w:color="auto" w:fill="EAC0DD"/>
            <w:noWrap/>
            <w:vAlign w:val="center"/>
            <w:hideMark/>
          </w:tcPr>
          <w:p w14:paraId="12924DC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1BE5A8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Sydney College of Divinity Ltd</w:t>
            </w:r>
          </w:p>
        </w:tc>
        <w:tc>
          <w:tcPr>
            <w:tcW w:w="709" w:type="dxa"/>
            <w:shd w:val="clear" w:color="auto" w:fill="FF7C80"/>
            <w:noWrap/>
            <w:vAlign w:val="center"/>
            <w:hideMark/>
          </w:tcPr>
          <w:p w14:paraId="4EA2DBD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8D8537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E06FB4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6CE3E1E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35184ABB" w14:textId="77777777" w:rsidTr="00794E80">
        <w:trPr>
          <w:trHeight w:val="290"/>
        </w:trPr>
        <w:tc>
          <w:tcPr>
            <w:tcW w:w="2553" w:type="dxa"/>
            <w:shd w:val="clear" w:color="auto" w:fill="EAC0DD"/>
            <w:noWrap/>
            <w:vAlign w:val="center"/>
            <w:hideMark/>
          </w:tcPr>
          <w:p w14:paraId="538E0EA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BD5B9A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Sydney Institute of Business and Technology Pty Ltd</w:t>
            </w:r>
          </w:p>
        </w:tc>
        <w:tc>
          <w:tcPr>
            <w:tcW w:w="709" w:type="dxa"/>
            <w:shd w:val="clear" w:color="auto" w:fill="FF7C80"/>
            <w:noWrap/>
            <w:vAlign w:val="center"/>
            <w:hideMark/>
          </w:tcPr>
          <w:p w14:paraId="213EDA2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3432E3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3516C2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5AE91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1ED7386" w14:textId="77777777" w:rsidTr="00794E80">
        <w:trPr>
          <w:trHeight w:val="290"/>
        </w:trPr>
        <w:tc>
          <w:tcPr>
            <w:tcW w:w="2553" w:type="dxa"/>
            <w:shd w:val="clear" w:color="auto" w:fill="EAC0DD"/>
            <w:noWrap/>
            <w:vAlign w:val="center"/>
            <w:hideMark/>
          </w:tcPr>
          <w:p w14:paraId="7FF7C57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5F5E744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Sydney Institute of Health Sciences Pty. Limited</w:t>
            </w:r>
          </w:p>
        </w:tc>
        <w:tc>
          <w:tcPr>
            <w:tcW w:w="709" w:type="dxa"/>
            <w:shd w:val="clear" w:color="auto" w:fill="FF7C80"/>
            <w:noWrap/>
            <w:vAlign w:val="center"/>
            <w:hideMark/>
          </w:tcPr>
          <w:p w14:paraId="459F240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536EE4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75FCE5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17ADFE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8B14C82" w14:textId="77777777" w:rsidTr="00794E80">
        <w:trPr>
          <w:trHeight w:val="290"/>
        </w:trPr>
        <w:tc>
          <w:tcPr>
            <w:tcW w:w="2553" w:type="dxa"/>
            <w:shd w:val="clear" w:color="auto" w:fill="EAC0DD"/>
            <w:noWrap/>
            <w:vAlign w:val="center"/>
            <w:hideMark/>
          </w:tcPr>
          <w:p w14:paraId="0D7588C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10D6E3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Tabor College Incorporated</w:t>
            </w:r>
          </w:p>
        </w:tc>
        <w:tc>
          <w:tcPr>
            <w:tcW w:w="709" w:type="dxa"/>
            <w:shd w:val="clear" w:color="auto" w:fill="C5E0B3" w:themeFill="accent6" w:themeFillTint="66"/>
            <w:noWrap/>
            <w:vAlign w:val="center"/>
            <w:hideMark/>
          </w:tcPr>
          <w:p w14:paraId="2B49699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992" w:type="dxa"/>
            <w:shd w:val="clear" w:color="auto" w:fill="C5E0B3" w:themeFill="accent6" w:themeFillTint="66"/>
            <w:noWrap/>
            <w:vAlign w:val="center"/>
            <w:hideMark/>
          </w:tcPr>
          <w:p w14:paraId="3A641E8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DF3A04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6593E2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8AFAA75" w14:textId="77777777" w:rsidTr="00794E80">
        <w:trPr>
          <w:trHeight w:val="290"/>
        </w:trPr>
        <w:tc>
          <w:tcPr>
            <w:tcW w:w="2553" w:type="dxa"/>
            <w:shd w:val="clear" w:color="auto" w:fill="EAC0DD"/>
            <w:noWrap/>
            <w:vAlign w:val="center"/>
            <w:hideMark/>
          </w:tcPr>
          <w:p w14:paraId="24D0ECD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7E1BF21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TAFE Queensland</w:t>
            </w:r>
          </w:p>
        </w:tc>
        <w:tc>
          <w:tcPr>
            <w:tcW w:w="709" w:type="dxa"/>
            <w:shd w:val="clear" w:color="auto" w:fill="FF7C80"/>
            <w:noWrap/>
            <w:vAlign w:val="center"/>
            <w:hideMark/>
          </w:tcPr>
          <w:p w14:paraId="112336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0EE8AD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0F5AB7C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64964E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EE6BA37" w14:textId="77777777" w:rsidTr="00794E80">
        <w:trPr>
          <w:trHeight w:val="290"/>
        </w:trPr>
        <w:tc>
          <w:tcPr>
            <w:tcW w:w="2553" w:type="dxa"/>
            <w:shd w:val="clear" w:color="auto" w:fill="EAC0DD"/>
            <w:noWrap/>
            <w:vAlign w:val="center"/>
            <w:hideMark/>
          </w:tcPr>
          <w:p w14:paraId="362B367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2D5B65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TAFE SA</w:t>
            </w:r>
          </w:p>
        </w:tc>
        <w:tc>
          <w:tcPr>
            <w:tcW w:w="709" w:type="dxa"/>
            <w:shd w:val="clear" w:color="auto" w:fill="FF7C80"/>
            <w:noWrap/>
            <w:vAlign w:val="center"/>
            <w:hideMark/>
          </w:tcPr>
          <w:p w14:paraId="4BC1278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C15826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037F9D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E7879D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A54BC12" w14:textId="77777777" w:rsidTr="00794E80">
        <w:trPr>
          <w:trHeight w:val="290"/>
        </w:trPr>
        <w:tc>
          <w:tcPr>
            <w:tcW w:w="2553" w:type="dxa"/>
            <w:shd w:val="clear" w:color="auto" w:fill="EAC0DD"/>
            <w:noWrap/>
            <w:vAlign w:val="center"/>
            <w:hideMark/>
          </w:tcPr>
          <w:p w14:paraId="5482C80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8401A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Technical and Further Education Commission [TAFE NSW Higher Education]</w:t>
            </w:r>
          </w:p>
        </w:tc>
        <w:tc>
          <w:tcPr>
            <w:tcW w:w="709" w:type="dxa"/>
            <w:shd w:val="clear" w:color="auto" w:fill="FF7C80"/>
            <w:noWrap/>
            <w:vAlign w:val="center"/>
            <w:hideMark/>
          </w:tcPr>
          <w:p w14:paraId="0E529EB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129EDE6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3C77AD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6C0B7B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F430E96" w14:textId="77777777" w:rsidTr="00794E80">
        <w:trPr>
          <w:trHeight w:val="290"/>
        </w:trPr>
        <w:tc>
          <w:tcPr>
            <w:tcW w:w="2553" w:type="dxa"/>
            <w:shd w:val="clear" w:color="auto" w:fill="EAC0DD"/>
            <w:noWrap/>
            <w:vAlign w:val="center"/>
            <w:hideMark/>
          </w:tcPr>
          <w:p w14:paraId="4FC0018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406EBE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Australasian College of Dermatologists</w:t>
            </w:r>
          </w:p>
        </w:tc>
        <w:tc>
          <w:tcPr>
            <w:tcW w:w="709" w:type="dxa"/>
            <w:shd w:val="clear" w:color="auto" w:fill="FF7C80"/>
            <w:noWrap/>
            <w:vAlign w:val="center"/>
            <w:hideMark/>
          </w:tcPr>
          <w:p w14:paraId="6895240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3C933CD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7790DA7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B19FE7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696943A" w14:textId="77777777" w:rsidTr="00794E80">
        <w:trPr>
          <w:trHeight w:val="290"/>
        </w:trPr>
        <w:tc>
          <w:tcPr>
            <w:tcW w:w="2553" w:type="dxa"/>
            <w:shd w:val="clear" w:color="auto" w:fill="EAC0DD"/>
            <w:noWrap/>
            <w:vAlign w:val="center"/>
            <w:hideMark/>
          </w:tcPr>
          <w:p w14:paraId="4A93930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A7BEA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Australian Council for Educational Research Limited</w:t>
            </w:r>
          </w:p>
        </w:tc>
        <w:tc>
          <w:tcPr>
            <w:tcW w:w="709" w:type="dxa"/>
            <w:shd w:val="clear" w:color="auto" w:fill="FF7C80"/>
            <w:noWrap/>
            <w:vAlign w:val="center"/>
            <w:hideMark/>
          </w:tcPr>
          <w:p w14:paraId="1EDF24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719AA92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5557C2D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2DB6AA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0B2EC6C5" w14:textId="77777777" w:rsidTr="00794E80">
        <w:trPr>
          <w:trHeight w:val="290"/>
        </w:trPr>
        <w:tc>
          <w:tcPr>
            <w:tcW w:w="2553" w:type="dxa"/>
            <w:shd w:val="clear" w:color="auto" w:fill="EAC0DD"/>
            <w:noWrap/>
            <w:vAlign w:val="center"/>
            <w:hideMark/>
          </w:tcPr>
          <w:p w14:paraId="69C16AE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C3021F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Australian Institute of Music Limited</w:t>
            </w:r>
          </w:p>
        </w:tc>
        <w:tc>
          <w:tcPr>
            <w:tcW w:w="709" w:type="dxa"/>
            <w:shd w:val="clear" w:color="auto" w:fill="FF7C80"/>
            <w:noWrap/>
            <w:vAlign w:val="center"/>
            <w:hideMark/>
          </w:tcPr>
          <w:p w14:paraId="1D9339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421F9F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6801D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C08DDB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5928245" w14:textId="77777777" w:rsidTr="00794E80">
        <w:trPr>
          <w:trHeight w:val="290"/>
        </w:trPr>
        <w:tc>
          <w:tcPr>
            <w:tcW w:w="2553" w:type="dxa"/>
            <w:shd w:val="clear" w:color="auto" w:fill="EAC0DD"/>
            <w:noWrap/>
            <w:vAlign w:val="center"/>
            <w:hideMark/>
          </w:tcPr>
          <w:p w14:paraId="1C8C2EC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8EAB55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Cairnmillar Institute</w:t>
            </w:r>
          </w:p>
        </w:tc>
        <w:tc>
          <w:tcPr>
            <w:tcW w:w="709" w:type="dxa"/>
            <w:shd w:val="clear" w:color="auto" w:fill="FF7C80"/>
            <w:noWrap/>
            <w:vAlign w:val="center"/>
            <w:hideMark/>
          </w:tcPr>
          <w:p w14:paraId="6F3BEE3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92FDB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C0C42C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D69F96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A6DECFA" w14:textId="77777777" w:rsidTr="00794E80">
        <w:trPr>
          <w:trHeight w:val="290"/>
        </w:trPr>
        <w:tc>
          <w:tcPr>
            <w:tcW w:w="2553" w:type="dxa"/>
            <w:shd w:val="clear" w:color="auto" w:fill="EAC0DD"/>
            <w:noWrap/>
            <w:vAlign w:val="center"/>
            <w:hideMark/>
          </w:tcPr>
          <w:p w14:paraId="709C695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B81BAA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College of Law Limited (formerly TCOL Limited)</w:t>
            </w:r>
          </w:p>
        </w:tc>
        <w:tc>
          <w:tcPr>
            <w:tcW w:w="709" w:type="dxa"/>
            <w:shd w:val="clear" w:color="auto" w:fill="FF7C80"/>
            <w:noWrap/>
            <w:vAlign w:val="center"/>
            <w:hideMark/>
          </w:tcPr>
          <w:p w14:paraId="7AE3156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74B8DDB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31FAD3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2146210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58F5889A" w14:textId="77777777" w:rsidTr="00794E80">
        <w:trPr>
          <w:trHeight w:val="290"/>
        </w:trPr>
        <w:tc>
          <w:tcPr>
            <w:tcW w:w="2553" w:type="dxa"/>
            <w:shd w:val="clear" w:color="auto" w:fill="EAC0DD"/>
            <w:noWrap/>
            <w:vAlign w:val="center"/>
            <w:hideMark/>
          </w:tcPr>
          <w:p w14:paraId="0628E7B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A4E60D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Institute of Internal Auditors-Australia</w:t>
            </w:r>
          </w:p>
        </w:tc>
        <w:tc>
          <w:tcPr>
            <w:tcW w:w="709" w:type="dxa"/>
            <w:shd w:val="clear" w:color="auto" w:fill="FF7C80"/>
            <w:noWrap/>
            <w:vAlign w:val="center"/>
            <w:hideMark/>
          </w:tcPr>
          <w:p w14:paraId="5BE5567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08330EF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9D0E2C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D97F09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7E7C3FE" w14:textId="77777777" w:rsidTr="00794E80">
        <w:trPr>
          <w:trHeight w:val="290"/>
        </w:trPr>
        <w:tc>
          <w:tcPr>
            <w:tcW w:w="2553" w:type="dxa"/>
            <w:shd w:val="clear" w:color="auto" w:fill="EAC0DD"/>
            <w:noWrap/>
            <w:vAlign w:val="center"/>
            <w:hideMark/>
          </w:tcPr>
          <w:p w14:paraId="5E865B2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364C86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Institute of International Studies (TIIS) Pty Ltd</w:t>
            </w:r>
          </w:p>
        </w:tc>
        <w:tc>
          <w:tcPr>
            <w:tcW w:w="709" w:type="dxa"/>
            <w:shd w:val="clear" w:color="auto" w:fill="FF7C80"/>
            <w:noWrap/>
            <w:vAlign w:val="center"/>
            <w:hideMark/>
          </w:tcPr>
          <w:p w14:paraId="2C6814D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2FF37F2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2B60C95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3B19CD5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557DE60" w14:textId="77777777" w:rsidTr="00794E80">
        <w:trPr>
          <w:trHeight w:val="290"/>
        </w:trPr>
        <w:tc>
          <w:tcPr>
            <w:tcW w:w="2553" w:type="dxa"/>
            <w:shd w:val="clear" w:color="auto" w:fill="EAC0DD"/>
            <w:noWrap/>
            <w:vAlign w:val="center"/>
            <w:hideMark/>
          </w:tcPr>
          <w:p w14:paraId="4156E05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CE9F14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MIECAT Institute Inc. (formerly Melbourne Institute for Experiential and Creative Arts Therapy)</w:t>
            </w:r>
          </w:p>
        </w:tc>
        <w:tc>
          <w:tcPr>
            <w:tcW w:w="709" w:type="dxa"/>
            <w:shd w:val="clear" w:color="auto" w:fill="FF7C80"/>
            <w:noWrap/>
            <w:vAlign w:val="center"/>
            <w:hideMark/>
          </w:tcPr>
          <w:p w14:paraId="75DA120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9F34DB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15F9735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DC9E4B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AEE1905" w14:textId="77777777" w:rsidTr="00794E80">
        <w:trPr>
          <w:trHeight w:val="290"/>
        </w:trPr>
        <w:tc>
          <w:tcPr>
            <w:tcW w:w="2553" w:type="dxa"/>
            <w:shd w:val="clear" w:color="auto" w:fill="EAC0DD"/>
            <w:noWrap/>
            <w:vAlign w:val="center"/>
            <w:hideMark/>
          </w:tcPr>
          <w:p w14:paraId="76FAF4E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1492D8B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National Institute of Dramatic Art</w:t>
            </w:r>
          </w:p>
        </w:tc>
        <w:tc>
          <w:tcPr>
            <w:tcW w:w="709" w:type="dxa"/>
            <w:shd w:val="clear" w:color="auto" w:fill="FF7C80"/>
            <w:noWrap/>
            <w:vAlign w:val="center"/>
            <w:hideMark/>
          </w:tcPr>
          <w:p w14:paraId="60912D1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C7AA25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47B1DFA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0DDE0EE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4EDA4633" w14:textId="77777777" w:rsidTr="00794E80">
        <w:trPr>
          <w:trHeight w:val="290"/>
        </w:trPr>
        <w:tc>
          <w:tcPr>
            <w:tcW w:w="2553" w:type="dxa"/>
            <w:shd w:val="clear" w:color="auto" w:fill="EAC0DD"/>
            <w:noWrap/>
            <w:vAlign w:val="center"/>
            <w:hideMark/>
          </w:tcPr>
          <w:p w14:paraId="3B42A6A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6FFA28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The Tax Institute</w:t>
            </w:r>
          </w:p>
        </w:tc>
        <w:tc>
          <w:tcPr>
            <w:tcW w:w="709" w:type="dxa"/>
            <w:shd w:val="clear" w:color="auto" w:fill="FF7C80"/>
            <w:noWrap/>
            <w:vAlign w:val="center"/>
            <w:hideMark/>
          </w:tcPr>
          <w:p w14:paraId="180B747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0A805F3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79D0795E"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4DCD0F8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553EC9A0" w14:textId="77777777" w:rsidTr="00794E80">
        <w:trPr>
          <w:trHeight w:val="290"/>
        </w:trPr>
        <w:tc>
          <w:tcPr>
            <w:tcW w:w="2553" w:type="dxa"/>
            <w:shd w:val="clear" w:color="auto" w:fill="EAC0DD"/>
            <w:noWrap/>
            <w:vAlign w:val="center"/>
            <w:hideMark/>
          </w:tcPr>
          <w:p w14:paraId="26C3F24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632B99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Think: Colleges Pty Ltd</w:t>
            </w:r>
          </w:p>
        </w:tc>
        <w:tc>
          <w:tcPr>
            <w:tcW w:w="709" w:type="dxa"/>
            <w:shd w:val="clear" w:color="auto" w:fill="FF7C80"/>
            <w:noWrap/>
            <w:vAlign w:val="center"/>
            <w:hideMark/>
          </w:tcPr>
          <w:p w14:paraId="2307360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66B1097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0C48F9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7FC575A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251C17F1" w14:textId="77777777" w:rsidTr="00794E80">
        <w:trPr>
          <w:trHeight w:val="290"/>
        </w:trPr>
        <w:tc>
          <w:tcPr>
            <w:tcW w:w="2553" w:type="dxa"/>
            <w:shd w:val="clear" w:color="auto" w:fill="EAC0DD"/>
            <w:noWrap/>
            <w:vAlign w:val="center"/>
            <w:hideMark/>
          </w:tcPr>
          <w:p w14:paraId="64C9F00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20AA59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Top Education Group Pty Ltd</w:t>
            </w:r>
          </w:p>
        </w:tc>
        <w:tc>
          <w:tcPr>
            <w:tcW w:w="709" w:type="dxa"/>
            <w:shd w:val="clear" w:color="auto" w:fill="FF7C80"/>
            <w:noWrap/>
            <w:vAlign w:val="center"/>
            <w:hideMark/>
          </w:tcPr>
          <w:p w14:paraId="5D7EA82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F04EEE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B4CEF0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E599" w:themeFill="accent4" w:themeFillTint="66"/>
            <w:noWrap/>
            <w:vAlign w:val="center"/>
            <w:hideMark/>
          </w:tcPr>
          <w:p w14:paraId="3179B4D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 (limited)</w:t>
            </w:r>
          </w:p>
        </w:tc>
      </w:tr>
      <w:tr w:rsidR="00392E49" w:rsidRPr="007A5946" w14:paraId="723F55E5" w14:textId="77777777" w:rsidTr="00794E80">
        <w:trPr>
          <w:trHeight w:val="290"/>
        </w:trPr>
        <w:tc>
          <w:tcPr>
            <w:tcW w:w="2553" w:type="dxa"/>
            <w:shd w:val="clear" w:color="auto" w:fill="EAC0DD"/>
            <w:noWrap/>
            <w:vAlign w:val="center"/>
            <w:hideMark/>
          </w:tcPr>
          <w:p w14:paraId="41CF3EF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6B0197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UOWC Ltd (formerly ITC Education Ltd)</w:t>
            </w:r>
          </w:p>
        </w:tc>
        <w:tc>
          <w:tcPr>
            <w:tcW w:w="709" w:type="dxa"/>
            <w:shd w:val="clear" w:color="auto" w:fill="FF7C80"/>
            <w:noWrap/>
            <w:vAlign w:val="center"/>
            <w:hideMark/>
          </w:tcPr>
          <w:p w14:paraId="6CCEEFB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59CED30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6E82E9D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F51DAB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7555E465" w14:textId="77777777" w:rsidTr="00794E80">
        <w:trPr>
          <w:trHeight w:val="290"/>
        </w:trPr>
        <w:tc>
          <w:tcPr>
            <w:tcW w:w="2553" w:type="dxa"/>
            <w:shd w:val="clear" w:color="auto" w:fill="EAC0DD"/>
            <w:noWrap/>
            <w:vAlign w:val="center"/>
            <w:hideMark/>
          </w:tcPr>
          <w:p w14:paraId="02CF28B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05A4F32"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Victorian Institute of Technology Pty Ltd</w:t>
            </w:r>
          </w:p>
        </w:tc>
        <w:tc>
          <w:tcPr>
            <w:tcW w:w="709" w:type="dxa"/>
            <w:shd w:val="clear" w:color="auto" w:fill="FF7C80"/>
            <w:noWrap/>
            <w:vAlign w:val="center"/>
            <w:hideMark/>
          </w:tcPr>
          <w:p w14:paraId="039D130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3BEFA03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72E1A841"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5600BCC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69BC9E5B" w14:textId="77777777" w:rsidTr="00794E80">
        <w:trPr>
          <w:trHeight w:val="290"/>
        </w:trPr>
        <w:tc>
          <w:tcPr>
            <w:tcW w:w="2553" w:type="dxa"/>
            <w:shd w:val="clear" w:color="auto" w:fill="EAC0DD"/>
            <w:noWrap/>
            <w:vAlign w:val="center"/>
            <w:hideMark/>
          </w:tcPr>
          <w:p w14:paraId="7B27DDF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437A4C1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Wentworth Institute of Higher Education Pty Ltd (formerly Victory Institute of Higher Education Pty Ltd)</w:t>
            </w:r>
          </w:p>
        </w:tc>
        <w:tc>
          <w:tcPr>
            <w:tcW w:w="709" w:type="dxa"/>
            <w:shd w:val="clear" w:color="auto" w:fill="FF7C80"/>
            <w:noWrap/>
            <w:vAlign w:val="center"/>
            <w:hideMark/>
          </w:tcPr>
          <w:p w14:paraId="45C579E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3E2563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5D11E71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12DAAA1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B94254D" w14:textId="77777777" w:rsidTr="00794E80">
        <w:trPr>
          <w:trHeight w:val="290"/>
        </w:trPr>
        <w:tc>
          <w:tcPr>
            <w:tcW w:w="2553" w:type="dxa"/>
            <w:shd w:val="clear" w:color="auto" w:fill="EAC0DD"/>
            <w:noWrap/>
            <w:vAlign w:val="center"/>
            <w:hideMark/>
          </w:tcPr>
          <w:p w14:paraId="0413ED0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0B7871C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Western Sydney University International College Pty Ltd</w:t>
            </w:r>
          </w:p>
        </w:tc>
        <w:tc>
          <w:tcPr>
            <w:tcW w:w="709" w:type="dxa"/>
            <w:shd w:val="clear" w:color="auto" w:fill="FF7C80"/>
            <w:noWrap/>
            <w:vAlign w:val="center"/>
            <w:hideMark/>
          </w:tcPr>
          <w:p w14:paraId="26B158B3"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FF7C80"/>
            <w:noWrap/>
            <w:vAlign w:val="center"/>
            <w:hideMark/>
          </w:tcPr>
          <w:p w14:paraId="7CA4A576"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616" w:type="dxa"/>
            <w:shd w:val="clear" w:color="auto" w:fill="FF7C80"/>
            <w:noWrap/>
            <w:vAlign w:val="center"/>
            <w:hideMark/>
          </w:tcPr>
          <w:p w14:paraId="536CA94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0AA73475"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44CE3789" w14:textId="77777777" w:rsidTr="00794E80">
        <w:trPr>
          <w:trHeight w:val="290"/>
        </w:trPr>
        <w:tc>
          <w:tcPr>
            <w:tcW w:w="2553" w:type="dxa"/>
            <w:shd w:val="clear" w:color="auto" w:fill="EAC0DD"/>
            <w:noWrap/>
            <w:vAlign w:val="center"/>
            <w:hideMark/>
          </w:tcPr>
          <w:p w14:paraId="0D67C8A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618A562F"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Whitehouse Institute Pty Ltd</w:t>
            </w:r>
          </w:p>
        </w:tc>
        <w:tc>
          <w:tcPr>
            <w:tcW w:w="709" w:type="dxa"/>
            <w:shd w:val="clear" w:color="auto" w:fill="FF7C80"/>
            <w:noWrap/>
            <w:vAlign w:val="center"/>
            <w:hideMark/>
          </w:tcPr>
          <w:p w14:paraId="131931E7"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489C22D0"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28F072BC"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B6E62BA"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r w:rsidR="00392E49" w:rsidRPr="007A5946" w14:paraId="1D5324A1" w14:textId="77777777" w:rsidTr="00794E80">
        <w:trPr>
          <w:trHeight w:val="290"/>
        </w:trPr>
        <w:tc>
          <w:tcPr>
            <w:tcW w:w="2553" w:type="dxa"/>
            <w:shd w:val="clear" w:color="auto" w:fill="EAC0DD"/>
            <w:noWrap/>
            <w:vAlign w:val="center"/>
            <w:hideMark/>
          </w:tcPr>
          <w:p w14:paraId="363564E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Higher Education Provider</w:t>
            </w:r>
          </w:p>
        </w:tc>
        <w:tc>
          <w:tcPr>
            <w:tcW w:w="5244" w:type="dxa"/>
            <w:noWrap/>
            <w:vAlign w:val="center"/>
            <w:hideMark/>
          </w:tcPr>
          <w:p w14:paraId="396DAFFD"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William Angliss Institute of TAFE</w:t>
            </w:r>
          </w:p>
        </w:tc>
        <w:tc>
          <w:tcPr>
            <w:tcW w:w="709" w:type="dxa"/>
            <w:shd w:val="clear" w:color="auto" w:fill="FF7C80"/>
            <w:noWrap/>
            <w:vAlign w:val="center"/>
            <w:hideMark/>
          </w:tcPr>
          <w:p w14:paraId="40055939"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992" w:type="dxa"/>
            <w:shd w:val="clear" w:color="auto" w:fill="C5E0B3" w:themeFill="accent6" w:themeFillTint="66"/>
            <w:noWrap/>
            <w:vAlign w:val="center"/>
            <w:hideMark/>
          </w:tcPr>
          <w:p w14:paraId="283CB128"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Y</w:t>
            </w:r>
          </w:p>
        </w:tc>
        <w:tc>
          <w:tcPr>
            <w:tcW w:w="616" w:type="dxa"/>
            <w:shd w:val="clear" w:color="auto" w:fill="FF7C80"/>
            <w:noWrap/>
            <w:vAlign w:val="center"/>
            <w:hideMark/>
          </w:tcPr>
          <w:p w14:paraId="3B651004"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c>
          <w:tcPr>
            <w:tcW w:w="1134" w:type="dxa"/>
            <w:shd w:val="clear" w:color="auto" w:fill="FF7C80"/>
            <w:noWrap/>
            <w:vAlign w:val="center"/>
            <w:hideMark/>
          </w:tcPr>
          <w:p w14:paraId="2F24440B" w14:textId="77777777" w:rsidR="00392E49" w:rsidRPr="007A5946" w:rsidRDefault="00392E49" w:rsidP="00392E49">
            <w:pPr>
              <w:spacing w:before="0" w:after="0"/>
              <w:rPr>
                <w:rFonts w:ascii="Century Gothic" w:hAnsi="Century Gothic"/>
                <w:sz w:val="18"/>
                <w:szCs w:val="18"/>
              </w:rPr>
            </w:pPr>
            <w:r w:rsidRPr="007A5946">
              <w:rPr>
                <w:rFonts w:ascii="Century Gothic" w:hAnsi="Century Gothic"/>
                <w:sz w:val="18"/>
                <w:szCs w:val="18"/>
              </w:rPr>
              <w:t>N</w:t>
            </w:r>
          </w:p>
        </w:tc>
      </w:tr>
    </w:tbl>
    <w:p w14:paraId="19B0E4AB" w14:textId="77777777" w:rsidR="00392E49" w:rsidRPr="007A5946" w:rsidRDefault="00392E49" w:rsidP="00392E49">
      <w:pPr>
        <w:spacing w:before="0" w:after="0" w:line="240" w:lineRule="auto"/>
        <w:rPr>
          <w:rFonts w:ascii="Century Gothic" w:eastAsia="Times New Roman" w:hAnsi="Century Gothic" w:cs="Calibri"/>
          <w:color w:val="000000"/>
          <w:sz w:val="16"/>
          <w:szCs w:val="16"/>
          <w:lang w:eastAsia="en-AU"/>
        </w:rPr>
      </w:pPr>
      <w:r w:rsidRPr="007A5946">
        <w:rPr>
          <w:rFonts w:ascii="Century Gothic" w:eastAsia="Times New Roman" w:hAnsi="Century Gothic" w:cs="Calibri"/>
          <w:color w:val="000000"/>
          <w:sz w:val="16"/>
          <w:szCs w:val="16"/>
          <w:lang w:eastAsia="en-AU"/>
        </w:rPr>
        <w:t xml:space="preserve">** Batchelor Institute of Indigenous Tertiary Education is a Table A higher education provider under the </w:t>
      </w:r>
      <w:r w:rsidRPr="007A5946">
        <w:rPr>
          <w:rFonts w:ascii="Century Gothic" w:eastAsia="Times New Roman" w:hAnsi="Century Gothic" w:cs="Calibri"/>
          <w:i/>
          <w:color w:val="000000"/>
          <w:sz w:val="16"/>
          <w:szCs w:val="16"/>
          <w:lang w:eastAsia="en-AU"/>
        </w:rPr>
        <w:t>Higher Education Support Act 2003</w:t>
      </w:r>
      <w:r w:rsidRPr="007A5946">
        <w:rPr>
          <w:rFonts w:ascii="Century Gothic" w:eastAsia="Times New Roman" w:hAnsi="Century Gothic" w:cs="Calibri"/>
          <w:color w:val="000000"/>
          <w:sz w:val="16"/>
          <w:szCs w:val="16"/>
          <w:lang w:eastAsia="en-AU"/>
        </w:rPr>
        <w:t xml:space="preserve"> but does not currently have a CGS Funding Agreement with the Australian Government Department of Education</w:t>
      </w:r>
    </w:p>
    <w:p w14:paraId="32414618" w14:textId="77777777" w:rsidR="00392E49" w:rsidRDefault="00392E49" w:rsidP="00392E49">
      <w:pPr>
        <w:spacing w:before="0" w:after="160"/>
        <w:rPr>
          <w:rFonts w:ascii="Century Gothic" w:eastAsiaTheme="majorEastAsia" w:hAnsi="Century Gothic" w:cstheme="majorBidi"/>
          <w:b/>
          <w:color w:val="2763AC"/>
          <w:sz w:val="46"/>
          <w:szCs w:val="46"/>
        </w:rPr>
      </w:pPr>
      <w:r>
        <w:rPr>
          <w:b/>
        </w:rPr>
        <w:br w:type="page"/>
      </w:r>
    </w:p>
    <w:p w14:paraId="2AE489FC" w14:textId="77777777" w:rsidR="00FE78DE" w:rsidRPr="00730C0D" w:rsidRDefault="00FE78DE" w:rsidP="00FE78DE">
      <w:pPr>
        <w:pStyle w:val="Heading1"/>
        <w:rPr>
          <w:b/>
        </w:rPr>
      </w:pPr>
      <w:bookmarkStart w:id="161" w:name="_Toc18592373"/>
      <w:r w:rsidRPr="00730C0D">
        <w:rPr>
          <w:b/>
        </w:rPr>
        <w:t>Appendix F.</w:t>
      </w:r>
      <w:bookmarkEnd w:id="161"/>
      <w:r w:rsidRPr="00730C0D">
        <w:rPr>
          <w:b/>
        </w:rPr>
        <w:t xml:space="preserve"> </w:t>
      </w:r>
    </w:p>
    <w:p w14:paraId="1C8E42B2" w14:textId="77777777" w:rsidR="00FE78DE" w:rsidRPr="00730C0D" w:rsidRDefault="00FE78DE" w:rsidP="00FE78DE">
      <w:pPr>
        <w:pStyle w:val="Heading1"/>
      </w:pPr>
      <w:bookmarkStart w:id="162" w:name="_Toc16242155"/>
      <w:bookmarkStart w:id="163" w:name="_Toc16609478"/>
      <w:bookmarkStart w:id="164" w:name="_Toc18495611"/>
      <w:bookmarkStart w:id="165" w:name="_Toc18592374"/>
      <w:r w:rsidRPr="00730C0D">
        <w:t xml:space="preserve">Selected Comparison of International </w:t>
      </w:r>
      <w:bookmarkEnd w:id="155"/>
      <w:r w:rsidRPr="00730C0D">
        <w:t>Higher Education</w:t>
      </w:r>
      <w:bookmarkEnd w:id="156"/>
      <w:r w:rsidRPr="00730C0D">
        <w:t xml:space="preserve"> Systems</w:t>
      </w:r>
      <w:bookmarkEnd w:id="162"/>
      <w:bookmarkEnd w:id="163"/>
      <w:bookmarkEnd w:id="164"/>
      <w:bookmarkEnd w:id="165"/>
    </w:p>
    <w:p w14:paraId="18A15858" w14:textId="77777777" w:rsidR="00FE78DE" w:rsidRPr="00730C0D" w:rsidRDefault="00FE78DE" w:rsidP="00FE78DE">
      <w:pPr>
        <w:rPr>
          <w:rFonts w:ascii="Century Gothic" w:hAnsi="Century Gothic"/>
          <w:sz w:val="20"/>
          <w:szCs w:val="20"/>
        </w:rPr>
      </w:pPr>
      <w:r w:rsidRPr="00730C0D">
        <w:rPr>
          <w:rFonts w:ascii="Century Gothic" w:hAnsi="Century Gothic"/>
          <w:b/>
          <w:noProof/>
          <w:sz w:val="52"/>
          <w:szCs w:val="52"/>
          <w:lang w:eastAsia="en-AU"/>
        </w:rPr>
        <mc:AlternateContent>
          <mc:Choice Requires="wps">
            <w:drawing>
              <wp:anchor distT="0" distB="0" distL="114300" distR="114300" simplePos="0" relativeHeight="251708416" behindDoc="0" locked="0" layoutInCell="1" allowOverlap="1" wp14:anchorId="58334DEE" wp14:editId="434188C4">
                <wp:simplePos x="0" y="0"/>
                <wp:positionH relativeFrom="column">
                  <wp:posOffset>-1062245</wp:posOffset>
                </wp:positionH>
                <wp:positionV relativeFrom="paragraph">
                  <wp:posOffset>67310</wp:posOffset>
                </wp:positionV>
                <wp:extent cx="7143750" cy="0"/>
                <wp:effectExtent l="0" t="0" r="19050" b="19050"/>
                <wp:wrapNone/>
                <wp:docPr id="47" name="Straight Connector 47"/>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DC435" id="Straight Connector 47"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65pt,5.3pt" to="478.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" strokecolor="black [3213]" strokeweight=".5pt">
                <v:stroke joinstyle="miter"/>
              </v:line>
            </w:pict>
          </mc:Fallback>
        </mc:AlternateContent>
      </w:r>
    </w:p>
    <w:p w14:paraId="00C6EBDC" w14:textId="77777777" w:rsidR="00FE78DE" w:rsidRPr="00730C0D" w:rsidRDefault="00FE78DE" w:rsidP="00FE78DE">
      <w:pPr>
        <w:rPr>
          <w:rFonts w:ascii="Century Gothic" w:hAnsi="Century Gothic"/>
          <w:sz w:val="20"/>
          <w:szCs w:val="20"/>
        </w:rPr>
      </w:pPr>
      <w:r w:rsidRPr="00730C0D">
        <w:rPr>
          <w:rFonts w:ascii="Century Gothic" w:hAnsi="Century Gothic"/>
          <w:sz w:val="20"/>
          <w:szCs w:val="20"/>
        </w:rPr>
        <w:t>Different higher education systems worldwide employ distinct schemes for categorising and describing higher education providers/institutions</w:t>
      </w:r>
      <w:r>
        <w:rPr>
          <w:rFonts w:ascii="Century Gothic" w:hAnsi="Century Gothic"/>
          <w:sz w:val="20"/>
          <w:szCs w:val="20"/>
        </w:rPr>
        <w:t>. These are</w:t>
      </w:r>
      <w:r w:rsidRPr="00730C0D">
        <w:rPr>
          <w:rFonts w:ascii="Century Gothic" w:hAnsi="Century Gothic"/>
          <w:sz w:val="20"/>
          <w:szCs w:val="20"/>
        </w:rPr>
        <w:t xml:space="preserve"> either directly </w:t>
      </w:r>
      <w:r>
        <w:rPr>
          <w:rFonts w:ascii="Century Gothic" w:hAnsi="Century Gothic"/>
          <w:sz w:val="20"/>
          <w:szCs w:val="20"/>
        </w:rPr>
        <w:t>connected to</w:t>
      </w:r>
      <w:r w:rsidRPr="00730C0D">
        <w:rPr>
          <w:rFonts w:ascii="Century Gothic" w:hAnsi="Century Gothic"/>
          <w:sz w:val="20"/>
          <w:szCs w:val="20"/>
        </w:rPr>
        <w:t xml:space="preserve"> the regulation and governance of the system, such as in Australia, or </w:t>
      </w:r>
      <w:r>
        <w:rPr>
          <w:rFonts w:ascii="Century Gothic" w:hAnsi="Century Gothic"/>
          <w:sz w:val="20"/>
          <w:szCs w:val="20"/>
        </w:rPr>
        <w:t xml:space="preserve">operate </w:t>
      </w:r>
      <w:r w:rsidRPr="00730C0D">
        <w:rPr>
          <w:rFonts w:ascii="Century Gothic" w:hAnsi="Century Gothic"/>
          <w:sz w:val="20"/>
          <w:szCs w:val="20"/>
        </w:rPr>
        <w:t xml:space="preserve">as prominent schemes that are widely </w:t>
      </w:r>
      <w:r>
        <w:rPr>
          <w:rFonts w:ascii="Century Gothic" w:hAnsi="Century Gothic"/>
          <w:sz w:val="20"/>
          <w:szCs w:val="20"/>
        </w:rPr>
        <w:t>accepted</w:t>
      </w:r>
      <w:r w:rsidRPr="00730C0D">
        <w:rPr>
          <w:rFonts w:ascii="Century Gothic" w:hAnsi="Century Gothic"/>
          <w:sz w:val="20"/>
          <w:szCs w:val="20"/>
        </w:rPr>
        <w:t xml:space="preserve"> and used by higher education providers. The latter, for example, would include the Carnegie Classification in the United States.</w:t>
      </w:r>
      <w:r w:rsidRPr="00730C0D">
        <w:rPr>
          <w:rStyle w:val="FootnoteReference"/>
          <w:rFonts w:ascii="Century Gothic" w:hAnsi="Century Gothic"/>
          <w:sz w:val="20"/>
          <w:szCs w:val="20"/>
        </w:rPr>
        <w:footnoteReference w:id="120"/>
      </w:r>
      <w:r w:rsidRPr="00730C0D">
        <w:rPr>
          <w:rFonts w:ascii="Century Gothic" w:hAnsi="Century Gothic"/>
          <w:sz w:val="20"/>
          <w:szCs w:val="20"/>
        </w:rPr>
        <w:t xml:space="preserve"> </w:t>
      </w:r>
    </w:p>
    <w:p w14:paraId="6A52F9C3" w14:textId="6D7E97E3" w:rsidR="00FE78DE" w:rsidRPr="00730C0D" w:rsidRDefault="00E44C3E" w:rsidP="00FE78DE">
      <w:pPr>
        <w:rPr>
          <w:rFonts w:ascii="Century Gothic" w:hAnsi="Century Gothic"/>
          <w:sz w:val="20"/>
          <w:szCs w:val="20"/>
        </w:rPr>
      </w:pPr>
      <w:r>
        <w:rPr>
          <w:rFonts w:ascii="Century Gothic" w:hAnsi="Century Gothic"/>
          <w:sz w:val="20"/>
          <w:szCs w:val="20"/>
        </w:rPr>
        <w:t xml:space="preserve">The following table </w:t>
      </w:r>
      <w:r w:rsidR="00FE78DE" w:rsidRPr="00730C0D">
        <w:rPr>
          <w:rFonts w:ascii="Century Gothic" w:hAnsi="Century Gothic"/>
          <w:sz w:val="20"/>
          <w:szCs w:val="20"/>
        </w:rPr>
        <w:t xml:space="preserve">provides an indicative description of different provider types and/or categories in higher education and, </w:t>
      </w:r>
      <w:r w:rsidR="00FE78DE">
        <w:rPr>
          <w:rFonts w:ascii="Century Gothic" w:hAnsi="Century Gothic"/>
          <w:sz w:val="20"/>
          <w:szCs w:val="20"/>
        </w:rPr>
        <w:t>where appropriate</w:t>
      </w:r>
      <w:r w:rsidR="00FE78DE" w:rsidRPr="00730C0D">
        <w:rPr>
          <w:rFonts w:ascii="Century Gothic" w:hAnsi="Century Gothic"/>
          <w:sz w:val="20"/>
          <w:szCs w:val="20"/>
        </w:rPr>
        <w:t>, vocational education</w:t>
      </w:r>
      <w:r w:rsidR="00FE78DE">
        <w:rPr>
          <w:rFonts w:ascii="Century Gothic" w:hAnsi="Century Gothic"/>
          <w:sz w:val="20"/>
          <w:szCs w:val="20"/>
        </w:rPr>
        <w:t xml:space="preserve"> and training</w:t>
      </w:r>
      <w:r w:rsidR="00FE78DE" w:rsidRPr="00730C0D">
        <w:rPr>
          <w:rFonts w:ascii="Century Gothic" w:hAnsi="Century Gothic"/>
          <w:sz w:val="20"/>
          <w:szCs w:val="20"/>
        </w:rPr>
        <w:t xml:space="preserve">, from selected systems around the world. </w:t>
      </w:r>
      <w:r>
        <w:rPr>
          <w:rFonts w:ascii="Century Gothic" w:hAnsi="Century Gothic"/>
          <w:sz w:val="20"/>
          <w:szCs w:val="20"/>
        </w:rPr>
        <w:t xml:space="preserve">While every effort has been made to ensure the information is accurate, it </w:t>
      </w:r>
      <w:r w:rsidR="007D3B5F">
        <w:rPr>
          <w:rFonts w:ascii="Century Gothic" w:hAnsi="Century Gothic"/>
          <w:sz w:val="20"/>
          <w:szCs w:val="20"/>
        </w:rPr>
        <w:t xml:space="preserve">is based on </w:t>
      </w:r>
      <w:r w:rsidR="00F041DB">
        <w:rPr>
          <w:rFonts w:ascii="Century Gothic" w:hAnsi="Century Gothic"/>
          <w:sz w:val="20"/>
          <w:szCs w:val="20"/>
        </w:rPr>
        <w:t xml:space="preserve">available </w:t>
      </w:r>
      <w:r>
        <w:rPr>
          <w:rFonts w:ascii="Century Gothic" w:hAnsi="Century Gothic"/>
          <w:sz w:val="20"/>
          <w:szCs w:val="20"/>
        </w:rPr>
        <w:t xml:space="preserve">sources </w:t>
      </w:r>
      <w:r w:rsidR="007D3B5F">
        <w:rPr>
          <w:rFonts w:ascii="Century Gothic" w:hAnsi="Century Gothic"/>
          <w:sz w:val="20"/>
          <w:szCs w:val="20"/>
        </w:rPr>
        <w:t>as at September 2019</w:t>
      </w:r>
      <w:r>
        <w:rPr>
          <w:rFonts w:ascii="Century Gothic" w:hAnsi="Century Gothic"/>
          <w:sz w:val="20"/>
          <w:szCs w:val="20"/>
        </w:rPr>
        <w:t xml:space="preserve">. </w:t>
      </w:r>
    </w:p>
    <w:p w14:paraId="0C449971" w14:textId="77777777" w:rsidR="00FE78DE" w:rsidRPr="00730C0D" w:rsidRDefault="00FE78DE" w:rsidP="00FE78DE">
      <w:pPr>
        <w:spacing w:before="0" w:after="0"/>
        <w:rPr>
          <w:rFonts w:ascii="Century Gothic" w:hAnsi="Century Gothic"/>
          <w:sz w:val="20"/>
          <w:szCs w:val="20"/>
        </w:rPr>
      </w:pPr>
    </w:p>
    <w:tbl>
      <w:tblPr>
        <w:tblStyle w:val="TableGrid"/>
        <w:tblW w:w="10348" w:type="dxa"/>
        <w:tblInd w:w="-714" w:type="dxa"/>
        <w:tblLayout w:type="fixed"/>
        <w:tblLook w:val="04A0" w:firstRow="1" w:lastRow="0" w:firstColumn="1" w:lastColumn="0" w:noHBand="0" w:noVBand="1"/>
      </w:tblPr>
      <w:tblGrid>
        <w:gridCol w:w="2694"/>
        <w:gridCol w:w="7654"/>
      </w:tblGrid>
      <w:tr w:rsidR="00FE78DE" w:rsidRPr="00730C0D" w14:paraId="0FA95B54" w14:textId="77777777" w:rsidTr="004E07AE">
        <w:trPr>
          <w:cnfStyle w:val="100000000000" w:firstRow="1" w:lastRow="0" w:firstColumn="0" w:lastColumn="0" w:oddVBand="0" w:evenVBand="0" w:oddHBand="0" w:evenHBand="0" w:firstRowFirstColumn="0" w:firstRowLastColumn="0" w:lastRowFirstColumn="0" w:lastRowLastColumn="0"/>
          <w:tblHeader/>
        </w:trPr>
        <w:tc>
          <w:tcPr>
            <w:tcW w:w="2694" w:type="dxa"/>
            <w:vAlign w:val="top"/>
          </w:tcPr>
          <w:p w14:paraId="3EBF3CB2"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Country Overview</w:t>
            </w:r>
          </w:p>
        </w:tc>
        <w:tc>
          <w:tcPr>
            <w:tcW w:w="7654" w:type="dxa"/>
            <w:vAlign w:val="top"/>
          </w:tcPr>
          <w:p w14:paraId="49885ECB"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Higher Education Provider Descriptions</w:t>
            </w:r>
          </w:p>
        </w:tc>
      </w:tr>
      <w:tr w:rsidR="00FE78DE" w:rsidRPr="00730C0D" w14:paraId="6F82015F" w14:textId="77777777" w:rsidTr="004E07AE">
        <w:tc>
          <w:tcPr>
            <w:tcW w:w="10348" w:type="dxa"/>
            <w:gridSpan w:val="2"/>
            <w:shd w:val="clear" w:color="auto" w:fill="DEEAF6" w:themeFill="accent1" w:themeFillTint="33"/>
            <w:vAlign w:val="top"/>
          </w:tcPr>
          <w:p w14:paraId="6F21673A"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Brazil</w:t>
            </w:r>
          </w:p>
        </w:tc>
      </w:tr>
      <w:tr w:rsidR="00FE78DE" w:rsidRPr="00730C0D" w14:paraId="48A3EC47" w14:textId="77777777" w:rsidTr="004E07AE">
        <w:tc>
          <w:tcPr>
            <w:tcW w:w="2694" w:type="dxa"/>
            <w:vAlign w:val="top"/>
          </w:tcPr>
          <w:p w14:paraId="697B8987" w14:textId="6BD6D015" w:rsidR="00FE78DE" w:rsidRPr="00730C0D" w:rsidRDefault="00D55849" w:rsidP="00D55849">
            <w:pPr>
              <w:spacing w:before="0" w:after="0" w:line="259" w:lineRule="auto"/>
              <w:rPr>
                <w:rFonts w:ascii="Century Gothic" w:eastAsiaTheme="majorEastAsia" w:hAnsi="Century Gothic" w:cstheme="minorHAnsi"/>
                <w:sz w:val="20"/>
                <w:szCs w:val="20"/>
              </w:rPr>
            </w:pPr>
            <w:r>
              <w:rPr>
                <w:rFonts w:ascii="Century Gothic" w:hAnsi="Century Gothic" w:cstheme="minorHAnsi"/>
                <w:sz w:val="20"/>
                <w:szCs w:val="20"/>
              </w:rPr>
              <w:t xml:space="preserve">Three tertiary categories </w:t>
            </w:r>
            <w:r w:rsidR="00FE78DE" w:rsidRPr="00730C0D">
              <w:rPr>
                <w:rFonts w:ascii="Century Gothic" w:hAnsi="Century Gothic" w:cstheme="minorHAnsi"/>
                <w:sz w:val="20"/>
                <w:szCs w:val="20"/>
              </w:rPr>
              <w:t>regulated by the Ministry of Education.</w:t>
            </w:r>
          </w:p>
        </w:tc>
        <w:tc>
          <w:tcPr>
            <w:tcW w:w="7654" w:type="dxa"/>
            <w:vAlign w:val="top"/>
          </w:tcPr>
          <w:p w14:paraId="4357EF29" w14:textId="6A11EA26"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University:</w:t>
            </w:r>
            <w:r w:rsidRPr="00730C0D">
              <w:rPr>
                <w:rFonts w:ascii="Century Gothic" w:hAnsi="Century Gothic" w:cstheme="minorHAnsi"/>
                <w:sz w:val="20"/>
                <w:szCs w:val="20"/>
              </w:rPr>
              <w:t xml:space="preserve"> public (Federal, State or Municipal), private</w:t>
            </w:r>
            <w:r w:rsidR="00D55849">
              <w:rPr>
                <w:rFonts w:ascii="Century Gothic" w:hAnsi="Century Gothic" w:cstheme="minorHAnsi"/>
                <w:sz w:val="20"/>
                <w:szCs w:val="20"/>
              </w:rPr>
              <w:t>,</w:t>
            </w:r>
            <w:r w:rsidRPr="00730C0D">
              <w:rPr>
                <w:rFonts w:ascii="Century Gothic" w:hAnsi="Century Gothic" w:cstheme="minorHAnsi"/>
                <w:sz w:val="20"/>
                <w:szCs w:val="20"/>
              </w:rPr>
              <w:t xml:space="preserve"> or Catholic institutions that offer undergraduate and postgraduate qualifications, conduct research, carry out extension programs/community outreach</w:t>
            </w:r>
            <w:r w:rsidR="00D55849">
              <w:rPr>
                <w:rFonts w:ascii="Century Gothic" w:hAnsi="Century Gothic" w:cstheme="minorHAnsi"/>
                <w:sz w:val="20"/>
                <w:szCs w:val="20"/>
              </w:rPr>
              <w:t>,</w:t>
            </w:r>
            <w:r w:rsidRPr="00730C0D">
              <w:rPr>
                <w:rFonts w:ascii="Century Gothic" w:hAnsi="Century Gothic" w:cstheme="minorHAnsi"/>
                <w:sz w:val="20"/>
                <w:szCs w:val="20"/>
              </w:rPr>
              <w:t xml:space="preserve"> and are self-accrediting institutions. Such institutions</w:t>
            </w:r>
            <w:r w:rsidR="00A63F6F">
              <w:rPr>
                <w:rFonts w:ascii="Century Gothic" w:hAnsi="Century Gothic" w:cstheme="minorHAnsi"/>
                <w:sz w:val="20"/>
                <w:szCs w:val="20"/>
              </w:rPr>
              <w:t xml:space="preserve"> also</w:t>
            </w:r>
            <w:r w:rsidRPr="00730C0D">
              <w:rPr>
                <w:rFonts w:ascii="Century Gothic" w:hAnsi="Century Gothic" w:cstheme="minorHAnsi"/>
                <w:sz w:val="20"/>
                <w:szCs w:val="20"/>
              </w:rPr>
              <w:t xml:space="preserve"> include:</w:t>
            </w:r>
          </w:p>
          <w:p w14:paraId="1F7EE00C" w14:textId="7DCAE42E" w:rsidR="00FE78DE" w:rsidRPr="00730C0D" w:rsidRDefault="00FE78DE" w:rsidP="009564C5">
            <w:pPr>
              <w:pStyle w:val="ListParagraph"/>
              <w:numPr>
                <w:ilvl w:val="0"/>
                <w:numId w:val="63"/>
              </w:numPr>
              <w:spacing w:before="0" w:after="0"/>
              <w:ind w:left="425" w:right="-108" w:hanging="283"/>
              <w:rPr>
                <w:rFonts w:ascii="Century Gothic" w:hAnsi="Century Gothic" w:cstheme="minorHAnsi"/>
                <w:sz w:val="20"/>
                <w:szCs w:val="20"/>
              </w:rPr>
            </w:pPr>
            <w:r w:rsidRPr="009564C5">
              <w:rPr>
                <w:rFonts w:ascii="Century Gothic" w:hAnsi="Century Gothic" w:cstheme="minorHAnsi"/>
                <w:i/>
                <w:sz w:val="20"/>
                <w:szCs w:val="20"/>
              </w:rPr>
              <w:t>Private</w:t>
            </w:r>
            <w:r w:rsidRPr="00730C0D">
              <w:rPr>
                <w:rFonts w:ascii="Century Gothic" w:hAnsi="Century Gothic" w:cstheme="minorHAnsi"/>
                <w:bCs/>
                <w:i/>
                <w:sz w:val="20"/>
                <w:szCs w:val="20"/>
              </w:rPr>
              <w:t xml:space="preserve"> higher education institutions</w:t>
            </w:r>
            <w:r w:rsidRPr="00730C0D">
              <w:rPr>
                <w:rFonts w:ascii="Century Gothic" w:hAnsi="Century Gothic" w:cstheme="minorHAnsi"/>
                <w:bCs/>
                <w:sz w:val="20"/>
                <w:szCs w:val="20"/>
              </w:rPr>
              <w:t xml:space="preserve"> –</w:t>
            </w:r>
            <w:r w:rsidRPr="00730C0D">
              <w:rPr>
                <w:rFonts w:ascii="Century Gothic" w:hAnsi="Century Gothic" w:cstheme="minorHAnsi"/>
                <w:sz w:val="20"/>
                <w:szCs w:val="20"/>
              </w:rPr>
              <w:t xml:space="preserve"> may be community, denominational/religious, philanthropic</w:t>
            </w:r>
            <w:r w:rsidR="00D55849">
              <w:rPr>
                <w:rFonts w:ascii="Century Gothic" w:hAnsi="Century Gothic" w:cstheme="minorHAnsi"/>
                <w:sz w:val="20"/>
                <w:szCs w:val="20"/>
              </w:rPr>
              <w:t>,</w:t>
            </w:r>
            <w:r w:rsidRPr="00730C0D">
              <w:rPr>
                <w:rFonts w:ascii="Century Gothic" w:hAnsi="Century Gothic" w:cstheme="minorHAnsi"/>
                <w:sz w:val="20"/>
                <w:szCs w:val="20"/>
              </w:rPr>
              <w:t xml:space="preserve"> or for-profit;</w:t>
            </w:r>
          </w:p>
          <w:p w14:paraId="6165F244" w14:textId="326FA90C" w:rsidR="00FE78DE" w:rsidRPr="00730C0D" w:rsidRDefault="00FE78DE" w:rsidP="009564C5">
            <w:pPr>
              <w:pStyle w:val="ListParagraph"/>
              <w:numPr>
                <w:ilvl w:val="0"/>
                <w:numId w:val="63"/>
              </w:numPr>
              <w:spacing w:before="0" w:after="0"/>
              <w:ind w:left="425" w:right="-108" w:hanging="283"/>
              <w:rPr>
                <w:rFonts w:ascii="Century Gothic" w:hAnsi="Century Gothic" w:cstheme="minorHAnsi"/>
                <w:sz w:val="20"/>
                <w:szCs w:val="20"/>
              </w:rPr>
            </w:pPr>
            <w:r w:rsidRPr="009564C5">
              <w:rPr>
                <w:rFonts w:ascii="Century Gothic" w:hAnsi="Century Gothic" w:cstheme="minorHAnsi"/>
                <w:i/>
                <w:sz w:val="20"/>
                <w:szCs w:val="20"/>
              </w:rPr>
              <w:t>Federal</w:t>
            </w:r>
            <w:r w:rsidRPr="00730C0D">
              <w:rPr>
                <w:rFonts w:ascii="Century Gothic" w:hAnsi="Century Gothic" w:cstheme="minorHAnsi"/>
                <w:bCs/>
                <w:i/>
                <w:sz w:val="20"/>
                <w:szCs w:val="20"/>
              </w:rPr>
              <w:t xml:space="preserve"> Institutes of Professional Education, Science and Technology</w:t>
            </w:r>
            <w:r w:rsidRPr="00730C0D">
              <w:rPr>
                <w:rFonts w:ascii="Century Gothic" w:hAnsi="Century Gothic" w:cstheme="minorHAnsi"/>
                <w:sz w:val="20"/>
                <w:szCs w:val="20"/>
              </w:rPr>
              <w:t xml:space="preserve"> – public institutions that provide technological/vocational education programs and offer both sub-degree and undergraduate qualifications. Federal Institutes are equivalent to Federal Universities for the purposes of regulation, supervision</w:t>
            </w:r>
            <w:r w:rsidR="00D55849">
              <w:rPr>
                <w:rFonts w:ascii="Century Gothic" w:hAnsi="Century Gothic" w:cstheme="minorHAnsi"/>
                <w:sz w:val="20"/>
                <w:szCs w:val="20"/>
              </w:rPr>
              <w:t>,</w:t>
            </w:r>
            <w:r w:rsidRPr="00730C0D">
              <w:rPr>
                <w:rFonts w:ascii="Century Gothic" w:hAnsi="Century Gothic" w:cstheme="minorHAnsi"/>
                <w:sz w:val="20"/>
                <w:szCs w:val="20"/>
              </w:rPr>
              <w:t xml:space="preserve"> and evaluation.</w:t>
            </w:r>
          </w:p>
          <w:p w14:paraId="1F0C069A" w14:textId="77777777"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sz w:val="20"/>
                <w:szCs w:val="20"/>
              </w:rPr>
              <w:t xml:space="preserve"> </w:t>
            </w:r>
          </w:p>
          <w:p w14:paraId="2B660B01" w14:textId="618D2EEA"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University Centre:</w:t>
            </w:r>
            <w:r w:rsidRPr="00730C0D">
              <w:rPr>
                <w:rFonts w:ascii="Century Gothic" w:hAnsi="Century Gothic" w:cstheme="minorHAnsi"/>
                <w:sz w:val="20"/>
                <w:szCs w:val="20"/>
              </w:rPr>
              <w:t xml:space="preserve"> private university level, multi-course teaching institutions that do not have to undertake research</w:t>
            </w:r>
            <w:r w:rsidR="00D55849">
              <w:rPr>
                <w:rFonts w:ascii="Century Gothic" w:hAnsi="Century Gothic" w:cstheme="minorHAnsi"/>
                <w:sz w:val="20"/>
                <w:szCs w:val="20"/>
              </w:rPr>
              <w:t xml:space="preserve"> </w:t>
            </w:r>
            <w:r w:rsidR="00D55849" w:rsidRPr="00730C0D">
              <w:rPr>
                <w:rFonts w:ascii="Century Gothic" w:hAnsi="Century Gothic" w:cstheme="minorHAnsi"/>
                <w:sz w:val="20"/>
                <w:szCs w:val="20"/>
              </w:rPr>
              <w:t>and a</w:t>
            </w:r>
            <w:r w:rsidR="00D55849">
              <w:rPr>
                <w:rFonts w:ascii="Century Gothic" w:hAnsi="Century Gothic" w:cstheme="minorHAnsi"/>
                <w:sz w:val="20"/>
                <w:szCs w:val="20"/>
              </w:rPr>
              <w:t>re self-accrediting</w:t>
            </w:r>
            <w:r w:rsidRPr="00730C0D">
              <w:rPr>
                <w:rFonts w:ascii="Century Gothic" w:hAnsi="Century Gothic" w:cstheme="minorHAnsi"/>
                <w:sz w:val="20"/>
                <w:szCs w:val="20"/>
              </w:rPr>
              <w:t xml:space="preserve">. They focus on undergraduate education, though some </w:t>
            </w:r>
            <w:r w:rsidR="00D55849">
              <w:rPr>
                <w:rFonts w:ascii="Century Gothic" w:hAnsi="Century Gothic" w:cstheme="minorHAnsi"/>
                <w:sz w:val="20"/>
                <w:szCs w:val="20"/>
              </w:rPr>
              <w:t xml:space="preserve">University </w:t>
            </w:r>
            <w:r w:rsidRPr="00730C0D">
              <w:rPr>
                <w:rFonts w:ascii="Century Gothic" w:hAnsi="Century Gothic" w:cstheme="minorHAnsi"/>
                <w:sz w:val="20"/>
                <w:szCs w:val="20"/>
              </w:rPr>
              <w:t xml:space="preserve">Centres may offer </w:t>
            </w:r>
            <w:r w:rsidR="00D55849">
              <w:rPr>
                <w:rFonts w:ascii="Century Gothic" w:hAnsi="Century Gothic" w:cstheme="minorHAnsi"/>
                <w:sz w:val="20"/>
                <w:szCs w:val="20"/>
              </w:rPr>
              <w:br/>
            </w:r>
            <w:r w:rsidR="00C7114E">
              <w:rPr>
                <w:rFonts w:ascii="Century Gothic" w:hAnsi="Century Gothic" w:cstheme="minorHAnsi"/>
                <w:sz w:val="20"/>
                <w:szCs w:val="20"/>
              </w:rPr>
              <w:t>post</w:t>
            </w:r>
            <w:r w:rsidRPr="00730C0D">
              <w:rPr>
                <w:rFonts w:ascii="Century Gothic" w:hAnsi="Century Gothic" w:cstheme="minorHAnsi"/>
                <w:sz w:val="20"/>
                <w:szCs w:val="20"/>
              </w:rPr>
              <w:t>graduate courses at the Specialisation or Mast</w:t>
            </w:r>
            <w:r w:rsidR="00216DA3">
              <w:rPr>
                <w:rFonts w:ascii="Century Gothic" w:hAnsi="Century Gothic" w:cstheme="minorHAnsi"/>
                <w:sz w:val="20"/>
                <w:szCs w:val="20"/>
              </w:rPr>
              <w:t>er</w:t>
            </w:r>
            <w:r w:rsidRPr="00730C0D">
              <w:rPr>
                <w:rFonts w:ascii="Century Gothic" w:hAnsi="Century Gothic" w:cstheme="minorHAnsi"/>
                <w:sz w:val="20"/>
                <w:szCs w:val="20"/>
              </w:rPr>
              <w:t>s degree levels.</w:t>
            </w:r>
          </w:p>
          <w:p w14:paraId="04C0DCAA" w14:textId="77777777" w:rsidR="00FE78DE" w:rsidRPr="00730C0D" w:rsidRDefault="00FE78DE" w:rsidP="00FE78DE">
            <w:pPr>
              <w:spacing w:before="0" w:after="0" w:line="259" w:lineRule="auto"/>
              <w:rPr>
                <w:rFonts w:ascii="Century Gothic" w:hAnsi="Century Gothic" w:cstheme="minorHAnsi"/>
                <w:sz w:val="20"/>
                <w:szCs w:val="20"/>
              </w:rPr>
            </w:pPr>
          </w:p>
          <w:p w14:paraId="75DE1B2E" w14:textId="76DFD361" w:rsidR="00FE78DE" w:rsidRPr="00730C0D" w:rsidRDefault="00FE78DE" w:rsidP="00FE78DE">
            <w:pPr>
              <w:spacing w:before="0" w:after="0"/>
              <w:rPr>
                <w:rFonts w:ascii="Century Gothic" w:hAnsi="Century Gothic" w:cstheme="minorHAnsi"/>
                <w:sz w:val="20"/>
                <w:szCs w:val="20"/>
              </w:rPr>
            </w:pPr>
            <w:r w:rsidRPr="00730C0D">
              <w:rPr>
                <w:rFonts w:ascii="Century Gothic" w:hAnsi="Century Gothic" w:cstheme="minorHAnsi"/>
                <w:b/>
                <w:bCs/>
                <w:sz w:val="20"/>
                <w:szCs w:val="20"/>
              </w:rPr>
              <w:t>Faculties (</w:t>
            </w:r>
            <w:r w:rsidRPr="00730C0D">
              <w:rPr>
                <w:rFonts w:ascii="Century Gothic" w:hAnsi="Century Gothic" w:cstheme="minorHAnsi"/>
                <w:b/>
                <w:bCs/>
                <w:i/>
                <w:iCs/>
                <w:sz w:val="20"/>
                <w:szCs w:val="20"/>
              </w:rPr>
              <w:t>faculdades</w:t>
            </w:r>
            <w:r w:rsidRPr="00730C0D">
              <w:rPr>
                <w:rFonts w:ascii="Century Gothic" w:hAnsi="Century Gothic" w:cstheme="minorHAnsi"/>
                <w:b/>
                <w:bCs/>
                <w:sz w:val="20"/>
                <w:szCs w:val="20"/>
              </w:rPr>
              <w:t>):</w:t>
            </w:r>
            <w:r w:rsidRPr="00730C0D">
              <w:rPr>
                <w:rFonts w:ascii="Century Gothic" w:hAnsi="Century Gothic" w:cstheme="minorHAnsi"/>
                <w:b/>
                <w:sz w:val="20"/>
                <w:szCs w:val="20"/>
              </w:rPr>
              <w:t xml:space="preserve"> </w:t>
            </w:r>
            <w:r w:rsidRPr="00730C0D">
              <w:rPr>
                <w:rFonts w:ascii="Century Gothic" w:hAnsi="Century Gothic" w:cstheme="minorHAnsi"/>
                <w:sz w:val="20"/>
                <w:szCs w:val="20"/>
              </w:rPr>
              <w:t>smaller institutions</w:t>
            </w:r>
            <w:r w:rsidR="00D55849">
              <w:rPr>
                <w:rFonts w:ascii="Century Gothic" w:hAnsi="Century Gothic" w:cstheme="minorHAnsi"/>
                <w:sz w:val="20"/>
                <w:szCs w:val="20"/>
              </w:rPr>
              <w:t xml:space="preserve"> that often operate</w:t>
            </w:r>
            <w:r w:rsidRPr="00730C0D">
              <w:rPr>
                <w:rFonts w:ascii="Century Gothic" w:hAnsi="Century Gothic" w:cstheme="minorHAnsi"/>
                <w:sz w:val="20"/>
                <w:szCs w:val="20"/>
              </w:rPr>
              <w:t xml:space="preserve"> as</w:t>
            </w:r>
            <w:r w:rsidR="00D55849">
              <w:rPr>
                <w:rFonts w:ascii="Century Gothic" w:hAnsi="Century Gothic" w:cstheme="minorHAnsi"/>
                <w:sz w:val="20"/>
                <w:szCs w:val="20"/>
              </w:rPr>
              <w:t xml:space="preserve"> a</w:t>
            </w:r>
            <w:r w:rsidRPr="00730C0D">
              <w:rPr>
                <w:rFonts w:ascii="Century Gothic" w:hAnsi="Century Gothic" w:cstheme="minorHAnsi"/>
                <w:sz w:val="20"/>
                <w:szCs w:val="20"/>
              </w:rPr>
              <w:t xml:space="preserve"> consortia of independent education providers. They offer undergraduate and postgraduate qualifications and are non self-accrediting (i.e. are required to seek permission from the Ministry of Education to introduce new courses). Faculties generally have a smaller course offering and specialise in specific areas such as engineering, economics</w:t>
            </w:r>
            <w:r w:rsidR="00D55849">
              <w:rPr>
                <w:rFonts w:ascii="Century Gothic" w:hAnsi="Century Gothic" w:cstheme="minorHAnsi"/>
                <w:sz w:val="20"/>
                <w:szCs w:val="20"/>
              </w:rPr>
              <w:t>, or</w:t>
            </w:r>
            <w:r w:rsidR="00023BAF">
              <w:rPr>
                <w:rFonts w:ascii="Century Gothic" w:hAnsi="Century Gothic" w:cstheme="minorHAnsi"/>
                <w:sz w:val="20"/>
                <w:szCs w:val="20"/>
              </w:rPr>
              <w:t xml:space="preserve"> administration courses</w:t>
            </w:r>
            <w:r w:rsidRPr="00730C0D">
              <w:rPr>
                <w:rFonts w:ascii="Century Gothic" w:hAnsi="Century Gothic" w:cstheme="minorHAnsi"/>
                <w:sz w:val="20"/>
                <w:szCs w:val="20"/>
              </w:rPr>
              <w:t xml:space="preserve">. </w:t>
            </w:r>
          </w:p>
          <w:p w14:paraId="64C5A11B" w14:textId="77777777" w:rsidR="00FE78DE" w:rsidRPr="00943927" w:rsidRDefault="00FE78DE" w:rsidP="00FE78DE">
            <w:pPr>
              <w:spacing w:before="0" w:after="0"/>
              <w:rPr>
                <w:rFonts w:ascii="Century Gothic" w:hAnsi="Century Gothic" w:cstheme="minorHAnsi"/>
                <w:sz w:val="8"/>
                <w:szCs w:val="8"/>
              </w:rPr>
            </w:pPr>
          </w:p>
          <w:p w14:paraId="03688629" w14:textId="77777777" w:rsidR="00A63F6F" w:rsidRDefault="00FE78DE" w:rsidP="00A63F6F">
            <w:pPr>
              <w:spacing w:before="0" w:after="0"/>
              <w:rPr>
                <w:rFonts w:ascii="Century Gothic" w:hAnsi="Century Gothic" w:cstheme="minorHAnsi"/>
                <w:sz w:val="13"/>
                <w:szCs w:val="13"/>
              </w:rPr>
            </w:pPr>
            <w:r w:rsidRPr="00A63F6F">
              <w:rPr>
                <w:rFonts w:ascii="Century Gothic" w:hAnsi="Century Gothic" w:cstheme="minorHAnsi"/>
                <w:sz w:val="13"/>
                <w:szCs w:val="13"/>
              </w:rPr>
              <w:t xml:space="preserve">Sources: </w:t>
            </w:r>
          </w:p>
          <w:p w14:paraId="56D08C79" w14:textId="3F38891A" w:rsidR="00610C0D" w:rsidRPr="00943927" w:rsidRDefault="00610C0D" w:rsidP="00D41D97">
            <w:pPr>
              <w:pStyle w:val="ListParagraph"/>
              <w:numPr>
                <w:ilvl w:val="0"/>
                <w:numId w:val="75"/>
              </w:numPr>
              <w:spacing w:before="0" w:after="0"/>
              <w:ind w:left="179" w:hanging="142"/>
              <w:rPr>
                <w:rFonts w:ascii="Century Gothic" w:hAnsi="Century Gothic" w:cstheme="minorHAnsi"/>
                <w:sz w:val="13"/>
                <w:szCs w:val="13"/>
              </w:rPr>
            </w:pPr>
            <w:r w:rsidRPr="00A63F6F">
              <w:rPr>
                <w:rFonts w:ascii="Century Gothic" w:hAnsi="Century Gothic" w:cstheme="minorHAnsi"/>
                <w:sz w:val="13"/>
                <w:szCs w:val="13"/>
              </w:rPr>
              <w:t xml:space="preserve">e-MEC. (2019). </w:t>
            </w:r>
            <w:r w:rsidRPr="00A63F6F">
              <w:rPr>
                <w:rFonts w:ascii="Century Gothic" w:hAnsi="Century Gothic" w:cstheme="minorHAnsi"/>
                <w:bCs/>
                <w:i/>
                <w:sz w:val="13"/>
                <w:szCs w:val="13"/>
              </w:rPr>
              <w:t>Cadastro Nacional de Cursos e Instituições de Educação Superior</w:t>
            </w:r>
            <w:r w:rsidRPr="00A63F6F">
              <w:rPr>
                <w:rFonts w:ascii="Century Gothic" w:hAnsi="Century Gothic" w:cstheme="minorHAnsi"/>
                <w:b/>
                <w:bCs/>
                <w:sz w:val="13"/>
                <w:szCs w:val="13"/>
              </w:rPr>
              <w:t xml:space="preserve">. </w:t>
            </w:r>
            <w:r w:rsidRPr="00A63F6F">
              <w:rPr>
                <w:rFonts w:ascii="Century Gothic" w:hAnsi="Century Gothic" w:cstheme="minorHAnsi"/>
                <w:b/>
                <w:bCs/>
                <w:sz w:val="13"/>
                <w:szCs w:val="13"/>
              </w:rPr>
              <w:br/>
            </w:r>
            <w:r w:rsidRPr="00A63F6F">
              <w:rPr>
                <w:rFonts w:ascii="Century Gothic" w:hAnsi="Century Gothic" w:cstheme="minorHAnsi"/>
                <w:bCs/>
                <w:sz w:val="13"/>
                <w:szCs w:val="13"/>
              </w:rPr>
              <w:t>Retrieved from:</w:t>
            </w:r>
            <w:r w:rsidRPr="00A63F6F">
              <w:rPr>
                <w:rFonts w:ascii="Century Gothic" w:hAnsi="Century Gothic" w:cstheme="minorHAnsi"/>
                <w:b/>
                <w:bCs/>
                <w:sz w:val="13"/>
                <w:szCs w:val="13"/>
              </w:rPr>
              <w:t xml:space="preserve"> </w:t>
            </w:r>
            <w:hyperlink r:id="rId44" w:history="1">
              <w:r w:rsidRPr="00A63F6F">
                <w:rPr>
                  <w:rStyle w:val="Hyperlink"/>
                  <w:rFonts w:ascii="Century Gothic" w:hAnsi="Century Gothic" w:cstheme="minorHAnsi"/>
                  <w:bCs/>
                  <w:sz w:val="13"/>
                  <w:szCs w:val="13"/>
                </w:rPr>
                <w:t>http://emec.mec.gov.br/</w:t>
              </w:r>
            </w:hyperlink>
            <w:r>
              <w:rPr>
                <w:rFonts w:ascii="Century Gothic" w:hAnsi="Century Gothic" w:cstheme="minorHAnsi"/>
                <w:bCs/>
                <w:sz w:val="13"/>
                <w:szCs w:val="13"/>
              </w:rPr>
              <w:t>;</w:t>
            </w:r>
            <w:r w:rsidRPr="00A63F6F">
              <w:rPr>
                <w:rFonts w:ascii="Century Gothic" w:hAnsi="Century Gothic" w:cstheme="minorHAnsi"/>
                <w:b/>
                <w:bCs/>
                <w:sz w:val="13"/>
                <w:szCs w:val="13"/>
              </w:rPr>
              <w:t xml:space="preserve"> </w:t>
            </w:r>
          </w:p>
          <w:p w14:paraId="19A9EC67" w14:textId="77777777" w:rsidR="00610C0D" w:rsidRDefault="00610C0D" w:rsidP="00A63F6F">
            <w:pPr>
              <w:pStyle w:val="ListParagraph"/>
              <w:numPr>
                <w:ilvl w:val="0"/>
                <w:numId w:val="75"/>
              </w:numPr>
              <w:spacing w:before="0" w:after="0"/>
              <w:ind w:left="179" w:hanging="142"/>
              <w:rPr>
                <w:rFonts w:ascii="Century Gothic" w:hAnsi="Century Gothic" w:cstheme="minorHAnsi"/>
                <w:sz w:val="13"/>
                <w:szCs w:val="13"/>
              </w:rPr>
            </w:pPr>
            <w:r w:rsidRPr="00A63F6F">
              <w:rPr>
                <w:rFonts w:ascii="Century Gothic" w:hAnsi="Century Gothic" w:cstheme="minorHAnsi"/>
                <w:sz w:val="13"/>
                <w:szCs w:val="13"/>
                <w:lang w:val="pt-BR"/>
              </w:rPr>
              <w:t>Ministério</w:t>
            </w:r>
            <w:r w:rsidRPr="00A63F6F">
              <w:rPr>
                <w:rFonts w:ascii="Century Gothic" w:hAnsi="Century Gothic" w:cstheme="minorHAnsi"/>
                <w:sz w:val="13"/>
                <w:szCs w:val="13"/>
              </w:rPr>
              <w:t xml:space="preserve"> da Educa</w:t>
            </w:r>
            <w:r w:rsidRPr="00A63F6F">
              <w:rPr>
                <w:rFonts w:ascii="Century Gothic" w:hAnsi="Century Gothic" w:cstheme="minorHAnsi"/>
                <w:sz w:val="13"/>
                <w:szCs w:val="13"/>
                <w:lang w:val="pt-BR"/>
              </w:rPr>
              <w:t>çã</w:t>
            </w:r>
            <w:r w:rsidRPr="00A63F6F">
              <w:rPr>
                <w:rFonts w:ascii="Century Gothic" w:hAnsi="Century Gothic" w:cstheme="minorHAnsi"/>
                <w:sz w:val="13"/>
                <w:szCs w:val="13"/>
              </w:rPr>
              <w:t xml:space="preserve">o. (2017). </w:t>
            </w:r>
            <w:r w:rsidRPr="00A63F6F">
              <w:rPr>
                <w:rFonts w:ascii="Century Gothic" w:hAnsi="Century Gothic" w:cstheme="minorHAnsi"/>
                <w:i/>
                <w:sz w:val="13"/>
                <w:szCs w:val="13"/>
              </w:rPr>
              <w:t>Brazilian Higher Education System - Presidential Decree</w:t>
            </w:r>
            <w:r w:rsidRPr="00A63F6F">
              <w:rPr>
                <w:rFonts w:ascii="Century Gothic" w:hAnsi="Century Gothic" w:cstheme="minorHAnsi"/>
                <w:sz w:val="13"/>
                <w:szCs w:val="13"/>
              </w:rPr>
              <w:t xml:space="preserve">. </w:t>
            </w:r>
            <w:r w:rsidRPr="00A63F6F">
              <w:rPr>
                <w:rFonts w:ascii="Century Gothic" w:hAnsi="Century Gothic" w:cstheme="minorHAnsi"/>
                <w:sz w:val="13"/>
                <w:szCs w:val="13"/>
              </w:rPr>
              <w:br/>
              <w:t xml:space="preserve">Retrieved from: </w:t>
            </w:r>
            <w:hyperlink r:id="rId45" w:history="1">
              <w:r w:rsidRPr="00A63F6F">
                <w:rPr>
                  <w:rStyle w:val="Hyperlink"/>
                  <w:rFonts w:ascii="Century Gothic" w:hAnsi="Century Gothic" w:cstheme="minorHAnsi"/>
                  <w:sz w:val="13"/>
                  <w:szCs w:val="13"/>
                </w:rPr>
                <w:t>http://www.planalto.gov.br/ccivil_03/_Ato2015-2018/2017/Decreto/D9235.htm</w:t>
              </w:r>
            </w:hyperlink>
            <w:r w:rsidRPr="00A63F6F">
              <w:rPr>
                <w:rFonts w:ascii="Century Gothic" w:hAnsi="Century Gothic" w:cstheme="minorHAnsi"/>
                <w:sz w:val="13"/>
                <w:szCs w:val="13"/>
              </w:rPr>
              <w:t xml:space="preserve">; </w:t>
            </w:r>
            <w:r>
              <w:rPr>
                <w:rFonts w:ascii="Century Gothic" w:hAnsi="Century Gothic" w:cstheme="minorHAnsi"/>
                <w:sz w:val="13"/>
                <w:szCs w:val="13"/>
              </w:rPr>
              <w:t>and</w:t>
            </w:r>
          </w:p>
          <w:p w14:paraId="26DEFB38" w14:textId="67ABAC77" w:rsidR="00610C0D" w:rsidRDefault="00610C0D" w:rsidP="00A63F6F">
            <w:pPr>
              <w:pStyle w:val="ListParagraph"/>
              <w:numPr>
                <w:ilvl w:val="0"/>
                <w:numId w:val="75"/>
              </w:numPr>
              <w:spacing w:before="0" w:after="0"/>
              <w:ind w:left="179" w:hanging="142"/>
              <w:rPr>
                <w:rFonts w:ascii="Century Gothic" w:hAnsi="Century Gothic" w:cstheme="minorHAnsi"/>
                <w:sz w:val="13"/>
                <w:szCs w:val="13"/>
              </w:rPr>
            </w:pPr>
            <w:r w:rsidRPr="00A63F6F">
              <w:rPr>
                <w:rFonts w:ascii="Century Gothic" w:hAnsi="Century Gothic" w:cstheme="minorHAnsi"/>
                <w:sz w:val="13"/>
                <w:szCs w:val="13"/>
              </w:rPr>
              <w:t>Minist</w:t>
            </w:r>
            <w:r w:rsidRPr="00A63F6F">
              <w:rPr>
                <w:rFonts w:ascii="Century Gothic" w:hAnsi="Century Gothic" w:cstheme="minorHAnsi"/>
                <w:sz w:val="13"/>
                <w:szCs w:val="13"/>
                <w:lang w:val="pt-BR"/>
              </w:rPr>
              <w:t>é</w:t>
            </w:r>
            <w:r w:rsidRPr="00A63F6F">
              <w:rPr>
                <w:rFonts w:ascii="Century Gothic" w:hAnsi="Century Gothic" w:cstheme="minorHAnsi"/>
                <w:sz w:val="13"/>
                <w:szCs w:val="13"/>
              </w:rPr>
              <w:t>rio da Educa</w:t>
            </w:r>
            <w:r w:rsidRPr="00A63F6F">
              <w:rPr>
                <w:rFonts w:ascii="Century Gothic" w:hAnsi="Century Gothic" w:cstheme="minorHAnsi"/>
                <w:sz w:val="13"/>
                <w:szCs w:val="13"/>
                <w:lang w:val="pt-BR"/>
              </w:rPr>
              <w:t>çã</w:t>
            </w:r>
            <w:r w:rsidRPr="00A63F6F">
              <w:rPr>
                <w:rFonts w:ascii="Century Gothic" w:hAnsi="Century Gothic" w:cstheme="minorHAnsi"/>
                <w:sz w:val="13"/>
                <w:szCs w:val="13"/>
              </w:rPr>
              <w:t xml:space="preserve">o. (2018). </w:t>
            </w:r>
            <w:r w:rsidRPr="00A63F6F">
              <w:rPr>
                <w:rFonts w:ascii="Century Gothic" w:hAnsi="Century Gothic" w:cstheme="minorHAnsi"/>
                <w:bCs/>
                <w:i/>
                <w:sz w:val="13"/>
                <w:szCs w:val="13"/>
                <w:lang w:val="pt-BR"/>
              </w:rPr>
              <w:t>Instituições Credenciadas</w:t>
            </w:r>
            <w:r w:rsidRPr="00A63F6F">
              <w:rPr>
                <w:rFonts w:ascii="Century Gothic" w:hAnsi="Century Gothic" w:cstheme="minorHAnsi"/>
                <w:bCs/>
                <w:sz w:val="13"/>
                <w:szCs w:val="13"/>
                <w:lang w:val="pt-BR"/>
              </w:rPr>
              <w:t xml:space="preserve">. Retrieved from: </w:t>
            </w:r>
            <w:r>
              <w:rPr>
                <w:rFonts w:ascii="Century Gothic" w:hAnsi="Century Gothic" w:cstheme="minorHAnsi"/>
                <w:bCs/>
                <w:sz w:val="13"/>
                <w:szCs w:val="13"/>
                <w:lang w:val="pt-BR"/>
              </w:rPr>
              <w:br/>
            </w:r>
            <w:hyperlink r:id="rId46" w:history="1">
              <w:r w:rsidRPr="00A63F6F">
                <w:rPr>
                  <w:rStyle w:val="Hyperlink"/>
                  <w:rFonts w:ascii="Century Gothic" w:hAnsi="Century Gothic" w:cstheme="minorHAnsi"/>
                  <w:bCs/>
                  <w:sz w:val="13"/>
                  <w:szCs w:val="13"/>
                  <w:lang w:val="pt-BR"/>
                </w:rPr>
                <w:t>http://portal.mec.gov.br/instituicoes-credenciadas-sp-1781541355</w:t>
              </w:r>
            </w:hyperlink>
            <w:r>
              <w:rPr>
                <w:rFonts w:ascii="Century Gothic" w:hAnsi="Century Gothic" w:cstheme="minorHAnsi"/>
                <w:bCs/>
                <w:sz w:val="13"/>
                <w:szCs w:val="13"/>
                <w:lang w:val="pt-BR"/>
              </w:rPr>
              <w:t>.</w:t>
            </w:r>
            <w:r w:rsidRPr="00A63F6F">
              <w:rPr>
                <w:rFonts w:ascii="Century Gothic" w:hAnsi="Century Gothic" w:cstheme="minorHAnsi"/>
                <w:bCs/>
                <w:sz w:val="13"/>
                <w:szCs w:val="13"/>
                <w:lang w:val="pt-BR"/>
              </w:rPr>
              <w:t xml:space="preserve"> </w:t>
            </w:r>
          </w:p>
          <w:p w14:paraId="4520024E" w14:textId="77777777" w:rsidR="000E10EB" w:rsidRDefault="000E10EB" w:rsidP="005A4870">
            <w:pPr>
              <w:spacing w:before="0" w:after="0"/>
            </w:pPr>
          </w:p>
          <w:p w14:paraId="196EBF0C" w14:textId="459375EE" w:rsidR="00A43D22" w:rsidRPr="00730C0D" w:rsidRDefault="00A43D22" w:rsidP="005A4870">
            <w:pPr>
              <w:spacing w:before="0" w:after="0"/>
            </w:pPr>
          </w:p>
        </w:tc>
      </w:tr>
      <w:tr w:rsidR="00FE78DE" w:rsidRPr="00730C0D" w14:paraId="0F4BC320" w14:textId="77777777" w:rsidTr="004E07AE">
        <w:tc>
          <w:tcPr>
            <w:tcW w:w="10348" w:type="dxa"/>
            <w:gridSpan w:val="2"/>
            <w:shd w:val="clear" w:color="auto" w:fill="DEEAF6" w:themeFill="accent1" w:themeFillTint="33"/>
            <w:vAlign w:val="top"/>
          </w:tcPr>
          <w:p w14:paraId="53AC2D1E"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 xml:space="preserve">Canada (Province of Ontario) </w:t>
            </w:r>
          </w:p>
        </w:tc>
      </w:tr>
      <w:tr w:rsidR="00FE78DE" w:rsidRPr="00730C0D" w14:paraId="262641C8" w14:textId="77777777" w:rsidTr="004E07AE">
        <w:trPr>
          <w:trHeight w:val="703"/>
        </w:trPr>
        <w:tc>
          <w:tcPr>
            <w:tcW w:w="2694" w:type="dxa"/>
            <w:vAlign w:val="top"/>
          </w:tcPr>
          <w:p w14:paraId="68895354" w14:textId="1DA0CEA8" w:rsidR="00FE78DE" w:rsidRPr="00730C0D" w:rsidRDefault="00FE78DE" w:rsidP="00E37F47">
            <w:pPr>
              <w:spacing w:before="0" w:after="0" w:line="259" w:lineRule="auto"/>
              <w:rPr>
                <w:rFonts w:ascii="Century Gothic" w:hAnsi="Century Gothic" w:cstheme="minorHAnsi"/>
                <w:sz w:val="20"/>
                <w:szCs w:val="20"/>
              </w:rPr>
            </w:pPr>
            <w:r w:rsidRPr="00730C0D">
              <w:rPr>
                <w:rFonts w:ascii="Century Gothic" w:hAnsi="Century Gothic" w:cstheme="minorHAnsi"/>
                <w:sz w:val="20"/>
                <w:szCs w:val="20"/>
              </w:rPr>
              <w:t>Arrangements are regulated b</w:t>
            </w:r>
            <w:r w:rsidR="00CF2E17">
              <w:rPr>
                <w:rFonts w:ascii="Century Gothic" w:hAnsi="Century Gothic" w:cstheme="minorHAnsi"/>
                <w:sz w:val="20"/>
                <w:szCs w:val="20"/>
              </w:rPr>
              <w:t xml:space="preserve">y provinces rather than by the </w:t>
            </w:r>
            <w:r w:rsidR="00D55849">
              <w:rPr>
                <w:rFonts w:ascii="Century Gothic" w:hAnsi="Century Gothic" w:cstheme="minorHAnsi"/>
                <w:sz w:val="20"/>
                <w:szCs w:val="20"/>
              </w:rPr>
              <w:t>G</w:t>
            </w:r>
            <w:r w:rsidRPr="00730C0D">
              <w:rPr>
                <w:rFonts w:ascii="Century Gothic" w:hAnsi="Century Gothic" w:cstheme="minorHAnsi"/>
                <w:sz w:val="20"/>
                <w:szCs w:val="20"/>
              </w:rPr>
              <w:t>overnment</w:t>
            </w:r>
            <w:r w:rsidR="00CF2E17">
              <w:rPr>
                <w:rFonts w:ascii="Century Gothic" w:hAnsi="Century Gothic" w:cstheme="minorHAnsi"/>
                <w:sz w:val="20"/>
                <w:szCs w:val="20"/>
              </w:rPr>
              <w:t xml:space="preserve"> of Canada</w:t>
            </w:r>
            <w:r w:rsidRPr="00730C0D">
              <w:rPr>
                <w:rFonts w:ascii="Century Gothic" w:hAnsi="Century Gothic" w:cstheme="minorHAnsi"/>
                <w:sz w:val="20"/>
                <w:szCs w:val="20"/>
              </w:rPr>
              <w:t xml:space="preserve">. In the case of Ontario, there are </w:t>
            </w:r>
            <w:r w:rsidR="005A4870" w:rsidRPr="00730C0D">
              <w:rPr>
                <w:rFonts w:ascii="Century Gothic" w:hAnsi="Century Gothic" w:cstheme="minorHAnsi"/>
                <w:sz w:val="20"/>
                <w:szCs w:val="20"/>
              </w:rPr>
              <w:t xml:space="preserve">Colleges and Universities </w:t>
            </w:r>
            <w:r w:rsidRPr="00730C0D">
              <w:rPr>
                <w:rFonts w:ascii="Century Gothic" w:hAnsi="Century Gothic" w:cstheme="minorHAnsi"/>
                <w:sz w:val="20"/>
                <w:szCs w:val="20"/>
              </w:rPr>
              <w:t>regula</w:t>
            </w:r>
            <w:r w:rsidR="005A4870">
              <w:rPr>
                <w:rFonts w:ascii="Century Gothic" w:hAnsi="Century Gothic" w:cstheme="minorHAnsi"/>
                <w:sz w:val="20"/>
                <w:szCs w:val="20"/>
              </w:rPr>
              <w:t>ted by the Ministry of Training</w:t>
            </w:r>
            <w:r w:rsidRPr="00730C0D">
              <w:rPr>
                <w:rFonts w:ascii="Century Gothic" w:hAnsi="Century Gothic" w:cstheme="minorHAnsi"/>
                <w:sz w:val="20"/>
                <w:szCs w:val="20"/>
              </w:rPr>
              <w:t>.</w:t>
            </w:r>
          </w:p>
        </w:tc>
        <w:tc>
          <w:tcPr>
            <w:tcW w:w="7654" w:type="dxa"/>
          </w:tcPr>
          <w:p w14:paraId="774E99E6" w14:textId="16447BEB"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University:</w:t>
            </w:r>
            <w:r w:rsidRPr="00730C0D">
              <w:rPr>
                <w:rFonts w:ascii="Century Gothic" w:hAnsi="Century Gothic" w:cstheme="minorHAnsi"/>
                <w:sz w:val="20"/>
                <w:szCs w:val="20"/>
              </w:rPr>
              <w:t xml:space="preserve"> </w:t>
            </w:r>
            <w:r w:rsidR="005E7B18">
              <w:rPr>
                <w:rFonts w:ascii="Century Gothic" w:hAnsi="Century Gothic" w:cstheme="minorHAnsi"/>
                <w:sz w:val="20"/>
                <w:szCs w:val="20"/>
              </w:rPr>
              <w:t xml:space="preserve">mostly </w:t>
            </w:r>
            <w:r w:rsidRPr="00730C0D">
              <w:rPr>
                <w:rFonts w:ascii="Century Gothic" w:hAnsi="Century Gothic" w:cstheme="minorHAnsi"/>
                <w:sz w:val="20"/>
                <w:szCs w:val="20"/>
              </w:rPr>
              <w:t>public</w:t>
            </w:r>
            <w:r w:rsidR="00C21E24">
              <w:rPr>
                <w:rFonts w:ascii="Century Gothic" w:hAnsi="Century Gothic" w:cstheme="minorHAnsi"/>
                <w:sz w:val="20"/>
                <w:szCs w:val="20"/>
              </w:rPr>
              <w:t>, autonomous,</w:t>
            </w:r>
            <w:r w:rsidRPr="00730C0D">
              <w:rPr>
                <w:rFonts w:ascii="Century Gothic" w:hAnsi="Century Gothic" w:cstheme="minorHAnsi"/>
                <w:sz w:val="20"/>
                <w:szCs w:val="20"/>
              </w:rPr>
              <w:t xml:space="preserve"> institutions that offer undergrad</w:t>
            </w:r>
            <w:r w:rsidR="00D55849">
              <w:rPr>
                <w:rFonts w:ascii="Century Gothic" w:hAnsi="Century Gothic" w:cstheme="minorHAnsi"/>
                <w:sz w:val="20"/>
                <w:szCs w:val="20"/>
              </w:rPr>
              <w:t xml:space="preserve">uate, </w:t>
            </w:r>
            <w:r w:rsidRPr="00730C0D">
              <w:rPr>
                <w:rFonts w:ascii="Century Gothic" w:hAnsi="Century Gothic" w:cstheme="minorHAnsi"/>
                <w:sz w:val="20"/>
                <w:szCs w:val="20"/>
              </w:rPr>
              <w:t>postgraduate</w:t>
            </w:r>
            <w:r w:rsidR="00D55849">
              <w:rPr>
                <w:rFonts w:ascii="Century Gothic" w:hAnsi="Century Gothic" w:cstheme="minorHAnsi"/>
                <w:sz w:val="20"/>
                <w:szCs w:val="20"/>
              </w:rPr>
              <w:t>,</w:t>
            </w:r>
            <w:r w:rsidRPr="00730C0D">
              <w:rPr>
                <w:rFonts w:ascii="Century Gothic" w:hAnsi="Century Gothic" w:cstheme="minorHAnsi"/>
                <w:sz w:val="20"/>
                <w:szCs w:val="20"/>
              </w:rPr>
              <w:t xml:space="preserve"> and other professional </w:t>
            </w:r>
            <w:r w:rsidR="00D55849">
              <w:rPr>
                <w:rFonts w:ascii="Century Gothic" w:hAnsi="Century Gothic" w:cstheme="minorHAnsi"/>
                <w:sz w:val="20"/>
                <w:szCs w:val="20"/>
              </w:rPr>
              <w:t>qualifications</w:t>
            </w:r>
            <w:r w:rsidR="00A63F6F">
              <w:rPr>
                <w:rFonts w:ascii="Century Gothic" w:hAnsi="Century Gothic" w:cstheme="minorHAnsi"/>
                <w:sz w:val="20"/>
                <w:szCs w:val="20"/>
              </w:rPr>
              <w:t>,</w:t>
            </w:r>
            <w:r w:rsidRPr="00730C0D">
              <w:rPr>
                <w:rFonts w:ascii="Century Gothic" w:hAnsi="Century Gothic" w:cstheme="minorHAnsi"/>
                <w:sz w:val="20"/>
                <w:szCs w:val="20"/>
              </w:rPr>
              <w:t xml:space="preserve"> have degree-granting authority</w:t>
            </w:r>
            <w:r w:rsidR="00C21E24">
              <w:rPr>
                <w:rFonts w:ascii="Century Gothic" w:hAnsi="Century Gothic" w:cstheme="minorHAnsi"/>
                <w:sz w:val="20"/>
                <w:szCs w:val="20"/>
              </w:rPr>
              <w:t>, and conduct scholarship and research</w:t>
            </w:r>
            <w:r w:rsidRPr="00730C0D">
              <w:rPr>
                <w:rFonts w:ascii="Century Gothic" w:hAnsi="Century Gothic" w:cstheme="minorHAnsi"/>
                <w:sz w:val="20"/>
                <w:szCs w:val="20"/>
              </w:rPr>
              <w:t xml:space="preserve">. </w:t>
            </w:r>
            <w:r w:rsidR="0063688E">
              <w:rPr>
                <w:rFonts w:ascii="Century Gothic" w:hAnsi="Century Gothic" w:cstheme="minorHAnsi"/>
                <w:sz w:val="20"/>
                <w:szCs w:val="20"/>
              </w:rPr>
              <w:t>The ‘university’ title is protected under federal regulation</w:t>
            </w:r>
            <w:r w:rsidRPr="00730C0D">
              <w:rPr>
                <w:rFonts w:ascii="Century Gothic" w:hAnsi="Century Gothic" w:cstheme="minorHAnsi"/>
                <w:sz w:val="20"/>
                <w:szCs w:val="20"/>
              </w:rPr>
              <w:t xml:space="preserve">. </w:t>
            </w:r>
          </w:p>
          <w:p w14:paraId="1D730B56" w14:textId="77777777" w:rsidR="00FE78DE" w:rsidRPr="00730C0D" w:rsidRDefault="00FE78DE" w:rsidP="00FE78DE">
            <w:pPr>
              <w:spacing w:before="0" w:after="0" w:line="259" w:lineRule="auto"/>
              <w:rPr>
                <w:rFonts w:ascii="Century Gothic" w:hAnsi="Century Gothic" w:cstheme="minorHAnsi"/>
                <w:sz w:val="20"/>
                <w:szCs w:val="20"/>
              </w:rPr>
            </w:pPr>
          </w:p>
          <w:p w14:paraId="6186A29B" w14:textId="22B45AFE"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Colleges</w:t>
            </w:r>
            <w:r w:rsidR="0063688E">
              <w:rPr>
                <w:rFonts w:ascii="Century Gothic" w:hAnsi="Century Gothic" w:cstheme="minorHAnsi"/>
                <w:b/>
                <w:sz w:val="20"/>
                <w:szCs w:val="20"/>
              </w:rPr>
              <w:t>:</w:t>
            </w:r>
            <w:r w:rsidRPr="00730C0D">
              <w:rPr>
                <w:rFonts w:ascii="Century Gothic" w:hAnsi="Century Gothic" w:cstheme="minorHAnsi"/>
                <w:b/>
                <w:sz w:val="20"/>
                <w:szCs w:val="20"/>
              </w:rPr>
              <w:t xml:space="preserve"> </w:t>
            </w:r>
            <w:r w:rsidR="0063688E" w:rsidRPr="0063688E">
              <w:rPr>
                <w:rFonts w:ascii="Century Gothic" w:hAnsi="Century Gothic" w:cstheme="minorHAnsi"/>
                <w:sz w:val="20"/>
                <w:szCs w:val="20"/>
              </w:rPr>
              <w:t>Colleges of Applied Arts and Technology (CAATs) and Institute</w:t>
            </w:r>
            <w:r w:rsidR="0063688E">
              <w:rPr>
                <w:rFonts w:ascii="Century Gothic" w:hAnsi="Century Gothic" w:cstheme="minorHAnsi"/>
                <w:sz w:val="20"/>
                <w:szCs w:val="20"/>
              </w:rPr>
              <w:t>s</w:t>
            </w:r>
            <w:r w:rsidR="0063688E" w:rsidRPr="0063688E">
              <w:rPr>
                <w:rFonts w:ascii="Century Gothic" w:hAnsi="Century Gothic" w:cstheme="minorHAnsi"/>
                <w:sz w:val="20"/>
                <w:szCs w:val="20"/>
              </w:rPr>
              <w:t xml:space="preserve"> of Technology and Advanced Learning collectively known as ‘colleges’ are public institutions </w:t>
            </w:r>
            <w:r w:rsidRPr="0063688E">
              <w:rPr>
                <w:rFonts w:ascii="Century Gothic" w:hAnsi="Century Gothic" w:cstheme="minorHAnsi"/>
                <w:sz w:val="20"/>
                <w:szCs w:val="20"/>
              </w:rPr>
              <w:t>that</w:t>
            </w:r>
            <w:r w:rsidRPr="00730C0D">
              <w:rPr>
                <w:rFonts w:ascii="Century Gothic" w:hAnsi="Century Gothic" w:cstheme="minorHAnsi"/>
                <w:sz w:val="20"/>
                <w:szCs w:val="20"/>
              </w:rPr>
              <w:t xml:space="preserve"> offer career-oriented </w:t>
            </w:r>
            <w:r w:rsidR="00A63F6F">
              <w:rPr>
                <w:rFonts w:ascii="Century Gothic" w:hAnsi="Century Gothic" w:cstheme="minorHAnsi"/>
                <w:sz w:val="20"/>
                <w:szCs w:val="20"/>
              </w:rPr>
              <w:t xml:space="preserve">sub-bachelor, </w:t>
            </w:r>
            <w:r w:rsidRPr="00730C0D">
              <w:rPr>
                <w:rFonts w:ascii="Century Gothic" w:hAnsi="Century Gothic" w:cstheme="minorHAnsi"/>
                <w:sz w:val="20"/>
                <w:szCs w:val="20"/>
              </w:rPr>
              <w:t>undergraduate</w:t>
            </w:r>
            <w:r w:rsidR="00A63F6F">
              <w:rPr>
                <w:rFonts w:ascii="Century Gothic" w:hAnsi="Century Gothic" w:cstheme="minorHAnsi"/>
                <w:sz w:val="20"/>
                <w:szCs w:val="20"/>
              </w:rPr>
              <w:t>, graduate certificate</w:t>
            </w:r>
            <w:r w:rsidR="00C21E24">
              <w:rPr>
                <w:rFonts w:ascii="Century Gothic" w:hAnsi="Century Gothic" w:cstheme="minorHAnsi"/>
                <w:sz w:val="20"/>
                <w:szCs w:val="20"/>
              </w:rPr>
              <w:t>,</w:t>
            </w:r>
            <w:r w:rsidR="001E2DCB">
              <w:rPr>
                <w:rFonts w:ascii="Century Gothic" w:hAnsi="Century Gothic" w:cstheme="minorHAnsi"/>
                <w:sz w:val="20"/>
                <w:szCs w:val="20"/>
              </w:rPr>
              <w:t xml:space="preserve"> and apprenticeship qualifications</w:t>
            </w:r>
            <w:r w:rsidRPr="00730C0D">
              <w:rPr>
                <w:rFonts w:ascii="Century Gothic" w:hAnsi="Century Gothic" w:cstheme="minorHAnsi"/>
                <w:sz w:val="20"/>
                <w:szCs w:val="20"/>
              </w:rPr>
              <w:t>.</w:t>
            </w:r>
          </w:p>
          <w:p w14:paraId="0518EF47" w14:textId="77777777" w:rsidR="00FE78DE" w:rsidRPr="00730C0D" w:rsidRDefault="00FE78DE" w:rsidP="00FE78DE">
            <w:pPr>
              <w:spacing w:before="0" w:after="0" w:line="259" w:lineRule="auto"/>
              <w:rPr>
                <w:rFonts w:ascii="Century Gothic" w:hAnsi="Century Gothic" w:cstheme="minorHAnsi"/>
                <w:sz w:val="20"/>
                <w:szCs w:val="20"/>
              </w:rPr>
            </w:pPr>
          </w:p>
          <w:p w14:paraId="28A0178A" w14:textId="77777777"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Private Career College:</w:t>
            </w:r>
            <w:r w:rsidRPr="00730C0D">
              <w:rPr>
                <w:rFonts w:ascii="Century Gothic" w:hAnsi="Century Gothic" w:cstheme="minorHAnsi"/>
                <w:sz w:val="20"/>
                <w:szCs w:val="20"/>
              </w:rPr>
              <w:t xml:space="preserve"> registered colleges that are independent businesses and not-for-profit institutions that are regulated by the Ontario government and have their programs approved by the Ministry of Training, Colleges and Universities. </w:t>
            </w:r>
          </w:p>
          <w:p w14:paraId="20B3CB12" w14:textId="77777777" w:rsidR="00FE78DE" w:rsidRPr="00943927" w:rsidRDefault="00FE78DE" w:rsidP="00FE78DE">
            <w:pPr>
              <w:spacing w:before="0" w:after="0" w:line="259" w:lineRule="auto"/>
              <w:rPr>
                <w:rFonts w:ascii="Century Gothic" w:hAnsi="Century Gothic" w:cstheme="minorHAnsi"/>
                <w:sz w:val="8"/>
                <w:szCs w:val="8"/>
              </w:rPr>
            </w:pPr>
          </w:p>
          <w:p w14:paraId="3B933D87" w14:textId="2A291EA8" w:rsidR="00A63F6F" w:rsidRPr="00A63F6F" w:rsidRDefault="00FE78DE" w:rsidP="00A63F6F">
            <w:pPr>
              <w:spacing w:before="0" w:after="0"/>
              <w:rPr>
                <w:rFonts w:ascii="Century Gothic" w:eastAsiaTheme="majorEastAsia" w:hAnsi="Century Gothic" w:cstheme="minorHAnsi"/>
                <w:sz w:val="13"/>
                <w:szCs w:val="13"/>
              </w:rPr>
            </w:pPr>
            <w:r w:rsidRPr="00A63F6F">
              <w:rPr>
                <w:rFonts w:ascii="Century Gothic" w:eastAsiaTheme="majorEastAsia" w:hAnsi="Century Gothic" w:cstheme="minorHAnsi"/>
                <w:sz w:val="13"/>
                <w:szCs w:val="13"/>
              </w:rPr>
              <w:t>Source</w:t>
            </w:r>
            <w:r w:rsidR="00A63F6F">
              <w:rPr>
                <w:rFonts w:ascii="Century Gothic" w:eastAsiaTheme="majorEastAsia" w:hAnsi="Century Gothic" w:cstheme="minorHAnsi"/>
                <w:sz w:val="13"/>
                <w:szCs w:val="13"/>
              </w:rPr>
              <w:t>s</w:t>
            </w:r>
            <w:r w:rsidRPr="00A63F6F">
              <w:rPr>
                <w:rFonts w:ascii="Century Gothic" w:eastAsiaTheme="majorEastAsia" w:hAnsi="Century Gothic" w:cstheme="minorHAnsi"/>
                <w:sz w:val="13"/>
                <w:szCs w:val="13"/>
              </w:rPr>
              <w:t xml:space="preserve">: </w:t>
            </w:r>
          </w:p>
          <w:p w14:paraId="090DDC2B" w14:textId="0466A71C" w:rsidR="00610C0D" w:rsidRPr="00A63F6F" w:rsidRDefault="00610C0D" w:rsidP="00C21E24">
            <w:pPr>
              <w:pStyle w:val="ListParagraph"/>
              <w:numPr>
                <w:ilvl w:val="0"/>
                <w:numId w:val="75"/>
              </w:numPr>
              <w:spacing w:before="0" w:after="0"/>
              <w:ind w:left="179" w:hanging="142"/>
              <w:rPr>
                <w:rFonts w:ascii="Century Gothic" w:eastAsiaTheme="majorEastAsia" w:hAnsi="Century Gothic" w:cstheme="minorHAnsi"/>
                <w:sz w:val="13"/>
                <w:szCs w:val="13"/>
              </w:rPr>
            </w:pPr>
            <w:r>
              <w:rPr>
                <w:rFonts w:ascii="Century Gothic" w:eastAsiaTheme="majorEastAsia" w:hAnsi="Century Gothic" w:cstheme="minorHAnsi"/>
                <w:sz w:val="13"/>
                <w:szCs w:val="13"/>
              </w:rPr>
              <w:t xml:space="preserve">Government of Canada. (2017). </w:t>
            </w:r>
            <w:r w:rsidRPr="00C21E24">
              <w:rPr>
                <w:rFonts w:ascii="Century Gothic" w:eastAsiaTheme="majorEastAsia" w:hAnsi="Century Gothic" w:cstheme="minorHAnsi"/>
                <w:i/>
                <w:sz w:val="13"/>
                <w:szCs w:val="13"/>
              </w:rPr>
              <w:t>4.3.2 Use of the term ‘university’</w:t>
            </w:r>
            <w:r>
              <w:rPr>
                <w:rFonts w:ascii="Century Gothic" w:eastAsiaTheme="majorEastAsia" w:hAnsi="Century Gothic" w:cstheme="minorHAnsi"/>
                <w:sz w:val="13"/>
                <w:szCs w:val="13"/>
              </w:rPr>
              <w:t xml:space="preserve">. Retrieved from: </w:t>
            </w:r>
            <w:r>
              <w:rPr>
                <w:rFonts w:ascii="Century Gothic" w:eastAsiaTheme="majorEastAsia" w:hAnsi="Century Gothic" w:cstheme="minorHAnsi"/>
                <w:sz w:val="13"/>
                <w:szCs w:val="13"/>
              </w:rPr>
              <w:br/>
            </w:r>
            <w:hyperlink r:id="rId47" w:anchor="p4.3.2" w:history="1">
              <w:r w:rsidRPr="008172A1">
                <w:rPr>
                  <w:rStyle w:val="Hyperlink"/>
                  <w:rFonts w:ascii="Century Gothic" w:eastAsiaTheme="majorEastAsia" w:hAnsi="Century Gothic" w:cstheme="minorHAnsi"/>
                  <w:sz w:val="13"/>
                  <w:szCs w:val="13"/>
                </w:rPr>
                <w:t>https://www.ic.gc.ca/eic/site/cd-dgc.nsf/eng/cs01287.html#p4.3.2</w:t>
              </w:r>
            </w:hyperlink>
            <w:r>
              <w:rPr>
                <w:rFonts w:ascii="Century Gothic" w:eastAsiaTheme="majorEastAsia" w:hAnsi="Century Gothic" w:cstheme="minorHAnsi"/>
                <w:sz w:val="13"/>
                <w:szCs w:val="13"/>
              </w:rPr>
              <w:t xml:space="preserve">; </w:t>
            </w:r>
          </w:p>
          <w:p w14:paraId="73C40914" w14:textId="77777777" w:rsidR="00610C0D" w:rsidRDefault="00610C0D" w:rsidP="001E2DCB">
            <w:pPr>
              <w:pStyle w:val="ListParagraph"/>
              <w:numPr>
                <w:ilvl w:val="0"/>
                <w:numId w:val="75"/>
              </w:numPr>
              <w:spacing w:before="0" w:after="0"/>
              <w:ind w:left="179" w:hanging="142"/>
              <w:rPr>
                <w:rFonts w:ascii="Century Gothic" w:eastAsiaTheme="majorEastAsia" w:hAnsi="Century Gothic" w:cstheme="minorHAnsi"/>
                <w:sz w:val="13"/>
                <w:szCs w:val="13"/>
              </w:rPr>
            </w:pPr>
            <w:r w:rsidRPr="001E2DCB">
              <w:rPr>
                <w:rFonts w:ascii="Century Gothic" w:eastAsiaTheme="majorEastAsia" w:hAnsi="Century Gothic" w:cstheme="minorHAnsi"/>
                <w:sz w:val="13"/>
                <w:szCs w:val="13"/>
              </w:rPr>
              <w:t>Ontario</w:t>
            </w:r>
            <w:r>
              <w:rPr>
                <w:rFonts w:ascii="Century Gothic" w:hAnsi="Century Gothic" w:cstheme="minorHAnsi"/>
                <w:sz w:val="13"/>
                <w:szCs w:val="13"/>
                <w:lang w:val="pt-BR"/>
              </w:rPr>
              <w:t xml:space="preserve"> College Application Service (OCAS). (2019). </w:t>
            </w:r>
            <w:r>
              <w:rPr>
                <w:rFonts w:ascii="Century Gothic" w:hAnsi="Century Gothic" w:cstheme="minorHAnsi"/>
                <w:i/>
                <w:sz w:val="13"/>
                <w:szCs w:val="13"/>
                <w:lang w:val="pt-BR"/>
              </w:rPr>
              <w:t>Types of Programs at Ontario Colleges</w:t>
            </w:r>
            <w:r>
              <w:rPr>
                <w:rFonts w:ascii="Century Gothic" w:hAnsi="Century Gothic" w:cstheme="minorHAnsi"/>
                <w:sz w:val="13"/>
                <w:szCs w:val="13"/>
                <w:lang w:val="pt-BR"/>
              </w:rPr>
              <w:t xml:space="preserve">. </w:t>
            </w:r>
            <w:r>
              <w:rPr>
                <w:rFonts w:ascii="Century Gothic" w:hAnsi="Century Gothic" w:cstheme="minorHAnsi"/>
                <w:sz w:val="13"/>
                <w:szCs w:val="13"/>
                <w:lang w:val="pt-BR"/>
              </w:rPr>
              <w:br/>
              <w:t xml:space="preserve">Retrieved from: </w:t>
            </w:r>
            <w:hyperlink r:id="rId48" w:history="1">
              <w:r w:rsidRPr="008172A1">
                <w:rPr>
                  <w:rStyle w:val="Hyperlink"/>
                  <w:rFonts w:ascii="Century Gothic" w:hAnsi="Century Gothic" w:cstheme="minorHAnsi"/>
                  <w:sz w:val="13"/>
                  <w:szCs w:val="13"/>
                  <w:lang w:val="pt-BR"/>
                </w:rPr>
                <w:t>https://www.ontariocolleges.ca/en/apply/program-types</w:t>
              </w:r>
            </w:hyperlink>
            <w:r>
              <w:rPr>
                <w:rFonts w:ascii="Century Gothic" w:hAnsi="Century Gothic" w:cstheme="minorHAnsi"/>
                <w:sz w:val="13"/>
                <w:szCs w:val="13"/>
                <w:lang w:val="pt-BR"/>
              </w:rPr>
              <w:t xml:space="preserve">; </w:t>
            </w:r>
          </w:p>
          <w:p w14:paraId="429D2B98" w14:textId="77777777" w:rsidR="00610C0D" w:rsidRDefault="00610C0D" w:rsidP="00A63F6F">
            <w:pPr>
              <w:pStyle w:val="ListParagraph"/>
              <w:numPr>
                <w:ilvl w:val="0"/>
                <w:numId w:val="75"/>
              </w:numPr>
              <w:spacing w:before="0" w:after="0"/>
              <w:ind w:left="179" w:hanging="142"/>
              <w:rPr>
                <w:rFonts w:ascii="Century Gothic" w:eastAsiaTheme="majorEastAsia" w:hAnsi="Century Gothic" w:cstheme="minorHAnsi"/>
                <w:sz w:val="13"/>
                <w:szCs w:val="13"/>
              </w:rPr>
            </w:pPr>
            <w:r w:rsidRPr="00A63F6F">
              <w:rPr>
                <w:rFonts w:ascii="Century Gothic" w:eastAsiaTheme="majorEastAsia" w:hAnsi="Century Gothic" w:cstheme="minorHAnsi"/>
                <w:sz w:val="13"/>
                <w:szCs w:val="13"/>
              </w:rPr>
              <w:t xml:space="preserve">Ontario Ministry of Training, Colleges and Universities. (2019). </w:t>
            </w:r>
            <w:r w:rsidRPr="00A63F6F">
              <w:rPr>
                <w:rFonts w:ascii="Century Gothic" w:eastAsiaTheme="majorEastAsia" w:hAnsi="Century Gothic" w:cstheme="minorHAnsi"/>
                <w:i/>
                <w:sz w:val="13"/>
                <w:szCs w:val="13"/>
              </w:rPr>
              <w:t>Private Career Colleges (PCC): Frequently Asked Questions for Students</w:t>
            </w:r>
            <w:r w:rsidRPr="00A63F6F">
              <w:rPr>
                <w:rFonts w:ascii="Century Gothic" w:eastAsiaTheme="majorEastAsia" w:hAnsi="Century Gothic" w:cstheme="minorHAnsi"/>
                <w:sz w:val="13"/>
                <w:szCs w:val="13"/>
              </w:rPr>
              <w:t xml:space="preserve">. Retrieved from: </w:t>
            </w:r>
            <w:hyperlink r:id="rId49" w:history="1">
              <w:r w:rsidRPr="00A63F6F">
                <w:rPr>
                  <w:rStyle w:val="Hyperlink"/>
                  <w:rFonts w:ascii="Century Gothic" w:hAnsi="Century Gothic" w:cstheme="minorHAnsi"/>
                  <w:sz w:val="13"/>
                  <w:szCs w:val="13"/>
                </w:rPr>
                <w:t>http://www.tcu.gov.on.ca/pepg/audiences/pcc/faq_pcc.html</w:t>
              </w:r>
            </w:hyperlink>
            <w:r>
              <w:rPr>
                <w:rFonts w:ascii="Century Gothic" w:eastAsiaTheme="majorEastAsia" w:hAnsi="Century Gothic" w:cstheme="minorHAnsi"/>
                <w:sz w:val="13"/>
                <w:szCs w:val="13"/>
              </w:rPr>
              <w:t>; and</w:t>
            </w:r>
            <w:r w:rsidRPr="00A63F6F">
              <w:rPr>
                <w:rFonts w:ascii="Century Gothic" w:eastAsiaTheme="majorEastAsia" w:hAnsi="Century Gothic" w:cstheme="minorHAnsi"/>
                <w:sz w:val="13"/>
                <w:szCs w:val="13"/>
              </w:rPr>
              <w:t xml:space="preserve"> </w:t>
            </w:r>
          </w:p>
          <w:p w14:paraId="1CACA442" w14:textId="2DFA0333" w:rsidR="00FE78DE" w:rsidRPr="00610C0D" w:rsidRDefault="00610C0D" w:rsidP="00FE78DE">
            <w:pPr>
              <w:pStyle w:val="ListParagraph"/>
              <w:numPr>
                <w:ilvl w:val="0"/>
                <w:numId w:val="75"/>
              </w:numPr>
              <w:spacing w:before="0" w:after="0"/>
              <w:ind w:left="179" w:hanging="142"/>
              <w:rPr>
                <w:rFonts w:ascii="Century Gothic" w:eastAsiaTheme="majorEastAsia" w:hAnsi="Century Gothic" w:cstheme="minorHAnsi"/>
                <w:sz w:val="13"/>
                <w:szCs w:val="13"/>
              </w:rPr>
            </w:pPr>
            <w:r>
              <w:rPr>
                <w:rFonts w:ascii="Century Gothic" w:hAnsi="Century Gothic" w:cstheme="minorHAnsi"/>
                <w:sz w:val="13"/>
                <w:szCs w:val="13"/>
                <w:lang w:val="pt-BR"/>
              </w:rPr>
              <w:t xml:space="preserve">Universities Canada. (n.d.) </w:t>
            </w:r>
            <w:r>
              <w:rPr>
                <w:rFonts w:ascii="Century Gothic" w:hAnsi="Century Gothic" w:cstheme="minorHAnsi"/>
                <w:i/>
                <w:sz w:val="13"/>
                <w:szCs w:val="13"/>
                <w:lang w:val="pt-BR"/>
              </w:rPr>
              <w:t>Membership Criteria</w:t>
            </w:r>
            <w:r>
              <w:rPr>
                <w:rFonts w:ascii="Century Gothic" w:hAnsi="Century Gothic" w:cstheme="minorHAnsi"/>
                <w:sz w:val="13"/>
                <w:szCs w:val="13"/>
                <w:lang w:val="pt-BR"/>
              </w:rPr>
              <w:t xml:space="preserve">. Retrieved from: </w:t>
            </w:r>
            <w:r>
              <w:rPr>
                <w:rFonts w:ascii="Century Gothic" w:hAnsi="Century Gothic" w:cstheme="minorHAnsi"/>
                <w:sz w:val="13"/>
                <w:szCs w:val="13"/>
                <w:lang w:val="pt-BR"/>
              </w:rPr>
              <w:br/>
            </w:r>
            <w:hyperlink r:id="rId50" w:history="1">
              <w:r w:rsidRPr="008172A1">
                <w:rPr>
                  <w:rStyle w:val="Hyperlink"/>
                  <w:rFonts w:ascii="Century Gothic" w:hAnsi="Century Gothic" w:cstheme="minorHAnsi"/>
                  <w:sz w:val="13"/>
                  <w:szCs w:val="13"/>
                  <w:lang w:val="pt-BR"/>
                </w:rPr>
                <w:t>https://www.univcan.ca/about-us/membership-and-governance/membership-criteria/</w:t>
              </w:r>
            </w:hyperlink>
            <w:r>
              <w:rPr>
                <w:rFonts w:ascii="Century Gothic" w:hAnsi="Century Gothic" w:cstheme="minorHAnsi"/>
                <w:sz w:val="13"/>
                <w:szCs w:val="13"/>
                <w:lang w:val="pt-BR"/>
              </w:rPr>
              <w:t xml:space="preserve">.  </w:t>
            </w:r>
          </w:p>
        </w:tc>
      </w:tr>
      <w:tr w:rsidR="00FE78DE" w:rsidRPr="00730C0D" w14:paraId="05649260" w14:textId="77777777" w:rsidTr="004E07AE">
        <w:tc>
          <w:tcPr>
            <w:tcW w:w="10348" w:type="dxa"/>
            <w:gridSpan w:val="2"/>
            <w:shd w:val="clear" w:color="auto" w:fill="DEEAF6" w:themeFill="accent1" w:themeFillTint="33"/>
            <w:vAlign w:val="top"/>
          </w:tcPr>
          <w:p w14:paraId="24B66C46"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Denmark</w:t>
            </w:r>
          </w:p>
        </w:tc>
      </w:tr>
      <w:tr w:rsidR="00FE78DE" w:rsidRPr="00730C0D" w14:paraId="122DA5FD" w14:textId="77777777" w:rsidTr="004E07AE">
        <w:tc>
          <w:tcPr>
            <w:tcW w:w="2694" w:type="dxa"/>
            <w:vAlign w:val="top"/>
          </w:tcPr>
          <w:p w14:paraId="7E501149" w14:textId="344A4FBF" w:rsidR="00FE78DE" w:rsidRPr="00730C0D" w:rsidRDefault="00FE78DE" w:rsidP="00361C98">
            <w:pPr>
              <w:spacing w:before="0" w:after="0" w:line="259" w:lineRule="auto"/>
              <w:rPr>
                <w:rFonts w:ascii="Century Gothic" w:hAnsi="Century Gothic" w:cstheme="minorHAnsi"/>
                <w:sz w:val="20"/>
                <w:szCs w:val="20"/>
              </w:rPr>
            </w:pPr>
            <w:r w:rsidRPr="00730C0D">
              <w:rPr>
                <w:rFonts w:ascii="Century Gothic" w:hAnsi="Century Gothic" w:cstheme="minorHAnsi"/>
                <w:sz w:val="20"/>
                <w:szCs w:val="20"/>
              </w:rPr>
              <w:t xml:space="preserve">Five higher education categories (two university and three </w:t>
            </w:r>
            <w:r w:rsidR="00361C98">
              <w:rPr>
                <w:rFonts w:ascii="Century Gothic" w:hAnsi="Century Gothic" w:cstheme="minorHAnsi"/>
                <w:sz w:val="20"/>
                <w:szCs w:val="20"/>
              </w:rPr>
              <w:t>other higher education providers</w:t>
            </w:r>
            <w:r w:rsidRPr="00730C0D">
              <w:rPr>
                <w:rFonts w:ascii="Century Gothic" w:hAnsi="Century Gothic" w:cstheme="minorHAnsi"/>
                <w:sz w:val="20"/>
                <w:szCs w:val="20"/>
              </w:rPr>
              <w:t>) mostly regulated by the Ministry of Higher Education and Science.</w:t>
            </w:r>
          </w:p>
        </w:tc>
        <w:tc>
          <w:tcPr>
            <w:tcW w:w="7654" w:type="dxa"/>
            <w:vAlign w:val="top"/>
          </w:tcPr>
          <w:p w14:paraId="60B4285C" w14:textId="77777777"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Universities: </w:t>
            </w:r>
            <w:r w:rsidRPr="00730C0D">
              <w:rPr>
                <w:rFonts w:ascii="Century Gothic" w:hAnsi="Century Gothic" w:cstheme="minorHAnsi"/>
                <w:sz w:val="20"/>
                <w:szCs w:val="20"/>
              </w:rPr>
              <w:t>public institutions that conduct research, offer research-based undergraduate and postgraduate qualifications, are autonomous and have community engagement expectations.</w:t>
            </w:r>
          </w:p>
          <w:p w14:paraId="7A7D4196" w14:textId="77777777" w:rsidR="00FE78DE" w:rsidRPr="00730C0D" w:rsidRDefault="00FE78DE" w:rsidP="00FE78DE">
            <w:pPr>
              <w:spacing w:before="0" w:after="0" w:line="259" w:lineRule="auto"/>
              <w:rPr>
                <w:rFonts w:ascii="Century Gothic" w:hAnsi="Century Gothic" w:cstheme="minorHAnsi"/>
                <w:sz w:val="20"/>
                <w:szCs w:val="20"/>
              </w:rPr>
            </w:pPr>
          </w:p>
          <w:p w14:paraId="324A1479" w14:textId="601B840D"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Institutions in Architecture and Art: </w:t>
            </w:r>
            <w:r w:rsidRPr="00730C0D">
              <w:rPr>
                <w:rFonts w:ascii="Century Gothic" w:hAnsi="Century Gothic" w:cstheme="minorHAnsi"/>
                <w:sz w:val="20"/>
                <w:szCs w:val="20"/>
              </w:rPr>
              <w:t xml:space="preserve">public university-level institutions that </w:t>
            </w:r>
            <w:r w:rsidR="00426127">
              <w:rPr>
                <w:rFonts w:ascii="Century Gothic" w:hAnsi="Century Gothic" w:cstheme="minorHAnsi"/>
                <w:sz w:val="20"/>
                <w:szCs w:val="20"/>
              </w:rPr>
              <w:br/>
            </w:r>
            <w:r w:rsidRPr="00730C0D">
              <w:rPr>
                <w:rFonts w:ascii="Century Gothic" w:hAnsi="Century Gothic" w:cstheme="minorHAnsi"/>
                <w:sz w:val="20"/>
                <w:szCs w:val="20"/>
              </w:rPr>
              <w:t>offer undergraduate and postgraduate qualifications in fields including fine arts, architecture, design, library</w:t>
            </w:r>
            <w:r w:rsidR="00B21D44">
              <w:rPr>
                <w:rFonts w:ascii="Century Gothic" w:hAnsi="Century Gothic" w:cstheme="minorHAnsi"/>
                <w:sz w:val="20"/>
                <w:szCs w:val="20"/>
              </w:rPr>
              <w:t>,</w:t>
            </w:r>
            <w:r w:rsidRPr="00730C0D">
              <w:rPr>
                <w:rFonts w:ascii="Century Gothic" w:hAnsi="Century Gothic" w:cstheme="minorHAnsi"/>
                <w:sz w:val="20"/>
                <w:szCs w:val="20"/>
              </w:rPr>
              <w:t xml:space="preserve"> and information services. Institutions </w:t>
            </w:r>
            <w:r w:rsidR="00426127">
              <w:rPr>
                <w:rFonts w:ascii="Century Gothic" w:hAnsi="Century Gothic" w:cstheme="minorHAnsi"/>
                <w:sz w:val="20"/>
                <w:szCs w:val="20"/>
              </w:rPr>
              <w:br/>
            </w:r>
            <w:r w:rsidR="002A2D7C">
              <w:rPr>
                <w:rFonts w:ascii="Century Gothic" w:hAnsi="Century Gothic" w:cstheme="minorHAnsi"/>
                <w:sz w:val="20"/>
                <w:szCs w:val="20"/>
              </w:rPr>
              <w:t>offering program</w:t>
            </w:r>
            <w:r w:rsidRPr="00730C0D">
              <w:rPr>
                <w:rFonts w:ascii="Century Gothic" w:hAnsi="Century Gothic" w:cstheme="minorHAnsi"/>
                <w:sz w:val="20"/>
                <w:szCs w:val="20"/>
              </w:rPr>
              <w:t xml:space="preserve">s in fine and performing arts are regulated by the </w:t>
            </w:r>
            <w:r w:rsidR="00426127">
              <w:rPr>
                <w:rFonts w:ascii="Century Gothic" w:hAnsi="Century Gothic" w:cstheme="minorHAnsi"/>
                <w:sz w:val="20"/>
                <w:szCs w:val="20"/>
              </w:rPr>
              <w:br/>
            </w:r>
            <w:r w:rsidRPr="00730C0D">
              <w:rPr>
                <w:rFonts w:ascii="Century Gothic" w:hAnsi="Century Gothic" w:cstheme="minorHAnsi"/>
                <w:sz w:val="20"/>
                <w:szCs w:val="20"/>
              </w:rPr>
              <w:t xml:space="preserve">Ministry of Culture. Of the four institutions, one is self-governing and three </w:t>
            </w:r>
            <w:r w:rsidR="00426127">
              <w:rPr>
                <w:rFonts w:ascii="Century Gothic" w:hAnsi="Century Gothic" w:cstheme="minorHAnsi"/>
                <w:sz w:val="20"/>
                <w:szCs w:val="20"/>
              </w:rPr>
              <w:br/>
            </w:r>
            <w:r w:rsidRPr="00730C0D">
              <w:rPr>
                <w:rFonts w:ascii="Century Gothic" w:hAnsi="Century Gothic" w:cstheme="minorHAnsi"/>
                <w:sz w:val="20"/>
                <w:szCs w:val="20"/>
              </w:rPr>
              <w:t>are State-owned.</w:t>
            </w:r>
          </w:p>
          <w:p w14:paraId="5F003EE5" w14:textId="77777777" w:rsidR="00FE78DE" w:rsidRPr="00730C0D" w:rsidRDefault="00FE78DE" w:rsidP="00FE78DE">
            <w:pPr>
              <w:spacing w:before="0" w:after="0" w:line="259" w:lineRule="auto"/>
              <w:rPr>
                <w:rFonts w:ascii="Century Gothic" w:hAnsi="Century Gothic" w:cstheme="minorHAnsi"/>
                <w:sz w:val="20"/>
                <w:szCs w:val="20"/>
              </w:rPr>
            </w:pPr>
          </w:p>
          <w:p w14:paraId="2779C856" w14:textId="77777777"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Maritime Education Institutions: </w:t>
            </w:r>
            <w:r w:rsidRPr="00730C0D">
              <w:rPr>
                <w:rFonts w:ascii="Century Gothic" w:hAnsi="Century Gothic" w:cstheme="minorHAnsi"/>
                <w:sz w:val="20"/>
                <w:szCs w:val="20"/>
              </w:rPr>
              <w:t>public institutions that offer undergraduate and postgraduate qualifications for the Danish merchant fleet and the fishing industry.</w:t>
            </w:r>
          </w:p>
          <w:p w14:paraId="0607495D" w14:textId="77777777" w:rsidR="00FE78DE" w:rsidRPr="00730C0D" w:rsidRDefault="00FE78DE" w:rsidP="00FE78DE">
            <w:pPr>
              <w:spacing w:before="0" w:after="0" w:line="259" w:lineRule="auto"/>
              <w:rPr>
                <w:rFonts w:ascii="Century Gothic" w:hAnsi="Century Gothic" w:cstheme="minorHAnsi"/>
                <w:b/>
                <w:sz w:val="20"/>
                <w:szCs w:val="20"/>
              </w:rPr>
            </w:pPr>
          </w:p>
          <w:p w14:paraId="60961826" w14:textId="50E3B7A1"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University Colleges: </w:t>
            </w:r>
            <w:r w:rsidRPr="00730C0D">
              <w:rPr>
                <w:rFonts w:ascii="Century Gothic" w:hAnsi="Century Gothic" w:cstheme="minorHAnsi"/>
                <w:sz w:val="20"/>
                <w:szCs w:val="20"/>
              </w:rPr>
              <w:t>public institutions that</w:t>
            </w:r>
            <w:r w:rsidRPr="00730C0D">
              <w:rPr>
                <w:rFonts w:ascii="Century Gothic" w:hAnsi="Century Gothic" w:cstheme="minorHAnsi"/>
                <w:b/>
                <w:sz w:val="20"/>
                <w:szCs w:val="20"/>
              </w:rPr>
              <w:t xml:space="preserve"> </w:t>
            </w:r>
            <w:r w:rsidRPr="00730C0D">
              <w:rPr>
                <w:rFonts w:ascii="Century Gothic" w:hAnsi="Century Gothic" w:cstheme="minorHAnsi"/>
                <w:sz w:val="20"/>
                <w:szCs w:val="20"/>
              </w:rPr>
              <w:t>offer professionally-oriented undergraduate degree qualifications, must have connections with industry</w:t>
            </w:r>
            <w:r w:rsidR="00B21D44">
              <w:rPr>
                <w:rFonts w:ascii="Century Gothic" w:hAnsi="Century Gothic" w:cstheme="minorHAnsi"/>
                <w:sz w:val="20"/>
                <w:szCs w:val="20"/>
              </w:rPr>
              <w:t>,</w:t>
            </w:r>
            <w:r w:rsidRPr="00730C0D">
              <w:rPr>
                <w:rFonts w:ascii="Century Gothic" w:hAnsi="Century Gothic" w:cstheme="minorHAnsi"/>
                <w:sz w:val="20"/>
                <w:szCs w:val="20"/>
              </w:rPr>
              <w:t xml:space="preserve"> and work closely with universities and other research institutions.</w:t>
            </w:r>
          </w:p>
          <w:p w14:paraId="79295FD0" w14:textId="77777777" w:rsidR="00FE78DE" w:rsidRPr="00730C0D" w:rsidRDefault="00FE78DE" w:rsidP="00FE78DE">
            <w:pPr>
              <w:spacing w:before="0" w:after="0" w:line="259" w:lineRule="auto"/>
              <w:rPr>
                <w:rFonts w:ascii="Century Gothic" w:hAnsi="Century Gothic" w:cstheme="minorHAnsi"/>
                <w:sz w:val="20"/>
                <w:szCs w:val="20"/>
              </w:rPr>
            </w:pPr>
          </w:p>
          <w:p w14:paraId="434DB1FD" w14:textId="1DE10775"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Business Academies: </w:t>
            </w:r>
            <w:r w:rsidRPr="00730C0D">
              <w:rPr>
                <w:rFonts w:ascii="Century Gothic" w:hAnsi="Century Gothic" w:cstheme="minorHAnsi"/>
                <w:sz w:val="20"/>
                <w:szCs w:val="20"/>
              </w:rPr>
              <w:t>public institutions that offer professionally-oriented diploma and undergraduate degree qualifications in close collaboration with regional stakeholders including industry, university colleges</w:t>
            </w:r>
            <w:r w:rsidR="00B21D44">
              <w:rPr>
                <w:rFonts w:ascii="Century Gothic" w:hAnsi="Century Gothic" w:cstheme="minorHAnsi"/>
                <w:sz w:val="20"/>
                <w:szCs w:val="20"/>
              </w:rPr>
              <w:t>,</w:t>
            </w:r>
            <w:r w:rsidRPr="00730C0D">
              <w:rPr>
                <w:rFonts w:ascii="Century Gothic" w:hAnsi="Century Gothic" w:cstheme="minorHAnsi"/>
                <w:sz w:val="20"/>
                <w:szCs w:val="20"/>
              </w:rPr>
              <w:t xml:space="preserve"> and universities. </w:t>
            </w:r>
          </w:p>
          <w:p w14:paraId="16B20177" w14:textId="77777777" w:rsidR="00FE78DE" w:rsidRPr="00943927" w:rsidRDefault="00FE78DE" w:rsidP="00FE78DE">
            <w:pPr>
              <w:spacing w:before="0" w:after="0" w:line="259" w:lineRule="auto"/>
              <w:rPr>
                <w:rFonts w:ascii="Century Gothic" w:hAnsi="Century Gothic" w:cstheme="minorHAnsi"/>
                <w:sz w:val="8"/>
                <w:szCs w:val="8"/>
              </w:rPr>
            </w:pPr>
          </w:p>
          <w:p w14:paraId="7D2511ED" w14:textId="075C2744" w:rsidR="00FE78DE" w:rsidRPr="00610C0D" w:rsidRDefault="00FE78DE" w:rsidP="00FE78DE">
            <w:pPr>
              <w:spacing w:before="0" w:after="0" w:line="259" w:lineRule="auto"/>
              <w:rPr>
                <w:rFonts w:ascii="Century Gothic" w:hAnsi="Century Gothic" w:cstheme="minorHAnsi"/>
                <w:sz w:val="13"/>
                <w:szCs w:val="13"/>
              </w:rPr>
            </w:pPr>
            <w:r w:rsidRPr="00943927">
              <w:rPr>
                <w:rFonts w:ascii="Century Gothic" w:hAnsi="Century Gothic" w:cstheme="minorHAnsi"/>
                <w:sz w:val="13"/>
                <w:szCs w:val="13"/>
              </w:rPr>
              <w:t xml:space="preserve">Source: Danish Ministry of Higher Education and Science. (2015). </w:t>
            </w:r>
            <w:r w:rsidRPr="00943927">
              <w:rPr>
                <w:rFonts w:ascii="Century Gothic" w:hAnsi="Century Gothic" w:cstheme="minorHAnsi"/>
                <w:i/>
                <w:sz w:val="13"/>
                <w:szCs w:val="13"/>
              </w:rPr>
              <w:t>The Danish Higher Education System</w:t>
            </w:r>
            <w:r w:rsidRPr="00943927">
              <w:rPr>
                <w:rFonts w:ascii="Century Gothic" w:hAnsi="Century Gothic" w:cstheme="minorHAnsi"/>
                <w:sz w:val="13"/>
                <w:szCs w:val="13"/>
              </w:rPr>
              <w:t xml:space="preserve">. Retrieved from: </w:t>
            </w:r>
            <w:hyperlink r:id="rId51" w:history="1">
              <w:r w:rsidR="00426127" w:rsidRPr="00943927">
                <w:rPr>
                  <w:rStyle w:val="Hyperlink"/>
                  <w:rFonts w:ascii="Century Gothic" w:hAnsi="Century Gothic"/>
                  <w:sz w:val="13"/>
                  <w:szCs w:val="13"/>
                </w:rPr>
                <w:t>https://ufm.dk/en/education/higher-education/the-danish-higher-education-system</w:t>
              </w:r>
            </w:hyperlink>
            <w:r w:rsidR="00426127" w:rsidRPr="00943927">
              <w:rPr>
                <w:rFonts w:ascii="Century Gothic" w:hAnsi="Century Gothic"/>
                <w:sz w:val="13"/>
                <w:szCs w:val="13"/>
              </w:rPr>
              <w:t xml:space="preserve">. </w:t>
            </w:r>
          </w:p>
        </w:tc>
      </w:tr>
    </w:tbl>
    <w:p w14:paraId="7C459C2B" w14:textId="77777777" w:rsidR="00FE78DE" w:rsidRPr="00730C0D" w:rsidRDefault="00FE78DE" w:rsidP="00FE78DE">
      <w:pPr>
        <w:rPr>
          <w:rFonts w:ascii="Century Gothic" w:hAnsi="Century Gothic"/>
          <w:sz w:val="20"/>
          <w:szCs w:val="20"/>
        </w:rPr>
      </w:pPr>
      <w:r w:rsidRPr="00730C0D">
        <w:rPr>
          <w:rFonts w:ascii="Century Gothic" w:hAnsi="Century Gothic"/>
          <w:sz w:val="20"/>
          <w:szCs w:val="20"/>
        </w:rPr>
        <w:br w:type="page"/>
      </w:r>
    </w:p>
    <w:tbl>
      <w:tblPr>
        <w:tblStyle w:val="TableGrid"/>
        <w:tblW w:w="10348" w:type="dxa"/>
        <w:tblInd w:w="-714" w:type="dxa"/>
        <w:tblLook w:val="04A0" w:firstRow="1" w:lastRow="0" w:firstColumn="1" w:lastColumn="0" w:noHBand="0" w:noVBand="1"/>
      </w:tblPr>
      <w:tblGrid>
        <w:gridCol w:w="2694"/>
        <w:gridCol w:w="7654"/>
      </w:tblGrid>
      <w:tr w:rsidR="00FE78DE" w:rsidRPr="00730C0D" w14:paraId="793EC095" w14:textId="77777777" w:rsidTr="004E07AE">
        <w:trPr>
          <w:cnfStyle w:val="100000000000" w:firstRow="1" w:lastRow="0" w:firstColumn="0" w:lastColumn="0" w:oddVBand="0" w:evenVBand="0" w:oddHBand="0" w:evenHBand="0" w:firstRowFirstColumn="0" w:firstRowLastColumn="0" w:lastRowFirstColumn="0" w:lastRowLastColumn="0"/>
          <w:tblHeader/>
        </w:trPr>
        <w:tc>
          <w:tcPr>
            <w:tcW w:w="2694" w:type="dxa"/>
            <w:vAlign w:val="top"/>
          </w:tcPr>
          <w:p w14:paraId="158525D8"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Country Overview</w:t>
            </w:r>
          </w:p>
        </w:tc>
        <w:tc>
          <w:tcPr>
            <w:tcW w:w="7654" w:type="dxa"/>
            <w:vAlign w:val="top"/>
          </w:tcPr>
          <w:p w14:paraId="30098BA3"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Higher Education Provider Descriptions</w:t>
            </w:r>
          </w:p>
        </w:tc>
      </w:tr>
      <w:tr w:rsidR="00FE78DE" w:rsidRPr="00730C0D" w14:paraId="78B431EB" w14:textId="77777777" w:rsidTr="00BD74BE">
        <w:tc>
          <w:tcPr>
            <w:tcW w:w="10348" w:type="dxa"/>
            <w:gridSpan w:val="2"/>
            <w:shd w:val="clear" w:color="auto" w:fill="DEEAF6" w:themeFill="accent1" w:themeFillTint="33"/>
            <w:vAlign w:val="top"/>
          </w:tcPr>
          <w:p w14:paraId="776F0232"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Finland</w:t>
            </w:r>
          </w:p>
        </w:tc>
      </w:tr>
      <w:tr w:rsidR="00FE78DE" w:rsidRPr="00730C0D" w14:paraId="3D50C04C" w14:textId="77777777" w:rsidTr="004E07AE">
        <w:tc>
          <w:tcPr>
            <w:tcW w:w="2694" w:type="dxa"/>
            <w:vAlign w:val="top"/>
          </w:tcPr>
          <w:p w14:paraId="33EC0B05" w14:textId="23A5CFCB"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sz w:val="20"/>
                <w:szCs w:val="20"/>
              </w:rPr>
              <w:t xml:space="preserve">Two parallel higher education categories. While all providers are independent, </w:t>
            </w:r>
            <w:r w:rsidR="000B0D90">
              <w:rPr>
                <w:rFonts w:ascii="Century Gothic" w:hAnsi="Century Gothic" w:cstheme="minorHAnsi"/>
                <w:sz w:val="20"/>
                <w:szCs w:val="20"/>
              </w:rPr>
              <w:t xml:space="preserve">the Universities Act and the Universities of Applied Sciences Act state that providers must regularly participate in external evaluations, mainly carried out by the Finnish Education Evaluation Centre. </w:t>
            </w:r>
          </w:p>
          <w:p w14:paraId="016F8208" w14:textId="77777777" w:rsidR="00FE78DE" w:rsidRPr="00730C0D" w:rsidRDefault="00FE78DE" w:rsidP="00FE78DE">
            <w:pPr>
              <w:spacing w:before="0" w:after="0" w:line="259" w:lineRule="auto"/>
              <w:rPr>
                <w:rFonts w:ascii="Century Gothic" w:hAnsi="Century Gothic" w:cstheme="minorHAnsi"/>
                <w:sz w:val="20"/>
                <w:szCs w:val="20"/>
              </w:rPr>
            </w:pPr>
          </w:p>
        </w:tc>
        <w:tc>
          <w:tcPr>
            <w:tcW w:w="7654" w:type="dxa"/>
            <w:vAlign w:val="top"/>
          </w:tcPr>
          <w:p w14:paraId="2DDC1DC3" w14:textId="1441953E"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Universities: </w:t>
            </w:r>
            <w:r w:rsidRPr="00730C0D">
              <w:rPr>
                <w:rFonts w:ascii="Century Gothic" w:hAnsi="Century Gothic" w:cstheme="minorHAnsi"/>
                <w:sz w:val="20"/>
                <w:szCs w:val="20"/>
              </w:rPr>
              <w:t>public</w:t>
            </w:r>
            <w:r w:rsidRPr="00730C0D">
              <w:rPr>
                <w:rFonts w:ascii="Century Gothic" w:hAnsi="Century Gothic" w:cstheme="minorHAnsi"/>
                <w:b/>
                <w:sz w:val="20"/>
                <w:szCs w:val="20"/>
              </w:rPr>
              <w:t xml:space="preserve"> </w:t>
            </w:r>
            <w:r w:rsidRPr="00730C0D">
              <w:rPr>
                <w:rFonts w:ascii="Century Gothic" w:hAnsi="Century Gothic" w:cstheme="minorHAnsi"/>
                <w:sz w:val="20"/>
                <w:szCs w:val="20"/>
              </w:rPr>
              <w:t xml:space="preserve">institutions that offer a comprehensive range of undergraduate and postgraduate qualifications </w:t>
            </w:r>
            <w:r w:rsidR="000B0D90">
              <w:rPr>
                <w:rFonts w:ascii="Century Gothic" w:hAnsi="Century Gothic" w:cstheme="minorHAnsi"/>
                <w:sz w:val="20"/>
                <w:szCs w:val="20"/>
              </w:rPr>
              <w:t>informed by high-level scientific research</w:t>
            </w:r>
            <w:r w:rsidRPr="00730C0D">
              <w:rPr>
                <w:rFonts w:ascii="Century Gothic" w:hAnsi="Century Gothic" w:cstheme="minorHAnsi"/>
                <w:sz w:val="20"/>
                <w:szCs w:val="20"/>
              </w:rPr>
              <w:t>.</w:t>
            </w:r>
            <w:r w:rsidR="000B0D90">
              <w:rPr>
                <w:rFonts w:ascii="Century Gothic" w:hAnsi="Century Gothic" w:cstheme="minorHAnsi"/>
                <w:sz w:val="20"/>
                <w:szCs w:val="20"/>
              </w:rPr>
              <w:t xml:space="preserve"> Universities are independent legal entities. </w:t>
            </w:r>
          </w:p>
          <w:p w14:paraId="706E85CC" w14:textId="77777777" w:rsidR="00FE78DE" w:rsidRPr="00730C0D" w:rsidRDefault="00FE78DE" w:rsidP="00FE78DE">
            <w:pPr>
              <w:spacing w:before="0" w:after="0" w:line="259" w:lineRule="auto"/>
              <w:rPr>
                <w:rFonts w:ascii="Century Gothic" w:hAnsi="Century Gothic" w:cstheme="minorHAnsi"/>
                <w:sz w:val="20"/>
                <w:szCs w:val="20"/>
              </w:rPr>
            </w:pPr>
          </w:p>
          <w:p w14:paraId="5B0FE525" w14:textId="4BC82816"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Universities of Applied Sciences (polytechnics): </w:t>
            </w:r>
            <w:r w:rsidR="00426127" w:rsidRPr="00426127">
              <w:rPr>
                <w:rFonts w:ascii="Century Gothic" w:hAnsi="Century Gothic" w:cstheme="minorHAnsi"/>
                <w:sz w:val="20"/>
                <w:szCs w:val="20"/>
              </w:rPr>
              <w:t>public</w:t>
            </w:r>
            <w:r w:rsidR="00426127">
              <w:rPr>
                <w:rFonts w:ascii="Century Gothic" w:hAnsi="Century Gothic" w:cstheme="minorHAnsi"/>
                <w:b/>
                <w:sz w:val="20"/>
                <w:szCs w:val="20"/>
              </w:rPr>
              <w:t xml:space="preserve"> </w:t>
            </w:r>
            <w:r w:rsidR="00426127" w:rsidRPr="00426127">
              <w:rPr>
                <w:rFonts w:ascii="Century Gothic" w:hAnsi="Century Gothic" w:cstheme="minorHAnsi"/>
                <w:sz w:val="20"/>
                <w:szCs w:val="20"/>
              </w:rPr>
              <w:t xml:space="preserve">multidisciplinary and regional </w:t>
            </w:r>
            <w:r w:rsidRPr="00426127">
              <w:rPr>
                <w:rFonts w:ascii="Century Gothic" w:hAnsi="Century Gothic" w:cstheme="minorHAnsi"/>
                <w:sz w:val="20"/>
                <w:szCs w:val="20"/>
              </w:rPr>
              <w:t xml:space="preserve">institutions </w:t>
            </w:r>
            <w:r w:rsidR="000B0D90">
              <w:rPr>
                <w:rFonts w:ascii="Century Gothic" w:hAnsi="Century Gothic" w:cstheme="minorHAnsi"/>
                <w:sz w:val="20"/>
                <w:szCs w:val="20"/>
              </w:rPr>
              <w:t>whose activities highlight their connection to working life and regional development</w:t>
            </w:r>
            <w:r w:rsidR="00610E8A">
              <w:rPr>
                <w:rFonts w:ascii="Century Gothic" w:hAnsi="Century Gothic" w:cstheme="minorHAnsi"/>
                <w:sz w:val="20"/>
                <w:szCs w:val="20"/>
              </w:rPr>
              <w:t xml:space="preserve">. They offer </w:t>
            </w:r>
            <w:r w:rsidR="000B0D90">
              <w:rPr>
                <w:rFonts w:ascii="Century Gothic" w:hAnsi="Century Gothic" w:cstheme="minorHAnsi"/>
                <w:sz w:val="20"/>
                <w:szCs w:val="20"/>
              </w:rPr>
              <w:t xml:space="preserve">undergraduate and postgraduate (do not have the right to confer Doctoral degrees) </w:t>
            </w:r>
            <w:r w:rsidR="00610E8A">
              <w:rPr>
                <w:rFonts w:ascii="Century Gothic" w:hAnsi="Century Gothic" w:cstheme="minorHAnsi"/>
                <w:sz w:val="20"/>
                <w:szCs w:val="20"/>
              </w:rPr>
              <w:t>qualifications</w:t>
            </w:r>
            <w:r w:rsidR="000B0D90">
              <w:rPr>
                <w:rFonts w:ascii="Century Gothic" w:hAnsi="Century Gothic" w:cstheme="minorHAnsi"/>
                <w:sz w:val="20"/>
                <w:szCs w:val="20"/>
              </w:rPr>
              <w:t xml:space="preserve"> and </w:t>
            </w:r>
            <w:r w:rsidR="00610E8A">
              <w:rPr>
                <w:rFonts w:ascii="Century Gothic" w:hAnsi="Century Gothic" w:cstheme="minorHAnsi"/>
                <w:sz w:val="20"/>
                <w:szCs w:val="20"/>
              </w:rPr>
              <w:t xml:space="preserve">conduct </w:t>
            </w:r>
            <w:r w:rsidR="000B0D90">
              <w:rPr>
                <w:rFonts w:ascii="Century Gothic" w:hAnsi="Century Gothic" w:cstheme="minorHAnsi"/>
                <w:sz w:val="20"/>
                <w:szCs w:val="20"/>
              </w:rPr>
              <w:t xml:space="preserve">applied research and development. They are independent legal entities and require an operating license granted by the Government. </w:t>
            </w:r>
            <w:r w:rsidRPr="00730C0D">
              <w:rPr>
                <w:rFonts w:ascii="Century Gothic" w:hAnsi="Century Gothic" w:cstheme="minorHAnsi"/>
                <w:sz w:val="20"/>
                <w:szCs w:val="20"/>
              </w:rPr>
              <w:t xml:space="preserve"> </w:t>
            </w:r>
          </w:p>
          <w:p w14:paraId="69F40E13" w14:textId="575E8C6C" w:rsidR="00FE78DE" w:rsidRPr="00943927" w:rsidRDefault="00FE78DE" w:rsidP="00FE78DE">
            <w:pPr>
              <w:spacing w:before="0" w:after="0" w:line="259" w:lineRule="auto"/>
              <w:rPr>
                <w:rFonts w:ascii="Century Gothic" w:hAnsi="Century Gothic" w:cstheme="minorHAnsi"/>
                <w:sz w:val="8"/>
                <w:szCs w:val="8"/>
              </w:rPr>
            </w:pPr>
          </w:p>
          <w:p w14:paraId="6EF0C586" w14:textId="77777777" w:rsidR="000B0D90" w:rsidRDefault="00FE78DE" w:rsidP="00FE78DE">
            <w:pPr>
              <w:spacing w:before="0" w:after="0" w:line="259" w:lineRule="auto"/>
              <w:rPr>
                <w:rFonts w:ascii="Century Gothic" w:hAnsi="Century Gothic" w:cstheme="minorHAnsi"/>
                <w:sz w:val="13"/>
                <w:szCs w:val="13"/>
              </w:rPr>
            </w:pPr>
            <w:r w:rsidRPr="00426127">
              <w:rPr>
                <w:rFonts w:ascii="Century Gothic" w:hAnsi="Century Gothic" w:cstheme="minorHAnsi"/>
                <w:sz w:val="13"/>
                <w:szCs w:val="13"/>
              </w:rPr>
              <w:t>Source</w:t>
            </w:r>
            <w:r w:rsidR="000B0D90">
              <w:rPr>
                <w:rFonts w:ascii="Century Gothic" w:hAnsi="Century Gothic" w:cstheme="minorHAnsi"/>
                <w:sz w:val="13"/>
                <w:szCs w:val="13"/>
              </w:rPr>
              <w:t>s</w:t>
            </w:r>
            <w:r w:rsidRPr="00426127">
              <w:rPr>
                <w:rFonts w:ascii="Century Gothic" w:hAnsi="Century Gothic" w:cstheme="minorHAnsi"/>
                <w:sz w:val="13"/>
                <w:szCs w:val="13"/>
              </w:rPr>
              <w:t xml:space="preserve">: </w:t>
            </w:r>
          </w:p>
          <w:p w14:paraId="6EBF33B6" w14:textId="7C91AD00" w:rsidR="00610C0D" w:rsidRPr="00374E52" w:rsidRDefault="00610C0D" w:rsidP="00374E52">
            <w:pPr>
              <w:pStyle w:val="ListParagraph"/>
              <w:numPr>
                <w:ilvl w:val="0"/>
                <w:numId w:val="75"/>
              </w:numPr>
              <w:spacing w:before="0" w:after="0"/>
              <w:ind w:left="179" w:hanging="142"/>
              <w:rPr>
                <w:rFonts w:ascii="Century Gothic" w:hAnsi="Century Gothic" w:cstheme="minorHAnsi"/>
                <w:sz w:val="13"/>
                <w:szCs w:val="13"/>
              </w:rPr>
            </w:pPr>
            <w:r>
              <w:rPr>
                <w:rFonts w:ascii="Century Gothic" w:hAnsi="Century Gothic" w:cstheme="minorHAnsi"/>
                <w:sz w:val="13"/>
                <w:szCs w:val="13"/>
              </w:rPr>
              <w:t xml:space="preserve">European </w:t>
            </w:r>
            <w:r w:rsidRPr="00350732">
              <w:rPr>
                <w:rFonts w:ascii="Century Gothic" w:eastAsiaTheme="majorEastAsia" w:hAnsi="Century Gothic" w:cstheme="minorHAnsi"/>
                <w:sz w:val="13"/>
                <w:szCs w:val="13"/>
              </w:rPr>
              <w:t>Commission</w:t>
            </w:r>
            <w:r>
              <w:rPr>
                <w:rFonts w:ascii="Century Gothic" w:hAnsi="Century Gothic" w:cstheme="minorHAnsi"/>
                <w:sz w:val="13"/>
                <w:szCs w:val="13"/>
              </w:rPr>
              <w:t xml:space="preserve">. (2019). </w:t>
            </w:r>
            <w:r>
              <w:rPr>
                <w:rFonts w:ascii="Century Gothic" w:hAnsi="Century Gothic" w:cstheme="minorHAnsi"/>
                <w:i/>
                <w:sz w:val="13"/>
                <w:szCs w:val="13"/>
              </w:rPr>
              <w:t>Finland: Quality Assurance in Higher Education</w:t>
            </w:r>
            <w:r>
              <w:rPr>
                <w:rFonts w:ascii="Century Gothic" w:hAnsi="Century Gothic" w:cstheme="minorHAnsi"/>
                <w:sz w:val="13"/>
                <w:szCs w:val="13"/>
              </w:rPr>
              <w:t xml:space="preserve">. Retrieved from: </w:t>
            </w:r>
            <w:hyperlink r:id="rId52" w:history="1">
              <w:r w:rsidRPr="008172A1">
                <w:rPr>
                  <w:rStyle w:val="Hyperlink"/>
                  <w:rFonts w:ascii="Century Gothic" w:hAnsi="Century Gothic" w:cstheme="minorHAnsi"/>
                  <w:sz w:val="13"/>
                  <w:szCs w:val="13"/>
                </w:rPr>
                <w:t>https://eacea.ec.europa.eu/national-policies/eurydice/finland/quality-assurance-higher-education_en</w:t>
              </w:r>
            </w:hyperlink>
            <w:r>
              <w:rPr>
                <w:rFonts w:ascii="Century Gothic" w:hAnsi="Century Gothic" w:cstheme="minorHAnsi"/>
                <w:sz w:val="13"/>
                <w:szCs w:val="13"/>
              </w:rPr>
              <w:t>; and</w:t>
            </w:r>
          </w:p>
          <w:p w14:paraId="1779F8F6" w14:textId="097A808D" w:rsidR="00A43D22" w:rsidRPr="00374E52" w:rsidRDefault="00610C0D" w:rsidP="00374E52">
            <w:pPr>
              <w:pStyle w:val="ListParagraph"/>
              <w:numPr>
                <w:ilvl w:val="0"/>
                <w:numId w:val="75"/>
              </w:numPr>
              <w:spacing w:before="0" w:after="0"/>
              <w:ind w:left="179" w:hanging="142"/>
              <w:rPr>
                <w:rFonts w:ascii="Century Gothic" w:hAnsi="Century Gothic" w:cstheme="minorHAnsi"/>
                <w:sz w:val="13"/>
                <w:szCs w:val="13"/>
              </w:rPr>
            </w:pPr>
            <w:r w:rsidRPr="000B0D90">
              <w:rPr>
                <w:rFonts w:ascii="Century Gothic" w:hAnsi="Century Gothic" w:cstheme="minorHAnsi"/>
                <w:sz w:val="13"/>
                <w:szCs w:val="13"/>
              </w:rPr>
              <w:t xml:space="preserve">Finnish </w:t>
            </w:r>
            <w:r w:rsidRPr="00350732">
              <w:rPr>
                <w:rFonts w:ascii="Century Gothic" w:eastAsiaTheme="majorEastAsia" w:hAnsi="Century Gothic" w:cstheme="minorHAnsi"/>
                <w:sz w:val="13"/>
                <w:szCs w:val="13"/>
              </w:rPr>
              <w:t>Ministry</w:t>
            </w:r>
            <w:r w:rsidRPr="000B0D90">
              <w:rPr>
                <w:rFonts w:ascii="Century Gothic" w:hAnsi="Century Gothic" w:cstheme="minorHAnsi"/>
                <w:sz w:val="13"/>
                <w:szCs w:val="13"/>
              </w:rPr>
              <w:t xml:space="preserve"> of Education and Culture. (n.d.) </w:t>
            </w:r>
            <w:r w:rsidRPr="000B0D90">
              <w:rPr>
                <w:rFonts w:ascii="Century Gothic" w:hAnsi="Century Gothic" w:cstheme="minorHAnsi"/>
                <w:i/>
                <w:sz w:val="13"/>
                <w:szCs w:val="13"/>
              </w:rPr>
              <w:t>Higher education institutions, science agencies, research institutes and other public research organisations</w:t>
            </w:r>
            <w:r w:rsidRPr="000B0D90">
              <w:rPr>
                <w:rFonts w:ascii="Century Gothic" w:hAnsi="Century Gothic" w:cstheme="minorHAnsi"/>
                <w:sz w:val="13"/>
                <w:szCs w:val="13"/>
              </w:rPr>
              <w:t xml:space="preserve">. Retrieved from: </w:t>
            </w:r>
            <w:r>
              <w:rPr>
                <w:rFonts w:ascii="Century Gothic" w:hAnsi="Century Gothic" w:cstheme="minorHAnsi"/>
                <w:sz w:val="13"/>
                <w:szCs w:val="13"/>
              </w:rPr>
              <w:br/>
            </w:r>
            <w:hyperlink r:id="rId53" w:history="1">
              <w:r w:rsidRPr="000B0D90">
                <w:rPr>
                  <w:rStyle w:val="Hyperlink"/>
                  <w:rFonts w:ascii="Century Gothic" w:hAnsi="Century Gothic" w:cstheme="minorHAnsi"/>
                  <w:sz w:val="13"/>
                  <w:szCs w:val="13"/>
                </w:rPr>
                <w:t>https://minedu.fi/en/heis-and-science-agencies</w:t>
              </w:r>
            </w:hyperlink>
            <w:r>
              <w:rPr>
                <w:rFonts w:ascii="Century Gothic" w:hAnsi="Century Gothic" w:cstheme="minorHAnsi"/>
                <w:sz w:val="13"/>
                <w:szCs w:val="13"/>
              </w:rPr>
              <w:t>.</w:t>
            </w:r>
          </w:p>
        </w:tc>
      </w:tr>
      <w:tr w:rsidR="00FE78DE" w:rsidRPr="00730C0D" w14:paraId="0C100E40" w14:textId="77777777" w:rsidTr="00BD74BE">
        <w:tc>
          <w:tcPr>
            <w:tcW w:w="10348" w:type="dxa"/>
            <w:gridSpan w:val="2"/>
            <w:shd w:val="clear" w:color="auto" w:fill="DEEAF6" w:themeFill="accent1" w:themeFillTint="33"/>
            <w:vAlign w:val="top"/>
          </w:tcPr>
          <w:p w14:paraId="5DEDEFA9"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France</w:t>
            </w:r>
          </w:p>
        </w:tc>
      </w:tr>
      <w:tr w:rsidR="00FE78DE" w:rsidRPr="00730C0D" w14:paraId="4F9B6610" w14:textId="77777777" w:rsidTr="004E07AE">
        <w:tc>
          <w:tcPr>
            <w:tcW w:w="2694" w:type="dxa"/>
            <w:vAlign w:val="top"/>
          </w:tcPr>
          <w:p w14:paraId="1E21DB6E" w14:textId="0FBBA735" w:rsidR="00BA0DFE" w:rsidRDefault="00BA0DFE" w:rsidP="00BA0DFE">
            <w:pPr>
              <w:spacing w:before="0" w:after="0" w:line="259" w:lineRule="auto"/>
              <w:rPr>
                <w:rFonts w:ascii="Century Gothic" w:hAnsi="Century Gothic" w:cstheme="minorHAnsi"/>
                <w:sz w:val="20"/>
                <w:szCs w:val="20"/>
              </w:rPr>
            </w:pPr>
            <w:r>
              <w:rPr>
                <w:rFonts w:ascii="Century Gothic" w:hAnsi="Century Gothic" w:cstheme="minorHAnsi"/>
                <w:sz w:val="20"/>
                <w:szCs w:val="20"/>
              </w:rPr>
              <w:t xml:space="preserve">The French Code of Education defines legal categories of higher education institutions </w:t>
            </w:r>
            <w:r w:rsidR="00361C98">
              <w:rPr>
                <w:rFonts w:ascii="Century Gothic" w:hAnsi="Century Gothic" w:cstheme="minorHAnsi"/>
                <w:sz w:val="20"/>
                <w:szCs w:val="20"/>
              </w:rPr>
              <w:t xml:space="preserve">covering </w:t>
            </w:r>
            <w:r>
              <w:rPr>
                <w:rFonts w:ascii="Century Gothic" w:hAnsi="Century Gothic" w:cstheme="minorHAnsi"/>
                <w:sz w:val="20"/>
                <w:szCs w:val="20"/>
              </w:rPr>
              <w:t>a variety of types of institutions</w:t>
            </w:r>
            <w:r w:rsidR="00361C98">
              <w:rPr>
                <w:rFonts w:ascii="Century Gothic" w:hAnsi="Century Gothic" w:cstheme="minorHAnsi"/>
                <w:sz w:val="20"/>
                <w:szCs w:val="20"/>
              </w:rPr>
              <w:t xml:space="preserve"> that provide </w:t>
            </w:r>
            <w:r w:rsidRPr="00AE13A0">
              <w:rPr>
                <w:rFonts w:ascii="Century Gothic" w:hAnsi="Century Gothic" w:cstheme="minorHAnsi"/>
                <w:sz w:val="20"/>
                <w:szCs w:val="20"/>
              </w:rPr>
              <w:t>training with different purposes and admission requirements.</w:t>
            </w:r>
            <w:r>
              <w:rPr>
                <w:rFonts w:ascii="Century Gothic" w:hAnsi="Century Gothic" w:cstheme="minorHAnsi"/>
                <w:sz w:val="20"/>
                <w:szCs w:val="20"/>
              </w:rPr>
              <w:t xml:space="preserve"> </w:t>
            </w:r>
          </w:p>
          <w:p w14:paraId="7943D73E" w14:textId="564F5196" w:rsidR="00BA0DFE" w:rsidRDefault="00BA0DFE" w:rsidP="0044376C">
            <w:pPr>
              <w:spacing w:before="0" w:after="0" w:line="259" w:lineRule="auto"/>
              <w:rPr>
                <w:rFonts w:ascii="Century Gothic" w:hAnsi="Century Gothic" w:cstheme="minorHAnsi"/>
                <w:sz w:val="20"/>
                <w:szCs w:val="20"/>
              </w:rPr>
            </w:pPr>
          </w:p>
          <w:p w14:paraId="76200D72" w14:textId="52FA55B0" w:rsidR="0044376C" w:rsidRDefault="0044376C" w:rsidP="0044376C">
            <w:pPr>
              <w:spacing w:before="0" w:after="0" w:line="259" w:lineRule="auto"/>
              <w:rPr>
                <w:rFonts w:ascii="Century Gothic" w:hAnsi="Century Gothic" w:cstheme="minorHAnsi"/>
                <w:sz w:val="20"/>
                <w:szCs w:val="20"/>
              </w:rPr>
            </w:pPr>
            <w:r>
              <w:rPr>
                <w:rFonts w:ascii="Century Gothic" w:hAnsi="Century Gothic" w:cstheme="minorHAnsi"/>
                <w:sz w:val="20"/>
                <w:szCs w:val="20"/>
              </w:rPr>
              <w:t xml:space="preserve">Most providers are public, </w:t>
            </w:r>
            <w:r w:rsidR="00FE78DE" w:rsidRPr="00730C0D">
              <w:rPr>
                <w:rFonts w:ascii="Century Gothic" w:hAnsi="Century Gothic" w:cstheme="minorHAnsi"/>
                <w:sz w:val="20"/>
                <w:szCs w:val="20"/>
              </w:rPr>
              <w:t>approved and regulated by the Ministry of Higher Education</w:t>
            </w:r>
            <w:r>
              <w:rPr>
                <w:rFonts w:ascii="Century Gothic" w:hAnsi="Century Gothic" w:cstheme="minorHAnsi"/>
                <w:sz w:val="20"/>
                <w:szCs w:val="20"/>
              </w:rPr>
              <w:t xml:space="preserve">, </w:t>
            </w:r>
            <w:r w:rsidR="00FE78DE" w:rsidRPr="00730C0D">
              <w:rPr>
                <w:rFonts w:ascii="Century Gothic" w:hAnsi="Century Gothic" w:cstheme="minorHAnsi"/>
                <w:sz w:val="20"/>
                <w:szCs w:val="20"/>
              </w:rPr>
              <w:t>Research</w:t>
            </w:r>
            <w:r>
              <w:rPr>
                <w:rFonts w:ascii="Century Gothic" w:hAnsi="Century Gothic" w:cstheme="minorHAnsi"/>
                <w:sz w:val="20"/>
                <w:szCs w:val="20"/>
              </w:rPr>
              <w:t xml:space="preserve"> and Innovation</w:t>
            </w:r>
            <w:r w:rsidR="003E1D27">
              <w:rPr>
                <w:rFonts w:ascii="Century Gothic" w:hAnsi="Century Gothic" w:cstheme="minorHAnsi"/>
                <w:sz w:val="20"/>
                <w:szCs w:val="20"/>
              </w:rPr>
              <w:t xml:space="preserve"> (the Ministry)</w:t>
            </w:r>
            <w:r w:rsidR="00FE78DE" w:rsidRPr="00730C0D">
              <w:rPr>
                <w:rFonts w:ascii="Century Gothic" w:hAnsi="Century Gothic" w:cstheme="minorHAnsi"/>
                <w:sz w:val="20"/>
                <w:szCs w:val="20"/>
              </w:rPr>
              <w:t xml:space="preserve">. </w:t>
            </w:r>
            <w:r w:rsidR="0014243A">
              <w:rPr>
                <w:rFonts w:ascii="Century Gothic" w:hAnsi="Century Gothic" w:cstheme="minorHAnsi"/>
                <w:sz w:val="20"/>
                <w:szCs w:val="20"/>
              </w:rPr>
              <w:t xml:space="preserve">Higher education in France is </w:t>
            </w:r>
            <w:r w:rsidR="003E1D27">
              <w:rPr>
                <w:rFonts w:ascii="Century Gothic" w:hAnsi="Century Gothic" w:cstheme="minorHAnsi"/>
                <w:sz w:val="20"/>
                <w:szCs w:val="20"/>
              </w:rPr>
              <w:t xml:space="preserve">generally free; </w:t>
            </w:r>
            <w:r w:rsidR="00374E52">
              <w:rPr>
                <w:rFonts w:ascii="Century Gothic" w:hAnsi="Century Gothic" w:cstheme="minorHAnsi"/>
                <w:sz w:val="20"/>
                <w:szCs w:val="20"/>
              </w:rPr>
              <w:t>20</w:t>
            </w:r>
            <w:r w:rsidR="003E1D27">
              <w:rPr>
                <w:rFonts w:ascii="Century Gothic" w:hAnsi="Century Gothic" w:cstheme="minorHAnsi"/>
                <w:sz w:val="20"/>
                <w:szCs w:val="20"/>
              </w:rPr>
              <w:t xml:space="preserve"> per cent of students attend</w:t>
            </w:r>
            <w:r w:rsidR="0014243A">
              <w:rPr>
                <w:rFonts w:ascii="Century Gothic" w:hAnsi="Century Gothic" w:cstheme="minorHAnsi"/>
                <w:sz w:val="20"/>
                <w:szCs w:val="20"/>
              </w:rPr>
              <w:t xml:space="preserve"> private institutions.</w:t>
            </w:r>
          </w:p>
          <w:p w14:paraId="04C4618B" w14:textId="77777777" w:rsidR="00FE78DE" w:rsidRPr="00730C0D" w:rsidRDefault="00FE78DE" w:rsidP="00FE78DE">
            <w:pPr>
              <w:spacing w:before="0" w:after="0" w:line="259" w:lineRule="auto"/>
              <w:rPr>
                <w:rFonts w:ascii="Century Gothic" w:hAnsi="Century Gothic" w:cstheme="minorHAnsi"/>
                <w:sz w:val="20"/>
                <w:szCs w:val="20"/>
              </w:rPr>
            </w:pPr>
          </w:p>
          <w:p w14:paraId="7CDEB2B0" w14:textId="5990F04A" w:rsidR="00FE78DE" w:rsidRPr="00730C0D" w:rsidRDefault="00FE78DE">
            <w:pPr>
              <w:spacing w:before="0" w:after="0" w:line="259" w:lineRule="auto"/>
              <w:rPr>
                <w:rFonts w:ascii="Century Gothic" w:hAnsi="Century Gothic" w:cstheme="minorHAnsi"/>
                <w:sz w:val="20"/>
                <w:szCs w:val="20"/>
              </w:rPr>
            </w:pPr>
            <w:r w:rsidRPr="00730C0D">
              <w:rPr>
                <w:rFonts w:ascii="Century Gothic" w:hAnsi="Century Gothic" w:cs="Calibri"/>
                <w:color w:val="000000"/>
                <w:sz w:val="20"/>
                <w:szCs w:val="20"/>
                <w:lang w:val="en-US"/>
              </w:rPr>
              <w:t xml:space="preserve">The </w:t>
            </w:r>
            <w:r w:rsidR="0044376C">
              <w:rPr>
                <w:rFonts w:ascii="Century Gothic" w:hAnsi="Century Gothic" w:cs="Calibri"/>
                <w:color w:val="000000"/>
                <w:sz w:val="20"/>
                <w:szCs w:val="20"/>
                <w:lang w:val="en-US"/>
              </w:rPr>
              <w:t xml:space="preserve">High Council for </w:t>
            </w:r>
            <w:r w:rsidRPr="00730C0D">
              <w:rPr>
                <w:rFonts w:ascii="Century Gothic" w:hAnsi="Century Gothic" w:cs="Calibri"/>
                <w:color w:val="000000"/>
                <w:sz w:val="20"/>
                <w:szCs w:val="20"/>
                <w:lang w:val="en-US"/>
              </w:rPr>
              <w:t xml:space="preserve">Evaluation </w:t>
            </w:r>
            <w:r w:rsidR="0044376C">
              <w:rPr>
                <w:rFonts w:ascii="Century Gothic" w:hAnsi="Century Gothic" w:cs="Calibri"/>
                <w:color w:val="000000"/>
                <w:sz w:val="20"/>
                <w:szCs w:val="20"/>
                <w:lang w:val="en-US"/>
              </w:rPr>
              <w:t>of Research and Higher Education (Hc</w:t>
            </w:r>
            <w:r w:rsidR="0044376C" w:rsidRPr="00730C0D">
              <w:rPr>
                <w:rFonts w:ascii="Century Gothic" w:hAnsi="Century Gothic" w:cstheme="minorHAnsi"/>
                <w:sz w:val="20"/>
                <w:szCs w:val="20"/>
                <w:lang w:val="en"/>
              </w:rPr>
              <w:t>é</w:t>
            </w:r>
            <w:r w:rsidR="0044376C">
              <w:rPr>
                <w:rFonts w:ascii="Century Gothic" w:hAnsi="Century Gothic" w:cstheme="minorHAnsi"/>
                <w:sz w:val="20"/>
                <w:szCs w:val="20"/>
                <w:lang w:val="en"/>
              </w:rPr>
              <w:t>res)</w:t>
            </w:r>
            <w:r w:rsidRPr="00730C0D">
              <w:rPr>
                <w:rFonts w:ascii="Century Gothic" w:hAnsi="Century Gothic" w:cs="Calibri"/>
                <w:color w:val="000000"/>
                <w:sz w:val="20"/>
                <w:szCs w:val="20"/>
                <w:lang w:val="en-US"/>
              </w:rPr>
              <w:t> is responsible for</w:t>
            </w:r>
            <w:r w:rsidR="00374E52">
              <w:rPr>
                <w:rFonts w:ascii="Century Gothic" w:hAnsi="Century Gothic" w:cs="Calibri"/>
                <w:color w:val="000000"/>
                <w:sz w:val="20"/>
                <w:szCs w:val="20"/>
                <w:lang w:val="en-US"/>
              </w:rPr>
              <w:t xml:space="preserve"> the evaluation and</w:t>
            </w:r>
            <w:r w:rsidRPr="00730C0D">
              <w:rPr>
                <w:rFonts w:ascii="Century Gothic" w:hAnsi="Century Gothic" w:cs="Calibri"/>
                <w:color w:val="000000"/>
                <w:sz w:val="20"/>
                <w:szCs w:val="20"/>
                <w:lang w:val="en-US"/>
              </w:rPr>
              <w:t xml:space="preserve"> quality assurance of higher education</w:t>
            </w:r>
            <w:r w:rsidR="00374E52">
              <w:rPr>
                <w:rFonts w:ascii="Century Gothic" w:hAnsi="Century Gothic" w:cs="Calibri"/>
                <w:color w:val="000000"/>
                <w:sz w:val="20"/>
                <w:szCs w:val="20"/>
                <w:lang w:val="en-US"/>
              </w:rPr>
              <w:t xml:space="preserve"> and research institutions</w:t>
            </w:r>
            <w:r w:rsidRPr="00730C0D">
              <w:rPr>
                <w:rFonts w:ascii="Century Gothic" w:hAnsi="Century Gothic" w:cs="Calibri"/>
                <w:color w:val="000000"/>
                <w:sz w:val="20"/>
                <w:szCs w:val="20"/>
                <w:lang w:val="en-US"/>
              </w:rPr>
              <w:t>.</w:t>
            </w:r>
          </w:p>
        </w:tc>
        <w:tc>
          <w:tcPr>
            <w:tcW w:w="7654" w:type="dxa"/>
            <w:vAlign w:val="top"/>
          </w:tcPr>
          <w:p w14:paraId="76C6AC7C" w14:textId="296DEB07" w:rsidR="00AE13A0" w:rsidRDefault="00AE13A0" w:rsidP="00D604B1">
            <w:pPr>
              <w:spacing w:before="0" w:after="0" w:line="259" w:lineRule="auto"/>
              <w:rPr>
                <w:rFonts w:ascii="Century Gothic" w:hAnsi="Century Gothic" w:cstheme="minorHAnsi"/>
                <w:sz w:val="20"/>
                <w:szCs w:val="20"/>
              </w:rPr>
            </w:pPr>
            <w:r w:rsidRPr="00D41D97">
              <w:rPr>
                <w:rFonts w:ascii="Century Gothic" w:hAnsi="Century Gothic" w:cstheme="minorHAnsi"/>
                <w:b/>
                <w:sz w:val="20"/>
                <w:szCs w:val="20"/>
              </w:rPr>
              <w:t>Universities:</w:t>
            </w:r>
            <w:r>
              <w:rPr>
                <w:rFonts w:ascii="Century Gothic" w:hAnsi="Century Gothic" w:cstheme="minorHAnsi"/>
                <w:sz w:val="20"/>
                <w:szCs w:val="20"/>
              </w:rPr>
              <w:t xml:space="preserve"> </w:t>
            </w:r>
            <w:r w:rsidRPr="00730C0D">
              <w:rPr>
                <w:rFonts w:ascii="Century Gothic" w:hAnsi="Century Gothic" w:cstheme="minorHAnsi"/>
                <w:sz w:val="20"/>
                <w:szCs w:val="20"/>
              </w:rPr>
              <w:t>public institutions that offer a comprehensive range of undergraduate and postgraduate qualifications</w:t>
            </w:r>
            <w:r>
              <w:rPr>
                <w:rFonts w:ascii="Century Gothic" w:hAnsi="Century Gothic" w:cstheme="minorHAnsi"/>
                <w:sz w:val="20"/>
                <w:szCs w:val="20"/>
              </w:rPr>
              <w:t xml:space="preserve">, conduct research, and </w:t>
            </w:r>
            <w:r w:rsidR="00195A60">
              <w:rPr>
                <w:rFonts w:ascii="Century Gothic" w:hAnsi="Century Gothic" w:cstheme="minorHAnsi"/>
                <w:sz w:val="20"/>
                <w:szCs w:val="20"/>
              </w:rPr>
              <w:t>are autonomous</w:t>
            </w:r>
            <w:r w:rsidRPr="00730C0D">
              <w:rPr>
                <w:rFonts w:ascii="Century Gothic" w:hAnsi="Century Gothic" w:cstheme="minorHAnsi"/>
                <w:sz w:val="20"/>
                <w:szCs w:val="20"/>
              </w:rPr>
              <w:t xml:space="preserve">. All students who have a high </w:t>
            </w:r>
            <w:r w:rsidR="00A04FD2">
              <w:rPr>
                <w:rFonts w:ascii="Century Gothic" w:hAnsi="Century Gothic" w:cstheme="minorHAnsi"/>
                <w:sz w:val="20"/>
                <w:szCs w:val="20"/>
              </w:rPr>
              <w:t>school qualification can apply to attend a university. 60 per cent of Fr</w:t>
            </w:r>
            <w:r w:rsidR="00374E52">
              <w:rPr>
                <w:rFonts w:ascii="Century Gothic" w:hAnsi="Century Gothic" w:cstheme="minorHAnsi"/>
                <w:sz w:val="20"/>
                <w:szCs w:val="20"/>
              </w:rPr>
              <w:t xml:space="preserve">ench </w:t>
            </w:r>
            <w:r w:rsidR="00A04FD2">
              <w:rPr>
                <w:rFonts w:ascii="Century Gothic" w:hAnsi="Century Gothic" w:cstheme="minorHAnsi"/>
                <w:sz w:val="20"/>
                <w:szCs w:val="20"/>
              </w:rPr>
              <w:t>higher education students attend universities.</w:t>
            </w:r>
          </w:p>
          <w:p w14:paraId="3F9FBE97" w14:textId="25DFB79E" w:rsidR="009A240C" w:rsidRDefault="009A240C" w:rsidP="00D604B1">
            <w:pPr>
              <w:spacing w:before="0" w:after="0" w:line="259" w:lineRule="auto"/>
              <w:rPr>
                <w:rFonts w:ascii="Century Gothic" w:hAnsi="Century Gothic" w:cstheme="minorHAnsi"/>
                <w:sz w:val="20"/>
                <w:szCs w:val="20"/>
              </w:rPr>
            </w:pPr>
          </w:p>
          <w:p w14:paraId="46928D5F" w14:textId="09068B7C" w:rsidR="00AE13A0" w:rsidRPr="00D41D97" w:rsidRDefault="00AE13A0" w:rsidP="00D604B1">
            <w:pPr>
              <w:spacing w:before="0" w:after="0" w:line="259" w:lineRule="auto"/>
              <w:rPr>
                <w:rFonts w:ascii="Century Gothic" w:hAnsi="Century Gothic" w:cstheme="minorHAnsi"/>
                <w:b/>
                <w:sz w:val="20"/>
                <w:szCs w:val="20"/>
              </w:rPr>
            </w:pPr>
            <w:r w:rsidRPr="00D41D97">
              <w:rPr>
                <w:rFonts w:ascii="Century Gothic" w:hAnsi="Century Gothic" w:cstheme="minorHAnsi"/>
                <w:b/>
                <w:sz w:val="20"/>
                <w:szCs w:val="20"/>
              </w:rPr>
              <w:t xml:space="preserve">Schools and Institutes outside of Universities: </w:t>
            </w:r>
          </w:p>
          <w:p w14:paraId="4C162382" w14:textId="7DDACE95" w:rsidR="00AE13A0" w:rsidRDefault="00AE13A0" w:rsidP="00D41D97">
            <w:pPr>
              <w:pStyle w:val="ListParagraph"/>
              <w:numPr>
                <w:ilvl w:val="0"/>
                <w:numId w:val="63"/>
              </w:numPr>
              <w:spacing w:before="0" w:after="0"/>
              <w:ind w:left="425" w:right="-108" w:hanging="283"/>
              <w:rPr>
                <w:rFonts w:ascii="Century Gothic" w:hAnsi="Century Gothic" w:cstheme="minorHAnsi"/>
                <w:sz w:val="20"/>
                <w:szCs w:val="20"/>
              </w:rPr>
            </w:pPr>
            <w:r w:rsidRPr="00D41D97">
              <w:rPr>
                <w:rFonts w:ascii="Century Gothic" w:hAnsi="Century Gothic" w:cstheme="minorHAnsi"/>
                <w:b/>
                <w:sz w:val="20"/>
                <w:szCs w:val="20"/>
              </w:rPr>
              <w:t>‘</w:t>
            </w:r>
            <w:r w:rsidR="00A04FD2" w:rsidRPr="00D41D97">
              <w:rPr>
                <w:rFonts w:ascii="Century Gothic" w:hAnsi="Century Gothic" w:cstheme="minorHAnsi"/>
                <w:i/>
                <w:sz w:val="20"/>
                <w:szCs w:val="20"/>
              </w:rPr>
              <w:t>G</w:t>
            </w:r>
            <w:r w:rsidRPr="00D41D97">
              <w:rPr>
                <w:rFonts w:ascii="Century Gothic" w:hAnsi="Century Gothic" w:cstheme="minorHAnsi"/>
                <w:i/>
                <w:sz w:val="20"/>
                <w:szCs w:val="20"/>
              </w:rPr>
              <w:t>rands</w:t>
            </w:r>
            <w:r w:rsidRPr="00D41D97">
              <w:rPr>
                <w:rFonts w:ascii="Century Gothic" w:hAnsi="Century Gothic" w:cstheme="minorHAnsi"/>
                <w:b/>
                <w:sz w:val="20"/>
                <w:szCs w:val="20"/>
              </w:rPr>
              <w:t xml:space="preserve"> </w:t>
            </w:r>
            <w:r w:rsidR="00C61472" w:rsidRPr="00D41D97">
              <w:rPr>
                <w:rFonts w:ascii="Century Gothic" w:hAnsi="Century Gothic" w:cstheme="minorHAnsi"/>
                <w:i/>
                <w:sz w:val="20"/>
                <w:szCs w:val="20"/>
                <w:lang w:val="fr-FR"/>
              </w:rPr>
              <w:t>É</w:t>
            </w:r>
            <w:r w:rsidRPr="00D41D97">
              <w:rPr>
                <w:rFonts w:ascii="Century Gothic" w:hAnsi="Century Gothic" w:cstheme="minorHAnsi"/>
                <w:bCs/>
                <w:i/>
                <w:sz w:val="20"/>
                <w:szCs w:val="20"/>
              </w:rPr>
              <w:t>tablissements’ (major institutions)</w:t>
            </w:r>
            <w:r w:rsidR="008325BD">
              <w:rPr>
                <w:rFonts w:ascii="Century Gothic" w:hAnsi="Century Gothic" w:cstheme="minorHAnsi"/>
                <w:bCs/>
                <w:i/>
                <w:sz w:val="20"/>
                <w:szCs w:val="20"/>
              </w:rPr>
              <w:t xml:space="preserve"> </w:t>
            </w:r>
            <w:r w:rsidR="008325BD">
              <w:rPr>
                <w:rFonts w:ascii="Century Gothic" w:hAnsi="Century Gothic" w:cstheme="minorHAnsi"/>
                <w:bCs/>
                <w:sz w:val="20"/>
                <w:szCs w:val="20"/>
              </w:rPr>
              <w:t>–</w:t>
            </w:r>
            <w:r w:rsidR="00BA0DFE">
              <w:rPr>
                <w:rFonts w:ascii="Century Gothic" w:hAnsi="Century Gothic" w:cstheme="minorHAnsi"/>
                <w:bCs/>
                <w:sz w:val="20"/>
                <w:szCs w:val="20"/>
              </w:rPr>
              <w:t xml:space="preserve"> </w:t>
            </w:r>
            <w:r w:rsidR="00A04FD2">
              <w:rPr>
                <w:rFonts w:ascii="Century Gothic" w:hAnsi="Century Gothic" w:cstheme="minorHAnsi"/>
                <w:bCs/>
                <w:sz w:val="20"/>
                <w:szCs w:val="20"/>
              </w:rPr>
              <w:t>highly prestigious</w:t>
            </w:r>
            <w:r w:rsidR="00BA0DFE">
              <w:rPr>
                <w:rFonts w:ascii="Century Gothic" w:hAnsi="Century Gothic" w:cstheme="minorHAnsi"/>
                <w:bCs/>
                <w:sz w:val="20"/>
                <w:szCs w:val="20"/>
              </w:rPr>
              <w:t xml:space="preserve"> public institutions that conduct teaching and research</w:t>
            </w:r>
            <w:r w:rsidR="00A04FD2">
              <w:rPr>
                <w:rFonts w:ascii="Century Gothic" w:hAnsi="Century Gothic" w:cstheme="minorHAnsi"/>
                <w:bCs/>
                <w:sz w:val="20"/>
                <w:szCs w:val="20"/>
              </w:rPr>
              <w:t xml:space="preserve">. </w:t>
            </w:r>
            <w:r w:rsidR="00A04FD2" w:rsidRPr="00730C0D">
              <w:rPr>
                <w:rFonts w:ascii="Century Gothic" w:hAnsi="Century Gothic" w:cstheme="minorHAnsi"/>
                <w:sz w:val="20"/>
                <w:szCs w:val="20"/>
              </w:rPr>
              <w:t>S</w:t>
            </w:r>
            <w:r w:rsidR="00374E52">
              <w:rPr>
                <w:rFonts w:ascii="Century Gothic" w:hAnsi="Century Gothic" w:cstheme="minorHAnsi"/>
                <w:sz w:val="20"/>
                <w:szCs w:val="20"/>
              </w:rPr>
              <w:t>ome s</w:t>
            </w:r>
            <w:r w:rsidR="00A04FD2" w:rsidRPr="00730C0D">
              <w:rPr>
                <w:rFonts w:ascii="Century Gothic" w:hAnsi="Century Gothic" w:cstheme="minorHAnsi"/>
                <w:sz w:val="20"/>
                <w:szCs w:val="20"/>
              </w:rPr>
              <w:t xml:space="preserve">tudents must have a high school qualification plus two years of tertiary study to apply (including the preparatory classes for the grandes </w:t>
            </w:r>
            <w:r w:rsidR="00A04FD2" w:rsidRPr="00730C0D">
              <w:rPr>
                <w:rFonts w:ascii="Century Gothic" w:hAnsi="Century Gothic" w:cstheme="minorHAnsi"/>
                <w:bCs/>
                <w:sz w:val="20"/>
                <w:szCs w:val="20"/>
              </w:rPr>
              <w:t>é</w:t>
            </w:r>
            <w:r w:rsidR="00A04FD2" w:rsidRPr="00730C0D">
              <w:rPr>
                <w:rFonts w:ascii="Century Gothic" w:hAnsi="Century Gothic" w:cstheme="minorHAnsi"/>
                <w:sz w:val="20"/>
                <w:szCs w:val="20"/>
              </w:rPr>
              <w:t>coles).</w:t>
            </w:r>
            <w:r w:rsidR="00374E52">
              <w:rPr>
                <w:rFonts w:ascii="Century Gothic" w:hAnsi="Century Gothic" w:cstheme="minorHAnsi"/>
                <w:sz w:val="20"/>
                <w:szCs w:val="20"/>
              </w:rPr>
              <w:t xml:space="preserve"> </w:t>
            </w:r>
            <w:r w:rsidR="00A04FD2">
              <w:rPr>
                <w:rFonts w:ascii="Century Gothic" w:hAnsi="Century Gothic" w:cstheme="minorHAnsi"/>
                <w:sz w:val="20"/>
                <w:szCs w:val="20"/>
              </w:rPr>
              <w:t>Parallel to universities, t</w:t>
            </w:r>
            <w:r w:rsidR="00A04FD2" w:rsidRPr="00730C0D">
              <w:rPr>
                <w:rFonts w:ascii="Century Gothic" w:hAnsi="Century Gothic" w:cstheme="minorHAnsi"/>
                <w:sz w:val="20"/>
                <w:szCs w:val="20"/>
              </w:rPr>
              <w:t>hey differ from universities in terms of specialities, legal status, resources</w:t>
            </w:r>
            <w:r w:rsidR="00A04FD2">
              <w:rPr>
                <w:rFonts w:ascii="Century Gothic" w:hAnsi="Century Gothic" w:cstheme="minorHAnsi"/>
                <w:sz w:val="20"/>
                <w:szCs w:val="20"/>
              </w:rPr>
              <w:t>,</w:t>
            </w:r>
            <w:r w:rsidR="009A240C">
              <w:rPr>
                <w:rFonts w:ascii="Century Gothic" w:hAnsi="Century Gothic" w:cstheme="minorHAnsi"/>
                <w:sz w:val="20"/>
                <w:szCs w:val="20"/>
              </w:rPr>
              <w:t xml:space="preserve"> and level of instruction. </w:t>
            </w:r>
            <w:r w:rsidR="00A04FD2">
              <w:rPr>
                <w:rFonts w:ascii="Century Gothic" w:hAnsi="Century Gothic" w:cstheme="minorHAnsi"/>
                <w:sz w:val="20"/>
                <w:szCs w:val="20"/>
              </w:rPr>
              <w:t xml:space="preserve">Types of institutions include </w:t>
            </w:r>
            <w:r w:rsidR="0081713C">
              <w:rPr>
                <w:rFonts w:ascii="Century Gothic" w:hAnsi="Century Gothic" w:cstheme="minorHAnsi"/>
                <w:sz w:val="20"/>
                <w:szCs w:val="20"/>
              </w:rPr>
              <w:t>‘</w:t>
            </w:r>
            <w:r w:rsidR="00A04FD2" w:rsidRPr="00A04FD2">
              <w:rPr>
                <w:rFonts w:ascii="Century Gothic" w:hAnsi="Century Gothic" w:cstheme="minorHAnsi"/>
                <w:sz w:val="20"/>
                <w:szCs w:val="20"/>
                <w:lang w:val="fr-FR"/>
              </w:rPr>
              <w:t>écoles normales supérieures</w:t>
            </w:r>
            <w:r w:rsidR="0081713C">
              <w:rPr>
                <w:rFonts w:ascii="Century Gothic" w:hAnsi="Century Gothic" w:cstheme="minorHAnsi"/>
                <w:sz w:val="20"/>
                <w:szCs w:val="20"/>
                <w:lang w:val="fr-FR"/>
              </w:rPr>
              <w:t>’</w:t>
            </w:r>
            <w:r w:rsidR="00374E52">
              <w:rPr>
                <w:rFonts w:ascii="Century Gothic" w:hAnsi="Century Gothic" w:cstheme="minorHAnsi"/>
                <w:sz w:val="20"/>
                <w:szCs w:val="20"/>
                <w:lang w:val="fr-FR"/>
              </w:rPr>
              <w:t xml:space="preserve">, </w:t>
            </w:r>
            <w:r w:rsidR="008325BD">
              <w:rPr>
                <w:rFonts w:ascii="Century Gothic" w:hAnsi="Century Gothic" w:cstheme="minorHAnsi"/>
                <w:sz w:val="20"/>
                <w:szCs w:val="20"/>
                <w:lang w:val="fr-FR"/>
              </w:rPr>
              <w:t xml:space="preserve">‘grandes </w:t>
            </w:r>
            <w:r w:rsidR="008325BD" w:rsidRPr="00A04FD2">
              <w:rPr>
                <w:rFonts w:ascii="Century Gothic" w:hAnsi="Century Gothic" w:cstheme="minorHAnsi"/>
                <w:sz w:val="20"/>
                <w:szCs w:val="20"/>
                <w:lang w:val="fr-FR"/>
              </w:rPr>
              <w:t>é</w:t>
            </w:r>
            <w:r w:rsidR="008325BD">
              <w:rPr>
                <w:rFonts w:ascii="Century Gothic" w:hAnsi="Century Gothic" w:cstheme="minorHAnsi"/>
                <w:sz w:val="20"/>
                <w:szCs w:val="20"/>
                <w:lang w:val="fr-FR"/>
              </w:rPr>
              <w:t>coles’</w:t>
            </w:r>
            <w:r w:rsidR="00374E52">
              <w:rPr>
                <w:rFonts w:ascii="Century Gothic" w:hAnsi="Century Gothic" w:cstheme="minorHAnsi"/>
                <w:sz w:val="20"/>
                <w:szCs w:val="20"/>
                <w:lang w:val="fr-FR"/>
              </w:rPr>
              <w:t xml:space="preserve">, </w:t>
            </w:r>
            <w:r w:rsidR="00374E52" w:rsidRPr="00374E52">
              <w:rPr>
                <w:rFonts w:ascii="Century Gothic" w:hAnsi="Century Gothic" w:cstheme="minorHAnsi"/>
                <w:sz w:val="20"/>
                <w:szCs w:val="20"/>
              </w:rPr>
              <w:t>public engineering and management schools</w:t>
            </w:r>
            <w:r w:rsidR="00374E52">
              <w:rPr>
                <w:rFonts w:ascii="Century Gothic" w:hAnsi="Century Gothic" w:cstheme="minorHAnsi"/>
                <w:sz w:val="20"/>
                <w:szCs w:val="20"/>
              </w:rPr>
              <w:t>, and some a</w:t>
            </w:r>
            <w:r w:rsidR="00374E52" w:rsidRPr="00374E52">
              <w:rPr>
                <w:rFonts w:ascii="Century Gothic" w:hAnsi="Century Gothic" w:cstheme="minorHAnsi"/>
                <w:sz w:val="20"/>
                <w:szCs w:val="20"/>
              </w:rPr>
              <w:t>dministrative schools, etc</w:t>
            </w:r>
            <w:r w:rsidR="008325BD">
              <w:rPr>
                <w:rFonts w:ascii="Century Gothic" w:hAnsi="Century Gothic" w:cstheme="minorHAnsi"/>
                <w:sz w:val="20"/>
                <w:szCs w:val="20"/>
                <w:lang w:val="fr-FR"/>
              </w:rPr>
              <w:t xml:space="preserve">. </w:t>
            </w:r>
          </w:p>
          <w:p w14:paraId="5BADF8BD" w14:textId="3A9D4D4C" w:rsidR="00AE13A0" w:rsidRPr="00D41D97" w:rsidRDefault="00A04FD2" w:rsidP="00D41D97">
            <w:pPr>
              <w:pStyle w:val="ListParagraph"/>
              <w:numPr>
                <w:ilvl w:val="0"/>
                <w:numId w:val="63"/>
              </w:numPr>
              <w:spacing w:before="0" w:after="0"/>
              <w:ind w:left="425" w:right="-108" w:hanging="283"/>
              <w:rPr>
                <w:rFonts w:ascii="Century Gothic" w:hAnsi="Century Gothic" w:cstheme="minorHAnsi"/>
                <w:bCs/>
                <w:i/>
                <w:sz w:val="20"/>
                <w:szCs w:val="20"/>
              </w:rPr>
            </w:pPr>
            <w:r w:rsidRPr="00D41D97">
              <w:rPr>
                <w:rFonts w:ascii="Century Gothic" w:hAnsi="Century Gothic" w:cstheme="minorHAnsi"/>
                <w:i/>
                <w:sz w:val="20"/>
                <w:szCs w:val="20"/>
              </w:rPr>
              <w:t>French</w:t>
            </w:r>
            <w:r w:rsidRPr="00D41D97">
              <w:rPr>
                <w:rFonts w:ascii="Century Gothic" w:hAnsi="Century Gothic" w:cstheme="minorHAnsi"/>
                <w:bCs/>
                <w:i/>
                <w:sz w:val="20"/>
                <w:szCs w:val="20"/>
              </w:rPr>
              <w:t xml:space="preserve"> Schools abroad</w:t>
            </w:r>
            <w:r w:rsidR="008325BD" w:rsidRPr="007B4927">
              <w:rPr>
                <w:rFonts w:ascii="Century Gothic" w:hAnsi="Century Gothic" w:cstheme="minorHAnsi"/>
                <w:bCs/>
                <w:i/>
                <w:sz w:val="20"/>
                <w:szCs w:val="20"/>
              </w:rPr>
              <w:t xml:space="preserve"> </w:t>
            </w:r>
            <w:r w:rsidR="008325BD">
              <w:rPr>
                <w:rFonts w:ascii="Century Gothic" w:hAnsi="Century Gothic" w:cstheme="minorHAnsi"/>
                <w:bCs/>
                <w:sz w:val="20"/>
                <w:szCs w:val="20"/>
              </w:rPr>
              <w:t xml:space="preserve">– </w:t>
            </w:r>
            <w:r w:rsidR="00C61472">
              <w:rPr>
                <w:rFonts w:ascii="Century Gothic" w:hAnsi="Century Gothic" w:cstheme="minorHAnsi"/>
                <w:bCs/>
                <w:sz w:val="20"/>
                <w:szCs w:val="20"/>
              </w:rPr>
              <w:t xml:space="preserve">institutions that offer </w:t>
            </w:r>
            <w:r w:rsidR="00240CE7">
              <w:rPr>
                <w:rFonts w:ascii="Century Gothic" w:hAnsi="Century Gothic" w:cstheme="minorHAnsi"/>
                <w:bCs/>
                <w:sz w:val="20"/>
                <w:szCs w:val="20"/>
              </w:rPr>
              <w:t>D</w:t>
            </w:r>
            <w:r w:rsidR="00C61472">
              <w:rPr>
                <w:rFonts w:ascii="Century Gothic" w:hAnsi="Century Gothic" w:cstheme="minorHAnsi"/>
                <w:bCs/>
                <w:sz w:val="20"/>
                <w:szCs w:val="20"/>
              </w:rPr>
              <w:t xml:space="preserve">octoral and </w:t>
            </w:r>
            <w:r w:rsidR="009A240C">
              <w:rPr>
                <w:rFonts w:ascii="Century Gothic" w:hAnsi="Century Gothic" w:cstheme="minorHAnsi"/>
                <w:bCs/>
                <w:sz w:val="20"/>
                <w:szCs w:val="20"/>
              </w:rPr>
              <w:br/>
            </w:r>
            <w:r w:rsidR="00C61472">
              <w:rPr>
                <w:rFonts w:ascii="Century Gothic" w:hAnsi="Century Gothic" w:cstheme="minorHAnsi"/>
                <w:bCs/>
                <w:sz w:val="20"/>
                <w:szCs w:val="20"/>
              </w:rPr>
              <w:t>post</w:t>
            </w:r>
            <w:r w:rsidR="00240CE7">
              <w:rPr>
                <w:rFonts w:ascii="Century Gothic" w:hAnsi="Century Gothic" w:cstheme="minorHAnsi"/>
                <w:bCs/>
                <w:sz w:val="20"/>
                <w:szCs w:val="20"/>
              </w:rPr>
              <w:t>d</w:t>
            </w:r>
            <w:r w:rsidR="00C61472">
              <w:rPr>
                <w:rFonts w:ascii="Century Gothic" w:hAnsi="Century Gothic" w:cstheme="minorHAnsi"/>
                <w:bCs/>
                <w:sz w:val="20"/>
                <w:szCs w:val="20"/>
              </w:rPr>
              <w:t>octoral French studies in five countries, conduct research and encourage cultural collaboration.</w:t>
            </w:r>
          </w:p>
          <w:p w14:paraId="633F58EC" w14:textId="607DE9AD" w:rsidR="009C509D" w:rsidRPr="00D41D97" w:rsidRDefault="00AE13A0" w:rsidP="00D41D97">
            <w:pPr>
              <w:pStyle w:val="ListParagraph"/>
              <w:numPr>
                <w:ilvl w:val="0"/>
                <w:numId w:val="63"/>
              </w:numPr>
              <w:spacing w:before="0" w:after="0"/>
              <w:ind w:left="425" w:right="-108" w:hanging="283"/>
              <w:rPr>
                <w:rFonts w:ascii="Century Gothic" w:hAnsi="Century Gothic" w:cstheme="minorHAnsi"/>
                <w:bCs/>
                <w:i/>
                <w:sz w:val="20"/>
                <w:szCs w:val="20"/>
              </w:rPr>
            </w:pPr>
            <w:r w:rsidRPr="00D41D97">
              <w:rPr>
                <w:rFonts w:ascii="Century Gothic" w:hAnsi="Century Gothic" w:cstheme="minorHAnsi"/>
                <w:i/>
                <w:sz w:val="20"/>
                <w:szCs w:val="20"/>
              </w:rPr>
              <w:t>Communities</w:t>
            </w:r>
            <w:r w:rsidRPr="00D41D97">
              <w:rPr>
                <w:rFonts w:ascii="Century Gothic" w:hAnsi="Century Gothic" w:cstheme="minorHAnsi"/>
                <w:bCs/>
                <w:i/>
                <w:sz w:val="20"/>
                <w:szCs w:val="20"/>
              </w:rPr>
              <w:t xml:space="preserve"> of Universities and Schools</w:t>
            </w:r>
            <w:r w:rsidR="0081713C">
              <w:rPr>
                <w:rFonts w:ascii="Century Gothic" w:hAnsi="Century Gothic" w:cstheme="minorHAnsi"/>
                <w:bCs/>
                <w:i/>
                <w:sz w:val="20"/>
                <w:szCs w:val="20"/>
              </w:rPr>
              <w:t xml:space="preserve"> (COMUE)</w:t>
            </w:r>
            <w:r w:rsidR="008325BD">
              <w:rPr>
                <w:rFonts w:ascii="Century Gothic" w:hAnsi="Century Gothic" w:cstheme="minorHAnsi"/>
                <w:bCs/>
                <w:i/>
                <w:sz w:val="20"/>
                <w:szCs w:val="20"/>
              </w:rPr>
              <w:t xml:space="preserve"> </w:t>
            </w:r>
            <w:r w:rsidR="008325BD">
              <w:rPr>
                <w:rFonts w:ascii="Century Gothic" w:hAnsi="Century Gothic" w:cstheme="minorHAnsi"/>
                <w:bCs/>
                <w:sz w:val="20"/>
                <w:szCs w:val="20"/>
              </w:rPr>
              <w:t xml:space="preserve">– </w:t>
            </w:r>
            <w:r w:rsidR="0081713C" w:rsidRPr="00D41D97">
              <w:rPr>
                <w:rFonts w:ascii="Century Gothic" w:hAnsi="Century Gothic" w:cstheme="minorHAnsi"/>
                <w:bCs/>
                <w:sz w:val="20"/>
                <w:szCs w:val="20"/>
                <w:lang w:val="en"/>
              </w:rPr>
              <w:t xml:space="preserve">higher education institutions can pool their activities and resources </w:t>
            </w:r>
            <w:r w:rsidR="00C61472">
              <w:rPr>
                <w:rFonts w:ascii="Century Gothic" w:hAnsi="Century Gothic" w:cstheme="minorHAnsi"/>
                <w:bCs/>
                <w:sz w:val="20"/>
                <w:szCs w:val="20"/>
                <w:lang w:val="en"/>
              </w:rPr>
              <w:t>to conduct research, offer qualifications and improve the quality of student life</w:t>
            </w:r>
            <w:r w:rsidR="0081713C">
              <w:rPr>
                <w:rFonts w:ascii="Century Gothic" w:hAnsi="Century Gothic" w:cstheme="minorHAnsi"/>
                <w:bCs/>
                <w:sz w:val="20"/>
                <w:szCs w:val="20"/>
                <w:lang w:val="en"/>
              </w:rPr>
              <w:t xml:space="preserve">. </w:t>
            </w:r>
            <w:r w:rsidR="008325BD">
              <w:rPr>
                <w:rFonts w:ascii="Century Gothic" w:hAnsi="Century Gothic" w:cstheme="minorHAnsi"/>
                <w:bCs/>
                <w:sz w:val="20"/>
                <w:szCs w:val="20"/>
                <w:lang w:val="en"/>
              </w:rPr>
              <w:t xml:space="preserve"> </w:t>
            </w:r>
          </w:p>
          <w:p w14:paraId="3731F36E" w14:textId="77777777" w:rsidR="009A240C" w:rsidRPr="00730C0D" w:rsidRDefault="009A240C" w:rsidP="00FE78DE">
            <w:pPr>
              <w:spacing w:before="0" w:after="0" w:line="259" w:lineRule="auto"/>
              <w:rPr>
                <w:rFonts w:ascii="Century Gothic" w:hAnsi="Century Gothic" w:cstheme="minorHAnsi"/>
                <w:b/>
                <w:sz w:val="20"/>
                <w:szCs w:val="20"/>
              </w:rPr>
            </w:pPr>
          </w:p>
          <w:p w14:paraId="64301347" w14:textId="5A5CBB35" w:rsidR="0014243A" w:rsidRPr="00730C0D" w:rsidRDefault="00FE78DE" w:rsidP="0014243A">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Private higher education institutes: </w:t>
            </w:r>
            <w:r w:rsidR="0014243A" w:rsidRPr="00D41D97">
              <w:rPr>
                <w:rFonts w:ascii="Century Gothic" w:hAnsi="Century Gothic" w:cstheme="minorHAnsi"/>
                <w:sz w:val="20"/>
                <w:szCs w:val="20"/>
              </w:rPr>
              <w:t xml:space="preserve">generally </w:t>
            </w:r>
            <w:r w:rsidRPr="0014243A">
              <w:rPr>
                <w:rFonts w:ascii="Century Gothic" w:hAnsi="Century Gothic" w:cstheme="minorHAnsi"/>
                <w:sz w:val="20"/>
                <w:szCs w:val="20"/>
              </w:rPr>
              <w:t>engineering</w:t>
            </w:r>
            <w:r w:rsidRPr="00730C0D">
              <w:rPr>
                <w:rFonts w:ascii="Century Gothic" w:hAnsi="Century Gothic" w:cstheme="minorHAnsi"/>
                <w:sz w:val="20"/>
                <w:szCs w:val="20"/>
              </w:rPr>
              <w:t>, business</w:t>
            </w:r>
            <w:r w:rsidR="0014243A">
              <w:rPr>
                <w:rFonts w:ascii="Century Gothic" w:hAnsi="Century Gothic" w:cstheme="minorHAnsi"/>
                <w:sz w:val="20"/>
                <w:szCs w:val="20"/>
              </w:rPr>
              <w:t>,</w:t>
            </w:r>
            <w:r w:rsidRPr="00730C0D">
              <w:rPr>
                <w:rFonts w:ascii="Century Gothic" w:hAnsi="Century Gothic" w:cstheme="minorHAnsi"/>
                <w:sz w:val="20"/>
                <w:szCs w:val="20"/>
              </w:rPr>
              <w:t xml:space="preserve"> and management institutions</w:t>
            </w:r>
            <w:r w:rsidR="009A240C">
              <w:rPr>
                <w:rFonts w:ascii="Century Gothic" w:hAnsi="Century Gothic" w:cstheme="minorHAnsi"/>
                <w:sz w:val="20"/>
                <w:szCs w:val="20"/>
              </w:rPr>
              <w:t>. They</w:t>
            </w:r>
            <w:r w:rsidR="0014243A">
              <w:rPr>
                <w:rFonts w:ascii="Century Gothic" w:hAnsi="Century Gothic" w:cstheme="minorHAnsi"/>
                <w:sz w:val="20"/>
                <w:szCs w:val="20"/>
              </w:rPr>
              <w:t xml:space="preserve"> </w:t>
            </w:r>
            <w:r w:rsidR="0014243A" w:rsidRPr="00730C0D">
              <w:rPr>
                <w:rFonts w:ascii="Century Gothic" w:hAnsi="Century Gothic" w:cstheme="minorHAnsi"/>
                <w:sz w:val="20"/>
                <w:szCs w:val="20"/>
              </w:rPr>
              <w:t xml:space="preserve">may be </w:t>
            </w:r>
            <w:r w:rsidR="0014243A">
              <w:rPr>
                <w:rFonts w:ascii="Century Gothic" w:hAnsi="Century Gothic" w:cstheme="minorHAnsi"/>
                <w:sz w:val="20"/>
                <w:szCs w:val="20"/>
              </w:rPr>
              <w:t>attached to a public institution, such as a university</w:t>
            </w:r>
            <w:r w:rsidRPr="00730C0D">
              <w:rPr>
                <w:rFonts w:ascii="Century Gothic" w:hAnsi="Century Gothic" w:cstheme="minorHAnsi"/>
                <w:sz w:val="20"/>
                <w:szCs w:val="20"/>
              </w:rPr>
              <w:t>.</w:t>
            </w:r>
            <w:r w:rsidR="003E1D27">
              <w:rPr>
                <w:rFonts w:ascii="Century Gothic" w:hAnsi="Century Gothic" w:cstheme="minorHAnsi"/>
                <w:sz w:val="20"/>
                <w:szCs w:val="20"/>
              </w:rPr>
              <w:t xml:space="preserve"> </w:t>
            </w:r>
            <w:r w:rsidR="009A240C">
              <w:rPr>
                <w:rFonts w:ascii="Century Gothic" w:hAnsi="Century Gothic" w:cstheme="minorHAnsi"/>
                <w:sz w:val="20"/>
                <w:szCs w:val="20"/>
              </w:rPr>
              <w:t>Normally</w:t>
            </w:r>
            <w:r w:rsidR="003E1D27">
              <w:rPr>
                <w:rFonts w:ascii="Century Gothic" w:hAnsi="Century Gothic" w:cstheme="minorHAnsi"/>
                <w:sz w:val="20"/>
                <w:szCs w:val="20"/>
              </w:rPr>
              <w:t>,</w:t>
            </w:r>
            <w:r w:rsidR="0014243A">
              <w:rPr>
                <w:rFonts w:ascii="Century Gothic" w:hAnsi="Century Gothic" w:cstheme="minorHAnsi"/>
                <w:sz w:val="20"/>
                <w:szCs w:val="20"/>
              </w:rPr>
              <w:t xml:space="preserve"> </w:t>
            </w:r>
            <w:r w:rsidR="003E1D27">
              <w:rPr>
                <w:rFonts w:ascii="Century Gothic" w:hAnsi="Century Gothic" w:cstheme="minorHAnsi"/>
                <w:sz w:val="20"/>
                <w:szCs w:val="20"/>
              </w:rPr>
              <w:t>t</w:t>
            </w:r>
            <w:r w:rsidR="0014243A">
              <w:rPr>
                <w:rFonts w:ascii="Century Gothic" w:hAnsi="Century Gothic" w:cstheme="minorHAnsi"/>
                <w:sz w:val="20"/>
                <w:szCs w:val="20"/>
              </w:rPr>
              <w:t xml:space="preserve">hey cannot offer national qualifications such as </w:t>
            </w:r>
            <w:r w:rsidR="009A240C">
              <w:rPr>
                <w:rFonts w:ascii="Century Gothic" w:hAnsi="Century Gothic" w:cstheme="minorHAnsi"/>
                <w:sz w:val="20"/>
                <w:szCs w:val="20"/>
              </w:rPr>
              <w:t>undergraduate and postgraduate</w:t>
            </w:r>
            <w:r w:rsidR="0014243A">
              <w:rPr>
                <w:rFonts w:ascii="Century Gothic" w:hAnsi="Century Gothic" w:cstheme="minorHAnsi"/>
                <w:sz w:val="20"/>
                <w:szCs w:val="20"/>
              </w:rPr>
              <w:t xml:space="preserve"> degrees</w:t>
            </w:r>
            <w:r w:rsidR="003E1D27">
              <w:rPr>
                <w:rFonts w:ascii="Century Gothic" w:hAnsi="Century Gothic" w:cstheme="minorHAnsi"/>
                <w:sz w:val="20"/>
                <w:szCs w:val="20"/>
              </w:rPr>
              <w:t>, however can do so if granted authorisation by the Ministry</w:t>
            </w:r>
            <w:r w:rsidR="0014243A">
              <w:rPr>
                <w:rFonts w:ascii="Century Gothic" w:hAnsi="Century Gothic" w:cstheme="minorHAnsi"/>
                <w:sz w:val="20"/>
                <w:szCs w:val="20"/>
              </w:rPr>
              <w:t xml:space="preserve">. </w:t>
            </w:r>
            <w:r w:rsidR="0014243A" w:rsidRPr="00730C0D">
              <w:rPr>
                <w:rFonts w:ascii="Century Gothic" w:hAnsi="Century Gothic" w:cstheme="minorHAnsi"/>
                <w:sz w:val="20"/>
                <w:szCs w:val="20"/>
              </w:rPr>
              <w:t>Private institutions must be registered with the Ministry</w:t>
            </w:r>
            <w:r w:rsidR="00C61472">
              <w:rPr>
                <w:rFonts w:ascii="Century Gothic" w:hAnsi="Century Gothic" w:cstheme="minorHAnsi"/>
                <w:sz w:val="20"/>
                <w:szCs w:val="20"/>
              </w:rPr>
              <w:t xml:space="preserve"> which</w:t>
            </w:r>
            <w:r w:rsidR="0014243A">
              <w:rPr>
                <w:rFonts w:ascii="Century Gothic" w:hAnsi="Century Gothic" w:cstheme="minorHAnsi"/>
                <w:sz w:val="20"/>
                <w:szCs w:val="20"/>
              </w:rPr>
              <w:t xml:space="preserve"> signals to the public that the State recognises the quality of the institution.</w:t>
            </w:r>
          </w:p>
          <w:p w14:paraId="4B8636A9" w14:textId="77777777" w:rsidR="00FE78DE" w:rsidRPr="00943927" w:rsidRDefault="00FE78DE" w:rsidP="00FE78DE">
            <w:pPr>
              <w:spacing w:before="0" w:after="0" w:line="259" w:lineRule="auto"/>
              <w:rPr>
                <w:rFonts w:ascii="Century Gothic" w:hAnsi="Century Gothic" w:cstheme="minorHAnsi"/>
                <w:sz w:val="8"/>
                <w:szCs w:val="8"/>
              </w:rPr>
            </w:pPr>
          </w:p>
          <w:p w14:paraId="4B7A381D" w14:textId="33F1250E" w:rsidR="002C7EB8" w:rsidRPr="00610C0D" w:rsidRDefault="00FE78DE" w:rsidP="00D41D97">
            <w:pPr>
              <w:spacing w:before="0" w:after="0"/>
              <w:rPr>
                <w:rFonts w:ascii="Century Gothic" w:hAnsi="Century Gothic" w:cstheme="minorHAnsi"/>
                <w:sz w:val="12"/>
                <w:szCs w:val="12"/>
              </w:rPr>
            </w:pPr>
            <w:r w:rsidRPr="00610C0D">
              <w:rPr>
                <w:rFonts w:ascii="Century Gothic" w:hAnsi="Century Gothic" w:cstheme="minorHAnsi"/>
                <w:sz w:val="12"/>
                <w:szCs w:val="12"/>
              </w:rPr>
              <w:t>Source</w:t>
            </w:r>
            <w:r w:rsidR="009A240C" w:rsidRPr="00610C0D">
              <w:rPr>
                <w:rFonts w:ascii="Century Gothic" w:hAnsi="Century Gothic" w:cstheme="minorHAnsi"/>
                <w:sz w:val="12"/>
                <w:szCs w:val="12"/>
              </w:rPr>
              <w:t>s</w:t>
            </w:r>
            <w:r w:rsidRPr="00610C0D">
              <w:rPr>
                <w:rFonts w:ascii="Century Gothic" w:hAnsi="Century Gothic" w:cstheme="minorHAnsi"/>
                <w:sz w:val="12"/>
                <w:szCs w:val="12"/>
              </w:rPr>
              <w:t xml:space="preserve">: </w:t>
            </w:r>
          </w:p>
          <w:p w14:paraId="3710F87C" w14:textId="77777777" w:rsidR="00610C0D" w:rsidRPr="00610C0D" w:rsidRDefault="00610C0D" w:rsidP="00D41D97">
            <w:pPr>
              <w:pStyle w:val="ListParagraph"/>
              <w:numPr>
                <w:ilvl w:val="0"/>
                <w:numId w:val="75"/>
              </w:numPr>
              <w:spacing w:before="0" w:after="0"/>
              <w:ind w:left="179" w:hanging="142"/>
              <w:rPr>
                <w:rFonts w:ascii="Century Gothic" w:hAnsi="Century Gothic" w:cstheme="minorHAnsi"/>
                <w:sz w:val="12"/>
                <w:szCs w:val="12"/>
              </w:rPr>
            </w:pPr>
            <w:r w:rsidRPr="00610C0D">
              <w:rPr>
                <w:rFonts w:ascii="Century Gothic" w:hAnsi="Century Gothic" w:cs="Calibri"/>
                <w:color w:val="000000"/>
                <w:sz w:val="12"/>
                <w:szCs w:val="12"/>
                <w:lang w:val="en-US"/>
              </w:rPr>
              <w:t>Hc</w:t>
            </w:r>
            <w:r w:rsidRPr="00610C0D">
              <w:rPr>
                <w:rFonts w:ascii="Century Gothic" w:hAnsi="Century Gothic" w:cstheme="minorHAnsi"/>
                <w:sz w:val="12"/>
                <w:szCs w:val="12"/>
                <w:lang w:val="en"/>
              </w:rPr>
              <w:t>éres</w:t>
            </w:r>
            <w:r w:rsidRPr="00610C0D">
              <w:rPr>
                <w:rFonts w:ascii="Century Gothic" w:hAnsi="Century Gothic" w:cstheme="minorHAnsi"/>
                <w:sz w:val="12"/>
                <w:szCs w:val="12"/>
              </w:rPr>
              <w:t xml:space="preserve">. (n.d.). </w:t>
            </w:r>
            <w:r w:rsidRPr="00610C0D">
              <w:rPr>
                <w:rFonts w:ascii="Century Gothic" w:hAnsi="Century Gothic" w:cstheme="minorHAnsi"/>
                <w:i/>
                <w:sz w:val="12"/>
                <w:szCs w:val="12"/>
                <w:lang w:val="fr-FR"/>
              </w:rPr>
              <w:t>Enseignement supérieur, recherche en France: Panorama et évolution externe</w:t>
            </w:r>
            <w:r w:rsidRPr="00610C0D">
              <w:rPr>
                <w:rFonts w:ascii="Century Gothic" w:hAnsi="Century Gothic" w:cstheme="minorHAnsi"/>
                <w:sz w:val="12"/>
                <w:szCs w:val="12"/>
                <w:lang w:val="fr-FR"/>
              </w:rPr>
              <w:t>. Retrieved from:</w:t>
            </w:r>
            <w:r w:rsidRPr="00610C0D">
              <w:rPr>
                <w:rFonts w:ascii="Century Gothic" w:hAnsi="Century Gothic" w:cstheme="minorHAnsi"/>
                <w:sz w:val="12"/>
                <w:szCs w:val="12"/>
              </w:rPr>
              <w:t xml:space="preserve"> </w:t>
            </w:r>
            <w:hyperlink r:id="rId54" w:history="1">
              <w:r w:rsidRPr="00610C0D">
                <w:rPr>
                  <w:rStyle w:val="Hyperlink"/>
                  <w:rFonts w:ascii="Century Gothic" w:hAnsi="Century Gothic" w:cstheme="minorHAnsi"/>
                  <w:sz w:val="12"/>
                  <w:szCs w:val="12"/>
                </w:rPr>
                <w:t>https://www.hceres.fr/fr/enseignement-superieur-recherche-en-france-panorama-et-evolution-externe</w:t>
              </w:r>
            </w:hyperlink>
            <w:r w:rsidRPr="00610C0D">
              <w:rPr>
                <w:rFonts w:ascii="Century Gothic" w:hAnsi="Century Gothic" w:cstheme="minorHAnsi"/>
                <w:sz w:val="12"/>
                <w:szCs w:val="12"/>
              </w:rPr>
              <w:t xml:space="preserve">;  </w:t>
            </w:r>
          </w:p>
          <w:p w14:paraId="2119864A" w14:textId="77777777" w:rsidR="00610C0D" w:rsidRPr="00610C0D" w:rsidRDefault="00610C0D" w:rsidP="00D41D97">
            <w:pPr>
              <w:pStyle w:val="ListParagraph"/>
              <w:numPr>
                <w:ilvl w:val="0"/>
                <w:numId w:val="75"/>
              </w:numPr>
              <w:spacing w:before="0" w:after="0"/>
              <w:ind w:left="179" w:hanging="142"/>
              <w:rPr>
                <w:rFonts w:ascii="Century Gothic" w:hAnsi="Century Gothic" w:cstheme="minorHAnsi"/>
                <w:sz w:val="12"/>
                <w:szCs w:val="12"/>
              </w:rPr>
            </w:pPr>
            <w:r w:rsidRPr="00610C0D">
              <w:rPr>
                <w:rFonts w:ascii="Century Gothic" w:hAnsi="Century Gothic" w:cstheme="minorHAnsi"/>
                <w:sz w:val="12"/>
                <w:szCs w:val="12"/>
                <w:lang w:val="en"/>
              </w:rPr>
              <w:t>LegiFrance</w:t>
            </w:r>
            <w:r w:rsidRPr="00610C0D">
              <w:rPr>
                <w:rFonts w:ascii="Century Gothic" w:hAnsi="Century Gothic" w:cstheme="minorHAnsi"/>
                <w:sz w:val="12"/>
                <w:szCs w:val="12"/>
              </w:rPr>
              <w:t xml:space="preserve">. (2019). </w:t>
            </w:r>
            <w:r w:rsidRPr="00610C0D">
              <w:rPr>
                <w:rFonts w:ascii="Century Gothic" w:hAnsi="Century Gothic" w:cstheme="minorHAnsi"/>
                <w:i/>
                <w:sz w:val="12"/>
                <w:szCs w:val="12"/>
              </w:rPr>
              <w:t>Code de l’</w:t>
            </w:r>
            <w:r w:rsidRPr="00610C0D">
              <w:rPr>
                <w:rFonts w:ascii="Century Gothic" w:hAnsi="Century Gothic" w:cstheme="minorHAnsi"/>
                <w:i/>
                <w:sz w:val="12"/>
                <w:szCs w:val="12"/>
                <w:lang w:val="fr-FR"/>
              </w:rPr>
              <w:t>éducation</w:t>
            </w:r>
            <w:r w:rsidRPr="00610C0D">
              <w:rPr>
                <w:rFonts w:ascii="Century Gothic" w:hAnsi="Century Gothic" w:cstheme="minorHAnsi"/>
                <w:sz w:val="12"/>
                <w:szCs w:val="12"/>
                <w:lang w:val="fr-FR"/>
              </w:rPr>
              <w:t xml:space="preserve">. Retrieved from: </w:t>
            </w:r>
            <w:hyperlink r:id="rId55" w:history="1">
              <w:r w:rsidRPr="00610C0D">
                <w:rPr>
                  <w:rStyle w:val="Hyperlink"/>
                  <w:rFonts w:ascii="Century Gothic" w:hAnsi="Century Gothic" w:cstheme="minorHAnsi"/>
                  <w:sz w:val="12"/>
                  <w:szCs w:val="12"/>
                  <w:lang w:val="fr-FR"/>
                </w:rPr>
                <w:t>http://www.legifrance.gouv.fr/affichCode.do?cidTexte=LEGITEXT000006071191</w:t>
              </w:r>
            </w:hyperlink>
            <w:r w:rsidRPr="00610C0D">
              <w:rPr>
                <w:rFonts w:ascii="Century Gothic" w:hAnsi="Century Gothic" w:cstheme="minorHAnsi"/>
                <w:sz w:val="12"/>
                <w:szCs w:val="12"/>
                <w:lang w:val="fr-FR"/>
              </w:rPr>
              <w:t xml:space="preserve">; </w:t>
            </w:r>
          </w:p>
          <w:p w14:paraId="6B41852B" w14:textId="77777777" w:rsidR="00610C0D" w:rsidRPr="00610C0D" w:rsidRDefault="00610C0D" w:rsidP="00D41D97">
            <w:pPr>
              <w:pStyle w:val="ListParagraph"/>
              <w:numPr>
                <w:ilvl w:val="0"/>
                <w:numId w:val="75"/>
              </w:numPr>
              <w:spacing w:before="0" w:after="0"/>
              <w:ind w:left="179" w:hanging="142"/>
              <w:rPr>
                <w:rFonts w:ascii="Century Gothic" w:hAnsi="Century Gothic" w:cstheme="minorHAnsi"/>
                <w:sz w:val="12"/>
                <w:szCs w:val="12"/>
              </w:rPr>
            </w:pPr>
            <w:r w:rsidRPr="00610C0D">
              <w:rPr>
                <w:rFonts w:ascii="Century Gothic" w:hAnsi="Century Gothic" w:cstheme="minorHAnsi"/>
                <w:sz w:val="12"/>
                <w:szCs w:val="12"/>
              </w:rPr>
              <w:t>Ministère de l’Enseignement Sup</w:t>
            </w:r>
            <w:r w:rsidRPr="00610C0D">
              <w:rPr>
                <w:rFonts w:ascii="Century Gothic" w:hAnsi="Century Gothic" w:cstheme="minorHAnsi"/>
                <w:sz w:val="12"/>
                <w:szCs w:val="12"/>
                <w:lang w:val="en"/>
              </w:rPr>
              <w:t>é</w:t>
            </w:r>
            <w:r w:rsidRPr="00610C0D">
              <w:rPr>
                <w:rFonts w:ascii="Century Gothic" w:hAnsi="Century Gothic" w:cstheme="minorHAnsi"/>
                <w:sz w:val="12"/>
                <w:szCs w:val="12"/>
              </w:rPr>
              <w:t xml:space="preserve">rieur, de la Recherche et de l’Innovation. (n.d). </w:t>
            </w:r>
            <w:r w:rsidRPr="00610C0D">
              <w:rPr>
                <w:rFonts w:ascii="Century Gothic" w:hAnsi="Century Gothic" w:cstheme="minorHAnsi"/>
                <w:i/>
                <w:sz w:val="12"/>
                <w:szCs w:val="12"/>
              </w:rPr>
              <w:t>Etablissements</w:t>
            </w:r>
            <w:r w:rsidRPr="00610C0D">
              <w:rPr>
                <w:rFonts w:ascii="Century Gothic" w:hAnsi="Century Gothic" w:cstheme="minorHAnsi"/>
                <w:sz w:val="12"/>
                <w:szCs w:val="12"/>
              </w:rPr>
              <w:t xml:space="preserve">. Retrieved from: </w:t>
            </w:r>
            <w:hyperlink r:id="rId56" w:history="1">
              <w:r w:rsidRPr="00610C0D">
                <w:rPr>
                  <w:rStyle w:val="Hyperlink"/>
                  <w:rFonts w:ascii="Century Gothic" w:hAnsi="Century Gothic" w:cstheme="minorHAnsi"/>
                  <w:sz w:val="12"/>
                  <w:szCs w:val="12"/>
                </w:rPr>
                <w:t>http://www.enseignementsup-recherche.gouv.fr/pid24598/etablissements.html</w:t>
              </w:r>
            </w:hyperlink>
            <w:r w:rsidRPr="00610C0D">
              <w:rPr>
                <w:rFonts w:ascii="Century Gothic" w:hAnsi="Century Gothic" w:cstheme="minorHAnsi"/>
                <w:sz w:val="12"/>
                <w:szCs w:val="12"/>
              </w:rPr>
              <w:t xml:space="preserve">; </w:t>
            </w:r>
          </w:p>
          <w:p w14:paraId="4B9EBCFB" w14:textId="536F3B50" w:rsidR="00610C0D" w:rsidRPr="00610C0D" w:rsidRDefault="00610C0D" w:rsidP="00A43D22">
            <w:pPr>
              <w:pStyle w:val="ListParagraph"/>
              <w:numPr>
                <w:ilvl w:val="0"/>
                <w:numId w:val="75"/>
              </w:numPr>
              <w:spacing w:before="0" w:after="0"/>
              <w:ind w:left="179" w:hanging="142"/>
              <w:rPr>
                <w:rFonts w:ascii="Century Gothic" w:hAnsi="Century Gothic" w:cstheme="minorHAnsi"/>
                <w:sz w:val="12"/>
                <w:szCs w:val="12"/>
              </w:rPr>
            </w:pPr>
            <w:r w:rsidRPr="00610C0D">
              <w:rPr>
                <w:rFonts w:ascii="Century Gothic" w:hAnsi="Century Gothic" w:cstheme="minorHAnsi"/>
                <w:sz w:val="12"/>
                <w:szCs w:val="12"/>
                <w:lang w:val="en"/>
              </w:rPr>
              <w:t>Ministère</w:t>
            </w:r>
            <w:r w:rsidRPr="00610C0D">
              <w:rPr>
                <w:rFonts w:ascii="Century Gothic" w:hAnsi="Century Gothic" w:cstheme="minorHAnsi"/>
                <w:sz w:val="12"/>
                <w:szCs w:val="12"/>
              </w:rPr>
              <w:t xml:space="preserve"> de l’Enseignement Sup</w:t>
            </w:r>
            <w:r w:rsidRPr="00610C0D">
              <w:rPr>
                <w:rFonts w:ascii="Century Gothic" w:hAnsi="Century Gothic" w:cstheme="minorHAnsi"/>
                <w:sz w:val="12"/>
                <w:szCs w:val="12"/>
                <w:lang w:val="en"/>
              </w:rPr>
              <w:t>é</w:t>
            </w:r>
            <w:r w:rsidRPr="00610C0D">
              <w:rPr>
                <w:rFonts w:ascii="Century Gothic" w:hAnsi="Century Gothic" w:cstheme="minorHAnsi"/>
                <w:sz w:val="12"/>
                <w:szCs w:val="12"/>
              </w:rPr>
              <w:t xml:space="preserve">rieur, de la Recherche et de l’Innovation. (2019). </w:t>
            </w:r>
            <w:r w:rsidRPr="00610C0D">
              <w:rPr>
                <w:rFonts w:ascii="Century Gothic" w:hAnsi="Century Gothic" w:cstheme="minorHAnsi"/>
                <w:i/>
                <w:sz w:val="12"/>
                <w:szCs w:val="12"/>
                <w:lang w:val="fr-FR"/>
              </w:rPr>
              <w:t>Écoles françaises à l'étranger.</w:t>
            </w:r>
            <w:r w:rsidRPr="00610C0D">
              <w:rPr>
                <w:rFonts w:ascii="Century Gothic" w:hAnsi="Century Gothic" w:cstheme="minorHAnsi"/>
                <w:sz w:val="12"/>
                <w:szCs w:val="12"/>
                <w:lang w:val="fr-FR"/>
              </w:rPr>
              <w:t xml:space="preserve"> Retrieved from: </w:t>
            </w:r>
            <w:r w:rsidRPr="00610C0D">
              <w:rPr>
                <w:rFonts w:ascii="Century Gothic" w:hAnsi="Century Gothic" w:cstheme="minorHAnsi"/>
                <w:sz w:val="12"/>
                <w:szCs w:val="12"/>
                <w:lang w:val="fr-FR"/>
              </w:rPr>
              <w:br/>
            </w:r>
            <w:hyperlink r:id="rId57" w:history="1">
              <w:r w:rsidRPr="00610C0D">
                <w:rPr>
                  <w:rStyle w:val="Hyperlink"/>
                  <w:rFonts w:ascii="Century Gothic" w:hAnsi="Century Gothic" w:cstheme="minorHAnsi"/>
                  <w:sz w:val="12"/>
                  <w:szCs w:val="12"/>
                  <w:lang w:val="fr-FR"/>
                </w:rPr>
                <w:t>http://www.enseignementsup-recherche.gouv.fr/pid29434-cid56594/ecoles-francaises-a-l-etranger.html</w:t>
              </w:r>
            </w:hyperlink>
            <w:r w:rsidRPr="00610C0D">
              <w:rPr>
                <w:rFonts w:ascii="Century Gothic" w:hAnsi="Century Gothic" w:cstheme="minorHAnsi"/>
                <w:sz w:val="12"/>
                <w:szCs w:val="12"/>
                <w:lang w:val="fr-FR"/>
              </w:rPr>
              <w:t>;</w:t>
            </w:r>
            <w:r>
              <w:rPr>
                <w:rFonts w:ascii="Century Gothic" w:hAnsi="Century Gothic" w:cstheme="minorHAnsi"/>
                <w:sz w:val="12"/>
                <w:szCs w:val="12"/>
                <w:lang w:val="fr-FR"/>
              </w:rPr>
              <w:t xml:space="preserve"> and</w:t>
            </w:r>
          </w:p>
          <w:p w14:paraId="76EBD01A" w14:textId="7EF6F355" w:rsidR="004E07AE" w:rsidRPr="00610C0D" w:rsidRDefault="00610C0D" w:rsidP="00610C0D">
            <w:pPr>
              <w:pStyle w:val="ListParagraph"/>
              <w:numPr>
                <w:ilvl w:val="0"/>
                <w:numId w:val="75"/>
              </w:numPr>
              <w:spacing w:before="0" w:after="0"/>
              <w:ind w:left="179" w:hanging="142"/>
              <w:rPr>
                <w:rFonts w:ascii="Century Gothic" w:hAnsi="Century Gothic" w:cstheme="minorHAnsi"/>
                <w:sz w:val="12"/>
                <w:szCs w:val="12"/>
              </w:rPr>
            </w:pPr>
            <w:r w:rsidRPr="00610C0D">
              <w:rPr>
                <w:rFonts w:ascii="Century Gothic" w:hAnsi="Century Gothic" w:cstheme="minorHAnsi"/>
                <w:sz w:val="12"/>
                <w:szCs w:val="12"/>
                <w:lang w:val="en"/>
              </w:rPr>
              <w:t>Ministère</w:t>
            </w:r>
            <w:r w:rsidRPr="00610C0D">
              <w:rPr>
                <w:rFonts w:ascii="Century Gothic" w:hAnsi="Century Gothic" w:cstheme="minorHAnsi"/>
                <w:sz w:val="12"/>
                <w:szCs w:val="12"/>
              </w:rPr>
              <w:t xml:space="preserve"> de l’Enseignement Sup</w:t>
            </w:r>
            <w:r w:rsidRPr="00610C0D">
              <w:rPr>
                <w:rFonts w:ascii="Century Gothic" w:hAnsi="Century Gothic" w:cstheme="minorHAnsi"/>
                <w:sz w:val="12"/>
                <w:szCs w:val="12"/>
                <w:lang w:val="en"/>
              </w:rPr>
              <w:t>é</w:t>
            </w:r>
            <w:r w:rsidRPr="00610C0D">
              <w:rPr>
                <w:rFonts w:ascii="Century Gothic" w:hAnsi="Century Gothic" w:cstheme="minorHAnsi"/>
                <w:sz w:val="12"/>
                <w:szCs w:val="12"/>
              </w:rPr>
              <w:t>rieur, de la Recherche et de l’Innovation</w:t>
            </w:r>
            <w:r w:rsidRPr="00610C0D">
              <w:rPr>
                <w:rFonts w:ascii="Century Gothic" w:hAnsi="Century Gothic" w:cstheme="minorHAnsi"/>
                <w:sz w:val="12"/>
                <w:szCs w:val="12"/>
                <w:lang w:val="en"/>
              </w:rPr>
              <w:t xml:space="preserve">. (2019). </w:t>
            </w:r>
            <w:r w:rsidRPr="00610C0D">
              <w:rPr>
                <w:rFonts w:ascii="Century Gothic" w:hAnsi="Century Gothic" w:cstheme="minorHAnsi"/>
                <w:i/>
                <w:sz w:val="12"/>
                <w:szCs w:val="12"/>
                <w:lang w:val="fr-FR"/>
              </w:rPr>
              <w:t>Rep</w:t>
            </w:r>
            <w:r w:rsidRPr="00610C0D">
              <w:rPr>
                <w:rFonts w:ascii="Century Gothic" w:hAnsi="Century Gothic" w:cstheme="minorHAnsi"/>
                <w:i/>
                <w:sz w:val="12"/>
                <w:szCs w:val="12"/>
                <w:lang w:val="en"/>
              </w:rPr>
              <w:t>ères et Références Statistiques sue les Enseignements, la Formation et la Recherche</w:t>
            </w:r>
            <w:r w:rsidRPr="00610C0D">
              <w:rPr>
                <w:rFonts w:ascii="Century Gothic" w:hAnsi="Century Gothic" w:cstheme="minorHAnsi"/>
                <w:sz w:val="12"/>
                <w:szCs w:val="12"/>
                <w:lang w:val="en"/>
              </w:rPr>
              <w:t xml:space="preserve">. Retrieved from: </w:t>
            </w:r>
            <w:hyperlink r:id="rId58" w:history="1">
              <w:r w:rsidRPr="00610C0D">
                <w:rPr>
                  <w:rStyle w:val="Hyperlink"/>
                  <w:rFonts w:ascii="Century Gothic" w:hAnsi="Century Gothic" w:cstheme="minorHAnsi"/>
                  <w:sz w:val="12"/>
                  <w:szCs w:val="12"/>
                  <w:lang w:val="en"/>
                </w:rPr>
                <w:t>https://cache.media.education.gouv.fr/file/2019/51/6/depp-rers-2019_1162516.pdf</w:t>
              </w:r>
            </w:hyperlink>
            <w:r>
              <w:rPr>
                <w:rFonts w:ascii="Century Gothic" w:hAnsi="Century Gothic" w:cstheme="minorHAnsi"/>
                <w:sz w:val="12"/>
                <w:szCs w:val="12"/>
                <w:lang w:val="en"/>
              </w:rPr>
              <w:t>.</w:t>
            </w:r>
          </w:p>
        </w:tc>
      </w:tr>
      <w:tr w:rsidR="00FE78DE" w:rsidRPr="00730C0D" w14:paraId="086650D4" w14:textId="77777777" w:rsidTr="00BD74BE">
        <w:tc>
          <w:tcPr>
            <w:tcW w:w="10348" w:type="dxa"/>
            <w:gridSpan w:val="2"/>
            <w:shd w:val="clear" w:color="auto" w:fill="DEEAF6" w:themeFill="accent1" w:themeFillTint="33"/>
            <w:vAlign w:val="top"/>
          </w:tcPr>
          <w:p w14:paraId="17A74DF4"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Germany</w:t>
            </w:r>
          </w:p>
        </w:tc>
      </w:tr>
      <w:tr w:rsidR="00FE78DE" w:rsidRPr="00730C0D" w14:paraId="01345DE3" w14:textId="77777777" w:rsidTr="004E07AE">
        <w:tc>
          <w:tcPr>
            <w:tcW w:w="2694" w:type="dxa"/>
            <w:vAlign w:val="top"/>
          </w:tcPr>
          <w:p w14:paraId="5837778E"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Three main higher education categories, allocated by the State Ministers for Education and Cultural Affairs. </w:t>
            </w:r>
          </w:p>
          <w:p w14:paraId="62F278AC"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0B0C4284" w14:textId="719408CA" w:rsidR="00BA2FB7" w:rsidRPr="00610C0D" w:rsidRDefault="00FE78DE" w:rsidP="00321466">
            <w:pPr>
              <w:spacing w:before="0" w:after="0" w:line="259" w:lineRule="auto"/>
              <w:rPr>
                <w:rFonts w:ascii="Century Gothic" w:eastAsiaTheme="majorEastAsia" w:hAnsi="Century Gothic" w:cstheme="minorHAnsi"/>
                <w:sz w:val="20"/>
                <w:szCs w:val="20"/>
                <w:lang w:val="en"/>
              </w:rPr>
            </w:pPr>
            <w:r w:rsidRPr="00730C0D">
              <w:rPr>
                <w:rFonts w:ascii="Century Gothic" w:eastAsiaTheme="majorEastAsia" w:hAnsi="Century Gothic" w:cstheme="minorHAnsi"/>
                <w:sz w:val="20"/>
                <w:szCs w:val="20"/>
                <w:lang w:val="en"/>
              </w:rPr>
              <w:t xml:space="preserve">Due to the federal system in Germany, responsibility for education, including higher education, lies predominantly with the individual </w:t>
            </w:r>
            <w:r w:rsidR="00240CE7">
              <w:rPr>
                <w:rFonts w:ascii="Century Gothic" w:eastAsiaTheme="majorEastAsia" w:hAnsi="Century Gothic" w:cstheme="minorHAnsi"/>
                <w:sz w:val="20"/>
                <w:szCs w:val="20"/>
                <w:lang w:val="en"/>
              </w:rPr>
              <w:t>federal s</w:t>
            </w:r>
            <w:r w:rsidRPr="00730C0D">
              <w:rPr>
                <w:rFonts w:ascii="Century Gothic" w:eastAsiaTheme="majorEastAsia" w:hAnsi="Century Gothic" w:cstheme="minorHAnsi"/>
                <w:sz w:val="20"/>
                <w:szCs w:val="20"/>
                <w:lang w:val="en"/>
              </w:rPr>
              <w:t xml:space="preserve">tates. </w:t>
            </w:r>
            <w:r w:rsidR="00BD6B98" w:rsidRPr="009F5EC9">
              <w:rPr>
                <w:rFonts w:ascii="Century Gothic" w:eastAsiaTheme="majorEastAsia" w:hAnsi="Century Gothic" w:cstheme="minorHAnsi"/>
                <w:sz w:val="20"/>
                <w:szCs w:val="20"/>
                <w:lang w:val="en"/>
              </w:rPr>
              <w:t xml:space="preserve">Therefore, the structure </w:t>
            </w:r>
            <w:r w:rsidR="00321466">
              <w:rPr>
                <w:rFonts w:ascii="Century Gothic" w:eastAsiaTheme="majorEastAsia" w:hAnsi="Century Gothic" w:cstheme="minorHAnsi"/>
                <w:sz w:val="20"/>
                <w:szCs w:val="20"/>
                <w:lang w:val="en"/>
              </w:rPr>
              <w:t>of the</w:t>
            </w:r>
            <w:r w:rsidR="00BD6B98" w:rsidRPr="009F5EC9">
              <w:rPr>
                <w:rFonts w:ascii="Century Gothic" w:eastAsiaTheme="majorEastAsia" w:hAnsi="Century Gothic" w:cstheme="minorHAnsi"/>
                <w:sz w:val="20"/>
                <w:szCs w:val="20"/>
                <w:lang w:val="en"/>
              </w:rPr>
              <w:t xml:space="preserve"> various systems of higher education may differ from state to state.</w:t>
            </w:r>
          </w:p>
        </w:tc>
        <w:tc>
          <w:tcPr>
            <w:tcW w:w="7654" w:type="dxa"/>
            <w:vAlign w:val="top"/>
          </w:tcPr>
          <w:p w14:paraId="7060883C" w14:textId="252DA28F"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University:</w:t>
            </w:r>
            <w:r w:rsidRPr="00730C0D">
              <w:rPr>
                <w:rFonts w:ascii="Century Gothic" w:hAnsi="Century Gothic" w:cstheme="minorHAnsi"/>
                <w:sz w:val="20"/>
                <w:szCs w:val="20"/>
              </w:rPr>
              <w:t xml:space="preserve"> </w:t>
            </w:r>
            <w:r w:rsidR="00BD6B98">
              <w:rPr>
                <w:rFonts w:ascii="Century Gothic" w:hAnsi="Century Gothic" w:cstheme="minorHAnsi"/>
                <w:sz w:val="20"/>
                <w:szCs w:val="20"/>
              </w:rPr>
              <w:t xml:space="preserve">predominately </w:t>
            </w:r>
            <w:r w:rsidRPr="00730C0D">
              <w:rPr>
                <w:rFonts w:ascii="Century Gothic" w:hAnsi="Century Gothic" w:cstheme="minorHAnsi"/>
                <w:sz w:val="20"/>
                <w:szCs w:val="20"/>
              </w:rPr>
              <w:t>public institutions that offer a range of academic disciplines and have a strong research focus. Universities are the only institutions that can award Doctoral degrees and have higher entry requirements than o</w:t>
            </w:r>
            <w:r w:rsidR="00610E8A">
              <w:rPr>
                <w:rFonts w:ascii="Century Gothic" w:hAnsi="Century Gothic" w:cstheme="minorHAnsi"/>
                <w:sz w:val="20"/>
                <w:szCs w:val="20"/>
              </w:rPr>
              <w:t>ther higher education providers</w:t>
            </w:r>
            <w:r w:rsidRPr="00730C0D">
              <w:rPr>
                <w:rFonts w:ascii="Century Gothic" w:hAnsi="Century Gothic" w:cstheme="minorHAnsi"/>
                <w:sz w:val="20"/>
                <w:szCs w:val="20"/>
              </w:rPr>
              <w:t xml:space="preserve">. Some universities specialise in particular fields. </w:t>
            </w:r>
          </w:p>
          <w:p w14:paraId="42574E2C" w14:textId="77777777" w:rsidR="00FE78DE" w:rsidRPr="00730C0D" w:rsidRDefault="00FE78DE" w:rsidP="00FE78DE">
            <w:pPr>
              <w:spacing w:before="0" w:after="0" w:line="259" w:lineRule="auto"/>
              <w:rPr>
                <w:rFonts w:ascii="Century Gothic" w:hAnsi="Century Gothic" w:cstheme="minorHAnsi"/>
                <w:sz w:val="20"/>
                <w:szCs w:val="20"/>
              </w:rPr>
            </w:pPr>
          </w:p>
          <w:p w14:paraId="2A5EC8E0" w14:textId="2D23D7AA"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University of Applied Sciences:</w:t>
            </w:r>
            <w:r w:rsidRPr="00730C0D">
              <w:rPr>
                <w:rFonts w:ascii="Century Gothic" w:hAnsi="Century Gothic" w:cstheme="minorHAnsi"/>
                <w:sz w:val="20"/>
                <w:szCs w:val="20"/>
              </w:rPr>
              <w:t xml:space="preserve"> institutions that offer practically-oriented undergraduate and postgraduate qualifications in engineering and other technical disciplines, business-related studies, social work</w:t>
            </w:r>
            <w:r w:rsidR="00610E8A">
              <w:rPr>
                <w:rFonts w:ascii="Century Gothic" w:hAnsi="Century Gothic" w:cstheme="minorHAnsi"/>
                <w:sz w:val="20"/>
                <w:szCs w:val="20"/>
              </w:rPr>
              <w:t>,</w:t>
            </w:r>
            <w:r w:rsidRPr="00730C0D">
              <w:rPr>
                <w:rFonts w:ascii="Century Gothic" w:hAnsi="Century Gothic" w:cstheme="minorHAnsi"/>
                <w:sz w:val="20"/>
                <w:szCs w:val="20"/>
              </w:rPr>
              <w:t xml:space="preserve"> and design areas. Research is generally applied rather than theoretical. </w:t>
            </w:r>
          </w:p>
          <w:p w14:paraId="114CF984" w14:textId="77777777" w:rsidR="00FE78DE" w:rsidRPr="00730C0D" w:rsidRDefault="00FE78DE" w:rsidP="00FE78DE">
            <w:pPr>
              <w:spacing w:before="0" w:after="0" w:line="259" w:lineRule="auto"/>
              <w:rPr>
                <w:rFonts w:ascii="Century Gothic" w:hAnsi="Century Gothic" w:cstheme="minorHAnsi"/>
                <w:sz w:val="20"/>
                <w:szCs w:val="20"/>
              </w:rPr>
            </w:pPr>
          </w:p>
          <w:p w14:paraId="510D0303" w14:textId="610A1097"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Colleges of Arts/Music:</w:t>
            </w:r>
            <w:r w:rsidRPr="00730C0D">
              <w:rPr>
                <w:rFonts w:ascii="Century Gothic" w:hAnsi="Century Gothic" w:cstheme="minorHAnsi"/>
                <w:sz w:val="20"/>
                <w:szCs w:val="20"/>
              </w:rPr>
              <w:t xml:space="preserve"> institutions with university equivalent status that offer studies for artistic careers in fine arts, performing arts</w:t>
            </w:r>
            <w:r w:rsidR="00BD6B98">
              <w:rPr>
                <w:rFonts w:ascii="Century Gothic" w:hAnsi="Century Gothic" w:cstheme="minorHAnsi"/>
                <w:sz w:val="20"/>
                <w:szCs w:val="20"/>
              </w:rPr>
              <w:t>,</w:t>
            </w:r>
            <w:r w:rsidRPr="00730C0D">
              <w:rPr>
                <w:rFonts w:ascii="Century Gothic" w:hAnsi="Century Gothic" w:cstheme="minorHAnsi"/>
                <w:sz w:val="20"/>
                <w:szCs w:val="20"/>
              </w:rPr>
              <w:t xml:space="preserve"> and music.</w:t>
            </w:r>
          </w:p>
          <w:p w14:paraId="7B395D8F" w14:textId="65A21CE1" w:rsidR="00FE78DE" w:rsidRDefault="00FE78DE" w:rsidP="00FE78DE">
            <w:pPr>
              <w:spacing w:before="0" w:after="0" w:line="259" w:lineRule="auto"/>
              <w:rPr>
                <w:rFonts w:ascii="Century Gothic" w:hAnsi="Century Gothic" w:cstheme="minorHAnsi"/>
                <w:sz w:val="8"/>
                <w:szCs w:val="8"/>
              </w:rPr>
            </w:pPr>
          </w:p>
          <w:p w14:paraId="173AE405" w14:textId="0A2D85D5" w:rsidR="00610E8A" w:rsidRDefault="00610E8A" w:rsidP="00FE78DE">
            <w:pPr>
              <w:spacing w:before="0" w:after="0" w:line="259" w:lineRule="auto"/>
              <w:rPr>
                <w:rFonts w:ascii="Century Gothic" w:hAnsi="Century Gothic" w:cstheme="minorHAnsi"/>
                <w:sz w:val="8"/>
                <w:szCs w:val="8"/>
              </w:rPr>
            </w:pPr>
          </w:p>
          <w:p w14:paraId="0F73E4B2" w14:textId="2A2BC7FA" w:rsidR="00610E8A" w:rsidRDefault="00610E8A" w:rsidP="00FE78DE">
            <w:pPr>
              <w:spacing w:before="0" w:after="0" w:line="259" w:lineRule="auto"/>
              <w:rPr>
                <w:rFonts w:ascii="Century Gothic" w:hAnsi="Century Gothic" w:cstheme="minorHAnsi"/>
                <w:sz w:val="8"/>
                <w:szCs w:val="8"/>
              </w:rPr>
            </w:pPr>
          </w:p>
          <w:p w14:paraId="6CA3961D" w14:textId="21B418E8" w:rsidR="00610E8A" w:rsidRDefault="00610E8A" w:rsidP="00FE78DE">
            <w:pPr>
              <w:spacing w:before="0" w:after="0" w:line="259" w:lineRule="auto"/>
              <w:rPr>
                <w:rFonts w:ascii="Century Gothic" w:hAnsi="Century Gothic" w:cstheme="minorHAnsi"/>
                <w:sz w:val="8"/>
                <w:szCs w:val="8"/>
              </w:rPr>
            </w:pPr>
          </w:p>
          <w:p w14:paraId="152C33E2" w14:textId="0161095B" w:rsidR="00610E8A" w:rsidRDefault="00610E8A" w:rsidP="00FE78DE">
            <w:pPr>
              <w:spacing w:before="0" w:after="0" w:line="259" w:lineRule="auto"/>
              <w:rPr>
                <w:rFonts w:ascii="Century Gothic" w:hAnsi="Century Gothic" w:cstheme="minorHAnsi"/>
                <w:sz w:val="8"/>
                <w:szCs w:val="8"/>
              </w:rPr>
            </w:pPr>
          </w:p>
          <w:p w14:paraId="02B097F1" w14:textId="77777777" w:rsidR="00610E8A" w:rsidRPr="00943927" w:rsidRDefault="00610E8A" w:rsidP="00FE78DE">
            <w:pPr>
              <w:spacing w:before="0" w:after="0" w:line="259" w:lineRule="auto"/>
              <w:rPr>
                <w:rFonts w:ascii="Century Gothic" w:hAnsi="Century Gothic" w:cstheme="minorHAnsi"/>
                <w:sz w:val="8"/>
                <w:szCs w:val="8"/>
              </w:rPr>
            </w:pPr>
          </w:p>
          <w:p w14:paraId="0BDB901D" w14:textId="21C02440" w:rsidR="00FE78DE" w:rsidRPr="00610C0D" w:rsidRDefault="00FE78DE" w:rsidP="00610C0D">
            <w:pPr>
              <w:spacing w:before="0" w:after="0" w:line="259" w:lineRule="auto"/>
              <w:rPr>
                <w:rFonts w:ascii="Century Gothic" w:hAnsi="Century Gothic" w:cstheme="minorHAnsi"/>
                <w:sz w:val="13"/>
                <w:szCs w:val="13"/>
              </w:rPr>
            </w:pPr>
            <w:r w:rsidRPr="009564C5">
              <w:rPr>
                <w:rFonts w:ascii="Century Gothic" w:hAnsi="Century Gothic" w:cstheme="minorHAnsi"/>
                <w:sz w:val="13"/>
                <w:szCs w:val="13"/>
              </w:rPr>
              <w:t xml:space="preserve">Source: German Rectors’ Conference (HRK). (2019). </w:t>
            </w:r>
            <w:r w:rsidRPr="009564C5">
              <w:rPr>
                <w:rFonts w:ascii="Century Gothic" w:hAnsi="Century Gothic" w:cstheme="minorHAnsi"/>
                <w:i/>
                <w:sz w:val="13"/>
                <w:szCs w:val="13"/>
              </w:rPr>
              <w:t>Higher Education in Germany</w:t>
            </w:r>
            <w:r w:rsidRPr="009564C5">
              <w:rPr>
                <w:rFonts w:ascii="Century Gothic" w:hAnsi="Century Gothic" w:cstheme="minorHAnsi"/>
                <w:sz w:val="13"/>
                <w:szCs w:val="13"/>
              </w:rPr>
              <w:t xml:space="preserve">. Retrieved from: </w:t>
            </w:r>
            <w:hyperlink r:id="rId59" w:history="1">
              <w:r w:rsidRPr="009564C5">
                <w:rPr>
                  <w:rStyle w:val="Hyperlink"/>
                  <w:rFonts w:ascii="Century Gothic" w:hAnsi="Century Gothic" w:cstheme="minorHAnsi"/>
                  <w:sz w:val="13"/>
                  <w:szCs w:val="13"/>
                </w:rPr>
                <w:t>https://www.hrk.de/activities/higher-education-system/</w:t>
              </w:r>
            </w:hyperlink>
            <w:r w:rsidRPr="009564C5">
              <w:rPr>
                <w:rFonts w:ascii="Century Gothic" w:hAnsi="Century Gothic" w:cstheme="minorHAnsi"/>
                <w:sz w:val="13"/>
                <w:szCs w:val="13"/>
              </w:rPr>
              <w:t xml:space="preserve">.  </w:t>
            </w:r>
          </w:p>
        </w:tc>
      </w:tr>
      <w:tr w:rsidR="00FE78DE" w:rsidRPr="00730C0D" w14:paraId="69FC597F" w14:textId="77777777" w:rsidTr="00BD74BE">
        <w:tc>
          <w:tcPr>
            <w:tcW w:w="10348" w:type="dxa"/>
            <w:gridSpan w:val="2"/>
            <w:shd w:val="clear" w:color="auto" w:fill="DEEAF6" w:themeFill="accent1" w:themeFillTint="33"/>
            <w:vAlign w:val="top"/>
          </w:tcPr>
          <w:p w14:paraId="51028D87"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India</w:t>
            </w:r>
          </w:p>
        </w:tc>
      </w:tr>
      <w:tr w:rsidR="00FE78DE" w:rsidRPr="00730C0D" w14:paraId="2183DA44" w14:textId="77777777" w:rsidTr="004E07AE">
        <w:tc>
          <w:tcPr>
            <w:tcW w:w="2694" w:type="dxa"/>
            <w:vAlign w:val="top"/>
          </w:tcPr>
          <w:p w14:paraId="11024032"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Three categories of higher education providers. Higher education is the shared responsibility of both the Centre and the States. </w:t>
            </w:r>
          </w:p>
          <w:p w14:paraId="1E657696"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358329B7" w14:textId="5391446D"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lang w:val="en"/>
              </w:rPr>
              <w:t>The coordination and determination of standard</w:t>
            </w:r>
            <w:r w:rsidR="00610E8A">
              <w:rPr>
                <w:rFonts w:ascii="Century Gothic" w:eastAsiaTheme="majorEastAsia" w:hAnsi="Century Gothic" w:cstheme="minorHAnsi"/>
                <w:sz w:val="20"/>
                <w:szCs w:val="20"/>
                <w:lang w:val="en"/>
              </w:rPr>
              <w:t>s and approval of Universities and</w:t>
            </w:r>
            <w:r w:rsidRPr="00730C0D">
              <w:rPr>
                <w:rFonts w:ascii="Century Gothic" w:eastAsiaTheme="majorEastAsia" w:hAnsi="Century Gothic" w:cstheme="minorHAnsi"/>
                <w:sz w:val="20"/>
                <w:szCs w:val="20"/>
                <w:lang w:val="en"/>
              </w:rPr>
              <w:t xml:space="preserve"> Colleges is entrusted to the University Grants Commission (UGC) and other statutory regulatory bodies.</w:t>
            </w:r>
          </w:p>
          <w:p w14:paraId="03E4276D" w14:textId="77777777" w:rsidR="00FE78DE" w:rsidRPr="00730C0D" w:rsidRDefault="00FE78DE" w:rsidP="00FE78DE">
            <w:pPr>
              <w:pStyle w:val="NormalWeb"/>
              <w:shd w:val="clear" w:color="auto" w:fill="FFFFFF"/>
              <w:spacing w:line="240" w:lineRule="atLeast"/>
              <w:rPr>
                <w:rFonts w:ascii="Century Gothic" w:eastAsiaTheme="majorEastAsia" w:hAnsi="Century Gothic" w:cstheme="minorHAnsi"/>
                <w:sz w:val="20"/>
                <w:szCs w:val="20"/>
              </w:rPr>
            </w:pPr>
          </w:p>
        </w:tc>
        <w:tc>
          <w:tcPr>
            <w:tcW w:w="7654" w:type="dxa"/>
            <w:vAlign w:val="top"/>
          </w:tcPr>
          <w:p w14:paraId="62C9412F" w14:textId="77777777"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Universities and University-Level Institutions</w:t>
            </w:r>
            <w:r w:rsidRPr="00730C0D">
              <w:rPr>
                <w:rFonts w:ascii="Century Gothic" w:hAnsi="Century Gothic" w:cstheme="minorHAnsi"/>
                <w:sz w:val="20"/>
                <w:szCs w:val="20"/>
              </w:rPr>
              <w:t xml:space="preserve">: institutions that are empowered to award degrees, and are established or incorporated by or under a Central Act, a Provincial Act or a State Act. The main categories of institutions of this type are: </w:t>
            </w:r>
          </w:p>
          <w:p w14:paraId="5DD697F1" w14:textId="714F8CB5" w:rsidR="00FE78DE" w:rsidRPr="00730C0D" w:rsidRDefault="00FE78DE" w:rsidP="00BD6B98">
            <w:pPr>
              <w:pStyle w:val="ListParagraph"/>
              <w:numPr>
                <w:ilvl w:val="0"/>
                <w:numId w:val="63"/>
              </w:numPr>
              <w:spacing w:before="0" w:after="0"/>
              <w:ind w:left="425" w:right="-108" w:hanging="283"/>
              <w:rPr>
                <w:rFonts w:ascii="Century Gothic" w:hAnsi="Century Gothic" w:cstheme="minorHAnsi"/>
                <w:i/>
                <w:sz w:val="20"/>
                <w:szCs w:val="20"/>
              </w:rPr>
            </w:pPr>
            <w:r w:rsidRPr="00730C0D">
              <w:rPr>
                <w:rFonts w:ascii="Century Gothic" w:hAnsi="Century Gothic" w:cstheme="minorHAnsi"/>
                <w:i/>
                <w:sz w:val="20"/>
                <w:szCs w:val="20"/>
              </w:rPr>
              <w:t>Central University</w:t>
            </w:r>
            <w:r w:rsidRPr="00730C0D">
              <w:rPr>
                <w:rFonts w:ascii="Century Gothic" w:hAnsi="Century Gothic" w:cstheme="minorHAnsi"/>
                <w:sz w:val="20"/>
                <w:szCs w:val="20"/>
              </w:rPr>
              <w:t xml:space="preserve"> – established by or incorporated by a Central</w:t>
            </w:r>
            <w:r w:rsidR="00BD6B98">
              <w:rPr>
                <w:rFonts w:ascii="Century Gothic" w:hAnsi="Century Gothic" w:cstheme="minorHAnsi"/>
                <w:sz w:val="20"/>
                <w:szCs w:val="20"/>
              </w:rPr>
              <w:t xml:space="preserve"> </w:t>
            </w:r>
            <w:r w:rsidRPr="00730C0D">
              <w:rPr>
                <w:rFonts w:ascii="Century Gothic" w:hAnsi="Century Gothic" w:cstheme="minorHAnsi"/>
                <w:sz w:val="20"/>
                <w:szCs w:val="20"/>
              </w:rPr>
              <w:t>Act;</w:t>
            </w:r>
          </w:p>
          <w:p w14:paraId="0C8FD9A9" w14:textId="3B4E09D6" w:rsidR="00FE78DE" w:rsidRPr="00730C0D" w:rsidRDefault="00FE78DE" w:rsidP="00BD6B98">
            <w:pPr>
              <w:pStyle w:val="ListParagraph"/>
              <w:numPr>
                <w:ilvl w:val="0"/>
                <w:numId w:val="63"/>
              </w:numPr>
              <w:spacing w:before="0" w:after="0"/>
              <w:ind w:left="425" w:hanging="283"/>
              <w:rPr>
                <w:rFonts w:ascii="Century Gothic" w:hAnsi="Century Gothic" w:cstheme="minorHAnsi"/>
                <w:i/>
                <w:sz w:val="20"/>
                <w:szCs w:val="20"/>
              </w:rPr>
            </w:pPr>
            <w:r w:rsidRPr="00730C0D">
              <w:rPr>
                <w:rFonts w:ascii="Century Gothic" w:hAnsi="Century Gothic" w:cstheme="minorHAnsi"/>
                <w:i/>
                <w:sz w:val="20"/>
                <w:szCs w:val="20"/>
              </w:rPr>
              <w:t>State University</w:t>
            </w:r>
            <w:r w:rsidRPr="00730C0D">
              <w:rPr>
                <w:rFonts w:ascii="Century Gothic" w:hAnsi="Century Gothic" w:cstheme="minorHAnsi"/>
                <w:sz w:val="20"/>
                <w:szCs w:val="20"/>
              </w:rPr>
              <w:t xml:space="preserve"> – established</w:t>
            </w:r>
            <w:r w:rsidR="00212916">
              <w:rPr>
                <w:rFonts w:ascii="Century Gothic" w:hAnsi="Century Gothic" w:cstheme="minorHAnsi"/>
                <w:sz w:val="20"/>
                <w:szCs w:val="20"/>
              </w:rPr>
              <w:t xml:space="preserve"> </w:t>
            </w:r>
            <w:r w:rsidR="00610E8A">
              <w:rPr>
                <w:rFonts w:ascii="Century Gothic" w:hAnsi="Century Gothic" w:cstheme="minorHAnsi"/>
                <w:sz w:val="20"/>
                <w:szCs w:val="20"/>
              </w:rPr>
              <w:t xml:space="preserve">by </w:t>
            </w:r>
            <w:r w:rsidRPr="00730C0D">
              <w:rPr>
                <w:rFonts w:ascii="Century Gothic" w:hAnsi="Century Gothic" w:cstheme="minorHAnsi"/>
                <w:sz w:val="20"/>
                <w:szCs w:val="20"/>
              </w:rPr>
              <w:t>or incorporated by a Provincial Act or a State Act;</w:t>
            </w:r>
          </w:p>
          <w:p w14:paraId="059DEB76" w14:textId="77777777" w:rsidR="00FE78DE" w:rsidRPr="00730C0D" w:rsidRDefault="00FE78DE" w:rsidP="00BD6B98">
            <w:pPr>
              <w:pStyle w:val="ListParagraph"/>
              <w:numPr>
                <w:ilvl w:val="0"/>
                <w:numId w:val="63"/>
              </w:numPr>
              <w:spacing w:before="0" w:after="0"/>
              <w:ind w:left="425" w:hanging="283"/>
              <w:rPr>
                <w:rFonts w:ascii="Century Gothic" w:hAnsi="Century Gothic" w:cstheme="minorHAnsi"/>
                <w:i/>
                <w:sz w:val="20"/>
                <w:szCs w:val="20"/>
              </w:rPr>
            </w:pPr>
            <w:r w:rsidRPr="00730C0D">
              <w:rPr>
                <w:rFonts w:ascii="Century Gothic" w:hAnsi="Century Gothic" w:cstheme="minorHAnsi"/>
                <w:i/>
                <w:sz w:val="20"/>
                <w:szCs w:val="20"/>
              </w:rPr>
              <w:t xml:space="preserve">Private University </w:t>
            </w:r>
            <w:r w:rsidRPr="00730C0D">
              <w:rPr>
                <w:rFonts w:ascii="Century Gothic" w:hAnsi="Century Gothic" w:cstheme="minorHAnsi"/>
                <w:sz w:val="20"/>
                <w:szCs w:val="20"/>
              </w:rPr>
              <w:t>– established through a Central Act or a State Act by a sponsoring body; and</w:t>
            </w:r>
          </w:p>
          <w:p w14:paraId="165EB0C9" w14:textId="77777777" w:rsidR="00FE78DE" w:rsidRPr="00730C0D" w:rsidRDefault="00FE78DE" w:rsidP="00BD6B98">
            <w:pPr>
              <w:pStyle w:val="ListParagraph"/>
              <w:numPr>
                <w:ilvl w:val="0"/>
                <w:numId w:val="63"/>
              </w:numPr>
              <w:spacing w:before="0" w:after="0"/>
              <w:ind w:left="425" w:hanging="283"/>
              <w:rPr>
                <w:rFonts w:ascii="Century Gothic" w:hAnsi="Century Gothic" w:cstheme="minorHAnsi"/>
                <w:b/>
                <w:sz w:val="20"/>
                <w:szCs w:val="20"/>
                <w:u w:val="single"/>
              </w:rPr>
            </w:pPr>
            <w:r w:rsidRPr="00730C0D">
              <w:rPr>
                <w:rFonts w:ascii="Century Gothic" w:hAnsi="Century Gothic" w:cstheme="minorHAnsi"/>
                <w:i/>
                <w:sz w:val="20"/>
                <w:szCs w:val="20"/>
              </w:rPr>
              <w:t xml:space="preserve">Deemed-to-be University </w:t>
            </w:r>
            <w:r w:rsidRPr="00730C0D">
              <w:rPr>
                <w:rFonts w:ascii="Century Gothic" w:hAnsi="Century Gothic" w:cstheme="minorHAnsi"/>
                <w:sz w:val="20"/>
                <w:szCs w:val="20"/>
              </w:rPr>
              <w:t xml:space="preserve">– high performing institute as declared by the Central Government. </w:t>
            </w:r>
          </w:p>
          <w:p w14:paraId="49B0DB39" w14:textId="52414D95" w:rsidR="00FE78DE" w:rsidRPr="00730C0D" w:rsidRDefault="00FE78DE" w:rsidP="00FE78DE">
            <w:pPr>
              <w:spacing w:before="0" w:after="0"/>
              <w:rPr>
                <w:rFonts w:ascii="Century Gothic" w:hAnsi="Century Gothic" w:cstheme="minorHAnsi"/>
                <w:sz w:val="20"/>
                <w:szCs w:val="20"/>
              </w:rPr>
            </w:pPr>
            <w:r w:rsidRPr="00730C0D">
              <w:rPr>
                <w:rFonts w:ascii="Century Gothic" w:hAnsi="Century Gothic" w:cstheme="minorHAnsi"/>
                <w:sz w:val="20"/>
                <w:szCs w:val="20"/>
              </w:rPr>
              <w:t xml:space="preserve">Other types include open universities, institutes of national importance and institutes under a </w:t>
            </w:r>
            <w:r w:rsidR="00B65C5F">
              <w:rPr>
                <w:rFonts w:ascii="Century Gothic" w:hAnsi="Century Gothic" w:cstheme="minorHAnsi"/>
                <w:sz w:val="20"/>
                <w:szCs w:val="20"/>
              </w:rPr>
              <w:t>State Legislature A</w:t>
            </w:r>
            <w:r w:rsidRPr="00730C0D">
              <w:rPr>
                <w:rFonts w:ascii="Century Gothic" w:hAnsi="Century Gothic" w:cstheme="minorHAnsi"/>
                <w:sz w:val="20"/>
                <w:szCs w:val="20"/>
              </w:rPr>
              <w:t>ct.</w:t>
            </w:r>
          </w:p>
          <w:p w14:paraId="20D6E922" w14:textId="03951020" w:rsidR="00FE78DE" w:rsidRDefault="00FE78DE" w:rsidP="00FE78DE">
            <w:pPr>
              <w:spacing w:before="0" w:after="0"/>
              <w:rPr>
                <w:rFonts w:ascii="Century Gothic" w:hAnsi="Century Gothic" w:cstheme="minorHAnsi"/>
                <w:sz w:val="20"/>
                <w:szCs w:val="20"/>
              </w:rPr>
            </w:pPr>
          </w:p>
          <w:p w14:paraId="089860CA" w14:textId="002E85C7" w:rsidR="00BD6B98" w:rsidRPr="00D87B23" w:rsidRDefault="00BD6B98" w:rsidP="00FE78DE">
            <w:pPr>
              <w:spacing w:before="0" w:after="0"/>
              <w:rPr>
                <w:rFonts w:ascii="Century Gothic" w:hAnsi="Century Gothic" w:cstheme="minorHAnsi"/>
                <w:b/>
                <w:sz w:val="20"/>
                <w:szCs w:val="20"/>
              </w:rPr>
            </w:pPr>
            <w:r w:rsidRPr="00BA1FCE">
              <w:rPr>
                <w:rFonts w:ascii="Century Gothic" w:hAnsi="Century Gothic" w:cstheme="minorHAnsi"/>
                <w:b/>
                <w:sz w:val="20"/>
                <w:szCs w:val="20"/>
              </w:rPr>
              <w:t>Colleges Affiliated with/Recognised by a University</w:t>
            </w:r>
          </w:p>
          <w:p w14:paraId="61A0A2FE" w14:textId="72CE78A2" w:rsidR="00FE78DE" w:rsidRPr="00D87B23" w:rsidRDefault="00FE78DE" w:rsidP="00D87B23">
            <w:pPr>
              <w:pStyle w:val="ListParagraph"/>
              <w:numPr>
                <w:ilvl w:val="0"/>
                <w:numId w:val="63"/>
              </w:numPr>
              <w:spacing w:before="0" w:after="0"/>
              <w:ind w:left="425" w:hanging="283"/>
              <w:rPr>
                <w:rFonts w:ascii="Century Gothic" w:hAnsi="Century Gothic" w:cstheme="minorHAnsi"/>
                <w:sz w:val="20"/>
                <w:szCs w:val="20"/>
              </w:rPr>
            </w:pPr>
            <w:r w:rsidRPr="00D87B23">
              <w:rPr>
                <w:rFonts w:ascii="Century Gothic" w:hAnsi="Century Gothic" w:cstheme="minorHAnsi"/>
                <w:i/>
                <w:sz w:val="20"/>
                <w:szCs w:val="20"/>
              </w:rPr>
              <w:t>Colleges</w:t>
            </w:r>
            <w:r w:rsidRPr="00730C0D">
              <w:rPr>
                <w:rFonts w:ascii="Century Gothic" w:hAnsi="Century Gothic" w:cstheme="minorHAnsi"/>
                <w:b/>
                <w:sz w:val="20"/>
                <w:szCs w:val="20"/>
              </w:rPr>
              <w:t xml:space="preserve"> </w:t>
            </w:r>
            <w:r w:rsidRPr="00D87B23">
              <w:rPr>
                <w:rFonts w:ascii="Century Gothic" w:hAnsi="Century Gothic" w:cstheme="minorHAnsi"/>
                <w:i/>
                <w:sz w:val="20"/>
                <w:szCs w:val="20"/>
              </w:rPr>
              <w:t>Affiliated with a University</w:t>
            </w:r>
            <w:r w:rsidR="00BD6B98">
              <w:rPr>
                <w:rFonts w:ascii="Century Gothic" w:hAnsi="Century Gothic" w:cstheme="minorHAnsi"/>
                <w:sz w:val="20"/>
                <w:szCs w:val="20"/>
              </w:rPr>
              <w:t xml:space="preserve"> –</w:t>
            </w:r>
            <w:r w:rsidRPr="00730C0D">
              <w:rPr>
                <w:rFonts w:ascii="Century Gothic" w:hAnsi="Century Gothic" w:cstheme="minorHAnsi"/>
                <w:sz w:val="20"/>
                <w:szCs w:val="20"/>
              </w:rPr>
              <w:t xml:space="preserve"> </w:t>
            </w:r>
            <w:r w:rsidR="00BD6B98">
              <w:rPr>
                <w:rFonts w:ascii="Century Gothic" w:hAnsi="Century Gothic" w:cstheme="minorHAnsi"/>
                <w:sz w:val="20"/>
                <w:szCs w:val="20"/>
              </w:rPr>
              <w:t>in</w:t>
            </w:r>
            <w:r w:rsidRPr="00730C0D">
              <w:rPr>
                <w:rFonts w:ascii="Century Gothic" w:hAnsi="Century Gothic" w:cstheme="minorHAnsi"/>
                <w:sz w:val="20"/>
                <w:szCs w:val="20"/>
              </w:rPr>
              <w:t xml:space="preserve">stitutions </w:t>
            </w:r>
            <w:r w:rsidR="00BD6B98">
              <w:rPr>
                <w:rFonts w:ascii="Century Gothic" w:hAnsi="Century Gothic" w:cstheme="minorHAnsi"/>
                <w:sz w:val="20"/>
                <w:szCs w:val="20"/>
              </w:rPr>
              <w:t>that deliver</w:t>
            </w:r>
            <w:r w:rsidRPr="00730C0D">
              <w:rPr>
                <w:rFonts w:ascii="Century Gothic" w:hAnsi="Century Gothic" w:cstheme="minorHAnsi"/>
                <w:sz w:val="20"/>
                <w:szCs w:val="20"/>
              </w:rPr>
              <w:t xml:space="preserve"> a course of study offered by a university and examines students. After three successful terms, some colleges are gra</w:t>
            </w:r>
            <w:r w:rsidR="00BD6B98">
              <w:rPr>
                <w:rFonts w:ascii="Century Gothic" w:hAnsi="Century Gothic" w:cstheme="minorHAnsi"/>
                <w:sz w:val="20"/>
                <w:szCs w:val="20"/>
              </w:rPr>
              <w:t>n</w:t>
            </w:r>
            <w:r w:rsidRPr="00730C0D">
              <w:rPr>
                <w:rFonts w:ascii="Century Gothic" w:hAnsi="Century Gothic" w:cstheme="minorHAnsi"/>
                <w:sz w:val="20"/>
                <w:szCs w:val="20"/>
              </w:rPr>
              <w:t>ted ‘Autonomous Status’ which allows them to confer degrees under their title with the university seal.</w:t>
            </w:r>
          </w:p>
          <w:p w14:paraId="6A99D14C" w14:textId="4369B04C" w:rsidR="00FE78DE" w:rsidRPr="00730C0D" w:rsidRDefault="00FE78DE" w:rsidP="00D87B23">
            <w:pPr>
              <w:pStyle w:val="ListParagraph"/>
              <w:numPr>
                <w:ilvl w:val="0"/>
                <w:numId w:val="63"/>
              </w:numPr>
              <w:spacing w:before="0" w:after="0"/>
              <w:ind w:left="425" w:hanging="283"/>
              <w:rPr>
                <w:rFonts w:ascii="Century Gothic" w:hAnsi="Century Gothic" w:cstheme="minorHAnsi"/>
                <w:sz w:val="20"/>
                <w:szCs w:val="20"/>
              </w:rPr>
            </w:pPr>
            <w:r w:rsidRPr="00D87B23">
              <w:rPr>
                <w:rFonts w:ascii="Century Gothic" w:hAnsi="Century Gothic" w:cstheme="minorHAnsi"/>
                <w:i/>
                <w:sz w:val="20"/>
                <w:szCs w:val="20"/>
              </w:rPr>
              <w:t>Colleges Recognised by a University</w:t>
            </w:r>
            <w:r w:rsidR="00BD6B98">
              <w:rPr>
                <w:rFonts w:ascii="Century Gothic" w:hAnsi="Century Gothic" w:cstheme="minorHAnsi"/>
                <w:sz w:val="20"/>
                <w:szCs w:val="20"/>
              </w:rPr>
              <w:t xml:space="preserve"> – i</w:t>
            </w:r>
            <w:r w:rsidRPr="00730C0D">
              <w:rPr>
                <w:rFonts w:ascii="Century Gothic" w:hAnsi="Century Gothic" w:cstheme="minorHAnsi"/>
                <w:sz w:val="20"/>
                <w:szCs w:val="20"/>
              </w:rPr>
              <w:t>nstituti</w:t>
            </w:r>
            <w:r w:rsidR="00A43D22">
              <w:rPr>
                <w:rFonts w:ascii="Century Gothic" w:hAnsi="Century Gothic" w:cstheme="minorHAnsi"/>
                <w:sz w:val="20"/>
                <w:szCs w:val="20"/>
              </w:rPr>
              <w:t>ons attached to a university that</w:t>
            </w:r>
            <w:r w:rsidRPr="00730C0D">
              <w:rPr>
                <w:rFonts w:ascii="Century Gothic" w:hAnsi="Century Gothic" w:cstheme="minorHAnsi"/>
                <w:sz w:val="20"/>
                <w:szCs w:val="20"/>
              </w:rPr>
              <w:t xml:space="preserve"> award degrees being run through the institution, for example the Indian Military Academy. </w:t>
            </w:r>
          </w:p>
          <w:p w14:paraId="29FF4773" w14:textId="77777777" w:rsidR="00FE78DE" w:rsidRPr="00730C0D" w:rsidRDefault="00FE78DE" w:rsidP="00FE78DE">
            <w:pPr>
              <w:spacing w:before="0" w:after="0"/>
              <w:rPr>
                <w:rFonts w:ascii="Century Gothic" w:hAnsi="Century Gothic" w:cstheme="minorHAnsi"/>
                <w:sz w:val="20"/>
                <w:szCs w:val="20"/>
              </w:rPr>
            </w:pPr>
          </w:p>
          <w:p w14:paraId="5ADF77F6" w14:textId="639F6F76" w:rsidR="00BD6B98" w:rsidRPr="00730C0D" w:rsidRDefault="00FE78DE" w:rsidP="00FE78DE">
            <w:pPr>
              <w:spacing w:before="0" w:after="0"/>
              <w:rPr>
                <w:rFonts w:ascii="Century Gothic" w:hAnsi="Century Gothic" w:cstheme="minorHAnsi"/>
                <w:sz w:val="20"/>
                <w:szCs w:val="20"/>
              </w:rPr>
            </w:pPr>
            <w:r w:rsidRPr="00730C0D">
              <w:rPr>
                <w:rFonts w:ascii="Century Gothic" w:hAnsi="Century Gothic" w:cstheme="minorHAnsi"/>
                <w:b/>
                <w:sz w:val="20"/>
                <w:szCs w:val="20"/>
              </w:rPr>
              <w:t xml:space="preserve">Stand-Alone Institutions: </w:t>
            </w:r>
            <w:r w:rsidRPr="00730C0D">
              <w:rPr>
                <w:rFonts w:ascii="Century Gothic" w:hAnsi="Century Gothic" w:cstheme="minorHAnsi"/>
                <w:sz w:val="20"/>
                <w:szCs w:val="20"/>
              </w:rPr>
              <w:t xml:space="preserve">institutions outside the purview of a university </w:t>
            </w:r>
            <w:r w:rsidR="00BD6B98">
              <w:rPr>
                <w:rFonts w:ascii="Century Gothic" w:hAnsi="Century Gothic" w:cstheme="minorHAnsi"/>
                <w:sz w:val="20"/>
                <w:szCs w:val="20"/>
              </w:rPr>
              <w:br/>
            </w:r>
            <w:r w:rsidRPr="00730C0D">
              <w:rPr>
                <w:rFonts w:ascii="Century Gothic" w:hAnsi="Century Gothic" w:cstheme="minorHAnsi"/>
                <w:sz w:val="20"/>
                <w:szCs w:val="20"/>
              </w:rPr>
              <w:t>or a college</w:t>
            </w:r>
            <w:r w:rsidR="00786D2C">
              <w:rPr>
                <w:rFonts w:ascii="Century Gothic" w:hAnsi="Century Gothic" w:cstheme="minorHAnsi"/>
                <w:sz w:val="20"/>
                <w:szCs w:val="20"/>
              </w:rPr>
              <w:t xml:space="preserve"> that generally offer Diploma/Postgraduate</w:t>
            </w:r>
            <w:r w:rsidRPr="00730C0D">
              <w:rPr>
                <w:rFonts w:ascii="Century Gothic" w:hAnsi="Century Gothic" w:cstheme="minorHAnsi"/>
                <w:sz w:val="20"/>
                <w:szCs w:val="20"/>
              </w:rPr>
              <w:t xml:space="preserve"> Diploma level qualifications for which they require recognition from a statutory body. </w:t>
            </w:r>
            <w:r w:rsidR="00BD6B98">
              <w:rPr>
                <w:rFonts w:ascii="Century Gothic" w:hAnsi="Century Gothic" w:cstheme="minorHAnsi"/>
                <w:sz w:val="20"/>
                <w:szCs w:val="20"/>
              </w:rPr>
              <w:t xml:space="preserve">Such institutions include polytechnics, teacher training institutions and institutions under the control of the Indian Nursing Council. </w:t>
            </w:r>
          </w:p>
          <w:p w14:paraId="50C2DBDA" w14:textId="77777777" w:rsidR="00FE78DE" w:rsidRPr="00943927" w:rsidRDefault="00FE78DE" w:rsidP="00FE78DE">
            <w:pPr>
              <w:spacing w:before="0" w:after="0"/>
              <w:rPr>
                <w:rFonts w:ascii="Century Gothic" w:hAnsi="Century Gothic" w:cstheme="minorHAnsi"/>
                <w:sz w:val="8"/>
                <w:szCs w:val="8"/>
              </w:rPr>
            </w:pPr>
          </w:p>
          <w:p w14:paraId="05DCDDF0" w14:textId="77777777" w:rsidR="00BD6B98" w:rsidRDefault="00FE78DE" w:rsidP="00FE78DE">
            <w:pPr>
              <w:spacing w:before="0" w:after="0"/>
              <w:rPr>
                <w:rFonts w:ascii="Century Gothic" w:hAnsi="Century Gothic" w:cstheme="minorHAnsi"/>
                <w:sz w:val="13"/>
                <w:szCs w:val="13"/>
              </w:rPr>
            </w:pPr>
            <w:r w:rsidRPr="00D87B23">
              <w:rPr>
                <w:rFonts w:ascii="Century Gothic" w:hAnsi="Century Gothic" w:cstheme="minorHAnsi"/>
                <w:sz w:val="13"/>
                <w:szCs w:val="13"/>
              </w:rPr>
              <w:t xml:space="preserve">Sources: </w:t>
            </w:r>
          </w:p>
          <w:p w14:paraId="53E3124B" w14:textId="77777777" w:rsidR="00610C0D" w:rsidRDefault="00610C0D" w:rsidP="00D87B23">
            <w:pPr>
              <w:pStyle w:val="ListParagraph"/>
              <w:numPr>
                <w:ilvl w:val="0"/>
                <w:numId w:val="75"/>
              </w:numPr>
              <w:spacing w:before="0" w:after="0"/>
              <w:ind w:left="179" w:hanging="142"/>
              <w:rPr>
                <w:rFonts w:ascii="Century Gothic" w:hAnsi="Century Gothic" w:cstheme="minorHAnsi"/>
                <w:sz w:val="13"/>
                <w:szCs w:val="13"/>
              </w:rPr>
            </w:pPr>
            <w:r w:rsidRPr="00D87B23">
              <w:rPr>
                <w:rFonts w:ascii="Century Gothic" w:eastAsiaTheme="majorEastAsia" w:hAnsi="Century Gothic" w:cstheme="minorHAnsi"/>
                <w:sz w:val="13"/>
                <w:szCs w:val="13"/>
              </w:rPr>
              <w:t>Government</w:t>
            </w:r>
            <w:r w:rsidRPr="00D87B23">
              <w:rPr>
                <w:rFonts w:ascii="Century Gothic" w:hAnsi="Century Gothic" w:cstheme="minorHAnsi"/>
                <w:sz w:val="13"/>
                <w:szCs w:val="13"/>
              </w:rPr>
              <w:t xml:space="preserve"> of India Ministry of Human Resource Development Department of Higher Education. (2016). </w:t>
            </w:r>
            <w:r>
              <w:rPr>
                <w:rFonts w:ascii="Century Gothic" w:hAnsi="Century Gothic" w:cstheme="minorHAnsi"/>
                <w:sz w:val="13"/>
                <w:szCs w:val="13"/>
              </w:rPr>
              <w:br/>
            </w:r>
            <w:r w:rsidRPr="00D87B23">
              <w:rPr>
                <w:rFonts w:ascii="Century Gothic" w:hAnsi="Century Gothic" w:cstheme="minorHAnsi"/>
                <w:i/>
                <w:sz w:val="13"/>
                <w:szCs w:val="13"/>
              </w:rPr>
              <w:t>University and Higher Education</w:t>
            </w:r>
            <w:r w:rsidRPr="00D87B23">
              <w:rPr>
                <w:rFonts w:ascii="Century Gothic" w:hAnsi="Century Gothic" w:cstheme="minorHAnsi"/>
                <w:sz w:val="13"/>
                <w:szCs w:val="13"/>
              </w:rPr>
              <w:t xml:space="preserve">. Retrieved from: </w:t>
            </w:r>
            <w:hyperlink r:id="rId60" w:history="1">
              <w:r w:rsidRPr="00D87B23">
                <w:rPr>
                  <w:rStyle w:val="Hyperlink"/>
                  <w:rFonts w:ascii="Century Gothic" w:hAnsi="Century Gothic" w:cstheme="minorHAnsi"/>
                  <w:sz w:val="13"/>
                  <w:szCs w:val="13"/>
                </w:rPr>
                <w:t>https://mhrd.gov.in/university-and-higher-education</w:t>
              </w:r>
            </w:hyperlink>
            <w:r w:rsidRPr="00D87B23">
              <w:rPr>
                <w:rFonts w:ascii="Century Gothic" w:hAnsi="Century Gothic" w:cstheme="minorHAnsi"/>
                <w:sz w:val="13"/>
                <w:szCs w:val="13"/>
              </w:rPr>
              <w:t xml:space="preserve">; </w:t>
            </w:r>
            <w:r>
              <w:rPr>
                <w:rFonts w:ascii="Century Gothic" w:hAnsi="Century Gothic" w:cstheme="minorHAnsi"/>
                <w:sz w:val="13"/>
                <w:szCs w:val="13"/>
              </w:rPr>
              <w:t>and</w:t>
            </w:r>
          </w:p>
          <w:p w14:paraId="4941AD26" w14:textId="77777777" w:rsidR="00610C0D" w:rsidRPr="00943927" w:rsidRDefault="00610C0D" w:rsidP="00D87B23">
            <w:pPr>
              <w:pStyle w:val="ListParagraph"/>
              <w:numPr>
                <w:ilvl w:val="0"/>
                <w:numId w:val="75"/>
              </w:numPr>
              <w:spacing w:before="0" w:after="0"/>
              <w:ind w:left="179" w:hanging="142"/>
            </w:pPr>
            <w:r w:rsidRPr="00D87B23">
              <w:rPr>
                <w:rFonts w:ascii="Century Gothic" w:hAnsi="Century Gothic" w:cstheme="minorHAnsi"/>
                <w:sz w:val="13"/>
                <w:szCs w:val="13"/>
              </w:rPr>
              <w:t xml:space="preserve">Government of India Ministry of Human Resource Development Department of Higher Education. (2015). </w:t>
            </w:r>
            <w:r>
              <w:rPr>
                <w:rFonts w:ascii="Century Gothic" w:hAnsi="Century Gothic" w:cstheme="minorHAnsi"/>
                <w:sz w:val="13"/>
                <w:szCs w:val="13"/>
              </w:rPr>
              <w:br/>
            </w:r>
            <w:r w:rsidRPr="00D87B23">
              <w:rPr>
                <w:rFonts w:ascii="Century Gothic" w:hAnsi="Century Gothic" w:cstheme="minorHAnsi"/>
                <w:i/>
                <w:sz w:val="13"/>
                <w:szCs w:val="13"/>
              </w:rPr>
              <w:t>All India Survey on Higher Education</w:t>
            </w:r>
            <w:r w:rsidRPr="00D87B23">
              <w:rPr>
                <w:rFonts w:ascii="Century Gothic" w:hAnsi="Century Gothic" w:cstheme="minorHAnsi"/>
                <w:sz w:val="13"/>
                <w:szCs w:val="13"/>
              </w:rPr>
              <w:t>. Retrieved from:</w:t>
            </w:r>
            <w:r>
              <w:rPr>
                <w:rFonts w:ascii="Century Gothic" w:hAnsi="Century Gothic" w:cstheme="minorHAnsi"/>
                <w:sz w:val="13"/>
                <w:szCs w:val="13"/>
              </w:rPr>
              <w:t xml:space="preserve"> </w:t>
            </w:r>
            <w:hyperlink r:id="rId61" w:history="1">
              <w:r w:rsidRPr="00D87B23">
                <w:rPr>
                  <w:rStyle w:val="Hyperlink"/>
                  <w:rFonts w:ascii="Century Gothic" w:hAnsi="Century Gothic" w:cstheme="minorHAnsi"/>
                  <w:sz w:val="13"/>
                  <w:szCs w:val="13"/>
                </w:rPr>
                <w:t>http://aishe.nic.in/aishe/viewDocument.action?documentId=175</w:t>
              </w:r>
            </w:hyperlink>
            <w:r w:rsidRPr="00D87B23">
              <w:rPr>
                <w:rFonts w:ascii="Century Gothic" w:hAnsi="Century Gothic" w:cstheme="minorHAnsi"/>
                <w:sz w:val="13"/>
                <w:szCs w:val="13"/>
              </w:rPr>
              <w:t>.</w:t>
            </w:r>
          </w:p>
          <w:p w14:paraId="4AA62571" w14:textId="77777777" w:rsidR="00FB3867" w:rsidRDefault="00FB3867" w:rsidP="007C34CC">
            <w:pPr>
              <w:spacing w:before="0" w:after="0"/>
            </w:pPr>
          </w:p>
          <w:p w14:paraId="68BFCF62" w14:textId="3D002C09" w:rsidR="00610C0D" w:rsidRPr="00730C0D" w:rsidRDefault="00610C0D" w:rsidP="007C34CC">
            <w:pPr>
              <w:spacing w:before="0" w:after="0"/>
            </w:pPr>
          </w:p>
        </w:tc>
      </w:tr>
      <w:tr w:rsidR="00FE78DE" w:rsidRPr="00730C0D" w14:paraId="272A8F15" w14:textId="77777777" w:rsidTr="00BD74BE">
        <w:tc>
          <w:tcPr>
            <w:tcW w:w="10348" w:type="dxa"/>
            <w:gridSpan w:val="2"/>
            <w:shd w:val="clear" w:color="auto" w:fill="DEEAF6" w:themeFill="accent1" w:themeFillTint="33"/>
            <w:vAlign w:val="top"/>
          </w:tcPr>
          <w:p w14:paraId="5A591940"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Japan</w:t>
            </w:r>
          </w:p>
        </w:tc>
      </w:tr>
      <w:tr w:rsidR="00FE78DE" w:rsidRPr="00730C0D" w14:paraId="34FA11E3" w14:textId="77777777" w:rsidTr="004E07AE">
        <w:tc>
          <w:tcPr>
            <w:tcW w:w="2694" w:type="dxa"/>
            <w:vAlign w:val="top"/>
          </w:tcPr>
          <w:p w14:paraId="26BFE283"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hAnsi="Century Gothic" w:cstheme="minorHAnsi"/>
                <w:sz w:val="20"/>
                <w:szCs w:val="20"/>
              </w:rPr>
              <w:t>Six tertiary categories (one university, one higher education and four VET categories) regulated by the Ministry of Education, Culture, Sports, Science and Technology.</w:t>
            </w:r>
          </w:p>
        </w:tc>
        <w:tc>
          <w:tcPr>
            <w:tcW w:w="7654" w:type="dxa"/>
            <w:vAlign w:val="top"/>
          </w:tcPr>
          <w:p w14:paraId="2A6172D0" w14:textId="68B8771D"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University:</w:t>
            </w:r>
            <w:r w:rsidRPr="00730C0D">
              <w:rPr>
                <w:rFonts w:ascii="Century Gothic" w:hAnsi="Century Gothic" w:cstheme="minorHAnsi"/>
                <w:sz w:val="20"/>
                <w:szCs w:val="20"/>
              </w:rPr>
              <w:t xml:space="preserve"> publicly and privately funded institutions</w:t>
            </w:r>
            <w:r w:rsidR="00321466">
              <w:rPr>
                <w:rFonts w:ascii="Century Gothic" w:hAnsi="Century Gothic" w:cstheme="minorHAnsi"/>
                <w:sz w:val="20"/>
                <w:szCs w:val="20"/>
              </w:rPr>
              <w:t xml:space="preserve"> that offer</w:t>
            </w:r>
            <w:r w:rsidRPr="00730C0D">
              <w:rPr>
                <w:rFonts w:ascii="Century Gothic" w:hAnsi="Century Gothic" w:cstheme="minorHAnsi"/>
                <w:sz w:val="20"/>
                <w:szCs w:val="20"/>
              </w:rPr>
              <w:t xml:space="preserve"> undergraduate and postgraduate qualifications and conduct research. The university title is awarded as part of the classification.</w:t>
            </w:r>
          </w:p>
          <w:p w14:paraId="777E6A61" w14:textId="77777777" w:rsidR="00FE78DE" w:rsidRPr="00730C0D" w:rsidRDefault="00FE78DE" w:rsidP="00FE78DE">
            <w:pPr>
              <w:spacing w:before="0" w:after="0" w:line="259" w:lineRule="auto"/>
              <w:rPr>
                <w:rFonts w:ascii="Century Gothic" w:hAnsi="Century Gothic" w:cstheme="minorHAnsi"/>
                <w:sz w:val="20"/>
                <w:szCs w:val="20"/>
              </w:rPr>
            </w:pPr>
          </w:p>
          <w:p w14:paraId="47C3FCC1" w14:textId="5BAF61B8" w:rsidR="00FE78DE" w:rsidRPr="00730C0D" w:rsidRDefault="00FE78DE" w:rsidP="00321466">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Junior College:</w:t>
            </w:r>
            <w:r w:rsidRPr="00730C0D">
              <w:rPr>
                <w:rFonts w:ascii="Century Gothic" w:hAnsi="Century Gothic" w:cstheme="minorHAnsi"/>
                <w:sz w:val="20"/>
                <w:szCs w:val="20"/>
              </w:rPr>
              <w:t xml:space="preserve"> these institutions are mostly privately funded </w:t>
            </w:r>
            <w:r w:rsidR="00321466">
              <w:rPr>
                <w:rFonts w:ascii="Century Gothic" w:hAnsi="Century Gothic" w:cstheme="minorHAnsi"/>
                <w:sz w:val="20"/>
                <w:szCs w:val="20"/>
              </w:rPr>
              <w:t xml:space="preserve">institutions that require graduation from upper secondary schools, or equivalent, for admission </w:t>
            </w:r>
            <w:r w:rsidRPr="00730C0D">
              <w:rPr>
                <w:rFonts w:ascii="Century Gothic" w:hAnsi="Century Gothic" w:cstheme="minorHAnsi"/>
                <w:sz w:val="20"/>
                <w:szCs w:val="20"/>
              </w:rPr>
              <w:t xml:space="preserve">and offer </w:t>
            </w:r>
            <w:r w:rsidR="006A08DD">
              <w:rPr>
                <w:rFonts w:ascii="Century Gothic" w:hAnsi="Century Gothic" w:cstheme="minorHAnsi"/>
                <w:sz w:val="20"/>
                <w:szCs w:val="20"/>
              </w:rPr>
              <w:t>two or three</w:t>
            </w:r>
            <w:r w:rsidR="006A08DD">
              <w:rPr>
                <w:rFonts w:ascii="Century Gothic" w:hAnsi="Century Gothic" w:cstheme="minorHAnsi"/>
                <w:sz w:val="20"/>
                <w:szCs w:val="20"/>
              </w:rPr>
              <w:noBreakHyphen/>
            </w:r>
            <w:r w:rsidR="00321466">
              <w:rPr>
                <w:rFonts w:ascii="Century Gothic" w:hAnsi="Century Gothic" w:cstheme="minorHAnsi"/>
                <w:sz w:val="20"/>
                <w:szCs w:val="20"/>
              </w:rPr>
              <w:t xml:space="preserve">year </w:t>
            </w:r>
            <w:r w:rsidRPr="00730C0D">
              <w:rPr>
                <w:rFonts w:ascii="Century Gothic" w:hAnsi="Century Gothic" w:cstheme="minorHAnsi"/>
                <w:sz w:val="20"/>
                <w:szCs w:val="20"/>
              </w:rPr>
              <w:t>Associate degrees.</w:t>
            </w:r>
          </w:p>
          <w:p w14:paraId="44C45925" w14:textId="77777777" w:rsidR="00FE78DE" w:rsidRPr="00730C0D" w:rsidRDefault="00FE78DE" w:rsidP="00FE78DE">
            <w:pPr>
              <w:spacing w:before="0" w:after="0" w:line="259" w:lineRule="auto"/>
              <w:rPr>
                <w:rFonts w:ascii="Century Gothic" w:hAnsi="Century Gothic" w:cstheme="minorHAnsi"/>
                <w:sz w:val="20"/>
                <w:szCs w:val="20"/>
              </w:rPr>
            </w:pPr>
          </w:p>
          <w:p w14:paraId="3B9CC2E6" w14:textId="40EBC414"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Professional University:</w:t>
            </w:r>
            <w:r w:rsidRPr="00730C0D">
              <w:rPr>
                <w:rFonts w:ascii="Century Gothic" w:hAnsi="Century Gothic" w:cstheme="minorHAnsi"/>
                <w:sz w:val="20"/>
                <w:szCs w:val="20"/>
              </w:rPr>
              <w:t xml:space="preserve"> institutions providing four-year practical </w:t>
            </w:r>
            <w:r w:rsidRPr="00730C0D">
              <w:rPr>
                <w:rFonts w:ascii="Century Gothic" w:hAnsi="Century Gothic" w:cstheme="minorHAnsi"/>
                <w:sz w:val="20"/>
                <w:szCs w:val="20"/>
              </w:rPr>
              <w:br/>
              <w:t xml:space="preserve">vocational-focussed Bachelor degrees. The first institutions opened in </w:t>
            </w:r>
            <w:r w:rsidR="005F2AEB">
              <w:rPr>
                <w:rFonts w:ascii="Century Gothic" w:hAnsi="Century Gothic" w:cstheme="minorHAnsi"/>
                <w:sz w:val="20"/>
                <w:szCs w:val="20"/>
              </w:rPr>
              <w:br/>
            </w:r>
            <w:r w:rsidRPr="00730C0D">
              <w:rPr>
                <w:rFonts w:ascii="Century Gothic" w:hAnsi="Century Gothic" w:cstheme="minorHAnsi"/>
                <w:sz w:val="20"/>
                <w:szCs w:val="20"/>
              </w:rPr>
              <w:t xml:space="preserve">April 2019. </w:t>
            </w:r>
          </w:p>
          <w:p w14:paraId="07EDBEF6" w14:textId="77777777" w:rsidR="00FE78DE" w:rsidRPr="00730C0D" w:rsidRDefault="00FE78DE" w:rsidP="00FE78DE">
            <w:pPr>
              <w:spacing w:before="0" w:after="0" w:line="259" w:lineRule="auto"/>
              <w:rPr>
                <w:rFonts w:ascii="Century Gothic" w:hAnsi="Century Gothic" w:cstheme="minorHAnsi"/>
                <w:sz w:val="20"/>
                <w:szCs w:val="20"/>
              </w:rPr>
            </w:pPr>
          </w:p>
          <w:p w14:paraId="46C388D5" w14:textId="61FED460"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Professional College:</w:t>
            </w:r>
            <w:r w:rsidRPr="00730C0D">
              <w:rPr>
                <w:rFonts w:ascii="Century Gothic" w:hAnsi="Century Gothic" w:cstheme="minorHAnsi"/>
                <w:sz w:val="20"/>
                <w:szCs w:val="20"/>
              </w:rPr>
              <w:t xml:space="preserve"> institutions providing two-three year practical </w:t>
            </w:r>
            <w:r w:rsidRPr="00730C0D">
              <w:rPr>
                <w:rFonts w:ascii="Century Gothic" w:hAnsi="Century Gothic" w:cstheme="minorHAnsi"/>
                <w:sz w:val="20"/>
                <w:szCs w:val="20"/>
              </w:rPr>
              <w:br/>
              <w:t xml:space="preserve">vocational-focussed Associate degrees. The first institution opened in </w:t>
            </w:r>
            <w:r w:rsidR="005F2AEB">
              <w:rPr>
                <w:rFonts w:ascii="Century Gothic" w:hAnsi="Century Gothic" w:cstheme="minorHAnsi"/>
                <w:sz w:val="20"/>
                <w:szCs w:val="20"/>
              </w:rPr>
              <w:br/>
            </w:r>
            <w:r w:rsidRPr="00730C0D">
              <w:rPr>
                <w:rFonts w:ascii="Century Gothic" w:hAnsi="Century Gothic" w:cstheme="minorHAnsi"/>
                <w:sz w:val="20"/>
                <w:szCs w:val="20"/>
              </w:rPr>
              <w:t xml:space="preserve">April 2019. </w:t>
            </w:r>
          </w:p>
          <w:p w14:paraId="56652653" w14:textId="77777777" w:rsidR="00FE78DE" w:rsidRPr="00730C0D" w:rsidRDefault="00FE78DE" w:rsidP="00FE78DE">
            <w:pPr>
              <w:spacing w:before="0" w:after="0" w:line="259" w:lineRule="auto"/>
              <w:rPr>
                <w:rFonts w:ascii="Century Gothic" w:hAnsi="Century Gothic" w:cstheme="minorHAnsi"/>
                <w:sz w:val="20"/>
                <w:szCs w:val="20"/>
              </w:rPr>
            </w:pPr>
          </w:p>
          <w:p w14:paraId="017C1AEB" w14:textId="330B4BE3"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College of Technology:</w:t>
            </w:r>
            <w:r w:rsidRPr="00730C0D">
              <w:rPr>
                <w:rFonts w:ascii="Century Gothic" w:hAnsi="Century Gothic" w:cstheme="minorHAnsi"/>
                <w:sz w:val="20"/>
                <w:szCs w:val="20"/>
              </w:rPr>
              <w:t xml:space="preserve"> trade and technical schools that </w:t>
            </w:r>
            <w:r w:rsidR="00321466">
              <w:rPr>
                <w:rFonts w:ascii="Century Gothic" w:hAnsi="Century Gothic" w:cstheme="minorHAnsi"/>
                <w:sz w:val="20"/>
                <w:szCs w:val="20"/>
              </w:rPr>
              <w:t xml:space="preserve">require graduation from lower secondary schools, or equivalent, for admission and </w:t>
            </w:r>
            <w:r w:rsidRPr="00730C0D">
              <w:rPr>
                <w:rFonts w:ascii="Century Gothic" w:hAnsi="Century Gothic" w:cstheme="minorHAnsi"/>
                <w:sz w:val="20"/>
                <w:szCs w:val="20"/>
              </w:rPr>
              <w:t>offer</w:t>
            </w:r>
            <w:r w:rsidR="00321466">
              <w:rPr>
                <w:rFonts w:ascii="Century Gothic" w:hAnsi="Century Gothic" w:cstheme="minorHAnsi"/>
                <w:sz w:val="20"/>
                <w:szCs w:val="20"/>
              </w:rPr>
              <w:t xml:space="preserve"> five</w:t>
            </w:r>
            <w:r w:rsidR="006A08DD">
              <w:rPr>
                <w:rFonts w:ascii="Century Gothic" w:hAnsi="Century Gothic" w:cstheme="minorHAnsi"/>
                <w:sz w:val="20"/>
                <w:szCs w:val="20"/>
              </w:rPr>
              <w:noBreakHyphen/>
            </w:r>
            <w:r w:rsidR="00321466">
              <w:rPr>
                <w:rFonts w:ascii="Century Gothic" w:hAnsi="Century Gothic" w:cstheme="minorHAnsi"/>
                <w:sz w:val="20"/>
                <w:szCs w:val="20"/>
              </w:rPr>
              <w:t>year</w:t>
            </w:r>
            <w:r w:rsidRPr="00730C0D">
              <w:rPr>
                <w:rFonts w:ascii="Century Gothic" w:hAnsi="Century Gothic" w:cstheme="minorHAnsi"/>
                <w:sz w:val="20"/>
                <w:szCs w:val="20"/>
              </w:rPr>
              <w:t xml:space="preserve"> Associate degrees for skilled trades and technical careers.</w:t>
            </w:r>
          </w:p>
          <w:p w14:paraId="112157E8" w14:textId="77777777" w:rsidR="00FE78DE" w:rsidRPr="00730C0D" w:rsidRDefault="00FE78DE" w:rsidP="00FE78DE">
            <w:pPr>
              <w:spacing w:before="0" w:after="0" w:line="259" w:lineRule="auto"/>
              <w:rPr>
                <w:rFonts w:ascii="Century Gothic" w:hAnsi="Century Gothic" w:cstheme="minorHAnsi"/>
                <w:sz w:val="20"/>
                <w:szCs w:val="20"/>
              </w:rPr>
            </w:pPr>
          </w:p>
          <w:p w14:paraId="47360B0A" w14:textId="4D42678B"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Professional Training College (Specialised Training College):</w:t>
            </w:r>
            <w:r w:rsidRPr="00730C0D">
              <w:rPr>
                <w:rFonts w:ascii="Century Gothic" w:hAnsi="Century Gothic" w:cstheme="minorHAnsi"/>
                <w:sz w:val="20"/>
                <w:szCs w:val="20"/>
              </w:rPr>
              <w:t xml:space="preserve"> institutions </w:t>
            </w:r>
            <w:r w:rsidR="00181264">
              <w:rPr>
                <w:rFonts w:ascii="Century Gothic" w:hAnsi="Century Gothic" w:cstheme="minorHAnsi"/>
                <w:sz w:val="20"/>
                <w:szCs w:val="20"/>
              </w:rPr>
              <w:t xml:space="preserve">that </w:t>
            </w:r>
            <w:r w:rsidRPr="00730C0D">
              <w:rPr>
                <w:rFonts w:ascii="Century Gothic" w:hAnsi="Century Gothic" w:cstheme="minorHAnsi"/>
                <w:sz w:val="20"/>
                <w:szCs w:val="20"/>
              </w:rPr>
              <w:t xml:space="preserve">offer Diplomas and Advanced Diplomas for vocational careers. </w:t>
            </w:r>
            <w:r w:rsidR="00A43D22">
              <w:rPr>
                <w:rFonts w:ascii="Century Gothic" w:hAnsi="Century Gothic" w:cstheme="minorHAnsi"/>
                <w:sz w:val="20"/>
                <w:szCs w:val="20"/>
              </w:rPr>
              <w:br/>
            </w:r>
            <w:r w:rsidRPr="00730C0D">
              <w:rPr>
                <w:rFonts w:ascii="Century Gothic" w:hAnsi="Century Gothic" w:cstheme="minorHAnsi"/>
                <w:sz w:val="20"/>
                <w:szCs w:val="20"/>
              </w:rPr>
              <w:t xml:space="preserve">Students can transfer to universities or go on to graduate schools. </w:t>
            </w:r>
          </w:p>
          <w:p w14:paraId="7F5266F8" w14:textId="77777777" w:rsidR="00FE78DE" w:rsidRPr="009564C5" w:rsidRDefault="00FE78DE" w:rsidP="00FE78DE">
            <w:pPr>
              <w:spacing w:before="0" w:after="0" w:line="259" w:lineRule="auto"/>
              <w:rPr>
                <w:rFonts w:ascii="Century Gothic" w:hAnsi="Century Gothic" w:cstheme="minorHAnsi"/>
                <w:sz w:val="8"/>
                <w:szCs w:val="8"/>
              </w:rPr>
            </w:pPr>
          </w:p>
          <w:p w14:paraId="524ED2CE" w14:textId="36F9B255" w:rsidR="004E07AE" w:rsidRPr="006661D3" w:rsidRDefault="00FE78DE" w:rsidP="00FE78DE">
            <w:pPr>
              <w:spacing w:before="0" w:after="0" w:line="259" w:lineRule="auto"/>
              <w:rPr>
                <w:rFonts w:ascii="Century Gothic" w:hAnsi="Century Gothic" w:cstheme="minorHAnsi"/>
                <w:sz w:val="13"/>
                <w:szCs w:val="13"/>
              </w:rPr>
            </w:pPr>
            <w:r w:rsidRPr="009564C5">
              <w:rPr>
                <w:rFonts w:ascii="Century Gothic" w:hAnsi="Century Gothic" w:cstheme="minorHAnsi"/>
                <w:sz w:val="13"/>
                <w:szCs w:val="13"/>
              </w:rPr>
              <w:t>Source: Ministry of Education, Culture, Sports, Science and Technology Japan</w:t>
            </w:r>
            <w:r w:rsidR="00321466" w:rsidRPr="009564C5">
              <w:rPr>
                <w:rFonts w:ascii="Century Gothic" w:hAnsi="Century Gothic" w:cstheme="minorHAnsi"/>
                <w:sz w:val="13"/>
                <w:szCs w:val="13"/>
              </w:rPr>
              <w:t xml:space="preserve"> (MEXT)</w:t>
            </w:r>
            <w:r w:rsidRPr="009564C5">
              <w:rPr>
                <w:rFonts w:ascii="Century Gothic" w:hAnsi="Century Gothic" w:cstheme="minorHAnsi"/>
                <w:sz w:val="13"/>
                <w:szCs w:val="13"/>
              </w:rPr>
              <w:t xml:space="preserve">. (2019). </w:t>
            </w:r>
            <w:r w:rsidR="00181264" w:rsidRPr="009564C5">
              <w:rPr>
                <w:rFonts w:ascii="Century Gothic" w:hAnsi="Century Gothic" w:cstheme="minorHAnsi"/>
                <w:sz w:val="13"/>
                <w:szCs w:val="13"/>
              </w:rPr>
              <w:br/>
            </w:r>
            <w:r w:rsidRPr="009564C5">
              <w:rPr>
                <w:rFonts w:ascii="Century Gothic" w:eastAsia="MS Gothic" w:hAnsi="Century Gothic" w:cs="MS Gothic"/>
                <w:bCs/>
                <w:sz w:val="13"/>
                <w:szCs w:val="13"/>
              </w:rPr>
              <w:t>教育</w:t>
            </w:r>
            <w:r w:rsidRPr="009564C5">
              <w:rPr>
                <w:rFonts w:ascii="Century Gothic" w:eastAsia="MS Gothic" w:hAnsi="Century Gothic" w:cs="MS Gothic"/>
                <w:bCs/>
                <w:sz w:val="13"/>
                <w:szCs w:val="13"/>
              </w:rPr>
              <w:t xml:space="preserve">: </w:t>
            </w:r>
            <w:r w:rsidRPr="009564C5">
              <w:rPr>
                <w:rFonts w:ascii="Century Gothic" w:eastAsia="MS Gothic" w:hAnsi="Century Gothic" w:cs="MS Gothic"/>
                <w:bCs/>
                <w:sz w:val="13"/>
                <w:szCs w:val="13"/>
              </w:rPr>
              <w:t>大学・大学院、専門教育</w:t>
            </w:r>
            <w:r w:rsidRPr="009564C5">
              <w:rPr>
                <w:rFonts w:ascii="Century Gothic" w:hAnsi="Century Gothic" w:cstheme="minorHAnsi"/>
                <w:bCs/>
                <w:sz w:val="13"/>
                <w:szCs w:val="13"/>
              </w:rPr>
              <w:t>. Retrieved from:</w:t>
            </w:r>
            <w:r w:rsidRPr="009564C5">
              <w:rPr>
                <w:rFonts w:ascii="Century Gothic" w:hAnsi="Century Gothic" w:cstheme="minorHAnsi"/>
                <w:b/>
                <w:bCs/>
                <w:sz w:val="13"/>
                <w:szCs w:val="13"/>
              </w:rPr>
              <w:t xml:space="preserve"> </w:t>
            </w:r>
            <w:hyperlink r:id="rId62" w:history="1">
              <w:r w:rsidRPr="009564C5">
                <w:rPr>
                  <w:rStyle w:val="Hyperlink"/>
                  <w:rFonts w:ascii="Century Gothic" w:hAnsi="Century Gothic" w:cstheme="minorHAnsi"/>
                  <w:sz w:val="13"/>
                  <w:szCs w:val="13"/>
                </w:rPr>
                <w:t>http://www.mext.go.jp/a_menu/01_d.htm</w:t>
              </w:r>
            </w:hyperlink>
            <w:r w:rsidR="006661D3">
              <w:rPr>
                <w:rFonts w:ascii="Century Gothic" w:hAnsi="Century Gothic" w:cstheme="minorHAnsi"/>
                <w:sz w:val="13"/>
                <w:szCs w:val="13"/>
              </w:rPr>
              <w:t xml:space="preserve">. </w:t>
            </w:r>
          </w:p>
        </w:tc>
      </w:tr>
      <w:tr w:rsidR="00FE78DE" w:rsidRPr="00730C0D" w14:paraId="54035782" w14:textId="77777777" w:rsidTr="00BD74BE">
        <w:tc>
          <w:tcPr>
            <w:tcW w:w="10348" w:type="dxa"/>
            <w:gridSpan w:val="2"/>
            <w:shd w:val="clear" w:color="auto" w:fill="DEEAF6" w:themeFill="accent1" w:themeFillTint="33"/>
            <w:vAlign w:val="top"/>
          </w:tcPr>
          <w:p w14:paraId="788CFE43" w14:textId="77777777" w:rsidR="00FE78DE" w:rsidRPr="00730C0D" w:rsidRDefault="00FE78DE" w:rsidP="00FE78DE">
            <w:pPr>
              <w:spacing w:before="0" w:after="0"/>
              <w:rPr>
                <w:rFonts w:ascii="Century Gothic" w:eastAsiaTheme="majorEastAsia" w:hAnsi="Century Gothic" w:cstheme="minorHAnsi"/>
                <w:b/>
                <w:sz w:val="20"/>
                <w:szCs w:val="20"/>
              </w:rPr>
            </w:pPr>
            <w:r w:rsidRPr="00730C0D">
              <w:rPr>
                <w:rFonts w:ascii="Century Gothic" w:hAnsi="Century Gothic" w:cstheme="minorHAnsi"/>
                <w:b/>
                <w:sz w:val="20"/>
                <w:szCs w:val="20"/>
              </w:rPr>
              <w:t>The Netherlands</w:t>
            </w:r>
          </w:p>
        </w:tc>
      </w:tr>
      <w:tr w:rsidR="00FE78DE" w:rsidRPr="00730C0D" w14:paraId="1A3719AF" w14:textId="77777777" w:rsidTr="004E07AE">
        <w:tc>
          <w:tcPr>
            <w:tcW w:w="2694" w:type="dxa"/>
            <w:vAlign w:val="top"/>
          </w:tcPr>
          <w:p w14:paraId="1F410A25" w14:textId="3F3E4780" w:rsidR="00FE78DE" w:rsidRDefault="00BA2FB7" w:rsidP="00FE78DE">
            <w:pPr>
              <w:spacing w:before="0" w:after="0" w:line="259" w:lineRule="auto"/>
              <w:rPr>
                <w:rFonts w:ascii="Century Gothic" w:hAnsi="Century Gothic"/>
                <w:sz w:val="20"/>
                <w:szCs w:val="20"/>
                <w:lang w:val="en"/>
              </w:rPr>
            </w:pPr>
            <w:r w:rsidRPr="00BA2FB7">
              <w:rPr>
                <w:rFonts w:ascii="Century Gothic" w:eastAsiaTheme="majorEastAsia" w:hAnsi="Century Gothic" w:cstheme="minorHAnsi"/>
                <w:sz w:val="20"/>
                <w:szCs w:val="20"/>
                <w:lang w:val="en-GB"/>
              </w:rPr>
              <w:t xml:space="preserve">Higher education comprises higher professional education (HBO) and university education (WO). </w:t>
            </w:r>
            <w:r w:rsidR="00A43D22">
              <w:rPr>
                <w:rFonts w:ascii="Century Gothic" w:eastAsiaTheme="majorEastAsia" w:hAnsi="Century Gothic" w:cstheme="minorHAnsi"/>
                <w:sz w:val="20"/>
                <w:szCs w:val="20"/>
                <w:lang w:val="en-GB"/>
              </w:rPr>
              <w:br/>
            </w:r>
            <w:r>
              <w:rPr>
                <w:rFonts w:ascii="Century Gothic" w:eastAsiaTheme="majorEastAsia" w:hAnsi="Century Gothic" w:cstheme="minorHAnsi"/>
                <w:sz w:val="20"/>
                <w:szCs w:val="20"/>
              </w:rPr>
              <w:t xml:space="preserve">Higher education is </w:t>
            </w:r>
            <w:r w:rsidR="00FE78DE" w:rsidRPr="00730C0D">
              <w:rPr>
                <w:rFonts w:ascii="Century Gothic" w:eastAsiaTheme="majorEastAsia" w:hAnsi="Century Gothic" w:cstheme="minorHAnsi"/>
                <w:sz w:val="20"/>
                <w:szCs w:val="20"/>
              </w:rPr>
              <w:t xml:space="preserve">regulated by the Netherlands </w:t>
            </w:r>
            <w:r w:rsidR="00FE78DE" w:rsidRPr="00730C0D">
              <w:rPr>
                <w:rFonts w:ascii="Century Gothic" w:hAnsi="Century Gothic"/>
                <w:sz w:val="20"/>
                <w:szCs w:val="20"/>
                <w:lang w:val="en"/>
              </w:rPr>
              <w:t>Accreditation Organisation and Flanders (NVAO) and/or the Ministry of Education, Culture and Science</w:t>
            </w:r>
            <w:r w:rsidR="006A08DD">
              <w:rPr>
                <w:rFonts w:ascii="Century Gothic" w:hAnsi="Century Gothic"/>
                <w:sz w:val="20"/>
                <w:szCs w:val="20"/>
                <w:lang w:val="en"/>
              </w:rPr>
              <w:t xml:space="preserve"> </w:t>
            </w:r>
            <w:r w:rsidR="00A43D22">
              <w:rPr>
                <w:rFonts w:ascii="Century Gothic" w:hAnsi="Century Gothic"/>
                <w:sz w:val="20"/>
                <w:szCs w:val="20"/>
                <w:lang w:val="en"/>
              </w:rPr>
              <w:br/>
            </w:r>
            <w:r w:rsidR="006A08DD">
              <w:rPr>
                <w:rFonts w:ascii="Century Gothic" w:hAnsi="Century Gothic"/>
                <w:sz w:val="20"/>
                <w:szCs w:val="20"/>
                <w:lang w:val="en"/>
              </w:rPr>
              <w:t>(the Ministry)</w:t>
            </w:r>
            <w:r w:rsidR="00FE78DE" w:rsidRPr="00730C0D">
              <w:rPr>
                <w:rFonts w:ascii="Century Gothic" w:hAnsi="Century Gothic"/>
                <w:sz w:val="20"/>
                <w:szCs w:val="20"/>
                <w:lang w:val="en"/>
              </w:rPr>
              <w:t>.</w:t>
            </w:r>
          </w:p>
          <w:p w14:paraId="6B1FD059" w14:textId="6E3B8A39" w:rsidR="00BA2FB7" w:rsidRDefault="00BA2FB7" w:rsidP="00FE78DE">
            <w:pPr>
              <w:spacing w:before="0" w:after="0" w:line="259" w:lineRule="auto"/>
              <w:rPr>
                <w:rFonts w:ascii="Century Gothic" w:hAnsi="Century Gothic"/>
                <w:sz w:val="20"/>
                <w:szCs w:val="20"/>
                <w:lang w:val="en"/>
              </w:rPr>
            </w:pPr>
          </w:p>
          <w:p w14:paraId="7D329D52" w14:textId="77777777" w:rsidR="00BA2FB7" w:rsidRPr="00730C0D" w:rsidRDefault="00BA2FB7" w:rsidP="00FE78DE">
            <w:pPr>
              <w:spacing w:before="0" w:after="0" w:line="259" w:lineRule="auto"/>
              <w:rPr>
                <w:rFonts w:ascii="Century Gothic" w:hAnsi="Century Gothic"/>
                <w:sz w:val="20"/>
                <w:szCs w:val="20"/>
                <w:lang w:val="en"/>
              </w:rPr>
            </w:pPr>
          </w:p>
          <w:p w14:paraId="1D2EE0D8" w14:textId="0B33A2D5" w:rsidR="00FE78DE" w:rsidRPr="00730C0D" w:rsidRDefault="00FE78DE">
            <w:pPr>
              <w:shd w:val="clear" w:color="auto" w:fill="FFFFFF"/>
              <w:spacing w:before="100" w:beforeAutospacing="1" w:after="100" w:afterAutospacing="1" w:line="240" w:lineRule="atLeast"/>
              <w:rPr>
                <w:rFonts w:ascii="Century Gothic" w:eastAsia="Times New Roman" w:hAnsi="Century Gothic" w:cs="Calibri"/>
                <w:color w:val="000000"/>
                <w:sz w:val="20"/>
                <w:szCs w:val="20"/>
                <w:lang w:val="en-US" w:eastAsia="en-AU"/>
              </w:rPr>
            </w:pPr>
            <w:r w:rsidRPr="00730C0D">
              <w:rPr>
                <w:rFonts w:ascii="Century Gothic" w:eastAsia="Times New Roman" w:hAnsi="Century Gothic" w:cs="Calibri"/>
                <w:color w:val="000000"/>
                <w:sz w:val="20"/>
                <w:szCs w:val="20"/>
                <w:lang w:val="en-US" w:eastAsia="en-AU"/>
              </w:rPr>
              <w:br/>
            </w:r>
          </w:p>
        </w:tc>
        <w:tc>
          <w:tcPr>
            <w:tcW w:w="7654" w:type="dxa"/>
            <w:vAlign w:val="top"/>
          </w:tcPr>
          <w:p w14:paraId="095ECC9C" w14:textId="77777777" w:rsidR="009333A0" w:rsidRDefault="009333A0" w:rsidP="009333A0">
            <w:pPr>
              <w:spacing w:before="0" w:after="0" w:line="259" w:lineRule="auto"/>
              <w:rPr>
                <w:rFonts w:ascii="Century Gothic" w:eastAsiaTheme="majorEastAsia" w:hAnsi="Century Gothic" w:cstheme="minorHAnsi"/>
                <w:b/>
                <w:sz w:val="20"/>
                <w:szCs w:val="20"/>
              </w:rPr>
            </w:pPr>
            <w:r>
              <w:rPr>
                <w:rFonts w:ascii="Century Gothic" w:eastAsiaTheme="majorEastAsia" w:hAnsi="Century Gothic" w:cstheme="minorHAnsi"/>
                <w:b/>
                <w:sz w:val="20"/>
                <w:szCs w:val="20"/>
              </w:rPr>
              <w:t>University Education</w:t>
            </w:r>
          </w:p>
          <w:p w14:paraId="14DC425C" w14:textId="6DFDB0B8" w:rsidR="009333A0" w:rsidRPr="006241A6" w:rsidRDefault="009333A0" w:rsidP="006241A6">
            <w:pPr>
              <w:pStyle w:val="ListParagraph"/>
              <w:numPr>
                <w:ilvl w:val="0"/>
                <w:numId w:val="63"/>
              </w:numPr>
              <w:spacing w:before="0" w:after="0"/>
              <w:ind w:left="425" w:hanging="283"/>
              <w:rPr>
                <w:rFonts w:ascii="Century Gothic" w:eastAsiaTheme="majorEastAsia" w:hAnsi="Century Gothic" w:cstheme="minorHAnsi"/>
                <w:sz w:val="20"/>
                <w:szCs w:val="20"/>
              </w:rPr>
            </w:pPr>
            <w:r w:rsidRPr="006241A6">
              <w:rPr>
                <w:rFonts w:ascii="Century Gothic" w:eastAsiaTheme="majorEastAsia" w:hAnsi="Century Gothic" w:cstheme="minorHAnsi"/>
                <w:sz w:val="20"/>
                <w:szCs w:val="20"/>
              </w:rPr>
              <w:t>Universities combine academic research and teaching. University education focus</w:t>
            </w:r>
            <w:r w:rsidR="006241A6" w:rsidRPr="006241A6">
              <w:rPr>
                <w:rFonts w:ascii="Century Gothic" w:eastAsiaTheme="majorEastAsia" w:hAnsi="Century Gothic" w:cstheme="minorHAnsi"/>
                <w:sz w:val="20"/>
                <w:szCs w:val="20"/>
              </w:rPr>
              <w:t>s</w:t>
            </w:r>
            <w:r w:rsidRPr="006241A6">
              <w:rPr>
                <w:rFonts w:ascii="Century Gothic" w:eastAsiaTheme="majorEastAsia" w:hAnsi="Century Gothic" w:cstheme="minorHAnsi"/>
                <w:sz w:val="20"/>
                <w:szCs w:val="20"/>
              </w:rPr>
              <w:t>es on training in academic disciplines, the independent pursuit of scholarship</w:t>
            </w:r>
            <w:r w:rsidR="006241A6">
              <w:rPr>
                <w:rFonts w:ascii="Century Gothic" w:eastAsiaTheme="majorEastAsia" w:hAnsi="Century Gothic" w:cstheme="minorHAnsi"/>
                <w:sz w:val="20"/>
                <w:szCs w:val="20"/>
              </w:rPr>
              <w:t>,</w:t>
            </w:r>
            <w:r w:rsidRPr="006241A6">
              <w:rPr>
                <w:rFonts w:ascii="Century Gothic" w:eastAsiaTheme="majorEastAsia" w:hAnsi="Century Gothic" w:cstheme="minorHAnsi"/>
                <w:sz w:val="20"/>
                <w:szCs w:val="20"/>
              </w:rPr>
              <w:t xml:space="preserve"> the application of scholarly knowledge in the context of a profession</w:t>
            </w:r>
            <w:r w:rsidR="00E22B30">
              <w:rPr>
                <w:rFonts w:ascii="Century Gothic" w:eastAsiaTheme="majorEastAsia" w:hAnsi="Century Gothic" w:cstheme="minorHAnsi"/>
                <w:sz w:val="20"/>
                <w:szCs w:val="20"/>
              </w:rPr>
              <w:t>,</w:t>
            </w:r>
            <w:r w:rsidRPr="006241A6">
              <w:rPr>
                <w:rFonts w:ascii="Century Gothic" w:eastAsiaTheme="majorEastAsia" w:hAnsi="Century Gothic" w:cstheme="minorHAnsi"/>
                <w:sz w:val="20"/>
                <w:szCs w:val="20"/>
              </w:rPr>
              <w:t xml:space="preserve"> </w:t>
            </w:r>
            <w:r w:rsidR="006241A6">
              <w:rPr>
                <w:rFonts w:ascii="Century Gothic" w:eastAsiaTheme="majorEastAsia" w:hAnsi="Century Gothic" w:cstheme="minorHAnsi"/>
                <w:sz w:val="20"/>
                <w:szCs w:val="20"/>
              </w:rPr>
              <w:t>and</w:t>
            </w:r>
            <w:r w:rsidRPr="006241A6">
              <w:rPr>
                <w:rFonts w:ascii="Century Gothic" w:eastAsiaTheme="majorEastAsia" w:hAnsi="Century Gothic" w:cstheme="minorHAnsi"/>
                <w:sz w:val="20"/>
                <w:szCs w:val="20"/>
              </w:rPr>
              <w:t xml:space="preserve"> </w:t>
            </w:r>
            <w:r w:rsidR="00E22B30">
              <w:rPr>
                <w:rFonts w:ascii="Century Gothic" w:eastAsiaTheme="majorEastAsia" w:hAnsi="Century Gothic" w:cstheme="minorHAnsi"/>
                <w:sz w:val="20"/>
                <w:szCs w:val="20"/>
              </w:rPr>
              <w:t>the generation of</w:t>
            </w:r>
            <w:r w:rsidRPr="006241A6">
              <w:rPr>
                <w:rFonts w:ascii="Century Gothic" w:eastAsiaTheme="majorEastAsia" w:hAnsi="Century Gothic" w:cstheme="minorHAnsi"/>
                <w:sz w:val="20"/>
                <w:szCs w:val="20"/>
              </w:rPr>
              <w:t xml:space="preserve"> new knowledge. The government </w:t>
            </w:r>
            <w:r w:rsidR="00610E8A">
              <w:rPr>
                <w:rFonts w:ascii="Century Gothic" w:eastAsiaTheme="majorEastAsia" w:hAnsi="Century Gothic" w:cstheme="minorHAnsi"/>
                <w:sz w:val="20"/>
                <w:szCs w:val="20"/>
              </w:rPr>
              <w:t>funding</w:t>
            </w:r>
            <w:r w:rsidRPr="006241A6">
              <w:rPr>
                <w:rFonts w:ascii="Century Gothic" w:eastAsiaTheme="majorEastAsia" w:hAnsi="Century Gothic" w:cstheme="minorHAnsi"/>
                <w:sz w:val="20"/>
                <w:szCs w:val="20"/>
              </w:rPr>
              <w:t xml:space="preserve"> awarded to a university depends in part on performance indicators, such as the number of first-year students, and the number of degrees awarded. Universities may use government</w:t>
            </w:r>
            <w:r w:rsidR="00610E8A">
              <w:rPr>
                <w:rFonts w:ascii="Century Gothic" w:eastAsiaTheme="majorEastAsia" w:hAnsi="Century Gothic" w:cstheme="minorHAnsi"/>
                <w:sz w:val="20"/>
                <w:szCs w:val="20"/>
              </w:rPr>
              <w:t xml:space="preserve"> funding</w:t>
            </w:r>
            <w:r w:rsidRPr="006241A6">
              <w:rPr>
                <w:rFonts w:ascii="Century Gothic" w:eastAsiaTheme="majorEastAsia" w:hAnsi="Century Gothic" w:cstheme="minorHAnsi"/>
                <w:sz w:val="20"/>
                <w:szCs w:val="20"/>
              </w:rPr>
              <w:t xml:space="preserve"> for either teaching or research as they see fit. </w:t>
            </w:r>
          </w:p>
          <w:p w14:paraId="60EA740C" w14:textId="77777777" w:rsidR="009333A0" w:rsidRPr="00E01672" w:rsidRDefault="009333A0" w:rsidP="009333A0">
            <w:pPr>
              <w:pStyle w:val="ListParagraph"/>
              <w:spacing w:before="0" w:after="0"/>
              <w:ind w:left="425"/>
              <w:rPr>
                <w:rFonts w:ascii="Century Gothic" w:eastAsiaTheme="majorEastAsia" w:hAnsi="Century Gothic" w:cstheme="minorHAnsi"/>
                <w:sz w:val="20"/>
                <w:szCs w:val="20"/>
              </w:rPr>
            </w:pPr>
          </w:p>
          <w:p w14:paraId="1D72EC25" w14:textId="77777777" w:rsidR="009333A0" w:rsidRPr="003A2F56" w:rsidRDefault="009333A0" w:rsidP="009333A0">
            <w:pPr>
              <w:spacing w:before="0" w:after="0" w:line="259" w:lineRule="auto"/>
              <w:rPr>
                <w:rFonts w:ascii="Century Gothic" w:eastAsiaTheme="majorEastAsia" w:hAnsi="Century Gothic" w:cstheme="minorHAnsi"/>
                <w:b/>
                <w:sz w:val="20"/>
                <w:szCs w:val="20"/>
              </w:rPr>
            </w:pPr>
            <w:r w:rsidRPr="003A2F56">
              <w:rPr>
                <w:rFonts w:ascii="Century Gothic" w:eastAsiaTheme="majorEastAsia" w:hAnsi="Century Gothic" w:cstheme="minorHAnsi"/>
                <w:b/>
                <w:sz w:val="20"/>
                <w:szCs w:val="20"/>
              </w:rPr>
              <w:t>Higher Professional Education</w:t>
            </w:r>
          </w:p>
          <w:p w14:paraId="31E35663" w14:textId="01D36276" w:rsidR="009333A0" w:rsidRPr="00C9043D" w:rsidRDefault="009333A0" w:rsidP="009333A0">
            <w:pPr>
              <w:pStyle w:val="ListParagraph"/>
              <w:numPr>
                <w:ilvl w:val="0"/>
                <w:numId w:val="63"/>
              </w:numPr>
              <w:spacing w:before="0" w:after="0"/>
              <w:ind w:left="425" w:hanging="283"/>
              <w:rPr>
                <w:rFonts w:ascii="Century Gothic" w:eastAsiaTheme="majorEastAsia" w:hAnsi="Century Gothic" w:cstheme="minorHAnsi"/>
                <w:sz w:val="20"/>
                <w:szCs w:val="20"/>
              </w:rPr>
            </w:pPr>
            <w:r w:rsidRPr="003A2F56">
              <w:rPr>
                <w:rFonts w:ascii="Century Gothic" w:hAnsi="Century Gothic" w:cstheme="minorHAnsi"/>
                <w:i/>
                <w:sz w:val="20"/>
                <w:szCs w:val="20"/>
              </w:rPr>
              <w:t>Institutions</w:t>
            </w:r>
            <w:r w:rsidRPr="00730C0D">
              <w:rPr>
                <w:rFonts w:ascii="Century Gothic" w:eastAsiaTheme="majorEastAsia" w:hAnsi="Century Gothic" w:cstheme="minorHAnsi"/>
                <w:b/>
                <w:sz w:val="20"/>
                <w:szCs w:val="20"/>
              </w:rPr>
              <w:t xml:space="preserve"> </w:t>
            </w:r>
            <w:r w:rsidRPr="003A2F56">
              <w:rPr>
                <w:rFonts w:ascii="Century Gothic" w:hAnsi="Century Gothic" w:cstheme="minorHAnsi"/>
                <w:i/>
                <w:sz w:val="20"/>
                <w:szCs w:val="20"/>
              </w:rPr>
              <w:t>of Higher Prof</w:t>
            </w:r>
            <w:r w:rsidR="00C9043D">
              <w:rPr>
                <w:rFonts w:ascii="Century Gothic" w:hAnsi="Century Gothic" w:cstheme="minorHAnsi"/>
                <w:i/>
                <w:sz w:val="20"/>
                <w:szCs w:val="20"/>
              </w:rPr>
              <w:t>essional Education (HBO) –</w:t>
            </w:r>
            <w:r w:rsidRPr="00730C0D">
              <w:rPr>
                <w:rFonts w:ascii="Century Gothic" w:eastAsiaTheme="majorEastAsia" w:hAnsi="Century Gothic" w:cstheme="minorHAnsi"/>
                <w:sz w:val="20"/>
                <w:szCs w:val="20"/>
              </w:rPr>
              <w:t xml:space="preserve"> publicly</w:t>
            </w:r>
            <w:r>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sz w:val="20"/>
                <w:szCs w:val="20"/>
              </w:rPr>
              <w:t xml:space="preserve">funded institutions that provide theoretical and practical </w:t>
            </w:r>
            <w:r>
              <w:rPr>
                <w:rFonts w:ascii="Century Gothic" w:eastAsiaTheme="majorEastAsia" w:hAnsi="Century Gothic" w:cstheme="minorHAnsi"/>
                <w:sz w:val="20"/>
                <w:szCs w:val="20"/>
              </w:rPr>
              <w:t>training for occupations for which a higher vocational qualification is required,</w:t>
            </w:r>
            <w:r w:rsidRPr="00730C0D">
              <w:rPr>
                <w:rFonts w:ascii="Century Gothic" w:eastAsiaTheme="majorEastAsia" w:hAnsi="Century Gothic" w:cstheme="minorHAnsi"/>
                <w:sz w:val="20"/>
                <w:szCs w:val="20"/>
              </w:rPr>
              <w:t xml:space="preserve"> including trade, industry, social services, health care</w:t>
            </w:r>
            <w:r w:rsidR="00610E8A">
              <w:rPr>
                <w:rFonts w:ascii="Century Gothic" w:eastAsiaTheme="majorEastAsia" w:hAnsi="Century Gothic" w:cstheme="minorHAnsi"/>
                <w:sz w:val="20"/>
                <w:szCs w:val="20"/>
              </w:rPr>
              <w:t>,</w:t>
            </w:r>
            <w:r w:rsidRPr="00730C0D">
              <w:rPr>
                <w:rFonts w:ascii="Century Gothic" w:eastAsiaTheme="majorEastAsia" w:hAnsi="Century Gothic" w:cstheme="minorHAnsi"/>
                <w:sz w:val="20"/>
                <w:szCs w:val="20"/>
              </w:rPr>
              <w:t xml:space="preserve"> and the public sector. Research tends to be application-related.</w:t>
            </w:r>
          </w:p>
          <w:p w14:paraId="7975F272" w14:textId="3255430E" w:rsidR="009333A0" w:rsidRDefault="009333A0" w:rsidP="009333A0">
            <w:pPr>
              <w:pStyle w:val="ListParagraph"/>
              <w:numPr>
                <w:ilvl w:val="0"/>
                <w:numId w:val="63"/>
              </w:numPr>
              <w:spacing w:before="0" w:after="0"/>
              <w:ind w:left="425" w:hanging="283"/>
              <w:rPr>
                <w:rFonts w:ascii="Century Gothic" w:eastAsiaTheme="majorEastAsia" w:hAnsi="Century Gothic" w:cstheme="minorHAnsi"/>
                <w:sz w:val="20"/>
                <w:szCs w:val="20"/>
              </w:rPr>
            </w:pPr>
            <w:r w:rsidRPr="003A2F56">
              <w:rPr>
                <w:rFonts w:ascii="Century Gothic" w:hAnsi="Century Gothic" w:cstheme="minorHAnsi"/>
                <w:i/>
                <w:sz w:val="20"/>
                <w:szCs w:val="20"/>
              </w:rPr>
              <w:t>Private</w:t>
            </w:r>
            <w:r w:rsidRPr="00730C0D">
              <w:rPr>
                <w:rFonts w:ascii="Century Gothic" w:eastAsiaTheme="majorEastAsia" w:hAnsi="Century Gothic" w:cstheme="minorHAnsi"/>
                <w:b/>
                <w:sz w:val="20"/>
                <w:szCs w:val="20"/>
              </w:rPr>
              <w:t xml:space="preserve"> </w:t>
            </w:r>
            <w:r w:rsidR="00C9043D">
              <w:rPr>
                <w:rFonts w:ascii="Century Gothic" w:hAnsi="Century Gothic" w:cstheme="minorHAnsi"/>
                <w:i/>
                <w:sz w:val="20"/>
                <w:szCs w:val="20"/>
              </w:rPr>
              <w:t>Institutions –</w:t>
            </w:r>
            <w:r w:rsidR="00C9043D">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sz w:val="20"/>
                <w:szCs w:val="20"/>
              </w:rPr>
              <w:t xml:space="preserve">private organisations that do not receive government funding </w:t>
            </w:r>
            <w:r>
              <w:rPr>
                <w:rFonts w:ascii="Century Gothic" w:eastAsiaTheme="majorEastAsia" w:hAnsi="Century Gothic" w:cstheme="minorHAnsi"/>
                <w:sz w:val="20"/>
                <w:szCs w:val="20"/>
              </w:rPr>
              <w:t xml:space="preserve">but </w:t>
            </w:r>
            <w:r w:rsidRPr="00730C0D">
              <w:rPr>
                <w:rFonts w:ascii="Century Gothic" w:eastAsiaTheme="majorEastAsia" w:hAnsi="Century Gothic" w:cstheme="minorHAnsi"/>
                <w:sz w:val="20"/>
                <w:szCs w:val="20"/>
              </w:rPr>
              <w:t>may be recognised by the Ministry to provide accre</w:t>
            </w:r>
            <w:r w:rsidR="002A2D7C">
              <w:rPr>
                <w:rFonts w:ascii="Century Gothic" w:eastAsiaTheme="majorEastAsia" w:hAnsi="Century Gothic" w:cstheme="minorHAnsi"/>
                <w:sz w:val="20"/>
                <w:szCs w:val="20"/>
              </w:rPr>
              <w:t>dited higher education program</w:t>
            </w:r>
            <w:r w:rsidRPr="00730C0D">
              <w:rPr>
                <w:rFonts w:ascii="Century Gothic" w:eastAsiaTheme="majorEastAsia" w:hAnsi="Century Gothic" w:cstheme="minorHAnsi"/>
                <w:sz w:val="20"/>
                <w:szCs w:val="20"/>
              </w:rPr>
              <w:t xml:space="preserve">s and to confer statutorily recognised </w:t>
            </w:r>
            <w:r>
              <w:rPr>
                <w:rFonts w:ascii="Century Gothic" w:eastAsiaTheme="majorEastAsia" w:hAnsi="Century Gothic" w:cstheme="minorHAnsi"/>
                <w:sz w:val="20"/>
                <w:szCs w:val="20"/>
              </w:rPr>
              <w:t>A</w:t>
            </w:r>
            <w:r w:rsidRPr="00730C0D">
              <w:rPr>
                <w:rFonts w:ascii="Century Gothic" w:eastAsiaTheme="majorEastAsia" w:hAnsi="Century Gothic" w:cstheme="minorHAnsi"/>
                <w:sz w:val="20"/>
                <w:szCs w:val="20"/>
              </w:rPr>
              <w:t>ssociate, Bachelor and Master</w:t>
            </w:r>
            <w:r w:rsidR="006A08DD">
              <w:rPr>
                <w:rFonts w:ascii="Century Gothic" w:eastAsiaTheme="majorEastAsia" w:hAnsi="Century Gothic" w:cstheme="minorHAnsi"/>
                <w:sz w:val="20"/>
                <w:szCs w:val="20"/>
              </w:rPr>
              <w:t>s</w:t>
            </w:r>
            <w:r w:rsidRPr="00730C0D">
              <w:rPr>
                <w:rFonts w:ascii="Century Gothic" w:eastAsiaTheme="majorEastAsia" w:hAnsi="Century Gothic" w:cstheme="minorHAnsi"/>
                <w:sz w:val="20"/>
                <w:szCs w:val="20"/>
              </w:rPr>
              <w:t xml:space="preserve"> </w:t>
            </w:r>
            <w:r>
              <w:rPr>
                <w:rFonts w:ascii="Century Gothic" w:eastAsiaTheme="majorEastAsia" w:hAnsi="Century Gothic" w:cstheme="minorHAnsi"/>
                <w:sz w:val="20"/>
                <w:szCs w:val="20"/>
              </w:rPr>
              <w:t>qualification</w:t>
            </w:r>
            <w:r w:rsidRPr="00730C0D">
              <w:rPr>
                <w:rFonts w:ascii="Century Gothic" w:eastAsiaTheme="majorEastAsia" w:hAnsi="Century Gothic" w:cstheme="minorHAnsi"/>
                <w:sz w:val="20"/>
                <w:szCs w:val="20"/>
              </w:rPr>
              <w:t xml:space="preserve">s. </w:t>
            </w:r>
          </w:p>
          <w:p w14:paraId="3CE3017D" w14:textId="77777777" w:rsidR="009333A0" w:rsidRPr="009564C5" w:rsidRDefault="009333A0" w:rsidP="009333A0">
            <w:pPr>
              <w:spacing w:before="0" w:after="0" w:line="259" w:lineRule="auto"/>
              <w:rPr>
                <w:rFonts w:ascii="Century Gothic" w:eastAsiaTheme="majorEastAsia" w:hAnsi="Century Gothic" w:cstheme="minorHAnsi"/>
                <w:sz w:val="8"/>
                <w:szCs w:val="8"/>
              </w:rPr>
            </w:pPr>
          </w:p>
          <w:p w14:paraId="38DFA383" w14:textId="77777777" w:rsidR="006661D3" w:rsidRPr="003A2F56" w:rsidRDefault="006661D3" w:rsidP="006661D3">
            <w:pPr>
              <w:spacing w:before="0" w:after="0" w:line="259" w:lineRule="auto"/>
              <w:rPr>
                <w:rFonts w:ascii="Century Gothic" w:eastAsiaTheme="majorEastAsia" w:hAnsi="Century Gothic" w:cstheme="minorHAnsi"/>
                <w:sz w:val="13"/>
                <w:szCs w:val="13"/>
              </w:rPr>
            </w:pPr>
            <w:r w:rsidRPr="003A2F56">
              <w:rPr>
                <w:rFonts w:ascii="Century Gothic" w:eastAsiaTheme="majorEastAsia" w:hAnsi="Century Gothic" w:cstheme="minorHAnsi"/>
                <w:sz w:val="13"/>
                <w:szCs w:val="13"/>
              </w:rPr>
              <w:t>Source</w:t>
            </w:r>
            <w:r>
              <w:rPr>
                <w:rFonts w:ascii="Century Gothic" w:eastAsiaTheme="majorEastAsia" w:hAnsi="Century Gothic" w:cstheme="minorHAnsi"/>
                <w:sz w:val="13"/>
                <w:szCs w:val="13"/>
              </w:rPr>
              <w:t>s</w:t>
            </w:r>
            <w:r w:rsidRPr="003A2F56">
              <w:rPr>
                <w:rFonts w:ascii="Century Gothic" w:eastAsiaTheme="majorEastAsia" w:hAnsi="Century Gothic" w:cstheme="minorHAnsi"/>
                <w:sz w:val="13"/>
                <w:szCs w:val="13"/>
              </w:rPr>
              <w:t xml:space="preserve">: </w:t>
            </w:r>
          </w:p>
          <w:p w14:paraId="356A5005" w14:textId="77777777" w:rsidR="00610C0D" w:rsidRDefault="00610C0D" w:rsidP="006661D3">
            <w:pPr>
              <w:pStyle w:val="ListParagraph"/>
              <w:numPr>
                <w:ilvl w:val="0"/>
                <w:numId w:val="75"/>
              </w:numPr>
              <w:spacing w:before="0" w:after="0"/>
              <w:ind w:left="179" w:hanging="142"/>
              <w:rPr>
                <w:rFonts w:ascii="Century Gothic" w:eastAsiaTheme="majorEastAsia" w:hAnsi="Century Gothic" w:cstheme="minorHAnsi"/>
                <w:sz w:val="13"/>
                <w:szCs w:val="13"/>
              </w:rPr>
            </w:pPr>
            <w:r w:rsidRPr="003A2F56">
              <w:rPr>
                <w:rFonts w:ascii="Century Gothic" w:eastAsiaTheme="majorEastAsia" w:hAnsi="Century Gothic" w:cstheme="minorHAnsi"/>
                <w:sz w:val="13"/>
                <w:szCs w:val="13"/>
              </w:rPr>
              <w:t xml:space="preserve">Government of the Netherlands. (2019). </w:t>
            </w:r>
            <w:r w:rsidRPr="003A2F56">
              <w:rPr>
                <w:rFonts w:ascii="Century Gothic" w:eastAsiaTheme="majorEastAsia" w:hAnsi="Century Gothic" w:cstheme="minorHAnsi"/>
                <w:i/>
                <w:sz w:val="13"/>
                <w:szCs w:val="13"/>
              </w:rPr>
              <w:t>Higher Education</w:t>
            </w:r>
            <w:r w:rsidRPr="003A2F56">
              <w:rPr>
                <w:rFonts w:ascii="Century Gothic" w:eastAsiaTheme="majorEastAsia" w:hAnsi="Century Gothic" w:cstheme="minorHAnsi"/>
                <w:sz w:val="13"/>
                <w:szCs w:val="13"/>
              </w:rPr>
              <w:t xml:space="preserve">. Retrieved from: </w:t>
            </w:r>
            <w:hyperlink r:id="rId63" w:history="1">
              <w:r w:rsidRPr="003A2F56">
                <w:rPr>
                  <w:rStyle w:val="Hyperlink"/>
                  <w:rFonts w:ascii="Century Gothic" w:hAnsi="Century Gothic" w:cstheme="minorHAnsi"/>
                  <w:sz w:val="13"/>
                  <w:szCs w:val="13"/>
                </w:rPr>
                <w:t>https://www.government.nl/topics/secondary-vocational-education-mbo-and-higher-education/higher-education</w:t>
              </w:r>
            </w:hyperlink>
            <w:r w:rsidRPr="003A2F56">
              <w:rPr>
                <w:rFonts w:ascii="Century Gothic" w:eastAsiaTheme="majorEastAsia" w:hAnsi="Century Gothic" w:cstheme="minorHAnsi"/>
                <w:sz w:val="13"/>
                <w:szCs w:val="13"/>
              </w:rPr>
              <w:t xml:space="preserve">; </w:t>
            </w:r>
            <w:r>
              <w:rPr>
                <w:rFonts w:ascii="Century Gothic" w:eastAsiaTheme="majorEastAsia" w:hAnsi="Century Gothic" w:cstheme="minorHAnsi"/>
                <w:sz w:val="13"/>
                <w:szCs w:val="13"/>
              </w:rPr>
              <w:t>and</w:t>
            </w:r>
          </w:p>
          <w:p w14:paraId="4A8CB186" w14:textId="77777777" w:rsidR="00610C0D" w:rsidRPr="004E07AE" w:rsidRDefault="00610C0D" w:rsidP="006661D3">
            <w:pPr>
              <w:pStyle w:val="ListParagraph"/>
              <w:numPr>
                <w:ilvl w:val="0"/>
                <w:numId w:val="75"/>
              </w:numPr>
              <w:spacing w:before="0" w:after="0"/>
              <w:ind w:left="179" w:hanging="142"/>
            </w:pPr>
            <w:r w:rsidRPr="003A2F56">
              <w:rPr>
                <w:rFonts w:ascii="Century Gothic" w:eastAsiaTheme="majorEastAsia" w:hAnsi="Century Gothic" w:cstheme="minorHAnsi"/>
                <w:sz w:val="13"/>
                <w:szCs w:val="13"/>
              </w:rPr>
              <w:t xml:space="preserve">NVAO. (2019). </w:t>
            </w:r>
            <w:r w:rsidRPr="003A2F56">
              <w:rPr>
                <w:rFonts w:ascii="Century Gothic" w:eastAsiaTheme="majorEastAsia" w:hAnsi="Century Gothic" w:cstheme="minorHAnsi"/>
                <w:i/>
                <w:sz w:val="13"/>
                <w:szCs w:val="13"/>
              </w:rPr>
              <w:t>Recognition of new institution (recognised private institutions)</w:t>
            </w:r>
            <w:r w:rsidRPr="003A2F56">
              <w:rPr>
                <w:rFonts w:ascii="Century Gothic" w:eastAsiaTheme="majorEastAsia" w:hAnsi="Century Gothic" w:cstheme="minorHAnsi"/>
                <w:sz w:val="13"/>
                <w:szCs w:val="13"/>
              </w:rPr>
              <w:t xml:space="preserve">. Retrieved from: </w:t>
            </w:r>
            <w:hyperlink r:id="rId64" w:history="1">
              <w:r w:rsidRPr="003A2F56">
                <w:rPr>
                  <w:rStyle w:val="Hyperlink"/>
                  <w:rFonts w:ascii="Century Gothic" w:hAnsi="Century Gothic" w:cstheme="minorHAnsi"/>
                  <w:sz w:val="13"/>
                  <w:szCs w:val="13"/>
                </w:rPr>
                <w:t>https://www.nvao.net/en/procedures/the-netherlands/recognition-of-new-institution-recognised-private-institutions</w:t>
              </w:r>
            </w:hyperlink>
            <w:r w:rsidRPr="003A2F56">
              <w:rPr>
                <w:rFonts w:ascii="Century Gothic" w:eastAsiaTheme="majorEastAsia" w:hAnsi="Century Gothic" w:cstheme="minorHAnsi"/>
                <w:sz w:val="13"/>
                <w:szCs w:val="13"/>
              </w:rPr>
              <w:t>.</w:t>
            </w:r>
          </w:p>
          <w:p w14:paraId="6C6C84FF" w14:textId="1E94FFDE" w:rsidR="004E07AE" w:rsidRPr="00730C0D" w:rsidRDefault="004E07AE" w:rsidP="004E07AE">
            <w:pPr>
              <w:pStyle w:val="ListParagraph"/>
              <w:spacing w:before="0" w:after="0"/>
              <w:ind w:left="179"/>
            </w:pPr>
          </w:p>
        </w:tc>
      </w:tr>
      <w:tr w:rsidR="00FE78DE" w:rsidRPr="00730C0D" w14:paraId="2A37F177" w14:textId="77777777" w:rsidTr="00BD74BE">
        <w:tc>
          <w:tcPr>
            <w:tcW w:w="10348" w:type="dxa"/>
            <w:gridSpan w:val="2"/>
            <w:shd w:val="clear" w:color="auto" w:fill="DEEAF6" w:themeFill="accent1" w:themeFillTint="33"/>
            <w:vAlign w:val="top"/>
          </w:tcPr>
          <w:p w14:paraId="4EE1098B" w14:textId="77777777" w:rsidR="00FE78DE" w:rsidRPr="00730C0D" w:rsidRDefault="00FE78DE" w:rsidP="00FE78DE">
            <w:pPr>
              <w:spacing w:before="0" w:after="0"/>
              <w:rPr>
                <w:rFonts w:ascii="Century Gothic" w:eastAsiaTheme="majorEastAsia" w:hAnsi="Century Gothic" w:cstheme="minorHAnsi"/>
                <w:b/>
                <w:sz w:val="20"/>
                <w:szCs w:val="20"/>
              </w:rPr>
            </w:pPr>
            <w:r w:rsidRPr="00730C0D">
              <w:rPr>
                <w:rFonts w:ascii="Century Gothic" w:hAnsi="Century Gothic" w:cstheme="minorHAnsi"/>
                <w:b/>
                <w:sz w:val="20"/>
                <w:szCs w:val="20"/>
              </w:rPr>
              <w:t>New Zealand</w:t>
            </w:r>
          </w:p>
        </w:tc>
      </w:tr>
      <w:tr w:rsidR="00FE78DE" w:rsidRPr="00730C0D" w14:paraId="644CDA30" w14:textId="77777777" w:rsidTr="004E07AE">
        <w:tc>
          <w:tcPr>
            <w:tcW w:w="2694" w:type="dxa"/>
            <w:vAlign w:val="top"/>
          </w:tcPr>
          <w:p w14:paraId="3F371F26"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The New Zealand national regulator (NZQA) places tertiary education organisations (TEOs) (described adjacent) other than universities into four categories of capability:</w:t>
            </w:r>
          </w:p>
          <w:p w14:paraId="40B2C222"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i/>
                <w:sz w:val="20"/>
                <w:szCs w:val="20"/>
              </w:rPr>
              <w:t>Category 1:</w:t>
            </w:r>
            <w:r w:rsidRPr="00730C0D">
              <w:rPr>
                <w:rFonts w:ascii="Century Gothic" w:eastAsiaTheme="majorEastAsia" w:hAnsi="Century Gothic" w:cstheme="minorHAnsi"/>
                <w:sz w:val="20"/>
                <w:szCs w:val="20"/>
              </w:rPr>
              <w:t xml:space="preserve"> two Highly Confident judgements from external evaluation and review, or Highly Confident in educational performance and Confident in capability in self-assessment.</w:t>
            </w:r>
          </w:p>
          <w:p w14:paraId="24CE5736"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i/>
                <w:sz w:val="20"/>
                <w:szCs w:val="20"/>
              </w:rPr>
              <w:t>Category 2:</w:t>
            </w:r>
            <w:r w:rsidRPr="00730C0D">
              <w:rPr>
                <w:rFonts w:ascii="Century Gothic" w:eastAsiaTheme="majorEastAsia" w:hAnsi="Century Gothic" w:cstheme="minorHAnsi"/>
                <w:sz w:val="20"/>
                <w:szCs w:val="20"/>
              </w:rPr>
              <w:t xml:space="preserve"> two Confident judgements, or Highly Confident in self-assessment and Confident in educational performance.</w:t>
            </w:r>
          </w:p>
          <w:p w14:paraId="1AF489B0"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i/>
                <w:sz w:val="20"/>
                <w:szCs w:val="20"/>
              </w:rPr>
              <w:t>Category 3:</w:t>
            </w:r>
            <w:r w:rsidRPr="00730C0D">
              <w:rPr>
                <w:rFonts w:ascii="Century Gothic" w:eastAsiaTheme="majorEastAsia" w:hAnsi="Century Gothic" w:cstheme="minorHAnsi"/>
                <w:sz w:val="20"/>
                <w:szCs w:val="20"/>
              </w:rPr>
              <w:t xml:space="preserve"> at least one Not Yet Confident judgement.</w:t>
            </w:r>
          </w:p>
          <w:p w14:paraId="3252DAF6" w14:textId="77777777"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i/>
                <w:sz w:val="20"/>
                <w:szCs w:val="20"/>
              </w:rPr>
              <w:t>Category 4:</w:t>
            </w:r>
            <w:r w:rsidRPr="00730C0D">
              <w:rPr>
                <w:rFonts w:ascii="Century Gothic" w:eastAsiaTheme="majorEastAsia" w:hAnsi="Century Gothic" w:cstheme="minorHAnsi"/>
                <w:sz w:val="20"/>
                <w:szCs w:val="20"/>
              </w:rPr>
              <w:t xml:space="preserve"> at least one Not Confident judgement.</w:t>
            </w:r>
          </w:p>
          <w:p w14:paraId="2FA6E7C9"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3116CA62" w14:textId="17C2EF5B" w:rsidR="00FE78DE" w:rsidRPr="00730C0D" w:rsidRDefault="00FE78DE" w:rsidP="00FE78DE">
            <w:pPr>
              <w:spacing w:before="0" w:after="0" w:line="259" w:lineRule="auto"/>
              <w:rPr>
                <w:rFonts w:ascii="Century Gothic" w:eastAsiaTheme="majorEastAsia" w:hAnsi="Century Gothic" w:cstheme="minorHAnsi"/>
                <w:sz w:val="20"/>
                <w:szCs w:val="20"/>
                <w:lang w:val="en"/>
              </w:rPr>
            </w:pPr>
          </w:p>
          <w:p w14:paraId="525EEC90"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tc>
        <w:tc>
          <w:tcPr>
            <w:tcW w:w="7654" w:type="dxa"/>
            <w:vAlign w:val="top"/>
          </w:tcPr>
          <w:p w14:paraId="1EA63DC9" w14:textId="63CBF79C" w:rsidR="00FE78DE"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University:</w:t>
            </w:r>
            <w:r w:rsidRPr="00730C0D">
              <w:rPr>
                <w:rFonts w:ascii="Century Gothic" w:eastAsiaTheme="majorEastAsia" w:hAnsi="Century Gothic" w:cstheme="minorHAnsi"/>
                <w:sz w:val="20"/>
                <w:szCs w:val="20"/>
              </w:rPr>
              <w:t xml:space="preserve"> </w:t>
            </w:r>
            <w:r w:rsidR="00172A32">
              <w:rPr>
                <w:rFonts w:ascii="Century Gothic" w:eastAsiaTheme="majorEastAsia" w:hAnsi="Century Gothic" w:cstheme="minorHAnsi"/>
                <w:sz w:val="20"/>
                <w:szCs w:val="20"/>
              </w:rPr>
              <w:t>an</w:t>
            </w:r>
            <w:r w:rsidR="006241A6">
              <w:rPr>
                <w:rFonts w:ascii="Century Gothic" w:eastAsiaTheme="majorEastAsia" w:hAnsi="Century Gothic" w:cstheme="minorHAnsi"/>
                <w:sz w:val="20"/>
                <w:szCs w:val="20"/>
              </w:rPr>
              <w:t xml:space="preserve"> autonomous, publicly funded</w:t>
            </w:r>
            <w:r w:rsidR="00172A32">
              <w:rPr>
                <w:rFonts w:ascii="Century Gothic" w:eastAsiaTheme="majorEastAsia" w:hAnsi="Century Gothic" w:cstheme="minorHAnsi"/>
                <w:sz w:val="20"/>
                <w:szCs w:val="20"/>
              </w:rPr>
              <w:t xml:space="preserve"> institution that has</w:t>
            </w:r>
            <w:r w:rsidRPr="00730C0D">
              <w:rPr>
                <w:rFonts w:ascii="Century Gothic" w:eastAsiaTheme="majorEastAsia" w:hAnsi="Century Gothic" w:cstheme="minorHAnsi"/>
                <w:sz w:val="20"/>
                <w:szCs w:val="20"/>
              </w:rPr>
              <w:t xml:space="preserve"> a wide diversity of teaching and research, especially at a higher level</w:t>
            </w:r>
            <w:r w:rsidR="00172A32">
              <w:rPr>
                <w:rFonts w:ascii="Century Gothic" w:eastAsiaTheme="majorEastAsia" w:hAnsi="Century Gothic" w:cstheme="minorHAnsi"/>
                <w:sz w:val="20"/>
                <w:szCs w:val="20"/>
              </w:rPr>
              <w:t>,</w:t>
            </w:r>
            <w:r w:rsidRPr="00730C0D">
              <w:rPr>
                <w:rFonts w:ascii="Century Gothic" w:eastAsiaTheme="majorEastAsia" w:hAnsi="Century Gothic" w:cstheme="minorHAnsi"/>
                <w:sz w:val="20"/>
                <w:szCs w:val="20"/>
              </w:rPr>
              <w:t xml:space="preserve"> maintains, advances, disseminates</w:t>
            </w:r>
            <w:r w:rsidR="00172A32">
              <w:rPr>
                <w:rFonts w:ascii="Century Gothic" w:eastAsiaTheme="majorEastAsia" w:hAnsi="Century Gothic" w:cstheme="minorHAnsi"/>
                <w:sz w:val="20"/>
                <w:szCs w:val="20"/>
              </w:rPr>
              <w:t>,</w:t>
            </w:r>
            <w:r w:rsidRPr="00730C0D">
              <w:rPr>
                <w:rFonts w:ascii="Century Gothic" w:eastAsiaTheme="majorEastAsia" w:hAnsi="Century Gothic" w:cstheme="minorHAnsi"/>
                <w:sz w:val="20"/>
                <w:szCs w:val="20"/>
              </w:rPr>
              <w:t xml:space="preserve"> and assis</w:t>
            </w:r>
            <w:r w:rsidR="00172A32">
              <w:rPr>
                <w:rFonts w:ascii="Century Gothic" w:eastAsiaTheme="majorEastAsia" w:hAnsi="Century Gothic" w:cstheme="minorHAnsi"/>
                <w:sz w:val="20"/>
                <w:szCs w:val="20"/>
              </w:rPr>
              <w:t xml:space="preserve">ts the application of knowledge, </w:t>
            </w:r>
            <w:r w:rsidRPr="00730C0D">
              <w:rPr>
                <w:rFonts w:ascii="Century Gothic" w:eastAsiaTheme="majorEastAsia" w:hAnsi="Century Gothic" w:cstheme="minorHAnsi"/>
                <w:sz w:val="20"/>
                <w:szCs w:val="20"/>
              </w:rPr>
              <w:t>deve</w:t>
            </w:r>
            <w:r w:rsidR="00172A32">
              <w:rPr>
                <w:rFonts w:ascii="Century Gothic" w:eastAsiaTheme="majorEastAsia" w:hAnsi="Century Gothic" w:cstheme="minorHAnsi"/>
                <w:sz w:val="20"/>
                <w:szCs w:val="20"/>
              </w:rPr>
              <w:t>lops intellectual independence, and promotes community learning.</w:t>
            </w:r>
          </w:p>
          <w:p w14:paraId="10702D9B" w14:textId="1B1EB7D5" w:rsidR="00FA76FB" w:rsidRDefault="00FA76FB" w:rsidP="00FE78DE">
            <w:pPr>
              <w:spacing w:before="0" w:after="0" w:line="259" w:lineRule="auto"/>
              <w:rPr>
                <w:rFonts w:ascii="Century Gothic" w:eastAsiaTheme="majorEastAsia" w:hAnsi="Century Gothic" w:cstheme="minorHAnsi"/>
                <w:sz w:val="20"/>
                <w:szCs w:val="20"/>
              </w:rPr>
            </w:pPr>
          </w:p>
          <w:p w14:paraId="047F2D1D" w14:textId="6D388A4A" w:rsidR="00FA76FB" w:rsidRPr="00730C0D" w:rsidRDefault="00FA76FB"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lang w:val="en"/>
              </w:rPr>
              <w:t>There are two bodies overseeing the quality assurance of universities - Universities New Zealand</w:t>
            </w:r>
            <w:r>
              <w:rPr>
                <w:rFonts w:ascii="Century Gothic" w:eastAsiaTheme="majorEastAsia" w:hAnsi="Century Gothic" w:cstheme="minorHAnsi"/>
                <w:sz w:val="20"/>
                <w:szCs w:val="20"/>
                <w:lang w:val="en"/>
              </w:rPr>
              <w:t xml:space="preserve"> (responsible for qualification and regulation approval, accreditation and program moderation procedures)</w:t>
            </w:r>
            <w:r w:rsidRPr="00730C0D">
              <w:rPr>
                <w:rFonts w:ascii="Century Gothic" w:eastAsiaTheme="majorEastAsia" w:hAnsi="Century Gothic" w:cstheme="minorHAnsi"/>
                <w:sz w:val="20"/>
                <w:szCs w:val="20"/>
                <w:lang w:val="en"/>
              </w:rPr>
              <w:t xml:space="preserve"> and the </w:t>
            </w:r>
            <w:hyperlink r:id="rId65" w:tgtFrame="_blank" w:history="1">
              <w:r w:rsidRPr="00730C0D">
                <w:rPr>
                  <w:rFonts w:ascii="Century Gothic" w:hAnsi="Century Gothic"/>
                  <w:sz w:val="20"/>
                  <w:szCs w:val="20"/>
                </w:rPr>
                <w:t>Academic Quality Agency for New Zealand Universities</w:t>
              </w:r>
              <w:r>
                <w:rPr>
                  <w:rFonts w:ascii="Century Gothic" w:hAnsi="Century Gothic"/>
                  <w:sz w:val="20"/>
                  <w:szCs w:val="20"/>
                </w:rPr>
                <w:t xml:space="preserve"> (which supports universities in their achievement of standards of excellence in research, and teaching, through regular institutional audits, and the promotion of quality enhancement practices across the sector)</w:t>
              </w:r>
              <w:r w:rsidRPr="00730C0D">
                <w:rPr>
                  <w:rFonts w:ascii="Century Gothic" w:hAnsi="Century Gothic"/>
                  <w:sz w:val="20"/>
                  <w:szCs w:val="20"/>
                </w:rPr>
                <w:t>.</w:t>
              </w:r>
            </w:hyperlink>
          </w:p>
          <w:p w14:paraId="6A9D09F4"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2593CFDA" w14:textId="55A6AB2A"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Institutes of Technology and Polytechnics (ITPs):</w:t>
            </w:r>
            <w:r w:rsidRPr="00730C0D">
              <w:rPr>
                <w:rFonts w:ascii="Century Gothic" w:hAnsi="Century Gothic" w:cstheme="minorHAnsi"/>
                <w:sz w:val="20"/>
                <w:szCs w:val="20"/>
              </w:rPr>
              <w:t xml:space="preserve"> </w:t>
            </w:r>
            <w:r w:rsidR="00172A32">
              <w:rPr>
                <w:rFonts w:ascii="Century Gothic" w:hAnsi="Century Gothic" w:cstheme="minorHAnsi"/>
                <w:sz w:val="20"/>
                <w:szCs w:val="20"/>
              </w:rPr>
              <w:t>an institution</w:t>
            </w:r>
            <w:r w:rsidRPr="00730C0D">
              <w:rPr>
                <w:rFonts w:ascii="Century Gothic" w:hAnsi="Century Gothic" w:cstheme="minorHAnsi"/>
                <w:sz w:val="20"/>
                <w:szCs w:val="20"/>
              </w:rPr>
              <w:t xml:space="preserve"> that</w:t>
            </w:r>
            <w:r w:rsidR="00172A32">
              <w:rPr>
                <w:rFonts w:ascii="Century Gothic" w:hAnsi="Century Gothic" w:cstheme="minorHAnsi"/>
                <w:sz w:val="20"/>
                <w:szCs w:val="20"/>
              </w:rPr>
              <w:t xml:space="preserve"> is characterised by a wide diversity of continuing education,</w:t>
            </w:r>
            <w:r w:rsidR="00CE31F8">
              <w:rPr>
                <w:rFonts w:ascii="Century Gothic" w:hAnsi="Century Gothic" w:cstheme="minorHAnsi"/>
                <w:sz w:val="20"/>
                <w:szCs w:val="20"/>
              </w:rPr>
              <w:t xml:space="preserve"> including vocational training, </w:t>
            </w:r>
            <w:r w:rsidR="00172A32">
              <w:rPr>
                <w:rFonts w:ascii="Century Gothic" w:hAnsi="Century Gothic" w:cstheme="minorHAnsi"/>
                <w:sz w:val="20"/>
                <w:szCs w:val="20"/>
              </w:rPr>
              <w:t>that contributes to the maintenance, advancement, and dissemination of knowledge and expertise. These institutions also promote community learning and research, particularly applied and technological research, that aids development.</w:t>
            </w:r>
            <w:r w:rsidRPr="00730C0D">
              <w:rPr>
                <w:rFonts w:ascii="Century Gothic" w:hAnsi="Century Gothic" w:cstheme="minorHAnsi"/>
                <w:sz w:val="20"/>
                <w:szCs w:val="20"/>
              </w:rPr>
              <w:t xml:space="preserve"> </w:t>
            </w:r>
          </w:p>
          <w:p w14:paraId="32999B7D" w14:textId="77777777" w:rsidR="00FE78DE" w:rsidRPr="00730C0D" w:rsidRDefault="00FE78DE" w:rsidP="00FE78DE">
            <w:pPr>
              <w:spacing w:before="0" w:after="0" w:line="259" w:lineRule="auto"/>
              <w:rPr>
                <w:rFonts w:ascii="Century Gothic" w:hAnsi="Century Gothic" w:cstheme="minorHAnsi"/>
                <w:sz w:val="20"/>
                <w:szCs w:val="20"/>
              </w:rPr>
            </w:pPr>
          </w:p>
          <w:p w14:paraId="49EED437" w14:textId="0E0AC0E2"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Private Training Establishments (PTEs):</w:t>
            </w:r>
            <w:r w:rsidRPr="00730C0D">
              <w:rPr>
                <w:rFonts w:ascii="Century Gothic" w:hAnsi="Century Gothic" w:cstheme="minorHAnsi"/>
                <w:sz w:val="20"/>
                <w:szCs w:val="20"/>
              </w:rPr>
              <w:t xml:space="preserve"> private</w:t>
            </w:r>
            <w:r w:rsidR="00172A32">
              <w:rPr>
                <w:rFonts w:ascii="Century Gothic" w:hAnsi="Century Gothic" w:cstheme="minorHAnsi"/>
                <w:sz w:val="20"/>
                <w:szCs w:val="20"/>
              </w:rPr>
              <w:t xml:space="preserve"> organisations that offer education or training. Many companies and government training establishments register their staff training operations as training establishments.</w:t>
            </w:r>
            <w:r w:rsidRPr="00730C0D">
              <w:rPr>
                <w:rFonts w:ascii="Century Gothic" w:hAnsi="Century Gothic" w:cstheme="minorHAnsi"/>
                <w:sz w:val="20"/>
                <w:szCs w:val="20"/>
              </w:rPr>
              <w:t xml:space="preserve"> </w:t>
            </w:r>
          </w:p>
          <w:p w14:paraId="6A501898" w14:textId="77777777" w:rsidR="00FE78DE" w:rsidRPr="00730C0D" w:rsidRDefault="00FE78DE" w:rsidP="00FE78DE">
            <w:pPr>
              <w:spacing w:before="0" w:after="0" w:line="259" w:lineRule="auto"/>
              <w:rPr>
                <w:rFonts w:ascii="Century Gothic" w:hAnsi="Century Gothic" w:cstheme="minorHAnsi"/>
                <w:sz w:val="20"/>
                <w:szCs w:val="20"/>
              </w:rPr>
            </w:pPr>
          </w:p>
          <w:p w14:paraId="1DCC7E86" w14:textId="4F7B6585"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Government Training Establishment:</w:t>
            </w:r>
            <w:r w:rsidRPr="00730C0D">
              <w:rPr>
                <w:rFonts w:ascii="Century Gothic" w:hAnsi="Century Gothic" w:cstheme="minorHAnsi"/>
                <w:sz w:val="20"/>
                <w:szCs w:val="20"/>
              </w:rPr>
              <w:t xml:space="preserve"> a state-owned organisation providing education or training (for examp</w:t>
            </w:r>
            <w:r w:rsidR="004E07AE">
              <w:rPr>
                <w:rFonts w:ascii="Century Gothic" w:hAnsi="Century Gothic" w:cstheme="minorHAnsi"/>
                <w:sz w:val="20"/>
                <w:szCs w:val="20"/>
              </w:rPr>
              <w:t>le, NZ Police Training Services or the</w:t>
            </w:r>
            <w:r w:rsidRPr="00730C0D">
              <w:rPr>
                <w:rFonts w:ascii="Century Gothic" w:hAnsi="Century Gothic" w:cstheme="minorHAnsi"/>
                <w:sz w:val="20"/>
                <w:szCs w:val="20"/>
              </w:rPr>
              <w:t xml:space="preserve"> </w:t>
            </w:r>
            <w:r w:rsidR="000E10EB">
              <w:rPr>
                <w:rFonts w:ascii="Century Gothic" w:hAnsi="Century Gothic" w:cstheme="minorHAnsi"/>
                <w:sz w:val="20"/>
                <w:szCs w:val="20"/>
              </w:rPr>
              <w:br/>
            </w:r>
            <w:r w:rsidRPr="00730C0D">
              <w:rPr>
                <w:rFonts w:ascii="Century Gothic" w:hAnsi="Century Gothic" w:cstheme="minorHAnsi"/>
                <w:sz w:val="20"/>
                <w:szCs w:val="20"/>
              </w:rPr>
              <w:t>New Zealand Army).</w:t>
            </w:r>
          </w:p>
          <w:p w14:paraId="491EA575" w14:textId="77777777" w:rsidR="00FE78DE" w:rsidRPr="00730C0D" w:rsidRDefault="00FE78DE" w:rsidP="00FE78DE">
            <w:pPr>
              <w:spacing w:before="0" w:after="0" w:line="259" w:lineRule="auto"/>
              <w:rPr>
                <w:rFonts w:ascii="Century Gothic" w:hAnsi="Century Gothic" w:cstheme="minorHAnsi"/>
                <w:sz w:val="20"/>
                <w:szCs w:val="20"/>
              </w:rPr>
            </w:pPr>
          </w:p>
          <w:p w14:paraId="37BE5DFC" w14:textId="33021800"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W</w:t>
            </w:r>
            <w:r w:rsidR="00172A32" w:rsidRPr="00172A32">
              <w:rPr>
                <w:rFonts w:ascii="Century Gothic" w:hAnsi="Century Gothic" w:cstheme="minorHAnsi"/>
                <w:b/>
                <w:sz w:val="20"/>
                <w:szCs w:val="20"/>
              </w:rPr>
              <w:t>ā</w:t>
            </w:r>
            <w:r w:rsidRPr="00730C0D">
              <w:rPr>
                <w:rFonts w:ascii="Century Gothic" w:hAnsi="Century Gothic" w:cstheme="minorHAnsi"/>
                <w:b/>
                <w:sz w:val="20"/>
                <w:szCs w:val="20"/>
              </w:rPr>
              <w:t>nanga:</w:t>
            </w:r>
            <w:r w:rsidRPr="00730C0D">
              <w:rPr>
                <w:rFonts w:ascii="Century Gothic" w:hAnsi="Century Gothic" w:cstheme="minorHAnsi"/>
                <w:sz w:val="20"/>
                <w:szCs w:val="20"/>
              </w:rPr>
              <w:t xml:space="preserve"> </w:t>
            </w:r>
            <w:r w:rsidR="00172A32">
              <w:rPr>
                <w:rFonts w:ascii="Century Gothic" w:hAnsi="Century Gothic" w:cstheme="minorHAnsi"/>
                <w:sz w:val="20"/>
                <w:szCs w:val="20"/>
              </w:rPr>
              <w:t xml:space="preserve">a </w:t>
            </w:r>
            <w:r w:rsidRPr="00730C0D">
              <w:rPr>
                <w:rFonts w:ascii="Century Gothic" w:hAnsi="Century Gothic" w:cstheme="minorHAnsi"/>
                <w:sz w:val="20"/>
                <w:szCs w:val="20"/>
              </w:rPr>
              <w:t>te</w:t>
            </w:r>
            <w:r w:rsidR="00172A32">
              <w:rPr>
                <w:rFonts w:ascii="Century Gothic" w:hAnsi="Century Gothic" w:cstheme="minorHAnsi"/>
                <w:sz w:val="20"/>
                <w:szCs w:val="20"/>
              </w:rPr>
              <w:t>aching and research institution</w:t>
            </w:r>
            <w:r w:rsidRPr="00730C0D">
              <w:rPr>
                <w:rFonts w:ascii="Century Gothic" w:hAnsi="Century Gothic" w:cstheme="minorHAnsi"/>
                <w:sz w:val="20"/>
                <w:szCs w:val="20"/>
              </w:rPr>
              <w:t xml:space="preserve"> that maintain</w:t>
            </w:r>
            <w:r w:rsidR="00172A32">
              <w:rPr>
                <w:rFonts w:ascii="Century Gothic" w:hAnsi="Century Gothic" w:cstheme="minorHAnsi"/>
                <w:sz w:val="20"/>
                <w:szCs w:val="20"/>
              </w:rPr>
              <w:t>s</w:t>
            </w:r>
            <w:r w:rsidRPr="00730C0D">
              <w:rPr>
                <w:rFonts w:ascii="Century Gothic" w:hAnsi="Century Gothic" w:cstheme="minorHAnsi"/>
                <w:sz w:val="20"/>
                <w:szCs w:val="20"/>
              </w:rPr>
              <w:t>, advance</w:t>
            </w:r>
            <w:r w:rsidR="00172A32">
              <w:rPr>
                <w:rFonts w:ascii="Century Gothic" w:hAnsi="Century Gothic" w:cstheme="minorHAnsi"/>
                <w:sz w:val="20"/>
                <w:szCs w:val="20"/>
              </w:rPr>
              <w:t>s</w:t>
            </w:r>
            <w:r w:rsidRPr="00730C0D">
              <w:rPr>
                <w:rFonts w:ascii="Century Gothic" w:hAnsi="Century Gothic" w:cstheme="minorHAnsi"/>
                <w:sz w:val="20"/>
                <w:szCs w:val="20"/>
              </w:rPr>
              <w:t xml:space="preserve"> and disseminate</w:t>
            </w:r>
            <w:r w:rsidR="00172A32">
              <w:rPr>
                <w:rFonts w:ascii="Century Gothic" w:hAnsi="Century Gothic" w:cstheme="minorHAnsi"/>
                <w:sz w:val="20"/>
                <w:szCs w:val="20"/>
              </w:rPr>
              <w:t>s</w:t>
            </w:r>
            <w:r w:rsidRPr="00730C0D">
              <w:rPr>
                <w:rFonts w:ascii="Century Gothic" w:hAnsi="Century Gothic" w:cstheme="minorHAnsi"/>
                <w:sz w:val="20"/>
                <w:szCs w:val="20"/>
              </w:rPr>
              <w:t xml:space="preserve"> knowledge, develop</w:t>
            </w:r>
            <w:r w:rsidR="00172A32">
              <w:rPr>
                <w:rFonts w:ascii="Century Gothic" w:hAnsi="Century Gothic" w:cstheme="minorHAnsi"/>
                <w:sz w:val="20"/>
                <w:szCs w:val="20"/>
              </w:rPr>
              <w:t>s</w:t>
            </w:r>
            <w:r w:rsidRPr="00730C0D">
              <w:rPr>
                <w:rFonts w:ascii="Century Gothic" w:hAnsi="Century Gothic" w:cstheme="minorHAnsi"/>
                <w:sz w:val="20"/>
                <w:szCs w:val="20"/>
              </w:rPr>
              <w:t xml:space="preserve"> intellectual independence, and assist</w:t>
            </w:r>
            <w:r w:rsidR="00172A32">
              <w:rPr>
                <w:rFonts w:ascii="Century Gothic" w:hAnsi="Century Gothic" w:cstheme="minorHAnsi"/>
                <w:sz w:val="20"/>
                <w:szCs w:val="20"/>
              </w:rPr>
              <w:t>s</w:t>
            </w:r>
            <w:r w:rsidRPr="00730C0D">
              <w:rPr>
                <w:rFonts w:ascii="Century Gothic" w:hAnsi="Century Gothic" w:cstheme="minorHAnsi"/>
                <w:sz w:val="20"/>
                <w:szCs w:val="20"/>
              </w:rPr>
              <w:t xml:space="preserve"> the application of knowledge regarding āhuatanga Māori (Māori tradition) according to tikanga Māori (Māori custom).</w:t>
            </w:r>
            <w:r w:rsidRPr="00730C0D" w:rsidDel="001B3284">
              <w:rPr>
                <w:rFonts w:ascii="Century Gothic" w:hAnsi="Century Gothic" w:cstheme="minorHAnsi"/>
                <w:sz w:val="20"/>
                <w:szCs w:val="20"/>
              </w:rPr>
              <w:t xml:space="preserve"> </w:t>
            </w:r>
          </w:p>
          <w:p w14:paraId="1D285647" w14:textId="77777777" w:rsidR="00FE78DE" w:rsidRPr="00730C0D" w:rsidRDefault="00FE78DE" w:rsidP="00FE78DE">
            <w:pPr>
              <w:spacing w:before="0" w:after="0" w:line="259" w:lineRule="auto"/>
              <w:rPr>
                <w:rFonts w:ascii="Century Gothic" w:hAnsi="Century Gothic" w:cstheme="minorHAnsi"/>
                <w:sz w:val="20"/>
                <w:szCs w:val="20"/>
              </w:rPr>
            </w:pPr>
          </w:p>
          <w:p w14:paraId="2F82B171" w14:textId="4805995C"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Industry Training Organisation:</w:t>
            </w:r>
            <w:r w:rsidRPr="00730C0D">
              <w:rPr>
                <w:rFonts w:ascii="Century Gothic" w:hAnsi="Century Gothic" w:cstheme="minorHAnsi"/>
                <w:sz w:val="20"/>
                <w:szCs w:val="20"/>
              </w:rPr>
              <w:t xml:space="preserve"> </w:t>
            </w:r>
            <w:r w:rsidR="00172A32">
              <w:rPr>
                <w:rFonts w:ascii="Century Gothic" w:hAnsi="Century Gothic" w:cstheme="minorHAnsi"/>
                <w:sz w:val="20"/>
                <w:szCs w:val="20"/>
              </w:rPr>
              <w:t xml:space="preserve">a body </w:t>
            </w:r>
            <w:r w:rsidRPr="00730C0D">
              <w:rPr>
                <w:rFonts w:ascii="Century Gothic" w:hAnsi="Century Gothic" w:cstheme="minorHAnsi"/>
                <w:sz w:val="20"/>
                <w:szCs w:val="20"/>
              </w:rPr>
              <w:t xml:space="preserve">recognised as having responsibility for setting standards and arranging the delivery of industry training for the sector they represent. These organisations are not education providers, but can become accredited to register assessors within specified fields of the </w:t>
            </w:r>
            <w:r w:rsidR="00172A32">
              <w:rPr>
                <w:rFonts w:ascii="Century Gothic" w:hAnsi="Century Gothic" w:cstheme="minorHAnsi"/>
                <w:sz w:val="20"/>
                <w:szCs w:val="20"/>
              </w:rPr>
              <w:t>New Zealand Qualifications Framework</w:t>
            </w:r>
            <w:r w:rsidRPr="00730C0D">
              <w:rPr>
                <w:rFonts w:ascii="Century Gothic" w:hAnsi="Century Gothic" w:cstheme="minorHAnsi"/>
                <w:sz w:val="20"/>
                <w:szCs w:val="20"/>
              </w:rPr>
              <w:t>.</w:t>
            </w:r>
          </w:p>
          <w:p w14:paraId="43DE191D" w14:textId="77777777" w:rsidR="00FE78DE" w:rsidRPr="006661D3" w:rsidRDefault="00FE78DE" w:rsidP="00FE78DE">
            <w:pPr>
              <w:spacing w:before="0" w:after="0" w:line="259" w:lineRule="auto"/>
              <w:rPr>
                <w:rFonts w:ascii="Century Gothic" w:hAnsi="Century Gothic" w:cstheme="minorHAnsi"/>
                <w:sz w:val="8"/>
                <w:szCs w:val="8"/>
              </w:rPr>
            </w:pPr>
          </w:p>
          <w:p w14:paraId="2D941757" w14:textId="77777777" w:rsidR="00172A32" w:rsidRPr="00172A32" w:rsidRDefault="00FE78DE" w:rsidP="00FE78DE">
            <w:pPr>
              <w:spacing w:before="0" w:after="0" w:line="259" w:lineRule="auto"/>
              <w:rPr>
                <w:rFonts w:ascii="Century Gothic" w:hAnsi="Century Gothic" w:cstheme="minorHAnsi"/>
                <w:sz w:val="13"/>
                <w:szCs w:val="13"/>
              </w:rPr>
            </w:pPr>
            <w:r w:rsidRPr="00172A32">
              <w:rPr>
                <w:rFonts w:ascii="Century Gothic" w:hAnsi="Century Gothic" w:cstheme="minorHAnsi"/>
                <w:sz w:val="13"/>
                <w:szCs w:val="13"/>
              </w:rPr>
              <w:t>Source</w:t>
            </w:r>
            <w:r w:rsidR="00172A32" w:rsidRPr="00172A32">
              <w:rPr>
                <w:rFonts w:ascii="Century Gothic" w:hAnsi="Century Gothic" w:cstheme="minorHAnsi"/>
                <w:sz w:val="13"/>
                <w:szCs w:val="13"/>
              </w:rPr>
              <w:t>s</w:t>
            </w:r>
            <w:r w:rsidRPr="00172A32">
              <w:rPr>
                <w:rFonts w:ascii="Century Gothic" w:hAnsi="Century Gothic" w:cstheme="minorHAnsi"/>
                <w:sz w:val="13"/>
                <w:szCs w:val="13"/>
              </w:rPr>
              <w:t xml:space="preserve">: </w:t>
            </w:r>
          </w:p>
          <w:p w14:paraId="27754664" w14:textId="77777777" w:rsidR="00610C0D" w:rsidRPr="00506CB5" w:rsidRDefault="00610C0D" w:rsidP="006241A6">
            <w:pPr>
              <w:pStyle w:val="ListParagraph"/>
              <w:numPr>
                <w:ilvl w:val="0"/>
                <w:numId w:val="75"/>
              </w:numPr>
              <w:spacing w:before="0" w:after="0"/>
              <w:ind w:left="179" w:hanging="142"/>
              <w:rPr>
                <w:rFonts w:ascii="Century Gothic" w:hAnsi="Century Gothic" w:cstheme="minorHAnsi"/>
                <w:sz w:val="13"/>
                <w:szCs w:val="13"/>
              </w:rPr>
            </w:pPr>
            <w:r>
              <w:rPr>
                <w:rFonts w:ascii="Century Gothic" w:hAnsi="Century Gothic" w:cstheme="minorHAnsi"/>
                <w:sz w:val="13"/>
                <w:szCs w:val="13"/>
              </w:rPr>
              <w:t xml:space="preserve">Academic Quality Agency for New Zealand Universities. (2019). </w:t>
            </w:r>
            <w:r>
              <w:rPr>
                <w:rFonts w:ascii="Century Gothic" w:hAnsi="Century Gothic" w:cstheme="minorHAnsi"/>
                <w:i/>
                <w:sz w:val="13"/>
                <w:szCs w:val="13"/>
              </w:rPr>
              <w:t>Academic Quality Agency for New Zealand Universities</w:t>
            </w:r>
            <w:r>
              <w:rPr>
                <w:rFonts w:ascii="Century Gothic" w:hAnsi="Century Gothic" w:cstheme="minorHAnsi"/>
                <w:sz w:val="13"/>
                <w:szCs w:val="13"/>
              </w:rPr>
              <w:t xml:space="preserve">. Retrieved from: </w:t>
            </w:r>
            <w:hyperlink r:id="rId66" w:history="1">
              <w:r w:rsidRPr="008172A1">
                <w:rPr>
                  <w:rStyle w:val="Hyperlink"/>
                  <w:rFonts w:ascii="Century Gothic" w:hAnsi="Century Gothic" w:cstheme="minorHAnsi"/>
                  <w:sz w:val="13"/>
                  <w:szCs w:val="13"/>
                </w:rPr>
                <w:t>https://www.aqa.ac.nz/</w:t>
              </w:r>
            </w:hyperlink>
            <w:r>
              <w:rPr>
                <w:rFonts w:ascii="Century Gothic" w:hAnsi="Century Gothic" w:cstheme="minorHAnsi"/>
                <w:sz w:val="13"/>
                <w:szCs w:val="13"/>
              </w:rPr>
              <w:t xml:space="preserve">; and </w:t>
            </w:r>
            <w:r>
              <w:rPr>
                <w:rFonts w:ascii="Century Gothic" w:hAnsi="Century Gothic" w:cstheme="minorHAnsi"/>
                <w:i/>
                <w:sz w:val="13"/>
                <w:szCs w:val="13"/>
              </w:rPr>
              <w:t xml:space="preserve"> </w:t>
            </w:r>
          </w:p>
          <w:p w14:paraId="591A2AC4" w14:textId="77777777" w:rsidR="00610C0D" w:rsidRDefault="00610C0D" w:rsidP="006241A6">
            <w:pPr>
              <w:pStyle w:val="ListParagraph"/>
              <w:numPr>
                <w:ilvl w:val="0"/>
                <w:numId w:val="75"/>
              </w:numPr>
              <w:spacing w:before="0" w:after="0"/>
              <w:ind w:left="179" w:hanging="142"/>
              <w:rPr>
                <w:rFonts w:ascii="Century Gothic" w:hAnsi="Century Gothic" w:cstheme="minorHAnsi"/>
                <w:sz w:val="13"/>
                <w:szCs w:val="13"/>
              </w:rPr>
            </w:pPr>
            <w:r w:rsidRPr="00FA76FB">
              <w:rPr>
                <w:rFonts w:ascii="Century Gothic" w:hAnsi="Century Gothic" w:cstheme="minorHAnsi"/>
                <w:sz w:val="13"/>
                <w:szCs w:val="13"/>
              </w:rPr>
              <w:t xml:space="preserve">New Zealand Parliamentary Counsel Office. (2019). </w:t>
            </w:r>
            <w:r w:rsidRPr="00FA76FB">
              <w:rPr>
                <w:rFonts w:ascii="Century Gothic" w:hAnsi="Century Gothic" w:cstheme="minorHAnsi"/>
                <w:i/>
                <w:sz w:val="13"/>
                <w:szCs w:val="13"/>
              </w:rPr>
              <w:t>Education Act 1989</w:t>
            </w:r>
            <w:r w:rsidRPr="00FA76FB">
              <w:rPr>
                <w:rFonts w:ascii="Century Gothic" w:hAnsi="Century Gothic" w:cstheme="minorHAnsi"/>
                <w:sz w:val="13"/>
                <w:szCs w:val="13"/>
              </w:rPr>
              <w:t xml:space="preserve">. Retrieved from: </w:t>
            </w:r>
            <w:hyperlink r:id="rId67" w:history="1">
              <w:r w:rsidRPr="00FA76FB">
                <w:rPr>
                  <w:rStyle w:val="Hyperlink"/>
                  <w:rFonts w:ascii="Century Gothic" w:hAnsi="Century Gothic" w:cstheme="minorHAnsi"/>
                  <w:sz w:val="13"/>
                  <w:szCs w:val="13"/>
                </w:rPr>
                <w:t>http://www.legislation.govt.nz/act/public/1989/0080/latest/DLM175959.html</w:t>
              </w:r>
            </w:hyperlink>
            <w:r>
              <w:rPr>
                <w:rFonts w:ascii="Century Gothic" w:hAnsi="Century Gothic" w:cstheme="minorHAnsi"/>
                <w:sz w:val="13"/>
                <w:szCs w:val="13"/>
              </w:rPr>
              <w:t>;</w:t>
            </w:r>
            <w:r w:rsidRPr="00FA76FB">
              <w:rPr>
                <w:rFonts w:ascii="Century Gothic" w:hAnsi="Century Gothic" w:cstheme="minorHAnsi"/>
                <w:sz w:val="13"/>
                <w:szCs w:val="13"/>
              </w:rPr>
              <w:t xml:space="preserve"> </w:t>
            </w:r>
          </w:p>
          <w:p w14:paraId="5BE78322" w14:textId="77777777" w:rsidR="00610C0D" w:rsidRPr="00172A32" w:rsidRDefault="00610C0D" w:rsidP="00172A32">
            <w:pPr>
              <w:pStyle w:val="ListParagraph"/>
              <w:numPr>
                <w:ilvl w:val="0"/>
                <w:numId w:val="75"/>
              </w:numPr>
              <w:spacing w:before="0" w:after="0"/>
              <w:ind w:left="179" w:hanging="142"/>
              <w:rPr>
                <w:rFonts w:ascii="Century Gothic" w:hAnsi="Century Gothic" w:cstheme="minorHAnsi"/>
                <w:sz w:val="16"/>
                <w:szCs w:val="16"/>
              </w:rPr>
            </w:pPr>
            <w:r w:rsidRPr="00172A32">
              <w:rPr>
                <w:rFonts w:ascii="Century Gothic" w:hAnsi="Century Gothic" w:cstheme="minorHAnsi"/>
                <w:sz w:val="13"/>
                <w:szCs w:val="13"/>
              </w:rPr>
              <w:t xml:space="preserve">New </w:t>
            </w:r>
            <w:r w:rsidRPr="00172A32">
              <w:rPr>
                <w:rFonts w:ascii="Century Gothic" w:eastAsiaTheme="majorEastAsia" w:hAnsi="Century Gothic" w:cstheme="minorHAnsi"/>
                <w:sz w:val="13"/>
                <w:szCs w:val="13"/>
              </w:rPr>
              <w:t>Zealand</w:t>
            </w:r>
            <w:r w:rsidRPr="00172A32">
              <w:rPr>
                <w:rFonts w:ascii="Century Gothic" w:hAnsi="Century Gothic" w:cstheme="minorHAnsi"/>
                <w:sz w:val="13"/>
                <w:szCs w:val="13"/>
              </w:rPr>
              <w:t xml:space="preserve"> Qualifications Authority (NZQA). (n.d.). </w:t>
            </w:r>
            <w:r w:rsidRPr="00172A32">
              <w:rPr>
                <w:rFonts w:ascii="Century Gothic" w:hAnsi="Century Gothic" w:cstheme="minorHAnsi"/>
                <w:i/>
                <w:sz w:val="13"/>
                <w:szCs w:val="13"/>
              </w:rPr>
              <w:t>About Education Organisations</w:t>
            </w:r>
            <w:r w:rsidRPr="00172A32">
              <w:rPr>
                <w:rFonts w:ascii="Century Gothic" w:hAnsi="Century Gothic" w:cstheme="minorHAnsi"/>
                <w:sz w:val="13"/>
                <w:szCs w:val="13"/>
              </w:rPr>
              <w:t xml:space="preserve">. Retrieved from: </w:t>
            </w:r>
            <w:hyperlink r:id="rId68" w:history="1">
              <w:r w:rsidRPr="00172A32">
                <w:rPr>
                  <w:rStyle w:val="Hyperlink"/>
                  <w:rFonts w:ascii="Century Gothic" w:hAnsi="Century Gothic" w:cstheme="minorHAnsi"/>
                  <w:sz w:val="13"/>
                  <w:szCs w:val="13"/>
                </w:rPr>
                <w:t>https://www.nzqa.govt.nz/providers-partners/about-education-organisations/</w:t>
              </w:r>
            </w:hyperlink>
            <w:r>
              <w:rPr>
                <w:rFonts w:ascii="Century Gothic" w:hAnsi="Century Gothic" w:cstheme="minorHAnsi"/>
                <w:sz w:val="13"/>
                <w:szCs w:val="13"/>
              </w:rPr>
              <w:t>;</w:t>
            </w:r>
          </w:p>
          <w:p w14:paraId="3A7637F1" w14:textId="5B9E98B3" w:rsidR="00506CB5" w:rsidRPr="00FA76FB" w:rsidRDefault="00610C0D" w:rsidP="006241A6">
            <w:pPr>
              <w:pStyle w:val="ListParagraph"/>
              <w:numPr>
                <w:ilvl w:val="0"/>
                <w:numId w:val="75"/>
              </w:numPr>
              <w:spacing w:before="0" w:after="0"/>
              <w:ind w:left="179" w:hanging="142"/>
              <w:rPr>
                <w:rFonts w:ascii="Century Gothic" w:hAnsi="Century Gothic" w:cstheme="minorHAnsi"/>
                <w:sz w:val="13"/>
                <w:szCs w:val="13"/>
              </w:rPr>
            </w:pPr>
            <w:r>
              <w:rPr>
                <w:rFonts w:ascii="Century Gothic" w:hAnsi="Century Gothic" w:cstheme="minorHAnsi"/>
                <w:sz w:val="13"/>
                <w:szCs w:val="13"/>
              </w:rPr>
              <w:t xml:space="preserve">Universities New Zealand. (2019). </w:t>
            </w:r>
            <w:r>
              <w:rPr>
                <w:rFonts w:ascii="Century Gothic" w:hAnsi="Century Gothic" w:cstheme="minorHAnsi"/>
                <w:i/>
                <w:sz w:val="13"/>
                <w:szCs w:val="13"/>
              </w:rPr>
              <w:t>About the university sector</w:t>
            </w:r>
            <w:r>
              <w:rPr>
                <w:rFonts w:ascii="Century Gothic" w:hAnsi="Century Gothic" w:cstheme="minorHAnsi"/>
                <w:sz w:val="13"/>
                <w:szCs w:val="13"/>
              </w:rPr>
              <w:t xml:space="preserve">. Retrieved from: </w:t>
            </w:r>
            <w:hyperlink r:id="rId69" w:history="1">
              <w:r w:rsidRPr="008172A1">
                <w:rPr>
                  <w:rStyle w:val="Hyperlink"/>
                  <w:rFonts w:ascii="Century Gothic" w:hAnsi="Century Gothic" w:cstheme="minorHAnsi"/>
                  <w:sz w:val="13"/>
                  <w:szCs w:val="13"/>
                </w:rPr>
                <w:t>https://www.universitiesnz.ac.nz/about-university-sector</w:t>
              </w:r>
            </w:hyperlink>
            <w:r>
              <w:rPr>
                <w:rFonts w:ascii="Century Gothic" w:hAnsi="Century Gothic" w:cstheme="minorHAnsi"/>
                <w:sz w:val="13"/>
                <w:szCs w:val="13"/>
              </w:rPr>
              <w:t xml:space="preserve">.  </w:t>
            </w:r>
          </w:p>
        </w:tc>
      </w:tr>
    </w:tbl>
    <w:p w14:paraId="1C041BEE" w14:textId="72FB7CD3" w:rsidR="00CE31F8" w:rsidRDefault="00CE31F8" w:rsidP="00FE78DE">
      <w:pPr>
        <w:rPr>
          <w:rFonts w:ascii="Century Gothic" w:hAnsi="Century Gothic"/>
          <w:sz w:val="20"/>
          <w:szCs w:val="20"/>
        </w:rPr>
      </w:pPr>
    </w:p>
    <w:p w14:paraId="3AAEC485" w14:textId="0287A5EB" w:rsidR="00CE31F8" w:rsidRDefault="00CE31F8" w:rsidP="00FE78DE">
      <w:pPr>
        <w:rPr>
          <w:rFonts w:ascii="Century Gothic" w:hAnsi="Century Gothic"/>
          <w:sz w:val="20"/>
          <w:szCs w:val="20"/>
        </w:rPr>
      </w:pPr>
    </w:p>
    <w:p w14:paraId="28F4EAAF" w14:textId="77777777" w:rsidR="00CE31F8" w:rsidRPr="00730C0D" w:rsidRDefault="00CE31F8" w:rsidP="00FE78DE">
      <w:pPr>
        <w:rPr>
          <w:rFonts w:ascii="Century Gothic" w:hAnsi="Century Gothic"/>
          <w:sz w:val="20"/>
          <w:szCs w:val="20"/>
        </w:rPr>
      </w:pPr>
    </w:p>
    <w:tbl>
      <w:tblPr>
        <w:tblStyle w:val="TableGrid"/>
        <w:tblW w:w="10355" w:type="dxa"/>
        <w:tblInd w:w="-714" w:type="dxa"/>
        <w:tblLayout w:type="fixed"/>
        <w:tblLook w:val="04A0" w:firstRow="1" w:lastRow="0" w:firstColumn="1" w:lastColumn="0" w:noHBand="0" w:noVBand="1"/>
      </w:tblPr>
      <w:tblGrid>
        <w:gridCol w:w="2694"/>
        <w:gridCol w:w="7661"/>
      </w:tblGrid>
      <w:tr w:rsidR="00FE78DE" w:rsidRPr="00730C0D" w14:paraId="7A4271E4" w14:textId="77777777" w:rsidTr="00B21D44">
        <w:trPr>
          <w:cnfStyle w:val="100000000000" w:firstRow="1" w:lastRow="0" w:firstColumn="0" w:lastColumn="0" w:oddVBand="0" w:evenVBand="0" w:oddHBand="0" w:evenHBand="0" w:firstRowFirstColumn="0" w:firstRowLastColumn="0" w:lastRowFirstColumn="0" w:lastRowLastColumn="0"/>
          <w:tblHeader/>
        </w:trPr>
        <w:tc>
          <w:tcPr>
            <w:tcW w:w="2694" w:type="dxa"/>
            <w:vAlign w:val="top"/>
          </w:tcPr>
          <w:p w14:paraId="0EF716B5"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Country Overview</w:t>
            </w:r>
          </w:p>
        </w:tc>
        <w:tc>
          <w:tcPr>
            <w:tcW w:w="7661" w:type="dxa"/>
            <w:vAlign w:val="top"/>
          </w:tcPr>
          <w:p w14:paraId="382EE636"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Higher Education Provider Descriptions</w:t>
            </w:r>
          </w:p>
        </w:tc>
      </w:tr>
      <w:tr w:rsidR="00FE78DE" w:rsidRPr="00730C0D" w14:paraId="55A6229A" w14:textId="77777777" w:rsidTr="00B21D44">
        <w:tc>
          <w:tcPr>
            <w:tcW w:w="10355" w:type="dxa"/>
            <w:gridSpan w:val="2"/>
            <w:shd w:val="clear" w:color="auto" w:fill="DEEAF6" w:themeFill="accent1" w:themeFillTint="33"/>
            <w:vAlign w:val="top"/>
          </w:tcPr>
          <w:p w14:paraId="62183495" w14:textId="77777777" w:rsidR="00FE78DE" w:rsidRPr="00730C0D" w:rsidRDefault="00FE78DE" w:rsidP="00FE78DE">
            <w:pPr>
              <w:spacing w:before="0" w:after="0"/>
              <w:rPr>
                <w:rFonts w:ascii="Century Gothic" w:eastAsiaTheme="majorEastAsia" w:hAnsi="Century Gothic" w:cstheme="minorHAnsi"/>
                <w:b/>
                <w:sz w:val="20"/>
                <w:szCs w:val="20"/>
              </w:rPr>
            </w:pPr>
            <w:r w:rsidRPr="00730C0D">
              <w:rPr>
                <w:rFonts w:ascii="Century Gothic" w:eastAsiaTheme="majorEastAsia" w:hAnsi="Century Gothic" w:cstheme="minorHAnsi"/>
                <w:b/>
                <w:sz w:val="20"/>
                <w:szCs w:val="20"/>
              </w:rPr>
              <w:t>Norway</w:t>
            </w:r>
          </w:p>
        </w:tc>
      </w:tr>
      <w:tr w:rsidR="00FE78DE" w:rsidRPr="00730C0D" w14:paraId="67B239B0" w14:textId="77777777" w:rsidTr="00B21D44">
        <w:tc>
          <w:tcPr>
            <w:tcW w:w="2694" w:type="dxa"/>
            <w:vAlign w:val="top"/>
          </w:tcPr>
          <w:p w14:paraId="7B8D94A3" w14:textId="100EEDE8" w:rsidR="00FE78DE"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Four </w:t>
            </w:r>
            <w:r w:rsidR="000E10EB">
              <w:rPr>
                <w:rFonts w:ascii="Century Gothic" w:eastAsiaTheme="majorEastAsia" w:hAnsi="Century Gothic" w:cstheme="minorHAnsi"/>
                <w:sz w:val="20"/>
                <w:szCs w:val="20"/>
              </w:rPr>
              <w:t xml:space="preserve">higher education </w:t>
            </w:r>
            <w:r w:rsidRPr="00730C0D">
              <w:rPr>
                <w:rFonts w:ascii="Century Gothic" w:eastAsiaTheme="majorEastAsia" w:hAnsi="Century Gothic" w:cstheme="minorHAnsi"/>
                <w:sz w:val="20"/>
                <w:szCs w:val="20"/>
              </w:rPr>
              <w:t>categories regulated by the Norwegian Agency for Quality Assurance in Education (NOKUT</w:t>
            </w:r>
            <w:r w:rsidR="000E10EB">
              <w:rPr>
                <w:rFonts w:ascii="Century Gothic" w:eastAsiaTheme="majorEastAsia" w:hAnsi="Century Gothic" w:cstheme="minorHAnsi"/>
                <w:sz w:val="20"/>
                <w:szCs w:val="20"/>
              </w:rPr>
              <w:t>).</w:t>
            </w:r>
          </w:p>
          <w:p w14:paraId="6E83919E" w14:textId="77777777" w:rsidR="009452C7" w:rsidRDefault="009452C7" w:rsidP="00FE78DE">
            <w:pPr>
              <w:spacing w:before="0" w:after="0" w:line="259" w:lineRule="auto"/>
              <w:rPr>
                <w:rFonts w:ascii="Century Gothic" w:eastAsiaTheme="majorEastAsia" w:hAnsi="Century Gothic" w:cstheme="minorHAnsi"/>
                <w:sz w:val="20"/>
                <w:szCs w:val="20"/>
              </w:rPr>
            </w:pPr>
          </w:p>
          <w:p w14:paraId="618A4C0E" w14:textId="0BC57F6F" w:rsidR="009452C7" w:rsidRPr="00730C0D" w:rsidRDefault="009452C7" w:rsidP="00E22B30">
            <w:pPr>
              <w:spacing w:before="0" w:after="0" w:line="259" w:lineRule="auto"/>
              <w:rPr>
                <w:rFonts w:ascii="Century Gothic" w:eastAsiaTheme="majorEastAsia" w:hAnsi="Century Gothic" w:cstheme="minorHAnsi"/>
                <w:sz w:val="20"/>
                <w:szCs w:val="20"/>
              </w:rPr>
            </w:pPr>
          </w:p>
        </w:tc>
        <w:tc>
          <w:tcPr>
            <w:tcW w:w="7661" w:type="dxa"/>
          </w:tcPr>
          <w:p w14:paraId="11949453" w14:textId="129E85EF"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 xml:space="preserve">Universities: </w:t>
            </w:r>
            <w:r w:rsidRPr="00730C0D">
              <w:rPr>
                <w:rFonts w:ascii="Century Gothic" w:eastAsiaTheme="majorEastAsia" w:hAnsi="Century Gothic" w:cstheme="minorHAnsi"/>
                <w:sz w:val="20"/>
                <w:szCs w:val="20"/>
              </w:rPr>
              <w:t>institutions</w:t>
            </w:r>
            <w:r w:rsidR="009452C7">
              <w:rPr>
                <w:rFonts w:ascii="Century Gothic" w:eastAsiaTheme="majorEastAsia" w:hAnsi="Century Gothic" w:cstheme="minorHAnsi"/>
                <w:sz w:val="20"/>
                <w:szCs w:val="20"/>
              </w:rPr>
              <w:t xml:space="preserve"> that</w:t>
            </w:r>
            <w:r w:rsidRPr="00730C0D">
              <w:rPr>
                <w:rFonts w:ascii="Century Gothic" w:eastAsiaTheme="majorEastAsia" w:hAnsi="Century Gothic" w:cstheme="minorHAnsi"/>
                <w:sz w:val="20"/>
                <w:szCs w:val="20"/>
              </w:rPr>
              <w:t xml:space="preserve"> are regulated by th</w:t>
            </w:r>
            <w:r w:rsidR="009452C7">
              <w:rPr>
                <w:rFonts w:ascii="Century Gothic" w:eastAsiaTheme="majorEastAsia" w:hAnsi="Century Gothic" w:cstheme="minorHAnsi"/>
                <w:sz w:val="20"/>
                <w:szCs w:val="20"/>
              </w:rPr>
              <w:t xml:space="preserve">e </w:t>
            </w:r>
            <w:r w:rsidR="009452C7" w:rsidRPr="00E22B30">
              <w:rPr>
                <w:rFonts w:ascii="Century Gothic" w:eastAsiaTheme="majorEastAsia" w:hAnsi="Century Gothic" w:cstheme="minorHAnsi"/>
                <w:i/>
                <w:sz w:val="20"/>
                <w:szCs w:val="20"/>
              </w:rPr>
              <w:t>Universities and Colleges Act</w:t>
            </w:r>
            <w:r w:rsidR="00E22B30" w:rsidRPr="00E22B30">
              <w:rPr>
                <w:rFonts w:ascii="Century Gothic" w:eastAsiaTheme="majorEastAsia" w:hAnsi="Century Gothic" w:cstheme="minorHAnsi"/>
                <w:i/>
                <w:sz w:val="20"/>
                <w:szCs w:val="20"/>
              </w:rPr>
              <w:t xml:space="preserve"> 2005</w:t>
            </w:r>
            <w:r w:rsidR="009452C7" w:rsidRPr="00E22B30">
              <w:rPr>
                <w:rFonts w:ascii="Century Gothic" w:eastAsiaTheme="majorEastAsia" w:hAnsi="Century Gothic" w:cstheme="minorHAnsi"/>
                <w:i/>
                <w:sz w:val="20"/>
                <w:szCs w:val="20"/>
              </w:rPr>
              <w:t xml:space="preserve"> </w:t>
            </w:r>
            <w:r w:rsidR="009452C7">
              <w:rPr>
                <w:rFonts w:ascii="Century Gothic" w:eastAsiaTheme="majorEastAsia" w:hAnsi="Century Gothic" w:cstheme="minorHAnsi"/>
                <w:sz w:val="20"/>
                <w:szCs w:val="20"/>
              </w:rPr>
              <w:t>and</w:t>
            </w:r>
            <w:r w:rsidRPr="00730C0D">
              <w:rPr>
                <w:rFonts w:ascii="Century Gothic" w:eastAsiaTheme="majorEastAsia" w:hAnsi="Century Gothic" w:cstheme="minorHAnsi"/>
                <w:sz w:val="20"/>
                <w:szCs w:val="20"/>
              </w:rPr>
              <w:t xml:space="preserve"> offer both undergraduate and postgraduate quali</w:t>
            </w:r>
            <w:r w:rsidR="006661D3">
              <w:rPr>
                <w:rFonts w:ascii="Century Gothic" w:eastAsiaTheme="majorEastAsia" w:hAnsi="Century Gothic" w:cstheme="minorHAnsi"/>
                <w:sz w:val="20"/>
                <w:szCs w:val="20"/>
              </w:rPr>
              <w:t xml:space="preserve">fications in a range of fields and </w:t>
            </w:r>
            <w:r w:rsidRPr="00730C0D">
              <w:rPr>
                <w:rFonts w:ascii="Century Gothic" w:eastAsiaTheme="majorEastAsia" w:hAnsi="Century Gothic" w:cstheme="minorHAnsi"/>
                <w:sz w:val="20"/>
                <w:szCs w:val="20"/>
              </w:rPr>
              <w:t>are self-accrediting at all levels.</w:t>
            </w:r>
          </w:p>
          <w:p w14:paraId="0C0AE276"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189E8616" w14:textId="70BA194B" w:rsidR="00FE78DE" w:rsidRPr="00730C0D" w:rsidRDefault="00FE78DE" w:rsidP="006661D3">
            <w:pPr>
              <w:spacing w:before="0" w:after="0"/>
              <w:rPr>
                <w:rFonts w:ascii="Century Gothic" w:eastAsiaTheme="majorEastAsia" w:hAnsi="Century Gothic" w:cstheme="minorHAnsi"/>
                <w:bCs/>
                <w:sz w:val="20"/>
                <w:szCs w:val="20"/>
                <w:lang w:val="en-US"/>
              </w:rPr>
            </w:pPr>
            <w:r w:rsidRPr="00730C0D">
              <w:rPr>
                <w:rFonts w:ascii="Century Gothic" w:eastAsiaTheme="majorEastAsia" w:hAnsi="Century Gothic" w:cstheme="minorHAnsi"/>
                <w:b/>
                <w:bCs/>
                <w:sz w:val="20"/>
                <w:szCs w:val="20"/>
                <w:lang w:val="en-US"/>
              </w:rPr>
              <w:t xml:space="preserve">Specialised University </w:t>
            </w:r>
            <w:r w:rsidR="000E10EB">
              <w:rPr>
                <w:rFonts w:ascii="Century Gothic" w:eastAsiaTheme="majorEastAsia" w:hAnsi="Century Gothic" w:cstheme="minorHAnsi"/>
                <w:b/>
                <w:bCs/>
                <w:sz w:val="20"/>
                <w:szCs w:val="20"/>
                <w:lang w:val="en-US"/>
              </w:rPr>
              <w:t>Institutions</w:t>
            </w:r>
            <w:r w:rsidRPr="00730C0D">
              <w:rPr>
                <w:rFonts w:ascii="Century Gothic" w:eastAsiaTheme="majorEastAsia" w:hAnsi="Century Gothic" w:cstheme="minorHAnsi"/>
                <w:b/>
                <w:bCs/>
                <w:sz w:val="20"/>
                <w:szCs w:val="20"/>
                <w:lang w:val="en-US"/>
              </w:rPr>
              <w:t xml:space="preserve">: </w:t>
            </w:r>
            <w:r w:rsidR="000E10EB" w:rsidRPr="000E10EB">
              <w:rPr>
                <w:rFonts w:ascii="Century Gothic" w:eastAsiaTheme="majorEastAsia" w:hAnsi="Century Gothic" w:cstheme="minorHAnsi"/>
                <w:bCs/>
                <w:sz w:val="20"/>
                <w:szCs w:val="20"/>
                <w:lang w:val="en-US"/>
              </w:rPr>
              <w:t>institutions that</w:t>
            </w:r>
            <w:r w:rsidR="000E10EB">
              <w:rPr>
                <w:rFonts w:ascii="Century Gothic" w:eastAsiaTheme="majorEastAsia" w:hAnsi="Century Gothic" w:cstheme="minorHAnsi"/>
                <w:b/>
                <w:bCs/>
                <w:sz w:val="20"/>
                <w:szCs w:val="20"/>
                <w:lang w:val="en-US"/>
              </w:rPr>
              <w:t xml:space="preserve"> </w:t>
            </w:r>
            <w:r w:rsidRPr="00730C0D">
              <w:rPr>
                <w:rFonts w:ascii="Century Gothic" w:eastAsiaTheme="majorEastAsia" w:hAnsi="Century Gothic" w:cstheme="minorHAnsi"/>
                <w:bCs/>
                <w:sz w:val="20"/>
                <w:szCs w:val="20"/>
                <w:lang w:val="en-US"/>
              </w:rPr>
              <w:t xml:space="preserve">specialise in a </w:t>
            </w:r>
            <w:r w:rsidR="009452C7">
              <w:rPr>
                <w:rFonts w:ascii="Century Gothic" w:eastAsiaTheme="majorEastAsia" w:hAnsi="Century Gothic" w:cstheme="minorHAnsi"/>
                <w:bCs/>
                <w:sz w:val="20"/>
                <w:szCs w:val="20"/>
                <w:lang w:val="en-US"/>
              </w:rPr>
              <w:t>narrow range of fields of study</w:t>
            </w:r>
            <w:r w:rsidRPr="00730C0D">
              <w:rPr>
                <w:rFonts w:ascii="Century Gothic" w:eastAsiaTheme="majorEastAsia" w:hAnsi="Century Gothic" w:cstheme="minorHAnsi"/>
                <w:bCs/>
                <w:sz w:val="20"/>
                <w:szCs w:val="20"/>
                <w:lang w:val="en-US"/>
              </w:rPr>
              <w:t xml:space="preserve"> and have the right to establish courses at all levels within their fields of specialisation. Most institutions offer programs up to</w:t>
            </w:r>
            <w:r w:rsidR="009452C7">
              <w:rPr>
                <w:rFonts w:ascii="Century Gothic" w:eastAsiaTheme="majorEastAsia" w:hAnsi="Century Gothic" w:cstheme="minorHAnsi"/>
                <w:bCs/>
                <w:sz w:val="20"/>
                <w:szCs w:val="20"/>
                <w:lang w:val="en-US"/>
              </w:rPr>
              <w:t xml:space="preserve"> the</w:t>
            </w:r>
            <w:r w:rsidRPr="00730C0D">
              <w:rPr>
                <w:rFonts w:ascii="Century Gothic" w:eastAsiaTheme="majorEastAsia" w:hAnsi="Century Gothic" w:cstheme="minorHAnsi"/>
                <w:bCs/>
                <w:sz w:val="20"/>
                <w:szCs w:val="20"/>
                <w:lang w:val="en-US"/>
              </w:rPr>
              <w:t xml:space="preserve"> Doctoral </w:t>
            </w:r>
            <w:r w:rsidR="009452C7">
              <w:rPr>
                <w:rFonts w:ascii="Century Gothic" w:eastAsiaTheme="majorEastAsia" w:hAnsi="Century Gothic" w:cstheme="minorHAnsi"/>
                <w:bCs/>
                <w:sz w:val="20"/>
                <w:szCs w:val="20"/>
                <w:lang w:val="en-US"/>
              </w:rPr>
              <w:t>d</w:t>
            </w:r>
            <w:r w:rsidRPr="00730C0D">
              <w:rPr>
                <w:rFonts w:ascii="Century Gothic" w:eastAsiaTheme="majorEastAsia" w:hAnsi="Century Gothic" w:cstheme="minorHAnsi"/>
                <w:bCs/>
                <w:sz w:val="20"/>
                <w:szCs w:val="20"/>
                <w:lang w:val="en-US"/>
              </w:rPr>
              <w:t>egree level.</w:t>
            </w:r>
            <w:r w:rsidR="006661D3">
              <w:rPr>
                <w:rFonts w:ascii="Century Gothic" w:eastAsiaTheme="majorEastAsia" w:hAnsi="Century Gothic" w:cstheme="minorHAnsi"/>
                <w:bCs/>
                <w:sz w:val="20"/>
                <w:szCs w:val="20"/>
                <w:lang w:val="en-US"/>
              </w:rPr>
              <w:t xml:space="preserve"> They are self-accrediting in the fields in which they have been granted the right to award Doctoral degrees.</w:t>
            </w:r>
          </w:p>
          <w:p w14:paraId="148ABCD5" w14:textId="77777777" w:rsidR="00FE78DE" w:rsidRPr="00730C0D" w:rsidRDefault="00FE78DE" w:rsidP="00FE78DE">
            <w:pPr>
              <w:spacing w:before="0" w:after="0" w:line="259" w:lineRule="auto"/>
              <w:rPr>
                <w:rFonts w:ascii="Century Gothic" w:eastAsiaTheme="majorEastAsia" w:hAnsi="Century Gothic" w:cstheme="minorHAnsi"/>
                <w:bCs/>
                <w:sz w:val="20"/>
                <w:szCs w:val="20"/>
                <w:lang w:val="en-US"/>
              </w:rPr>
            </w:pPr>
          </w:p>
          <w:p w14:paraId="297AEBC1" w14:textId="3753F0BB" w:rsidR="00FE78DE" w:rsidRPr="00730C0D" w:rsidRDefault="00FE78DE" w:rsidP="00FE78DE">
            <w:pPr>
              <w:spacing w:before="0" w:after="0" w:line="259" w:lineRule="auto"/>
              <w:rPr>
                <w:rFonts w:ascii="Century Gothic" w:eastAsia="Times New Roman" w:hAnsi="Century Gothic" w:cs="Calibri"/>
                <w:color w:val="000000"/>
                <w:sz w:val="20"/>
                <w:szCs w:val="20"/>
                <w:lang w:val="en-US" w:eastAsia="en-AU"/>
              </w:rPr>
            </w:pPr>
            <w:r w:rsidRPr="00730C0D">
              <w:rPr>
                <w:rFonts w:ascii="Century Gothic" w:eastAsiaTheme="majorEastAsia" w:hAnsi="Century Gothic" w:cstheme="minorHAnsi"/>
                <w:b/>
                <w:bCs/>
                <w:sz w:val="20"/>
                <w:szCs w:val="20"/>
                <w:lang w:val="en-US"/>
              </w:rPr>
              <w:t xml:space="preserve">University Colleges: </w:t>
            </w:r>
            <w:r w:rsidRPr="00730C0D">
              <w:rPr>
                <w:rFonts w:ascii="Century Gothic" w:eastAsiaTheme="majorEastAsia" w:hAnsi="Century Gothic" w:cstheme="minorHAnsi"/>
                <w:bCs/>
                <w:sz w:val="20"/>
                <w:szCs w:val="20"/>
                <w:lang w:val="en-US"/>
              </w:rPr>
              <w:t xml:space="preserve">institutions </w:t>
            </w:r>
            <w:r w:rsidR="006661D3">
              <w:rPr>
                <w:rFonts w:ascii="Century Gothic" w:eastAsiaTheme="majorEastAsia" w:hAnsi="Century Gothic" w:cstheme="minorHAnsi"/>
                <w:bCs/>
                <w:sz w:val="20"/>
                <w:szCs w:val="20"/>
                <w:lang w:val="en-US"/>
              </w:rPr>
              <w:t xml:space="preserve">that </w:t>
            </w:r>
            <w:r w:rsidRPr="00730C0D">
              <w:rPr>
                <w:rFonts w:ascii="Century Gothic" w:eastAsiaTheme="majorEastAsia" w:hAnsi="Century Gothic" w:cstheme="minorHAnsi"/>
                <w:bCs/>
                <w:sz w:val="20"/>
                <w:szCs w:val="20"/>
                <w:lang w:val="en-US"/>
              </w:rPr>
              <w:t xml:space="preserve">provide training in specific fields such as education, social work, journalism and health professions. Accredited institutions </w:t>
            </w:r>
            <w:r w:rsidRPr="00730C0D">
              <w:rPr>
                <w:rFonts w:ascii="Century Gothic" w:eastAsia="Times New Roman" w:hAnsi="Century Gothic" w:cs="Calibri"/>
                <w:color w:val="000000"/>
                <w:sz w:val="20"/>
                <w:szCs w:val="20"/>
                <w:lang w:val="en-US" w:eastAsia="en-AU"/>
              </w:rPr>
              <w:t xml:space="preserve">have the right to establish programs up to Bachelor degree level. If they intend to establish programs above this level then they would </w:t>
            </w:r>
            <w:r w:rsidR="007639BE">
              <w:rPr>
                <w:rFonts w:ascii="Century Gothic" w:eastAsia="Times New Roman" w:hAnsi="Century Gothic" w:cs="Calibri"/>
                <w:color w:val="000000"/>
                <w:sz w:val="20"/>
                <w:szCs w:val="20"/>
                <w:lang w:val="en-US" w:eastAsia="en-AU"/>
              </w:rPr>
              <w:t xml:space="preserve">apply to </w:t>
            </w:r>
            <w:r w:rsidRPr="00730C0D">
              <w:rPr>
                <w:rFonts w:ascii="Century Gothic" w:eastAsia="Times New Roman" w:hAnsi="Century Gothic" w:cs="Calibri"/>
                <w:color w:val="000000"/>
                <w:sz w:val="20"/>
                <w:szCs w:val="20"/>
                <w:lang w:val="en-US" w:eastAsia="en-AU"/>
              </w:rPr>
              <w:t>NOKUT for approval.</w:t>
            </w:r>
            <w:r w:rsidR="006661D3">
              <w:rPr>
                <w:rFonts w:ascii="Century Gothic" w:eastAsia="Times New Roman" w:hAnsi="Century Gothic" w:cs="Calibri"/>
                <w:color w:val="000000"/>
                <w:sz w:val="20"/>
                <w:szCs w:val="20"/>
                <w:lang w:val="en-US" w:eastAsia="en-AU"/>
              </w:rPr>
              <w:t xml:space="preserve"> </w:t>
            </w:r>
            <w:r w:rsidR="006661D3">
              <w:rPr>
                <w:rFonts w:ascii="Century Gothic" w:eastAsiaTheme="majorEastAsia" w:hAnsi="Century Gothic" w:cstheme="minorHAnsi"/>
                <w:bCs/>
                <w:sz w:val="20"/>
                <w:szCs w:val="20"/>
                <w:lang w:val="en-US"/>
              </w:rPr>
              <w:t xml:space="preserve">They are self-accrediting in the fields in which they have been granted the right to award Doctoral degrees. </w:t>
            </w:r>
          </w:p>
          <w:p w14:paraId="6BB323AD" w14:textId="77777777" w:rsidR="00FE78DE" w:rsidRPr="00730C0D" w:rsidRDefault="00FE78DE" w:rsidP="00FE78DE">
            <w:pPr>
              <w:spacing w:before="0" w:after="0" w:line="259" w:lineRule="auto"/>
              <w:rPr>
                <w:rFonts w:ascii="Century Gothic" w:eastAsiaTheme="majorEastAsia" w:hAnsi="Century Gothic" w:cstheme="minorHAnsi"/>
                <w:bCs/>
                <w:sz w:val="20"/>
                <w:szCs w:val="20"/>
                <w:lang w:val="en-US"/>
              </w:rPr>
            </w:pPr>
          </w:p>
          <w:p w14:paraId="526C9883" w14:textId="5BCBC48C" w:rsidR="00FE78DE" w:rsidRPr="00730C0D" w:rsidRDefault="00FE78DE" w:rsidP="00FE78DE">
            <w:pPr>
              <w:spacing w:before="0" w:after="0" w:line="259" w:lineRule="auto"/>
              <w:rPr>
                <w:rFonts w:ascii="Century Gothic" w:eastAsia="Times New Roman" w:hAnsi="Century Gothic" w:cs="Calibri"/>
                <w:color w:val="000000"/>
                <w:sz w:val="20"/>
                <w:szCs w:val="20"/>
                <w:lang w:val="en-US" w:eastAsia="en-AU"/>
              </w:rPr>
            </w:pPr>
            <w:r w:rsidRPr="00730C0D">
              <w:rPr>
                <w:rFonts w:ascii="Century Gothic" w:eastAsiaTheme="majorEastAsia" w:hAnsi="Century Gothic" w:cstheme="minorHAnsi"/>
                <w:b/>
                <w:bCs/>
                <w:sz w:val="20"/>
                <w:szCs w:val="20"/>
                <w:lang w:val="en-US"/>
              </w:rPr>
              <w:t xml:space="preserve">University Colleges with accredited programs: </w:t>
            </w:r>
            <w:r w:rsidRPr="00730C0D">
              <w:rPr>
                <w:rFonts w:ascii="Century Gothic" w:eastAsia="Times New Roman" w:hAnsi="Century Gothic" w:cs="Calibri"/>
                <w:color w:val="000000"/>
                <w:sz w:val="20"/>
                <w:szCs w:val="20"/>
                <w:lang w:val="en-US" w:eastAsia="en-AU"/>
              </w:rPr>
              <w:t>institutions</w:t>
            </w:r>
            <w:r w:rsidR="009452C7">
              <w:rPr>
                <w:rFonts w:ascii="Century Gothic" w:eastAsia="Times New Roman" w:hAnsi="Century Gothic" w:cs="Calibri"/>
                <w:color w:val="000000"/>
                <w:sz w:val="20"/>
                <w:szCs w:val="20"/>
                <w:lang w:val="en-US" w:eastAsia="en-AU"/>
              </w:rPr>
              <w:t xml:space="preserve"> that</w:t>
            </w:r>
            <w:r w:rsidRPr="00730C0D">
              <w:rPr>
                <w:rFonts w:ascii="Century Gothic" w:eastAsia="Times New Roman" w:hAnsi="Century Gothic" w:cs="Calibri"/>
                <w:color w:val="000000"/>
                <w:sz w:val="20"/>
                <w:szCs w:val="20"/>
                <w:lang w:val="en-US" w:eastAsia="en-AU"/>
              </w:rPr>
              <w:t xml:space="preserve"> are not accredited on an institutional basis but have specific programs accredited by NOKUT.</w:t>
            </w:r>
            <w:r w:rsidR="00A15A76">
              <w:rPr>
                <w:rFonts w:ascii="Century Gothic" w:eastAsia="Times New Roman" w:hAnsi="Century Gothic" w:cs="Calibri"/>
                <w:color w:val="000000"/>
                <w:sz w:val="20"/>
                <w:szCs w:val="20"/>
                <w:lang w:val="en-US" w:eastAsia="en-AU"/>
              </w:rPr>
              <w:t xml:space="preserve"> </w:t>
            </w:r>
          </w:p>
          <w:p w14:paraId="2B23AC63" w14:textId="77777777" w:rsidR="00FE78DE" w:rsidRPr="006661D3" w:rsidRDefault="00FE78DE" w:rsidP="00FE78DE">
            <w:pPr>
              <w:spacing w:before="0" w:after="0" w:line="259" w:lineRule="auto"/>
              <w:rPr>
                <w:rFonts w:ascii="Century Gothic" w:eastAsia="Times New Roman" w:hAnsi="Century Gothic" w:cs="Calibri"/>
                <w:color w:val="000000"/>
                <w:sz w:val="8"/>
                <w:szCs w:val="8"/>
                <w:lang w:val="en-US" w:eastAsia="en-AU"/>
              </w:rPr>
            </w:pPr>
          </w:p>
          <w:p w14:paraId="24A78E66" w14:textId="77777777" w:rsidR="009452C7" w:rsidRPr="006661D3" w:rsidRDefault="00FE78DE" w:rsidP="00FE78DE">
            <w:pPr>
              <w:spacing w:before="0" w:after="0" w:line="259" w:lineRule="auto"/>
              <w:rPr>
                <w:rFonts w:ascii="Century Gothic" w:eastAsia="Times New Roman" w:hAnsi="Century Gothic" w:cs="Calibri"/>
                <w:color w:val="000000"/>
                <w:sz w:val="13"/>
                <w:szCs w:val="13"/>
                <w:lang w:val="en-US" w:eastAsia="en-AU"/>
              </w:rPr>
            </w:pPr>
            <w:r w:rsidRPr="006661D3">
              <w:rPr>
                <w:rFonts w:ascii="Century Gothic" w:eastAsia="Times New Roman" w:hAnsi="Century Gothic" w:cs="Calibri"/>
                <w:color w:val="000000"/>
                <w:sz w:val="13"/>
                <w:szCs w:val="13"/>
                <w:lang w:val="en-US" w:eastAsia="en-AU"/>
              </w:rPr>
              <w:t>Source</w:t>
            </w:r>
            <w:r w:rsidR="009452C7" w:rsidRPr="006661D3">
              <w:rPr>
                <w:rFonts w:ascii="Century Gothic" w:eastAsia="Times New Roman" w:hAnsi="Century Gothic" w:cs="Calibri"/>
                <w:color w:val="000000"/>
                <w:sz w:val="13"/>
                <w:szCs w:val="13"/>
                <w:lang w:val="en-US" w:eastAsia="en-AU"/>
              </w:rPr>
              <w:t>s</w:t>
            </w:r>
            <w:r w:rsidRPr="006661D3">
              <w:rPr>
                <w:rFonts w:ascii="Century Gothic" w:eastAsia="Times New Roman" w:hAnsi="Century Gothic" w:cs="Calibri"/>
                <w:color w:val="000000"/>
                <w:sz w:val="13"/>
                <w:szCs w:val="13"/>
                <w:lang w:val="en-US" w:eastAsia="en-AU"/>
              </w:rPr>
              <w:t xml:space="preserve">: </w:t>
            </w:r>
          </w:p>
          <w:p w14:paraId="659F4FA5" w14:textId="77777777" w:rsidR="00610C0D" w:rsidRPr="006661D3" w:rsidRDefault="00610C0D" w:rsidP="009452C7">
            <w:pPr>
              <w:pStyle w:val="ListParagraph"/>
              <w:numPr>
                <w:ilvl w:val="0"/>
                <w:numId w:val="75"/>
              </w:numPr>
              <w:spacing w:before="0" w:after="0"/>
              <w:ind w:left="179" w:hanging="142"/>
              <w:rPr>
                <w:rFonts w:ascii="Century Gothic" w:eastAsia="Times New Roman" w:hAnsi="Century Gothic" w:cs="Calibri"/>
                <w:color w:val="000000"/>
                <w:sz w:val="13"/>
                <w:szCs w:val="13"/>
                <w:lang w:val="en-US" w:eastAsia="en-AU"/>
              </w:rPr>
            </w:pPr>
            <w:r w:rsidRPr="006661D3">
              <w:rPr>
                <w:rFonts w:ascii="Century Gothic" w:hAnsi="Century Gothic" w:cs="Calibri"/>
                <w:color w:val="000000"/>
                <w:sz w:val="13"/>
                <w:szCs w:val="13"/>
              </w:rPr>
              <w:t>Nordic</w:t>
            </w:r>
            <w:r w:rsidRPr="006661D3">
              <w:rPr>
                <w:rFonts w:ascii="Century Gothic" w:eastAsia="Times New Roman" w:hAnsi="Century Gothic" w:cs="Calibri"/>
                <w:color w:val="000000"/>
                <w:sz w:val="13"/>
                <w:szCs w:val="13"/>
                <w:lang w:val="en-US" w:eastAsia="en-AU"/>
              </w:rPr>
              <w:t xml:space="preserve"> National Recognition Information Centres (NORRIC). (n.d). </w:t>
            </w:r>
            <w:r w:rsidRPr="006661D3">
              <w:rPr>
                <w:rFonts w:ascii="Century Gothic" w:eastAsia="Times New Roman" w:hAnsi="Century Gothic" w:cs="Calibri"/>
                <w:i/>
                <w:color w:val="000000"/>
                <w:sz w:val="13"/>
                <w:szCs w:val="13"/>
                <w:lang w:val="en-US" w:eastAsia="en-AU"/>
              </w:rPr>
              <w:t>The Norwegian Higher Education System</w:t>
            </w:r>
            <w:r w:rsidRPr="006661D3">
              <w:rPr>
                <w:rFonts w:ascii="Century Gothic" w:eastAsia="Times New Roman" w:hAnsi="Century Gothic" w:cs="Calibri"/>
                <w:color w:val="000000"/>
                <w:sz w:val="13"/>
                <w:szCs w:val="13"/>
                <w:lang w:val="en-US" w:eastAsia="en-AU"/>
              </w:rPr>
              <w:t xml:space="preserve">. Retrieved from: </w:t>
            </w:r>
            <w:hyperlink r:id="rId70" w:history="1">
              <w:r w:rsidRPr="006661D3">
                <w:rPr>
                  <w:rStyle w:val="Hyperlink"/>
                  <w:rFonts w:ascii="Century Gothic" w:eastAsia="Times New Roman" w:hAnsi="Century Gothic" w:cs="Calibri"/>
                  <w:sz w:val="13"/>
                  <w:szCs w:val="13"/>
                  <w:lang w:val="en-US" w:eastAsia="en-AU"/>
                </w:rPr>
                <w:t>https://norric.org/nordbalt/norway</w:t>
              </w:r>
            </w:hyperlink>
            <w:r w:rsidRPr="006661D3">
              <w:rPr>
                <w:rFonts w:ascii="Century Gothic" w:eastAsia="Times New Roman" w:hAnsi="Century Gothic" w:cs="Calibri"/>
                <w:color w:val="000000"/>
                <w:sz w:val="13"/>
                <w:szCs w:val="13"/>
                <w:lang w:val="en-US" w:eastAsia="en-AU"/>
              </w:rPr>
              <w:t xml:space="preserve">;  </w:t>
            </w:r>
          </w:p>
          <w:p w14:paraId="2BBF674D" w14:textId="77777777" w:rsidR="00610C0D" w:rsidRPr="006661D3" w:rsidRDefault="00610C0D" w:rsidP="00FE78DE">
            <w:pPr>
              <w:pStyle w:val="ListParagraph"/>
              <w:numPr>
                <w:ilvl w:val="0"/>
                <w:numId w:val="75"/>
              </w:numPr>
              <w:spacing w:before="0" w:after="0" w:line="259" w:lineRule="auto"/>
              <w:ind w:left="179" w:hanging="142"/>
              <w:rPr>
                <w:rFonts w:ascii="Century Gothic" w:eastAsia="Times New Roman" w:hAnsi="Century Gothic" w:cs="Calibri"/>
                <w:color w:val="000000"/>
                <w:sz w:val="13"/>
                <w:szCs w:val="13"/>
                <w:lang w:val="en-US" w:eastAsia="en-AU"/>
              </w:rPr>
            </w:pPr>
            <w:r w:rsidRPr="006661D3">
              <w:rPr>
                <w:rFonts w:ascii="Century Gothic" w:eastAsia="Times New Roman" w:hAnsi="Century Gothic" w:cs="Calibri"/>
                <w:color w:val="000000"/>
                <w:sz w:val="13"/>
                <w:szCs w:val="13"/>
                <w:lang w:val="en-US" w:eastAsia="en-AU"/>
              </w:rPr>
              <w:t xml:space="preserve">Norwegian Agency for Quality Assurance in Education. (n.d). </w:t>
            </w:r>
            <w:r w:rsidRPr="006661D3">
              <w:rPr>
                <w:rFonts w:ascii="Century Gothic" w:eastAsia="Times New Roman" w:hAnsi="Century Gothic" w:cs="Calibri"/>
                <w:i/>
                <w:color w:val="000000"/>
                <w:sz w:val="13"/>
                <w:szCs w:val="13"/>
                <w:lang w:val="en-US" w:eastAsia="en-AU"/>
              </w:rPr>
              <w:t>Accredited Institutions</w:t>
            </w:r>
            <w:r w:rsidRPr="006661D3">
              <w:rPr>
                <w:rFonts w:ascii="Century Gothic" w:eastAsia="Times New Roman" w:hAnsi="Century Gothic" w:cs="Calibri"/>
                <w:color w:val="000000"/>
                <w:sz w:val="13"/>
                <w:szCs w:val="13"/>
                <w:lang w:val="en-US" w:eastAsia="en-AU"/>
              </w:rPr>
              <w:t xml:space="preserve">. Retrieved from: </w:t>
            </w:r>
            <w:hyperlink r:id="rId71" w:history="1">
              <w:r w:rsidRPr="006661D3">
                <w:rPr>
                  <w:rStyle w:val="Hyperlink"/>
                  <w:rFonts w:ascii="Century Gothic" w:eastAsia="Times New Roman" w:hAnsi="Century Gothic" w:cs="Calibri"/>
                  <w:sz w:val="13"/>
                  <w:szCs w:val="13"/>
                  <w:lang w:val="en-US" w:eastAsia="en-AU"/>
                </w:rPr>
                <w:t>https://www.nokut.no/en/surveys-and-databases/accredited-institutions/</w:t>
              </w:r>
            </w:hyperlink>
            <w:r w:rsidRPr="006661D3">
              <w:rPr>
                <w:rFonts w:ascii="Century Gothic" w:eastAsia="Times New Roman" w:hAnsi="Century Gothic" w:cs="Calibri"/>
                <w:color w:val="000000"/>
                <w:sz w:val="13"/>
                <w:szCs w:val="13"/>
                <w:lang w:val="en-US" w:eastAsia="en-AU"/>
              </w:rPr>
              <w:t>;</w:t>
            </w:r>
          </w:p>
          <w:p w14:paraId="68EAC033" w14:textId="77777777" w:rsidR="00610C0D" w:rsidRPr="006661D3" w:rsidRDefault="00610C0D" w:rsidP="009452C7">
            <w:pPr>
              <w:pStyle w:val="ListParagraph"/>
              <w:numPr>
                <w:ilvl w:val="0"/>
                <w:numId w:val="75"/>
              </w:numPr>
              <w:spacing w:before="0" w:after="0"/>
              <w:ind w:left="179" w:hanging="142"/>
              <w:rPr>
                <w:rStyle w:val="Hyperlink"/>
                <w:rFonts w:ascii="Century Gothic" w:eastAsia="Times New Roman" w:hAnsi="Century Gothic" w:cs="Calibri"/>
                <w:color w:val="000000"/>
                <w:sz w:val="13"/>
                <w:szCs w:val="13"/>
                <w:u w:val="none"/>
                <w:lang w:val="en-US" w:eastAsia="en-AU"/>
              </w:rPr>
            </w:pPr>
            <w:r w:rsidRPr="006661D3">
              <w:rPr>
                <w:rFonts w:ascii="Century Gothic" w:eastAsia="Times New Roman" w:hAnsi="Century Gothic" w:cs="Calibri"/>
                <w:color w:val="000000"/>
                <w:sz w:val="13"/>
                <w:szCs w:val="13"/>
                <w:lang w:val="en-US" w:eastAsia="en-AU"/>
              </w:rPr>
              <w:t xml:space="preserve">Norwegian Agency for Quality Assurance in Education. (n.d). </w:t>
            </w:r>
            <w:r w:rsidRPr="006661D3">
              <w:rPr>
                <w:rFonts w:ascii="Century Gothic" w:eastAsia="Times New Roman" w:hAnsi="Century Gothic" w:cs="Calibri"/>
                <w:i/>
                <w:color w:val="000000"/>
                <w:sz w:val="13"/>
                <w:szCs w:val="13"/>
                <w:lang w:val="en-US" w:eastAsia="en-AU"/>
              </w:rPr>
              <w:t>The institutions’ authorisation to accredit and recognize study programmes</w:t>
            </w:r>
            <w:r w:rsidRPr="006661D3">
              <w:rPr>
                <w:rFonts w:ascii="Century Gothic" w:eastAsia="Times New Roman" w:hAnsi="Century Gothic" w:cs="Calibri"/>
                <w:color w:val="000000"/>
                <w:sz w:val="13"/>
                <w:szCs w:val="13"/>
                <w:lang w:val="en-US" w:eastAsia="en-AU"/>
              </w:rPr>
              <w:t xml:space="preserve">. Retrieved from: </w:t>
            </w:r>
            <w:hyperlink r:id="rId72" w:history="1">
              <w:r w:rsidRPr="006661D3">
                <w:rPr>
                  <w:rStyle w:val="Hyperlink"/>
                  <w:rFonts w:ascii="Century Gothic" w:eastAsia="Times New Roman" w:hAnsi="Century Gothic" w:cs="Calibri"/>
                  <w:sz w:val="13"/>
                  <w:szCs w:val="13"/>
                  <w:lang w:val="en-US" w:eastAsia="en-AU"/>
                </w:rPr>
                <w:t>https://www.nokut.no/en/utdanningskvalitet/self-accreditation</w:t>
              </w:r>
            </w:hyperlink>
            <w:r>
              <w:rPr>
                <w:rFonts w:ascii="Century Gothic" w:hAnsi="Century Gothic"/>
                <w:color w:val="000000"/>
                <w:sz w:val="13"/>
                <w:szCs w:val="13"/>
              </w:rPr>
              <w:t>;</w:t>
            </w:r>
          </w:p>
          <w:p w14:paraId="178BC285" w14:textId="10DC4C75" w:rsidR="00FE78DE" w:rsidRPr="006661D3" w:rsidRDefault="00610C0D" w:rsidP="00FE78DE">
            <w:pPr>
              <w:pStyle w:val="ListParagraph"/>
              <w:numPr>
                <w:ilvl w:val="0"/>
                <w:numId w:val="75"/>
              </w:numPr>
              <w:spacing w:before="0" w:after="0"/>
              <w:ind w:left="179" w:hanging="142"/>
              <w:rPr>
                <w:rFonts w:ascii="Century Gothic" w:eastAsia="Times New Roman" w:hAnsi="Century Gothic" w:cs="Calibri"/>
                <w:color w:val="000000"/>
                <w:sz w:val="13"/>
                <w:szCs w:val="13"/>
                <w:lang w:val="en-US" w:eastAsia="en-AU"/>
              </w:rPr>
            </w:pPr>
            <w:r w:rsidRPr="006661D3">
              <w:rPr>
                <w:rFonts w:ascii="Century Gothic" w:hAnsi="Century Gothic" w:cs="Calibri"/>
                <w:i/>
                <w:color w:val="000000"/>
                <w:sz w:val="13"/>
                <w:szCs w:val="13"/>
              </w:rPr>
              <w:t>Universities</w:t>
            </w:r>
            <w:r w:rsidRPr="006661D3">
              <w:rPr>
                <w:rFonts w:ascii="Century Gothic" w:eastAsia="Times New Roman" w:hAnsi="Century Gothic" w:cs="Calibri"/>
                <w:i/>
                <w:color w:val="000000"/>
                <w:sz w:val="13"/>
                <w:szCs w:val="13"/>
                <w:lang w:val="en-US" w:eastAsia="en-AU"/>
              </w:rPr>
              <w:t xml:space="preserve"> and University Colleges Act 2005 (Norway)</w:t>
            </w:r>
            <w:r w:rsidRPr="006661D3">
              <w:rPr>
                <w:rFonts w:ascii="Century Gothic" w:eastAsia="Times New Roman" w:hAnsi="Century Gothic" w:cs="Calibri"/>
                <w:color w:val="000000"/>
                <w:sz w:val="13"/>
                <w:szCs w:val="13"/>
                <w:lang w:val="en-US" w:eastAsia="en-AU"/>
              </w:rPr>
              <w:t xml:space="preserve">. Retrieved from: </w:t>
            </w:r>
            <w:r w:rsidRPr="006661D3">
              <w:rPr>
                <w:rFonts w:ascii="Century Gothic" w:eastAsia="Times New Roman" w:hAnsi="Century Gothic" w:cs="Calibri"/>
                <w:color w:val="000000"/>
                <w:sz w:val="13"/>
                <w:szCs w:val="13"/>
                <w:lang w:val="en-US" w:eastAsia="en-AU"/>
              </w:rPr>
              <w:br/>
            </w:r>
            <w:hyperlink r:id="rId73" w:history="1">
              <w:r w:rsidRPr="006661D3">
                <w:rPr>
                  <w:rStyle w:val="Hyperlink"/>
                  <w:rFonts w:ascii="Century Gothic" w:eastAsia="Times New Roman" w:hAnsi="Century Gothic" w:cs="Calibri"/>
                  <w:sz w:val="13"/>
                  <w:szCs w:val="13"/>
                  <w:lang w:val="en-US" w:eastAsia="en-AU"/>
                </w:rPr>
                <w:t>https://www.nokut.no/siteassets/om-nokut/universities_and_university_colleges_act.pdf</w:t>
              </w:r>
            </w:hyperlink>
            <w:r w:rsidRPr="006661D3">
              <w:rPr>
                <w:rFonts w:ascii="Century Gothic" w:hAnsi="Century Gothic"/>
                <w:color w:val="000000"/>
                <w:sz w:val="13"/>
                <w:szCs w:val="13"/>
              </w:rPr>
              <w:t>;</w:t>
            </w:r>
          </w:p>
        </w:tc>
      </w:tr>
      <w:tr w:rsidR="00FE78DE" w:rsidRPr="00730C0D" w14:paraId="526548A2" w14:textId="77777777" w:rsidTr="00B21D44">
        <w:tc>
          <w:tcPr>
            <w:tcW w:w="10355" w:type="dxa"/>
            <w:gridSpan w:val="2"/>
            <w:shd w:val="clear" w:color="auto" w:fill="DEEAF6" w:themeFill="accent1" w:themeFillTint="33"/>
            <w:vAlign w:val="top"/>
          </w:tcPr>
          <w:p w14:paraId="3B5BF8D1" w14:textId="77777777" w:rsidR="00FE78DE" w:rsidRPr="00730C0D" w:rsidRDefault="00FE78DE" w:rsidP="00FE78DE">
            <w:pPr>
              <w:spacing w:before="0" w:after="0"/>
              <w:rPr>
                <w:rFonts w:ascii="Century Gothic" w:eastAsiaTheme="majorEastAsia" w:hAnsi="Century Gothic" w:cstheme="minorHAnsi"/>
                <w:b/>
                <w:sz w:val="20"/>
                <w:szCs w:val="20"/>
              </w:rPr>
            </w:pPr>
            <w:r w:rsidRPr="00730C0D">
              <w:rPr>
                <w:rFonts w:ascii="Century Gothic" w:eastAsiaTheme="majorEastAsia" w:hAnsi="Century Gothic" w:cstheme="minorHAnsi"/>
                <w:b/>
                <w:sz w:val="20"/>
                <w:szCs w:val="20"/>
              </w:rPr>
              <w:t>People’s Republic of</w:t>
            </w:r>
            <w:r w:rsidRPr="00730C0D">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b/>
                <w:sz w:val="20"/>
                <w:szCs w:val="20"/>
              </w:rPr>
              <w:t>China</w:t>
            </w:r>
            <w:r w:rsidRPr="00730C0D">
              <w:rPr>
                <w:rFonts w:ascii="Century Gothic" w:eastAsiaTheme="majorEastAsia" w:hAnsi="Century Gothic" w:cstheme="minorHAnsi"/>
                <w:sz w:val="20"/>
                <w:szCs w:val="20"/>
              </w:rPr>
              <w:t xml:space="preserve"> </w:t>
            </w:r>
          </w:p>
        </w:tc>
      </w:tr>
      <w:tr w:rsidR="00FE78DE" w:rsidRPr="00730C0D" w14:paraId="69ADF861" w14:textId="77777777" w:rsidTr="00B21D44">
        <w:tc>
          <w:tcPr>
            <w:tcW w:w="2694" w:type="dxa"/>
            <w:vAlign w:val="top"/>
          </w:tcPr>
          <w:p w14:paraId="12A05F79" w14:textId="675EC4A7" w:rsidR="00FE78DE" w:rsidRPr="00730C0D" w:rsidRDefault="00FE78DE" w:rsidP="00FE78DE">
            <w:pPr>
              <w:spacing w:before="0" w:after="0"/>
              <w:rPr>
                <w:rFonts w:ascii="Century Gothic" w:hAnsi="Century Gothic" w:cs="Calibri"/>
                <w:color w:val="000000"/>
                <w:sz w:val="20"/>
                <w:szCs w:val="20"/>
                <w:lang w:val="en-US"/>
              </w:rPr>
            </w:pPr>
            <w:r w:rsidRPr="00730C0D">
              <w:rPr>
                <w:rFonts w:ascii="Century Gothic" w:eastAsiaTheme="majorEastAsia" w:hAnsi="Century Gothic" w:cstheme="minorHAnsi"/>
                <w:sz w:val="20"/>
                <w:szCs w:val="20"/>
              </w:rPr>
              <w:t>Tertiary</w:t>
            </w:r>
            <w:r w:rsidRPr="00730C0D">
              <w:rPr>
                <w:rFonts w:ascii="Century Gothic" w:hAnsi="Century Gothic" w:cs="Calibri"/>
                <w:color w:val="000000"/>
                <w:sz w:val="20"/>
                <w:szCs w:val="20"/>
                <w:lang w:val="en-US"/>
              </w:rPr>
              <w:t xml:space="preserve"> institutions are divided between </w:t>
            </w:r>
            <w:r w:rsidR="002C7EB8">
              <w:rPr>
                <w:rFonts w:ascii="Century Gothic" w:hAnsi="Century Gothic" w:cs="Calibri"/>
                <w:color w:val="000000"/>
                <w:sz w:val="20"/>
                <w:szCs w:val="20"/>
                <w:lang w:val="en-US"/>
              </w:rPr>
              <w:t xml:space="preserve">a </w:t>
            </w:r>
            <w:r w:rsidRPr="00730C0D">
              <w:rPr>
                <w:rFonts w:ascii="Century Gothic" w:hAnsi="Century Gothic" w:cs="Calibri"/>
                <w:color w:val="000000"/>
                <w:sz w:val="20"/>
                <w:szCs w:val="20"/>
                <w:lang w:val="en-US"/>
              </w:rPr>
              <w:t xml:space="preserve">regular higher education sector and </w:t>
            </w:r>
            <w:r w:rsidR="007E36E9">
              <w:rPr>
                <w:rFonts w:ascii="Century Gothic" w:hAnsi="Century Gothic" w:cs="Calibri"/>
                <w:color w:val="000000"/>
                <w:sz w:val="20"/>
                <w:szCs w:val="20"/>
                <w:lang w:val="en-US"/>
              </w:rPr>
              <w:t>an</w:t>
            </w:r>
            <w:r w:rsidR="007E36E9" w:rsidRPr="00730C0D">
              <w:rPr>
                <w:rFonts w:ascii="Century Gothic" w:hAnsi="Century Gothic" w:cs="Calibri"/>
                <w:color w:val="000000"/>
                <w:sz w:val="20"/>
                <w:szCs w:val="20"/>
                <w:lang w:val="en-US"/>
              </w:rPr>
              <w:t xml:space="preserve"> </w:t>
            </w:r>
            <w:r w:rsidRPr="00730C0D">
              <w:rPr>
                <w:rFonts w:ascii="Century Gothic" w:hAnsi="Century Gothic" w:cs="Calibri"/>
                <w:color w:val="000000"/>
                <w:sz w:val="20"/>
                <w:szCs w:val="20"/>
                <w:lang w:val="en-US"/>
              </w:rPr>
              <w:t xml:space="preserve">adult higher education sector. </w:t>
            </w:r>
          </w:p>
          <w:p w14:paraId="246B1D19" w14:textId="77777777" w:rsidR="00FE78DE" w:rsidRDefault="00FE78DE" w:rsidP="00FE78DE">
            <w:pPr>
              <w:spacing w:before="0" w:after="0" w:line="259" w:lineRule="auto"/>
              <w:rPr>
                <w:rFonts w:ascii="Century Gothic" w:eastAsiaTheme="majorEastAsia" w:hAnsi="Century Gothic" w:cstheme="minorHAnsi"/>
                <w:sz w:val="20"/>
                <w:szCs w:val="20"/>
              </w:rPr>
            </w:pPr>
          </w:p>
          <w:p w14:paraId="4B697C43" w14:textId="5DAD8EDE" w:rsidR="004E07AE" w:rsidRDefault="004E07AE" w:rsidP="00FE78DE">
            <w:pPr>
              <w:spacing w:before="0" w:after="0" w:line="259" w:lineRule="auto"/>
              <w:rPr>
                <w:rFonts w:ascii="Century Gothic" w:eastAsiaTheme="majorEastAsia" w:hAnsi="Century Gothic" w:cstheme="minorHAnsi"/>
                <w:sz w:val="20"/>
                <w:szCs w:val="20"/>
              </w:rPr>
            </w:pPr>
          </w:p>
          <w:p w14:paraId="664EBB9B" w14:textId="77777777" w:rsidR="004E07AE" w:rsidRDefault="004E07AE" w:rsidP="00FE78DE">
            <w:pPr>
              <w:spacing w:before="0" w:after="0" w:line="259" w:lineRule="auto"/>
              <w:rPr>
                <w:rFonts w:ascii="Century Gothic" w:eastAsiaTheme="majorEastAsia" w:hAnsi="Century Gothic" w:cstheme="minorHAnsi"/>
                <w:sz w:val="20"/>
                <w:szCs w:val="20"/>
              </w:rPr>
            </w:pPr>
          </w:p>
          <w:p w14:paraId="6FC2A3E3" w14:textId="77777777" w:rsidR="004E07AE" w:rsidRDefault="004E07AE" w:rsidP="004E07AE">
            <w:pPr>
              <w:spacing w:before="0" w:after="0" w:line="259" w:lineRule="auto"/>
              <w:rPr>
                <w:rFonts w:ascii="Century Gothic" w:eastAsiaTheme="majorEastAsia" w:hAnsi="Century Gothic" w:cstheme="minorHAnsi"/>
                <w:sz w:val="13"/>
                <w:szCs w:val="13"/>
              </w:rPr>
            </w:pPr>
            <w:r w:rsidRPr="00AB3741">
              <w:rPr>
                <w:rFonts w:ascii="Century Gothic" w:eastAsiaTheme="majorEastAsia" w:hAnsi="Century Gothic" w:cstheme="minorHAnsi"/>
                <w:sz w:val="13"/>
                <w:szCs w:val="13"/>
              </w:rPr>
              <w:t xml:space="preserve">Sources: </w:t>
            </w:r>
          </w:p>
          <w:p w14:paraId="6CB1B553" w14:textId="77777777" w:rsidR="00610C0D" w:rsidRPr="00E22B30" w:rsidRDefault="00610C0D" w:rsidP="004E07AE">
            <w:pPr>
              <w:pStyle w:val="ListParagraph"/>
              <w:numPr>
                <w:ilvl w:val="0"/>
                <w:numId w:val="75"/>
              </w:numPr>
              <w:spacing w:before="0" w:after="0"/>
              <w:ind w:left="179" w:hanging="142"/>
              <w:rPr>
                <w:rFonts w:ascii="Century Gothic" w:hAnsi="Century Gothic"/>
                <w:sz w:val="13"/>
                <w:szCs w:val="13"/>
                <w:lang w:val="en-US"/>
              </w:rPr>
            </w:pPr>
            <w:r w:rsidRPr="00AB3741">
              <w:rPr>
                <w:rFonts w:ascii="Century Gothic" w:eastAsiaTheme="majorEastAsia" w:hAnsi="Century Gothic" w:cstheme="minorHAnsi"/>
                <w:sz w:val="13"/>
                <w:szCs w:val="13"/>
              </w:rPr>
              <w:t xml:space="preserve">Ministry of Education of the People’s Republic of China. (1988). </w:t>
            </w:r>
            <w:r w:rsidRPr="00AB3741">
              <w:rPr>
                <w:rFonts w:ascii="Century Gothic" w:eastAsia="MS Gothic" w:hAnsi="Century Gothic" w:cs="MS Gothic"/>
                <w:sz w:val="13"/>
                <w:szCs w:val="13"/>
              </w:rPr>
              <w:t>成人高等学校</w:t>
            </w:r>
            <w:r w:rsidRPr="00AB3741">
              <w:rPr>
                <w:rFonts w:ascii="Century Gothic" w:eastAsia="SimSun" w:hAnsi="Century Gothic" w:cs="SimSun"/>
                <w:sz w:val="13"/>
                <w:szCs w:val="13"/>
              </w:rPr>
              <w:t>设置的暂行规定</w:t>
            </w:r>
            <w:r w:rsidRPr="00AB3741">
              <w:rPr>
                <w:rFonts w:ascii="Century Gothic" w:eastAsiaTheme="majorEastAsia" w:hAnsi="Century Gothic" w:cstheme="minorHAnsi"/>
                <w:sz w:val="13"/>
                <w:szCs w:val="13"/>
              </w:rPr>
              <w:t xml:space="preserve"> (</w:t>
            </w:r>
            <w:r w:rsidRPr="00E22B30">
              <w:rPr>
                <w:rFonts w:ascii="Century Gothic" w:eastAsiaTheme="majorEastAsia" w:hAnsi="Century Gothic" w:cstheme="minorHAnsi"/>
                <w:i/>
                <w:sz w:val="13"/>
                <w:szCs w:val="13"/>
              </w:rPr>
              <w:t>Interim provision on the establishment of adult higher education institutions</w:t>
            </w:r>
            <w:r w:rsidRPr="00AB3741">
              <w:rPr>
                <w:rFonts w:ascii="Century Gothic" w:eastAsiaTheme="majorEastAsia" w:hAnsi="Century Gothic" w:cstheme="minorHAnsi"/>
                <w:sz w:val="13"/>
                <w:szCs w:val="13"/>
              </w:rPr>
              <w:t xml:space="preserve">). Retrieved from: </w:t>
            </w:r>
            <w:hyperlink r:id="rId74" w:history="1">
              <w:r w:rsidRPr="00AB3741">
                <w:rPr>
                  <w:rStyle w:val="Hyperlink"/>
                  <w:rFonts w:ascii="Century Gothic" w:hAnsi="Century Gothic" w:cstheme="minorHAnsi"/>
                  <w:sz w:val="13"/>
                  <w:szCs w:val="13"/>
                </w:rPr>
                <w:t>http://old.moe.gov.cn/publicfiles/business/htmlfiles/moe/moe_621/201001/81942.html</w:t>
              </w:r>
            </w:hyperlink>
            <w:r w:rsidRPr="00AB3741">
              <w:rPr>
                <w:rFonts w:ascii="Century Gothic" w:eastAsiaTheme="majorEastAsia" w:hAnsi="Century Gothic" w:cstheme="minorHAnsi"/>
                <w:sz w:val="13"/>
                <w:szCs w:val="13"/>
              </w:rPr>
              <w:t xml:space="preserve">. </w:t>
            </w:r>
          </w:p>
          <w:p w14:paraId="788616E7" w14:textId="727C617A" w:rsidR="00610C0D" w:rsidRPr="00E22B30" w:rsidRDefault="00610C0D" w:rsidP="004E07AE">
            <w:pPr>
              <w:pStyle w:val="ListParagraph"/>
              <w:numPr>
                <w:ilvl w:val="0"/>
                <w:numId w:val="75"/>
              </w:numPr>
              <w:spacing w:before="0" w:after="0"/>
              <w:ind w:left="179" w:hanging="142"/>
              <w:rPr>
                <w:rFonts w:ascii="Century Gothic" w:hAnsi="Century Gothic"/>
                <w:sz w:val="13"/>
                <w:szCs w:val="13"/>
                <w:lang w:val="en-US"/>
              </w:rPr>
            </w:pPr>
            <w:r w:rsidRPr="00E22B30">
              <w:rPr>
                <w:rFonts w:ascii="Century Gothic" w:hAnsi="Century Gothic" w:cs="Calibri"/>
                <w:color w:val="000000"/>
                <w:sz w:val="13"/>
                <w:szCs w:val="13"/>
              </w:rPr>
              <w:t>Ministry</w:t>
            </w:r>
            <w:r w:rsidRPr="00AB3741">
              <w:rPr>
                <w:rFonts w:ascii="Century Gothic" w:eastAsiaTheme="majorEastAsia" w:hAnsi="Century Gothic" w:cstheme="minorHAnsi"/>
                <w:sz w:val="13"/>
                <w:szCs w:val="13"/>
              </w:rPr>
              <w:t xml:space="preserve"> of Education of the People’s Republic of China. (2019). </w:t>
            </w:r>
            <w:r w:rsidRPr="00AB3741">
              <w:rPr>
                <w:rFonts w:ascii="Century Gothic" w:eastAsiaTheme="majorEastAsia" w:hAnsi="Century Gothic" w:cstheme="minorHAnsi"/>
                <w:bCs/>
                <w:i/>
                <w:sz w:val="13"/>
                <w:szCs w:val="13"/>
              </w:rPr>
              <w:t>2019</w:t>
            </w:r>
            <w:r w:rsidRPr="00AB3741">
              <w:rPr>
                <w:rFonts w:ascii="Century Gothic" w:eastAsia="MS Gothic" w:hAnsi="Century Gothic" w:cs="MS Gothic"/>
                <w:bCs/>
                <w:i/>
                <w:sz w:val="13"/>
                <w:szCs w:val="13"/>
              </w:rPr>
              <w:t>年全国高等学校名</w:t>
            </w:r>
            <w:r w:rsidRPr="00AB3741">
              <w:rPr>
                <w:rFonts w:ascii="Century Gothic" w:eastAsia="SimSun" w:hAnsi="Century Gothic" w:cs="SimSun"/>
                <w:bCs/>
                <w:i/>
                <w:sz w:val="13"/>
                <w:szCs w:val="13"/>
              </w:rPr>
              <w:t>单</w:t>
            </w:r>
            <w:r w:rsidRPr="00AB3741">
              <w:rPr>
                <w:rFonts w:ascii="Century Gothic" w:eastAsiaTheme="majorEastAsia" w:hAnsi="Century Gothic" w:cstheme="minorHAnsi"/>
                <w:sz w:val="13"/>
                <w:szCs w:val="13"/>
              </w:rPr>
              <w:t xml:space="preserve"> </w:t>
            </w:r>
            <w:r w:rsidRPr="00AB3741">
              <w:rPr>
                <w:rFonts w:ascii="Century Gothic" w:eastAsiaTheme="majorEastAsia" w:hAnsi="Century Gothic" w:cstheme="minorHAnsi"/>
                <w:i/>
                <w:sz w:val="13"/>
                <w:szCs w:val="13"/>
              </w:rPr>
              <w:t>(2019 National List of Higher Education Institutions)</w:t>
            </w:r>
            <w:r w:rsidRPr="00AB3741">
              <w:rPr>
                <w:rFonts w:ascii="Century Gothic" w:eastAsiaTheme="majorEastAsia" w:hAnsi="Century Gothic" w:cstheme="minorHAnsi"/>
                <w:sz w:val="13"/>
                <w:szCs w:val="13"/>
              </w:rPr>
              <w:t xml:space="preserve">. Retrieved from: </w:t>
            </w:r>
            <w:hyperlink r:id="rId75" w:history="1">
              <w:r w:rsidRPr="00AB3741">
                <w:rPr>
                  <w:rStyle w:val="Hyperlink"/>
                  <w:rFonts w:ascii="Century Gothic" w:hAnsi="Century Gothic" w:cstheme="minorHAnsi"/>
                  <w:sz w:val="13"/>
                  <w:szCs w:val="13"/>
                </w:rPr>
                <w:t>http://www.moe.gov.cn/jyb_xxgk/s5743/s5744/201906/t20190617_386200.html</w:t>
              </w:r>
            </w:hyperlink>
            <w:r w:rsidRPr="00AB3741">
              <w:rPr>
                <w:rFonts w:ascii="Century Gothic" w:eastAsiaTheme="majorEastAsia" w:hAnsi="Century Gothic" w:cstheme="minorHAnsi"/>
                <w:sz w:val="13"/>
                <w:szCs w:val="13"/>
              </w:rPr>
              <w:t xml:space="preserve">; </w:t>
            </w:r>
            <w:r>
              <w:rPr>
                <w:rFonts w:ascii="Century Gothic" w:eastAsiaTheme="majorEastAsia" w:hAnsi="Century Gothic" w:cstheme="minorHAnsi"/>
                <w:sz w:val="13"/>
                <w:szCs w:val="13"/>
              </w:rPr>
              <w:t>and</w:t>
            </w:r>
          </w:p>
          <w:p w14:paraId="2D7B58A9" w14:textId="0867CD57" w:rsidR="004E07AE" w:rsidRPr="00610C0D" w:rsidRDefault="00610C0D" w:rsidP="00FE78DE">
            <w:pPr>
              <w:pStyle w:val="ListParagraph"/>
              <w:numPr>
                <w:ilvl w:val="0"/>
                <w:numId w:val="75"/>
              </w:numPr>
              <w:spacing w:before="0" w:after="0"/>
              <w:ind w:left="179" w:hanging="142"/>
              <w:rPr>
                <w:rFonts w:ascii="Century Gothic" w:hAnsi="Century Gothic"/>
                <w:sz w:val="13"/>
                <w:szCs w:val="13"/>
                <w:lang w:val="en-US"/>
              </w:rPr>
            </w:pPr>
            <w:r w:rsidRPr="00AB3741">
              <w:rPr>
                <w:rFonts w:ascii="Century Gothic" w:eastAsiaTheme="majorEastAsia" w:hAnsi="Century Gothic" w:cstheme="minorHAnsi"/>
                <w:sz w:val="13"/>
                <w:szCs w:val="13"/>
              </w:rPr>
              <w:t xml:space="preserve">Ministry of Education of the </w:t>
            </w:r>
            <w:r w:rsidRPr="00E22B30">
              <w:rPr>
                <w:rFonts w:ascii="Century Gothic" w:hAnsi="Century Gothic" w:cs="Calibri"/>
                <w:color w:val="000000"/>
                <w:sz w:val="13"/>
                <w:szCs w:val="13"/>
              </w:rPr>
              <w:t>People’s</w:t>
            </w:r>
            <w:r w:rsidRPr="00AB3741">
              <w:rPr>
                <w:rFonts w:ascii="Century Gothic" w:eastAsiaTheme="majorEastAsia" w:hAnsi="Century Gothic" w:cstheme="minorHAnsi"/>
                <w:sz w:val="13"/>
                <w:szCs w:val="13"/>
              </w:rPr>
              <w:t xml:space="preserve"> Republic of China. (2019). </w:t>
            </w:r>
            <w:r w:rsidRPr="00AB3741">
              <w:rPr>
                <w:rFonts w:ascii="Century Gothic" w:eastAsia="MS Gothic" w:hAnsi="Century Gothic" w:cs="MS Gothic"/>
                <w:bCs/>
                <w:i/>
                <w:sz w:val="13"/>
                <w:szCs w:val="13"/>
              </w:rPr>
              <w:t>中</w:t>
            </w:r>
            <w:r w:rsidRPr="00AB3741">
              <w:rPr>
                <w:rFonts w:ascii="Century Gothic" w:eastAsia="SimSun" w:hAnsi="Century Gothic" w:cs="SimSun"/>
                <w:bCs/>
                <w:i/>
                <w:sz w:val="13"/>
                <w:szCs w:val="13"/>
              </w:rPr>
              <w:t>华人民共和国高等教育法</w:t>
            </w:r>
            <w:r w:rsidRPr="00AB3741">
              <w:rPr>
                <w:rFonts w:ascii="Century Gothic" w:eastAsia="SimSun" w:hAnsi="Century Gothic" w:cs="SimSun"/>
                <w:bCs/>
                <w:i/>
                <w:sz w:val="13"/>
                <w:szCs w:val="13"/>
              </w:rPr>
              <w:t xml:space="preserve"> (</w:t>
            </w:r>
            <w:r w:rsidRPr="00AB3741">
              <w:rPr>
                <w:rFonts w:ascii="Century Gothic" w:eastAsiaTheme="majorEastAsia" w:hAnsi="Century Gothic" w:cstheme="minorHAnsi"/>
                <w:i/>
                <w:sz w:val="13"/>
                <w:szCs w:val="13"/>
              </w:rPr>
              <w:t>Higher Education Law of the People's Republic of China)</w:t>
            </w:r>
            <w:r w:rsidRPr="00AB3741">
              <w:rPr>
                <w:rFonts w:ascii="Century Gothic" w:eastAsiaTheme="majorEastAsia" w:hAnsi="Century Gothic" w:cstheme="minorHAnsi"/>
                <w:sz w:val="13"/>
                <w:szCs w:val="13"/>
              </w:rPr>
              <w:t xml:space="preserve">. Retrieved from: </w:t>
            </w:r>
            <w:hyperlink r:id="rId76" w:history="1">
              <w:r w:rsidRPr="00AB3741">
                <w:rPr>
                  <w:rStyle w:val="Hyperlink"/>
                  <w:rFonts w:ascii="Century Gothic" w:hAnsi="Century Gothic" w:cstheme="minorHAnsi"/>
                  <w:sz w:val="13"/>
                  <w:szCs w:val="13"/>
                </w:rPr>
                <w:t>http://www.moe.gov.cn/s78/A02/zfs__left/s5911/moe_619/201512/t20151228_226196.html</w:t>
              </w:r>
            </w:hyperlink>
            <w:r>
              <w:rPr>
                <w:rFonts w:ascii="Century Gothic" w:eastAsiaTheme="majorEastAsia" w:hAnsi="Century Gothic" w:cstheme="minorHAnsi"/>
                <w:sz w:val="13"/>
                <w:szCs w:val="13"/>
              </w:rPr>
              <w:t>.</w:t>
            </w:r>
          </w:p>
        </w:tc>
        <w:tc>
          <w:tcPr>
            <w:tcW w:w="7661" w:type="dxa"/>
          </w:tcPr>
          <w:p w14:paraId="70050B9B" w14:textId="77777777" w:rsidR="00FE78DE" w:rsidRPr="00730C0D" w:rsidRDefault="00FE78DE" w:rsidP="00FE78DE">
            <w:pPr>
              <w:spacing w:before="0" w:after="0" w:line="259" w:lineRule="auto"/>
              <w:rPr>
                <w:rFonts w:ascii="Century Gothic" w:hAnsi="Century Gothic"/>
                <w:b/>
                <w:i/>
                <w:sz w:val="20"/>
                <w:szCs w:val="20"/>
                <w:u w:val="single"/>
                <w:lang w:val="en-US"/>
              </w:rPr>
            </w:pPr>
            <w:r w:rsidRPr="00730C0D">
              <w:rPr>
                <w:rFonts w:ascii="Century Gothic" w:hAnsi="Century Gothic"/>
                <w:b/>
                <w:i/>
                <w:sz w:val="20"/>
                <w:szCs w:val="20"/>
                <w:u w:val="single"/>
                <w:lang w:val="en-US"/>
              </w:rPr>
              <w:t xml:space="preserve">Regular Higher Education Sector </w:t>
            </w:r>
          </w:p>
          <w:p w14:paraId="0C9B2CB4" w14:textId="77777777" w:rsidR="00FE78DE" w:rsidRPr="00730C0D" w:rsidRDefault="00FE78DE" w:rsidP="00FE78DE">
            <w:pPr>
              <w:spacing w:before="0" w:after="0" w:line="259" w:lineRule="auto"/>
              <w:rPr>
                <w:rFonts w:ascii="Century Gothic" w:hAnsi="Century Gothic"/>
                <w:sz w:val="20"/>
                <w:szCs w:val="20"/>
                <w:lang w:val="en-US"/>
              </w:rPr>
            </w:pPr>
            <w:r w:rsidRPr="00730C0D">
              <w:rPr>
                <w:rFonts w:ascii="Century Gothic" w:hAnsi="Century Gothic"/>
                <w:b/>
                <w:sz w:val="20"/>
                <w:szCs w:val="20"/>
                <w:lang w:val="en-US"/>
              </w:rPr>
              <w:t>Universities and other degree-granting institutions</w:t>
            </w:r>
            <w:r w:rsidRPr="00730C0D">
              <w:rPr>
                <w:rFonts w:ascii="Century Gothic" w:hAnsi="Century Gothic"/>
                <w:sz w:val="20"/>
                <w:szCs w:val="20"/>
                <w:lang w:val="en-US"/>
              </w:rPr>
              <w:t xml:space="preserve">: public and private institutions that offer undergraduate and postgraduate qualifications and are approved by the Ministry of Education. As part of the Vocational Education Reform, ‘Vocational Universities’ were introduced in mid-2019 and can offer Bachelor degrees in practical subjects. Public institutions are administered by national or provincial level government bodies including the Central Military Commission.   </w:t>
            </w:r>
          </w:p>
          <w:p w14:paraId="380E9E61" w14:textId="77777777" w:rsidR="00FE78DE" w:rsidRPr="00730C0D" w:rsidRDefault="00FE78DE" w:rsidP="00FE78DE">
            <w:pPr>
              <w:spacing w:before="0" w:after="0" w:line="259" w:lineRule="auto"/>
              <w:rPr>
                <w:rFonts w:ascii="Century Gothic" w:hAnsi="Century Gothic"/>
                <w:sz w:val="20"/>
                <w:szCs w:val="20"/>
                <w:lang w:val="en-US"/>
              </w:rPr>
            </w:pPr>
          </w:p>
          <w:p w14:paraId="23DEB06E" w14:textId="77777777" w:rsidR="00FE78DE" w:rsidRPr="00730C0D" w:rsidRDefault="00FE78DE" w:rsidP="00FE78DE">
            <w:pPr>
              <w:spacing w:before="0" w:after="0"/>
              <w:rPr>
                <w:rFonts w:ascii="Century Gothic" w:eastAsiaTheme="majorEastAsia" w:hAnsi="Century Gothic" w:cstheme="minorHAnsi"/>
                <w:b/>
                <w:sz w:val="20"/>
                <w:szCs w:val="20"/>
              </w:rPr>
            </w:pPr>
            <w:r w:rsidRPr="00730C0D">
              <w:rPr>
                <w:rFonts w:ascii="Century Gothic" w:hAnsi="Century Gothic"/>
                <w:b/>
                <w:sz w:val="20"/>
                <w:szCs w:val="20"/>
                <w:lang w:val="en-US"/>
              </w:rPr>
              <w:t xml:space="preserve">Higher Vocational Institutions: </w:t>
            </w:r>
            <w:r w:rsidRPr="00730C0D">
              <w:rPr>
                <w:rFonts w:ascii="Century Gothic" w:hAnsi="Century Gothic"/>
                <w:sz w:val="20"/>
                <w:szCs w:val="20"/>
                <w:lang w:val="en-US"/>
              </w:rPr>
              <w:t xml:space="preserve">institutions that offer two or three year courses in specialised fields that meet the needs of China’s economy and are approved by provincial level governments. Higher Vocational Institutions typically include polytechnics, vocational colleges, and vocational and technical colleges. </w:t>
            </w:r>
          </w:p>
          <w:p w14:paraId="3123207D" w14:textId="77777777" w:rsidR="00FE78DE" w:rsidRPr="00730C0D" w:rsidRDefault="00FE78DE" w:rsidP="00FE78DE">
            <w:pPr>
              <w:spacing w:before="0" w:after="0" w:line="259" w:lineRule="auto"/>
              <w:rPr>
                <w:rFonts w:ascii="Century Gothic" w:eastAsiaTheme="majorEastAsia" w:hAnsi="Century Gothic" w:cstheme="minorHAnsi"/>
                <w:b/>
                <w:sz w:val="20"/>
                <w:szCs w:val="20"/>
              </w:rPr>
            </w:pPr>
          </w:p>
          <w:p w14:paraId="2BA21B8D" w14:textId="77777777" w:rsidR="00FE78DE" w:rsidRPr="00730C0D" w:rsidRDefault="00FE78DE" w:rsidP="00FE78DE">
            <w:pPr>
              <w:spacing w:before="0" w:after="0" w:line="259" w:lineRule="auto"/>
              <w:rPr>
                <w:rFonts w:ascii="Century Gothic" w:eastAsiaTheme="majorEastAsia" w:hAnsi="Century Gothic" w:cstheme="minorHAnsi"/>
                <w:b/>
                <w:i/>
                <w:sz w:val="20"/>
                <w:szCs w:val="20"/>
                <w:u w:val="single"/>
              </w:rPr>
            </w:pPr>
            <w:r w:rsidRPr="00730C0D">
              <w:rPr>
                <w:rFonts w:ascii="Century Gothic" w:eastAsiaTheme="majorEastAsia" w:hAnsi="Century Gothic" w:cstheme="minorHAnsi"/>
                <w:b/>
                <w:i/>
                <w:sz w:val="20"/>
                <w:szCs w:val="20"/>
                <w:u w:val="single"/>
              </w:rPr>
              <w:t xml:space="preserve">Adult Higher Education Sector </w:t>
            </w:r>
          </w:p>
          <w:p w14:paraId="0507B649" w14:textId="570E90E2"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hAnsi="Century Gothic" w:cs="Calibri"/>
                <w:b/>
                <w:color w:val="000000"/>
                <w:sz w:val="20"/>
                <w:szCs w:val="20"/>
                <w:lang w:val="en-US"/>
              </w:rPr>
              <w:t xml:space="preserve">Adult Higher Education Institutions: </w:t>
            </w:r>
            <w:r w:rsidRPr="00730C0D">
              <w:rPr>
                <w:rFonts w:ascii="Century Gothic" w:eastAsiaTheme="majorEastAsia" w:hAnsi="Century Gothic" w:cstheme="minorHAnsi"/>
                <w:sz w:val="20"/>
                <w:szCs w:val="20"/>
              </w:rPr>
              <w:t xml:space="preserve">institutions that offer degree </w:t>
            </w:r>
            <w:r w:rsidR="00E22B30">
              <w:rPr>
                <w:rFonts w:ascii="Century Gothic" w:eastAsiaTheme="majorEastAsia" w:hAnsi="Century Gothic" w:cstheme="minorHAnsi"/>
                <w:sz w:val="20"/>
                <w:szCs w:val="20"/>
              </w:rPr>
              <w:br/>
            </w:r>
            <w:r w:rsidRPr="00730C0D">
              <w:rPr>
                <w:rFonts w:ascii="Century Gothic" w:eastAsiaTheme="majorEastAsia" w:hAnsi="Century Gothic" w:cstheme="minorHAnsi"/>
                <w:sz w:val="20"/>
                <w:szCs w:val="20"/>
              </w:rPr>
              <w:t xml:space="preserve">(higher vocational level and Bachelor degree level) qualifications and non-degree studies through three types of flexible delivery: full-time, </w:t>
            </w:r>
            <w:r w:rsidR="00E22B30">
              <w:rPr>
                <w:rFonts w:ascii="Century Gothic" w:eastAsiaTheme="majorEastAsia" w:hAnsi="Century Gothic" w:cstheme="minorHAnsi"/>
                <w:sz w:val="20"/>
                <w:szCs w:val="20"/>
              </w:rPr>
              <w:br/>
            </w:r>
            <w:r w:rsidRPr="00730C0D">
              <w:rPr>
                <w:rFonts w:ascii="Century Gothic" w:eastAsiaTheme="majorEastAsia" w:hAnsi="Century Gothic" w:cstheme="minorHAnsi"/>
                <w:sz w:val="20"/>
                <w:szCs w:val="20"/>
              </w:rPr>
              <w:t>after-hours and through correspondence. Radio and online education are also available in some subjects. The vast majority of adult higher education institutions are public</w:t>
            </w:r>
            <w:r w:rsidR="00381C5A">
              <w:rPr>
                <w:rFonts w:ascii="Century Gothic" w:eastAsiaTheme="majorEastAsia" w:hAnsi="Century Gothic" w:cstheme="minorHAnsi"/>
                <w:sz w:val="20"/>
                <w:szCs w:val="20"/>
              </w:rPr>
              <w:t>,</w:t>
            </w:r>
            <w:r w:rsidRPr="00730C0D">
              <w:rPr>
                <w:rFonts w:ascii="Century Gothic" w:eastAsiaTheme="majorEastAsia" w:hAnsi="Century Gothic" w:cstheme="minorHAnsi"/>
                <w:sz w:val="20"/>
                <w:szCs w:val="20"/>
              </w:rPr>
              <w:t xml:space="preserve"> and the aim of such institutions is to provide education to the working population, lifting skills and managerial knowledge of individuals across industries. </w:t>
            </w:r>
          </w:p>
          <w:p w14:paraId="6272D04D" w14:textId="6CA97215" w:rsidR="00E22B30" w:rsidRPr="004E07AE" w:rsidRDefault="00E22B30" w:rsidP="004E07AE">
            <w:pPr>
              <w:spacing w:before="0" w:after="0"/>
              <w:rPr>
                <w:rFonts w:ascii="Century Gothic" w:hAnsi="Century Gothic"/>
                <w:sz w:val="13"/>
                <w:szCs w:val="13"/>
                <w:lang w:val="en-US"/>
              </w:rPr>
            </w:pPr>
          </w:p>
        </w:tc>
      </w:tr>
      <w:tr w:rsidR="00FE78DE" w:rsidRPr="00730C0D" w14:paraId="01310AE0" w14:textId="77777777" w:rsidTr="00B21D44">
        <w:tc>
          <w:tcPr>
            <w:tcW w:w="10355" w:type="dxa"/>
            <w:gridSpan w:val="2"/>
            <w:shd w:val="clear" w:color="auto" w:fill="DEEAF6" w:themeFill="accent1" w:themeFillTint="33"/>
            <w:vAlign w:val="top"/>
          </w:tcPr>
          <w:p w14:paraId="3A343DBB" w14:textId="77777777" w:rsidR="00FE78DE" w:rsidRPr="00730C0D" w:rsidRDefault="00FE78DE" w:rsidP="00FE78DE">
            <w:pPr>
              <w:pStyle w:val="NoSpacing"/>
              <w:spacing w:line="259" w:lineRule="auto"/>
              <w:rPr>
                <w:rFonts w:ascii="Century Gothic" w:hAnsi="Century Gothic" w:cstheme="minorHAnsi"/>
                <w:b/>
                <w:sz w:val="20"/>
                <w:szCs w:val="20"/>
              </w:rPr>
            </w:pPr>
            <w:r w:rsidRPr="00730C0D">
              <w:rPr>
                <w:rFonts w:ascii="Century Gothic" w:hAnsi="Century Gothic" w:cstheme="minorHAnsi"/>
                <w:b/>
                <w:sz w:val="20"/>
                <w:szCs w:val="20"/>
              </w:rPr>
              <w:t xml:space="preserve">Singapore </w:t>
            </w:r>
          </w:p>
        </w:tc>
      </w:tr>
      <w:tr w:rsidR="00FE78DE" w:rsidRPr="00730C0D" w14:paraId="65EFC49B" w14:textId="77777777" w:rsidTr="00B21D44">
        <w:tc>
          <w:tcPr>
            <w:tcW w:w="2694" w:type="dxa"/>
            <w:vAlign w:val="top"/>
          </w:tcPr>
          <w:p w14:paraId="517AE1FB" w14:textId="4060D891" w:rsidR="00FE78DE" w:rsidRPr="00730C0D" w:rsidRDefault="00FE78DE" w:rsidP="006C3699">
            <w:pPr>
              <w:pStyle w:val="NoSpacing"/>
              <w:spacing w:line="259" w:lineRule="auto"/>
              <w:ind w:right="290"/>
              <w:rPr>
                <w:rFonts w:ascii="Century Gothic" w:hAnsi="Century Gothic" w:cstheme="minorHAnsi"/>
                <w:sz w:val="20"/>
                <w:szCs w:val="20"/>
              </w:rPr>
            </w:pPr>
            <w:r w:rsidRPr="00730C0D">
              <w:rPr>
                <w:rFonts w:ascii="Century Gothic" w:hAnsi="Century Gothic" w:cstheme="minorHAnsi"/>
                <w:sz w:val="20"/>
                <w:szCs w:val="20"/>
              </w:rPr>
              <w:t xml:space="preserve">Five tertiary institution types (one university, three </w:t>
            </w:r>
            <w:r w:rsidR="00361C98">
              <w:rPr>
                <w:rFonts w:ascii="Century Gothic" w:hAnsi="Century Gothic" w:cstheme="minorHAnsi"/>
                <w:sz w:val="20"/>
                <w:szCs w:val="20"/>
              </w:rPr>
              <w:t>other higher education providers</w:t>
            </w:r>
            <w:r w:rsidR="00610E8A">
              <w:rPr>
                <w:rFonts w:ascii="Century Gothic" w:hAnsi="Century Gothic" w:cstheme="minorHAnsi"/>
                <w:sz w:val="20"/>
                <w:szCs w:val="20"/>
              </w:rPr>
              <w:t>,</w:t>
            </w:r>
            <w:r w:rsidRPr="00730C0D">
              <w:rPr>
                <w:rFonts w:ascii="Century Gothic" w:hAnsi="Century Gothic" w:cstheme="minorHAnsi"/>
                <w:sz w:val="20"/>
                <w:szCs w:val="20"/>
              </w:rPr>
              <w:t xml:space="preserve"> and one vocational) regulated by the Ministry of Education (public institutions) or Committee for Private Education (private Enterprises Institutions category).</w:t>
            </w:r>
          </w:p>
          <w:p w14:paraId="723C3346" w14:textId="77777777" w:rsidR="00FE78DE" w:rsidRPr="00730C0D" w:rsidRDefault="00FE78DE" w:rsidP="00FE78DE">
            <w:pPr>
              <w:pStyle w:val="NoSpacing"/>
              <w:spacing w:line="259" w:lineRule="auto"/>
              <w:rPr>
                <w:rFonts w:ascii="Century Gothic" w:hAnsi="Century Gothic" w:cstheme="minorHAnsi"/>
                <w:sz w:val="20"/>
                <w:szCs w:val="20"/>
              </w:rPr>
            </w:pPr>
          </w:p>
          <w:p w14:paraId="6E5AB071" w14:textId="23C8CC96" w:rsidR="004E07AE" w:rsidRDefault="004E07AE" w:rsidP="004E07AE">
            <w:pPr>
              <w:pStyle w:val="NoSpacing"/>
              <w:spacing w:line="259" w:lineRule="auto"/>
              <w:rPr>
                <w:rFonts w:ascii="Century Gothic" w:hAnsi="Century Gothic" w:cstheme="minorHAnsi"/>
                <w:sz w:val="13"/>
                <w:szCs w:val="13"/>
              </w:rPr>
            </w:pPr>
            <w:r w:rsidRPr="00D41D97">
              <w:rPr>
                <w:rFonts w:ascii="Century Gothic" w:hAnsi="Century Gothic" w:cstheme="minorHAnsi"/>
                <w:sz w:val="13"/>
                <w:szCs w:val="13"/>
              </w:rPr>
              <w:t>Source</w:t>
            </w:r>
            <w:r>
              <w:rPr>
                <w:rFonts w:ascii="Century Gothic" w:hAnsi="Century Gothic" w:cstheme="minorHAnsi"/>
                <w:sz w:val="13"/>
                <w:szCs w:val="13"/>
              </w:rPr>
              <w:t>s</w:t>
            </w:r>
            <w:r w:rsidRPr="00D41D97">
              <w:rPr>
                <w:rFonts w:ascii="Century Gothic" w:hAnsi="Century Gothic" w:cstheme="minorHAnsi"/>
                <w:sz w:val="13"/>
                <w:szCs w:val="13"/>
              </w:rPr>
              <w:t xml:space="preserve">: </w:t>
            </w:r>
          </w:p>
          <w:p w14:paraId="6B2C8857" w14:textId="77777777" w:rsidR="00610C0D" w:rsidRPr="00D41D97" w:rsidRDefault="00610C0D" w:rsidP="00D41D97">
            <w:pPr>
              <w:pStyle w:val="ListParagraph"/>
              <w:numPr>
                <w:ilvl w:val="0"/>
                <w:numId w:val="75"/>
              </w:numPr>
              <w:spacing w:before="0" w:after="0"/>
              <w:ind w:left="179" w:hanging="142"/>
              <w:rPr>
                <w:rFonts w:ascii="Century Gothic" w:hAnsi="Century Gothic" w:cstheme="minorHAnsi"/>
                <w:sz w:val="13"/>
                <w:szCs w:val="13"/>
              </w:rPr>
            </w:pPr>
            <w:r w:rsidRPr="00D41D97">
              <w:rPr>
                <w:rFonts w:ascii="Century Gothic" w:eastAsiaTheme="majorEastAsia" w:hAnsi="Century Gothic" w:cstheme="minorHAnsi"/>
                <w:sz w:val="13"/>
                <w:szCs w:val="13"/>
              </w:rPr>
              <w:t>Ministry</w:t>
            </w:r>
            <w:r w:rsidRPr="00D41D97">
              <w:rPr>
                <w:rFonts w:ascii="Century Gothic" w:hAnsi="Century Gothic" w:cstheme="minorHAnsi"/>
                <w:sz w:val="13"/>
                <w:szCs w:val="13"/>
              </w:rPr>
              <w:t xml:space="preserve"> of Education Singapore. (2019). </w:t>
            </w:r>
            <w:r w:rsidRPr="00D41D97">
              <w:rPr>
                <w:rFonts w:ascii="Century Gothic" w:hAnsi="Century Gothic" w:cstheme="minorHAnsi"/>
                <w:i/>
                <w:sz w:val="13"/>
                <w:szCs w:val="13"/>
              </w:rPr>
              <w:t>Post-Secondary Education</w:t>
            </w:r>
            <w:r w:rsidRPr="00D41D97">
              <w:rPr>
                <w:rFonts w:ascii="Century Gothic" w:hAnsi="Century Gothic" w:cstheme="minorHAnsi"/>
                <w:sz w:val="13"/>
                <w:szCs w:val="13"/>
              </w:rPr>
              <w:t xml:space="preserve">. Retrieved from: </w:t>
            </w:r>
            <w:hyperlink r:id="rId77" w:history="1">
              <w:r w:rsidRPr="00D41D97">
                <w:rPr>
                  <w:rStyle w:val="Hyperlink"/>
                  <w:rFonts w:ascii="Century Gothic" w:hAnsi="Century Gothic" w:cstheme="minorHAnsi"/>
                  <w:sz w:val="13"/>
                  <w:szCs w:val="13"/>
                </w:rPr>
                <w:t>https://www.moe.gov.sg/education/post-secondary</w:t>
              </w:r>
            </w:hyperlink>
            <w:r>
              <w:rPr>
                <w:rFonts w:ascii="Century Gothic" w:hAnsi="Century Gothic" w:cstheme="minorHAnsi"/>
                <w:sz w:val="13"/>
                <w:szCs w:val="13"/>
              </w:rPr>
              <w:t>; and</w:t>
            </w:r>
            <w:r w:rsidRPr="00D41D97">
              <w:rPr>
                <w:rFonts w:ascii="Century Gothic" w:hAnsi="Century Gothic" w:cstheme="minorHAnsi"/>
                <w:sz w:val="13"/>
                <w:szCs w:val="13"/>
              </w:rPr>
              <w:t xml:space="preserve"> </w:t>
            </w:r>
          </w:p>
          <w:p w14:paraId="0A87E89D" w14:textId="267750D7" w:rsidR="00FE78DE" w:rsidRPr="004E07AE" w:rsidRDefault="00610C0D" w:rsidP="004E07AE">
            <w:pPr>
              <w:pStyle w:val="ListParagraph"/>
              <w:numPr>
                <w:ilvl w:val="0"/>
                <w:numId w:val="75"/>
              </w:numPr>
              <w:spacing w:before="0" w:after="0"/>
              <w:ind w:left="179" w:hanging="142"/>
              <w:rPr>
                <w:rFonts w:ascii="Century Gothic" w:hAnsi="Century Gothic" w:cstheme="minorHAnsi"/>
                <w:sz w:val="13"/>
                <w:szCs w:val="13"/>
              </w:rPr>
            </w:pPr>
            <w:r w:rsidRPr="00D41D97">
              <w:rPr>
                <w:rFonts w:ascii="Century Gothic" w:eastAsiaTheme="majorEastAsia" w:hAnsi="Century Gothic" w:cstheme="minorHAnsi"/>
                <w:sz w:val="13"/>
                <w:szCs w:val="13"/>
              </w:rPr>
              <w:t>Ministry</w:t>
            </w:r>
            <w:r w:rsidRPr="00D41D97">
              <w:rPr>
                <w:rFonts w:ascii="Century Gothic" w:hAnsi="Century Gothic" w:cstheme="minorHAnsi"/>
                <w:sz w:val="13"/>
                <w:szCs w:val="13"/>
              </w:rPr>
              <w:t xml:space="preserve"> of Education Singapore. (2019). </w:t>
            </w:r>
            <w:r w:rsidRPr="00D41D97">
              <w:rPr>
                <w:rFonts w:ascii="Century Gothic" w:hAnsi="Century Gothic" w:cstheme="minorHAnsi"/>
                <w:i/>
                <w:sz w:val="13"/>
                <w:szCs w:val="13"/>
              </w:rPr>
              <w:t>Private Education</w:t>
            </w:r>
            <w:r w:rsidRPr="00D41D97">
              <w:rPr>
                <w:rFonts w:ascii="Century Gothic" w:hAnsi="Century Gothic" w:cstheme="minorHAnsi"/>
                <w:sz w:val="13"/>
                <w:szCs w:val="13"/>
              </w:rPr>
              <w:t xml:space="preserve">. Retrieved from: </w:t>
            </w:r>
            <w:hyperlink r:id="rId78" w:history="1">
              <w:r w:rsidRPr="00D41D97">
                <w:rPr>
                  <w:rStyle w:val="Hyperlink"/>
                  <w:rFonts w:ascii="Century Gothic" w:hAnsi="Century Gothic" w:cstheme="minorHAnsi"/>
                  <w:sz w:val="13"/>
                  <w:szCs w:val="13"/>
                </w:rPr>
                <w:t>https://www.moe.gov.sg/education/private-education</w:t>
              </w:r>
            </w:hyperlink>
            <w:r w:rsidRPr="00D41D97">
              <w:rPr>
                <w:rFonts w:ascii="Century Gothic" w:hAnsi="Century Gothic" w:cstheme="minorHAnsi"/>
                <w:sz w:val="13"/>
                <w:szCs w:val="13"/>
              </w:rPr>
              <w:t xml:space="preserve">. </w:t>
            </w:r>
          </w:p>
        </w:tc>
        <w:tc>
          <w:tcPr>
            <w:tcW w:w="7661" w:type="dxa"/>
            <w:vAlign w:val="top"/>
          </w:tcPr>
          <w:p w14:paraId="1AF37CF8" w14:textId="77777777"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Universities:</w:t>
            </w:r>
            <w:r w:rsidRPr="00730C0D">
              <w:rPr>
                <w:rFonts w:ascii="Century Gothic" w:hAnsi="Century Gothic" w:cstheme="minorHAnsi"/>
                <w:sz w:val="20"/>
                <w:szCs w:val="20"/>
              </w:rPr>
              <w:t xml:space="preserve"> autonomous, comprehensive, publicly-funded organisations that conduct research and offer undergraduate and postgraduate qualifications.</w:t>
            </w:r>
          </w:p>
          <w:p w14:paraId="0A0DF6D6" w14:textId="77777777" w:rsidR="00FE78DE" w:rsidRPr="00730C0D" w:rsidRDefault="00FE78DE" w:rsidP="00FE78DE">
            <w:pPr>
              <w:pStyle w:val="NoSpacing"/>
              <w:spacing w:line="259" w:lineRule="auto"/>
              <w:rPr>
                <w:rFonts w:ascii="Century Gothic" w:hAnsi="Century Gothic" w:cstheme="minorHAnsi"/>
                <w:sz w:val="20"/>
                <w:szCs w:val="20"/>
              </w:rPr>
            </w:pPr>
          </w:p>
          <w:p w14:paraId="54C320D2" w14:textId="5F673DBD"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Arts Institutions:</w:t>
            </w:r>
            <w:r w:rsidRPr="00730C0D">
              <w:rPr>
                <w:rFonts w:ascii="Century Gothic" w:hAnsi="Century Gothic" w:cstheme="minorHAnsi"/>
                <w:sz w:val="20"/>
                <w:szCs w:val="20"/>
              </w:rPr>
              <w:t xml:space="preserve"> specialised creative arts institutions that offer p</w:t>
            </w:r>
            <w:r w:rsidR="002A2D7C">
              <w:rPr>
                <w:rFonts w:ascii="Century Gothic" w:hAnsi="Century Gothic" w:cstheme="minorHAnsi"/>
                <w:sz w:val="20"/>
                <w:szCs w:val="20"/>
              </w:rPr>
              <w:t>ublicly-funded diploma program</w:t>
            </w:r>
            <w:r w:rsidRPr="00730C0D">
              <w:rPr>
                <w:rFonts w:ascii="Century Gothic" w:hAnsi="Century Gothic" w:cstheme="minorHAnsi"/>
                <w:sz w:val="20"/>
                <w:szCs w:val="20"/>
              </w:rPr>
              <w:t>s and receive government fun</w:t>
            </w:r>
            <w:r w:rsidR="002A2D7C">
              <w:rPr>
                <w:rFonts w:ascii="Century Gothic" w:hAnsi="Century Gothic" w:cstheme="minorHAnsi"/>
                <w:sz w:val="20"/>
                <w:szCs w:val="20"/>
              </w:rPr>
              <w:t>ding for select degree program</w:t>
            </w:r>
            <w:r w:rsidRPr="00730C0D">
              <w:rPr>
                <w:rFonts w:ascii="Century Gothic" w:hAnsi="Century Gothic" w:cstheme="minorHAnsi"/>
                <w:sz w:val="20"/>
                <w:szCs w:val="20"/>
              </w:rPr>
              <w:t>s.</w:t>
            </w:r>
          </w:p>
          <w:p w14:paraId="5CCEF127" w14:textId="77777777" w:rsidR="00FE78DE" w:rsidRPr="00730C0D" w:rsidRDefault="00FE78DE" w:rsidP="00FE78DE">
            <w:pPr>
              <w:pStyle w:val="NoSpacing"/>
              <w:spacing w:line="259" w:lineRule="auto"/>
              <w:rPr>
                <w:rFonts w:ascii="Century Gothic" w:hAnsi="Century Gothic" w:cstheme="minorHAnsi"/>
                <w:sz w:val="20"/>
                <w:szCs w:val="20"/>
              </w:rPr>
            </w:pPr>
          </w:p>
          <w:p w14:paraId="0A064F58" w14:textId="0CD3B9FE"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Polytechnics:</w:t>
            </w:r>
            <w:r w:rsidRPr="00730C0D">
              <w:rPr>
                <w:rFonts w:ascii="Century Gothic" w:hAnsi="Century Gothic" w:cstheme="minorHAnsi"/>
                <w:sz w:val="20"/>
                <w:szCs w:val="20"/>
              </w:rPr>
              <w:t xml:space="preserve"> institutions </w:t>
            </w:r>
            <w:r w:rsidR="00F041DB">
              <w:rPr>
                <w:rFonts w:ascii="Century Gothic" w:hAnsi="Century Gothic" w:cstheme="minorHAnsi"/>
                <w:sz w:val="20"/>
                <w:szCs w:val="20"/>
              </w:rPr>
              <w:t>with the mission to train professionals to support the technological and economic development of Singapore</w:t>
            </w:r>
            <w:r w:rsidR="00A43D22">
              <w:rPr>
                <w:rFonts w:ascii="Century Gothic" w:hAnsi="Century Gothic" w:cstheme="minorHAnsi"/>
                <w:sz w:val="20"/>
                <w:szCs w:val="20"/>
              </w:rPr>
              <w:t xml:space="preserve"> and offer</w:t>
            </w:r>
            <w:r w:rsidR="003D241A">
              <w:rPr>
                <w:rFonts w:ascii="Century Gothic" w:hAnsi="Century Gothic" w:cstheme="minorHAnsi"/>
                <w:sz w:val="20"/>
                <w:szCs w:val="20"/>
              </w:rPr>
              <w:t xml:space="preserve"> up to </w:t>
            </w:r>
            <w:r w:rsidRPr="00730C0D">
              <w:rPr>
                <w:rFonts w:ascii="Century Gothic" w:hAnsi="Century Gothic" w:cstheme="minorHAnsi"/>
                <w:sz w:val="20"/>
                <w:szCs w:val="20"/>
              </w:rPr>
              <w:t xml:space="preserve">diploma level qualifications. Students may go on to complete more study at universities. </w:t>
            </w:r>
          </w:p>
          <w:p w14:paraId="2F1EA535" w14:textId="77777777" w:rsidR="00FE78DE" w:rsidRPr="00730C0D" w:rsidRDefault="00FE78DE" w:rsidP="00FE78DE">
            <w:pPr>
              <w:spacing w:before="0" w:after="0" w:line="259" w:lineRule="auto"/>
              <w:rPr>
                <w:rFonts w:ascii="Century Gothic" w:hAnsi="Century Gothic" w:cstheme="minorHAnsi"/>
                <w:sz w:val="20"/>
                <w:szCs w:val="20"/>
              </w:rPr>
            </w:pPr>
          </w:p>
          <w:p w14:paraId="45B4AB9C" w14:textId="0F7575FA"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Institute of Technical Education (ITE) College:</w:t>
            </w:r>
            <w:r w:rsidR="00381C5A">
              <w:rPr>
                <w:rFonts w:ascii="Century Gothic" w:hAnsi="Century Gothic" w:cstheme="minorHAnsi"/>
                <w:sz w:val="20"/>
                <w:szCs w:val="20"/>
              </w:rPr>
              <w:t xml:space="preserve"> </w:t>
            </w:r>
            <w:r w:rsidR="00A43D22">
              <w:rPr>
                <w:rFonts w:ascii="Century Gothic" w:hAnsi="Century Gothic" w:cstheme="minorHAnsi"/>
                <w:sz w:val="20"/>
                <w:szCs w:val="20"/>
              </w:rPr>
              <w:t>institutions that offer</w:t>
            </w:r>
            <w:r w:rsidRPr="00730C0D">
              <w:rPr>
                <w:rFonts w:ascii="Century Gothic" w:hAnsi="Century Gothic" w:cstheme="minorHAnsi"/>
                <w:sz w:val="20"/>
                <w:szCs w:val="20"/>
              </w:rPr>
              <w:t xml:space="preserve"> a range of vocational qualifications and operates as the national authority for the setting of skills standards and the certification of skills in Singapore.</w:t>
            </w:r>
          </w:p>
          <w:p w14:paraId="3F2852D8" w14:textId="77777777" w:rsidR="00FE78DE" w:rsidRPr="00730C0D" w:rsidRDefault="00FE78DE" w:rsidP="00FE78DE">
            <w:pPr>
              <w:pStyle w:val="NoSpacing"/>
              <w:spacing w:line="259" w:lineRule="auto"/>
              <w:rPr>
                <w:rFonts w:ascii="Century Gothic" w:hAnsi="Century Gothic" w:cstheme="minorHAnsi"/>
                <w:sz w:val="20"/>
                <w:szCs w:val="20"/>
              </w:rPr>
            </w:pPr>
          </w:p>
          <w:p w14:paraId="583E37CE" w14:textId="39AB3554" w:rsidR="00FE78DE" w:rsidRPr="004E07AE" w:rsidRDefault="00FE78DE" w:rsidP="004E07AE">
            <w:pPr>
              <w:spacing w:before="0" w:after="0" w:line="259" w:lineRule="auto"/>
              <w:rPr>
                <w:rFonts w:ascii="Century Gothic" w:hAnsi="Century Gothic" w:cstheme="minorHAnsi"/>
                <w:sz w:val="20"/>
                <w:szCs w:val="20"/>
              </w:rPr>
            </w:pPr>
            <w:r w:rsidRPr="00730C0D">
              <w:rPr>
                <w:rFonts w:ascii="Century Gothic" w:hAnsi="Century Gothic" w:cstheme="minorHAnsi"/>
                <w:b/>
                <w:sz w:val="20"/>
                <w:szCs w:val="20"/>
              </w:rPr>
              <w:t xml:space="preserve">Private </w:t>
            </w:r>
            <w:r w:rsidR="00A04FD2">
              <w:rPr>
                <w:rFonts w:ascii="Century Gothic" w:hAnsi="Century Gothic" w:cstheme="minorHAnsi"/>
                <w:b/>
                <w:sz w:val="20"/>
                <w:szCs w:val="20"/>
              </w:rPr>
              <w:t xml:space="preserve">Education </w:t>
            </w:r>
            <w:r w:rsidRPr="00730C0D">
              <w:rPr>
                <w:rFonts w:ascii="Century Gothic" w:hAnsi="Century Gothic" w:cstheme="minorHAnsi"/>
                <w:b/>
                <w:sz w:val="20"/>
                <w:szCs w:val="20"/>
              </w:rPr>
              <w:t>Institutions (PEIs):</w:t>
            </w:r>
            <w:r w:rsidR="003D241A">
              <w:rPr>
                <w:rFonts w:ascii="Century Gothic" w:hAnsi="Century Gothic" w:cstheme="minorHAnsi"/>
                <w:sz w:val="20"/>
                <w:szCs w:val="20"/>
              </w:rPr>
              <w:t xml:space="preserve"> p</w:t>
            </w:r>
            <w:r w:rsidRPr="00730C0D">
              <w:rPr>
                <w:rFonts w:ascii="Century Gothic" w:hAnsi="Century Gothic" w:cstheme="minorHAnsi"/>
                <w:sz w:val="20"/>
                <w:szCs w:val="20"/>
              </w:rPr>
              <w:t>rivate providers regulated by the Committee for Private Education. A range of certificates and diplomas are</w:t>
            </w:r>
            <w:r w:rsidR="004E07AE">
              <w:rPr>
                <w:rFonts w:ascii="Century Gothic" w:hAnsi="Century Gothic" w:cstheme="minorHAnsi"/>
                <w:sz w:val="20"/>
                <w:szCs w:val="20"/>
              </w:rPr>
              <w:t xml:space="preserve"> offered at these institutions.</w:t>
            </w:r>
          </w:p>
        </w:tc>
      </w:tr>
      <w:tr w:rsidR="00FE78DE" w:rsidRPr="00730C0D" w14:paraId="1FEBD3FF" w14:textId="77777777" w:rsidTr="00B21D44">
        <w:tc>
          <w:tcPr>
            <w:tcW w:w="10355" w:type="dxa"/>
            <w:gridSpan w:val="2"/>
            <w:shd w:val="clear" w:color="auto" w:fill="DEEAF6" w:themeFill="accent1" w:themeFillTint="33"/>
            <w:vAlign w:val="top"/>
          </w:tcPr>
          <w:p w14:paraId="3A56684B" w14:textId="77777777" w:rsidR="00FE78DE" w:rsidRPr="00730C0D" w:rsidRDefault="00FE78DE" w:rsidP="00FE78DE">
            <w:pPr>
              <w:pStyle w:val="NoSpacing"/>
              <w:spacing w:line="259" w:lineRule="auto"/>
              <w:rPr>
                <w:rFonts w:ascii="Century Gothic" w:hAnsi="Century Gothic" w:cstheme="minorHAnsi"/>
                <w:b/>
                <w:sz w:val="20"/>
                <w:szCs w:val="20"/>
              </w:rPr>
            </w:pPr>
            <w:r w:rsidRPr="00730C0D">
              <w:rPr>
                <w:rFonts w:ascii="Century Gothic" w:hAnsi="Century Gothic" w:cstheme="minorHAnsi"/>
                <w:b/>
                <w:sz w:val="20"/>
                <w:szCs w:val="20"/>
              </w:rPr>
              <w:t>South Korea</w:t>
            </w:r>
          </w:p>
        </w:tc>
      </w:tr>
      <w:tr w:rsidR="00FE78DE" w:rsidRPr="00730C0D" w14:paraId="49C0A964" w14:textId="77777777" w:rsidTr="00B21D44">
        <w:tc>
          <w:tcPr>
            <w:tcW w:w="2694" w:type="dxa"/>
            <w:vAlign w:val="top"/>
          </w:tcPr>
          <w:p w14:paraId="2EC539DC" w14:textId="779FDC86" w:rsidR="004E07AE"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sz w:val="20"/>
                <w:szCs w:val="20"/>
              </w:rPr>
              <w:t xml:space="preserve">Two broad higher education categories </w:t>
            </w:r>
            <w:r w:rsidR="003D241A">
              <w:rPr>
                <w:rFonts w:ascii="Century Gothic" w:hAnsi="Century Gothic" w:cstheme="minorHAnsi"/>
                <w:sz w:val="20"/>
                <w:szCs w:val="20"/>
              </w:rPr>
              <w:t>(</w:t>
            </w:r>
            <w:r w:rsidR="003D241A" w:rsidRPr="00730C0D">
              <w:rPr>
                <w:rFonts w:ascii="Century Gothic" w:hAnsi="Century Gothic" w:cstheme="minorHAnsi"/>
                <w:sz w:val="20"/>
                <w:szCs w:val="20"/>
              </w:rPr>
              <w:t>one university</w:t>
            </w:r>
            <w:r w:rsidR="003D241A">
              <w:rPr>
                <w:rFonts w:ascii="Century Gothic" w:hAnsi="Century Gothic" w:cstheme="minorHAnsi"/>
                <w:sz w:val="20"/>
                <w:szCs w:val="20"/>
              </w:rPr>
              <w:t xml:space="preserve"> and two other higher education providers</w:t>
            </w:r>
            <w:r w:rsidR="003D241A" w:rsidRPr="00730C0D">
              <w:rPr>
                <w:rFonts w:ascii="Century Gothic" w:hAnsi="Century Gothic" w:cstheme="minorHAnsi"/>
                <w:sz w:val="20"/>
                <w:szCs w:val="20"/>
              </w:rPr>
              <w:t xml:space="preserve">) </w:t>
            </w:r>
            <w:r w:rsidRPr="00730C0D">
              <w:rPr>
                <w:rFonts w:ascii="Century Gothic" w:hAnsi="Century Gothic" w:cstheme="minorHAnsi"/>
                <w:sz w:val="20"/>
                <w:szCs w:val="20"/>
              </w:rPr>
              <w:t>under the jurisdiction of the Ministry of Education.</w:t>
            </w:r>
          </w:p>
          <w:p w14:paraId="5E6AC603" w14:textId="77777777" w:rsidR="004E07AE" w:rsidRDefault="004E07AE" w:rsidP="00FE78DE">
            <w:pPr>
              <w:pStyle w:val="NoSpacing"/>
              <w:spacing w:line="259" w:lineRule="auto"/>
              <w:rPr>
                <w:rFonts w:ascii="Century Gothic" w:hAnsi="Century Gothic" w:cstheme="minorHAnsi"/>
                <w:sz w:val="20"/>
                <w:szCs w:val="20"/>
              </w:rPr>
            </w:pPr>
          </w:p>
          <w:p w14:paraId="73258BFD" w14:textId="77777777" w:rsidR="004E07AE" w:rsidRDefault="004E07AE" w:rsidP="00FE78DE">
            <w:pPr>
              <w:pStyle w:val="NoSpacing"/>
              <w:spacing w:line="259" w:lineRule="auto"/>
              <w:rPr>
                <w:rFonts w:ascii="Century Gothic" w:hAnsi="Century Gothic" w:cstheme="minorHAnsi"/>
                <w:sz w:val="20"/>
                <w:szCs w:val="20"/>
              </w:rPr>
            </w:pPr>
          </w:p>
          <w:p w14:paraId="02EBA2EA" w14:textId="77777777" w:rsidR="004E07AE" w:rsidRDefault="004E07AE" w:rsidP="00FE78DE">
            <w:pPr>
              <w:pStyle w:val="NoSpacing"/>
              <w:spacing w:line="259" w:lineRule="auto"/>
              <w:rPr>
                <w:rFonts w:ascii="Century Gothic" w:hAnsi="Century Gothic" w:cstheme="minorHAnsi"/>
                <w:sz w:val="20"/>
                <w:szCs w:val="20"/>
              </w:rPr>
            </w:pPr>
          </w:p>
          <w:p w14:paraId="7849BB39" w14:textId="77777777" w:rsidR="004E07AE" w:rsidRDefault="004E07AE" w:rsidP="00FE78DE">
            <w:pPr>
              <w:pStyle w:val="NoSpacing"/>
              <w:spacing w:line="259" w:lineRule="auto"/>
              <w:rPr>
                <w:rFonts w:ascii="Century Gothic" w:hAnsi="Century Gothic" w:cstheme="minorHAnsi"/>
                <w:sz w:val="20"/>
                <w:szCs w:val="20"/>
              </w:rPr>
            </w:pPr>
          </w:p>
          <w:p w14:paraId="26C3FD6E" w14:textId="77777777" w:rsidR="004E07AE" w:rsidRDefault="004E07AE" w:rsidP="00FE78DE">
            <w:pPr>
              <w:pStyle w:val="NoSpacing"/>
              <w:spacing w:line="259" w:lineRule="auto"/>
              <w:rPr>
                <w:rFonts w:ascii="Century Gothic" w:hAnsi="Century Gothic" w:cstheme="minorHAnsi"/>
                <w:sz w:val="20"/>
                <w:szCs w:val="20"/>
              </w:rPr>
            </w:pPr>
          </w:p>
          <w:p w14:paraId="5302147E" w14:textId="77777777" w:rsidR="004E07AE" w:rsidRDefault="004E07AE" w:rsidP="00FE78DE">
            <w:pPr>
              <w:pStyle w:val="NoSpacing"/>
              <w:spacing w:line="259" w:lineRule="auto"/>
              <w:rPr>
                <w:rFonts w:ascii="Century Gothic" w:hAnsi="Century Gothic" w:cstheme="minorHAnsi"/>
                <w:sz w:val="20"/>
                <w:szCs w:val="20"/>
              </w:rPr>
            </w:pPr>
          </w:p>
          <w:p w14:paraId="41A78AD0" w14:textId="77777777" w:rsidR="004E07AE" w:rsidRDefault="004E07AE" w:rsidP="00FE78DE">
            <w:pPr>
              <w:pStyle w:val="NoSpacing"/>
              <w:spacing w:line="259" w:lineRule="auto"/>
              <w:rPr>
                <w:rFonts w:ascii="Century Gothic" w:hAnsi="Century Gothic" w:cstheme="minorHAnsi"/>
                <w:sz w:val="20"/>
                <w:szCs w:val="20"/>
              </w:rPr>
            </w:pPr>
          </w:p>
          <w:p w14:paraId="7813B523" w14:textId="77777777" w:rsidR="004E07AE" w:rsidRDefault="004E07AE" w:rsidP="00FE78DE">
            <w:pPr>
              <w:pStyle w:val="NoSpacing"/>
              <w:spacing w:line="259" w:lineRule="auto"/>
              <w:rPr>
                <w:rFonts w:ascii="Century Gothic" w:hAnsi="Century Gothic" w:cstheme="minorHAnsi"/>
                <w:sz w:val="20"/>
                <w:szCs w:val="20"/>
              </w:rPr>
            </w:pPr>
          </w:p>
          <w:p w14:paraId="7DC8E2FB" w14:textId="77777777" w:rsidR="004E07AE" w:rsidRDefault="004E07AE" w:rsidP="00FE78DE">
            <w:pPr>
              <w:pStyle w:val="NoSpacing"/>
              <w:spacing w:line="259" w:lineRule="auto"/>
              <w:rPr>
                <w:rFonts w:ascii="Century Gothic" w:hAnsi="Century Gothic" w:cstheme="minorHAnsi"/>
                <w:sz w:val="20"/>
                <w:szCs w:val="20"/>
              </w:rPr>
            </w:pPr>
          </w:p>
          <w:p w14:paraId="1A007CFE" w14:textId="77777777" w:rsidR="004E07AE" w:rsidRDefault="004E07AE" w:rsidP="00FE78DE">
            <w:pPr>
              <w:pStyle w:val="NoSpacing"/>
              <w:spacing w:line="259" w:lineRule="auto"/>
              <w:rPr>
                <w:rFonts w:ascii="Century Gothic" w:hAnsi="Century Gothic" w:cstheme="minorHAnsi"/>
                <w:sz w:val="20"/>
                <w:szCs w:val="20"/>
              </w:rPr>
            </w:pPr>
          </w:p>
          <w:p w14:paraId="34D301E1" w14:textId="77777777" w:rsidR="004E07AE" w:rsidRDefault="004E07AE" w:rsidP="00FE78DE">
            <w:pPr>
              <w:pStyle w:val="NoSpacing"/>
              <w:spacing w:line="259" w:lineRule="auto"/>
              <w:rPr>
                <w:rFonts w:ascii="Century Gothic" w:hAnsi="Century Gothic" w:cstheme="minorHAnsi"/>
                <w:sz w:val="20"/>
                <w:szCs w:val="20"/>
              </w:rPr>
            </w:pPr>
          </w:p>
          <w:p w14:paraId="58C8A455" w14:textId="77777777" w:rsidR="004E07AE" w:rsidRDefault="004E07AE" w:rsidP="00FE78DE">
            <w:pPr>
              <w:pStyle w:val="NoSpacing"/>
              <w:spacing w:line="259" w:lineRule="auto"/>
              <w:rPr>
                <w:rFonts w:ascii="Century Gothic" w:hAnsi="Century Gothic" w:cstheme="minorHAnsi"/>
                <w:sz w:val="20"/>
                <w:szCs w:val="20"/>
              </w:rPr>
            </w:pPr>
          </w:p>
          <w:p w14:paraId="668C0E05" w14:textId="3E86408B" w:rsidR="004E07AE" w:rsidRDefault="004E07AE" w:rsidP="00FE78DE">
            <w:pPr>
              <w:pStyle w:val="NoSpacing"/>
              <w:spacing w:line="259" w:lineRule="auto"/>
              <w:rPr>
                <w:rFonts w:ascii="Century Gothic" w:hAnsi="Century Gothic" w:cstheme="minorHAnsi"/>
                <w:sz w:val="20"/>
                <w:szCs w:val="20"/>
              </w:rPr>
            </w:pPr>
          </w:p>
          <w:p w14:paraId="3F66F54E" w14:textId="14219D52" w:rsidR="004E07AE" w:rsidRDefault="004E07AE" w:rsidP="00FE78DE">
            <w:pPr>
              <w:pStyle w:val="NoSpacing"/>
              <w:spacing w:line="259" w:lineRule="auto"/>
              <w:rPr>
                <w:rFonts w:ascii="Century Gothic" w:hAnsi="Century Gothic" w:cstheme="minorHAnsi"/>
                <w:sz w:val="20"/>
                <w:szCs w:val="20"/>
              </w:rPr>
            </w:pPr>
          </w:p>
          <w:p w14:paraId="689D2103" w14:textId="0AB858F0" w:rsidR="004E07AE" w:rsidRDefault="004E07AE" w:rsidP="00FE78DE">
            <w:pPr>
              <w:pStyle w:val="NoSpacing"/>
              <w:spacing w:line="259" w:lineRule="auto"/>
              <w:rPr>
                <w:rFonts w:ascii="Century Gothic" w:hAnsi="Century Gothic" w:cstheme="minorHAnsi"/>
                <w:sz w:val="20"/>
                <w:szCs w:val="20"/>
              </w:rPr>
            </w:pPr>
          </w:p>
          <w:p w14:paraId="407E7E7D" w14:textId="43DA8917" w:rsidR="004E07AE" w:rsidRDefault="004E07AE" w:rsidP="00FE78DE">
            <w:pPr>
              <w:pStyle w:val="NoSpacing"/>
              <w:spacing w:line="259" w:lineRule="auto"/>
              <w:rPr>
                <w:rFonts w:ascii="Century Gothic" w:hAnsi="Century Gothic" w:cstheme="minorHAnsi"/>
                <w:sz w:val="20"/>
                <w:szCs w:val="20"/>
              </w:rPr>
            </w:pPr>
          </w:p>
          <w:p w14:paraId="31C9FEC3" w14:textId="013AB5EA" w:rsidR="004E07AE" w:rsidRDefault="004E07AE" w:rsidP="00FE78DE">
            <w:pPr>
              <w:pStyle w:val="NoSpacing"/>
              <w:spacing w:line="259" w:lineRule="auto"/>
              <w:rPr>
                <w:rFonts w:ascii="Century Gothic" w:hAnsi="Century Gothic" w:cstheme="minorHAnsi"/>
                <w:sz w:val="20"/>
                <w:szCs w:val="20"/>
              </w:rPr>
            </w:pPr>
          </w:p>
          <w:p w14:paraId="0C9BF6FE" w14:textId="7E6CE4CA" w:rsidR="00B21D44" w:rsidRDefault="00B21D44" w:rsidP="00FE78DE">
            <w:pPr>
              <w:pStyle w:val="NoSpacing"/>
              <w:spacing w:line="259" w:lineRule="auto"/>
              <w:rPr>
                <w:rFonts w:ascii="Century Gothic" w:hAnsi="Century Gothic" w:cstheme="minorHAnsi"/>
                <w:sz w:val="20"/>
                <w:szCs w:val="20"/>
              </w:rPr>
            </w:pPr>
          </w:p>
          <w:p w14:paraId="1CE3C0C6" w14:textId="77777777" w:rsidR="004E07AE" w:rsidRPr="00D41D97" w:rsidRDefault="004E07AE" w:rsidP="004E07AE">
            <w:pPr>
              <w:pStyle w:val="NoSpacing"/>
              <w:spacing w:line="259" w:lineRule="auto"/>
              <w:rPr>
                <w:rFonts w:ascii="Century Gothic" w:hAnsi="Century Gothic" w:cstheme="minorHAnsi"/>
                <w:sz w:val="13"/>
                <w:szCs w:val="13"/>
              </w:rPr>
            </w:pPr>
            <w:r w:rsidRPr="00D41D97">
              <w:rPr>
                <w:rFonts w:ascii="Century Gothic" w:hAnsi="Century Gothic" w:cstheme="minorHAnsi"/>
                <w:sz w:val="13"/>
                <w:szCs w:val="13"/>
              </w:rPr>
              <w:t xml:space="preserve">Source: Department of Education, Korean Educational Development Institute. (2018). </w:t>
            </w:r>
            <w:r w:rsidRPr="00D41D97">
              <w:rPr>
                <w:rFonts w:ascii="Century Gothic" w:hAnsi="Century Gothic" w:cstheme="minorHAnsi"/>
                <w:i/>
                <w:sz w:val="13"/>
                <w:szCs w:val="13"/>
              </w:rPr>
              <w:t>Statistical Yearbook of Education</w:t>
            </w:r>
            <w:r w:rsidRPr="00D41D97">
              <w:rPr>
                <w:rFonts w:ascii="Century Gothic" w:hAnsi="Century Gothic" w:cstheme="minorHAnsi"/>
                <w:sz w:val="13"/>
                <w:szCs w:val="13"/>
              </w:rPr>
              <w:t xml:space="preserve">. Korean Educational Statistics Service. Retrieved from: </w:t>
            </w:r>
            <w:hyperlink r:id="rId79" w:history="1">
              <w:r w:rsidRPr="00D41D97">
                <w:rPr>
                  <w:rStyle w:val="Hyperlink"/>
                  <w:rFonts w:ascii="Century Gothic" w:hAnsi="Century Gothic" w:cstheme="minorHAnsi"/>
                  <w:sz w:val="13"/>
                  <w:szCs w:val="13"/>
                </w:rPr>
                <w:t>http://kess.kedi.re.kr/eng/index</w:t>
              </w:r>
            </w:hyperlink>
            <w:r w:rsidRPr="00D41D97">
              <w:rPr>
                <w:rFonts w:ascii="Century Gothic" w:hAnsi="Century Gothic" w:cstheme="minorHAnsi"/>
                <w:sz w:val="13"/>
                <w:szCs w:val="13"/>
              </w:rPr>
              <w:t xml:space="preserve">. </w:t>
            </w:r>
          </w:p>
          <w:p w14:paraId="3530B3CE" w14:textId="1A771C79"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sz w:val="20"/>
                <w:szCs w:val="20"/>
              </w:rPr>
              <w:t xml:space="preserve"> </w:t>
            </w:r>
          </w:p>
        </w:tc>
        <w:tc>
          <w:tcPr>
            <w:tcW w:w="7661" w:type="dxa"/>
            <w:vAlign w:val="top"/>
          </w:tcPr>
          <w:p w14:paraId="286EBB55" w14:textId="6B1456A0"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 xml:space="preserve">Universities: </w:t>
            </w:r>
            <w:r w:rsidRPr="00730C0D">
              <w:rPr>
                <w:rFonts w:ascii="Century Gothic" w:hAnsi="Century Gothic" w:cstheme="minorHAnsi"/>
                <w:sz w:val="20"/>
                <w:szCs w:val="20"/>
              </w:rPr>
              <w:t>generally priv</w:t>
            </w:r>
            <w:r w:rsidR="00B21D44">
              <w:rPr>
                <w:rFonts w:ascii="Century Gothic" w:hAnsi="Century Gothic" w:cstheme="minorHAnsi"/>
                <w:sz w:val="20"/>
                <w:szCs w:val="20"/>
              </w:rPr>
              <w:t xml:space="preserve">ate, comprehensive, autonomous </w:t>
            </w:r>
            <w:r w:rsidRPr="00730C0D">
              <w:rPr>
                <w:rFonts w:ascii="Century Gothic" w:hAnsi="Century Gothic" w:cstheme="minorHAnsi"/>
                <w:sz w:val="20"/>
                <w:szCs w:val="20"/>
              </w:rPr>
              <w:t>institutions</w:t>
            </w:r>
            <w:r w:rsidR="00610E8A">
              <w:rPr>
                <w:rFonts w:ascii="Century Gothic" w:hAnsi="Century Gothic" w:cstheme="minorHAnsi"/>
                <w:sz w:val="20"/>
                <w:szCs w:val="20"/>
              </w:rPr>
              <w:t xml:space="preserve"> that offer</w:t>
            </w:r>
            <w:r w:rsidRPr="00730C0D">
              <w:rPr>
                <w:rFonts w:ascii="Century Gothic" w:hAnsi="Century Gothic" w:cstheme="minorHAnsi"/>
                <w:sz w:val="20"/>
                <w:szCs w:val="20"/>
              </w:rPr>
              <w:t xml:space="preserve"> undergraduate and postgraduate qualifications across at least three colleges (includin</w:t>
            </w:r>
            <w:r w:rsidR="00B21D44">
              <w:rPr>
                <w:rFonts w:ascii="Century Gothic" w:hAnsi="Century Gothic" w:cstheme="minorHAnsi"/>
                <w:sz w:val="20"/>
                <w:szCs w:val="20"/>
              </w:rPr>
              <w:t xml:space="preserve">g at least one graduate school). They </w:t>
            </w:r>
            <w:r w:rsidRPr="00730C0D">
              <w:rPr>
                <w:rFonts w:ascii="Century Gothic" w:hAnsi="Century Gothic" w:cstheme="minorHAnsi"/>
                <w:sz w:val="20"/>
                <w:szCs w:val="20"/>
              </w:rPr>
              <w:t xml:space="preserve">conduct research in various domains of knowledge. Students study for at least four years. Other types of university-level education </w:t>
            </w:r>
            <w:r w:rsidR="004E07AE">
              <w:rPr>
                <w:rFonts w:ascii="Century Gothic" w:hAnsi="Century Gothic" w:cstheme="minorHAnsi"/>
                <w:sz w:val="20"/>
                <w:szCs w:val="20"/>
              </w:rPr>
              <w:t xml:space="preserve">can </w:t>
            </w:r>
            <w:r w:rsidRPr="00730C0D">
              <w:rPr>
                <w:rFonts w:ascii="Century Gothic" w:hAnsi="Century Gothic" w:cstheme="minorHAnsi"/>
                <w:sz w:val="20"/>
                <w:szCs w:val="20"/>
              </w:rPr>
              <w:t xml:space="preserve">include: </w:t>
            </w:r>
          </w:p>
          <w:p w14:paraId="3B156905" w14:textId="77777777" w:rsidR="00FE78DE" w:rsidRPr="00730C0D" w:rsidRDefault="00FE78DE" w:rsidP="004E07AE">
            <w:pPr>
              <w:pStyle w:val="ListParagraph"/>
              <w:numPr>
                <w:ilvl w:val="0"/>
                <w:numId w:val="63"/>
              </w:numPr>
              <w:spacing w:before="0" w:after="0"/>
              <w:ind w:left="425" w:hanging="283"/>
              <w:rPr>
                <w:rFonts w:ascii="Century Gothic" w:hAnsi="Century Gothic" w:cstheme="minorHAnsi"/>
                <w:sz w:val="20"/>
                <w:szCs w:val="20"/>
              </w:rPr>
            </w:pPr>
            <w:r w:rsidRPr="00730C0D">
              <w:rPr>
                <w:rFonts w:ascii="Century Gothic" w:hAnsi="Century Gothic" w:cstheme="minorHAnsi"/>
                <w:i/>
                <w:sz w:val="20"/>
                <w:szCs w:val="20"/>
              </w:rPr>
              <w:t>University of Education</w:t>
            </w:r>
            <w:r w:rsidRPr="00730C0D">
              <w:rPr>
                <w:rFonts w:ascii="Century Gothic" w:hAnsi="Century Gothic" w:cstheme="minorHAnsi"/>
                <w:sz w:val="20"/>
                <w:szCs w:val="20"/>
              </w:rPr>
              <w:t xml:space="preserve"> – universities solely dedicated to producing primary school teachers;</w:t>
            </w:r>
          </w:p>
          <w:p w14:paraId="7E62F637" w14:textId="31FD5074" w:rsidR="00FE78DE" w:rsidRPr="00730C0D" w:rsidRDefault="004E07AE" w:rsidP="004E07AE">
            <w:pPr>
              <w:pStyle w:val="ListParagraph"/>
              <w:numPr>
                <w:ilvl w:val="0"/>
                <w:numId w:val="63"/>
              </w:numPr>
              <w:spacing w:before="0" w:after="0"/>
              <w:ind w:left="425" w:hanging="283"/>
              <w:rPr>
                <w:rFonts w:ascii="Century Gothic" w:hAnsi="Century Gothic" w:cstheme="minorHAnsi"/>
                <w:sz w:val="20"/>
                <w:szCs w:val="20"/>
              </w:rPr>
            </w:pPr>
            <w:r>
              <w:rPr>
                <w:rFonts w:ascii="Century Gothic" w:hAnsi="Century Gothic" w:cstheme="minorHAnsi"/>
                <w:i/>
                <w:sz w:val="20"/>
                <w:szCs w:val="20"/>
              </w:rPr>
              <w:t>Distance/</w:t>
            </w:r>
            <w:r w:rsidR="00FE78DE" w:rsidRPr="00730C0D">
              <w:rPr>
                <w:rFonts w:ascii="Century Gothic" w:hAnsi="Century Gothic" w:cstheme="minorHAnsi"/>
                <w:i/>
                <w:sz w:val="20"/>
                <w:szCs w:val="20"/>
              </w:rPr>
              <w:t>Cyber University</w:t>
            </w:r>
            <w:r w:rsidR="00FE78DE" w:rsidRPr="00730C0D">
              <w:rPr>
                <w:rFonts w:ascii="Century Gothic" w:hAnsi="Century Gothic" w:cstheme="minorHAnsi"/>
                <w:sz w:val="20"/>
                <w:szCs w:val="20"/>
              </w:rPr>
              <w:t xml:space="preserve"> – private universities </w:t>
            </w:r>
            <w:r w:rsidR="00B21D44">
              <w:rPr>
                <w:rFonts w:ascii="Century Gothic" w:hAnsi="Century Gothic" w:cstheme="minorHAnsi"/>
                <w:sz w:val="20"/>
                <w:szCs w:val="20"/>
              </w:rPr>
              <w:t>providing</w:t>
            </w:r>
            <w:r w:rsidR="00FE78DE" w:rsidRPr="00730C0D">
              <w:rPr>
                <w:rFonts w:ascii="Century Gothic" w:hAnsi="Century Gothic" w:cstheme="minorHAnsi"/>
                <w:sz w:val="20"/>
                <w:szCs w:val="20"/>
              </w:rPr>
              <w:t xml:space="preserve"> online courses; </w:t>
            </w:r>
          </w:p>
          <w:p w14:paraId="358C9A89" w14:textId="77777777" w:rsidR="00FE78DE" w:rsidRPr="00730C0D" w:rsidRDefault="00FE78DE" w:rsidP="004E07AE">
            <w:pPr>
              <w:pStyle w:val="ListParagraph"/>
              <w:numPr>
                <w:ilvl w:val="0"/>
                <w:numId w:val="63"/>
              </w:numPr>
              <w:spacing w:before="0" w:after="0"/>
              <w:ind w:left="425" w:hanging="283"/>
              <w:rPr>
                <w:rFonts w:ascii="Century Gothic" w:hAnsi="Century Gothic" w:cstheme="minorHAnsi"/>
                <w:sz w:val="20"/>
                <w:szCs w:val="20"/>
              </w:rPr>
            </w:pPr>
            <w:r w:rsidRPr="00730C0D">
              <w:rPr>
                <w:rFonts w:ascii="Century Gothic" w:hAnsi="Century Gothic" w:cstheme="minorHAnsi"/>
                <w:i/>
                <w:sz w:val="20"/>
                <w:szCs w:val="20"/>
              </w:rPr>
              <w:t>Industrial University</w:t>
            </w:r>
            <w:r w:rsidRPr="00730C0D">
              <w:rPr>
                <w:rFonts w:ascii="Century Gothic" w:hAnsi="Century Gothic" w:cstheme="minorHAnsi"/>
                <w:sz w:val="20"/>
                <w:szCs w:val="20"/>
              </w:rPr>
              <w:t xml:space="preserve"> – universities with a focus on practical learning (initially started out as open universities); or </w:t>
            </w:r>
          </w:p>
          <w:p w14:paraId="6E114BAA" w14:textId="78299840" w:rsidR="00FE78DE" w:rsidRPr="00730C0D" w:rsidRDefault="00FE78DE" w:rsidP="004E07AE">
            <w:pPr>
              <w:pStyle w:val="ListParagraph"/>
              <w:numPr>
                <w:ilvl w:val="0"/>
                <w:numId w:val="63"/>
              </w:numPr>
              <w:spacing w:before="0" w:after="0"/>
              <w:ind w:left="425" w:hanging="283"/>
              <w:rPr>
                <w:rFonts w:ascii="Century Gothic" w:hAnsi="Century Gothic" w:cstheme="minorHAnsi"/>
                <w:sz w:val="20"/>
                <w:szCs w:val="20"/>
              </w:rPr>
            </w:pPr>
            <w:r w:rsidRPr="00730C0D">
              <w:rPr>
                <w:rFonts w:ascii="Century Gothic" w:hAnsi="Century Gothic" w:cstheme="minorHAnsi"/>
                <w:i/>
                <w:sz w:val="20"/>
                <w:szCs w:val="20"/>
              </w:rPr>
              <w:t>Miscellaneous Schools</w:t>
            </w:r>
            <w:r w:rsidRPr="00730C0D">
              <w:rPr>
                <w:rFonts w:ascii="Century Gothic" w:hAnsi="Century Gothic" w:cstheme="minorHAnsi"/>
                <w:sz w:val="20"/>
                <w:szCs w:val="20"/>
              </w:rPr>
              <w:t xml:space="preserve"> – include universities established under a special </w:t>
            </w:r>
            <w:r w:rsidR="00C236E4">
              <w:rPr>
                <w:rFonts w:ascii="Century Gothic" w:hAnsi="Century Gothic" w:cstheme="minorHAnsi"/>
                <w:sz w:val="20"/>
                <w:szCs w:val="20"/>
              </w:rPr>
              <w:t>A</w:t>
            </w:r>
            <w:r w:rsidRPr="00730C0D">
              <w:rPr>
                <w:rFonts w:ascii="Century Gothic" w:hAnsi="Century Gothic" w:cstheme="minorHAnsi"/>
                <w:sz w:val="20"/>
                <w:szCs w:val="20"/>
              </w:rPr>
              <w:t xml:space="preserve">ct, such as the Korean National University of Arts. </w:t>
            </w:r>
          </w:p>
          <w:p w14:paraId="2890A70E" w14:textId="77777777" w:rsidR="00FE78DE" w:rsidRPr="00730C0D" w:rsidRDefault="00FE78DE" w:rsidP="00FE78DE">
            <w:pPr>
              <w:pStyle w:val="NoSpacing"/>
              <w:spacing w:line="259" w:lineRule="auto"/>
              <w:rPr>
                <w:rFonts w:ascii="Century Gothic" w:hAnsi="Century Gothic" w:cstheme="minorHAnsi"/>
                <w:b/>
                <w:sz w:val="20"/>
                <w:szCs w:val="20"/>
              </w:rPr>
            </w:pPr>
            <w:r w:rsidRPr="00730C0D" w:rsidDel="00870BE0">
              <w:rPr>
                <w:rFonts w:ascii="Century Gothic" w:hAnsi="Century Gothic" w:cstheme="minorHAnsi"/>
                <w:sz w:val="20"/>
                <w:szCs w:val="20"/>
                <w:lang w:val="en-AU"/>
              </w:rPr>
              <w:t xml:space="preserve"> </w:t>
            </w:r>
          </w:p>
          <w:p w14:paraId="506585F2" w14:textId="579C082A" w:rsidR="00FE78DE" w:rsidRPr="00730C0D"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 xml:space="preserve">Junior Colleges: </w:t>
            </w:r>
            <w:r w:rsidRPr="00730C0D">
              <w:rPr>
                <w:rFonts w:ascii="Century Gothic" w:hAnsi="Century Gothic" w:cstheme="minorHAnsi"/>
                <w:sz w:val="20"/>
                <w:szCs w:val="20"/>
              </w:rPr>
              <w:t>institution</w:t>
            </w:r>
            <w:r w:rsidR="00B21D44">
              <w:rPr>
                <w:rFonts w:ascii="Century Gothic" w:hAnsi="Century Gothic" w:cstheme="minorHAnsi"/>
                <w:sz w:val="20"/>
                <w:szCs w:val="20"/>
              </w:rPr>
              <w:t>s offering two</w:t>
            </w:r>
            <w:r w:rsidRPr="00730C0D">
              <w:rPr>
                <w:rFonts w:ascii="Century Gothic" w:hAnsi="Century Gothic" w:cstheme="minorHAnsi"/>
                <w:sz w:val="20"/>
                <w:szCs w:val="20"/>
              </w:rPr>
              <w:t xml:space="preserve"> or </w:t>
            </w:r>
            <w:r w:rsidR="00B21D44">
              <w:rPr>
                <w:rFonts w:ascii="Century Gothic" w:hAnsi="Century Gothic" w:cstheme="minorHAnsi"/>
                <w:sz w:val="20"/>
                <w:szCs w:val="20"/>
              </w:rPr>
              <w:t>three</w:t>
            </w:r>
            <w:r w:rsidRPr="00730C0D">
              <w:rPr>
                <w:rFonts w:ascii="Century Gothic" w:hAnsi="Century Gothic" w:cstheme="minorHAnsi"/>
                <w:sz w:val="20"/>
                <w:szCs w:val="20"/>
              </w:rPr>
              <w:t>-year courses leading to Associate degrees and, where accredited, Bachelor degrees. They focus on professional knowledge and theory abou</w:t>
            </w:r>
            <w:r w:rsidR="00B21D44">
              <w:rPr>
                <w:rFonts w:ascii="Century Gothic" w:hAnsi="Century Gothic" w:cstheme="minorHAnsi"/>
                <w:sz w:val="20"/>
                <w:szCs w:val="20"/>
              </w:rPr>
              <w:t>t distinctive fields of society</w:t>
            </w:r>
            <w:r w:rsidRPr="00730C0D">
              <w:rPr>
                <w:rFonts w:ascii="Century Gothic" w:hAnsi="Century Gothic" w:cstheme="minorHAnsi"/>
                <w:sz w:val="20"/>
                <w:szCs w:val="20"/>
              </w:rPr>
              <w:t xml:space="preserve">. Other types of college-level education include: </w:t>
            </w:r>
          </w:p>
          <w:p w14:paraId="61D08827" w14:textId="64A109A0" w:rsidR="00FE78DE" w:rsidRPr="00730C0D" w:rsidRDefault="00FE78DE" w:rsidP="004E07AE">
            <w:pPr>
              <w:pStyle w:val="ListParagraph"/>
              <w:numPr>
                <w:ilvl w:val="0"/>
                <w:numId w:val="63"/>
              </w:numPr>
              <w:spacing w:before="0" w:after="0"/>
              <w:ind w:left="425" w:hanging="283"/>
              <w:rPr>
                <w:rFonts w:ascii="Century Gothic" w:hAnsi="Century Gothic" w:cstheme="minorHAnsi"/>
                <w:sz w:val="20"/>
                <w:szCs w:val="20"/>
              </w:rPr>
            </w:pPr>
            <w:r w:rsidRPr="00730C0D">
              <w:rPr>
                <w:rFonts w:ascii="Century Gothic" w:hAnsi="Century Gothic" w:cstheme="minorHAnsi"/>
                <w:i/>
                <w:sz w:val="20"/>
                <w:szCs w:val="20"/>
              </w:rPr>
              <w:t>Technical Colleges</w:t>
            </w:r>
            <w:r w:rsidRPr="00730C0D">
              <w:rPr>
                <w:rFonts w:ascii="Century Gothic" w:hAnsi="Century Gothic" w:cstheme="minorHAnsi"/>
                <w:sz w:val="20"/>
                <w:szCs w:val="20"/>
              </w:rPr>
              <w:t xml:space="preserve"> – offer Associate degrees and undergraduate level programs to enhance applicati</w:t>
            </w:r>
            <w:r w:rsidR="00610E8A">
              <w:rPr>
                <w:rFonts w:ascii="Century Gothic" w:hAnsi="Century Gothic" w:cstheme="minorHAnsi"/>
                <w:sz w:val="20"/>
                <w:szCs w:val="20"/>
              </w:rPr>
              <w:t>on of theory and practice in</w:t>
            </w:r>
            <w:r w:rsidRPr="00730C0D">
              <w:rPr>
                <w:rFonts w:ascii="Century Gothic" w:hAnsi="Century Gothic" w:cstheme="minorHAnsi"/>
                <w:sz w:val="20"/>
                <w:szCs w:val="20"/>
              </w:rPr>
              <w:t xml:space="preserve"> industry</w:t>
            </w:r>
            <w:r w:rsidR="00A80E55">
              <w:rPr>
                <w:rFonts w:ascii="Century Gothic" w:hAnsi="Century Gothic" w:cstheme="minorHAnsi"/>
                <w:sz w:val="20"/>
                <w:szCs w:val="20"/>
              </w:rPr>
              <w:t xml:space="preserve"> (currently</w:t>
            </w:r>
            <w:r w:rsidRPr="00730C0D">
              <w:rPr>
                <w:rFonts w:ascii="Century Gothic" w:hAnsi="Century Gothic" w:cstheme="minorHAnsi"/>
                <w:sz w:val="20"/>
                <w:szCs w:val="20"/>
              </w:rPr>
              <w:t xml:space="preserve"> only one technical college is established</w:t>
            </w:r>
            <w:r w:rsidR="00A80E55">
              <w:rPr>
                <w:rFonts w:ascii="Century Gothic" w:hAnsi="Century Gothic" w:cstheme="minorHAnsi"/>
                <w:sz w:val="20"/>
                <w:szCs w:val="20"/>
              </w:rPr>
              <w:t>)</w:t>
            </w:r>
            <w:r w:rsidRPr="00730C0D">
              <w:rPr>
                <w:rFonts w:ascii="Century Gothic" w:hAnsi="Century Gothic" w:cstheme="minorHAnsi"/>
                <w:sz w:val="20"/>
                <w:szCs w:val="20"/>
              </w:rPr>
              <w:t>;</w:t>
            </w:r>
          </w:p>
          <w:p w14:paraId="48E7621B" w14:textId="77777777" w:rsidR="00FE78DE" w:rsidRPr="00730C0D" w:rsidRDefault="00FE78DE" w:rsidP="004E07AE">
            <w:pPr>
              <w:pStyle w:val="ListParagraph"/>
              <w:numPr>
                <w:ilvl w:val="0"/>
                <w:numId w:val="63"/>
              </w:numPr>
              <w:spacing w:before="0" w:after="0"/>
              <w:ind w:left="425" w:hanging="283"/>
              <w:rPr>
                <w:rFonts w:ascii="Century Gothic" w:hAnsi="Century Gothic" w:cstheme="minorHAnsi"/>
                <w:sz w:val="20"/>
                <w:szCs w:val="20"/>
              </w:rPr>
            </w:pPr>
            <w:r w:rsidRPr="00730C0D">
              <w:rPr>
                <w:rFonts w:ascii="Century Gothic" w:hAnsi="Century Gothic" w:cstheme="minorHAnsi"/>
                <w:i/>
                <w:sz w:val="20"/>
                <w:szCs w:val="20"/>
              </w:rPr>
              <w:t>Colleges in the Company</w:t>
            </w:r>
            <w:r w:rsidRPr="00730C0D">
              <w:rPr>
                <w:rFonts w:ascii="Century Gothic" w:hAnsi="Century Gothic" w:cstheme="minorHAnsi"/>
                <w:sz w:val="20"/>
                <w:szCs w:val="20"/>
              </w:rPr>
              <w:t xml:space="preserve"> – established by companies, and offer Associate degree and undergraduate level programs for staff; or  </w:t>
            </w:r>
          </w:p>
          <w:p w14:paraId="6FAB936D" w14:textId="016741C4" w:rsidR="00FE78DE" w:rsidRDefault="00FE78DE" w:rsidP="004E07AE">
            <w:pPr>
              <w:pStyle w:val="ListParagraph"/>
              <w:numPr>
                <w:ilvl w:val="0"/>
                <w:numId w:val="63"/>
              </w:numPr>
              <w:spacing w:before="0" w:after="0"/>
              <w:ind w:left="425" w:hanging="283"/>
              <w:rPr>
                <w:rFonts w:ascii="Century Gothic" w:hAnsi="Century Gothic" w:cstheme="minorHAnsi"/>
                <w:sz w:val="20"/>
                <w:szCs w:val="20"/>
              </w:rPr>
            </w:pPr>
            <w:r w:rsidRPr="00730C0D">
              <w:rPr>
                <w:rFonts w:ascii="Century Gothic" w:hAnsi="Century Gothic" w:cstheme="minorHAnsi"/>
                <w:i/>
                <w:sz w:val="20"/>
                <w:szCs w:val="20"/>
              </w:rPr>
              <w:t>Specialised Colleges</w:t>
            </w:r>
            <w:r w:rsidRPr="00730C0D">
              <w:rPr>
                <w:rFonts w:ascii="Century Gothic" w:hAnsi="Century Gothic" w:cstheme="minorHAnsi"/>
                <w:sz w:val="20"/>
                <w:szCs w:val="20"/>
              </w:rPr>
              <w:t xml:space="preserve"> – offer Associate degree programs with flexible entry requirements. Examples include colleges with a focus on music and arts. </w:t>
            </w:r>
          </w:p>
          <w:p w14:paraId="7152B5E5" w14:textId="77777777" w:rsidR="00BD74BE" w:rsidRPr="00730C0D" w:rsidRDefault="00BD74BE" w:rsidP="00BD74BE">
            <w:pPr>
              <w:pStyle w:val="NoSpacing"/>
              <w:spacing w:line="259" w:lineRule="auto"/>
              <w:ind w:left="720"/>
              <w:rPr>
                <w:rFonts w:ascii="Century Gothic" w:hAnsi="Century Gothic" w:cstheme="minorHAnsi"/>
                <w:sz w:val="20"/>
                <w:szCs w:val="20"/>
                <w:lang w:val="en-AU"/>
              </w:rPr>
            </w:pPr>
          </w:p>
          <w:p w14:paraId="55DE3C6B" w14:textId="5D09033F" w:rsidR="00FE78DE" w:rsidRPr="004E07AE" w:rsidRDefault="00FE78DE" w:rsidP="004E07AE">
            <w:pPr>
              <w:pStyle w:val="NoSpacing"/>
              <w:spacing w:line="259" w:lineRule="auto"/>
              <w:rPr>
                <w:rFonts w:ascii="Century Gothic" w:hAnsi="Century Gothic" w:cstheme="minorHAnsi"/>
                <w:sz w:val="20"/>
                <w:szCs w:val="20"/>
                <w:lang w:val="en-AU"/>
              </w:rPr>
            </w:pPr>
            <w:r w:rsidRPr="00730C0D">
              <w:rPr>
                <w:rFonts w:ascii="Century Gothic" w:hAnsi="Century Gothic" w:cstheme="minorHAnsi"/>
                <w:b/>
                <w:bCs/>
                <w:sz w:val="20"/>
                <w:szCs w:val="20"/>
                <w:lang w:val="en-AU"/>
              </w:rPr>
              <w:t>Polytechnic Colleges</w:t>
            </w:r>
            <w:r w:rsidRPr="00730C0D">
              <w:rPr>
                <w:rFonts w:ascii="Century Gothic" w:hAnsi="Century Gothic" w:cstheme="minorHAnsi"/>
                <w:sz w:val="20"/>
                <w:szCs w:val="20"/>
                <w:lang w:val="en-AU"/>
              </w:rPr>
              <w:t xml:space="preserve">: institutions </w:t>
            </w:r>
            <w:r w:rsidRPr="00730C0D">
              <w:rPr>
                <w:rFonts w:ascii="Century Gothic" w:hAnsi="Century Gothic" w:cstheme="minorHAnsi"/>
                <w:sz w:val="20"/>
                <w:szCs w:val="20"/>
                <w:lang w:val="en"/>
              </w:rPr>
              <w:t xml:space="preserve">dedicated to developing expert technicians, which offer non-degree vocational training programs and associate degree level programs. They are </w:t>
            </w:r>
            <w:r w:rsidRPr="00730C0D">
              <w:rPr>
                <w:rFonts w:ascii="Century Gothic" w:hAnsi="Century Gothic" w:cstheme="minorHAnsi"/>
                <w:sz w:val="20"/>
                <w:szCs w:val="20"/>
                <w:lang w:val="en-AU"/>
              </w:rPr>
              <w:t>under the jurisdiction of the Ministry o</w:t>
            </w:r>
            <w:r w:rsidR="004E07AE">
              <w:rPr>
                <w:rFonts w:ascii="Century Gothic" w:hAnsi="Century Gothic" w:cstheme="minorHAnsi"/>
                <w:sz w:val="20"/>
                <w:szCs w:val="20"/>
                <w:lang w:val="en-AU"/>
              </w:rPr>
              <w:t>f Employment and Labour (MoEL).</w:t>
            </w:r>
          </w:p>
        </w:tc>
      </w:tr>
      <w:tr w:rsidR="00FE78DE" w:rsidRPr="00730C0D" w14:paraId="515CB989" w14:textId="77777777" w:rsidTr="00B21D44">
        <w:tc>
          <w:tcPr>
            <w:tcW w:w="10355" w:type="dxa"/>
            <w:gridSpan w:val="2"/>
            <w:shd w:val="clear" w:color="auto" w:fill="DEEAF6" w:themeFill="accent1" w:themeFillTint="33"/>
            <w:vAlign w:val="top"/>
          </w:tcPr>
          <w:p w14:paraId="7F2F36F8" w14:textId="77777777" w:rsidR="00FE78DE" w:rsidRPr="00730C0D" w:rsidRDefault="00FE78DE" w:rsidP="00FE78DE">
            <w:pPr>
              <w:pStyle w:val="NoSpacing"/>
              <w:spacing w:line="259" w:lineRule="auto"/>
              <w:rPr>
                <w:rFonts w:ascii="Century Gothic" w:hAnsi="Century Gothic" w:cstheme="minorHAnsi"/>
                <w:b/>
                <w:sz w:val="20"/>
                <w:szCs w:val="20"/>
              </w:rPr>
            </w:pPr>
            <w:r w:rsidRPr="00730C0D">
              <w:rPr>
                <w:rFonts w:ascii="Century Gothic" w:hAnsi="Century Gothic" w:cstheme="minorHAnsi"/>
                <w:b/>
                <w:sz w:val="20"/>
                <w:szCs w:val="20"/>
              </w:rPr>
              <w:t>Sweden</w:t>
            </w:r>
          </w:p>
        </w:tc>
      </w:tr>
      <w:tr w:rsidR="00FE78DE" w:rsidRPr="00730C0D" w14:paraId="43FCD6CF" w14:textId="77777777" w:rsidTr="00B21D44">
        <w:tc>
          <w:tcPr>
            <w:tcW w:w="2694" w:type="dxa"/>
            <w:vAlign w:val="top"/>
          </w:tcPr>
          <w:p w14:paraId="673998CE" w14:textId="6BEC8712" w:rsidR="00FE78DE" w:rsidRDefault="00FE78DE">
            <w:pPr>
              <w:pStyle w:val="NoSpacing"/>
              <w:spacing w:line="259" w:lineRule="auto"/>
              <w:rPr>
                <w:rFonts w:ascii="Century Gothic" w:hAnsi="Century Gothic" w:cstheme="minorHAnsi"/>
                <w:sz w:val="20"/>
                <w:szCs w:val="20"/>
              </w:rPr>
            </w:pPr>
            <w:r w:rsidRPr="00730C0D">
              <w:rPr>
                <w:rFonts w:ascii="Century Gothic" w:hAnsi="Century Gothic" w:cstheme="minorHAnsi"/>
                <w:sz w:val="20"/>
                <w:szCs w:val="20"/>
              </w:rPr>
              <w:t>Three broad types of higher education institutions</w:t>
            </w:r>
            <w:r w:rsidR="00313F9B">
              <w:rPr>
                <w:rFonts w:ascii="Century Gothic" w:hAnsi="Century Gothic" w:cstheme="minorHAnsi"/>
                <w:sz w:val="20"/>
                <w:szCs w:val="20"/>
              </w:rPr>
              <w:t>. The Swedish Higher Education Authority (</w:t>
            </w:r>
            <w:r w:rsidR="00313F9B" w:rsidRPr="00313F9B">
              <w:rPr>
                <w:rFonts w:ascii="Century Gothic" w:hAnsi="Century Gothic" w:cstheme="minorHAnsi"/>
                <w:sz w:val="20"/>
                <w:szCs w:val="20"/>
                <w:lang w:val="sv-SE"/>
              </w:rPr>
              <w:t>Universitetskanslersämbe</w:t>
            </w:r>
            <w:r w:rsidR="000305C5">
              <w:rPr>
                <w:rFonts w:ascii="Century Gothic" w:hAnsi="Century Gothic" w:cstheme="minorHAnsi"/>
                <w:sz w:val="20"/>
                <w:szCs w:val="20"/>
                <w:lang w:val="sv-SE"/>
              </w:rPr>
              <w:t>-</w:t>
            </w:r>
            <w:r w:rsidR="00313F9B" w:rsidRPr="00313F9B">
              <w:rPr>
                <w:rFonts w:ascii="Century Gothic" w:hAnsi="Century Gothic" w:cstheme="minorHAnsi"/>
                <w:sz w:val="20"/>
                <w:szCs w:val="20"/>
                <w:lang w:val="sv-SE"/>
              </w:rPr>
              <w:t>tet</w:t>
            </w:r>
            <w:r w:rsidR="00313F9B">
              <w:rPr>
                <w:rFonts w:ascii="Century Gothic" w:hAnsi="Century Gothic" w:cstheme="minorHAnsi"/>
                <w:sz w:val="20"/>
                <w:szCs w:val="20"/>
                <w:lang w:val="sv-SE"/>
              </w:rPr>
              <w:t xml:space="preserve"> or </w:t>
            </w:r>
            <w:r w:rsidR="00313F9B" w:rsidRPr="004860A1">
              <w:rPr>
                <w:rFonts w:ascii="Century Gothic" w:hAnsi="Century Gothic" w:cstheme="minorHAnsi"/>
                <w:sz w:val="20"/>
                <w:szCs w:val="20"/>
                <w:lang w:val="en"/>
              </w:rPr>
              <w:t>UKÄ</w:t>
            </w:r>
            <w:r w:rsidR="00313F9B">
              <w:rPr>
                <w:rFonts w:ascii="Century Gothic" w:hAnsi="Century Gothic" w:cstheme="minorHAnsi"/>
                <w:sz w:val="20"/>
                <w:szCs w:val="20"/>
                <w:lang w:val="en"/>
              </w:rPr>
              <w:t>)</w:t>
            </w:r>
            <w:r w:rsidR="00313F9B">
              <w:rPr>
                <w:rFonts w:ascii="Century Gothic" w:hAnsi="Century Gothic" w:cstheme="minorHAnsi"/>
                <w:sz w:val="20"/>
                <w:szCs w:val="20"/>
              </w:rPr>
              <w:t xml:space="preserve"> oversees universities and university colleges to ensure they comply with regulations and provide quality higher education. </w:t>
            </w:r>
          </w:p>
          <w:p w14:paraId="35AAEAE6" w14:textId="77777777" w:rsidR="00B74215" w:rsidRDefault="00B74215">
            <w:pPr>
              <w:pStyle w:val="NoSpacing"/>
              <w:spacing w:line="259" w:lineRule="auto"/>
              <w:rPr>
                <w:rFonts w:ascii="Century Gothic" w:hAnsi="Century Gothic" w:cstheme="minorHAnsi"/>
                <w:sz w:val="20"/>
                <w:szCs w:val="20"/>
              </w:rPr>
            </w:pPr>
          </w:p>
          <w:p w14:paraId="6D4696E8" w14:textId="1E66C2C8" w:rsidR="00B74215" w:rsidRPr="00730C0D" w:rsidRDefault="00B74215" w:rsidP="00313F9B">
            <w:pPr>
              <w:pStyle w:val="NoSpacing"/>
              <w:spacing w:line="259" w:lineRule="auto"/>
              <w:rPr>
                <w:rFonts w:ascii="Century Gothic" w:hAnsi="Century Gothic" w:cstheme="minorHAnsi"/>
                <w:sz w:val="20"/>
                <w:szCs w:val="20"/>
              </w:rPr>
            </w:pPr>
            <w:r w:rsidRPr="00B74215">
              <w:rPr>
                <w:rFonts w:ascii="Century Gothic" w:hAnsi="Century Gothic" w:cstheme="minorHAnsi"/>
                <w:sz w:val="20"/>
                <w:szCs w:val="20"/>
                <w:lang w:val="sv-SE"/>
              </w:rPr>
              <w:t xml:space="preserve">The </w:t>
            </w:r>
            <w:r>
              <w:rPr>
                <w:rFonts w:ascii="Century Gothic" w:hAnsi="Century Gothic" w:cstheme="minorHAnsi"/>
                <w:sz w:val="20"/>
                <w:szCs w:val="20"/>
                <w:lang w:val="sv-SE"/>
              </w:rPr>
              <w:t>title</w:t>
            </w:r>
            <w:r w:rsidRPr="00B74215">
              <w:rPr>
                <w:rFonts w:ascii="Century Gothic" w:hAnsi="Century Gothic" w:cstheme="minorHAnsi"/>
                <w:sz w:val="20"/>
                <w:szCs w:val="20"/>
                <w:lang w:val="sv-SE"/>
              </w:rPr>
              <w:t xml:space="preserve">s </w:t>
            </w:r>
            <w:r>
              <w:rPr>
                <w:rFonts w:ascii="Century Gothic" w:hAnsi="Century Gothic" w:cstheme="minorHAnsi"/>
                <w:sz w:val="20"/>
                <w:szCs w:val="20"/>
                <w:lang w:val="sv-SE"/>
              </w:rPr>
              <w:t>’</w:t>
            </w:r>
            <w:r w:rsidRPr="00B74215">
              <w:rPr>
                <w:rFonts w:ascii="Century Gothic" w:hAnsi="Century Gothic" w:cstheme="minorHAnsi"/>
                <w:sz w:val="20"/>
                <w:szCs w:val="20"/>
                <w:lang w:val="sv-SE"/>
              </w:rPr>
              <w:t>university</w:t>
            </w:r>
            <w:r>
              <w:rPr>
                <w:rFonts w:ascii="Century Gothic" w:hAnsi="Century Gothic" w:cstheme="minorHAnsi"/>
                <w:sz w:val="20"/>
                <w:szCs w:val="20"/>
                <w:lang w:val="sv-SE"/>
              </w:rPr>
              <w:t>’</w:t>
            </w:r>
            <w:r w:rsidRPr="00B74215">
              <w:rPr>
                <w:rFonts w:ascii="Century Gothic" w:hAnsi="Century Gothic" w:cstheme="minorHAnsi"/>
                <w:sz w:val="20"/>
                <w:szCs w:val="20"/>
                <w:lang w:val="sv-SE"/>
              </w:rPr>
              <w:t xml:space="preserve"> and </w:t>
            </w:r>
            <w:r>
              <w:rPr>
                <w:rFonts w:ascii="Century Gothic" w:hAnsi="Century Gothic" w:cstheme="minorHAnsi"/>
                <w:sz w:val="20"/>
                <w:szCs w:val="20"/>
                <w:lang w:val="sv-SE"/>
              </w:rPr>
              <w:t>’</w:t>
            </w:r>
            <w:r w:rsidRPr="00B74215">
              <w:rPr>
                <w:rFonts w:ascii="Century Gothic" w:hAnsi="Century Gothic" w:cstheme="minorHAnsi"/>
                <w:sz w:val="20"/>
                <w:szCs w:val="20"/>
                <w:lang w:val="sv-SE"/>
              </w:rPr>
              <w:t>university college</w:t>
            </w:r>
            <w:r>
              <w:rPr>
                <w:rFonts w:ascii="Century Gothic" w:hAnsi="Century Gothic" w:cstheme="minorHAnsi"/>
                <w:sz w:val="20"/>
                <w:szCs w:val="20"/>
                <w:lang w:val="sv-SE"/>
              </w:rPr>
              <w:t>’</w:t>
            </w:r>
            <w:r w:rsidRPr="00B74215">
              <w:rPr>
                <w:rFonts w:ascii="Century Gothic" w:hAnsi="Century Gothic" w:cstheme="minorHAnsi"/>
                <w:sz w:val="20"/>
                <w:szCs w:val="20"/>
                <w:lang w:val="sv-SE"/>
              </w:rPr>
              <w:t xml:space="preserve"> do not have any usage requirements dictated by regulation </w:t>
            </w:r>
            <w:r w:rsidR="000305C5">
              <w:rPr>
                <w:rFonts w:ascii="Century Gothic" w:hAnsi="Century Gothic" w:cstheme="minorHAnsi"/>
                <w:sz w:val="20"/>
                <w:szCs w:val="20"/>
                <w:lang w:val="sv-SE"/>
              </w:rPr>
              <w:t>–</w:t>
            </w:r>
            <w:r w:rsidRPr="00B74215">
              <w:rPr>
                <w:rFonts w:ascii="Century Gothic" w:hAnsi="Century Gothic" w:cstheme="minorHAnsi"/>
                <w:sz w:val="20"/>
                <w:szCs w:val="20"/>
                <w:lang w:val="sv-SE"/>
              </w:rPr>
              <w:t xml:space="preserve"> any</w:t>
            </w:r>
            <w:r w:rsidR="000305C5">
              <w:rPr>
                <w:rFonts w:ascii="Century Gothic" w:hAnsi="Century Gothic" w:cstheme="minorHAnsi"/>
                <w:sz w:val="20"/>
                <w:szCs w:val="20"/>
                <w:lang w:val="sv-SE"/>
              </w:rPr>
              <w:t xml:space="preserve"> </w:t>
            </w:r>
            <w:r w:rsidRPr="00B74215">
              <w:rPr>
                <w:rFonts w:ascii="Century Gothic" w:hAnsi="Century Gothic" w:cstheme="minorHAnsi"/>
                <w:sz w:val="20"/>
                <w:szCs w:val="20"/>
                <w:lang w:val="sv-SE"/>
              </w:rPr>
              <w:t xml:space="preserve"> school can use either term. However</w:t>
            </w:r>
            <w:r>
              <w:rPr>
                <w:rFonts w:ascii="Century Gothic" w:hAnsi="Century Gothic" w:cstheme="minorHAnsi"/>
                <w:sz w:val="20"/>
                <w:szCs w:val="20"/>
                <w:lang w:val="sv-SE"/>
              </w:rPr>
              <w:t xml:space="preserve"> a</w:t>
            </w:r>
            <w:r w:rsidRPr="00B74215">
              <w:rPr>
                <w:rFonts w:ascii="Century Gothic" w:hAnsi="Century Gothic" w:cstheme="minorHAnsi"/>
                <w:sz w:val="20"/>
                <w:szCs w:val="20"/>
                <w:lang w:val="sv-SE"/>
              </w:rPr>
              <w:t xml:space="preserve">n institution of higher education must </w:t>
            </w:r>
            <w:r w:rsidR="00313F9B">
              <w:rPr>
                <w:rFonts w:ascii="Century Gothic" w:hAnsi="Century Gothic" w:cstheme="minorHAnsi"/>
                <w:sz w:val="20"/>
                <w:szCs w:val="20"/>
                <w:lang w:val="sv-SE"/>
              </w:rPr>
              <w:t>have</w:t>
            </w:r>
            <w:r w:rsidRPr="00B74215">
              <w:rPr>
                <w:rFonts w:ascii="Century Gothic" w:hAnsi="Century Gothic" w:cstheme="minorHAnsi"/>
                <w:sz w:val="20"/>
                <w:szCs w:val="20"/>
                <w:lang w:val="sv-SE"/>
              </w:rPr>
              <w:t xml:space="preserve"> granted degree-awarding powers in order to award higher education qualifications (degrees).</w:t>
            </w:r>
          </w:p>
        </w:tc>
        <w:tc>
          <w:tcPr>
            <w:tcW w:w="7661" w:type="dxa"/>
          </w:tcPr>
          <w:p w14:paraId="4E0DDA9F" w14:textId="5EB6DE8B" w:rsidR="004860A1" w:rsidRDefault="00FE78DE" w:rsidP="00FE78DE">
            <w:pPr>
              <w:pStyle w:val="NoSpacing"/>
              <w:spacing w:line="259" w:lineRule="auto"/>
              <w:rPr>
                <w:rFonts w:ascii="Century Gothic" w:hAnsi="Century Gothic" w:cstheme="minorHAnsi"/>
                <w:sz w:val="20"/>
                <w:szCs w:val="20"/>
              </w:rPr>
            </w:pPr>
            <w:r w:rsidRPr="00730C0D">
              <w:rPr>
                <w:rFonts w:ascii="Century Gothic" w:hAnsi="Century Gothic" w:cstheme="minorHAnsi"/>
                <w:b/>
                <w:sz w:val="20"/>
                <w:szCs w:val="20"/>
              </w:rPr>
              <w:t>Universities:</w:t>
            </w:r>
            <w:r w:rsidR="004860A1" w:rsidRPr="004860A1">
              <w:rPr>
                <w:rFonts w:ascii="Century Gothic" w:hAnsi="Century Gothic" w:cstheme="minorHAnsi"/>
                <w:sz w:val="20"/>
                <w:szCs w:val="20"/>
              </w:rPr>
              <w:t xml:space="preserve"> </w:t>
            </w:r>
            <w:r w:rsidR="00B626D0">
              <w:rPr>
                <w:rFonts w:ascii="Century Gothic" w:hAnsi="Century Gothic" w:cstheme="minorHAnsi"/>
                <w:sz w:val="20"/>
                <w:szCs w:val="20"/>
              </w:rPr>
              <w:t xml:space="preserve">independent </w:t>
            </w:r>
            <w:r w:rsidR="004860A1" w:rsidRPr="004860A1">
              <w:rPr>
                <w:rFonts w:ascii="Century Gothic" w:hAnsi="Century Gothic" w:cstheme="minorHAnsi"/>
                <w:sz w:val="20"/>
                <w:szCs w:val="20"/>
              </w:rPr>
              <w:t>public</w:t>
            </w:r>
            <w:r w:rsidR="004860A1">
              <w:rPr>
                <w:rFonts w:ascii="Century Gothic" w:hAnsi="Century Gothic" w:cstheme="minorHAnsi"/>
                <w:b/>
                <w:sz w:val="20"/>
                <w:szCs w:val="20"/>
              </w:rPr>
              <w:t xml:space="preserve"> </w:t>
            </w:r>
            <w:r w:rsidR="00944227">
              <w:rPr>
                <w:rFonts w:ascii="Century Gothic" w:hAnsi="Century Gothic" w:cstheme="minorHAnsi"/>
                <w:sz w:val="20"/>
                <w:szCs w:val="20"/>
              </w:rPr>
              <w:t>institutions</w:t>
            </w:r>
            <w:r w:rsidR="00B626D0">
              <w:rPr>
                <w:rFonts w:ascii="Century Gothic" w:hAnsi="Century Gothic" w:cstheme="minorHAnsi"/>
                <w:sz w:val="20"/>
                <w:szCs w:val="20"/>
              </w:rPr>
              <w:t xml:space="preserve"> established by the Swedish Parliament</w:t>
            </w:r>
            <w:r w:rsidR="00944227">
              <w:rPr>
                <w:rFonts w:ascii="Century Gothic" w:hAnsi="Century Gothic" w:cstheme="minorHAnsi"/>
                <w:sz w:val="20"/>
                <w:szCs w:val="20"/>
              </w:rPr>
              <w:t xml:space="preserve"> with the</w:t>
            </w:r>
            <w:r w:rsidRPr="00730C0D">
              <w:rPr>
                <w:rFonts w:ascii="Century Gothic" w:hAnsi="Century Gothic" w:cstheme="minorHAnsi"/>
                <w:sz w:val="20"/>
                <w:szCs w:val="20"/>
              </w:rPr>
              <w:t xml:space="preserve"> unrestricted right to award </w:t>
            </w:r>
            <w:r w:rsidR="004860A1">
              <w:rPr>
                <w:rFonts w:ascii="Century Gothic" w:hAnsi="Century Gothic" w:cstheme="minorHAnsi"/>
                <w:sz w:val="20"/>
                <w:szCs w:val="20"/>
              </w:rPr>
              <w:t>undergraduate and postgraduate</w:t>
            </w:r>
            <w:r w:rsidR="00B74215">
              <w:rPr>
                <w:rFonts w:ascii="Century Gothic" w:hAnsi="Century Gothic" w:cstheme="minorHAnsi"/>
                <w:sz w:val="20"/>
                <w:szCs w:val="20"/>
              </w:rPr>
              <w:t xml:space="preserve"> qualifications, including Doctoral</w:t>
            </w:r>
            <w:r w:rsidRPr="00730C0D">
              <w:rPr>
                <w:rFonts w:ascii="Century Gothic" w:hAnsi="Century Gothic" w:cstheme="minorHAnsi"/>
                <w:sz w:val="20"/>
                <w:szCs w:val="20"/>
              </w:rPr>
              <w:t xml:space="preserve"> degrees. These institutions off</w:t>
            </w:r>
            <w:r w:rsidR="00CB6975">
              <w:rPr>
                <w:rFonts w:ascii="Century Gothic" w:hAnsi="Century Gothic" w:cstheme="minorHAnsi"/>
                <w:sz w:val="20"/>
                <w:szCs w:val="20"/>
              </w:rPr>
              <w:t xml:space="preserve">er a broad range of courses, </w:t>
            </w:r>
            <w:r w:rsidR="00B626D0">
              <w:rPr>
                <w:rFonts w:ascii="Century Gothic" w:hAnsi="Century Gothic" w:cstheme="minorHAnsi"/>
                <w:sz w:val="20"/>
                <w:szCs w:val="20"/>
              </w:rPr>
              <w:t>deliver</w:t>
            </w:r>
            <w:r w:rsidRPr="00730C0D">
              <w:rPr>
                <w:rFonts w:ascii="Century Gothic" w:hAnsi="Century Gothic" w:cstheme="minorHAnsi"/>
                <w:sz w:val="20"/>
                <w:szCs w:val="20"/>
              </w:rPr>
              <w:t xml:space="preserve"> postgraduat</w:t>
            </w:r>
            <w:r w:rsidR="00CB6975">
              <w:rPr>
                <w:rFonts w:ascii="Century Gothic" w:hAnsi="Century Gothic" w:cstheme="minorHAnsi"/>
                <w:sz w:val="20"/>
                <w:szCs w:val="20"/>
              </w:rPr>
              <w:t xml:space="preserve">e programs in one or more areas, </w:t>
            </w:r>
            <w:r w:rsidRPr="00730C0D">
              <w:rPr>
                <w:rFonts w:ascii="Century Gothic" w:hAnsi="Century Gothic" w:cstheme="minorHAnsi"/>
                <w:sz w:val="20"/>
                <w:szCs w:val="20"/>
              </w:rPr>
              <w:t>conduct research</w:t>
            </w:r>
            <w:r w:rsidR="00B626D0">
              <w:rPr>
                <w:rFonts w:ascii="Century Gothic" w:hAnsi="Century Gothic" w:cstheme="minorHAnsi"/>
                <w:sz w:val="20"/>
                <w:szCs w:val="20"/>
              </w:rPr>
              <w:t>,</w:t>
            </w:r>
            <w:r w:rsidR="00CB6975">
              <w:rPr>
                <w:rFonts w:ascii="Century Gothic" w:hAnsi="Century Gothic" w:cstheme="minorHAnsi"/>
                <w:sz w:val="20"/>
                <w:szCs w:val="20"/>
              </w:rPr>
              <w:t xml:space="preserve"> and collaborate with the surrounding society</w:t>
            </w:r>
            <w:r w:rsidRPr="00730C0D">
              <w:rPr>
                <w:rFonts w:ascii="Century Gothic" w:hAnsi="Century Gothic" w:cstheme="minorHAnsi"/>
                <w:sz w:val="20"/>
                <w:szCs w:val="20"/>
              </w:rPr>
              <w:t xml:space="preserve">. </w:t>
            </w:r>
            <w:r w:rsidR="00944227">
              <w:rPr>
                <w:rFonts w:ascii="Century Gothic" w:hAnsi="Century Gothic" w:cstheme="minorHAnsi"/>
                <w:sz w:val="20"/>
                <w:szCs w:val="20"/>
              </w:rPr>
              <w:t xml:space="preserve">A university must apply to the </w:t>
            </w:r>
            <w:r w:rsidR="004860A1">
              <w:rPr>
                <w:rFonts w:ascii="Century Gothic" w:hAnsi="Century Gothic" w:cstheme="minorHAnsi"/>
                <w:sz w:val="20"/>
                <w:szCs w:val="20"/>
              </w:rPr>
              <w:t>Swedish Higher Education Authority (</w:t>
            </w:r>
            <w:r w:rsidR="004860A1" w:rsidRPr="004860A1">
              <w:rPr>
                <w:rFonts w:ascii="Century Gothic" w:hAnsi="Century Gothic" w:cstheme="minorHAnsi"/>
                <w:sz w:val="20"/>
                <w:szCs w:val="20"/>
                <w:lang w:val="en"/>
              </w:rPr>
              <w:t>UKÄ</w:t>
            </w:r>
            <w:r w:rsidR="004860A1">
              <w:rPr>
                <w:rFonts w:ascii="Century Gothic" w:hAnsi="Century Gothic" w:cstheme="minorHAnsi"/>
                <w:sz w:val="20"/>
                <w:szCs w:val="20"/>
                <w:lang w:val="en"/>
              </w:rPr>
              <w:t>)</w:t>
            </w:r>
            <w:r w:rsidR="00944227">
              <w:rPr>
                <w:rFonts w:ascii="Century Gothic" w:hAnsi="Century Gothic" w:cstheme="minorHAnsi"/>
                <w:sz w:val="20"/>
                <w:szCs w:val="20"/>
              </w:rPr>
              <w:t xml:space="preserve"> </w:t>
            </w:r>
            <w:r w:rsidR="00B74215">
              <w:rPr>
                <w:rFonts w:ascii="Century Gothic" w:hAnsi="Century Gothic" w:cstheme="minorHAnsi"/>
                <w:sz w:val="20"/>
                <w:szCs w:val="20"/>
              </w:rPr>
              <w:t xml:space="preserve">for degree awarding powers and also </w:t>
            </w:r>
            <w:r w:rsidR="00944227">
              <w:rPr>
                <w:rFonts w:ascii="Century Gothic" w:hAnsi="Century Gothic" w:cstheme="minorHAnsi"/>
                <w:sz w:val="20"/>
                <w:szCs w:val="20"/>
              </w:rPr>
              <w:t xml:space="preserve">to award fine, applied and performing arts qualifications, and professional degrees. </w:t>
            </w:r>
            <w:r w:rsidR="00B74215">
              <w:rPr>
                <w:rFonts w:ascii="Century Gothic" w:hAnsi="Century Gothic" w:cstheme="minorHAnsi"/>
                <w:sz w:val="20"/>
                <w:szCs w:val="20"/>
              </w:rPr>
              <w:t xml:space="preserve">Some universities are specialised in particular disciplines. </w:t>
            </w:r>
          </w:p>
          <w:p w14:paraId="12903C64" w14:textId="77777777" w:rsidR="004860A1" w:rsidRDefault="004860A1" w:rsidP="00FE78DE">
            <w:pPr>
              <w:pStyle w:val="NoSpacing"/>
              <w:spacing w:line="259" w:lineRule="auto"/>
              <w:rPr>
                <w:rFonts w:ascii="Century Gothic" w:hAnsi="Century Gothic" w:cstheme="minorHAnsi"/>
                <w:sz w:val="20"/>
                <w:szCs w:val="20"/>
              </w:rPr>
            </w:pPr>
          </w:p>
          <w:p w14:paraId="48182FD4" w14:textId="055E5C5B" w:rsidR="00FE78DE" w:rsidRPr="00730C0D" w:rsidRDefault="004860A1" w:rsidP="00FE78DE">
            <w:pPr>
              <w:pStyle w:val="NoSpacing"/>
              <w:spacing w:line="259" w:lineRule="auto"/>
              <w:rPr>
                <w:rFonts w:ascii="Century Gothic" w:hAnsi="Century Gothic" w:cstheme="minorHAnsi"/>
                <w:sz w:val="20"/>
                <w:szCs w:val="20"/>
              </w:rPr>
            </w:pPr>
            <w:r>
              <w:rPr>
                <w:rFonts w:ascii="Century Gothic" w:hAnsi="Century Gothic" w:cstheme="minorHAnsi"/>
                <w:sz w:val="20"/>
                <w:szCs w:val="20"/>
              </w:rPr>
              <w:t xml:space="preserve">Providers with university status do not necessarily have to use the title ‘university’ in their </w:t>
            </w:r>
            <w:r w:rsidR="00B74215">
              <w:rPr>
                <w:rFonts w:ascii="Century Gothic" w:hAnsi="Century Gothic" w:cstheme="minorHAnsi"/>
                <w:sz w:val="20"/>
                <w:szCs w:val="20"/>
              </w:rPr>
              <w:t xml:space="preserve">names. </w:t>
            </w:r>
            <w:r w:rsidR="00B626D0">
              <w:rPr>
                <w:rFonts w:ascii="Century Gothic" w:hAnsi="Century Gothic" w:cstheme="minorHAnsi"/>
                <w:sz w:val="20"/>
                <w:szCs w:val="20"/>
              </w:rPr>
              <w:t>A</w:t>
            </w:r>
            <w:r w:rsidR="00B74215">
              <w:rPr>
                <w:rFonts w:ascii="Century Gothic" w:hAnsi="Century Gothic" w:cstheme="minorHAnsi"/>
                <w:sz w:val="20"/>
                <w:szCs w:val="20"/>
              </w:rPr>
              <w:t xml:space="preserve">n institution </w:t>
            </w:r>
            <w:r>
              <w:rPr>
                <w:rFonts w:ascii="Century Gothic" w:hAnsi="Century Gothic" w:cstheme="minorHAnsi"/>
                <w:sz w:val="20"/>
                <w:szCs w:val="20"/>
              </w:rPr>
              <w:t xml:space="preserve">that calls </w:t>
            </w:r>
            <w:r w:rsidR="00A80E55">
              <w:rPr>
                <w:rFonts w:ascii="Century Gothic" w:hAnsi="Century Gothic" w:cstheme="minorHAnsi"/>
                <w:sz w:val="20"/>
                <w:szCs w:val="20"/>
              </w:rPr>
              <w:t>itself</w:t>
            </w:r>
            <w:r>
              <w:rPr>
                <w:rFonts w:ascii="Century Gothic" w:hAnsi="Century Gothic" w:cstheme="minorHAnsi"/>
                <w:sz w:val="20"/>
                <w:szCs w:val="20"/>
              </w:rPr>
              <w:t xml:space="preserve"> a ‘university’ but has not been granted degree awarding powers by </w:t>
            </w:r>
            <w:r w:rsidRPr="004860A1">
              <w:rPr>
                <w:rFonts w:ascii="Century Gothic" w:hAnsi="Century Gothic" w:cstheme="minorHAnsi"/>
                <w:sz w:val="20"/>
                <w:szCs w:val="20"/>
                <w:lang w:val="en"/>
              </w:rPr>
              <w:t>UKÄ</w:t>
            </w:r>
            <w:r w:rsidR="00B626D0">
              <w:rPr>
                <w:rFonts w:ascii="Century Gothic" w:hAnsi="Century Gothic" w:cstheme="minorHAnsi"/>
                <w:sz w:val="20"/>
                <w:szCs w:val="20"/>
                <w:lang w:val="en"/>
              </w:rPr>
              <w:t>, is not classified as a university and cannot offer university-recognised qualifications or higher education credits.</w:t>
            </w:r>
            <w:r w:rsidR="00B74215">
              <w:rPr>
                <w:rFonts w:ascii="Century Gothic" w:hAnsi="Century Gothic" w:cstheme="minorHAnsi"/>
                <w:sz w:val="20"/>
                <w:szCs w:val="20"/>
                <w:lang w:val="en"/>
              </w:rPr>
              <w:t xml:space="preserve"> Such institutions often offer diploma or certificate qualifications.</w:t>
            </w:r>
          </w:p>
          <w:p w14:paraId="62EFA112" w14:textId="77777777" w:rsidR="00FE78DE" w:rsidRPr="00730C0D" w:rsidRDefault="00FE78DE" w:rsidP="00FE78DE">
            <w:pPr>
              <w:pStyle w:val="NoSpacing"/>
              <w:spacing w:line="259" w:lineRule="auto"/>
              <w:rPr>
                <w:rFonts w:ascii="Century Gothic" w:hAnsi="Century Gothic" w:cstheme="minorHAnsi"/>
                <w:sz w:val="20"/>
                <w:szCs w:val="20"/>
              </w:rPr>
            </w:pPr>
          </w:p>
          <w:p w14:paraId="1E030D34" w14:textId="6C39650E" w:rsidR="00FE78DE" w:rsidRPr="00730C0D" w:rsidRDefault="00FE78DE" w:rsidP="00FE78DE">
            <w:pPr>
              <w:pStyle w:val="NoSpacing"/>
              <w:spacing w:line="259" w:lineRule="auto"/>
              <w:rPr>
                <w:rFonts w:ascii="Century Gothic" w:hAnsi="Century Gothic" w:cs="Calibri"/>
                <w:color w:val="000000"/>
                <w:sz w:val="20"/>
                <w:szCs w:val="20"/>
              </w:rPr>
            </w:pPr>
            <w:r w:rsidRPr="00730C0D">
              <w:rPr>
                <w:rFonts w:ascii="Century Gothic" w:hAnsi="Century Gothic" w:cstheme="minorHAnsi"/>
                <w:b/>
                <w:sz w:val="20"/>
                <w:szCs w:val="20"/>
              </w:rPr>
              <w:t xml:space="preserve">University Colleges: </w:t>
            </w:r>
            <w:r w:rsidR="00B626D0">
              <w:rPr>
                <w:rFonts w:ascii="Century Gothic" w:hAnsi="Century Gothic" w:cstheme="minorHAnsi"/>
                <w:sz w:val="20"/>
                <w:szCs w:val="20"/>
              </w:rPr>
              <w:t>independent</w:t>
            </w:r>
            <w:r w:rsidR="00B626D0" w:rsidRPr="00B626D0">
              <w:rPr>
                <w:rFonts w:ascii="Century Gothic" w:hAnsi="Century Gothic" w:cstheme="minorHAnsi"/>
                <w:sz w:val="20"/>
                <w:szCs w:val="20"/>
              </w:rPr>
              <w:t xml:space="preserve"> public institutions established by the Swedish Parliament </w:t>
            </w:r>
            <w:r w:rsidR="00B626D0">
              <w:rPr>
                <w:rFonts w:ascii="Century Gothic" w:hAnsi="Century Gothic" w:cstheme="minorHAnsi"/>
                <w:sz w:val="20"/>
                <w:szCs w:val="20"/>
              </w:rPr>
              <w:t xml:space="preserve">and can offer undergraduate degrees </w:t>
            </w:r>
            <w:r w:rsidRPr="00730C0D">
              <w:rPr>
                <w:rFonts w:ascii="Century Gothic" w:hAnsi="Century Gothic" w:cstheme="minorHAnsi"/>
                <w:sz w:val="20"/>
                <w:szCs w:val="20"/>
              </w:rPr>
              <w:t>but,</w:t>
            </w:r>
            <w:r w:rsidRPr="00730C0D">
              <w:rPr>
                <w:rFonts w:ascii="Century Gothic" w:hAnsi="Century Gothic" w:cstheme="minorHAnsi"/>
                <w:b/>
                <w:sz w:val="20"/>
                <w:szCs w:val="20"/>
              </w:rPr>
              <w:t xml:space="preserve"> </w:t>
            </w:r>
            <w:r w:rsidRPr="00730C0D">
              <w:rPr>
                <w:rFonts w:ascii="Century Gothic" w:hAnsi="Century Gothic" w:cstheme="minorHAnsi"/>
                <w:sz w:val="20"/>
                <w:szCs w:val="20"/>
              </w:rPr>
              <w:t xml:space="preserve">unlike universities, these institutions do not have the right to independently award </w:t>
            </w:r>
            <w:r w:rsidR="00216DA3">
              <w:rPr>
                <w:rFonts w:ascii="Century Gothic" w:hAnsi="Century Gothic" w:cstheme="minorHAnsi"/>
                <w:sz w:val="20"/>
                <w:szCs w:val="20"/>
              </w:rPr>
              <w:t>Master</w:t>
            </w:r>
            <w:r w:rsidR="00B626D0">
              <w:rPr>
                <w:rFonts w:ascii="Century Gothic" w:hAnsi="Century Gothic" w:cstheme="minorHAnsi"/>
                <w:sz w:val="20"/>
                <w:szCs w:val="20"/>
              </w:rPr>
              <w:t>s or</w:t>
            </w:r>
            <w:r w:rsidR="00C7114E">
              <w:rPr>
                <w:rFonts w:ascii="Century Gothic" w:hAnsi="Century Gothic" w:cstheme="minorHAnsi"/>
                <w:sz w:val="20"/>
                <w:szCs w:val="20"/>
              </w:rPr>
              <w:t xml:space="preserve"> Doctoral</w:t>
            </w:r>
            <w:r w:rsidR="00A80E55">
              <w:rPr>
                <w:rFonts w:ascii="Century Gothic" w:hAnsi="Century Gothic" w:cstheme="minorHAnsi"/>
                <w:sz w:val="20"/>
                <w:szCs w:val="20"/>
              </w:rPr>
              <w:t xml:space="preserve"> degrees</w:t>
            </w:r>
            <w:r w:rsidRPr="00730C0D">
              <w:rPr>
                <w:rFonts w:ascii="Century Gothic" w:hAnsi="Century Gothic" w:cstheme="minorHAnsi"/>
                <w:sz w:val="20"/>
                <w:szCs w:val="20"/>
              </w:rPr>
              <w:t xml:space="preserve"> </w:t>
            </w:r>
            <w:r w:rsidR="00B626D0">
              <w:rPr>
                <w:rFonts w:ascii="Century Gothic" w:hAnsi="Century Gothic" w:cstheme="minorHAnsi"/>
                <w:sz w:val="20"/>
                <w:szCs w:val="20"/>
              </w:rPr>
              <w:t>without authority</w:t>
            </w:r>
            <w:r w:rsidRPr="00730C0D">
              <w:rPr>
                <w:rFonts w:ascii="Century Gothic" w:hAnsi="Century Gothic" w:cstheme="minorHAnsi"/>
                <w:sz w:val="20"/>
                <w:szCs w:val="20"/>
              </w:rPr>
              <w:t xml:space="preserve"> from </w:t>
            </w:r>
            <w:r w:rsidR="00B626D0" w:rsidRPr="004860A1">
              <w:rPr>
                <w:rFonts w:ascii="Century Gothic" w:hAnsi="Century Gothic" w:cstheme="minorHAnsi"/>
                <w:sz w:val="20"/>
                <w:szCs w:val="20"/>
                <w:lang w:val="en"/>
              </w:rPr>
              <w:t>UKÄ</w:t>
            </w:r>
            <w:r w:rsidRPr="00730C0D">
              <w:rPr>
                <w:rFonts w:ascii="Century Gothic" w:hAnsi="Century Gothic" w:cstheme="minorHAnsi"/>
                <w:sz w:val="20"/>
                <w:szCs w:val="20"/>
              </w:rPr>
              <w:t>.</w:t>
            </w:r>
            <w:r w:rsidR="00B74215">
              <w:rPr>
                <w:rFonts w:ascii="Century Gothic" w:hAnsi="Century Gothic" w:cstheme="minorHAnsi"/>
                <w:sz w:val="20"/>
                <w:szCs w:val="20"/>
              </w:rPr>
              <w:t xml:space="preserve"> </w:t>
            </w:r>
            <w:r w:rsidR="00B74215" w:rsidRPr="004860A1">
              <w:rPr>
                <w:rFonts w:ascii="Century Gothic" w:hAnsi="Century Gothic" w:cstheme="minorHAnsi"/>
                <w:sz w:val="20"/>
                <w:szCs w:val="20"/>
                <w:lang w:val="en"/>
              </w:rPr>
              <w:t>UKÄ</w:t>
            </w:r>
            <w:r w:rsidR="00B74215">
              <w:rPr>
                <w:rFonts w:ascii="Century Gothic" w:hAnsi="Century Gothic" w:cstheme="minorHAnsi"/>
                <w:sz w:val="20"/>
                <w:szCs w:val="20"/>
                <w:lang w:val="en"/>
              </w:rPr>
              <w:t xml:space="preserve"> can grant permission to award specific Doctoral degrees in a specific subject area.</w:t>
            </w:r>
            <w:r w:rsidRPr="00730C0D">
              <w:rPr>
                <w:rFonts w:ascii="Century Gothic" w:hAnsi="Century Gothic" w:cstheme="minorHAnsi"/>
                <w:sz w:val="20"/>
                <w:szCs w:val="20"/>
              </w:rPr>
              <w:t xml:space="preserve"> </w:t>
            </w:r>
            <w:r w:rsidR="00B626D0">
              <w:rPr>
                <w:rFonts w:ascii="Century Gothic" w:hAnsi="Century Gothic" w:cstheme="minorHAnsi"/>
                <w:sz w:val="20"/>
                <w:szCs w:val="20"/>
              </w:rPr>
              <w:t xml:space="preserve">Like universities, a university college must apply to </w:t>
            </w:r>
            <w:r w:rsidR="00B626D0" w:rsidRPr="004860A1">
              <w:rPr>
                <w:rFonts w:ascii="Century Gothic" w:hAnsi="Century Gothic" w:cstheme="minorHAnsi"/>
                <w:sz w:val="20"/>
                <w:szCs w:val="20"/>
                <w:lang w:val="en"/>
              </w:rPr>
              <w:t>UKÄ</w:t>
            </w:r>
            <w:r w:rsidR="00B74215">
              <w:rPr>
                <w:rFonts w:ascii="Century Gothic" w:hAnsi="Century Gothic" w:cstheme="minorHAnsi"/>
                <w:sz w:val="20"/>
                <w:szCs w:val="20"/>
                <w:lang w:val="en"/>
              </w:rPr>
              <w:t xml:space="preserve"> for degree awarding powers and</w:t>
            </w:r>
            <w:r w:rsidR="00B626D0" w:rsidRPr="00730C0D">
              <w:rPr>
                <w:rFonts w:ascii="Century Gothic" w:hAnsi="Century Gothic" w:cstheme="minorHAnsi"/>
                <w:sz w:val="20"/>
                <w:szCs w:val="20"/>
              </w:rPr>
              <w:t xml:space="preserve"> </w:t>
            </w:r>
            <w:r w:rsidR="00B626D0">
              <w:rPr>
                <w:rFonts w:ascii="Century Gothic" w:hAnsi="Century Gothic" w:cstheme="minorHAnsi"/>
                <w:sz w:val="20"/>
                <w:szCs w:val="20"/>
              </w:rPr>
              <w:t xml:space="preserve">to award fine, applied and performing arts qualifications, and professional degrees. </w:t>
            </w:r>
            <w:r w:rsidR="00B74215">
              <w:rPr>
                <w:rFonts w:ascii="Century Gothic" w:hAnsi="Century Gothic" w:cstheme="minorHAnsi"/>
                <w:sz w:val="20"/>
                <w:szCs w:val="20"/>
              </w:rPr>
              <w:t>Some university colleges are specialised in particular disciplines.</w:t>
            </w:r>
          </w:p>
          <w:p w14:paraId="761E3950" w14:textId="77777777" w:rsidR="00FE78DE" w:rsidRPr="00730C0D" w:rsidRDefault="00FE78DE" w:rsidP="00FE78DE">
            <w:pPr>
              <w:pStyle w:val="NoSpacing"/>
              <w:spacing w:line="259" w:lineRule="auto"/>
              <w:rPr>
                <w:rFonts w:ascii="Century Gothic" w:hAnsi="Century Gothic" w:cs="Calibri"/>
                <w:color w:val="000000"/>
                <w:sz w:val="20"/>
                <w:szCs w:val="20"/>
              </w:rPr>
            </w:pPr>
          </w:p>
          <w:p w14:paraId="00899F76" w14:textId="4BA0B19C" w:rsidR="00FE78DE" w:rsidRPr="00730C0D" w:rsidRDefault="00FE78DE" w:rsidP="00FE78DE">
            <w:pPr>
              <w:pStyle w:val="NoSpacing"/>
              <w:spacing w:line="259" w:lineRule="auto"/>
              <w:rPr>
                <w:rFonts w:ascii="Century Gothic" w:hAnsi="Century Gothic" w:cs="Calibri"/>
                <w:color w:val="000000"/>
                <w:sz w:val="20"/>
                <w:szCs w:val="20"/>
              </w:rPr>
            </w:pPr>
            <w:r w:rsidRPr="00730C0D">
              <w:rPr>
                <w:rFonts w:ascii="Century Gothic" w:hAnsi="Century Gothic" w:cs="Calibri"/>
                <w:b/>
                <w:color w:val="000000"/>
                <w:sz w:val="20"/>
                <w:szCs w:val="20"/>
              </w:rPr>
              <w:t xml:space="preserve">Independent </w:t>
            </w:r>
            <w:r w:rsidR="004860A1">
              <w:rPr>
                <w:rFonts w:ascii="Century Gothic" w:hAnsi="Century Gothic" w:cs="Calibri"/>
                <w:b/>
                <w:color w:val="000000"/>
                <w:sz w:val="20"/>
                <w:szCs w:val="20"/>
              </w:rPr>
              <w:t>Higher Education Providers</w:t>
            </w:r>
            <w:r w:rsidRPr="00730C0D">
              <w:rPr>
                <w:rFonts w:ascii="Century Gothic" w:hAnsi="Century Gothic" w:cs="Calibri"/>
                <w:b/>
                <w:color w:val="000000"/>
                <w:sz w:val="20"/>
                <w:szCs w:val="20"/>
              </w:rPr>
              <w:t>:</w:t>
            </w:r>
            <w:r w:rsidRPr="00730C0D">
              <w:rPr>
                <w:rFonts w:ascii="Century Gothic" w:hAnsi="Century Gothic" w:cs="Calibri"/>
                <w:color w:val="000000"/>
                <w:sz w:val="20"/>
                <w:szCs w:val="20"/>
              </w:rPr>
              <w:t xml:space="preserve"> private institutions of higher education </w:t>
            </w:r>
            <w:r w:rsidR="004860A1">
              <w:rPr>
                <w:rFonts w:ascii="Century Gothic" w:hAnsi="Century Gothic" w:cs="Calibri"/>
                <w:color w:val="000000"/>
                <w:sz w:val="20"/>
                <w:szCs w:val="20"/>
              </w:rPr>
              <w:t xml:space="preserve">that </w:t>
            </w:r>
            <w:r w:rsidR="00B74215">
              <w:rPr>
                <w:rFonts w:ascii="Century Gothic" w:hAnsi="Century Gothic" w:cs="Calibri"/>
                <w:color w:val="000000"/>
                <w:sz w:val="20"/>
                <w:szCs w:val="20"/>
              </w:rPr>
              <w:t>are managed by a private body, such as a foundation or association, and not the Government</w:t>
            </w:r>
            <w:r w:rsidR="00A80E55">
              <w:rPr>
                <w:rFonts w:ascii="Century Gothic" w:hAnsi="Century Gothic" w:cs="Calibri"/>
                <w:color w:val="000000"/>
                <w:sz w:val="20"/>
                <w:szCs w:val="20"/>
              </w:rPr>
              <w:t>,</w:t>
            </w:r>
            <w:r w:rsidR="004860A1">
              <w:rPr>
                <w:rFonts w:ascii="Century Gothic" w:hAnsi="Century Gothic" w:cs="Calibri"/>
                <w:color w:val="000000"/>
                <w:sz w:val="20"/>
                <w:szCs w:val="20"/>
              </w:rPr>
              <w:t xml:space="preserve"> and generally only offer courses within one or a few fields</w:t>
            </w:r>
            <w:r w:rsidRPr="00730C0D">
              <w:rPr>
                <w:rFonts w:ascii="Century Gothic" w:hAnsi="Century Gothic" w:cs="Calibri"/>
                <w:color w:val="000000"/>
                <w:sz w:val="20"/>
                <w:szCs w:val="20"/>
              </w:rPr>
              <w:t>.</w:t>
            </w:r>
          </w:p>
          <w:p w14:paraId="3AB72CD6" w14:textId="77777777" w:rsidR="00FE78DE" w:rsidRPr="00730C0D" w:rsidRDefault="00FE78DE" w:rsidP="00FE78DE">
            <w:pPr>
              <w:pStyle w:val="NoSpacing"/>
              <w:spacing w:line="259" w:lineRule="auto"/>
              <w:rPr>
                <w:rFonts w:ascii="Century Gothic" w:hAnsi="Century Gothic" w:cs="Calibri"/>
                <w:color w:val="000000"/>
                <w:sz w:val="20"/>
                <w:szCs w:val="20"/>
              </w:rPr>
            </w:pPr>
          </w:p>
          <w:p w14:paraId="72242963" w14:textId="77777777" w:rsidR="004860A1" w:rsidRPr="009452C7" w:rsidRDefault="00FE78DE" w:rsidP="00FE78DE">
            <w:pPr>
              <w:pStyle w:val="NoSpacing"/>
              <w:spacing w:line="259" w:lineRule="auto"/>
              <w:rPr>
                <w:rFonts w:ascii="Century Gothic" w:hAnsi="Century Gothic" w:cs="Calibri"/>
                <w:color w:val="000000"/>
                <w:sz w:val="13"/>
                <w:szCs w:val="13"/>
              </w:rPr>
            </w:pPr>
            <w:r w:rsidRPr="009452C7">
              <w:rPr>
                <w:rFonts w:ascii="Century Gothic" w:hAnsi="Century Gothic" w:cs="Calibri"/>
                <w:color w:val="000000"/>
                <w:sz w:val="13"/>
                <w:szCs w:val="13"/>
              </w:rPr>
              <w:t>Source</w:t>
            </w:r>
            <w:r w:rsidR="004860A1" w:rsidRPr="009452C7">
              <w:rPr>
                <w:rFonts w:ascii="Century Gothic" w:hAnsi="Century Gothic" w:cs="Calibri"/>
                <w:color w:val="000000"/>
                <w:sz w:val="13"/>
                <w:szCs w:val="13"/>
              </w:rPr>
              <w:t>s</w:t>
            </w:r>
            <w:r w:rsidRPr="009452C7">
              <w:rPr>
                <w:rFonts w:ascii="Century Gothic" w:hAnsi="Century Gothic" w:cs="Calibri"/>
                <w:color w:val="000000"/>
                <w:sz w:val="13"/>
                <w:szCs w:val="13"/>
              </w:rPr>
              <w:t xml:space="preserve">: </w:t>
            </w:r>
          </w:p>
          <w:p w14:paraId="28B2A3D6" w14:textId="7B43EE27" w:rsidR="00610C0D" w:rsidRPr="00B626D0" w:rsidRDefault="00610C0D" w:rsidP="00B74215">
            <w:pPr>
              <w:pStyle w:val="ListParagraph"/>
              <w:numPr>
                <w:ilvl w:val="0"/>
                <w:numId w:val="75"/>
              </w:numPr>
              <w:spacing w:before="0" w:after="0"/>
              <w:ind w:left="179" w:hanging="142"/>
              <w:rPr>
                <w:rFonts w:ascii="Century Gothic" w:hAnsi="Century Gothic" w:cs="Calibri"/>
                <w:color w:val="000000"/>
                <w:sz w:val="13"/>
                <w:szCs w:val="13"/>
              </w:rPr>
            </w:pPr>
            <w:r>
              <w:rPr>
                <w:rFonts w:ascii="Century Gothic" w:eastAsiaTheme="majorEastAsia" w:hAnsi="Century Gothic" w:cstheme="minorHAnsi"/>
                <w:sz w:val="13"/>
                <w:szCs w:val="13"/>
              </w:rPr>
              <w:t xml:space="preserve">Swedish Council for Higher Education. (2019). </w:t>
            </w:r>
            <w:r>
              <w:rPr>
                <w:rFonts w:ascii="Century Gothic" w:eastAsiaTheme="majorEastAsia" w:hAnsi="Century Gothic" w:cstheme="minorHAnsi"/>
                <w:i/>
                <w:sz w:val="13"/>
                <w:szCs w:val="13"/>
              </w:rPr>
              <w:t>Universities and University Colleges</w:t>
            </w:r>
            <w:r>
              <w:rPr>
                <w:rFonts w:ascii="Century Gothic" w:eastAsiaTheme="majorEastAsia" w:hAnsi="Century Gothic" w:cstheme="minorHAnsi"/>
                <w:sz w:val="13"/>
                <w:szCs w:val="13"/>
              </w:rPr>
              <w:t xml:space="preserve">. Retrieved from: </w:t>
            </w:r>
            <w:hyperlink r:id="rId80" w:history="1">
              <w:r w:rsidRPr="008172A1">
                <w:rPr>
                  <w:rStyle w:val="Hyperlink"/>
                  <w:rFonts w:ascii="Century Gothic" w:eastAsiaTheme="majorEastAsia" w:hAnsi="Century Gothic" w:cstheme="minorHAnsi"/>
                  <w:sz w:val="13"/>
                  <w:szCs w:val="13"/>
                </w:rPr>
                <w:t>https://www.studera.nu/startpage/higher-education-studies/universities-and-university-colleges/university-och-university-college/</w:t>
              </w:r>
            </w:hyperlink>
            <w:r>
              <w:rPr>
                <w:rFonts w:ascii="Century Gothic" w:eastAsiaTheme="majorEastAsia" w:hAnsi="Century Gothic" w:cstheme="minorHAnsi"/>
                <w:sz w:val="13"/>
                <w:szCs w:val="13"/>
              </w:rPr>
              <w:t>;</w:t>
            </w:r>
          </w:p>
          <w:p w14:paraId="68440A27" w14:textId="604882FB" w:rsidR="00610C0D" w:rsidRPr="00B626D0" w:rsidRDefault="00610C0D" w:rsidP="00B626D0">
            <w:pPr>
              <w:pStyle w:val="ListParagraph"/>
              <w:numPr>
                <w:ilvl w:val="0"/>
                <w:numId w:val="75"/>
              </w:numPr>
              <w:spacing w:before="0" w:after="0"/>
              <w:ind w:left="179" w:hanging="142"/>
              <w:rPr>
                <w:rFonts w:ascii="Century Gothic" w:hAnsi="Century Gothic" w:cs="Calibri"/>
                <w:color w:val="000000"/>
                <w:sz w:val="13"/>
                <w:szCs w:val="13"/>
              </w:rPr>
            </w:pPr>
            <w:r w:rsidRPr="00B626D0">
              <w:rPr>
                <w:rFonts w:ascii="Century Gothic" w:eastAsiaTheme="majorEastAsia" w:hAnsi="Century Gothic" w:cstheme="minorHAnsi"/>
                <w:sz w:val="13"/>
                <w:szCs w:val="13"/>
              </w:rPr>
              <w:t>Swedish</w:t>
            </w:r>
            <w:r w:rsidRPr="00B626D0">
              <w:rPr>
                <w:rFonts w:ascii="Century Gothic" w:hAnsi="Century Gothic" w:cs="Calibri"/>
                <w:color w:val="000000"/>
                <w:sz w:val="13"/>
                <w:szCs w:val="13"/>
              </w:rPr>
              <w:t xml:space="preserve"> Higher Education Authority (UKA). (2017). </w:t>
            </w:r>
            <w:r w:rsidRPr="00B626D0">
              <w:rPr>
                <w:rFonts w:ascii="Century Gothic" w:hAnsi="Century Gothic" w:cs="Calibri"/>
                <w:i/>
                <w:color w:val="000000"/>
                <w:sz w:val="13"/>
                <w:szCs w:val="13"/>
              </w:rPr>
              <w:t>Independent higher education providers</w:t>
            </w:r>
            <w:r w:rsidRPr="00B626D0">
              <w:rPr>
                <w:rFonts w:ascii="Century Gothic" w:hAnsi="Century Gothic" w:cs="Calibri"/>
                <w:color w:val="000000"/>
                <w:sz w:val="13"/>
                <w:szCs w:val="13"/>
              </w:rPr>
              <w:t xml:space="preserve">. Retrieved from: </w:t>
            </w:r>
            <w:hyperlink r:id="rId81" w:history="1">
              <w:r w:rsidRPr="00B626D0">
                <w:rPr>
                  <w:rStyle w:val="Hyperlink"/>
                  <w:rFonts w:ascii="Century Gothic" w:hAnsi="Century Gothic" w:cs="Calibri"/>
                  <w:sz w:val="13"/>
                  <w:szCs w:val="13"/>
                </w:rPr>
                <w:t>https://english.uka.se/facts-about-higher-education/higher-education-institutions-heis/independent-higher-education-providers.html</w:t>
              </w:r>
            </w:hyperlink>
            <w:r>
              <w:rPr>
                <w:rFonts w:ascii="Century Gothic" w:hAnsi="Century Gothic" w:cs="Calibri"/>
                <w:color w:val="000000"/>
                <w:sz w:val="13"/>
                <w:szCs w:val="13"/>
              </w:rPr>
              <w:t>;</w:t>
            </w:r>
            <w:r w:rsidRPr="00B626D0">
              <w:rPr>
                <w:rFonts w:ascii="Century Gothic" w:hAnsi="Century Gothic" w:cs="Calibri"/>
                <w:color w:val="000000"/>
                <w:sz w:val="13"/>
                <w:szCs w:val="13"/>
              </w:rPr>
              <w:t xml:space="preserve"> </w:t>
            </w:r>
            <w:r>
              <w:rPr>
                <w:rFonts w:ascii="Century Gothic" w:hAnsi="Century Gothic" w:cs="Calibri"/>
                <w:color w:val="000000"/>
                <w:sz w:val="13"/>
                <w:szCs w:val="13"/>
              </w:rPr>
              <w:t>and</w:t>
            </w:r>
          </w:p>
          <w:p w14:paraId="154669F7" w14:textId="7FCD90CB" w:rsidR="00610C0D" w:rsidRDefault="00610C0D" w:rsidP="00B626D0">
            <w:pPr>
              <w:pStyle w:val="ListParagraph"/>
              <w:numPr>
                <w:ilvl w:val="0"/>
                <w:numId w:val="75"/>
              </w:numPr>
              <w:spacing w:before="0" w:after="0"/>
              <w:ind w:left="179" w:hanging="142"/>
              <w:rPr>
                <w:rFonts w:ascii="Century Gothic" w:hAnsi="Century Gothic" w:cs="Calibri"/>
                <w:color w:val="000000"/>
                <w:sz w:val="13"/>
                <w:szCs w:val="13"/>
              </w:rPr>
            </w:pPr>
            <w:r w:rsidRPr="00B626D0">
              <w:rPr>
                <w:rFonts w:ascii="Century Gothic" w:eastAsiaTheme="majorEastAsia" w:hAnsi="Century Gothic" w:cstheme="minorHAnsi"/>
                <w:sz w:val="13"/>
                <w:szCs w:val="13"/>
              </w:rPr>
              <w:t>Swedish</w:t>
            </w:r>
            <w:r w:rsidRPr="00B626D0">
              <w:rPr>
                <w:rFonts w:ascii="Century Gothic" w:hAnsi="Century Gothic" w:cs="Calibri"/>
                <w:color w:val="000000"/>
                <w:sz w:val="13"/>
                <w:szCs w:val="13"/>
              </w:rPr>
              <w:t xml:space="preserve"> Higher Education Authority (UKA). (2017). </w:t>
            </w:r>
            <w:r w:rsidRPr="00B626D0">
              <w:rPr>
                <w:rFonts w:ascii="Century Gothic" w:hAnsi="Century Gothic" w:cs="Calibri"/>
                <w:i/>
                <w:color w:val="000000"/>
                <w:sz w:val="13"/>
                <w:szCs w:val="13"/>
              </w:rPr>
              <w:t>Universities and University Colleges</w:t>
            </w:r>
            <w:r w:rsidRPr="00B626D0">
              <w:rPr>
                <w:rFonts w:ascii="Century Gothic" w:hAnsi="Century Gothic" w:cs="Calibri"/>
                <w:color w:val="000000"/>
                <w:sz w:val="13"/>
                <w:szCs w:val="13"/>
              </w:rPr>
              <w:t xml:space="preserve">. Retrieved from: </w:t>
            </w:r>
            <w:hyperlink r:id="rId82" w:history="1">
              <w:r w:rsidRPr="00B626D0">
                <w:rPr>
                  <w:rStyle w:val="Hyperlink"/>
                  <w:rFonts w:ascii="Century Gothic" w:hAnsi="Century Gothic" w:cs="Calibri"/>
                  <w:sz w:val="13"/>
                  <w:szCs w:val="13"/>
                </w:rPr>
                <w:t>https://english.uka.se/facts-about-higher-education/higher-education-institutions-heis/universities-and-university-colleges.html</w:t>
              </w:r>
            </w:hyperlink>
            <w:r>
              <w:rPr>
                <w:rFonts w:ascii="Century Gothic" w:hAnsi="Century Gothic" w:cs="Calibri"/>
                <w:color w:val="000000"/>
                <w:sz w:val="13"/>
                <w:szCs w:val="13"/>
              </w:rPr>
              <w:t>.</w:t>
            </w:r>
          </w:p>
          <w:p w14:paraId="4E5C3F7F" w14:textId="77777777" w:rsidR="00FE78DE" w:rsidRPr="00730C0D" w:rsidRDefault="00FE78DE" w:rsidP="00FE78DE">
            <w:pPr>
              <w:pStyle w:val="NoSpacing"/>
              <w:spacing w:line="259" w:lineRule="auto"/>
              <w:rPr>
                <w:rFonts w:ascii="Century Gothic" w:hAnsi="Century Gothic" w:cs="Calibri"/>
                <w:color w:val="000000"/>
                <w:sz w:val="20"/>
                <w:szCs w:val="20"/>
              </w:rPr>
            </w:pPr>
          </w:p>
        </w:tc>
      </w:tr>
    </w:tbl>
    <w:p w14:paraId="2E6D8F66" w14:textId="77777777" w:rsidR="00B21D44" w:rsidRDefault="00B21D44">
      <w:r>
        <w:br w:type="page"/>
      </w:r>
    </w:p>
    <w:tbl>
      <w:tblPr>
        <w:tblStyle w:val="TableGrid"/>
        <w:tblW w:w="10355" w:type="dxa"/>
        <w:tblInd w:w="-714" w:type="dxa"/>
        <w:tblLook w:val="04A0" w:firstRow="1" w:lastRow="0" w:firstColumn="1" w:lastColumn="0" w:noHBand="0" w:noVBand="1"/>
      </w:tblPr>
      <w:tblGrid>
        <w:gridCol w:w="2694"/>
        <w:gridCol w:w="283"/>
        <w:gridCol w:w="7371"/>
        <w:gridCol w:w="7"/>
      </w:tblGrid>
      <w:tr w:rsidR="00B21D44" w:rsidRPr="00730C0D" w14:paraId="1BDBE0F4" w14:textId="77777777" w:rsidTr="00B21D44">
        <w:trPr>
          <w:gridAfter w:val="1"/>
          <w:cnfStyle w:val="100000000000" w:firstRow="1" w:lastRow="0" w:firstColumn="0" w:lastColumn="0" w:oddVBand="0" w:evenVBand="0" w:oddHBand="0" w:evenHBand="0" w:firstRowFirstColumn="0" w:firstRowLastColumn="0" w:lastRowFirstColumn="0" w:lastRowLastColumn="0"/>
          <w:wAfter w:w="7" w:type="dxa"/>
          <w:tblHeader/>
        </w:trPr>
        <w:tc>
          <w:tcPr>
            <w:tcW w:w="2977" w:type="dxa"/>
            <w:gridSpan w:val="2"/>
            <w:vAlign w:val="top"/>
          </w:tcPr>
          <w:p w14:paraId="0E73576A" w14:textId="77777777" w:rsidR="00B21D44" w:rsidRPr="00730C0D" w:rsidRDefault="00B21D44" w:rsidP="00363B57">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Country Overview</w:t>
            </w:r>
          </w:p>
        </w:tc>
        <w:tc>
          <w:tcPr>
            <w:tcW w:w="7371" w:type="dxa"/>
            <w:vAlign w:val="top"/>
          </w:tcPr>
          <w:p w14:paraId="79ED3374" w14:textId="77777777" w:rsidR="00B21D44" w:rsidRPr="00730C0D" w:rsidRDefault="00B21D44" w:rsidP="00363B57">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Higher Education Provider Descriptions</w:t>
            </w:r>
          </w:p>
        </w:tc>
      </w:tr>
      <w:tr w:rsidR="00FE78DE" w:rsidRPr="00730C0D" w14:paraId="2ABA096C" w14:textId="77777777" w:rsidTr="00B21D44">
        <w:tc>
          <w:tcPr>
            <w:tcW w:w="10355" w:type="dxa"/>
            <w:gridSpan w:val="4"/>
            <w:shd w:val="clear" w:color="auto" w:fill="DEEAF6" w:themeFill="accent1" w:themeFillTint="33"/>
            <w:vAlign w:val="top"/>
          </w:tcPr>
          <w:p w14:paraId="1A041C2F" w14:textId="483EDB3D" w:rsidR="00FE78DE" w:rsidRPr="00730C0D" w:rsidRDefault="00FE78DE" w:rsidP="00FE78DE">
            <w:pPr>
              <w:spacing w:before="0" w:after="0"/>
              <w:rPr>
                <w:rFonts w:ascii="Century Gothic" w:eastAsiaTheme="majorEastAsia" w:hAnsi="Century Gothic" w:cstheme="minorHAnsi"/>
                <w:b/>
                <w:sz w:val="20"/>
                <w:szCs w:val="20"/>
              </w:rPr>
            </w:pPr>
            <w:r w:rsidRPr="00730C0D">
              <w:rPr>
                <w:rFonts w:ascii="Century Gothic" w:eastAsiaTheme="majorEastAsia" w:hAnsi="Century Gothic" w:cstheme="minorHAnsi"/>
                <w:b/>
                <w:sz w:val="20"/>
                <w:szCs w:val="20"/>
              </w:rPr>
              <w:t>United Kingdom</w:t>
            </w:r>
          </w:p>
        </w:tc>
      </w:tr>
      <w:tr w:rsidR="00FE78DE" w:rsidRPr="00730C0D" w14:paraId="38A3F7DE" w14:textId="77777777" w:rsidTr="00B21D44">
        <w:trPr>
          <w:gridAfter w:val="1"/>
          <w:wAfter w:w="7" w:type="dxa"/>
        </w:trPr>
        <w:tc>
          <w:tcPr>
            <w:tcW w:w="2694" w:type="dxa"/>
            <w:vAlign w:val="top"/>
          </w:tcPr>
          <w:p w14:paraId="3E083F9D" w14:textId="5077BF94" w:rsidR="00FE78DE" w:rsidRPr="00730C0D" w:rsidRDefault="002F31E5" w:rsidP="00FE78DE">
            <w:pPr>
              <w:spacing w:before="0" w:after="0" w:line="259" w:lineRule="auto"/>
              <w:rPr>
                <w:rFonts w:ascii="Century Gothic" w:eastAsiaTheme="majorEastAsia" w:hAnsi="Century Gothic" w:cstheme="minorHAnsi"/>
                <w:sz w:val="20"/>
                <w:szCs w:val="20"/>
              </w:rPr>
            </w:pPr>
            <w:r>
              <w:rPr>
                <w:rFonts w:ascii="Century Gothic" w:eastAsiaTheme="majorEastAsia" w:hAnsi="Century Gothic" w:cstheme="minorHAnsi"/>
                <w:sz w:val="20"/>
                <w:szCs w:val="20"/>
              </w:rPr>
              <w:t xml:space="preserve">Six </w:t>
            </w:r>
            <w:r w:rsidR="00FE78DE" w:rsidRPr="00730C0D">
              <w:rPr>
                <w:rFonts w:ascii="Century Gothic" w:eastAsiaTheme="majorEastAsia" w:hAnsi="Century Gothic" w:cstheme="minorHAnsi"/>
                <w:sz w:val="20"/>
                <w:szCs w:val="20"/>
              </w:rPr>
              <w:t>broad higher education institution typ</w:t>
            </w:r>
            <w:r>
              <w:rPr>
                <w:rFonts w:ascii="Century Gothic" w:eastAsiaTheme="majorEastAsia" w:hAnsi="Century Gothic" w:cstheme="minorHAnsi"/>
                <w:sz w:val="20"/>
                <w:szCs w:val="20"/>
              </w:rPr>
              <w:t>es.</w:t>
            </w:r>
          </w:p>
          <w:p w14:paraId="7E6513CD" w14:textId="77777777" w:rsidR="00FE78DE" w:rsidRPr="00730C0D" w:rsidRDefault="00FE78DE" w:rsidP="002F31E5">
            <w:pPr>
              <w:spacing w:before="0" w:after="0"/>
              <w:rPr>
                <w:rFonts w:ascii="Century Gothic" w:eastAsiaTheme="majorEastAsia" w:hAnsi="Century Gothic" w:cstheme="minorHAnsi"/>
                <w:sz w:val="20"/>
                <w:szCs w:val="20"/>
              </w:rPr>
            </w:pPr>
          </w:p>
        </w:tc>
        <w:tc>
          <w:tcPr>
            <w:tcW w:w="7654" w:type="dxa"/>
            <w:gridSpan w:val="2"/>
          </w:tcPr>
          <w:p w14:paraId="44509AA6" w14:textId="32854B30" w:rsidR="00FE78DE"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 xml:space="preserve">Universities: </w:t>
            </w:r>
            <w:r w:rsidRPr="00730C0D">
              <w:rPr>
                <w:rFonts w:ascii="Century Gothic" w:eastAsiaTheme="majorEastAsia" w:hAnsi="Century Gothic" w:cstheme="minorHAnsi"/>
                <w:sz w:val="20"/>
                <w:szCs w:val="20"/>
              </w:rPr>
              <w:t>institutions that are independent, autonomous, hold degree-awarding powers and</w:t>
            </w:r>
            <w:r w:rsidR="00610C0D">
              <w:rPr>
                <w:rFonts w:ascii="Century Gothic" w:eastAsiaTheme="majorEastAsia" w:hAnsi="Century Gothic" w:cstheme="minorHAnsi"/>
                <w:sz w:val="20"/>
                <w:szCs w:val="20"/>
              </w:rPr>
              <w:t xml:space="preserve"> must also have a minimum number of higher education students in order to be eligible to apply for the ‘university’ title (this minimum requirement varies across the four United Kingdom countries: England, Wales, Scotland, and Northern Ireland, each of which has its own higher education administration policy).</w:t>
            </w:r>
            <w:r w:rsidRPr="00730C0D">
              <w:rPr>
                <w:rFonts w:ascii="Century Gothic" w:eastAsiaTheme="majorEastAsia" w:hAnsi="Century Gothic" w:cstheme="minorHAnsi"/>
                <w:sz w:val="20"/>
                <w:szCs w:val="20"/>
              </w:rPr>
              <w:t xml:space="preserve"> </w:t>
            </w:r>
          </w:p>
          <w:p w14:paraId="3EA244CF" w14:textId="7522482F" w:rsidR="00F74FDD" w:rsidRDefault="00F74FDD" w:rsidP="00FE78DE">
            <w:pPr>
              <w:spacing w:before="0" w:after="0" w:line="259" w:lineRule="auto"/>
              <w:rPr>
                <w:rFonts w:ascii="Century Gothic" w:eastAsiaTheme="majorEastAsia" w:hAnsi="Century Gothic" w:cstheme="minorHAnsi"/>
                <w:sz w:val="20"/>
                <w:szCs w:val="20"/>
              </w:rPr>
            </w:pPr>
          </w:p>
          <w:p w14:paraId="1D99D8F0" w14:textId="53E5D7D2" w:rsidR="00F74FDD" w:rsidRPr="00F74FDD" w:rsidRDefault="00F74FDD" w:rsidP="00F74FDD">
            <w:pPr>
              <w:spacing w:before="0" w:after="0" w:line="259" w:lineRule="auto"/>
              <w:rPr>
                <w:rFonts w:ascii="Century Gothic" w:eastAsiaTheme="majorEastAsia" w:hAnsi="Century Gothic" w:cstheme="minorHAnsi"/>
                <w:sz w:val="20"/>
                <w:szCs w:val="20"/>
              </w:rPr>
            </w:pPr>
            <w:r w:rsidRPr="00F74FDD">
              <w:rPr>
                <w:rFonts w:ascii="Century Gothic" w:eastAsiaTheme="majorEastAsia" w:hAnsi="Century Gothic" w:cstheme="minorHAnsi"/>
                <w:sz w:val="20"/>
                <w:szCs w:val="20"/>
              </w:rPr>
              <w:t>To call itself a university, an institution must be authorised to do so by private Act, royal charter, and, until recently in England, by approval of the Privy Council</w:t>
            </w:r>
            <w:r w:rsidR="0010171E">
              <w:rPr>
                <w:rFonts w:ascii="Century Gothic" w:eastAsiaTheme="majorEastAsia" w:hAnsi="Century Gothic" w:cstheme="minorHAnsi"/>
                <w:sz w:val="20"/>
                <w:szCs w:val="20"/>
              </w:rPr>
              <w:t>.</w:t>
            </w:r>
          </w:p>
          <w:p w14:paraId="6349A459"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1B32E691" w14:textId="2774BDA5" w:rsidR="00FE78DE" w:rsidRPr="00730C0D" w:rsidRDefault="00FE78DE" w:rsidP="00FE78DE">
            <w:pPr>
              <w:spacing w:before="0" w:after="0" w:line="259" w:lineRule="auto"/>
              <w:rPr>
                <w:rFonts w:ascii="Century Gothic" w:eastAsiaTheme="majorEastAsia" w:hAnsi="Century Gothic" w:cstheme="minorHAnsi"/>
                <w:b/>
                <w:sz w:val="20"/>
                <w:szCs w:val="20"/>
              </w:rPr>
            </w:pPr>
            <w:r w:rsidRPr="00730C0D">
              <w:rPr>
                <w:rFonts w:ascii="Century Gothic" w:eastAsiaTheme="majorEastAsia" w:hAnsi="Century Gothic" w:cstheme="minorHAnsi"/>
                <w:b/>
                <w:sz w:val="20"/>
                <w:szCs w:val="20"/>
              </w:rPr>
              <w:t xml:space="preserve">University Colleges: </w:t>
            </w:r>
            <w:r w:rsidRPr="00730C0D">
              <w:rPr>
                <w:rFonts w:ascii="Century Gothic" w:eastAsiaTheme="majorEastAsia" w:hAnsi="Century Gothic" w:cstheme="minorHAnsi"/>
                <w:sz w:val="20"/>
                <w:szCs w:val="20"/>
              </w:rPr>
              <w:t xml:space="preserve">institutions with </w:t>
            </w:r>
            <w:r w:rsidR="00F74FDD">
              <w:rPr>
                <w:rFonts w:ascii="Century Gothic" w:eastAsiaTheme="majorEastAsia" w:hAnsi="Century Gothic" w:cstheme="minorHAnsi"/>
                <w:sz w:val="20"/>
                <w:szCs w:val="20"/>
              </w:rPr>
              <w:t>the same requirements as universities although with no minimum, or at</w:t>
            </w:r>
            <w:r w:rsidR="00C67C1D">
              <w:rPr>
                <w:rFonts w:ascii="Century Gothic" w:eastAsiaTheme="majorEastAsia" w:hAnsi="Century Gothic" w:cstheme="minorHAnsi"/>
                <w:sz w:val="20"/>
                <w:szCs w:val="20"/>
              </w:rPr>
              <w:t xml:space="preserve"> least a lower, student number</w:t>
            </w:r>
            <w:r w:rsidR="00F74FDD">
              <w:rPr>
                <w:rFonts w:ascii="Century Gothic" w:eastAsiaTheme="majorEastAsia" w:hAnsi="Century Gothic" w:cstheme="minorHAnsi"/>
                <w:sz w:val="20"/>
                <w:szCs w:val="20"/>
              </w:rPr>
              <w:t xml:space="preserve"> requirement for a ‘University’ title award (depending on which UK administration). </w:t>
            </w:r>
          </w:p>
          <w:p w14:paraId="5F9650FD"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7C0E7A54" w14:textId="44E04A4C" w:rsidR="00F74FDD" w:rsidRPr="00F74FDD" w:rsidRDefault="00F74FDD" w:rsidP="00F74FDD">
            <w:pPr>
              <w:spacing w:before="0" w:after="0"/>
              <w:rPr>
                <w:rFonts w:ascii="Century Gothic" w:eastAsiaTheme="majorEastAsia" w:hAnsi="Century Gothic" w:cstheme="minorHAnsi"/>
                <w:sz w:val="20"/>
                <w:szCs w:val="20"/>
              </w:rPr>
            </w:pPr>
            <w:r>
              <w:rPr>
                <w:rFonts w:ascii="Century Gothic" w:eastAsiaTheme="majorEastAsia" w:hAnsi="Century Gothic" w:cstheme="minorHAnsi"/>
                <w:b/>
                <w:sz w:val="20"/>
                <w:szCs w:val="20"/>
              </w:rPr>
              <w:t>Other providers with degree awarding powers (DPAS)</w:t>
            </w:r>
            <w:r w:rsidR="00FE78DE" w:rsidRPr="00730C0D">
              <w:rPr>
                <w:rFonts w:ascii="Century Gothic" w:eastAsiaTheme="majorEastAsia" w:hAnsi="Century Gothic" w:cstheme="minorHAnsi"/>
                <w:b/>
                <w:sz w:val="20"/>
                <w:szCs w:val="20"/>
              </w:rPr>
              <w:t>:</w:t>
            </w:r>
            <w:r w:rsidR="00FE78DE" w:rsidRPr="00730C0D">
              <w:rPr>
                <w:rFonts w:ascii="Century Gothic" w:eastAsiaTheme="majorEastAsia" w:hAnsi="Century Gothic" w:cstheme="minorHAnsi"/>
                <w:sz w:val="20"/>
                <w:szCs w:val="20"/>
              </w:rPr>
              <w:t xml:space="preserve"> institutions </w:t>
            </w:r>
            <w:r>
              <w:rPr>
                <w:rFonts w:ascii="Century Gothic" w:eastAsiaTheme="majorEastAsia" w:hAnsi="Century Gothic" w:cstheme="minorHAnsi"/>
                <w:sz w:val="20"/>
                <w:szCs w:val="20"/>
              </w:rPr>
              <w:t xml:space="preserve">regulated by one of the UK’s four </w:t>
            </w:r>
            <w:r w:rsidRPr="00F74FDD">
              <w:rPr>
                <w:rFonts w:ascii="Century Gothic" w:eastAsiaTheme="majorEastAsia" w:hAnsi="Century Gothic" w:cstheme="minorHAnsi"/>
                <w:sz w:val="20"/>
                <w:szCs w:val="20"/>
              </w:rPr>
              <w:t>regulatory/funding bodies (depending o</w:t>
            </w:r>
            <w:r>
              <w:rPr>
                <w:rFonts w:ascii="Century Gothic" w:eastAsiaTheme="majorEastAsia" w:hAnsi="Century Gothic" w:cstheme="minorHAnsi"/>
                <w:sz w:val="20"/>
                <w:szCs w:val="20"/>
              </w:rPr>
              <w:t xml:space="preserve">n which UK administration), </w:t>
            </w:r>
            <w:r w:rsidRPr="00F74FDD">
              <w:rPr>
                <w:rFonts w:ascii="Century Gothic" w:eastAsiaTheme="majorEastAsia" w:hAnsi="Century Gothic" w:cstheme="minorHAnsi"/>
                <w:sz w:val="20"/>
                <w:szCs w:val="20"/>
              </w:rPr>
              <w:t>meet the expectations of the UK Quality Code, and that deliver awarding body qualifications.</w:t>
            </w:r>
          </w:p>
          <w:p w14:paraId="5277E499" w14:textId="77777777" w:rsidR="00F74FDD" w:rsidRPr="00F74FDD" w:rsidRDefault="00F74FDD" w:rsidP="00F74FDD">
            <w:pPr>
              <w:spacing w:before="0" w:after="0" w:line="259" w:lineRule="auto"/>
              <w:rPr>
                <w:rFonts w:ascii="Century Gothic" w:eastAsiaTheme="majorEastAsia" w:hAnsi="Century Gothic" w:cstheme="minorHAnsi"/>
                <w:sz w:val="20"/>
                <w:szCs w:val="20"/>
              </w:rPr>
            </w:pPr>
          </w:p>
          <w:p w14:paraId="5A974C0A" w14:textId="6DCB286E" w:rsidR="00F74FDD" w:rsidRPr="00F74FDD" w:rsidRDefault="00F74FDD" w:rsidP="00F74FDD">
            <w:pPr>
              <w:spacing w:before="0" w:after="0" w:line="259" w:lineRule="auto"/>
              <w:rPr>
                <w:rFonts w:ascii="Century Gothic" w:eastAsiaTheme="majorEastAsia" w:hAnsi="Century Gothic" w:cstheme="minorHAnsi"/>
                <w:sz w:val="20"/>
                <w:szCs w:val="20"/>
              </w:rPr>
            </w:pPr>
            <w:r w:rsidRPr="00F74FDD">
              <w:rPr>
                <w:rFonts w:ascii="Century Gothic" w:eastAsiaTheme="majorEastAsia" w:hAnsi="Century Gothic" w:cstheme="minorHAnsi"/>
                <w:sz w:val="20"/>
                <w:szCs w:val="20"/>
              </w:rPr>
              <w:t>Powers may be granted in relation to three categories of de</w:t>
            </w:r>
            <w:r>
              <w:rPr>
                <w:rFonts w:ascii="Century Gothic" w:eastAsiaTheme="majorEastAsia" w:hAnsi="Century Gothic" w:cstheme="minorHAnsi"/>
                <w:sz w:val="20"/>
                <w:szCs w:val="20"/>
              </w:rPr>
              <w:t>grees, commonly referred to as ‘</w:t>
            </w:r>
            <w:r w:rsidRPr="00F74FDD">
              <w:rPr>
                <w:rFonts w:ascii="Century Gothic" w:eastAsiaTheme="majorEastAsia" w:hAnsi="Century Gothic" w:cstheme="minorHAnsi"/>
                <w:sz w:val="20"/>
                <w:szCs w:val="20"/>
              </w:rPr>
              <w:t>foundation</w:t>
            </w:r>
            <w:r>
              <w:rPr>
                <w:rFonts w:ascii="Century Gothic" w:eastAsiaTheme="majorEastAsia" w:hAnsi="Century Gothic" w:cstheme="minorHAnsi"/>
                <w:sz w:val="20"/>
                <w:szCs w:val="20"/>
              </w:rPr>
              <w:t>’</w:t>
            </w:r>
            <w:r w:rsidRPr="00F74FDD">
              <w:rPr>
                <w:rFonts w:ascii="Century Gothic" w:eastAsiaTheme="majorEastAsia" w:hAnsi="Century Gothic" w:cstheme="minorHAnsi"/>
                <w:sz w:val="20"/>
                <w:szCs w:val="20"/>
              </w:rPr>
              <w:t xml:space="preserve"> degrees, </w:t>
            </w:r>
            <w:r>
              <w:rPr>
                <w:rFonts w:ascii="Century Gothic" w:eastAsiaTheme="majorEastAsia" w:hAnsi="Century Gothic" w:cstheme="minorHAnsi"/>
                <w:sz w:val="20"/>
                <w:szCs w:val="20"/>
              </w:rPr>
              <w:t>‘</w:t>
            </w:r>
            <w:r w:rsidRPr="00F74FDD">
              <w:rPr>
                <w:rFonts w:ascii="Century Gothic" w:eastAsiaTheme="majorEastAsia" w:hAnsi="Century Gothic" w:cstheme="minorHAnsi"/>
                <w:sz w:val="20"/>
                <w:szCs w:val="20"/>
              </w:rPr>
              <w:t>taught</w:t>
            </w:r>
            <w:r>
              <w:rPr>
                <w:rFonts w:ascii="Century Gothic" w:eastAsiaTheme="majorEastAsia" w:hAnsi="Century Gothic" w:cstheme="minorHAnsi"/>
                <w:sz w:val="20"/>
                <w:szCs w:val="20"/>
              </w:rPr>
              <w:t>’</w:t>
            </w:r>
            <w:r w:rsidRPr="00F74FDD">
              <w:rPr>
                <w:rFonts w:ascii="Century Gothic" w:eastAsiaTheme="majorEastAsia" w:hAnsi="Century Gothic" w:cstheme="minorHAnsi"/>
                <w:sz w:val="20"/>
                <w:szCs w:val="20"/>
              </w:rPr>
              <w:t xml:space="preserve"> degrees, and </w:t>
            </w:r>
            <w:r>
              <w:rPr>
                <w:rFonts w:ascii="Century Gothic" w:eastAsiaTheme="majorEastAsia" w:hAnsi="Century Gothic" w:cstheme="minorHAnsi"/>
                <w:sz w:val="20"/>
                <w:szCs w:val="20"/>
              </w:rPr>
              <w:t>‘</w:t>
            </w:r>
            <w:r w:rsidRPr="00F74FDD">
              <w:rPr>
                <w:rFonts w:ascii="Century Gothic" w:eastAsiaTheme="majorEastAsia" w:hAnsi="Century Gothic" w:cstheme="minorHAnsi"/>
                <w:sz w:val="20"/>
                <w:szCs w:val="20"/>
              </w:rPr>
              <w:t>research</w:t>
            </w:r>
            <w:r>
              <w:rPr>
                <w:rFonts w:ascii="Century Gothic" w:eastAsiaTheme="majorEastAsia" w:hAnsi="Century Gothic" w:cstheme="minorHAnsi"/>
                <w:sz w:val="20"/>
                <w:szCs w:val="20"/>
              </w:rPr>
              <w:t>’</w:t>
            </w:r>
            <w:r w:rsidRPr="00F74FDD">
              <w:rPr>
                <w:rFonts w:ascii="Century Gothic" w:eastAsiaTheme="majorEastAsia" w:hAnsi="Century Gothic" w:cstheme="minorHAnsi"/>
                <w:sz w:val="20"/>
                <w:szCs w:val="20"/>
              </w:rPr>
              <w:t xml:space="preserve"> degrees. Providers granted taught degree awarding powers are able to award all types of taught degrees (Foundation, Ordinary, Bachelors and taught Masters</w:t>
            </w:r>
            <w:r>
              <w:rPr>
                <w:rFonts w:ascii="Century Gothic" w:eastAsiaTheme="majorEastAsia" w:hAnsi="Century Gothic" w:cstheme="minorHAnsi"/>
                <w:sz w:val="20"/>
                <w:szCs w:val="20"/>
              </w:rPr>
              <w:t>) but not D</w:t>
            </w:r>
            <w:r w:rsidRPr="00F74FDD">
              <w:rPr>
                <w:rFonts w:ascii="Century Gothic" w:eastAsiaTheme="majorEastAsia" w:hAnsi="Century Gothic" w:cstheme="minorHAnsi"/>
                <w:sz w:val="20"/>
                <w:szCs w:val="20"/>
              </w:rPr>
              <w:t>octoral degrees. Only organisations granted research degree awarding powers can award Doctorates.</w:t>
            </w:r>
            <w:r>
              <w:rPr>
                <w:rFonts w:ascii="Century Gothic" w:eastAsiaTheme="majorEastAsia" w:hAnsi="Century Gothic" w:cstheme="minorHAnsi"/>
                <w:sz w:val="20"/>
                <w:szCs w:val="20"/>
              </w:rPr>
              <w:t xml:space="preserve"> </w:t>
            </w:r>
            <w:r w:rsidRPr="00F74FDD">
              <w:rPr>
                <w:rFonts w:ascii="Century Gothic" w:eastAsiaTheme="majorEastAsia" w:hAnsi="Century Gothic" w:cstheme="minorHAnsi"/>
                <w:sz w:val="20"/>
                <w:szCs w:val="20"/>
              </w:rPr>
              <w:t>Providers must demonstrate that they are “a self-critical</w:t>
            </w:r>
            <w:r w:rsidR="00C67C1D">
              <w:rPr>
                <w:rFonts w:ascii="Century Gothic" w:eastAsiaTheme="majorEastAsia" w:hAnsi="Century Gothic" w:cstheme="minorHAnsi"/>
                <w:sz w:val="20"/>
                <w:szCs w:val="20"/>
              </w:rPr>
              <w:t>, cohesive academic community”</w:t>
            </w:r>
            <w:r w:rsidRPr="00F74FDD">
              <w:rPr>
                <w:rFonts w:ascii="Century Gothic" w:eastAsiaTheme="majorEastAsia" w:hAnsi="Century Gothic" w:cstheme="minorHAnsi"/>
                <w:sz w:val="20"/>
                <w:szCs w:val="20"/>
              </w:rPr>
              <w:t xml:space="preserve"> and have gone through a rigorous process of quality assessment before being granted an indefinite award. </w:t>
            </w:r>
          </w:p>
          <w:p w14:paraId="3C3C7770"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76BEE4B7" w14:textId="3491C928" w:rsidR="00FE78DE" w:rsidRPr="00730C0D" w:rsidRDefault="00F74FDD" w:rsidP="00F74FDD">
            <w:pPr>
              <w:spacing w:before="0" w:after="0"/>
              <w:rPr>
                <w:rFonts w:ascii="Century Gothic" w:eastAsiaTheme="majorEastAsia" w:hAnsi="Century Gothic" w:cstheme="minorHAnsi"/>
                <w:sz w:val="20"/>
                <w:szCs w:val="20"/>
              </w:rPr>
            </w:pPr>
            <w:r>
              <w:rPr>
                <w:rFonts w:ascii="Century Gothic" w:eastAsiaTheme="majorEastAsia" w:hAnsi="Century Gothic" w:cstheme="minorHAnsi"/>
                <w:b/>
                <w:sz w:val="20"/>
                <w:szCs w:val="20"/>
              </w:rPr>
              <w:t>Providers with Foundation Degree only powers (FDAPs)</w:t>
            </w:r>
            <w:r w:rsidR="00FE78DE" w:rsidRPr="00730C0D">
              <w:rPr>
                <w:rFonts w:ascii="Century Gothic" w:eastAsiaTheme="majorEastAsia" w:hAnsi="Century Gothic" w:cstheme="minorHAnsi"/>
                <w:b/>
                <w:sz w:val="20"/>
                <w:szCs w:val="20"/>
              </w:rPr>
              <w:t>:</w:t>
            </w:r>
            <w:r w:rsidR="00FE78DE" w:rsidRPr="00730C0D">
              <w:rPr>
                <w:rFonts w:ascii="Century Gothic" w:eastAsiaTheme="majorEastAsia" w:hAnsi="Century Gothic" w:cstheme="minorHAnsi"/>
                <w:sz w:val="20"/>
                <w:szCs w:val="20"/>
              </w:rPr>
              <w:t xml:space="preserve"> </w:t>
            </w:r>
            <w:r>
              <w:rPr>
                <w:rFonts w:ascii="Century Gothic" w:eastAsiaTheme="majorEastAsia" w:hAnsi="Century Gothic" w:cstheme="minorHAnsi"/>
                <w:sz w:val="20"/>
                <w:szCs w:val="20"/>
              </w:rPr>
              <w:t>o</w:t>
            </w:r>
            <w:r w:rsidRPr="00F74FDD">
              <w:rPr>
                <w:rFonts w:ascii="Century Gothic" w:eastAsiaTheme="majorEastAsia" w:hAnsi="Century Gothic" w:cstheme="minorHAnsi"/>
                <w:sz w:val="20"/>
                <w:szCs w:val="20"/>
              </w:rPr>
              <w:t>nly providers that are statutory further educa</w:t>
            </w:r>
            <w:r>
              <w:rPr>
                <w:rFonts w:ascii="Century Gothic" w:eastAsiaTheme="majorEastAsia" w:hAnsi="Century Gothic" w:cstheme="minorHAnsi"/>
                <w:sz w:val="20"/>
                <w:szCs w:val="20"/>
              </w:rPr>
              <w:t>tion institutions may obtain a F</w:t>
            </w:r>
            <w:r w:rsidRPr="00F74FDD">
              <w:rPr>
                <w:rFonts w:ascii="Century Gothic" w:eastAsiaTheme="majorEastAsia" w:hAnsi="Century Gothic" w:cstheme="minorHAnsi"/>
                <w:sz w:val="20"/>
                <w:szCs w:val="20"/>
              </w:rPr>
              <w:t>oundation</w:t>
            </w:r>
            <w:r>
              <w:rPr>
                <w:rFonts w:ascii="Century Gothic" w:eastAsiaTheme="majorEastAsia" w:hAnsi="Century Gothic" w:cstheme="minorHAnsi"/>
                <w:sz w:val="20"/>
                <w:szCs w:val="20"/>
              </w:rPr>
              <w:t xml:space="preserve"> </w:t>
            </w:r>
            <w:r w:rsidRPr="00F74FDD">
              <w:rPr>
                <w:rFonts w:ascii="Century Gothic" w:eastAsiaTheme="majorEastAsia" w:hAnsi="Century Gothic" w:cstheme="minorHAnsi"/>
                <w:sz w:val="20"/>
                <w:szCs w:val="20"/>
              </w:rPr>
              <w:t>degree only authorisation.</w:t>
            </w:r>
          </w:p>
          <w:p w14:paraId="1459494D"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405DDC86" w14:textId="7A7AAB3E" w:rsidR="00FE78DE" w:rsidRDefault="002F31E5" w:rsidP="00FE78DE">
            <w:pPr>
              <w:spacing w:before="0" w:after="0" w:line="259" w:lineRule="auto"/>
              <w:rPr>
                <w:rFonts w:ascii="Century Gothic" w:eastAsiaTheme="majorEastAsia" w:hAnsi="Century Gothic" w:cstheme="minorHAnsi"/>
                <w:sz w:val="20"/>
                <w:szCs w:val="20"/>
              </w:rPr>
            </w:pPr>
            <w:r w:rsidRPr="002F31E5">
              <w:rPr>
                <w:rFonts w:ascii="Century Gothic" w:eastAsiaTheme="majorEastAsia" w:hAnsi="Century Gothic" w:cstheme="minorHAnsi"/>
                <w:b/>
                <w:sz w:val="20"/>
                <w:szCs w:val="20"/>
              </w:rPr>
              <w:t>Providers without Degree Awarding Powers themselves</w:t>
            </w:r>
            <w:r w:rsidR="00FE78DE" w:rsidRPr="00730C0D">
              <w:rPr>
                <w:rFonts w:ascii="Century Gothic" w:eastAsiaTheme="majorEastAsia" w:hAnsi="Century Gothic" w:cstheme="minorHAnsi"/>
                <w:b/>
                <w:sz w:val="20"/>
                <w:szCs w:val="20"/>
              </w:rPr>
              <w:t>:</w:t>
            </w:r>
            <w:r w:rsidR="00FE78DE" w:rsidRPr="00730C0D">
              <w:rPr>
                <w:rFonts w:ascii="Century Gothic" w:eastAsiaTheme="majorEastAsia" w:hAnsi="Century Gothic" w:cstheme="minorHAnsi"/>
                <w:sz w:val="20"/>
                <w:szCs w:val="20"/>
              </w:rPr>
              <w:t xml:space="preserve"> </w:t>
            </w:r>
            <w:r>
              <w:rPr>
                <w:rFonts w:ascii="Century Gothic" w:eastAsiaTheme="majorEastAsia" w:hAnsi="Century Gothic" w:cstheme="minorHAnsi"/>
                <w:sz w:val="20"/>
                <w:szCs w:val="20"/>
              </w:rPr>
              <w:t>b</w:t>
            </w:r>
            <w:r w:rsidR="00C67C1D">
              <w:rPr>
                <w:rFonts w:ascii="Century Gothic" w:eastAsiaTheme="majorEastAsia" w:hAnsi="Century Gothic" w:cstheme="minorHAnsi"/>
                <w:sz w:val="20"/>
                <w:szCs w:val="20"/>
              </w:rPr>
              <w:t>ut deliver higher e</w:t>
            </w:r>
            <w:r w:rsidRPr="002F31E5">
              <w:rPr>
                <w:rFonts w:ascii="Century Gothic" w:eastAsiaTheme="majorEastAsia" w:hAnsi="Century Gothic" w:cstheme="minorHAnsi"/>
                <w:sz w:val="20"/>
                <w:szCs w:val="20"/>
              </w:rPr>
              <w:t>ducation qualifications validated by anoth</w:t>
            </w:r>
            <w:r w:rsidR="00C67C1D">
              <w:rPr>
                <w:rFonts w:ascii="Century Gothic" w:eastAsiaTheme="majorEastAsia" w:hAnsi="Century Gothic" w:cstheme="minorHAnsi"/>
                <w:sz w:val="20"/>
                <w:szCs w:val="20"/>
              </w:rPr>
              <w:t>er institution which does have D</w:t>
            </w:r>
            <w:r w:rsidRPr="002F31E5">
              <w:rPr>
                <w:rFonts w:ascii="Century Gothic" w:eastAsiaTheme="majorEastAsia" w:hAnsi="Century Gothic" w:cstheme="minorHAnsi"/>
                <w:sz w:val="20"/>
                <w:szCs w:val="20"/>
              </w:rPr>
              <w:t>egree Awarding Powers.</w:t>
            </w:r>
          </w:p>
          <w:p w14:paraId="49C8E54E" w14:textId="2E244CCE" w:rsidR="002F31E5" w:rsidRDefault="002F31E5" w:rsidP="00FE78DE">
            <w:pPr>
              <w:spacing w:before="0" w:after="0" w:line="259" w:lineRule="auto"/>
              <w:rPr>
                <w:rFonts w:ascii="Century Gothic" w:eastAsiaTheme="majorEastAsia" w:hAnsi="Century Gothic" w:cstheme="minorHAnsi"/>
                <w:sz w:val="20"/>
                <w:szCs w:val="20"/>
              </w:rPr>
            </w:pPr>
          </w:p>
          <w:p w14:paraId="41A33C8C" w14:textId="5F0E2C3B" w:rsidR="002F31E5" w:rsidRPr="00730C0D" w:rsidRDefault="002F31E5" w:rsidP="00FE78DE">
            <w:pPr>
              <w:spacing w:before="0" w:after="0" w:line="259" w:lineRule="auto"/>
              <w:rPr>
                <w:rFonts w:ascii="Century Gothic" w:eastAsiaTheme="majorEastAsia" w:hAnsi="Century Gothic" w:cstheme="minorHAnsi"/>
                <w:sz w:val="20"/>
                <w:szCs w:val="20"/>
              </w:rPr>
            </w:pPr>
            <w:r w:rsidRPr="002F31E5">
              <w:rPr>
                <w:rFonts w:ascii="Century Gothic" w:eastAsiaTheme="majorEastAsia" w:hAnsi="Century Gothic" w:cstheme="minorHAnsi"/>
                <w:b/>
                <w:sz w:val="20"/>
                <w:szCs w:val="20"/>
              </w:rPr>
              <w:t>Unregulated/unrecognised providers:</w:t>
            </w:r>
            <w:r>
              <w:rPr>
                <w:rFonts w:ascii="Century Gothic" w:eastAsiaTheme="majorEastAsia" w:hAnsi="Century Gothic" w:cstheme="minorHAnsi"/>
                <w:sz w:val="20"/>
                <w:szCs w:val="20"/>
              </w:rPr>
              <w:t xml:space="preserve"> may fall into any of the above categories but will have no access to public funding. </w:t>
            </w:r>
            <w:r w:rsidRPr="002F31E5">
              <w:rPr>
                <w:rFonts w:ascii="Century Gothic" w:eastAsiaTheme="majorEastAsia" w:hAnsi="Century Gothic" w:cstheme="minorHAnsi"/>
                <w:sz w:val="20"/>
                <w:szCs w:val="20"/>
              </w:rPr>
              <w:t>UK providers in the UK are either ‘regulated’ or they are not (i.e. it</w:t>
            </w:r>
            <w:r w:rsidR="00C67C1D">
              <w:rPr>
                <w:rFonts w:ascii="Century Gothic" w:eastAsiaTheme="majorEastAsia" w:hAnsi="Century Gothic" w:cstheme="minorHAnsi"/>
                <w:sz w:val="20"/>
                <w:szCs w:val="20"/>
              </w:rPr>
              <w:t xml:space="preserve"> i</w:t>
            </w:r>
            <w:r w:rsidRPr="002F31E5">
              <w:rPr>
                <w:rFonts w:ascii="Century Gothic" w:eastAsiaTheme="majorEastAsia" w:hAnsi="Century Gothic" w:cstheme="minorHAnsi"/>
                <w:sz w:val="20"/>
                <w:szCs w:val="20"/>
              </w:rPr>
              <w:t xml:space="preserve">s not compulsory for any </w:t>
            </w:r>
            <w:r w:rsidR="00C67C1D">
              <w:rPr>
                <w:rFonts w:ascii="Century Gothic" w:eastAsiaTheme="majorEastAsia" w:hAnsi="Century Gothic" w:cstheme="minorHAnsi"/>
                <w:sz w:val="20"/>
                <w:szCs w:val="20"/>
              </w:rPr>
              <w:t>higher education</w:t>
            </w:r>
            <w:r w:rsidRPr="002F31E5">
              <w:rPr>
                <w:rFonts w:ascii="Century Gothic" w:eastAsiaTheme="majorEastAsia" w:hAnsi="Century Gothic" w:cstheme="minorHAnsi"/>
                <w:sz w:val="20"/>
                <w:szCs w:val="20"/>
              </w:rPr>
              <w:t xml:space="preserve"> provider in any administration to engage with the regulator, and there is no ‘licence to practice’ i</w:t>
            </w:r>
            <w:r w:rsidR="00C67C1D">
              <w:rPr>
                <w:rFonts w:ascii="Century Gothic" w:eastAsiaTheme="majorEastAsia" w:hAnsi="Century Gothic" w:cstheme="minorHAnsi"/>
                <w:sz w:val="20"/>
                <w:szCs w:val="20"/>
              </w:rPr>
              <w:t>n the UK – providers can offer higher education</w:t>
            </w:r>
            <w:r w:rsidRPr="002F31E5">
              <w:rPr>
                <w:rFonts w:ascii="Century Gothic" w:eastAsiaTheme="majorEastAsia" w:hAnsi="Century Gothic" w:cstheme="minorHAnsi"/>
                <w:sz w:val="20"/>
                <w:szCs w:val="20"/>
              </w:rPr>
              <w:t xml:space="preserve"> without having to engage with Government/regulators)</w:t>
            </w:r>
            <w:r>
              <w:rPr>
                <w:rFonts w:ascii="Century Gothic" w:eastAsiaTheme="majorEastAsia" w:hAnsi="Century Gothic" w:cstheme="minorHAnsi"/>
                <w:sz w:val="20"/>
                <w:szCs w:val="20"/>
              </w:rPr>
              <w:t>.</w:t>
            </w:r>
          </w:p>
          <w:p w14:paraId="6BE1DA71"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7C71E67B" w14:textId="52216A19" w:rsidR="00FE78DE" w:rsidRPr="002F31E5" w:rsidRDefault="00FE78DE" w:rsidP="00FE78DE">
            <w:pPr>
              <w:spacing w:before="0" w:after="0" w:line="259" w:lineRule="auto"/>
              <w:rPr>
                <w:rFonts w:ascii="Century Gothic" w:eastAsiaTheme="majorEastAsia" w:hAnsi="Century Gothic" w:cstheme="minorHAnsi"/>
                <w:sz w:val="13"/>
                <w:szCs w:val="13"/>
              </w:rPr>
            </w:pPr>
            <w:r w:rsidRPr="00B21D44">
              <w:rPr>
                <w:rFonts w:ascii="Century Gothic" w:eastAsiaTheme="majorEastAsia" w:hAnsi="Century Gothic" w:cstheme="minorHAnsi"/>
                <w:sz w:val="13"/>
                <w:szCs w:val="13"/>
              </w:rPr>
              <w:t xml:space="preserve">Source: </w:t>
            </w:r>
            <w:r w:rsidR="002F31E5">
              <w:rPr>
                <w:rFonts w:ascii="Century Gothic" w:eastAsiaTheme="majorEastAsia" w:hAnsi="Century Gothic" w:cstheme="minorHAnsi"/>
                <w:sz w:val="13"/>
                <w:szCs w:val="13"/>
              </w:rPr>
              <w:t xml:space="preserve">Higher Education, STEM, and Tertiary Providers Directorate. (2019). </w:t>
            </w:r>
          </w:p>
        </w:tc>
      </w:tr>
    </w:tbl>
    <w:p w14:paraId="0568CACE" w14:textId="4119953F" w:rsidR="00B21D44" w:rsidRDefault="00B21D44" w:rsidP="00FE78DE">
      <w:pPr>
        <w:rPr>
          <w:rFonts w:ascii="Century Gothic" w:hAnsi="Century Gothic"/>
        </w:rPr>
      </w:pPr>
    </w:p>
    <w:p w14:paraId="68B9F5DA" w14:textId="7452E719" w:rsidR="00FE78DE" w:rsidRPr="00730C0D" w:rsidRDefault="00B21D44" w:rsidP="00B21D44">
      <w:pPr>
        <w:spacing w:before="0" w:after="160"/>
        <w:rPr>
          <w:rFonts w:ascii="Century Gothic" w:hAnsi="Century Gothic"/>
        </w:rPr>
      </w:pPr>
      <w:r>
        <w:rPr>
          <w:rFonts w:ascii="Century Gothic" w:hAnsi="Century Gothic"/>
        </w:rPr>
        <w:br w:type="page"/>
      </w:r>
    </w:p>
    <w:tbl>
      <w:tblPr>
        <w:tblStyle w:val="TableGrid"/>
        <w:tblW w:w="10348" w:type="dxa"/>
        <w:tblInd w:w="-714" w:type="dxa"/>
        <w:tblLook w:val="04A0" w:firstRow="1" w:lastRow="0" w:firstColumn="1" w:lastColumn="0" w:noHBand="0" w:noVBand="1"/>
      </w:tblPr>
      <w:tblGrid>
        <w:gridCol w:w="2977"/>
        <w:gridCol w:w="7371"/>
      </w:tblGrid>
      <w:tr w:rsidR="00FE78DE" w:rsidRPr="00730C0D" w14:paraId="72BCBB4C" w14:textId="77777777" w:rsidTr="00BD74BE">
        <w:trPr>
          <w:cnfStyle w:val="100000000000" w:firstRow="1" w:lastRow="0" w:firstColumn="0" w:lastColumn="0" w:oddVBand="0" w:evenVBand="0" w:oddHBand="0" w:evenHBand="0" w:firstRowFirstColumn="0" w:firstRowLastColumn="0" w:lastRowFirstColumn="0" w:lastRowLastColumn="0"/>
          <w:tblHeader/>
        </w:trPr>
        <w:tc>
          <w:tcPr>
            <w:tcW w:w="2977" w:type="dxa"/>
            <w:vAlign w:val="top"/>
          </w:tcPr>
          <w:p w14:paraId="2038FB6F"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Country Overview</w:t>
            </w:r>
          </w:p>
        </w:tc>
        <w:tc>
          <w:tcPr>
            <w:tcW w:w="7371" w:type="dxa"/>
            <w:vAlign w:val="top"/>
          </w:tcPr>
          <w:p w14:paraId="45128673" w14:textId="77777777" w:rsidR="00FE78DE" w:rsidRPr="00730C0D" w:rsidRDefault="00FE78DE" w:rsidP="00FE78DE">
            <w:pPr>
              <w:spacing w:before="0" w:after="0" w:line="259" w:lineRule="auto"/>
              <w:rPr>
                <w:rFonts w:ascii="Century Gothic" w:eastAsiaTheme="majorEastAsia" w:hAnsi="Century Gothic" w:cstheme="minorHAnsi"/>
                <w:b w:val="0"/>
                <w:sz w:val="20"/>
                <w:szCs w:val="20"/>
              </w:rPr>
            </w:pPr>
            <w:r w:rsidRPr="00730C0D">
              <w:rPr>
                <w:rFonts w:ascii="Century Gothic" w:eastAsiaTheme="majorEastAsia" w:hAnsi="Century Gothic" w:cstheme="minorHAnsi"/>
                <w:sz w:val="20"/>
                <w:szCs w:val="20"/>
              </w:rPr>
              <w:t>Higher Education Provider Descriptions</w:t>
            </w:r>
          </w:p>
        </w:tc>
      </w:tr>
      <w:tr w:rsidR="00FE78DE" w:rsidRPr="00730C0D" w14:paraId="00CFE025" w14:textId="77777777" w:rsidTr="00BD74BE">
        <w:tc>
          <w:tcPr>
            <w:tcW w:w="10348" w:type="dxa"/>
            <w:gridSpan w:val="2"/>
            <w:shd w:val="clear" w:color="auto" w:fill="DEEAF6" w:themeFill="accent1" w:themeFillTint="33"/>
            <w:vAlign w:val="top"/>
          </w:tcPr>
          <w:p w14:paraId="4D6A446D" w14:textId="77777777" w:rsidR="00FE78DE" w:rsidRPr="00730C0D" w:rsidRDefault="00FE78DE" w:rsidP="00FE78DE">
            <w:pPr>
              <w:spacing w:before="0" w:after="0"/>
              <w:rPr>
                <w:rFonts w:ascii="Century Gothic" w:hAnsi="Century Gothic" w:cstheme="minorHAnsi"/>
                <w:b/>
                <w:sz w:val="20"/>
                <w:szCs w:val="20"/>
              </w:rPr>
            </w:pPr>
            <w:r w:rsidRPr="00730C0D">
              <w:rPr>
                <w:rFonts w:ascii="Century Gothic" w:eastAsiaTheme="majorEastAsia" w:hAnsi="Century Gothic" w:cstheme="minorHAnsi"/>
                <w:b/>
                <w:sz w:val="20"/>
                <w:szCs w:val="20"/>
              </w:rPr>
              <w:t>United States of America</w:t>
            </w:r>
          </w:p>
        </w:tc>
      </w:tr>
      <w:tr w:rsidR="00FE78DE" w:rsidRPr="00730C0D" w14:paraId="6276E75E" w14:textId="77777777" w:rsidTr="00BD74BE">
        <w:tc>
          <w:tcPr>
            <w:tcW w:w="2977" w:type="dxa"/>
            <w:vAlign w:val="top"/>
          </w:tcPr>
          <w:p w14:paraId="41D6970D" w14:textId="75BCB332"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sz w:val="20"/>
                <w:szCs w:val="20"/>
              </w:rPr>
              <w:t xml:space="preserve">No regulatory categories. Accreditation of institutions </w:t>
            </w:r>
            <w:r w:rsidR="00E04944">
              <w:rPr>
                <w:rFonts w:ascii="Century Gothic" w:eastAsiaTheme="majorEastAsia" w:hAnsi="Century Gothic" w:cstheme="minorHAnsi"/>
                <w:sz w:val="20"/>
                <w:szCs w:val="20"/>
              </w:rPr>
              <w:t>(</w:t>
            </w:r>
            <w:r w:rsidRPr="00730C0D">
              <w:rPr>
                <w:rFonts w:ascii="Century Gothic" w:eastAsiaTheme="majorEastAsia" w:hAnsi="Century Gothic" w:cstheme="minorHAnsi"/>
                <w:sz w:val="20"/>
                <w:szCs w:val="20"/>
              </w:rPr>
              <w:t>and courses available from independent accrediting bodies</w:t>
            </w:r>
            <w:r w:rsidR="00E04944">
              <w:rPr>
                <w:rFonts w:ascii="Century Gothic" w:eastAsiaTheme="majorEastAsia" w:hAnsi="Century Gothic" w:cstheme="minorHAnsi"/>
                <w:sz w:val="20"/>
                <w:szCs w:val="20"/>
              </w:rPr>
              <w:t>)</w:t>
            </w:r>
            <w:r w:rsidRPr="00730C0D">
              <w:rPr>
                <w:rFonts w:ascii="Century Gothic" w:eastAsiaTheme="majorEastAsia" w:hAnsi="Century Gothic" w:cstheme="minorHAnsi"/>
                <w:sz w:val="20"/>
                <w:szCs w:val="20"/>
              </w:rPr>
              <w:t xml:space="preserve"> offers some measure of quality assurance.</w:t>
            </w:r>
          </w:p>
        </w:tc>
        <w:tc>
          <w:tcPr>
            <w:tcW w:w="7371" w:type="dxa"/>
          </w:tcPr>
          <w:p w14:paraId="606D9C9F" w14:textId="52D5685D" w:rsidR="00FE78DE" w:rsidRPr="00730C0D" w:rsidRDefault="00FE78DE" w:rsidP="00FE78DE">
            <w:pPr>
              <w:spacing w:before="0" w:after="0" w:line="259" w:lineRule="auto"/>
              <w:rPr>
                <w:rFonts w:ascii="Century Gothic" w:hAnsi="Century Gothic" w:cstheme="minorHAnsi"/>
                <w:sz w:val="20"/>
                <w:szCs w:val="20"/>
              </w:rPr>
            </w:pPr>
            <w:r w:rsidRPr="00730C0D">
              <w:rPr>
                <w:rFonts w:ascii="Century Gothic" w:hAnsi="Century Gothic" w:cstheme="minorHAnsi"/>
                <w:sz w:val="20"/>
                <w:szCs w:val="20"/>
              </w:rPr>
              <w:t xml:space="preserve">The Carnegie classification system is generally used for analysis of operating institutions’ characteristics. </w:t>
            </w:r>
          </w:p>
          <w:p w14:paraId="681E6F54" w14:textId="77777777" w:rsidR="00FE78DE" w:rsidRPr="00730C0D" w:rsidRDefault="00FE78DE" w:rsidP="00FE78DE">
            <w:pPr>
              <w:spacing w:before="0" w:after="0" w:line="259" w:lineRule="auto"/>
              <w:rPr>
                <w:rFonts w:ascii="Century Gothic" w:hAnsi="Century Gothic" w:cstheme="minorHAnsi"/>
                <w:sz w:val="20"/>
                <w:szCs w:val="20"/>
              </w:rPr>
            </w:pPr>
          </w:p>
          <w:p w14:paraId="72A1D51C" w14:textId="7CC0DEC5"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Doctoral Universities:</w:t>
            </w:r>
            <w:r w:rsidRPr="00730C0D">
              <w:rPr>
                <w:rFonts w:ascii="Century Gothic" w:eastAsiaTheme="majorEastAsia" w:hAnsi="Century Gothic" w:cstheme="minorHAnsi"/>
                <w:sz w:val="20"/>
                <w:szCs w:val="20"/>
              </w:rPr>
              <w:t xml:space="preserve"> inst</w:t>
            </w:r>
            <w:r w:rsidR="00A43D22">
              <w:rPr>
                <w:rFonts w:ascii="Century Gothic" w:eastAsiaTheme="majorEastAsia" w:hAnsi="Century Gothic" w:cstheme="minorHAnsi"/>
                <w:sz w:val="20"/>
                <w:szCs w:val="20"/>
              </w:rPr>
              <w:t xml:space="preserve">itutions that award at least </w:t>
            </w:r>
            <w:r w:rsidR="00A80E55">
              <w:rPr>
                <w:rFonts w:ascii="Century Gothic" w:eastAsiaTheme="majorEastAsia" w:hAnsi="Century Gothic" w:cstheme="minorHAnsi"/>
                <w:sz w:val="20"/>
                <w:szCs w:val="20"/>
              </w:rPr>
              <w:t>20 </w:t>
            </w:r>
            <w:r w:rsidR="00A43D22">
              <w:rPr>
                <w:rFonts w:ascii="Century Gothic" w:eastAsiaTheme="majorEastAsia" w:hAnsi="Century Gothic" w:cstheme="minorHAnsi"/>
                <w:sz w:val="20"/>
                <w:szCs w:val="20"/>
              </w:rPr>
              <w:t xml:space="preserve">research and/or </w:t>
            </w:r>
            <w:r w:rsidRPr="00730C0D">
              <w:rPr>
                <w:rFonts w:ascii="Century Gothic" w:eastAsiaTheme="majorEastAsia" w:hAnsi="Century Gothic" w:cstheme="minorHAnsi"/>
                <w:sz w:val="20"/>
                <w:szCs w:val="20"/>
              </w:rPr>
              <w:t xml:space="preserve">scholarship Doctoral degrees </w:t>
            </w:r>
            <w:r w:rsidR="00E04944">
              <w:rPr>
                <w:rFonts w:ascii="Century Gothic" w:eastAsiaTheme="majorEastAsia" w:hAnsi="Century Gothic" w:cstheme="minorHAnsi"/>
                <w:sz w:val="20"/>
                <w:szCs w:val="20"/>
              </w:rPr>
              <w:t>or institutions that award at least 30 practice Doctoral degrees</w:t>
            </w:r>
            <w:r w:rsidR="00A80E55">
              <w:rPr>
                <w:rFonts w:ascii="Century Gothic" w:eastAsiaTheme="majorEastAsia" w:hAnsi="Century Gothic" w:cstheme="minorHAnsi"/>
                <w:sz w:val="20"/>
                <w:szCs w:val="20"/>
              </w:rPr>
              <w:t>. Sub-</w:t>
            </w:r>
            <w:r w:rsidRPr="00730C0D">
              <w:rPr>
                <w:rFonts w:ascii="Century Gothic" w:eastAsiaTheme="majorEastAsia" w:hAnsi="Century Gothic" w:cstheme="minorHAnsi"/>
                <w:sz w:val="20"/>
                <w:szCs w:val="20"/>
              </w:rPr>
              <w:t>categories are based on level of research activity.</w:t>
            </w:r>
            <w:r w:rsidR="00AE4D15">
              <w:rPr>
                <w:rFonts w:ascii="Century Gothic" w:eastAsiaTheme="majorEastAsia" w:hAnsi="Century Gothic" w:cstheme="minorHAnsi"/>
                <w:sz w:val="20"/>
                <w:szCs w:val="20"/>
              </w:rPr>
              <w:t xml:space="preserve"> Excludes Special Focus Institutions and Tribal Colleges.</w:t>
            </w:r>
          </w:p>
          <w:p w14:paraId="45798D15"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6326267C" w14:textId="77ACDF4E"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Masters Colleges and Universities:</w:t>
            </w:r>
            <w:r w:rsidRPr="00730C0D">
              <w:rPr>
                <w:rFonts w:ascii="Century Gothic" w:eastAsiaTheme="majorEastAsia" w:hAnsi="Century Gothic" w:cstheme="minorHAnsi"/>
                <w:sz w:val="20"/>
                <w:szCs w:val="20"/>
              </w:rPr>
              <w:t xml:space="preserve"> institutions that a</w:t>
            </w:r>
            <w:r w:rsidR="00A80E55">
              <w:rPr>
                <w:rFonts w:ascii="Century Gothic" w:eastAsiaTheme="majorEastAsia" w:hAnsi="Century Gothic" w:cstheme="minorHAnsi"/>
                <w:sz w:val="20"/>
                <w:szCs w:val="20"/>
              </w:rPr>
              <w:t>ward at least 50 </w:t>
            </w:r>
            <w:r w:rsidRPr="00730C0D">
              <w:rPr>
                <w:rFonts w:ascii="Century Gothic" w:eastAsiaTheme="majorEastAsia" w:hAnsi="Century Gothic" w:cstheme="minorHAnsi"/>
                <w:sz w:val="20"/>
                <w:szCs w:val="20"/>
              </w:rPr>
              <w:t>Masters degrees and fewe</w:t>
            </w:r>
            <w:r w:rsidR="00A80E55">
              <w:rPr>
                <w:rFonts w:ascii="Century Gothic" w:eastAsiaTheme="majorEastAsia" w:hAnsi="Century Gothic" w:cstheme="minorHAnsi"/>
                <w:sz w:val="20"/>
                <w:szCs w:val="20"/>
              </w:rPr>
              <w:t>r than 20 Doctoral degrees. Sub-</w:t>
            </w:r>
            <w:r w:rsidRPr="00730C0D">
              <w:rPr>
                <w:rFonts w:ascii="Century Gothic" w:eastAsiaTheme="majorEastAsia" w:hAnsi="Century Gothic" w:cstheme="minorHAnsi"/>
                <w:sz w:val="20"/>
                <w:szCs w:val="20"/>
              </w:rPr>
              <w:t>categories are based on the size of the program.</w:t>
            </w:r>
            <w:r w:rsidR="00AE4D15">
              <w:rPr>
                <w:rFonts w:ascii="Century Gothic" w:eastAsiaTheme="majorEastAsia" w:hAnsi="Century Gothic" w:cstheme="minorHAnsi"/>
                <w:sz w:val="20"/>
                <w:szCs w:val="20"/>
              </w:rPr>
              <w:t xml:space="preserve"> Excludes Special Focus Institutions and Tribal Colleges.</w:t>
            </w:r>
          </w:p>
          <w:p w14:paraId="499F444E"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7E0C3554" w14:textId="487F8EED"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Baccalaureate Colleges:</w:t>
            </w:r>
            <w:r w:rsidRPr="00730C0D">
              <w:rPr>
                <w:rFonts w:ascii="Century Gothic" w:eastAsiaTheme="majorEastAsia" w:hAnsi="Century Gothic" w:cstheme="minorHAnsi"/>
                <w:sz w:val="20"/>
                <w:szCs w:val="20"/>
              </w:rPr>
              <w:t xml:space="preserve"> institutions where baccalaureate or higher degrees represent at least 50 per</w:t>
            </w:r>
            <w:r w:rsidR="00E04944">
              <w:rPr>
                <w:rFonts w:ascii="Century Gothic" w:eastAsiaTheme="majorEastAsia" w:hAnsi="Century Gothic" w:cstheme="minorHAnsi"/>
                <w:sz w:val="20"/>
                <w:szCs w:val="20"/>
              </w:rPr>
              <w:t xml:space="preserve"> </w:t>
            </w:r>
            <w:r w:rsidRPr="00730C0D">
              <w:rPr>
                <w:rFonts w:ascii="Century Gothic" w:eastAsiaTheme="majorEastAsia" w:hAnsi="Century Gothic" w:cstheme="minorHAnsi"/>
                <w:sz w:val="20"/>
                <w:szCs w:val="20"/>
              </w:rPr>
              <w:t xml:space="preserve">cent of all degrees but </w:t>
            </w:r>
            <w:r w:rsidR="00AE4D15">
              <w:rPr>
                <w:rFonts w:ascii="Century Gothic" w:eastAsiaTheme="majorEastAsia" w:hAnsi="Century Gothic" w:cstheme="minorHAnsi"/>
                <w:sz w:val="20"/>
                <w:szCs w:val="20"/>
              </w:rPr>
              <w:t xml:space="preserve">award </w:t>
            </w:r>
            <w:r w:rsidRPr="00730C0D">
              <w:rPr>
                <w:rFonts w:ascii="Century Gothic" w:eastAsiaTheme="majorEastAsia" w:hAnsi="Century Gothic" w:cstheme="minorHAnsi"/>
                <w:sz w:val="20"/>
                <w:szCs w:val="20"/>
              </w:rPr>
              <w:t>fewer than 50 Masters degrees or 20 Doctoral degrees.</w:t>
            </w:r>
            <w:r w:rsidR="00AE4D15">
              <w:rPr>
                <w:rFonts w:ascii="Century Gothic" w:eastAsiaTheme="majorEastAsia" w:hAnsi="Century Gothic" w:cstheme="minorHAnsi"/>
                <w:sz w:val="20"/>
                <w:szCs w:val="20"/>
              </w:rPr>
              <w:t xml:space="preserve"> Excludes </w:t>
            </w:r>
            <w:r w:rsidR="00BD74BE">
              <w:rPr>
                <w:rFonts w:ascii="Century Gothic" w:eastAsiaTheme="majorEastAsia" w:hAnsi="Century Gothic" w:cstheme="minorHAnsi"/>
                <w:sz w:val="20"/>
                <w:szCs w:val="20"/>
              </w:rPr>
              <w:t xml:space="preserve">Special Focus Institutions and </w:t>
            </w:r>
            <w:r w:rsidR="00AE4D15">
              <w:rPr>
                <w:rFonts w:ascii="Century Gothic" w:eastAsiaTheme="majorEastAsia" w:hAnsi="Century Gothic" w:cstheme="minorHAnsi"/>
                <w:sz w:val="20"/>
                <w:szCs w:val="20"/>
              </w:rPr>
              <w:t>Tribal Colleges.</w:t>
            </w:r>
          </w:p>
          <w:p w14:paraId="3566E548"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4776C81C" w14:textId="42B33379"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Baccalaureate/Associate’s Colleges:</w:t>
            </w:r>
            <w:r w:rsidRPr="00730C0D">
              <w:rPr>
                <w:rFonts w:ascii="Century Gothic" w:eastAsiaTheme="majorEastAsia" w:hAnsi="Century Gothic" w:cstheme="minorHAnsi"/>
                <w:sz w:val="20"/>
                <w:szCs w:val="20"/>
              </w:rPr>
              <w:t xml:space="preserve"> four-year colleges that confer more than 50 per</w:t>
            </w:r>
            <w:r w:rsidR="00A80E55">
              <w:rPr>
                <w:rFonts w:ascii="Century Gothic" w:eastAsiaTheme="majorEastAsia" w:hAnsi="Century Gothic" w:cstheme="minorHAnsi"/>
                <w:sz w:val="20"/>
                <w:szCs w:val="20"/>
              </w:rPr>
              <w:t> </w:t>
            </w:r>
            <w:r w:rsidRPr="00730C0D">
              <w:rPr>
                <w:rFonts w:ascii="Century Gothic" w:eastAsiaTheme="majorEastAsia" w:hAnsi="Century Gothic" w:cstheme="minorHAnsi"/>
                <w:sz w:val="20"/>
                <w:szCs w:val="20"/>
              </w:rPr>
              <w:t xml:space="preserve">cent </w:t>
            </w:r>
            <w:r w:rsidR="00AE4D15">
              <w:rPr>
                <w:rFonts w:ascii="Century Gothic" w:eastAsiaTheme="majorEastAsia" w:hAnsi="Century Gothic" w:cstheme="minorHAnsi"/>
                <w:sz w:val="20"/>
                <w:szCs w:val="20"/>
              </w:rPr>
              <w:t xml:space="preserve">of their </w:t>
            </w:r>
            <w:r w:rsidRPr="00730C0D">
              <w:rPr>
                <w:rFonts w:ascii="Century Gothic" w:eastAsiaTheme="majorEastAsia" w:hAnsi="Century Gothic" w:cstheme="minorHAnsi"/>
                <w:sz w:val="20"/>
                <w:szCs w:val="20"/>
              </w:rPr>
              <w:t>degrees at Associate’s level.</w:t>
            </w:r>
            <w:r w:rsidR="00AE4D15">
              <w:rPr>
                <w:rFonts w:ascii="Century Gothic" w:eastAsiaTheme="majorEastAsia" w:hAnsi="Century Gothic" w:cstheme="minorHAnsi"/>
                <w:sz w:val="20"/>
                <w:szCs w:val="20"/>
              </w:rPr>
              <w:t xml:space="preserve"> Excludes Special Focus Institutions, Tribal Colleges</w:t>
            </w:r>
            <w:r w:rsidR="00A43D22">
              <w:rPr>
                <w:rFonts w:ascii="Century Gothic" w:eastAsiaTheme="majorEastAsia" w:hAnsi="Century Gothic" w:cstheme="minorHAnsi"/>
                <w:sz w:val="20"/>
                <w:szCs w:val="20"/>
              </w:rPr>
              <w:t>,</w:t>
            </w:r>
            <w:r w:rsidR="00AE4D15">
              <w:rPr>
                <w:rFonts w:ascii="Century Gothic" w:eastAsiaTheme="majorEastAsia" w:hAnsi="Century Gothic" w:cstheme="minorHAnsi"/>
                <w:sz w:val="20"/>
                <w:szCs w:val="20"/>
              </w:rPr>
              <w:t xml:space="preserve"> and institution</w:t>
            </w:r>
            <w:r w:rsidR="00216DA3">
              <w:rPr>
                <w:rFonts w:ascii="Century Gothic" w:eastAsiaTheme="majorEastAsia" w:hAnsi="Century Gothic" w:cstheme="minorHAnsi"/>
                <w:sz w:val="20"/>
                <w:szCs w:val="20"/>
              </w:rPr>
              <w:t>s with sufficient enough master</w:t>
            </w:r>
            <w:r w:rsidR="00AE4D15">
              <w:rPr>
                <w:rFonts w:ascii="Century Gothic" w:eastAsiaTheme="majorEastAsia" w:hAnsi="Century Gothic" w:cstheme="minorHAnsi"/>
                <w:sz w:val="20"/>
                <w:szCs w:val="20"/>
              </w:rPr>
              <w:t>s or doctoral degree programs to be categorised as other institution types.</w:t>
            </w:r>
          </w:p>
          <w:p w14:paraId="32E7A28E"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7B53E6E4" w14:textId="102B50A9"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Associate’s Colleges:</w:t>
            </w:r>
            <w:r w:rsidRPr="00730C0D">
              <w:rPr>
                <w:rFonts w:ascii="Century Gothic" w:eastAsiaTheme="majorEastAsia" w:hAnsi="Century Gothic" w:cstheme="minorHAnsi"/>
                <w:sz w:val="20"/>
                <w:szCs w:val="20"/>
              </w:rPr>
              <w:t xml:space="preserve"> institutions where the highest d</w:t>
            </w:r>
            <w:r w:rsidR="00A80E55">
              <w:rPr>
                <w:rFonts w:ascii="Century Gothic" w:eastAsiaTheme="majorEastAsia" w:hAnsi="Century Gothic" w:cstheme="minorHAnsi"/>
                <w:sz w:val="20"/>
                <w:szCs w:val="20"/>
              </w:rPr>
              <w:t>egree awarded is the Associate degree. Sub-</w:t>
            </w:r>
            <w:r w:rsidRPr="00730C0D">
              <w:rPr>
                <w:rFonts w:ascii="Century Gothic" w:eastAsiaTheme="majorEastAsia" w:hAnsi="Century Gothic" w:cstheme="minorHAnsi"/>
                <w:sz w:val="20"/>
                <w:szCs w:val="20"/>
              </w:rPr>
              <w:t>categories are based on disciplinary focus and dominant student type.</w:t>
            </w:r>
            <w:r w:rsidR="00AE4D15">
              <w:rPr>
                <w:rFonts w:ascii="Century Gothic" w:eastAsiaTheme="majorEastAsia" w:hAnsi="Century Gothic" w:cstheme="minorHAnsi"/>
                <w:sz w:val="20"/>
                <w:szCs w:val="20"/>
              </w:rPr>
              <w:t xml:space="preserve"> Excludes Special Focus Institutions and Tribal Colleges.</w:t>
            </w:r>
          </w:p>
          <w:p w14:paraId="5CCDB9B4"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5B5A186A" w14:textId="15EE0229"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Special Focus Institutions:</w:t>
            </w:r>
            <w:r w:rsidRPr="00730C0D">
              <w:rPr>
                <w:rFonts w:ascii="Century Gothic" w:eastAsiaTheme="majorEastAsia" w:hAnsi="Century Gothic" w:cstheme="minorHAnsi"/>
                <w:sz w:val="20"/>
                <w:szCs w:val="20"/>
              </w:rPr>
              <w:t xml:space="preserve"> institutions where a high concentration of degrees awarded are in a single field or set of related fields.</w:t>
            </w:r>
            <w:r w:rsidR="00AE4D15">
              <w:rPr>
                <w:rFonts w:ascii="Century Gothic" w:eastAsiaTheme="majorEastAsia" w:hAnsi="Century Gothic" w:cstheme="minorHAnsi"/>
                <w:sz w:val="20"/>
                <w:szCs w:val="20"/>
              </w:rPr>
              <w:t xml:space="preserve"> Excludes Tribal Colleges. </w:t>
            </w:r>
          </w:p>
          <w:p w14:paraId="2A67752C"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5E06EA94" w14:textId="6560A748" w:rsidR="00FE78DE" w:rsidRPr="00730C0D" w:rsidRDefault="00FE78DE" w:rsidP="00FE78DE">
            <w:pPr>
              <w:spacing w:before="0" w:after="0" w:line="259" w:lineRule="auto"/>
              <w:rPr>
                <w:rFonts w:ascii="Century Gothic" w:eastAsiaTheme="majorEastAsia" w:hAnsi="Century Gothic" w:cstheme="minorHAnsi"/>
                <w:sz w:val="20"/>
                <w:szCs w:val="20"/>
              </w:rPr>
            </w:pPr>
            <w:r w:rsidRPr="00730C0D">
              <w:rPr>
                <w:rFonts w:ascii="Century Gothic" w:eastAsiaTheme="majorEastAsia" w:hAnsi="Century Gothic" w:cstheme="minorHAnsi"/>
                <w:b/>
                <w:sz w:val="20"/>
                <w:szCs w:val="20"/>
              </w:rPr>
              <w:t>Tribal Colleges:</w:t>
            </w:r>
            <w:r w:rsidRPr="00730C0D">
              <w:rPr>
                <w:rFonts w:ascii="Century Gothic" w:eastAsiaTheme="majorEastAsia" w:hAnsi="Century Gothic" w:cstheme="minorHAnsi"/>
                <w:sz w:val="20"/>
                <w:szCs w:val="20"/>
              </w:rPr>
              <w:t xml:space="preserve"> colleges and Universities which are members of the American </w:t>
            </w:r>
            <w:r w:rsidR="00AE4D15">
              <w:rPr>
                <w:rFonts w:ascii="Century Gothic" w:eastAsiaTheme="majorEastAsia" w:hAnsi="Century Gothic" w:cstheme="minorHAnsi"/>
                <w:sz w:val="20"/>
                <w:szCs w:val="20"/>
              </w:rPr>
              <w:t xml:space="preserve">Indian </w:t>
            </w:r>
            <w:r w:rsidRPr="00730C0D">
              <w:rPr>
                <w:rFonts w:ascii="Century Gothic" w:eastAsiaTheme="majorEastAsia" w:hAnsi="Century Gothic" w:cstheme="minorHAnsi"/>
                <w:sz w:val="20"/>
                <w:szCs w:val="20"/>
              </w:rPr>
              <w:t>Higher Education Consortium</w:t>
            </w:r>
            <w:r w:rsidR="00AE4D15">
              <w:rPr>
                <w:rFonts w:ascii="Century Gothic" w:eastAsiaTheme="majorEastAsia" w:hAnsi="Century Gothic" w:cstheme="minorHAnsi"/>
                <w:sz w:val="20"/>
                <w:szCs w:val="20"/>
              </w:rPr>
              <w:t xml:space="preserve"> as identified by the Integrated Postsecondary Education Data System (IPEDS) Institutional Characteristics</w:t>
            </w:r>
            <w:r w:rsidRPr="00730C0D">
              <w:rPr>
                <w:rFonts w:ascii="Century Gothic" w:eastAsiaTheme="majorEastAsia" w:hAnsi="Century Gothic" w:cstheme="minorHAnsi"/>
                <w:sz w:val="20"/>
                <w:szCs w:val="20"/>
              </w:rPr>
              <w:t>.</w:t>
            </w:r>
          </w:p>
          <w:p w14:paraId="4A62288D"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p w14:paraId="32BA7B92" w14:textId="168AE8C4" w:rsidR="00FE78DE" w:rsidRPr="00D87B23" w:rsidRDefault="00FE78DE" w:rsidP="00D87B23">
            <w:pPr>
              <w:spacing w:before="0" w:after="0"/>
              <w:rPr>
                <w:rFonts w:ascii="Century Gothic" w:eastAsiaTheme="majorEastAsia" w:hAnsi="Century Gothic" w:cstheme="minorHAnsi"/>
                <w:sz w:val="13"/>
                <w:szCs w:val="13"/>
              </w:rPr>
            </w:pPr>
            <w:r w:rsidRPr="00D87B23">
              <w:rPr>
                <w:rFonts w:ascii="Century Gothic" w:eastAsiaTheme="majorEastAsia" w:hAnsi="Century Gothic" w:cstheme="minorHAnsi"/>
                <w:sz w:val="13"/>
                <w:szCs w:val="13"/>
              </w:rPr>
              <w:t>Source</w:t>
            </w:r>
            <w:r w:rsidR="00AE4D15">
              <w:rPr>
                <w:rFonts w:ascii="Century Gothic" w:eastAsiaTheme="majorEastAsia" w:hAnsi="Century Gothic" w:cstheme="minorHAnsi"/>
                <w:sz w:val="13"/>
                <w:szCs w:val="13"/>
              </w:rPr>
              <w:t xml:space="preserve">: </w:t>
            </w:r>
            <w:r w:rsidRPr="00D87B23">
              <w:rPr>
                <w:rFonts w:ascii="Century Gothic" w:eastAsiaTheme="majorEastAsia" w:hAnsi="Century Gothic" w:cstheme="minorHAnsi"/>
                <w:sz w:val="13"/>
                <w:szCs w:val="13"/>
              </w:rPr>
              <w:t xml:space="preserve">Carnegie Classification of Institutions of Higher Education. (2017). </w:t>
            </w:r>
            <w:r w:rsidRPr="00D87B23">
              <w:rPr>
                <w:rFonts w:ascii="Century Gothic" w:eastAsiaTheme="majorEastAsia" w:hAnsi="Century Gothic" w:cstheme="minorHAnsi"/>
                <w:i/>
                <w:sz w:val="13"/>
                <w:szCs w:val="13"/>
              </w:rPr>
              <w:t>Basic Classification Description</w:t>
            </w:r>
            <w:r w:rsidRPr="00D87B23">
              <w:rPr>
                <w:rFonts w:ascii="Century Gothic" w:eastAsiaTheme="majorEastAsia" w:hAnsi="Century Gothic" w:cstheme="minorHAnsi"/>
                <w:sz w:val="13"/>
                <w:szCs w:val="13"/>
              </w:rPr>
              <w:t xml:space="preserve">. Retrieved from: </w:t>
            </w:r>
            <w:hyperlink r:id="rId83" w:history="1">
              <w:r w:rsidRPr="00D87B23">
                <w:rPr>
                  <w:rStyle w:val="Hyperlink"/>
                  <w:rFonts w:ascii="Century Gothic" w:hAnsi="Century Gothic" w:cstheme="minorHAnsi"/>
                  <w:sz w:val="13"/>
                  <w:szCs w:val="13"/>
                </w:rPr>
                <w:t>http://carnegieclassifications.iu.edu/classification_descriptions/basic.php</w:t>
              </w:r>
            </w:hyperlink>
            <w:r w:rsidRPr="00D87B23">
              <w:rPr>
                <w:rFonts w:ascii="Century Gothic" w:eastAsiaTheme="majorEastAsia" w:hAnsi="Century Gothic" w:cstheme="minorHAnsi"/>
                <w:sz w:val="13"/>
                <w:szCs w:val="13"/>
              </w:rPr>
              <w:t xml:space="preserve">. </w:t>
            </w:r>
          </w:p>
          <w:p w14:paraId="37235B6B" w14:textId="77777777" w:rsidR="00FE78DE" w:rsidRPr="00730C0D" w:rsidRDefault="00FE78DE" w:rsidP="00FE78DE">
            <w:pPr>
              <w:spacing w:before="0" w:after="0" w:line="259" w:lineRule="auto"/>
              <w:rPr>
                <w:rFonts w:ascii="Century Gothic" w:eastAsiaTheme="majorEastAsia" w:hAnsi="Century Gothic" w:cstheme="minorHAnsi"/>
                <w:sz w:val="20"/>
                <w:szCs w:val="20"/>
              </w:rPr>
            </w:pPr>
          </w:p>
        </w:tc>
      </w:tr>
    </w:tbl>
    <w:p w14:paraId="0696F6A4" w14:textId="77777777" w:rsidR="00FE78DE" w:rsidRPr="00730C0D" w:rsidRDefault="00FE78DE" w:rsidP="00FE78DE">
      <w:pPr>
        <w:spacing w:before="0" w:after="0"/>
        <w:rPr>
          <w:rFonts w:ascii="Century Gothic" w:hAnsi="Century Gothic"/>
          <w:sz w:val="20"/>
          <w:szCs w:val="20"/>
        </w:rPr>
      </w:pPr>
    </w:p>
    <w:p w14:paraId="68809DDC" w14:textId="77777777" w:rsidR="00FE78DE" w:rsidRPr="00730C0D" w:rsidRDefault="00FE78DE" w:rsidP="00FE78DE">
      <w:pPr>
        <w:spacing w:before="0" w:after="0"/>
        <w:rPr>
          <w:rFonts w:ascii="Century Gothic" w:hAnsi="Century Gothic"/>
          <w:sz w:val="20"/>
          <w:szCs w:val="20"/>
        </w:rPr>
      </w:pPr>
    </w:p>
    <w:p w14:paraId="2934E82D" w14:textId="77777777" w:rsidR="00FE78DE" w:rsidRPr="00730C0D" w:rsidRDefault="00FE78DE" w:rsidP="00FE78DE">
      <w:pPr>
        <w:spacing w:before="0" w:after="160"/>
        <w:rPr>
          <w:rFonts w:ascii="Century Gothic" w:eastAsiaTheme="majorEastAsia" w:hAnsi="Century Gothic" w:cstheme="majorBidi"/>
          <w:b/>
          <w:color w:val="2763AC"/>
          <w:sz w:val="46"/>
          <w:szCs w:val="46"/>
        </w:rPr>
      </w:pPr>
      <w:bookmarkStart w:id="166" w:name="_Appendix_G."/>
      <w:bookmarkEnd w:id="166"/>
      <w:r w:rsidRPr="00730C0D">
        <w:rPr>
          <w:rFonts w:ascii="Century Gothic" w:hAnsi="Century Gothic"/>
          <w:b/>
        </w:rPr>
        <w:br w:type="page"/>
      </w:r>
    </w:p>
    <w:p w14:paraId="6DBBC55C" w14:textId="77777777" w:rsidR="00FE78DE" w:rsidRPr="00730C0D" w:rsidRDefault="00FE78DE" w:rsidP="00FE78DE">
      <w:pPr>
        <w:pStyle w:val="Heading1"/>
        <w:rPr>
          <w:b/>
        </w:rPr>
      </w:pPr>
      <w:bookmarkStart w:id="167" w:name="_Toc18592375"/>
      <w:r w:rsidRPr="00730C0D">
        <w:rPr>
          <w:b/>
        </w:rPr>
        <w:t>Appendix G.</w:t>
      </w:r>
      <w:bookmarkEnd w:id="167"/>
      <w:r w:rsidRPr="00730C0D">
        <w:rPr>
          <w:b/>
        </w:rPr>
        <w:t xml:space="preserve"> </w:t>
      </w:r>
    </w:p>
    <w:p w14:paraId="578F5168" w14:textId="7354C636" w:rsidR="00FE78DE" w:rsidRPr="00730C0D" w:rsidRDefault="00FE78DE" w:rsidP="00FE78DE">
      <w:pPr>
        <w:pStyle w:val="Heading1"/>
      </w:pPr>
      <w:bookmarkStart w:id="168" w:name="_Toc16242157"/>
      <w:bookmarkStart w:id="169" w:name="_Toc16609480"/>
      <w:bookmarkStart w:id="170" w:name="_Toc18495613"/>
      <w:bookmarkStart w:id="171" w:name="_Toc18592376"/>
      <w:r w:rsidRPr="00730C0D">
        <w:t>Interaction with Other Reviews</w:t>
      </w:r>
      <w:bookmarkEnd w:id="168"/>
      <w:bookmarkEnd w:id="169"/>
      <w:bookmarkEnd w:id="170"/>
      <w:bookmarkEnd w:id="171"/>
      <w:r w:rsidRPr="00730C0D">
        <w:t xml:space="preserve"> </w:t>
      </w:r>
    </w:p>
    <w:p w14:paraId="3032EDB5" w14:textId="1644FF87" w:rsidR="00FE78DE" w:rsidRPr="00730C0D" w:rsidRDefault="00FB3867" w:rsidP="00FE78DE">
      <w:pPr>
        <w:rPr>
          <w:rFonts w:ascii="Century Gothic" w:hAnsi="Century Gothic"/>
        </w:rPr>
      </w:pPr>
      <w:r w:rsidRPr="00730C0D">
        <w:rPr>
          <w:b/>
          <w:noProof/>
          <w:sz w:val="52"/>
          <w:szCs w:val="52"/>
          <w:lang w:eastAsia="en-AU"/>
        </w:rPr>
        <mc:AlternateContent>
          <mc:Choice Requires="wps">
            <w:drawing>
              <wp:anchor distT="0" distB="0" distL="114300" distR="114300" simplePos="0" relativeHeight="251709440" behindDoc="0" locked="0" layoutInCell="1" allowOverlap="1" wp14:anchorId="442890DC" wp14:editId="03DA3030">
                <wp:simplePos x="0" y="0"/>
                <wp:positionH relativeFrom="column">
                  <wp:posOffset>19050</wp:posOffset>
                </wp:positionH>
                <wp:positionV relativeFrom="paragraph">
                  <wp:posOffset>38100</wp:posOffset>
                </wp:positionV>
                <wp:extent cx="7143750" cy="0"/>
                <wp:effectExtent l="0" t="0" r="19050" b="19050"/>
                <wp:wrapNone/>
                <wp:docPr id="48" name="Straight Connector 48"/>
                <wp:cNvGraphicFramePr/>
                <a:graphic xmlns:a="http://schemas.openxmlformats.org/drawingml/2006/main">
                  <a:graphicData uri="http://schemas.microsoft.com/office/word/2010/wordprocessingShape">
                    <wps:wsp>
                      <wps:cNvCnPr/>
                      <wps:spPr>
                        <a:xfrm flipV="1">
                          <a:off x="0" y="0"/>
                          <a:ext cx="7143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E55A4A" id="Straight Connector 48"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pt" to="56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" strokecolor="black [3213]" strokeweight=".5pt">
                <v:stroke joinstyle="miter"/>
              </v:line>
            </w:pict>
          </mc:Fallback>
        </mc:AlternateContent>
      </w:r>
    </w:p>
    <w:p w14:paraId="2CD5F3F3" w14:textId="42247966" w:rsidR="00FE78DE" w:rsidRPr="00730C0D" w:rsidRDefault="00FE78DE" w:rsidP="00FE78DE">
      <w:pPr>
        <w:rPr>
          <w:rFonts w:ascii="Century Gothic" w:hAnsi="Century Gothic"/>
          <w:sz w:val="20"/>
          <w:szCs w:val="20"/>
        </w:rPr>
      </w:pPr>
      <w:r w:rsidRPr="00730C0D">
        <w:rPr>
          <w:rFonts w:ascii="Century Gothic" w:hAnsi="Century Gothic"/>
          <w:sz w:val="20"/>
          <w:szCs w:val="20"/>
        </w:rPr>
        <w:t xml:space="preserve">This PCS Review has been conducted in proximity </w:t>
      </w:r>
      <w:r w:rsidR="00B37A0B">
        <w:rPr>
          <w:rFonts w:ascii="Century Gothic" w:hAnsi="Century Gothic"/>
          <w:sz w:val="20"/>
          <w:szCs w:val="20"/>
        </w:rPr>
        <w:t>to a number of other important r</w:t>
      </w:r>
      <w:r w:rsidRPr="00730C0D">
        <w:rPr>
          <w:rFonts w:ascii="Century Gothic" w:hAnsi="Century Gothic"/>
          <w:sz w:val="20"/>
          <w:szCs w:val="20"/>
        </w:rPr>
        <w:t>eviews in</w:t>
      </w:r>
      <w:r w:rsidR="00B37A0B">
        <w:rPr>
          <w:rFonts w:ascii="Century Gothic" w:hAnsi="Century Gothic"/>
          <w:sz w:val="20"/>
          <w:szCs w:val="20"/>
        </w:rPr>
        <w:t>,</w:t>
      </w:r>
      <w:r w:rsidRPr="00730C0D">
        <w:rPr>
          <w:rFonts w:ascii="Century Gothic" w:hAnsi="Century Gothic"/>
          <w:sz w:val="20"/>
          <w:szCs w:val="20"/>
        </w:rPr>
        <w:t xml:space="preserve"> or relevant to</w:t>
      </w:r>
      <w:r w:rsidR="00B37A0B">
        <w:rPr>
          <w:rFonts w:ascii="Century Gothic" w:hAnsi="Century Gothic"/>
          <w:sz w:val="20"/>
          <w:szCs w:val="20"/>
        </w:rPr>
        <w:t>,</w:t>
      </w:r>
      <w:r w:rsidRPr="00730C0D">
        <w:rPr>
          <w:rFonts w:ascii="Century Gothic" w:hAnsi="Century Gothic"/>
          <w:sz w:val="20"/>
          <w:szCs w:val="20"/>
        </w:rPr>
        <w:t xml:space="preserve"> the higher education sector. The following provides a summary of these reviews and their potential interaction with the PCS Review. </w:t>
      </w:r>
    </w:p>
    <w:p w14:paraId="26FC77C9" w14:textId="77777777" w:rsidR="00FE78DE" w:rsidRPr="00730C0D" w:rsidRDefault="00FE78DE" w:rsidP="00FE78DE">
      <w:pPr>
        <w:rPr>
          <w:rFonts w:ascii="Century Gothic" w:hAnsi="Century Gothic"/>
          <w:sz w:val="20"/>
          <w:szCs w:val="20"/>
        </w:rPr>
      </w:pPr>
    </w:p>
    <w:p w14:paraId="3E8C30F0" w14:textId="77777777" w:rsidR="00FE78DE" w:rsidRPr="00730C0D" w:rsidRDefault="00FE78DE" w:rsidP="00FE78DE">
      <w:pPr>
        <w:pStyle w:val="Heading3"/>
      </w:pPr>
      <w:bookmarkStart w:id="172" w:name="_Toc16242158"/>
      <w:bookmarkStart w:id="173" w:name="_Toc16609481"/>
      <w:bookmarkStart w:id="174" w:name="_Toc18495614"/>
      <w:bookmarkStart w:id="175" w:name="_Toc18592377"/>
      <w:r w:rsidRPr="00730C0D">
        <w:t>Review of the Australian Qualifications Framework</w:t>
      </w:r>
      <w:bookmarkEnd w:id="172"/>
      <w:bookmarkEnd w:id="173"/>
      <w:bookmarkEnd w:id="174"/>
      <w:bookmarkEnd w:id="175"/>
    </w:p>
    <w:p w14:paraId="233E35A4"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In the 2017-18 Budget, the Australian Government announced a </w:t>
      </w:r>
      <w:r>
        <w:rPr>
          <w:rFonts w:ascii="Century Gothic" w:hAnsi="Century Gothic"/>
          <w:sz w:val="20"/>
          <w:szCs w:val="20"/>
        </w:rPr>
        <w:t>R</w:t>
      </w:r>
      <w:r w:rsidRPr="00730C0D">
        <w:rPr>
          <w:rFonts w:ascii="Century Gothic" w:hAnsi="Century Gothic"/>
          <w:sz w:val="20"/>
          <w:szCs w:val="20"/>
        </w:rPr>
        <w:t>eview of the Australian Qualifications Framework (AQF</w:t>
      </w:r>
      <w:r>
        <w:rPr>
          <w:rFonts w:ascii="Century Gothic" w:hAnsi="Century Gothic"/>
          <w:sz w:val="20"/>
          <w:szCs w:val="20"/>
        </w:rPr>
        <w:t xml:space="preserve"> Review</w:t>
      </w:r>
      <w:r w:rsidRPr="00730C0D">
        <w:rPr>
          <w:rFonts w:ascii="Century Gothic" w:hAnsi="Century Gothic"/>
          <w:sz w:val="20"/>
          <w:szCs w:val="20"/>
        </w:rPr>
        <w:t>), with a panel of experts to be chaired by Professor</w:t>
      </w:r>
      <w:r>
        <w:rPr>
          <w:rFonts w:ascii="Century Gothic" w:hAnsi="Century Gothic"/>
          <w:sz w:val="20"/>
          <w:szCs w:val="20"/>
        </w:rPr>
        <w:t> </w:t>
      </w:r>
      <w:r w:rsidRPr="00730C0D">
        <w:rPr>
          <w:rFonts w:ascii="Century Gothic" w:hAnsi="Century Gothic"/>
          <w:sz w:val="20"/>
          <w:szCs w:val="20"/>
        </w:rPr>
        <w:t>Peter Noonan, Professor of Tertiary Education Policy at Victoria University. The</w:t>
      </w:r>
      <w:r>
        <w:rPr>
          <w:rFonts w:ascii="Century Gothic" w:hAnsi="Century Gothic"/>
          <w:sz w:val="20"/>
          <w:szCs w:val="20"/>
        </w:rPr>
        <w:t> AQF </w:t>
      </w:r>
      <w:r w:rsidRPr="00730C0D">
        <w:rPr>
          <w:rFonts w:ascii="Century Gothic" w:hAnsi="Century Gothic"/>
          <w:sz w:val="20"/>
          <w:szCs w:val="20"/>
        </w:rPr>
        <w:t>Review will be completed in the second half of 2019.</w:t>
      </w:r>
    </w:p>
    <w:p w14:paraId="249C8EE0" w14:textId="77777777" w:rsidR="00FE78DE" w:rsidRPr="00730C0D" w:rsidRDefault="00FE78DE" w:rsidP="00FE78DE">
      <w:pPr>
        <w:spacing w:before="0" w:after="0"/>
        <w:rPr>
          <w:rFonts w:ascii="Century Gothic" w:hAnsi="Century Gothic"/>
          <w:sz w:val="20"/>
          <w:szCs w:val="20"/>
        </w:rPr>
      </w:pPr>
    </w:p>
    <w:p w14:paraId="2521E6FE"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The AQF Review is looking to provide a better definition of each level of regulated qualification to ensure each level is meeting the needs of students, employers and the wider community. The AQF Review is examining contemporary issues such as the recognition of essential capabilities – highly in demand by employers – and how shorter-form credentials, including micro-credentials, should be reflected in the AQF. In addition, the AQF Review is investigating ways to better and more consistently facilitate pathways between levels and qualifications in higher education and VET, possibly through a credit-point system.</w:t>
      </w:r>
    </w:p>
    <w:p w14:paraId="20A759EB" w14:textId="77777777" w:rsidR="00FE78DE" w:rsidRPr="00730C0D" w:rsidRDefault="00FE78DE" w:rsidP="00FE78DE">
      <w:pPr>
        <w:spacing w:before="0" w:after="0"/>
        <w:rPr>
          <w:rFonts w:ascii="Century Gothic" w:hAnsi="Century Gothic"/>
          <w:sz w:val="20"/>
          <w:szCs w:val="20"/>
        </w:rPr>
      </w:pPr>
    </w:p>
    <w:p w14:paraId="4F315653"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Both the PCS and AQF reviews are important examinations to ensure that Australia is positioned to accommodate innovation and changing practices in higher education. With higher education providers under the PCS offering qualifications from AQF Level 5 (Diploma) through to Level 10 (Doctoral Degree), it is imperative that any changes to the PCS do not present unintended problems. Such problems could be for either providers and their delivery across different AQF levels, or for credit recognition and pathways as providers continue to support changing student and employer needs. </w:t>
      </w:r>
    </w:p>
    <w:p w14:paraId="32C992B5" w14:textId="77777777" w:rsidR="00FE78DE" w:rsidRPr="00730C0D" w:rsidRDefault="00FE78DE" w:rsidP="00FE78DE">
      <w:pPr>
        <w:spacing w:before="0" w:after="0"/>
        <w:rPr>
          <w:rFonts w:ascii="Century Gothic" w:hAnsi="Century Gothic"/>
          <w:sz w:val="20"/>
          <w:szCs w:val="20"/>
        </w:rPr>
      </w:pPr>
    </w:p>
    <w:p w14:paraId="7A0DFA73" w14:textId="77777777" w:rsidR="00FE78DE" w:rsidRPr="00730C0D" w:rsidRDefault="00FE78DE" w:rsidP="00FE78DE">
      <w:pPr>
        <w:pStyle w:val="Heading3"/>
      </w:pPr>
      <w:bookmarkStart w:id="176" w:name="_Toc16242159"/>
      <w:bookmarkStart w:id="177" w:name="_Toc16609482"/>
      <w:bookmarkStart w:id="178" w:name="_Toc18495615"/>
      <w:bookmarkStart w:id="179" w:name="_Toc18592378"/>
      <w:r w:rsidRPr="00730C0D">
        <w:t>Strengthening Skills: Expert Review of Australia’s Vocational Education and Training System</w:t>
      </w:r>
      <w:bookmarkEnd w:id="176"/>
      <w:bookmarkEnd w:id="177"/>
      <w:bookmarkEnd w:id="178"/>
      <w:bookmarkEnd w:id="179"/>
    </w:p>
    <w:p w14:paraId="054DFFAC"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In November 2018, the Prime Minister announced an independent Review of Australia’s VET sector, to be led by the Honourable Steven Joyce, a former New Zealand Minister for Tertiary Education, Skills and Employment. Mr Joyce delivered this final report, </w:t>
      </w:r>
      <w:r w:rsidRPr="00730C0D">
        <w:rPr>
          <w:rFonts w:ascii="Century Gothic" w:hAnsi="Century Gothic"/>
          <w:i/>
          <w:sz w:val="20"/>
          <w:szCs w:val="20"/>
        </w:rPr>
        <w:t>Strengthening Skills: Expert Review of Australia’s VET System</w:t>
      </w:r>
      <w:r w:rsidRPr="00730C0D">
        <w:rPr>
          <w:rFonts w:ascii="Century Gothic" w:hAnsi="Century Gothic"/>
          <w:sz w:val="20"/>
          <w:szCs w:val="20"/>
        </w:rPr>
        <w:t xml:space="preserve"> (Joyce Review), to Government in March 2019. </w:t>
      </w:r>
    </w:p>
    <w:p w14:paraId="1C56208F" w14:textId="77777777" w:rsidR="00FE78DE" w:rsidRPr="00730C0D" w:rsidRDefault="00FE78DE" w:rsidP="00FE78DE">
      <w:pPr>
        <w:spacing w:before="0" w:after="0"/>
        <w:rPr>
          <w:rFonts w:ascii="Century Gothic" w:hAnsi="Century Gothic"/>
          <w:sz w:val="20"/>
          <w:szCs w:val="20"/>
        </w:rPr>
      </w:pPr>
    </w:p>
    <w:p w14:paraId="2F2BD4D5"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The Joyce Review highlights that Australia’s modern economy will need flexible and applied ways of learning to deliver the skills the economy needs for today and tomorrow. </w:t>
      </w:r>
    </w:p>
    <w:p w14:paraId="3F90C2C6" w14:textId="77777777" w:rsidR="00FE78DE" w:rsidRPr="00730C0D" w:rsidRDefault="00FE78DE" w:rsidP="00FE78DE">
      <w:pPr>
        <w:spacing w:before="0" w:after="0"/>
        <w:rPr>
          <w:rFonts w:ascii="Century Gothic" w:hAnsi="Century Gothic"/>
          <w:sz w:val="20"/>
          <w:szCs w:val="20"/>
        </w:rPr>
      </w:pPr>
    </w:p>
    <w:p w14:paraId="2F8D0624" w14:textId="77777777" w:rsidR="00FE78DE" w:rsidRPr="00730C0D" w:rsidRDefault="00FE78DE" w:rsidP="00817C00">
      <w:pPr>
        <w:spacing w:before="0" w:after="0"/>
        <w:ind w:right="-188"/>
        <w:rPr>
          <w:rFonts w:ascii="Century Gothic" w:hAnsi="Century Gothic"/>
          <w:sz w:val="20"/>
          <w:szCs w:val="20"/>
        </w:rPr>
      </w:pPr>
      <w:r w:rsidRPr="00730C0D">
        <w:rPr>
          <w:rFonts w:ascii="Century Gothic" w:hAnsi="Century Gothic"/>
          <w:sz w:val="20"/>
          <w:szCs w:val="20"/>
        </w:rPr>
        <w:t xml:space="preserve">The Australian Government’s response to the Joyce Review, through its </w:t>
      </w:r>
      <w:r w:rsidRPr="00730C0D">
        <w:rPr>
          <w:rFonts w:ascii="Century Gothic" w:hAnsi="Century Gothic"/>
          <w:i/>
          <w:sz w:val="20"/>
          <w:szCs w:val="20"/>
        </w:rPr>
        <w:t>Delivering Skills for Today and Tomorrow Package</w:t>
      </w:r>
      <w:r w:rsidRPr="00730C0D">
        <w:rPr>
          <w:rFonts w:ascii="Century Gothic" w:hAnsi="Century Gothic"/>
          <w:sz w:val="20"/>
          <w:szCs w:val="20"/>
        </w:rPr>
        <w:t xml:space="preserve"> announced as part of the 2019</w:t>
      </w:r>
      <w:r w:rsidRPr="00730C0D">
        <w:rPr>
          <w:rFonts w:ascii="Arial" w:hAnsi="Arial" w:cs="Arial"/>
          <w:sz w:val="20"/>
          <w:szCs w:val="20"/>
        </w:rPr>
        <w:t>‒</w:t>
      </w:r>
      <w:r w:rsidRPr="00730C0D">
        <w:rPr>
          <w:rFonts w:ascii="Century Gothic" w:hAnsi="Century Gothic"/>
          <w:sz w:val="20"/>
          <w:szCs w:val="20"/>
        </w:rPr>
        <w:t>20 Budget, has implications for Australia</w:t>
      </w:r>
      <w:r w:rsidRPr="00730C0D">
        <w:rPr>
          <w:rFonts w:ascii="Century Gothic" w:hAnsi="Century Gothic" w:cs="Century Gothic"/>
          <w:sz w:val="20"/>
          <w:szCs w:val="20"/>
        </w:rPr>
        <w:t>’</w:t>
      </w:r>
      <w:r w:rsidRPr="00730C0D">
        <w:rPr>
          <w:rFonts w:ascii="Century Gothic" w:hAnsi="Century Gothic"/>
          <w:sz w:val="20"/>
          <w:szCs w:val="20"/>
        </w:rPr>
        <w:t xml:space="preserve">s tertiary education landscape through new investment to upgrade and modernise the VET sector. This activity will complement Australia’s higher education sector as providers increasingly deliver, partner and provide pathways across VET and higher education. </w:t>
      </w:r>
    </w:p>
    <w:p w14:paraId="775D4DF5" w14:textId="77777777" w:rsidR="00794E80" w:rsidRDefault="00794E80">
      <w:pPr>
        <w:spacing w:before="0" w:after="160"/>
        <w:rPr>
          <w:rFonts w:ascii="Century Gothic" w:hAnsi="Century Gothic"/>
          <w:sz w:val="20"/>
          <w:szCs w:val="20"/>
        </w:rPr>
      </w:pPr>
      <w:r>
        <w:rPr>
          <w:rFonts w:ascii="Century Gothic" w:hAnsi="Century Gothic"/>
          <w:sz w:val="20"/>
          <w:szCs w:val="20"/>
        </w:rPr>
        <w:br w:type="page"/>
      </w:r>
    </w:p>
    <w:p w14:paraId="50314F3F" w14:textId="4A92A8AA"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These connections between higher education and VET are increasingly important in the context of lifelong learning and the changing nature of work. Longer working lives and a changing labour market will increase the need for Australians to view upskilling and reskilling as the norm; embracing education as a lifelong journey will entail a significant shift from the current bias in which the vast bulk of education is consumed by young people. The further blurring of borders between VET and higher education will be required through active efforts by providers to facilitate pathways and connections between the two sectors. </w:t>
      </w:r>
    </w:p>
    <w:p w14:paraId="0EB9F842" w14:textId="77777777" w:rsidR="00FE78DE" w:rsidRPr="00730C0D" w:rsidRDefault="00FE78DE" w:rsidP="00FE78DE">
      <w:pPr>
        <w:spacing w:before="0" w:after="0"/>
        <w:rPr>
          <w:rFonts w:ascii="Century Gothic" w:hAnsi="Century Gothic"/>
          <w:sz w:val="20"/>
          <w:szCs w:val="20"/>
        </w:rPr>
      </w:pPr>
    </w:p>
    <w:p w14:paraId="0F75C3B0"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It is therefore important that this PCS Review ensures that the benchmark standards for Australia’s higher education providers fit within this broader tertiary landscape. This is also an imperative given the number of dual sector providers now operating under the PCS. Dual sector institutions help to support increasing numbers of enrolments and mobility of students across both VET and higher education. </w:t>
      </w:r>
    </w:p>
    <w:p w14:paraId="33E0E3E5" w14:textId="77777777" w:rsidR="00FE78DE" w:rsidRPr="00730C0D" w:rsidRDefault="00FE78DE" w:rsidP="00FE78DE">
      <w:pPr>
        <w:spacing w:before="0" w:after="0"/>
        <w:rPr>
          <w:rFonts w:ascii="Century Gothic" w:hAnsi="Century Gothic"/>
          <w:sz w:val="20"/>
          <w:szCs w:val="20"/>
        </w:rPr>
      </w:pPr>
    </w:p>
    <w:p w14:paraId="5593A16E" w14:textId="77777777" w:rsidR="00FE78DE" w:rsidRPr="00730C0D" w:rsidRDefault="00FE78DE" w:rsidP="00FE78DE">
      <w:pPr>
        <w:pStyle w:val="Heading3"/>
      </w:pPr>
      <w:bookmarkStart w:id="180" w:name="_Toc16242160"/>
      <w:bookmarkStart w:id="181" w:name="_Toc16609483"/>
      <w:bookmarkStart w:id="182" w:name="_Toc18495616"/>
      <w:bookmarkStart w:id="183" w:name="_Toc18592379"/>
      <w:r w:rsidRPr="00730C0D">
        <w:t>Independent Review into Regional, Rural and Remote Education</w:t>
      </w:r>
      <w:bookmarkEnd w:id="180"/>
      <w:bookmarkEnd w:id="181"/>
      <w:bookmarkEnd w:id="182"/>
      <w:bookmarkEnd w:id="183"/>
    </w:p>
    <w:p w14:paraId="1BA4DF9E"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In 2017, the Australian Government commissioned an Independent Review into Regional, Rural and Remote Education (IRRRRE), led by Emeritus Professor John Halsey from Flinders University. Professor Halsey delivered his final report to Government in April 2018.  </w:t>
      </w:r>
    </w:p>
    <w:p w14:paraId="1F235E08" w14:textId="77777777" w:rsidR="00FE78DE" w:rsidRPr="00730C0D" w:rsidRDefault="00FE78DE" w:rsidP="00FE78DE">
      <w:pPr>
        <w:spacing w:before="0" w:after="0"/>
        <w:rPr>
          <w:rFonts w:ascii="Century Gothic" w:hAnsi="Century Gothic"/>
          <w:sz w:val="20"/>
          <w:szCs w:val="20"/>
        </w:rPr>
      </w:pPr>
    </w:p>
    <w:p w14:paraId="2ADB2423" w14:textId="69BFAFDD"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IRRRRE considered the key issues, challenges and barriers that impact on the learning outcomes of regional, rural and remote students in Australia. It provided recommendations to support improved access and achievement of these students in school and their transition to further study, training and employment. The Australian Government accepted all </w:t>
      </w:r>
      <w:r w:rsidR="000305C5">
        <w:rPr>
          <w:rFonts w:ascii="Century Gothic" w:hAnsi="Century Gothic"/>
          <w:sz w:val="20"/>
          <w:szCs w:val="20"/>
        </w:rPr>
        <w:br/>
      </w:r>
      <w:r w:rsidRPr="00730C0D">
        <w:rPr>
          <w:rFonts w:ascii="Century Gothic" w:hAnsi="Century Gothic"/>
          <w:sz w:val="20"/>
          <w:szCs w:val="20"/>
        </w:rPr>
        <w:t xml:space="preserve">11 recommendations of IRRRRE, which has several implications for higher education providers catering to these students and regions. One of these implications is the expanding of accessibility for Bachelor students at regional study hubs. </w:t>
      </w:r>
    </w:p>
    <w:p w14:paraId="34061447" w14:textId="77777777" w:rsidR="00FE78DE" w:rsidRPr="00730C0D" w:rsidRDefault="00FE78DE" w:rsidP="00FE78DE">
      <w:pPr>
        <w:spacing w:before="0" w:after="0"/>
        <w:rPr>
          <w:rFonts w:ascii="Century Gothic" w:hAnsi="Century Gothic"/>
          <w:sz w:val="20"/>
          <w:szCs w:val="20"/>
        </w:rPr>
      </w:pPr>
    </w:p>
    <w:p w14:paraId="6844BF28" w14:textId="7039CE43"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Recommendation 11 from IRRRRE was to “establish a national focus for regional, rural and remote education, training and research to enhance access, outcomes and opportunities in regional Australia”. In response to this recommendation, a Regional Education Expert Advisory Group, chaired by former Victorian Premier the Hon Dr Denis Napthine, was established to drive a National Regional, Rural and Remote Education Strategy. A final</w:t>
      </w:r>
      <w:r w:rsidR="000305C5">
        <w:rPr>
          <w:rFonts w:ascii="Century Gothic" w:hAnsi="Century Gothic"/>
          <w:sz w:val="20"/>
          <w:szCs w:val="20"/>
        </w:rPr>
        <w:br/>
      </w:r>
      <w:r w:rsidRPr="00730C0D">
        <w:rPr>
          <w:rFonts w:ascii="Century Gothic" w:hAnsi="Century Gothic"/>
          <w:sz w:val="20"/>
          <w:szCs w:val="20"/>
        </w:rPr>
        <w:t>report</w:t>
      </w:r>
      <w:r>
        <w:rPr>
          <w:rFonts w:ascii="Century Gothic" w:hAnsi="Century Gothic"/>
          <w:sz w:val="20"/>
          <w:szCs w:val="20"/>
        </w:rPr>
        <w:t xml:space="preserve"> from the Advisory Group</w:t>
      </w:r>
      <w:r w:rsidRPr="00730C0D">
        <w:rPr>
          <w:rFonts w:ascii="Century Gothic" w:hAnsi="Century Gothic"/>
          <w:sz w:val="20"/>
          <w:szCs w:val="20"/>
        </w:rPr>
        <w:t xml:space="preserve"> has been provided to Government and is currently </w:t>
      </w:r>
      <w:r w:rsidR="000305C5">
        <w:rPr>
          <w:rFonts w:ascii="Century Gothic" w:hAnsi="Century Gothic"/>
          <w:sz w:val="20"/>
          <w:szCs w:val="20"/>
        </w:rPr>
        <w:br/>
      </w:r>
      <w:r w:rsidRPr="00730C0D">
        <w:rPr>
          <w:rFonts w:ascii="Century Gothic" w:hAnsi="Century Gothic"/>
          <w:sz w:val="20"/>
          <w:szCs w:val="20"/>
        </w:rPr>
        <w:t xml:space="preserve">under consideration. </w:t>
      </w:r>
    </w:p>
    <w:p w14:paraId="306659CB" w14:textId="77777777" w:rsidR="00FE78DE" w:rsidRPr="00730C0D" w:rsidRDefault="00FE78DE" w:rsidP="00FE78DE">
      <w:pPr>
        <w:spacing w:before="0" w:after="0"/>
        <w:rPr>
          <w:rFonts w:ascii="Century Gothic" w:hAnsi="Century Gothic"/>
          <w:sz w:val="20"/>
          <w:szCs w:val="20"/>
        </w:rPr>
      </w:pPr>
    </w:p>
    <w:p w14:paraId="618F88AD"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This PCS Review considers the requirements of higher education providers in terms of engaging with employers and industry and, in the case of universities, civic leadership and engagement with local and regional communities. For those higher education providers catering to regional, rural and remote communities, these important outreach functions can play a critical role in building aspiration, access and attainment among students.</w:t>
      </w:r>
    </w:p>
    <w:p w14:paraId="5A7B3D12" w14:textId="77777777" w:rsidR="00FE78DE" w:rsidRPr="00730C0D" w:rsidRDefault="00FE78DE" w:rsidP="00FE78DE">
      <w:pPr>
        <w:spacing w:before="0" w:after="0"/>
        <w:rPr>
          <w:rFonts w:ascii="Century Gothic" w:hAnsi="Century Gothic"/>
          <w:b/>
          <w:sz w:val="20"/>
          <w:szCs w:val="20"/>
        </w:rPr>
      </w:pPr>
    </w:p>
    <w:p w14:paraId="44E2CEC7" w14:textId="77777777" w:rsidR="00FE78DE" w:rsidRPr="00730C0D" w:rsidRDefault="00FE78DE" w:rsidP="00FE78DE">
      <w:pPr>
        <w:spacing w:before="0" w:after="160"/>
        <w:rPr>
          <w:rFonts w:ascii="Century Gothic" w:eastAsiaTheme="majorEastAsia" w:hAnsi="Century Gothic" w:cstheme="majorBidi"/>
          <w:b/>
        </w:rPr>
      </w:pPr>
      <w:bookmarkStart w:id="184" w:name="_Toc16242161"/>
      <w:r w:rsidRPr="00730C0D">
        <w:rPr>
          <w:rFonts w:ascii="Century Gothic" w:hAnsi="Century Gothic"/>
        </w:rPr>
        <w:br w:type="page"/>
      </w:r>
    </w:p>
    <w:p w14:paraId="4C239011" w14:textId="77777777" w:rsidR="00FE78DE" w:rsidRPr="00730C0D" w:rsidRDefault="00FE78DE" w:rsidP="00FE78DE">
      <w:pPr>
        <w:pStyle w:val="Heading3"/>
      </w:pPr>
      <w:bookmarkStart w:id="185" w:name="_Toc16609484"/>
      <w:bookmarkStart w:id="186" w:name="_Toc18495617"/>
      <w:bookmarkStart w:id="187" w:name="_Toc18592380"/>
      <w:r w:rsidRPr="00730C0D">
        <w:t>Performance-Based Funding for the Commonwealth Grant Scheme</w:t>
      </w:r>
      <w:bookmarkEnd w:id="184"/>
      <w:bookmarkEnd w:id="185"/>
      <w:bookmarkEnd w:id="186"/>
      <w:bookmarkEnd w:id="187"/>
    </w:p>
    <w:p w14:paraId="0B5ACBF9" w14:textId="77777777"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In December 2018, the Hon Dan Tehan MP, Minister for Education, announced that an expert panel, chaired by Professor Paul Wellings, Vice Chancellor of the University of Wollongong, would lead consultations with the sector on the implementation of performance-based funding (PBF) reform. A final report was provided to Government on 30 June 2019. </w:t>
      </w:r>
    </w:p>
    <w:p w14:paraId="354FC33C" w14:textId="77777777" w:rsidR="00FE78DE" w:rsidRPr="00730C0D" w:rsidRDefault="00FE78DE" w:rsidP="00FE78DE">
      <w:pPr>
        <w:spacing w:before="0" w:after="0"/>
        <w:rPr>
          <w:rFonts w:ascii="Century Gothic" w:hAnsi="Century Gothic"/>
          <w:sz w:val="20"/>
          <w:szCs w:val="20"/>
        </w:rPr>
      </w:pPr>
    </w:p>
    <w:p w14:paraId="50019BFA" w14:textId="77777777" w:rsidR="00FE78DE" w:rsidRPr="00730C0D" w:rsidRDefault="00FE78DE" w:rsidP="00FE78DE">
      <w:pPr>
        <w:spacing w:before="0" w:after="0"/>
        <w:rPr>
          <w:rFonts w:ascii="Century Gothic" w:hAnsi="Century Gothic"/>
          <w:sz w:val="20"/>
          <w:szCs w:val="20"/>
          <w:lang w:val="en"/>
        </w:rPr>
      </w:pPr>
      <w:r w:rsidRPr="00730C0D">
        <w:rPr>
          <w:rFonts w:ascii="Century Gothic" w:hAnsi="Century Gothic"/>
          <w:sz w:val="20"/>
          <w:szCs w:val="20"/>
        </w:rPr>
        <w:t xml:space="preserve">The PBF Review intended to ensure universities focus sufficient attention on the quality of their teaching and student support to ultimately achieve the best possible graduate outcomes. </w:t>
      </w:r>
    </w:p>
    <w:p w14:paraId="68C9B516" w14:textId="53607156" w:rsidR="00FE78DE" w:rsidRPr="00730C0D" w:rsidRDefault="00FE78DE" w:rsidP="00817C00">
      <w:pPr>
        <w:spacing w:before="0" w:after="0"/>
        <w:ind w:right="-188"/>
        <w:rPr>
          <w:rFonts w:ascii="Century Gothic" w:hAnsi="Century Gothic"/>
          <w:sz w:val="20"/>
          <w:szCs w:val="20"/>
        </w:rPr>
      </w:pPr>
      <w:r w:rsidRPr="00730C0D">
        <w:rPr>
          <w:rFonts w:ascii="Century Gothic" w:hAnsi="Century Gothic"/>
          <w:sz w:val="20"/>
          <w:szCs w:val="20"/>
        </w:rPr>
        <w:t xml:space="preserve">While the PCS have no direct relationship to Commonwealth Government funding for teaching and research, and </w:t>
      </w:r>
      <w:r>
        <w:rPr>
          <w:rFonts w:ascii="Century Gothic" w:hAnsi="Century Gothic"/>
          <w:sz w:val="20"/>
          <w:szCs w:val="20"/>
        </w:rPr>
        <w:t xml:space="preserve">hence </w:t>
      </w:r>
      <w:r w:rsidRPr="00730C0D">
        <w:rPr>
          <w:rFonts w:ascii="Century Gothic" w:hAnsi="Century Gothic"/>
          <w:sz w:val="20"/>
          <w:szCs w:val="20"/>
        </w:rPr>
        <w:t xml:space="preserve"> not within the scope of this Review,</w:t>
      </w:r>
      <w:r w:rsidRPr="00730C0D" w:rsidDel="002E4F5A">
        <w:rPr>
          <w:rFonts w:ascii="Century Gothic" w:hAnsi="Century Gothic"/>
          <w:sz w:val="20"/>
          <w:szCs w:val="20"/>
        </w:rPr>
        <w:t xml:space="preserve"> </w:t>
      </w:r>
      <w:r w:rsidRPr="00730C0D">
        <w:rPr>
          <w:rFonts w:ascii="Century Gothic" w:hAnsi="Century Gothic"/>
          <w:sz w:val="20"/>
          <w:szCs w:val="20"/>
        </w:rPr>
        <w:t>there is an appreciation that any changes to the PCS need to consider potential funding implications. Some observations in this regard are explored earlier in this Review report.</w:t>
      </w:r>
      <w:r>
        <w:rPr>
          <w:rFonts w:ascii="Century Gothic" w:hAnsi="Century Gothic"/>
          <w:sz w:val="20"/>
          <w:szCs w:val="20"/>
        </w:rPr>
        <w:t xml:space="preserve"> The </w:t>
      </w:r>
      <w:r w:rsidRPr="002F7B6B">
        <w:rPr>
          <w:rFonts w:ascii="Century Gothic" w:hAnsi="Century Gothic"/>
          <w:sz w:val="20"/>
          <w:szCs w:val="20"/>
        </w:rPr>
        <w:t>Recommended Categorisation and Criteria for Higher Education Providers</w:t>
      </w:r>
      <w:r>
        <w:rPr>
          <w:rFonts w:ascii="Century Gothic" w:hAnsi="Century Gothic"/>
          <w:sz w:val="20"/>
          <w:szCs w:val="20"/>
        </w:rPr>
        <w:t xml:space="preserve"> (see </w:t>
      </w:r>
      <w:hyperlink w:anchor="_Appendix_D." w:history="1">
        <w:r w:rsidRPr="00FE78DE">
          <w:rPr>
            <w:rStyle w:val="Hyperlink"/>
            <w:rFonts w:ascii="Century Gothic" w:hAnsi="Century Gothic"/>
            <w:sz w:val="20"/>
            <w:szCs w:val="20"/>
          </w:rPr>
          <w:t>Appendix D</w:t>
        </w:r>
      </w:hyperlink>
      <w:r>
        <w:rPr>
          <w:rFonts w:ascii="Century Gothic" w:hAnsi="Century Gothic"/>
          <w:sz w:val="20"/>
          <w:szCs w:val="20"/>
        </w:rPr>
        <w:t xml:space="preserve">) has also adopted terminology largely consistent with the PBF Review concerning </w:t>
      </w:r>
      <w:r w:rsidRPr="002F7B6B">
        <w:rPr>
          <w:rFonts w:ascii="Century Gothic" w:hAnsi="Century Gothic"/>
          <w:sz w:val="20"/>
          <w:szCs w:val="20"/>
        </w:rPr>
        <w:t xml:space="preserve">graduate outcomes, </w:t>
      </w:r>
      <w:r>
        <w:rPr>
          <w:rFonts w:ascii="Century Gothic" w:hAnsi="Century Gothic"/>
          <w:sz w:val="20"/>
          <w:szCs w:val="20"/>
        </w:rPr>
        <w:t>student success</w:t>
      </w:r>
      <w:r w:rsidRPr="002F7B6B">
        <w:rPr>
          <w:rFonts w:ascii="Century Gothic" w:hAnsi="Century Gothic"/>
          <w:sz w:val="20"/>
          <w:szCs w:val="20"/>
        </w:rPr>
        <w:t>, and measures of student experience.</w:t>
      </w:r>
      <w:r>
        <w:rPr>
          <w:rFonts w:ascii="Century Gothic" w:hAnsi="Century Gothic"/>
          <w:sz w:val="20"/>
          <w:szCs w:val="20"/>
        </w:rPr>
        <w:t xml:space="preserve"> </w:t>
      </w:r>
      <w:r w:rsidRPr="00730C0D">
        <w:rPr>
          <w:rFonts w:ascii="Century Gothic" w:hAnsi="Century Gothic"/>
          <w:sz w:val="20"/>
          <w:szCs w:val="20"/>
        </w:rPr>
        <w:t xml:space="preserve"> </w:t>
      </w:r>
    </w:p>
    <w:p w14:paraId="1D350315" w14:textId="77777777" w:rsidR="00FE78DE" w:rsidRPr="00730C0D" w:rsidRDefault="00FE78DE" w:rsidP="00FE78DE">
      <w:pPr>
        <w:pStyle w:val="Heading3"/>
      </w:pPr>
    </w:p>
    <w:p w14:paraId="15C3FA4C" w14:textId="77777777" w:rsidR="00FE78DE" w:rsidRPr="00730C0D" w:rsidRDefault="00FE78DE" w:rsidP="00FE78DE">
      <w:pPr>
        <w:pStyle w:val="Heading3"/>
      </w:pPr>
      <w:bookmarkStart w:id="188" w:name="_Toc16242162"/>
      <w:bookmarkStart w:id="189" w:name="_Toc16609485"/>
      <w:bookmarkStart w:id="190" w:name="_Toc18495618"/>
      <w:bookmarkStart w:id="191" w:name="_Toc18592381"/>
      <w:r w:rsidRPr="00730C0D">
        <w:t>Independent Review of Freedom of Speech in Australian Higher Education Providers</w:t>
      </w:r>
      <w:bookmarkEnd w:id="188"/>
      <w:bookmarkEnd w:id="189"/>
      <w:bookmarkEnd w:id="190"/>
      <w:bookmarkEnd w:id="191"/>
    </w:p>
    <w:p w14:paraId="1A65FBE5" w14:textId="4064403E"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In December 2018, the Hon Dan Tehan MP, Minister for Education, announced an independent Review into university of freedom to speech to be undertaken by the </w:t>
      </w:r>
      <w:r w:rsidR="0024520B">
        <w:rPr>
          <w:rFonts w:ascii="Century Gothic" w:hAnsi="Century Gothic"/>
          <w:sz w:val="20"/>
          <w:szCs w:val="20"/>
        </w:rPr>
        <w:br/>
      </w:r>
      <w:r w:rsidRPr="00730C0D">
        <w:rPr>
          <w:rFonts w:ascii="Century Gothic" w:hAnsi="Century Gothic"/>
          <w:sz w:val="20"/>
          <w:szCs w:val="20"/>
        </w:rPr>
        <w:t xml:space="preserve">Hon Mr Robert French </w:t>
      </w:r>
      <w:r w:rsidRPr="00730C0D">
        <w:rPr>
          <w:rFonts w:ascii="Century Gothic" w:hAnsi="Century Gothic"/>
          <w:sz w:val="16"/>
          <w:szCs w:val="16"/>
        </w:rPr>
        <w:t>AC</w:t>
      </w:r>
      <w:r w:rsidRPr="00730C0D">
        <w:rPr>
          <w:rFonts w:ascii="Century Gothic" w:hAnsi="Century Gothic"/>
          <w:sz w:val="20"/>
          <w:szCs w:val="20"/>
        </w:rPr>
        <w:t xml:space="preserve">, former Chief Justice of the High Court Chief of Australia. Mr Justice French delivered the final report to Government in April 2019. </w:t>
      </w:r>
    </w:p>
    <w:p w14:paraId="557D4234" w14:textId="77777777" w:rsidR="00FE78DE" w:rsidRPr="00730C0D" w:rsidRDefault="00FE78DE" w:rsidP="00FE78DE">
      <w:pPr>
        <w:spacing w:before="0" w:after="0"/>
        <w:rPr>
          <w:rFonts w:ascii="Century Gothic" w:hAnsi="Century Gothic"/>
          <w:sz w:val="20"/>
          <w:szCs w:val="20"/>
        </w:rPr>
      </w:pPr>
    </w:p>
    <w:p w14:paraId="41619FB4" w14:textId="58E44916" w:rsidR="00FE78DE" w:rsidRPr="00730C0D" w:rsidRDefault="00FE78DE" w:rsidP="00FE78DE">
      <w:pPr>
        <w:spacing w:before="0" w:after="0"/>
        <w:rPr>
          <w:rFonts w:ascii="Century Gothic" w:hAnsi="Century Gothic"/>
          <w:sz w:val="20"/>
          <w:szCs w:val="20"/>
        </w:rPr>
      </w:pPr>
      <w:r w:rsidRPr="00730C0D">
        <w:rPr>
          <w:rFonts w:ascii="Century Gothic" w:hAnsi="Century Gothic"/>
          <w:sz w:val="20"/>
          <w:szCs w:val="20"/>
        </w:rPr>
        <w:t xml:space="preserve">The focus of this Freedom of Speech </w:t>
      </w:r>
      <w:r>
        <w:rPr>
          <w:rFonts w:ascii="Century Gothic" w:hAnsi="Century Gothic"/>
          <w:sz w:val="20"/>
          <w:szCs w:val="20"/>
        </w:rPr>
        <w:t>R</w:t>
      </w:r>
      <w:r w:rsidRPr="00730C0D">
        <w:rPr>
          <w:rFonts w:ascii="Century Gothic" w:hAnsi="Century Gothic"/>
          <w:sz w:val="20"/>
          <w:szCs w:val="20"/>
        </w:rPr>
        <w:t xml:space="preserve">eview was to assess the effectiveness of university policies and practices to address the requirements of the Threshold Standards to promote and protect freedom of expression and intellectual inquiry on Australian campuses. </w:t>
      </w:r>
      <w:r w:rsidR="00817C00">
        <w:rPr>
          <w:rFonts w:ascii="Century Gothic" w:hAnsi="Century Gothic"/>
          <w:sz w:val="20"/>
          <w:szCs w:val="20"/>
        </w:rPr>
        <w:br/>
      </w:r>
      <w:r w:rsidRPr="00730C0D">
        <w:rPr>
          <w:rFonts w:ascii="Century Gothic" w:hAnsi="Century Gothic"/>
          <w:sz w:val="20"/>
          <w:szCs w:val="20"/>
        </w:rPr>
        <w:t xml:space="preserve">The Freedom of Speech review recommends amendments to the Threshold Standards and includes a consequential amendment to the criteria for higher education providers set out in </w:t>
      </w:r>
      <w:r w:rsidR="000305C5">
        <w:rPr>
          <w:rFonts w:ascii="Century Gothic" w:hAnsi="Century Gothic"/>
          <w:sz w:val="20"/>
          <w:szCs w:val="20"/>
        </w:rPr>
        <w:t xml:space="preserve">criterion </w:t>
      </w:r>
      <w:r w:rsidRPr="00730C0D">
        <w:rPr>
          <w:rFonts w:ascii="Century Gothic" w:hAnsi="Century Gothic"/>
          <w:sz w:val="20"/>
          <w:szCs w:val="20"/>
        </w:rPr>
        <w:t>B1.1 of the PCS:</w:t>
      </w:r>
    </w:p>
    <w:p w14:paraId="59389BEC" w14:textId="77777777" w:rsidR="00FE78DE" w:rsidRPr="00730C0D" w:rsidRDefault="00FE78DE" w:rsidP="00FE78DE">
      <w:pPr>
        <w:spacing w:before="0" w:after="0"/>
        <w:rPr>
          <w:rFonts w:ascii="Century Gothic" w:hAnsi="Century Gothic"/>
          <w:sz w:val="20"/>
          <w:szCs w:val="20"/>
        </w:rPr>
      </w:pPr>
    </w:p>
    <w:p w14:paraId="6BC29D46" w14:textId="77777777" w:rsidR="00FE78DE" w:rsidRPr="00730C0D" w:rsidRDefault="00FE78DE" w:rsidP="00FE78DE">
      <w:pPr>
        <w:spacing w:before="0" w:after="0"/>
        <w:ind w:left="567" w:right="1088"/>
        <w:jc w:val="both"/>
        <w:rPr>
          <w:rFonts w:ascii="Century Gothic" w:hAnsi="Century Gothic"/>
          <w:sz w:val="20"/>
          <w:szCs w:val="20"/>
        </w:rPr>
      </w:pPr>
      <w:r w:rsidRPr="00730C0D">
        <w:rPr>
          <w:rFonts w:ascii="Century Gothic" w:hAnsi="Century Gothic"/>
          <w:sz w:val="20"/>
          <w:szCs w:val="20"/>
        </w:rPr>
        <w:t>The higher education provider has a clearly articulated higher education purpose that includes a commitment to and support for freedom of speech and academic freedom.</w:t>
      </w:r>
      <w:r w:rsidRPr="00730C0D">
        <w:rPr>
          <w:rStyle w:val="FootnoteReference"/>
          <w:rFonts w:ascii="Century Gothic" w:hAnsi="Century Gothic"/>
          <w:sz w:val="20"/>
          <w:szCs w:val="20"/>
        </w:rPr>
        <w:footnoteReference w:id="121"/>
      </w:r>
    </w:p>
    <w:p w14:paraId="24187FE4" w14:textId="77777777" w:rsidR="00FE78DE" w:rsidRPr="00730C0D" w:rsidRDefault="00FE78DE" w:rsidP="00FE78DE">
      <w:pPr>
        <w:spacing w:before="0" w:after="0"/>
        <w:ind w:right="1088"/>
        <w:jc w:val="both"/>
        <w:rPr>
          <w:rFonts w:ascii="Century Gothic" w:hAnsi="Century Gothic"/>
          <w:sz w:val="20"/>
          <w:szCs w:val="20"/>
        </w:rPr>
      </w:pPr>
    </w:p>
    <w:p w14:paraId="5AEF123D" w14:textId="77777777" w:rsidR="00FE78DE" w:rsidRPr="00730C0D" w:rsidRDefault="00FE78DE" w:rsidP="00FE78DE">
      <w:pPr>
        <w:spacing w:before="0" w:after="0"/>
        <w:rPr>
          <w:rFonts w:ascii="Century Gothic" w:eastAsia="Calibri" w:hAnsi="Century Gothic" w:cs="Times New Roman"/>
          <w:sz w:val="20"/>
          <w:szCs w:val="20"/>
        </w:rPr>
      </w:pPr>
      <w:r w:rsidRPr="00730C0D">
        <w:rPr>
          <w:rFonts w:ascii="Century Gothic" w:hAnsi="Century Gothic"/>
          <w:sz w:val="20"/>
          <w:szCs w:val="20"/>
        </w:rPr>
        <w:t xml:space="preserve">This recommendation has been carefully considered by this Review. </w:t>
      </w:r>
      <w:r w:rsidRPr="00730C0D">
        <w:rPr>
          <w:rFonts w:ascii="Century Gothic" w:eastAsia="Calibri" w:hAnsi="Century Gothic" w:cs="Times New Roman"/>
          <w:sz w:val="20"/>
          <w:szCs w:val="20"/>
        </w:rPr>
        <w:t>However, in the interest of streamlining the PCS, it is considered that Mr Justice French’s recommendation may not be necessary. Freedom of intellectual inquiry is a requirement of the Threshold Standards, and as all providers are required to meet the Threshold Standards in order to be registered by TEQSA, it may be unnecessary to restate the requirement for free intellectual inquiry in the PCS. The recommendations of the</w:t>
      </w:r>
      <w:r w:rsidRPr="00730C0D">
        <w:rPr>
          <w:rFonts w:ascii="Century Gothic" w:eastAsia="Calibri" w:hAnsi="Century Gothic" w:cs="Times New Roman"/>
          <w:i/>
          <w:sz w:val="20"/>
          <w:szCs w:val="20"/>
        </w:rPr>
        <w:t xml:space="preserve"> </w:t>
      </w:r>
      <w:r w:rsidRPr="00730C0D">
        <w:rPr>
          <w:rFonts w:ascii="Century Gothic" w:eastAsia="Calibri" w:hAnsi="Century Gothic" w:cs="Times New Roman"/>
          <w:sz w:val="20"/>
          <w:szCs w:val="20"/>
        </w:rPr>
        <w:t xml:space="preserve">Freedom of Speech </w:t>
      </w:r>
      <w:r>
        <w:rPr>
          <w:rFonts w:ascii="Century Gothic" w:eastAsia="Calibri" w:hAnsi="Century Gothic" w:cs="Times New Roman"/>
          <w:sz w:val="20"/>
          <w:szCs w:val="20"/>
        </w:rPr>
        <w:t>R</w:t>
      </w:r>
      <w:r w:rsidRPr="00730C0D">
        <w:rPr>
          <w:rFonts w:ascii="Century Gothic" w:eastAsia="Calibri" w:hAnsi="Century Gothic" w:cs="Times New Roman"/>
          <w:sz w:val="20"/>
          <w:szCs w:val="20"/>
        </w:rPr>
        <w:t xml:space="preserve">eview are currently under consideration by the HESP.  </w:t>
      </w:r>
    </w:p>
    <w:p w14:paraId="209B81C8" w14:textId="77777777" w:rsidR="00FE78DE" w:rsidRPr="00730C0D" w:rsidRDefault="00FE78DE" w:rsidP="00FE78DE">
      <w:pPr>
        <w:spacing w:before="0" w:after="0"/>
        <w:rPr>
          <w:rFonts w:ascii="Century Gothic" w:eastAsia="Calibri" w:hAnsi="Century Gothic" w:cs="Times New Roman"/>
          <w:sz w:val="20"/>
          <w:szCs w:val="20"/>
        </w:rPr>
      </w:pPr>
    </w:p>
    <w:p w14:paraId="08CEA469" w14:textId="77777777" w:rsidR="00FE78DE" w:rsidRPr="00730C0D" w:rsidRDefault="00FE78DE" w:rsidP="00FE78DE">
      <w:pPr>
        <w:spacing w:before="0" w:after="0"/>
        <w:rPr>
          <w:rFonts w:ascii="Century Gothic" w:hAnsi="Century Gothic"/>
          <w:sz w:val="20"/>
          <w:szCs w:val="20"/>
        </w:rPr>
      </w:pPr>
    </w:p>
    <w:p w14:paraId="7A85FFF2" w14:textId="77777777" w:rsidR="00FE78DE" w:rsidRPr="00730C0D" w:rsidRDefault="00FE78DE" w:rsidP="00FE78DE">
      <w:pPr>
        <w:spacing w:before="0" w:after="0"/>
        <w:rPr>
          <w:rFonts w:ascii="Century Gothic" w:hAnsi="Century Gothic"/>
          <w:sz w:val="20"/>
          <w:szCs w:val="20"/>
        </w:rPr>
      </w:pPr>
    </w:p>
    <w:p w14:paraId="01B8E2C6" w14:textId="77777777" w:rsidR="00FE78DE" w:rsidRPr="00730C0D" w:rsidRDefault="00FE78DE" w:rsidP="00FE78DE">
      <w:pPr>
        <w:spacing w:before="0" w:after="0"/>
        <w:rPr>
          <w:rFonts w:ascii="Century Gothic" w:hAnsi="Century Gothic"/>
          <w:sz w:val="20"/>
          <w:szCs w:val="20"/>
        </w:rPr>
      </w:pPr>
    </w:p>
    <w:p w14:paraId="2CE08326" w14:textId="77777777" w:rsidR="00FE78DE" w:rsidRPr="00730C0D" w:rsidRDefault="00FE78DE" w:rsidP="00FE78DE">
      <w:pPr>
        <w:spacing w:before="0" w:after="0"/>
        <w:rPr>
          <w:rFonts w:ascii="Century Gothic" w:hAnsi="Century Gothic"/>
          <w:sz w:val="20"/>
          <w:szCs w:val="20"/>
        </w:rPr>
      </w:pPr>
    </w:p>
    <w:p w14:paraId="3C140BA5" w14:textId="77777777" w:rsidR="00FE78DE" w:rsidRPr="00730C0D" w:rsidRDefault="00FE78DE" w:rsidP="00FE78DE">
      <w:pPr>
        <w:spacing w:before="0" w:after="0"/>
        <w:rPr>
          <w:rFonts w:ascii="Century Gothic" w:hAnsi="Century Gothic"/>
          <w:sz w:val="20"/>
          <w:szCs w:val="20"/>
        </w:rPr>
      </w:pPr>
    </w:p>
    <w:p w14:paraId="680F8451" w14:textId="77777777" w:rsidR="00FE78DE" w:rsidRPr="00730C0D" w:rsidRDefault="00FE78DE" w:rsidP="00FE78DE">
      <w:pPr>
        <w:spacing w:before="0" w:after="0"/>
        <w:rPr>
          <w:rFonts w:ascii="Century Gothic" w:hAnsi="Century Gothic"/>
          <w:sz w:val="20"/>
          <w:szCs w:val="20"/>
        </w:rPr>
      </w:pPr>
    </w:p>
    <w:p w14:paraId="4D4F5DF1" w14:textId="69657CDE" w:rsidR="00EC34E2" w:rsidRPr="00730C0D" w:rsidRDefault="00EC34E2" w:rsidP="00FE78DE">
      <w:pPr>
        <w:pStyle w:val="Heading1"/>
        <w:rPr>
          <w:sz w:val="20"/>
          <w:szCs w:val="20"/>
        </w:rPr>
      </w:pPr>
    </w:p>
    <w:sectPr w:rsidR="00EC34E2" w:rsidRPr="00730C0D" w:rsidSect="00C93260">
      <w:headerReference w:type="even" r:id="rId84"/>
      <w:headerReference w:type="default" r:id="rId85"/>
      <w:footerReference w:type="default" r:id="rId86"/>
      <w:headerReference w:type="first" r:id="rId87"/>
      <w:endnotePr>
        <w:numFmt w:val="decimal"/>
      </w:endnotePr>
      <w:pgSz w:w="11906" w:h="16838"/>
      <w:pgMar w:top="1134" w:right="1440" w:bottom="1418"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1FC75" w14:textId="77777777" w:rsidR="00374E52" w:rsidRDefault="00374E52" w:rsidP="0014126D">
      <w:pPr>
        <w:spacing w:before="0" w:after="0" w:line="240" w:lineRule="auto"/>
      </w:pPr>
      <w:r>
        <w:separator/>
      </w:r>
    </w:p>
  </w:endnote>
  <w:endnote w:type="continuationSeparator" w:id="0">
    <w:p w14:paraId="7A3F23AA" w14:textId="77777777" w:rsidR="00374E52" w:rsidRDefault="00374E52" w:rsidP="0014126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7A87D" w14:textId="64A37540" w:rsidR="00374E52" w:rsidRDefault="00374E52">
    <w:pPr>
      <w:pStyle w:val="Footer"/>
    </w:pPr>
  </w:p>
  <w:p w14:paraId="2A5CD4D6" w14:textId="77777777" w:rsidR="00374E52" w:rsidRDefault="00374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010572"/>
      <w:docPartObj>
        <w:docPartGallery w:val="Page Numbers (Bottom of Page)"/>
        <w:docPartUnique/>
      </w:docPartObj>
    </w:sdtPr>
    <w:sdtEndPr>
      <w:rPr>
        <w:noProof/>
      </w:rPr>
    </w:sdtEndPr>
    <w:sdtContent>
      <w:p w14:paraId="7CB96DF8" w14:textId="635E5362" w:rsidR="00374E52" w:rsidRDefault="00374E52">
        <w:pPr>
          <w:pStyle w:val="Footer"/>
          <w:jc w:val="right"/>
        </w:pPr>
        <w:r w:rsidRPr="00226A25">
          <w:rPr>
            <w:noProof/>
            <w:color w:val="000000" w:themeColor="text1"/>
            <w:lang w:eastAsia="en-AU"/>
          </w:rPr>
          <w:drawing>
            <wp:anchor distT="0" distB="0" distL="114300" distR="114300" simplePos="0" relativeHeight="251661312" behindDoc="1" locked="0" layoutInCell="1" allowOverlap="1" wp14:anchorId="69E29DF2" wp14:editId="3A3ED25C">
              <wp:simplePos x="0" y="0"/>
              <wp:positionH relativeFrom="page">
                <wp:posOffset>679102</wp:posOffset>
              </wp:positionH>
              <wp:positionV relativeFrom="page">
                <wp:posOffset>9858375</wp:posOffset>
              </wp:positionV>
              <wp:extent cx="6616931" cy="847090"/>
              <wp:effectExtent l="0" t="0" r="0" b="0"/>
              <wp:wrapNone/>
              <wp:docPr id="28" name="Picture 2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a:extLst>
                          <a:ext uri="{28A0092B-C50C-407E-A947-70E740481C1C}">
                            <a14:useLocalDpi xmlns:a14="http://schemas.microsoft.com/office/drawing/2010/main" val="0"/>
                          </a:ext>
                        </a:extLst>
                      </a:blip>
                      <a:stretch>
                        <a:fillRect/>
                      </a:stretch>
                    </pic:blipFill>
                    <pic:spPr>
                      <a:xfrm>
                        <a:off x="0" y="0"/>
                        <a:ext cx="6616931" cy="847090"/>
                      </a:xfrm>
                      <a:prstGeom prst="rect">
                        <a:avLst/>
                      </a:prstGeom>
                    </pic:spPr>
                  </pic:pic>
                </a:graphicData>
              </a:graphic>
              <wp14:sizeRelH relativeFrom="page">
                <wp14:pctWidth>0</wp14:pctWidth>
              </wp14:sizeRelH>
              <wp14:sizeRelV relativeFrom="page">
                <wp14:pctHeight>0</wp14:pctHeight>
              </wp14:sizeRelV>
            </wp:anchor>
          </w:drawing>
        </w:r>
      </w:p>
    </w:sdtContent>
  </w:sdt>
  <w:p w14:paraId="70BCACBD" w14:textId="77777777" w:rsidR="00374E52" w:rsidRDefault="00374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523F8" w14:textId="77777777" w:rsidR="00374E52" w:rsidRDefault="00374E52">
    <w:pPr>
      <w:pStyle w:val="Footer"/>
    </w:pPr>
    <w:r w:rsidRPr="00226A25">
      <w:rPr>
        <w:noProof/>
        <w:color w:val="000000" w:themeColor="text1"/>
        <w:lang w:eastAsia="en-AU"/>
      </w:rPr>
      <w:drawing>
        <wp:anchor distT="0" distB="0" distL="114300" distR="114300" simplePos="0" relativeHeight="251659264" behindDoc="1" locked="0" layoutInCell="1" allowOverlap="1" wp14:anchorId="0C996713" wp14:editId="74140B15">
          <wp:simplePos x="0" y="0"/>
          <wp:positionH relativeFrom="page">
            <wp:posOffset>-1165</wp:posOffset>
          </wp:positionH>
          <wp:positionV relativeFrom="page">
            <wp:posOffset>9957435</wp:posOffset>
          </wp:positionV>
          <wp:extent cx="7560000" cy="725516"/>
          <wp:effectExtent l="0" t="0" r="3175" b="0"/>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25516"/>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549726"/>
      <w:docPartObj>
        <w:docPartGallery w:val="Page Numbers (Bottom of Page)"/>
        <w:docPartUnique/>
      </w:docPartObj>
    </w:sdtPr>
    <w:sdtEndPr>
      <w:rPr>
        <w:rFonts w:ascii="Century Gothic" w:hAnsi="Century Gothic"/>
        <w:color w:val="7F7F7F" w:themeColor="background1" w:themeShade="7F"/>
        <w:spacing w:val="60"/>
        <w:sz w:val="14"/>
        <w:szCs w:val="14"/>
      </w:rPr>
    </w:sdtEndPr>
    <w:sdtContent>
      <w:p w14:paraId="2922F4C1" w14:textId="686B3332" w:rsidR="00374E52" w:rsidRPr="00C966D1" w:rsidRDefault="00374E52">
        <w:pPr>
          <w:pStyle w:val="Footer"/>
          <w:pBdr>
            <w:top w:val="single" w:sz="4" w:space="1" w:color="D9D9D9" w:themeColor="background1" w:themeShade="D9"/>
          </w:pBdr>
          <w:rPr>
            <w:rFonts w:ascii="Century Gothic" w:hAnsi="Century Gothic"/>
            <w:b/>
            <w:bCs/>
            <w:sz w:val="14"/>
            <w:szCs w:val="14"/>
          </w:rPr>
        </w:pPr>
        <w:r w:rsidRPr="00C966D1">
          <w:rPr>
            <w:rFonts w:ascii="Century Gothic" w:hAnsi="Century Gothic"/>
            <w:sz w:val="14"/>
            <w:szCs w:val="14"/>
          </w:rPr>
          <w:fldChar w:fldCharType="begin"/>
        </w:r>
        <w:r w:rsidRPr="00C966D1">
          <w:rPr>
            <w:rFonts w:ascii="Century Gothic" w:hAnsi="Century Gothic"/>
            <w:sz w:val="14"/>
            <w:szCs w:val="14"/>
          </w:rPr>
          <w:instrText xml:space="preserve"> PAGE   \* MERGEFORMAT </w:instrText>
        </w:r>
        <w:r w:rsidRPr="00C966D1">
          <w:rPr>
            <w:rFonts w:ascii="Century Gothic" w:hAnsi="Century Gothic"/>
            <w:sz w:val="14"/>
            <w:szCs w:val="14"/>
          </w:rPr>
          <w:fldChar w:fldCharType="separate"/>
        </w:r>
        <w:r w:rsidR="00DB40B2" w:rsidRPr="00DB40B2">
          <w:rPr>
            <w:rFonts w:ascii="Century Gothic" w:hAnsi="Century Gothic"/>
            <w:b/>
            <w:bCs/>
            <w:noProof/>
            <w:sz w:val="14"/>
            <w:szCs w:val="14"/>
          </w:rPr>
          <w:t>10</w:t>
        </w:r>
        <w:r w:rsidRPr="00C966D1">
          <w:rPr>
            <w:rFonts w:ascii="Century Gothic" w:hAnsi="Century Gothic"/>
            <w:b/>
            <w:bCs/>
            <w:noProof/>
            <w:sz w:val="14"/>
            <w:szCs w:val="14"/>
          </w:rPr>
          <w:fldChar w:fldCharType="end"/>
        </w:r>
        <w:r w:rsidRPr="00C966D1">
          <w:rPr>
            <w:rFonts w:ascii="Century Gothic" w:hAnsi="Century Gothic"/>
            <w:b/>
            <w:bCs/>
            <w:sz w:val="14"/>
            <w:szCs w:val="14"/>
          </w:rPr>
          <w:t xml:space="preserve"> | </w:t>
        </w:r>
        <w:r w:rsidRPr="00C966D1">
          <w:rPr>
            <w:rFonts w:ascii="Century Gothic" w:hAnsi="Century Gothic"/>
            <w:color w:val="7F7F7F" w:themeColor="background1" w:themeShade="7F"/>
            <w:sz w:val="14"/>
            <w:szCs w:val="14"/>
          </w:rPr>
          <w:t>What’s in a Name? Review of the Higher Education Provider Category Standards – Final Report</w:t>
        </w:r>
      </w:p>
    </w:sdtContent>
  </w:sdt>
  <w:p w14:paraId="6C2D5EBE" w14:textId="76C8D899" w:rsidR="00374E52" w:rsidRDefault="00374E52">
    <w:pPr>
      <w:pStyle w:val="Footer"/>
    </w:pPr>
    <w:r w:rsidRPr="000A04F0">
      <w:rPr>
        <w:noProof/>
        <w:lang w:eastAsia="en-AU"/>
      </w:rPr>
      <w:drawing>
        <wp:anchor distT="0" distB="0" distL="114300" distR="114300" simplePos="0" relativeHeight="251706368" behindDoc="1" locked="0" layoutInCell="1" allowOverlap="1" wp14:anchorId="38D7201F" wp14:editId="326D29A6">
          <wp:simplePos x="0" y="0"/>
          <wp:positionH relativeFrom="column">
            <wp:posOffset>-961390</wp:posOffset>
          </wp:positionH>
          <wp:positionV relativeFrom="paragraph">
            <wp:posOffset>773956</wp:posOffset>
          </wp:positionV>
          <wp:extent cx="7559675" cy="10681970"/>
          <wp:effectExtent l="0" t="0" r="3175" b="5080"/>
          <wp:wrapNone/>
          <wp:docPr id="13" name="Picture 13" descr="\\Edu\special$\Tertiary Taskforce\Tertiary Project\System Architecture\PCS review\Review Report\Working Documents\ED19-0172 - HE - Higher Education Provider Category Standards Review Report_Page graphic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pecial$\Tertiary Taskforce\Tertiary Project\System Architecture\PCS review\Review Report\Working Documents\ED19-0172 - HE - Higher Education Provider Category Standards Review Report_Page graphic_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489523"/>
      <w:docPartObj>
        <w:docPartGallery w:val="Page Numbers (Bottom of Page)"/>
        <w:docPartUnique/>
      </w:docPartObj>
    </w:sdtPr>
    <w:sdtEndPr>
      <w:rPr>
        <w:noProof/>
      </w:rPr>
    </w:sdtEndPr>
    <w:sdtContent>
      <w:p w14:paraId="3CD9E4BD" w14:textId="1A2D578F" w:rsidR="00374E52" w:rsidRDefault="00374E52">
        <w:pPr>
          <w:pStyle w:val="Footer"/>
          <w:jc w:val="right"/>
        </w:pPr>
        <w:r w:rsidRPr="00303941">
          <w:rPr>
            <w:b/>
            <w:noProof/>
            <w:color w:val="000000" w:themeColor="text1"/>
            <w:sz w:val="14"/>
            <w:szCs w:val="14"/>
            <w:lang w:eastAsia="en-AU"/>
          </w:rPr>
          <w:drawing>
            <wp:anchor distT="0" distB="0" distL="114300" distR="114300" simplePos="0" relativeHeight="251669504" behindDoc="1" locked="0" layoutInCell="1" allowOverlap="1" wp14:anchorId="54A37014" wp14:editId="1D0F90D3">
              <wp:simplePos x="0" y="0"/>
              <wp:positionH relativeFrom="page">
                <wp:posOffset>679102</wp:posOffset>
              </wp:positionH>
              <wp:positionV relativeFrom="page">
                <wp:posOffset>9858375</wp:posOffset>
              </wp:positionV>
              <wp:extent cx="6616931" cy="847090"/>
              <wp:effectExtent l="0" t="0" r="0" b="0"/>
              <wp:wrapNone/>
              <wp:docPr id="14" name="Picture 1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a:extLst>
                          <a:ext uri="{28A0092B-C50C-407E-A947-70E740481C1C}">
                            <a14:useLocalDpi xmlns:a14="http://schemas.microsoft.com/office/drawing/2010/main" val="0"/>
                          </a:ext>
                        </a:extLst>
                      </a:blip>
                      <a:stretch>
                        <a:fillRect/>
                      </a:stretch>
                    </pic:blipFill>
                    <pic:spPr>
                      <a:xfrm>
                        <a:off x="0" y="0"/>
                        <a:ext cx="6616931" cy="847090"/>
                      </a:xfrm>
                      <a:prstGeom prst="rect">
                        <a:avLst/>
                      </a:prstGeom>
                    </pic:spPr>
                  </pic:pic>
                </a:graphicData>
              </a:graphic>
              <wp14:sizeRelH relativeFrom="page">
                <wp14:pctWidth>0</wp14:pctWidth>
              </wp14:sizeRelH>
              <wp14:sizeRelV relativeFrom="page">
                <wp14:pctHeight>0</wp14:pctHeight>
              </wp14:sizeRelV>
            </wp:anchor>
          </w:drawing>
        </w:r>
        <w:r w:rsidRPr="00303941">
          <w:rPr>
            <w:b/>
            <w:sz w:val="14"/>
            <w:szCs w:val="14"/>
          </w:rPr>
          <w:fldChar w:fldCharType="begin"/>
        </w:r>
        <w:r w:rsidRPr="00303941">
          <w:rPr>
            <w:b/>
            <w:sz w:val="14"/>
            <w:szCs w:val="14"/>
          </w:rPr>
          <w:instrText xml:space="preserve"> PAGE   \* MERGEFORMAT </w:instrText>
        </w:r>
        <w:r w:rsidRPr="00303941">
          <w:rPr>
            <w:b/>
            <w:sz w:val="14"/>
            <w:szCs w:val="14"/>
          </w:rPr>
          <w:fldChar w:fldCharType="separate"/>
        </w:r>
        <w:r w:rsidR="00DB40B2">
          <w:rPr>
            <w:b/>
            <w:noProof/>
            <w:sz w:val="14"/>
            <w:szCs w:val="14"/>
          </w:rPr>
          <w:t>vii</w:t>
        </w:r>
        <w:r w:rsidRPr="00303941">
          <w:rPr>
            <w:b/>
            <w:noProof/>
            <w:sz w:val="14"/>
            <w:szCs w:val="14"/>
          </w:rPr>
          <w:fldChar w:fldCharType="end"/>
        </w:r>
      </w:p>
    </w:sdtContent>
  </w:sdt>
  <w:p w14:paraId="0E28F749" w14:textId="77777777" w:rsidR="00374E52" w:rsidRDefault="00374E5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171424"/>
      <w:docPartObj>
        <w:docPartGallery w:val="Page Numbers (Bottom of Page)"/>
        <w:docPartUnique/>
      </w:docPartObj>
    </w:sdtPr>
    <w:sdtEndPr>
      <w:rPr>
        <w:noProof/>
        <w:sz w:val="18"/>
        <w:szCs w:val="18"/>
      </w:rPr>
    </w:sdtEndPr>
    <w:sdtContent>
      <w:p w14:paraId="35DCCC3A" w14:textId="24FF7347" w:rsidR="00374E52" w:rsidRPr="00266D8E" w:rsidRDefault="00374E52">
        <w:pPr>
          <w:pStyle w:val="Footer"/>
          <w:jc w:val="right"/>
          <w:rPr>
            <w:sz w:val="18"/>
            <w:szCs w:val="18"/>
          </w:rPr>
        </w:pPr>
        <w:r w:rsidRPr="00C966D1">
          <w:rPr>
            <w:rFonts w:ascii="Century Gothic" w:hAnsi="Century Gothic"/>
            <w:b/>
            <w:noProof/>
            <w:color w:val="000000" w:themeColor="text1"/>
            <w:sz w:val="14"/>
            <w:szCs w:val="14"/>
            <w:lang w:eastAsia="en-AU"/>
          </w:rPr>
          <w:drawing>
            <wp:anchor distT="0" distB="0" distL="114300" distR="114300" simplePos="0" relativeHeight="251675648" behindDoc="1" locked="0" layoutInCell="1" allowOverlap="1" wp14:anchorId="24BF1298" wp14:editId="513925F6">
              <wp:simplePos x="0" y="0"/>
              <wp:positionH relativeFrom="page">
                <wp:posOffset>679102</wp:posOffset>
              </wp:positionH>
              <wp:positionV relativeFrom="page">
                <wp:posOffset>9858375</wp:posOffset>
              </wp:positionV>
              <wp:extent cx="6616931" cy="847090"/>
              <wp:effectExtent l="0" t="0" r="0" b="0"/>
              <wp:wrapNone/>
              <wp:docPr id="60" name="Picture 6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18-0084 - SCH - NSRB SES Score Review_Report Template - Footer R_01.jpg"/>
                      <pic:cNvPicPr/>
                    </pic:nvPicPr>
                    <pic:blipFill>
                      <a:blip r:embed="rId1">
                        <a:extLst>
                          <a:ext uri="{28A0092B-C50C-407E-A947-70E740481C1C}">
                            <a14:useLocalDpi xmlns:a14="http://schemas.microsoft.com/office/drawing/2010/main" val="0"/>
                          </a:ext>
                        </a:extLst>
                      </a:blip>
                      <a:stretch>
                        <a:fillRect/>
                      </a:stretch>
                    </pic:blipFill>
                    <pic:spPr>
                      <a:xfrm>
                        <a:off x="0" y="0"/>
                        <a:ext cx="6616931" cy="847090"/>
                      </a:xfrm>
                      <a:prstGeom prst="rect">
                        <a:avLst/>
                      </a:prstGeom>
                    </pic:spPr>
                  </pic:pic>
                </a:graphicData>
              </a:graphic>
              <wp14:sizeRelH relativeFrom="page">
                <wp14:pctWidth>0</wp14:pctWidth>
              </wp14:sizeRelH>
              <wp14:sizeRelV relativeFrom="page">
                <wp14:pctHeight>0</wp14:pctHeight>
              </wp14:sizeRelV>
            </wp:anchor>
          </w:drawing>
        </w:r>
        <w:r w:rsidRPr="00C966D1">
          <w:rPr>
            <w:rFonts w:ascii="Century Gothic" w:hAnsi="Century Gothic"/>
            <w:b/>
            <w:sz w:val="14"/>
            <w:szCs w:val="14"/>
          </w:rPr>
          <w:fldChar w:fldCharType="begin"/>
        </w:r>
        <w:r w:rsidRPr="00C966D1">
          <w:rPr>
            <w:rFonts w:ascii="Century Gothic" w:hAnsi="Century Gothic"/>
            <w:b/>
            <w:sz w:val="14"/>
            <w:szCs w:val="14"/>
          </w:rPr>
          <w:instrText xml:space="preserve"> PAGE   \* MERGEFORMAT </w:instrText>
        </w:r>
        <w:r w:rsidRPr="00C966D1">
          <w:rPr>
            <w:rFonts w:ascii="Century Gothic" w:hAnsi="Century Gothic"/>
            <w:b/>
            <w:sz w:val="14"/>
            <w:szCs w:val="14"/>
          </w:rPr>
          <w:fldChar w:fldCharType="separate"/>
        </w:r>
        <w:r w:rsidR="00DB40B2">
          <w:rPr>
            <w:rFonts w:ascii="Century Gothic" w:hAnsi="Century Gothic"/>
            <w:b/>
            <w:noProof/>
            <w:sz w:val="14"/>
            <w:szCs w:val="14"/>
          </w:rPr>
          <w:t>11</w:t>
        </w:r>
        <w:r w:rsidRPr="00C966D1">
          <w:rPr>
            <w:rFonts w:ascii="Century Gothic" w:hAnsi="Century Gothic"/>
            <w:b/>
            <w:noProof/>
            <w:sz w:val="14"/>
            <w:szCs w:val="14"/>
          </w:rPr>
          <w:fldChar w:fldCharType="end"/>
        </w:r>
      </w:p>
    </w:sdtContent>
  </w:sdt>
  <w:p w14:paraId="7293A21C" w14:textId="77777777" w:rsidR="00374E52" w:rsidRDefault="00374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D3CB9" w14:textId="77777777" w:rsidR="00374E52" w:rsidRDefault="00374E52" w:rsidP="0014126D">
      <w:pPr>
        <w:spacing w:before="0" w:after="0" w:line="240" w:lineRule="auto"/>
      </w:pPr>
      <w:r>
        <w:separator/>
      </w:r>
    </w:p>
  </w:footnote>
  <w:footnote w:type="continuationSeparator" w:id="0">
    <w:p w14:paraId="39955C10" w14:textId="77777777" w:rsidR="00374E52" w:rsidRDefault="00374E52" w:rsidP="0014126D">
      <w:pPr>
        <w:spacing w:before="0" w:after="0" w:line="240" w:lineRule="auto"/>
      </w:pPr>
      <w:r>
        <w:continuationSeparator/>
      </w:r>
    </w:p>
  </w:footnote>
  <w:footnote w:id="1">
    <w:p w14:paraId="77DA2E5A" w14:textId="11E79AA1"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(2018). </w:t>
      </w:r>
      <w:r w:rsidRPr="000305C5">
        <w:rPr>
          <w:rFonts w:ascii="Century Gothic" w:hAnsi="Century Gothic"/>
          <w:i/>
          <w:sz w:val="13"/>
          <w:szCs w:val="13"/>
        </w:rPr>
        <w:t>TEQSA Annual Report 2017-2018</w:t>
      </w:r>
      <w:r w:rsidRPr="000305C5">
        <w:rPr>
          <w:rFonts w:ascii="Century Gothic" w:hAnsi="Century Gothic"/>
          <w:sz w:val="13"/>
          <w:szCs w:val="13"/>
        </w:rPr>
        <w:t xml:space="preserve">. pp. 2-3. Retrieved from: </w:t>
      </w:r>
      <w:hyperlink r:id="rId1" w:history="1">
        <w:r w:rsidRPr="000305C5">
          <w:rPr>
            <w:rStyle w:val="Hyperlink"/>
            <w:rFonts w:ascii="Century Gothic" w:hAnsi="Century Gothic"/>
            <w:sz w:val="13"/>
            <w:szCs w:val="13"/>
          </w:rPr>
          <w:t>https://www.teqsa.gov.au/sites/default/files/teqsa-annual-report-2017-2018.pdf?v=1539560088</w:t>
        </w:r>
      </w:hyperlink>
      <w:r w:rsidRPr="000305C5">
        <w:rPr>
          <w:rFonts w:ascii="Century Gothic" w:hAnsi="Century Gothic"/>
          <w:sz w:val="13"/>
          <w:szCs w:val="13"/>
        </w:rPr>
        <w:t xml:space="preserve">. </w:t>
      </w:r>
    </w:p>
  </w:footnote>
  <w:footnote w:id="2">
    <w:p w14:paraId="08311DB2" w14:textId="7F9FF6D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See: Deloitte Access Economics. (2017). </w:t>
      </w:r>
      <w:r w:rsidRPr="000305C5">
        <w:rPr>
          <w:rFonts w:ascii="Century Gothic" w:hAnsi="Century Gothic"/>
          <w:i/>
          <w:sz w:val="13"/>
          <w:szCs w:val="13"/>
        </w:rPr>
        <w:t>Review of the Impact of the TEQSA Act on the Higher Education Sector – Final Report</w:t>
      </w:r>
      <w:r w:rsidRPr="000305C5">
        <w:rPr>
          <w:rFonts w:ascii="Century Gothic" w:hAnsi="Century Gothic"/>
          <w:sz w:val="13"/>
          <w:szCs w:val="13"/>
        </w:rPr>
        <w:t xml:space="preserve">. Australian Government Department of Education. Retrieved from: </w:t>
      </w:r>
      <w:hyperlink r:id="rId2" w:history="1">
        <w:r w:rsidRPr="000305C5">
          <w:rPr>
            <w:rStyle w:val="Hyperlink"/>
            <w:rFonts w:ascii="Century Gothic" w:hAnsi="Century Gothic"/>
            <w:sz w:val="13"/>
            <w:szCs w:val="13"/>
          </w:rPr>
          <w:t>https://docs.education.gov.au/documents/review-impact-teqsa-act-final-report</w:t>
        </w:r>
      </w:hyperlink>
      <w:r w:rsidRPr="000305C5">
        <w:rPr>
          <w:rFonts w:ascii="Century Gothic" w:hAnsi="Century Gothic"/>
          <w:sz w:val="13"/>
          <w:szCs w:val="13"/>
        </w:rPr>
        <w:t xml:space="preserve">.  </w:t>
      </w:r>
    </w:p>
  </w:footnote>
  <w:footnote w:id="3">
    <w:p w14:paraId="2A9ABCD1" w14:textId="49D00D91"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AQF is currently under review. See </w:t>
      </w:r>
      <w:hyperlink w:anchor="_Appendix_G." w:history="1">
        <w:r w:rsidRPr="000305C5">
          <w:rPr>
            <w:rStyle w:val="Hyperlink"/>
            <w:rFonts w:ascii="Century Gothic" w:hAnsi="Century Gothic"/>
            <w:sz w:val="13"/>
            <w:szCs w:val="13"/>
          </w:rPr>
          <w:t>Appendix G</w:t>
        </w:r>
      </w:hyperlink>
      <w:r w:rsidRPr="000305C5">
        <w:rPr>
          <w:rFonts w:ascii="Century Gothic" w:hAnsi="Century Gothic"/>
          <w:sz w:val="13"/>
          <w:szCs w:val="13"/>
        </w:rPr>
        <w:t xml:space="preserve"> for more information.</w:t>
      </w:r>
    </w:p>
  </w:footnote>
  <w:footnote w:id="4">
    <w:p w14:paraId="27108356" w14:textId="5E15DBCF"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Providers with self-accrediting authority have the ability to accredit and deliver courses of study within their institution without relying on external accreditation processes, namely that of the higher education regulator, TEQSA. Limited or unlimited self-accrediting authority is conferred upon providers who have met the criteria in Part B2 of the PCS. For more information see </w:t>
      </w:r>
      <w:hyperlink w:anchor="_2.6_Self-Accrediting_Authority" w:history="1">
        <w:r w:rsidRPr="000305C5">
          <w:rPr>
            <w:rStyle w:val="Hyperlink"/>
            <w:rFonts w:ascii="Century Gothic" w:hAnsi="Century Gothic"/>
            <w:sz w:val="13"/>
            <w:szCs w:val="13"/>
          </w:rPr>
          <w:t>Section 2.6</w:t>
        </w:r>
      </w:hyperlink>
      <w:r w:rsidRPr="000305C5">
        <w:rPr>
          <w:rFonts w:ascii="Century Gothic" w:hAnsi="Century Gothic"/>
          <w:sz w:val="13"/>
          <w:szCs w:val="13"/>
        </w:rPr>
        <w:t xml:space="preserve">. </w:t>
      </w:r>
    </w:p>
  </w:footnote>
  <w:footnote w:id="5">
    <w:p w14:paraId="5F4CF7D3" w14:textId="1E8C7F82"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Bradley, D. (2008). </w:t>
      </w:r>
      <w:r w:rsidRPr="000305C5">
        <w:rPr>
          <w:rFonts w:ascii="Century Gothic" w:hAnsi="Century Gothic"/>
          <w:i/>
          <w:sz w:val="13"/>
          <w:szCs w:val="13"/>
        </w:rPr>
        <w:t>Review of Australian Higher Education: Final Report</w:t>
      </w:r>
      <w:r w:rsidRPr="000305C5">
        <w:rPr>
          <w:rFonts w:ascii="Century Gothic" w:hAnsi="Century Gothic"/>
          <w:sz w:val="13"/>
          <w:szCs w:val="13"/>
        </w:rPr>
        <w:t xml:space="preserve">. p.xiii. Retrieved from: </w:t>
      </w:r>
      <w:hyperlink r:id="rId3" w:history="1">
        <w:r w:rsidRPr="000305C5">
          <w:rPr>
            <w:rStyle w:val="Hyperlink"/>
            <w:rFonts w:ascii="Century Gothic" w:hAnsi="Century Gothic"/>
            <w:sz w:val="13"/>
            <w:szCs w:val="13"/>
          </w:rPr>
          <w:t>http://hdl.voced.edu.au/10707/44384</w:t>
        </w:r>
      </w:hyperlink>
      <w:r w:rsidRPr="000305C5">
        <w:rPr>
          <w:rFonts w:ascii="Century Gothic" w:hAnsi="Century Gothic"/>
          <w:sz w:val="13"/>
          <w:szCs w:val="13"/>
        </w:rPr>
        <w:t xml:space="preserve">. </w:t>
      </w:r>
    </w:p>
  </w:footnote>
  <w:footnote w:id="6">
    <w:p w14:paraId="539434AE" w14:textId="697B2502" w:rsidR="00374E52" w:rsidRPr="000305C5" w:rsidRDefault="00374E52" w:rsidP="00D76409">
      <w:pPr>
        <w:spacing w:before="0" w:after="0" w:line="240" w:lineRule="auto"/>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See:</w:t>
      </w:r>
      <w:r w:rsidRPr="000305C5">
        <w:rPr>
          <w:rFonts w:ascii="Century Gothic" w:hAnsi="Century Gothic"/>
          <w:i/>
          <w:sz w:val="13"/>
          <w:szCs w:val="13"/>
        </w:rPr>
        <w:t xml:space="preserve"> </w:t>
      </w:r>
      <w:r w:rsidRPr="000305C5">
        <w:rPr>
          <w:rFonts w:ascii="Century Gothic" w:hAnsi="Century Gothic"/>
          <w:sz w:val="13"/>
          <w:szCs w:val="13"/>
        </w:rPr>
        <w:t>Higher Education Standards Panel. (2014).</w:t>
      </w:r>
      <w:r w:rsidRPr="000305C5">
        <w:rPr>
          <w:rFonts w:ascii="Century Gothic" w:hAnsi="Century Gothic"/>
          <w:i/>
          <w:sz w:val="13"/>
          <w:szCs w:val="13"/>
        </w:rPr>
        <w:t xml:space="preserve"> Independent Review of the Higher Education Standards Framework. </w:t>
      </w:r>
      <w:r w:rsidRPr="000305C5">
        <w:rPr>
          <w:rFonts w:ascii="Century Gothic" w:hAnsi="Century Gothic"/>
          <w:sz w:val="13"/>
          <w:szCs w:val="13"/>
        </w:rPr>
        <w:t>Retrieved from:</w:t>
      </w:r>
      <w:r w:rsidRPr="000305C5">
        <w:rPr>
          <w:rFonts w:ascii="Century Gothic" w:hAnsi="Century Gothic"/>
          <w:i/>
          <w:sz w:val="13"/>
          <w:szCs w:val="13"/>
        </w:rPr>
        <w:t xml:space="preserve"> </w:t>
      </w:r>
      <w:hyperlink r:id="rId4" w:history="1">
        <w:r w:rsidRPr="000305C5">
          <w:rPr>
            <w:rStyle w:val="Hyperlink"/>
            <w:rFonts w:ascii="Century Gothic" w:hAnsi="Century Gothic"/>
            <w:sz w:val="13"/>
            <w:szCs w:val="13"/>
          </w:rPr>
          <w:t>https://docs.education.gov.au/system/files/doc/other/report_on_the_independent_review_of_the_hes_framework_-_no_logo.pdf</w:t>
        </w:r>
      </w:hyperlink>
      <w:r w:rsidRPr="000305C5">
        <w:rPr>
          <w:rFonts w:ascii="Century Gothic" w:hAnsi="Century Gothic"/>
          <w:sz w:val="13"/>
          <w:szCs w:val="13"/>
        </w:rPr>
        <w:t xml:space="preserve">. </w:t>
      </w:r>
    </w:p>
  </w:footnote>
  <w:footnote w:id="7">
    <w:p w14:paraId="20F9B87D" w14:textId="192030CD"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terms ‘field of study’ and ‘field of education’ are used in this report to refer to the broad (2-digit), narrow (4-digit) and detailed (6-digit) fields defined by the Australian Standard Classification of Education (ASCED). See </w:t>
      </w:r>
      <w:hyperlink w:anchor="_2.4.3_Research_Requirements" w:history="1">
        <w:r w:rsidRPr="000305C5">
          <w:rPr>
            <w:rStyle w:val="Hyperlink"/>
            <w:rFonts w:ascii="Century Gothic" w:hAnsi="Century Gothic"/>
            <w:sz w:val="13"/>
            <w:szCs w:val="13"/>
          </w:rPr>
          <w:t>Section 2.4.3</w:t>
        </w:r>
      </w:hyperlink>
      <w:r w:rsidRPr="000305C5">
        <w:rPr>
          <w:rFonts w:ascii="Century Gothic" w:hAnsi="Century Gothic"/>
          <w:sz w:val="13"/>
          <w:szCs w:val="13"/>
        </w:rPr>
        <w:t xml:space="preserve"> for more information about the terms, and the </w:t>
      </w:r>
      <w:hyperlink w:anchor="_Glossary_and_Definitions" w:history="1">
        <w:r w:rsidRPr="000305C5">
          <w:rPr>
            <w:rStyle w:val="Hyperlink"/>
            <w:rFonts w:ascii="Century Gothic" w:hAnsi="Century Gothic"/>
            <w:sz w:val="13"/>
            <w:szCs w:val="13"/>
          </w:rPr>
          <w:t>Glossary and Definitions</w:t>
        </w:r>
      </w:hyperlink>
      <w:r w:rsidRPr="000305C5">
        <w:rPr>
          <w:rFonts w:ascii="Century Gothic" w:hAnsi="Century Gothic"/>
          <w:sz w:val="13"/>
          <w:szCs w:val="13"/>
        </w:rPr>
        <w:t xml:space="preserve"> for a full list of the broad fields. </w:t>
      </w:r>
    </w:p>
  </w:footnote>
  <w:footnote w:id="8">
    <w:p w14:paraId="58CDDE47"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(2019). </w:t>
      </w:r>
      <w:r w:rsidRPr="000305C5">
        <w:rPr>
          <w:rFonts w:ascii="Century Gothic" w:hAnsi="Century Gothic"/>
          <w:i/>
          <w:sz w:val="13"/>
          <w:szCs w:val="13"/>
        </w:rPr>
        <w:t>National Register Summary Table.</w:t>
      </w:r>
      <w:r w:rsidRPr="000305C5">
        <w:rPr>
          <w:rFonts w:ascii="Century Gothic" w:hAnsi="Century Gothic"/>
          <w:sz w:val="13"/>
          <w:szCs w:val="13"/>
        </w:rPr>
        <w:t xml:space="preserve"> Retrieved 03/09/2019 </w:t>
      </w:r>
    </w:p>
    <w:p w14:paraId="47A810D1" w14:textId="4B746598" w:rsidR="00374E52" w:rsidRPr="000305C5" w:rsidRDefault="00374E52" w:rsidP="002A3769">
      <w:pPr>
        <w:spacing w:before="0" w:after="0" w:line="240" w:lineRule="auto"/>
        <w:ind w:right="-142"/>
        <w:rPr>
          <w:rFonts w:ascii="Century Gothic" w:hAnsi="Century Gothic"/>
          <w:sz w:val="13"/>
          <w:szCs w:val="13"/>
        </w:rPr>
      </w:pPr>
      <w:r w:rsidRPr="000305C5">
        <w:rPr>
          <w:rFonts w:ascii="Century Gothic" w:hAnsi="Century Gothic"/>
          <w:sz w:val="13"/>
          <w:szCs w:val="13"/>
        </w:rPr>
        <w:t xml:space="preserve">from: </w:t>
      </w:r>
      <w:hyperlink r:id="rId5" w:history="1">
        <w:r w:rsidRPr="000305C5">
          <w:rPr>
            <w:rStyle w:val="Hyperlink"/>
            <w:rFonts w:ascii="Century Gothic" w:hAnsi="Century Gothic"/>
            <w:sz w:val="13"/>
            <w:szCs w:val="13"/>
          </w:rPr>
          <w:t>www.teqsa.gov.au/national-register</w:t>
        </w:r>
      </w:hyperlink>
      <w:r w:rsidRPr="000305C5">
        <w:rPr>
          <w:rFonts w:ascii="Century Gothic" w:hAnsi="Century Gothic"/>
          <w:sz w:val="13"/>
          <w:szCs w:val="13"/>
        </w:rPr>
        <w:t>.</w:t>
      </w:r>
    </w:p>
  </w:footnote>
  <w:footnote w:id="9">
    <w:p w14:paraId="68BCC155"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HECS-HELP is a loan that helps students pay for their tuition fees if the student is enrolled in a CSP. </w:t>
      </w:r>
    </w:p>
  </w:footnote>
  <w:footnote w:id="10">
    <w:p w14:paraId="2C51C793" w14:textId="31C9FB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FEE-HELP is a loan that helps students pay for all or part of their tuition fees if they are full fee-paying students at an approved higher education provider. </w:t>
      </w:r>
    </w:p>
  </w:footnote>
  <w:footnote w:id="11">
    <w:p w14:paraId="5862293E" w14:textId="74D6F421"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SA-HELP is a loan that helps students pay for all or part of their annual Student Services and Amenities Fee (SSAF). </w:t>
      </w:r>
    </w:p>
  </w:footnote>
  <w:footnote w:id="12">
    <w:p w14:paraId="48D51D5E"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OS-HELP is a loan for students enrolled in a CSP who want to study some of their course overseas. </w:t>
      </w:r>
    </w:p>
  </w:footnote>
  <w:footnote w:id="13">
    <w:p w14:paraId="27EB510C" w14:textId="009FFF6E"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Comparison of Australian Bureau of Statistics (ABS) Survey of Education and Work data from 2000 to 2018. </w:t>
      </w:r>
      <w:r w:rsidRPr="000305C5">
        <w:rPr>
          <w:rFonts w:ascii="Century Gothic" w:hAnsi="Century Gothic"/>
          <w:sz w:val="13"/>
          <w:szCs w:val="13"/>
        </w:rPr>
        <w:br/>
        <w:t xml:space="preserve">Retrieved from: </w:t>
      </w:r>
      <w:hyperlink r:id="rId6" w:history="1">
        <w:r w:rsidRPr="000305C5">
          <w:rPr>
            <w:rStyle w:val="Hyperlink"/>
            <w:rFonts w:ascii="Century Gothic" w:hAnsi="Century Gothic"/>
            <w:sz w:val="13"/>
            <w:szCs w:val="13"/>
          </w:rPr>
          <w:t>https://www.abs.gov.au/ausstats/abs@.nsf/mf/6227.0</w:t>
        </w:r>
      </w:hyperlink>
      <w:r w:rsidRPr="000305C5">
        <w:rPr>
          <w:rFonts w:ascii="Century Gothic" w:hAnsi="Century Gothic"/>
          <w:sz w:val="13"/>
          <w:szCs w:val="13"/>
        </w:rPr>
        <w:t xml:space="preserve">. </w:t>
      </w:r>
    </w:p>
  </w:footnote>
  <w:footnote w:id="14">
    <w:p w14:paraId="501D2475" w14:textId="406FE6F5" w:rsidR="00374E52" w:rsidRPr="000305C5" w:rsidRDefault="00374E52" w:rsidP="00D76409">
      <w:pPr>
        <w:pStyle w:val="FootnoteText"/>
        <w:spacing w:before="0"/>
        <w:rPr>
          <w:rFonts w:ascii="Century Gothic" w:hAnsi="Century Gothic"/>
          <w:sz w:val="13"/>
          <w:szCs w:val="13"/>
        </w:rPr>
      </w:pPr>
      <w:r w:rsidRPr="000305C5">
        <w:rPr>
          <w:rFonts w:ascii="Century Gothic" w:hAnsi="Century Gothic"/>
          <w:sz w:val="13"/>
          <w:szCs w:val="13"/>
          <w:vertAlign w:val="superscript"/>
        </w:rPr>
        <w:footnoteRef/>
      </w:r>
      <w:r w:rsidRPr="000305C5">
        <w:rPr>
          <w:rFonts w:ascii="Century Gothic" w:hAnsi="Century Gothic"/>
          <w:sz w:val="13"/>
          <w:szCs w:val="13"/>
          <w:vertAlign w:val="superscript"/>
        </w:rPr>
        <w:t xml:space="preserve"> </w:t>
      </w:r>
      <w:r w:rsidRPr="000305C5">
        <w:rPr>
          <w:rFonts w:ascii="Century Gothic" w:hAnsi="Century Gothic"/>
          <w:sz w:val="13"/>
          <w:szCs w:val="13"/>
        </w:rPr>
        <w:t xml:space="preserve">Australian Government Department of Education. (2018). </w:t>
      </w:r>
      <w:r w:rsidRPr="000305C5">
        <w:rPr>
          <w:rFonts w:ascii="Century Gothic" w:hAnsi="Century Gothic"/>
          <w:i/>
          <w:sz w:val="13"/>
          <w:szCs w:val="13"/>
        </w:rPr>
        <w:t>Selected Higher Education Statistics – 2017 Student Summary Tables</w:t>
      </w:r>
      <w:r w:rsidRPr="000305C5">
        <w:rPr>
          <w:rFonts w:ascii="Century Gothic" w:hAnsi="Century Gothic"/>
          <w:sz w:val="13"/>
          <w:szCs w:val="13"/>
        </w:rPr>
        <w:t xml:space="preserve">. </w:t>
      </w:r>
      <w:r w:rsidRPr="000305C5">
        <w:rPr>
          <w:rFonts w:ascii="Century Gothic" w:hAnsi="Century Gothic"/>
          <w:sz w:val="13"/>
          <w:szCs w:val="13"/>
        </w:rPr>
        <w:br/>
        <w:t xml:space="preserve">Retrieved from: </w:t>
      </w:r>
      <w:hyperlink r:id="rId7" w:history="1">
        <w:r w:rsidRPr="000305C5">
          <w:rPr>
            <w:rStyle w:val="Hyperlink"/>
            <w:rFonts w:ascii="Century Gothic" w:hAnsi="Century Gothic"/>
            <w:sz w:val="13"/>
            <w:szCs w:val="13"/>
          </w:rPr>
          <w:t>https://docs.education.gov.au/node/51311</w:t>
        </w:r>
      </w:hyperlink>
      <w:r w:rsidRPr="000305C5">
        <w:rPr>
          <w:rFonts w:ascii="Century Gothic" w:hAnsi="Century Gothic"/>
          <w:sz w:val="13"/>
          <w:szCs w:val="13"/>
        </w:rPr>
        <w:t xml:space="preserve">. (Latest publicly available full year data). </w:t>
      </w:r>
    </w:p>
  </w:footnote>
  <w:footnote w:id="15">
    <w:p w14:paraId="22B634B8"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Bureau of Statistics. (2018). </w:t>
      </w:r>
      <w:r w:rsidRPr="000305C5">
        <w:rPr>
          <w:rFonts w:ascii="Century Gothic" w:hAnsi="Century Gothic"/>
          <w:i/>
          <w:iCs/>
          <w:sz w:val="13"/>
          <w:szCs w:val="13"/>
        </w:rPr>
        <w:t>International Trade: Supplementary Information, Financial Year, 2017-18</w:t>
      </w:r>
      <w:r w:rsidRPr="000305C5">
        <w:rPr>
          <w:rFonts w:ascii="Century Gothic" w:hAnsi="Century Gothic"/>
          <w:sz w:val="13"/>
          <w:szCs w:val="13"/>
        </w:rPr>
        <w:t xml:space="preserve">. </w:t>
      </w:r>
      <w:r w:rsidRPr="000305C5">
        <w:rPr>
          <w:rFonts w:ascii="Century Gothic" w:hAnsi="Century Gothic"/>
          <w:sz w:val="13"/>
          <w:szCs w:val="13"/>
        </w:rPr>
        <w:br/>
        <w:t xml:space="preserve">Retrieved from: </w:t>
      </w:r>
      <w:hyperlink r:id="rId8" w:history="1">
        <w:r w:rsidRPr="000305C5">
          <w:rPr>
            <w:rStyle w:val="Hyperlink"/>
            <w:rFonts w:ascii="Century Gothic" w:hAnsi="Century Gothic"/>
            <w:sz w:val="13"/>
            <w:szCs w:val="13"/>
          </w:rPr>
          <w:t>https://www.abs.gov.au/AUSSTATS/abs@.nsf/Lookup/5368.0.55.003Main+Features12017-18?OpenDocument</w:t>
        </w:r>
      </w:hyperlink>
      <w:r w:rsidRPr="000305C5">
        <w:rPr>
          <w:rFonts w:ascii="Century Gothic" w:hAnsi="Century Gothic"/>
          <w:sz w:val="13"/>
          <w:szCs w:val="13"/>
        </w:rPr>
        <w:t>.</w:t>
      </w:r>
    </w:p>
  </w:footnote>
  <w:footnote w:id="16">
    <w:p w14:paraId="431135A2"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(2018). </w:t>
      </w:r>
      <w:r w:rsidRPr="000305C5">
        <w:rPr>
          <w:rFonts w:ascii="Century Gothic" w:hAnsi="Century Gothic"/>
          <w:i/>
          <w:iCs/>
          <w:sz w:val="13"/>
          <w:szCs w:val="13"/>
        </w:rPr>
        <w:t xml:space="preserve">Jobs Supported by International Students Studying in Australia. </w:t>
      </w:r>
      <w:r w:rsidRPr="000305C5">
        <w:rPr>
          <w:rFonts w:ascii="Century Gothic" w:hAnsi="Century Gothic"/>
          <w:i/>
          <w:iCs/>
          <w:sz w:val="13"/>
          <w:szCs w:val="13"/>
        </w:rPr>
        <w:br/>
      </w:r>
      <w:r w:rsidRPr="000305C5">
        <w:rPr>
          <w:rFonts w:ascii="Century Gothic" w:hAnsi="Century Gothic"/>
          <w:sz w:val="13"/>
          <w:szCs w:val="13"/>
        </w:rPr>
        <w:t xml:space="preserve">Retrieved from: </w:t>
      </w:r>
      <w:hyperlink r:id="rId9" w:history="1">
        <w:r w:rsidRPr="000305C5">
          <w:rPr>
            <w:rStyle w:val="Hyperlink"/>
            <w:rFonts w:ascii="Century Gothic" w:hAnsi="Century Gothic"/>
            <w:sz w:val="13"/>
            <w:szCs w:val="13"/>
          </w:rPr>
          <w:t>https://internationaleducation.gov.au/research/Research-Snapshots/Documents/RS_Job%20supported.pdf</w:t>
        </w:r>
      </w:hyperlink>
      <w:r w:rsidRPr="000305C5">
        <w:rPr>
          <w:rFonts w:ascii="Century Gothic" w:hAnsi="Century Gothic"/>
          <w:sz w:val="13"/>
          <w:szCs w:val="13"/>
        </w:rPr>
        <w:t>.</w:t>
      </w:r>
    </w:p>
  </w:footnote>
  <w:footnote w:id="17">
    <w:p w14:paraId="064369F0" w14:textId="74196B9C"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(2018). </w:t>
      </w:r>
      <w:r w:rsidRPr="000305C5">
        <w:rPr>
          <w:rFonts w:ascii="Century Gothic" w:hAnsi="Century Gothic"/>
          <w:i/>
          <w:iCs/>
          <w:sz w:val="13"/>
          <w:szCs w:val="13"/>
        </w:rPr>
        <w:t>Selected Higher Education Statistics – 2017 Student Summary Tables</w:t>
      </w:r>
      <w:r w:rsidRPr="000305C5">
        <w:rPr>
          <w:rFonts w:ascii="Century Gothic" w:hAnsi="Century Gothic"/>
          <w:sz w:val="13"/>
          <w:szCs w:val="13"/>
        </w:rPr>
        <w:t xml:space="preserve">. Retrieved from: </w:t>
      </w:r>
      <w:hyperlink r:id="rId10" w:history="1">
        <w:r w:rsidRPr="000305C5">
          <w:rPr>
            <w:rStyle w:val="Hyperlink"/>
            <w:rFonts w:ascii="Century Gothic" w:hAnsi="Century Gothic"/>
            <w:sz w:val="13"/>
            <w:szCs w:val="13"/>
          </w:rPr>
          <w:t>https://docs.education.gov.au/node/51311</w:t>
        </w:r>
      </w:hyperlink>
      <w:r w:rsidRPr="000305C5">
        <w:rPr>
          <w:rFonts w:ascii="Century Gothic" w:hAnsi="Century Gothic"/>
          <w:sz w:val="13"/>
          <w:szCs w:val="13"/>
        </w:rPr>
        <w:t>. (Latest publicly available full year data).</w:t>
      </w:r>
    </w:p>
  </w:footnote>
  <w:footnote w:id="18">
    <w:p w14:paraId="6343C6BF" w14:textId="77777777" w:rsidR="00374E52" w:rsidRPr="000305C5" w:rsidRDefault="00374E52" w:rsidP="00D76409">
      <w:pPr>
        <w:spacing w:before="0" w:after="0" w:line="240" w:lineRule="auto"/>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(2014). </w:t>
      </w:r>
      <w:r w:rsidRPr="000305C5">
        <w:rPr>
          <w:rFonts w:ascii="Century Gothic" w:hAnsi="Century Gothic"/>
          <w:i/>
          <w:sz w:val="13"/>
          <w:szCs w:val="13"/>
        </w:rPr>
        <w:t>Higher Education Students Time Series Tables – Selected Higher Education Statistics 2000</w:t>
      </w:r>
      <w:r w:rsidRPr="000305C5">
        <w:rPr>
          <w:rFonts w:ascii="Century Gothic" w:hAnsi="Century Gothic"/>
          <w:sz w:val="13"/>
          <w:szCs w:val="13"/>
        </w:rPr>
        <w:t xml:space="preserve">. p.37. Retrieved from: </w:t>
      </w:r>
      <w:hyperlink r:id="rId11" w:history="1">
        <w:r w:rsidRPr="000305C5">
          <w:rPr>
            <w:rStyle w:val="Hyperlink"/>
            <w:rFonts w:ascii="Century Gothic" w:hAnsi="Century Gothic"/>
            <w:sz w:val="13"/>
            <w:szCs w:val="13"/>
          </w:rPr>
          <w:t>https://docs.education.gov.au/node/35519</w:t>
        </w:r>
      </w:hyperlink>
      <w:r w:rsidRPr="000305C5">
        <w:rPr>
          <w:rFonts w:ascii="Century Gothic" w:hAnsi="Century Gothic"/>
          <w:sz w:val="13"/>
          <w:szCs w:val="13"/>
        </w:rPr>
        <w:t xml:space="preserve">. </w:t>
      </w:r>
    </w:p>
  </w:footnote>
  <w:footnote w:id="19">
    <w:p w14:paraId="3A2C6DD2" w14:textId="4334F746"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(2018). </w:t>
      </w:r>
      <w:r w:rsidRPr="000305C5">
        <w:rPr>
          <w:rFonts w:ascii="Century Gothic" w:hAnsi="Century Gothic"/>
          <w:i/>
          <w:sz w:val="13"/>
          <w:szCs w:val="13"/>
        </w:rPr>
        <w:t>Selected Higher Education Statistics – 2017 Student Summary Tables</w:t>
      </w:r>
      <w:r w:rsidRPr="000305C5">
        <w:rPr>
          <w:rFonts w:ascii="Century Gothic" w:hAnsi="Century Gothic"/>
          <w:sz w:val="13"/>
          <w:szCs w:val="13"/>
        </w:rPr>
        <w:t xml:space="preserve">. Retrieved from: </w:t>
      </w:r>
      <w:hyperlink r:id="rId12" w:history="1">
        <w:r w:rsidRPr="000305C5">
          <w:rPr>
            <w:rStyle w:val="Hyperlink"/>
            <w:rFonts w:ascii="Century Gothic" w:hAnsi="Century Gothic"/>
            <w:sz w:val="13"/>
            <w:szCs w:val="13"/>
          </w:rPr>
          <w:t>https://docs.education.gov.au/node/51311</w:t>
        </w:r>
      </w:hyperlink>
      <w:r w:rsidRPr="000305C5">
        <w:rPr>
          <w:rFonts w:ascii="Century Gothic" w:hAnsi="Century Gothic"/>
          <w:sz w:val="13"/>
          <w:szCs w:val="13"/>
        </w:rPr>
        <w:t>. (Latest publicly available full year data).</w:t>
      </w:r>
    </w:p>
  </w:footnote>
  <w:footnote w:id="20">
    <w:p w14:paraId="557DE25C"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(2019). </w:t>
      </w:r>
      <w:r w:rsidRPr="000305C5">
        <w:rPr>
          <w:rFonts w:ascii="Century Gothic" w:hAnsi="Century Gothic"/>
          <w:i/>
          <w:iCs/>
          <w:sz w:val="13"/>
          <w:szCs w:val="13"/>
        </w:rPr>
        <w:t>Student Numbers</w:t>
      </w:r>
      <w:r w:rsidRPr="000305C5">
        <w:rPr>
          <w:rFonts w:ascii="Century Gothic" w:hAnsi="Century Gothic"/>
          <w:sz w:val="13"/>
          <w:szCs w:val="13"/>
        </w:rPr>
        <w:t xml:space="preserve">. Retrieved from: </w:t>
      </w:r>
      <w:hyperlink r:id="rId13" w:history="1">
        <w:r w:rsidRPr="000305C5">
          <w:rPr>
            <w:rStyle w:val="Hyperlink"/>
            <w:rFonts w:ascii="Century Gothic" w:hAnsi="Century Gothic"/>
            <w:sz w:val="13"/>
            <w:szCs w:val="13"/>
          </w:rPr>
          <w:t>https://internationaleducation.gov.au/research/DataVisualisations/Pages/Student-number.aspx</w:t>
        </w:r>
      </w:hyperlink>
      <w:r w:rsidRPr="000305C5">
        <w:rPr>
          <w:rFonts w:ascii="Century Gothic" w:hAnsi="Century Gothic"/>
          <w:sz w:val="13"/>
          <w:szCs w:val="13"/>
        </w:rPr>
        <w:t>.</w:t>
      </w:r>
    </w:p>
  </w:footnote>
  <w:footnote w:id="21">
    <w:p w14:paraId="04D0771C" w14:textId="190C22FB" w:rsidR="00374E52" w:rsidRPr="000305C5" w:rsidRDefault="00374E52" w:rsidP="00D76409">
      <w:pPr>
        <w:spacing w:before="0" w:after="0" w:line="240" w:lineRule="auto"/>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Jobs and Small Business. (2018). </w:t>
      </w:r>
      <w:r w:rsidRPr="000305C5">
        <w:rPr>
          <w:rFonts w:ascii="Century Gothic" w:hAnsi="Century Gothic"/>
          <w:i/>
          <w:iCs/>
          <w:sz w:val="13"/>
          <w:szCs w:val="13"/>
        </w:rPr>
        <w:t xml:space="preserve">2018 Employment Projections for the Five-Years to May 2023. </w:t>
      </w:r>
      <w:r w:rsidRPr="000305C5">
        <w:rPr>
          <w:rFonts w:ascii="Century Gothic" w:hAnsi="Century Gothic"/>
          <w:iCs/>
          <w:sz w:val="13"/>
          <w:szCs w:val="13"/>
        </w:rPr>
        <w:t xml:space="preserve">Retrieved from: </w:t>
      </w:r>
      <w:hyperlink r:id="rId14" w:history="1">
        <w:r w:rsidRPr="000305C5">
          <w:rPr>
            <w:rStyle w:val="Hyperlink"/>
            <w:rFonts w:ascii="Century Gothic" w:hAnsi="Century Gothic"/>
            <w:sz w:val="13"/>
            <w:szCs w:val="13"/>
          </w:rPr>
          <w:t>http://lmip.gov.au/default.aspx?LMIP/EmploymentProjections</w:t>
        </w:r>
      </w:hyperlink>
      <w:r w:rsidRPr="000305C5">
        <w:rPr>
          <w:rFonts w:ascii="Century Gothic" w:hAnsi="Century Gothic"/>
          <w:sz w:val="13"/>
          <w:szCs w:val="13"/>
        </w:rPr>
        <w:t xml:space="preserve">.   </w:t>
      </w:r>
    </w:p>
  </w:footnote>
  <w:footnote w:id="22">
    <w:p w14:paraId="4C760DB1"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w:t>
      </w:r>
    </w:p>
  </w:footnote>
  <w:footnote w:id="23">
    <w:p w14:paraId="06BF562D" w14:textId="74910235" w:rsidR="00374E52" w:rsidRPr="000305C5" w:rsidRDefault="00374E52" w:rsidP="00D76409">
      <w:pPr>
        <w:spacing w:before="0" w:after="0" w:line="240" w:lineRule="auto"/>
        <w:rPr>
          <w:rFonts w:ascii="Century Gothic" w:hAnsi="Century Gothic"/>
          <w:color w:val="1F497D"/>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Bureau of Statistics. (2018). </w:t>
      </w:r>
      <w:r w:rsidRPr="000305C5">
        <w:rPr>
          <w:rFonts w:ascii="Century Gothic" w:hAnsi="Century Gothic"/>
          <w:i/>
          <w:sz w:val="13"/>
          <w:szCs w:val="13"/>
        </w:rPr>
        <w:t>8146.0 - Household Use of Information Technology, 2016-17.</w:t>
      </w:r>
      <w:r w:rsidRPr="000305C5">
        <w:rPr>
          <w:rFonts w:ascii="Century Gothic" w:hAnsi="Century Gothic"/>
          <w:sz w:val="13"/>
          <w:szCs w:val="13"/>
        </w:rPr>
        <w:t xml:space="preserve"> Retrieved from: </w:t>
      </w:r>
      <w:hyperlink r:id="rId15" w:history="1">
        <w:r w:rsidRPr="000305C5">
          <w:rPr>
            <w:rStyle w:val="Hyperlink"/>
            <w:rFonts w:ascii="Century Gothic" w:hAnsi="Century Gothic"/>
            <w:sz w:val="13"/>
            <w:szCs w:val="13"/>
          </w:rPr>
          <w:t>https://www.abs.gov.au/AUSSTATS/abs@.nsf/Lookup/8146.0Main+Features12016-17?OpenDocument</w:t>
        </w:r>
      </w:hyperlink>
      <w:r w:rsidRPr="000305C5">
        <w:rPr>
          <w:rFonts w:ascii="Century Gothic" w:hAnsi="Century Gothic"/>
          <w:sz w:val="13"/>
          <w:szCs w:val="13"/>
        </w:rPr>
        <w:t xml:space="preserve">. </w:t>
      </w:r>
    </w:p>
  </w:footnote>
  <w:footnote w:id="24">
    <w:p w14:paraId="301BA08E" w14:textId="1B17BAA3"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Skills Quality Authority (ASQA). (2019). </w:t>
      </w:r>
      <w:r w:rsidRPr="000305C5">
        <w:rPr>
          <w:rFonts w:ascii="Century Gothic" w:hAnsi="Century Gothic"/>
          <w:i/>
          <w:sz w:val="13"/>
          <w:szCs w:val="13"/>
        </w:rPr>
        <w:t>About RTOs</w:t>
      </w:r>
      <w:r w:rsidRPr="000305C5">
        <w:rPr>
          <w:rFonts w:ascii="Century Gothic" w:hAnsi="Century Gothic"/>
          <w:sz w:val="13"/>
          <w:szCs w:val="13"/>
        </w:rPr>
        <w:t xml:space="preserve">. Retrieved from: </w:t>
      </w:r>
      <w:r w:rsidRPr="000305C5">
        <w:rPr>
          <w:rFonts w:ascii="Century Gothic" w:hAnsi="Century Gothic"/>
          <w:sz w:val="13"/>
          <w:szCs w:val="13"/>
        </w:rPr>
        <w:br/>
      </w:r>
      <w:hyperlink r:id="rId16" w:history="1">
        <w:r w:rsidRPr="000305C5">
          <w:rPr>
            <w:rStyle w:val="Hyperlink"/>
            <w:rFonts w:ascii="Century Gothic" w:hAnsi="Century Gothic"/>
            <w:sz w:val="13"/>
            <w:szCs w:val="13"/>
          </w:rPr>
          <w:t>https://www.asqa.gov.au/about/australias-vet-sector/about-rtos</w:t>
        </w:r>
      </w:hyperlink>
      <w:r w:rsidRPr="000305C5">
        <w:rPr>
          <w:rFonts w:ascii="Century Gothic" w:hAnsi="Century Gothic"/>
          <w:sz w:val="13"/>
          <w:szCs w:val="13"/>
        </w:rPr>
        <w:t xml:space="preserve">. </w:t>
      </w:r>
    </w:p>
  </w:footnote>
  <w:footnote w:id="25">
    <w:p w14:paraId="29F16EAE" w14:textId="730D5A22" w:rsidR="00374E52" w:rsidRPr="000305C5" w:rsidRDefault="00374E52" w:rsidP="00D76409">
      <w:pPr>
        <w:spacing w:before="0" w:after="0" w:line="240" w:lineRule="auto"/>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 dual sector provider is registered with both TEQSA and the Australian Skills Quality Authority (ASQA) (or in some cases a state regulator) and offers both higher education and vocational education courses. </w:t>
      </w:r>
    </w:p>
  </w:footnote>
  <w:footnote w:id="26">
    <w:p w14:paraId="2EEB3D9B" w14:textId="72DCF8CA"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(2017). </w:t>
      </w:r>
      <w:r w:rsidRPr="000305C5">
        <w:rPr>
          <w:rFonts w:ascii="Century Gothic" w:hAnsi="Century Gothic"/>
          <w:i/>
          <w:sz w:val="13"/>
          <w:szCs w:val="13"/>
        </w:rPr>
        <w:t>Longitudinal Surveys of Australian Youth, 2009 cohort (version 8.0)</w:t>
      </w:r>
      <w:r w:rsidRPr="000305C5">
        <w:rPr>
          <w:rFonts w:ascii="Century Gothic" w:hAnsi="Century Gothic"/>
          <w:sz w:val="13"/>
          <w:szCs w:val="13"/>
        </w:rPr>
        <w:t xml:space="preserve"> Retrieved from: </w:t>
      </w:r>
      <w:hyperlink r:id="rId17" w:history="1">
        <w:r w:rsidRPr="000305C5">
          <w:rPr>
            <w:rStyle w:val="Hyperlink"/>
            <w:rFonts w:ascii="Century Gothic" w:hAnsi="Century Gothic"/>
            <w:sz w:val="13"/>
            <w:szCs w:val="13"/>
          </w:rPr>
          <w:t>https://dataverse.ada.edu.au/dataset.xhtml?persistentId=doi:10.4225/87/6BW27V</w:t>
        </w:r>
      </w:hyperlink>
      <w:r w:rsidRPr="000305C5">
        <w:rPr>
          <w:rFonts w:ascii="Century Gothic" w:hAnsi="Century Gothic"/>
          <w:sz w:val="13"/>
          <w:szCs w:val="13"/>
        </w:rPr>
        <w:t xml:space="preserve">. </w:t>
      </w:r>
    </w:p>
  </w:footnote>
  <w:footnote w:id="27">
    <w:p w14:paraId="596BEA1E"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(2019). </w:t>
      </w:r>
      <w:r w:rsidRPr="000305C5">
        <w:rPr>
          <w:rFonts w:ascii="Century Gothic" w:hAnsi="Century Gothic"/>
          <w:i/>
          <w:sz w:val="13"/>
          <w:szCs w:val="13"/>
        </w:rPr>
        <w:t>National Register Summary Table.</w:t>
      </w:r>
      <w:r w:rsidRPr="000305C5">
        <w:rPr>
          <w:rFonts w:ascii="Century Gothic" w:hAnsi="Century Gothic"/>
          <w:sz w:val="13"/>
          <w:szCs w:val="13"/>
        </w:rPr>
        <w:t xml:space="preserve"> Retrieved 03/09/2019 </w:t>
      </w:r>
    </w:p>
    <w:p w14:paraId="2899F867" w14:textId="7B84E76A" w:rsidR="00374E52" w:rsidRPr="000305C5" w:rsidRDefault="00374E52" w:rsidP="00D76409">
      <w:pPr>
        <w:spacing w:before="0" w:after="0" w:line="240" w:lineRule="auto"/>
        <w:ind w:right="-142"/>
        <w:rPr>
          <w:rFonts w:ascii="Century Gothic" w:hAnsi="Century Gothic"/>
          <w:sz w:val="13"/>
          <w:szCs w:val="13"/>
        </w:rPr>
      </w:pPr>
      <w:r w:rsidRPr="000305C5">
        <w:rPr>
          <w:rFonts w:ascii="Century Gothic" w:hAnsi="Century Gothic"/>
          <w:sz w:val="13"/>
          <w:szCs w:val="13"/>
        </w:rPr>
        <w:t xml:space="preserve">from: </w:t>
      </w:r>
      <w:hyperlink r:id="rId18" w:history="1">
        <w:r w:rsidRPr="000305C5">
          <w:rPr>
            <w:rStyle w:val="Hyperlink"/>
            <w:rFonts w:ascii="Century Gothic" w:hAnsi="Century Gothic"/>
            <w:sz w:val="13"/>
            <w:szCs w:val="13"/>
          </w:rPr>
          <w:t>www.teqsa.gov.au/national-register</w:t>
        </w:r>
      </w:hyperlink>
      <w:r w:rsidRPr="000305C5">
        <w:rPr>
          <w:rFonts w:ascii="Century Gothic" w:hAnsi="Century Gothic"/>
          <w:sz w:val="13"/>
          <w:szCs w:val="13"/>
        </w:rPr>
        <w:t>.</w:t>
      </w:r>
    </w:p>
  </w:footnote>
  <w:footnote w:id="28">
    <w:p w14:paraId="6DE85102" w14:textId="4B04C8E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w:t>
      </w:r>
    </w:p>
  </w:footnote>
  <w:footnote w:id="29">
    <w:p w14:paraId="5770DC02"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Coaldrake, P. and Stedman, L. (1998). </w:t>
      </w:r>
      <w:r w:rsidRPr="000305C5">
        <w:rPr>
          <w:rFonts w:ascii="Century Gothic" w:hAnsi="Century Gothic"/>
          <w:i/>
          <w:sz w:val="13"/>
          <w:szCs w:val="13"/>
        </w:rPr>
        <w:t>On the Brink: Australia’s Universities Confronting Their Future</w:t>
      </w:r>
      <w:r w:rsidRPr="000305C5">
        <w:rPr>
          <w:rFonts w:ascii="Century Gothic" w:hAnsi="Century Gothic"/>
          <w:sz w:val="13"/>
          <w:szCs w:val="13"/>
        </w:rPr>
        <w:t xml:space="preserve">. University of Queensland </w:t>
      </w:r>
      <w:r w:rsidRPr="000305C5">
        <w:rPr>
          <w:rFonts w:ascii="Century Gothic" w:hAnsi="Century Gothic"/>
          <w:sz w:val="13"/>
          <w:szCs w:val="13"/>
        </w:rPr>
        <w:br/>
        <w:t>Press: St Lucia, QLD. p.11.</w:t>
      </w:r>
    </w:p>
  </w:footnote>
  <w:footnote w:id="30">
    <w:p w14:paraId="1FB51950"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University of New England. (2019). </w:t>
      </w:r>
      <w:r w:rsidRPr="000305C5">
        <w:rPr>
          <w:rFonts w:ascii="Century Gothic" w:hAnsi="Century Gothic"/>
          <w:i/>
          <w:sz w:val="13"/>
          <w:szCs w:val="13"/>
        </w:rPr>
        <w:t>About UNE</w:t>
      </w:r>
      <w:r w:rsidRPr="000305C5">
        <w:rPr>
          <w:rFonts w:ascii="Century Gothic" w:hAnsi="Century Gothic"/>
          <w:sz w:val="13"/>
          <w:szCs w:val="13"/>
        </w:rPr>
        <w:t xml:space="preserve">. Retrieved from: </w:t>
      </w:r>
      <w:hyperlink r:id="rId19" w:history="1">
        <w:r w:rsidRPr="000305C5">
          <w:rPr>
            <w:rStyle w:val="Hyperlink"/>
            <w:rFonts w:ascii="Century Gothic" w:hAnsi="Century Gothic"/>
            <w:sz w:val="13"/>
            <w:szCs w:val="13"/>
          </w:rPr>
          <w:t>https://www.une.edu.au/about-une</w:t>
        </w:r>
      </w:hyperlink>
      <w:r w:rsidRPr="000305C5">
        <w:rPr>
          <w:rFonts w:ascii="Century Gothic" w:hAnsi="Century Gothic"/>
          <w:sz w:val="13"/>
          <w:szCs w:val="13"/>
        </w:rPr>
        <w:t xml:space="preserve">. </w:t>
      </w:r>
    </w:p>
  </w:footnote>
  <w:footnote w:id="31">
    <w:p w14:paraId="0198CAB6"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James Cook University. (2019). </w:t>
      </w:r>
      <w:r w:rsidRPr="000305C5">
        <w:rPr>
          <w:rFonts w:ascii="Century Gothic" w:hAnsi="Century Gothic"/>
          <w:i/>
          <w:sz w:val="13"/>
          <w:szCs w:val="13"/>
        </w:rPr>
        <w:t>History of JCU</w:t>
      </w:r>
      <w:r w:rsidRPr="000305C5">
        <w:rPr>
          <w:rFonts w:ascii="Century Gothic" w:hAnsi="Century Gothic"/>
          <w:sz w:val="13"/>
          <w:szCs w:val="13"/>
        </w:rPr>
        <w:t xml:space="preserve">. Retrieved from: </w:t>
      </w:r>
      <w:hyperlink r:id="rId20" w:history="1">
        <w:r w:rsidRPr="000305C5">
          <w:rPr>
            <w:rStyle w:val="Hyperlink"/>
            <w:rFonts w:ascii="Century Gothic" w:hAnsi="Century Gothic"/>
            <w:sz w:val="13"/>
            <w:szCs w:val="13"/>
          </w:rPr>
          <w:t>https://www.jcu.edu.au/about-jcu/history</w:t>
        </w:r>
      </w:hyperlink>
      <w:r w:rsidRPr="000305C5">
        <w:rPr>
          <w:rFonts w:ascii="Century Gothic" w:hAnsi="Century Gothic"/>
          <w:sz w:val="13"/>
          <w:szCs w:val="13"/>
        </w:rPr>
        <w:t xml:space="preserve">. </w:t>
      </w:r>
    </w:p>
  </w:footnote>
  <w:footnote w:id="32">
    <w:p w14:paraId="5DA567E1"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University of the Sunshine Coast. (2019). </w:t>
      </w:r>
      <w:r w:rsidRPr="000305C5">
        <w:rPr>
          <w:rFonts w:ascii="Century Gothic" w:hAnsi="Century Gothic"/>
          <w:i/>
          <w:sz w:val="13"/>
          <w:szCs w:val="13"/>
        </w:rPr>
        <w:t>History and Growth</w:t>
      </w:r>
      <w:r w:rsidRPr="000305C5">
        <w:rPr>
          <w:rFonts w:ascii="Century Gothic" w:hAnsi="Century Gothic"/>
          <w:sz w:val="13"/>
          <w:szCs w:val="13"/>
        </w:rPr>
        <w:t xml:space="preserve">. Retrieved from: </w:t>
      </w:r>
      <w:r w:rsidRPr="000305C5">
        <w:rPr>
          <w:rFonts w:ascii="Century Gothic" w:hAnsi="Century Gothic"/>
          <w:sz w:val="13"/>
          <w:szCs w:val="13"/>
        </w:rPr>
        <w:br/>
      </w:r>
      <w:hyperlink r:id="rId21" w:history="1">
        <w:r w:rsidRPr="000305C5">
          <w:rPr>
            <w:rStyle w:val="Hyperlink"/>
            <w:rFonts w:ascii="Century Gothic" w:hAnsi="Century Gothic"/>
            <w:sz w:val="13"/>
            <w:szCs w:val="13"/>
          </w:rPr>
          <w:t>https://www.usc.edu.au/explore/vision/history-and-growth</w:t>
        </w:r>
      </w:hyperlink>
      <w:r w:rsidRPr="000305C5">
        <w:rPr>
          <w:rFonts w:ascii="Century Gothic" w:hAnsi="Century Gothic"/>
          <w:sz w:val="13"/>
          <w:szCs w:val="13"/>
        </w:rPr>
        <w:t xml:space="preserve">. </w:t>
      </w:r>
    </w:p>
  </w:footnote>
  <w:footnote w:id="33">
    <w:p w14:paraId="2D8F12AF"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(2019). </w:t>
      </w:r>
      <w:r w:rsidRPr="000305C5">
        <w:rPr>
          <w:rFonts w:ascii="Century Gothic" w:hAnsi="Century Gothic"/>
          <w:i/>
          <w:sz w:val="13"/>
          <w:szCs w:val="13"/>
        </w:rPr>
        <w:t>TEQSA approves application for an Australian University College</w:t>
      </w:r>
      <w:r w:rsidRPr="000305C5">
        <w:rPr>
          <w:rFonts w:ascii="Century Gothic" w:hAnsi="Century Gothic"/>
          <w:sz w:val="13"/>
          <w:szCs w:val="13"/>
        </w:rPr>
        <w:t xml:space="preserve">. Retrieved from: </w:t>
      </w:r>
      <w:hyperlink r:id="rId22" w:history="1">
        <w:r w:rsidRPr="000305C5">
          <w:rPr>
            <w:rStyle w:val="Hyperlink"/>
            <w:rFonts w:ascii="Century Gothic" w:hAnsi="Century Gothic"/>
            <w:sz w:val="13"/>
            <w:szCs w:val="13"/>
          </w:rPr>
          <w:t>https://www.teqsa.gov.au/latest-news/articles/teqsa-approves-application-australian-university-college</w:t>
        </w:r>
      </w:hyperlink>
      <w:r w:rsidRPr="000305C5">
        <w:rPr>
          <w:rFonts w:ascii="Century Gothic" w:hAnsi="Century Gothic"/>
          <w:sz w:val="13"/>
          <w:szCs w:val="13"/>
        </w:rPr>
        <w:t xml:space="preserve">. </w:t>
      </w:r>
    </w:p>
  </w:footnote>
  <w:footnote w:id="34">
    <w:p w14:paraId="64CC90C0" w14:textId="122FE770"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w:t>
      </w:r>
      <w:r w:rsidRPr="000305C5">
        <w:rPr>
          <w:rFonts w:ascii="Century Gothic" w:hAnsi="Century Gothic"/>
          <w:i/>
          <w:sz w:val="13"/>
          <w:szCs w:val="13"/>
        </w:rPr>
        <w:t>Higher Education Standards Framework 2015</w:t>
      </w:r>
      <w:r w:rsidRPr="000305C5">
        <w:rPr>
          <w:rFonts w:ascii="Century Gothic" w:hAnsi="Century Gothic"/>
          <w:sz w:val="13"/>
          <w:szCs w:val="13"/>
        </w:rPr>
        <w:t xml:space="preserve">. Part B1.3.1. Retrieved from: </w:t>
      </w:r>
      <w:hyperlink r:id="rId23" w:anchor="_Toc428368878" w:history="1">
        <w:r w:rsidRPr="000305C5">
          <w:rPr>
            <w:rStyle w:val="Hyperlink"/>
            <w:rFonts w:ascii="Century Gothic" w:hAnsi="Century Gothic"/>
            <w:sz w:val="13"/>
            <w:szCs w:val="13"/>
          </w:rPr>
          <w:t>https://www.legislation.gov.au/Details/F2015L01639/Html/Text#_Toc428368878</w:t>
        </w:r>
      </w:hyperlink>
      <w:r w:rsidRPr="000305C5">
        <w:rPr>
          <w:rFonts w:ascii="Century Gothic" w:hAnsi="Century Gothic"/>
          <w:sz w:val="13"/>
          <w:szCs w:val="13"/>
        </w:rPr>
        <w:t xml:space="preserve">. </w:t>
      </w:r>
    </w:p>
  </w:footnote>
  <w:footnote w:id="35">
    <w:p w14:paraId="16D9F30A" w14:textId="4FE040EE"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Independent Higher Education Australia submission to the PCS Review. (2019). p.8. Retrieved from: </w:t>
      </w:r>
      <w:hyperlink r:id="rId24" w:history="1">
        <w:r w:rsidRPr="000305C5">
          <w:rPr>
            <w:rStyle w:val="Hyperlink"/>
            <w:rFonts w:ascii="Century Gothic" w:hAnsi="Century Gothic"/>
            <w:sz w:val="13"/>
            <w:szCs w:val="13"/>
          </w:rPr>
          <w:t>https://submissions.education.gov.au/Forms/HEPCS/Documents/Independent-Higher-Education-Australia.pdf</w:t>
        </w:r>
      </w:hyperlink>
      <w:r w:rsidRPr="000305C5">
        <w:rPr>
          <w:rFonts w:ascii="Century Gothic" w:hAnsi="Century Gothic"/>
          <w:sz w:val="13"/>
          <w:szCs w:val="13"/>
        </w:rPr>
        <w:t xml:space="preserve"> </w:t>
      </w:r>
    </w:p>
  </w:footnote>
  <w:footnote w:id="36">
    <w:p w14:paraId="424D7F94"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submission to the PCS Review. (2018). p.14. Retrieved from: </w:t>
      </w:r>
      <w:hyperlink r:id="rId25" w:history="1">
        <w:r w:rsidRPr="000305C5">
          <w:rPr>
            <w:rStyle w:val="Hyperlink"/>
            <w:rFonts w:ascii="Century Gothic" w:hAnsi="Century Gothic"/>
            <w:sz w:val="13"/>
            <w:szCs w:val="13"/>
          </w:rPr>
          <w:t>https://submissions.education.gov.au/Forms/HEPCS/Documents/Tertiary-Education-Quality-and-Standards-Agency.pdf</w:t>
        </w:r>
      </w:hyperlink>
      <w:r w:rsidRPr="000305C5">
        <w:rPr>
          <w:rFonts w:ascii="Century Gothic" w:hAnsi="Century Gothic"/>
          <w:sz w:val="13"/>
          <w:szCs w:val="13"/>
        </w:rPr>
        <w:t xml:space="preserve">. </w:t>
      </w:r>
    </w:p>
  </w:footnote>
  <w:footnote w:id="37">
    <w:p w14:paraId="32242C67"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Norton, A., Cherastidtham, I., and Mackey, W. (2018). </w:t>
      </w:r>
      <w:r w:rsidRPr="000305C5">
        <w:rPr>
          <w:rFonts w:ascii="Century Gothic" w:hAnsi="Century Gothic"/>
          <w:i/>
          <w:sz w:val="13"/>
          <w:szCs w:val="13"/>
        </w:rPr>
        <w:t>Mapping Australian Higher Education 2018</w:t>
      </w:r>
      <w:r w:rsidRPr="000305C5">
        <w:rPr>
          <w:rFonts w:ascii="Century Gothic" w:hAnsi="Century Gothic"/>
          <w:sz w:val="13"/>
          <w:szCs w:val="13"/>
        </w:rPr>
        <w:t xml:space="preserve">. Grattan Institute. p.13. </w:t>
      </w:r>
      <w:r w:rsidRPr="000305C5">
        <w:rPr>
          <w:rFonts w:ascii="Century Gothic" w:hAnsi="Century Gothic"/>
          <w:sz w:val="13"/>
          <w:szCs w:val="13"/>
        </w:rPr>
        <w:br/>
        <w:t xml:space="preserve">Retrieved from: </w:t>
      </w:r>
      <w:hyperlink r:id="rId26" w:history="1">
        <w:r w:rsidRPr="000305C5">
          <w:rPr>
            <w:rStyle w:val="Hyperlink"/>
            <w:rFonts w:ascii="Century Gothic" w:hAnsi="Century Gothic"/>
            <w:sz w:val="13"/>
            <w:szCs w:val="13"/>
          </w:rPr>
          <w:t>https://grattan.edu.au/wp-content/uploads/2018/09/907-Mapping-Australian-higher-education-2018.pdf</w:t>
        </w:r>
      </w:hyperlink>
      <w:r w:rsidRPr="000305C5">
        <w:rPr>
          <w:rFonts w:ascii="Century Gothic" w:hAnsi="Century Gothic"/>
          <w:sz w:val="13"/>
          <w:szCs w:val="13"/>
        </w:rPr>
        <w:t xml:space="preserve">. </w:t>
      </w:r>
    </w:p>
  </w:footnote>
  <w:footnote w:id="38">
    <w:p w14:paraId="30C84AE1"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Edith Cowan University submission to the PCS Review. (2019). p.1. Retrieved from: </w:t>
      </w:r>
      <w:hyperlink r:id="rId27" w:history="1">
        <w:r w:rsidRPr="000305C5">
          <w:rPr>
            <w:rStyle w:val="Hyperlink"/>
            <w:rFonts w:ascii="Century Gothic" w:hAnsi="Century Gothic"/>
            <w:sz w:val="13"/>
            <w:szCs w:val="13"/>
          </w:rPr>
          <w:t>https://submissions.education.gov.au/Forms/HEPCS/Documents/Edith-Cowan-University.pdf</w:t>
        </w:r>
      </w:hyperlink>
      <w:r w:rsidRPr="000305C5">
        <w:rPr>
          <w:rFonts w:ascii="Century Gothic" w:hAnsi="Century Gothic"/>
          <w:sz w:val="13"/>
          <w:szCs w:val="13"/>
        </w:rPr>
        <w:t xml:space="preserve">. </w:t>
      </w:r>
    </w:p>
  </w:footnote>
  <w:footnote w:id="39">
    <w:p w14:paraId="27DD70E4" w14:textId="36E1237D"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Batchelor Institute submission to the PCS Review. (2019). p.2. Retrieved from: </w:t>
      </w:r>
      <w:hyperlink r:id="rId28" w:history="1">
        <w:r w:rsidRPr="000305C5">
          <w:rPr>
            <w:rStyle w:val="Hyperlink"/>
            <w:rFonts w:ascii="Century Gothic" w:hAnsi="Century Gothic"/>
            <w:sz w:val="13"/>
            <w:szCs w:val="13"/>
          </w:rPr>
          <w:t>https://submissions.education.gov.au/Forms/HEPCS/Documents/Batchelor-Institute.pdf</w:t>
        </w:r>
      </w:hyperlink>
      <w:r w:rsidRPr="000305C5">
        <w:rPr>
          <w:rFonts w:ascii="Century Gothic" w:hAnsi="Century Gothic"/>
          <w:sz w:val="13"/>
          <w:szCs w:val="13"/>
        </w:rPr>
        <w:t xml:space="preserve">. </w:t>
      </w:r>
    </w:p>
  </w:footnote>
  <w:footnote w:id="40">
    <w:p w14:paraId="75409951" w14:textId="227F66FA"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w:t>
      </w:r>
    </w:p>
  </w:footnote>
  <w:footnote w:id="41">
    <w:p w14:paraId="4A46A4FF" w14:textId="247BD05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Rockefeller University. (2019).</w:t>
      </w:r>
      <w:r w:rsidRPr="000305C5">
        <w:rPr>
          <w:rFonts w:ascii="Century Gothic" w:hAnsi="Century Gothic"/>
          <w:i/>
          <w:sz w:val="13"/>
          <w:szCs w:val="13"/>
        </w:rPr>
        <w:t xml:space="preserve"> Awards and Honours</w:t>
      </w:r>
      <w:r w:rsidRPr="000305C5">
        <w:rPr>
          <w:rFonts w:ascii="Century Gothic" w:hAnsi="Century Gothic"/>
          <w:sz w:val="13"/>
          <w:szCs w:val="13"/>
        </w:rPr>
        <w:t xml:space="preserve">. Retrieved from: </w:t>
      </w:r>
      <w:hyperlink r:id="rId29" w:history="1">
        <w:r w:rsidRPr="000305C5">
          <w:rPr>
            <w:rStyle w:val="Hyperlink"/>
            <w:rFonts w:ascii="Century Gothic" w:hAnsi="Century Gothic"/>
            <w:sz w:val="13"/>
            <w:szCs w:val="13"/>
          </w:rPr>
          <w:t>https://www.rockefeller.edu/about/awards/</w:t>
        </w:r>
      </w:hyperlink>
      <w:r w:rsidRPr="000305C5">
        <w:rPr>
          <w:rFonts w:ascii="Century Gothic" w:hAnsi="Century Gothic"/>
          <w:sz w:val="13"/>
          <w:szCs w:val="13"/>
        </w:rPr>
        <w:t xml:space="preserve">. </w:t>
      </w:r>
    </w:p>
  </w:footnote>
  <w:footnote w:id="42">
    <w:p w14:paraId="1334AC1F" w14:textId="5E0F6C13"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University of Divinity submission to the PCS Review. (2019). p.2. Retrieved from: </w:t>
      </w:r>
      <w:hyperlink r:id="rId30" w:history="1">
        <w:r w:rsidRPr="000305C5">
          <w:rPr>
            <w:rStyle w:val="Hyperlink"/>
            <w:rFonts w:ascii="Century Gothic" w:hAnsi="Century Gothic"/>
            <w:sz w:val="13"/>
            <w:szCs w:val="13"/>
          </w:rPr>
          <w:t>https://submissions.education.gov.au/Forms/HEPCS/Documents/University-of-Divinity.pdf</w:t>
        </w:r>
      </w:hyperlink>
      <w:r w:rsidRPr="000305C5">
        <w:rPr>
          <w:rFonts w:ascii="Century Gothic" w:hAnsi="Century Gothic"/>
          <w:sz w:val="13"/>
          <w:szCs w:val="13"/>
        </w:rPr>
        <w:t xml:space="preserve">. </w:t>
      </w:r>
    </w:p>
  </w:footnote>
  <w:footnote w:id="43">
    <w:p w14:paraId="391D824D"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(2019). </w:t>
      </w:r>
      <w:r w:rsidRPr="000305C5">
        <w:rPr>
          <w:rFonts w:ascii="Century Gothic" w:hAnsi="Century Gothic"/>
          <w:i/>
          <w:sz w:val="13"/>
          <w:szCs w:val="13"/>
        </w:rPr>
        <w:t>National Register Summary Table.</w:t>
      </w:r>
      <w:r w:rsidRPr="000305C5">
        <w:rPr>
          <w:rFonts w:ascii="Century Gothic" w:hAnsi="Century Gothic"/>
          <w:sz w:val="13"/>
          <w:szCs w:val="13"/>
        </w:rPr>
        <w:t xml:space="preserve"> Retrieved 03/09/2019 </w:t>
      </w:r>
    </w:p>
    <w:p w14:paraId="111C7B6E" w14:textId="02B072A2" w:rsidR="00374E52" w:rsidRPr="000305C5" w:rsidRDefault="00374E52" w:rsidP="00D76409">
      <w:pPr>
        <w:spacing w:before="0" w:after="0" w:line="240" w:lineRule="auto"/>
        <w:ind w:right="-142"/>
        <w:rPr>
          <w:rFonts w:ascii="Century Gothic" w:hAnsi="Century Gothic"/>
          <w:sz w:val="13"/>
          <w:szCs w:val="13"/>
        </w:rPr>
      </w:pPr>
      <w:r w:rsidRPr="000305C5">
        <w:rPr>
          <w:rFonts w:ascii="Century Gothic" w:hAnsi="Century Gothic"/>
          <w:sz w:val="13"/>
          <w:szCs w:val="13"/>
        </w:rPr>
        <w:t xml:space="preserve">from: </w:t>
      </w:r>
      <w:hyperlink r:id="rId31" w:history="1">
        <w:r w:rsidRPr="000305C5">
          <w:rPr>
            <w:rStyle w:val="Hyperlink"/>
            <w:rFonts w:ascii="Century Gothic" w:hAnsi="Century Gothic"/>
            <w:sz w:val="13"/>
            <w:szCs w:val="13"/>
          </w:rPr>
          <w:t>www.teqsa.gov.au/national-register</w:t>
        </w:r>
      </w:hyperlink>
      <w:r w:rsidRPr="000305C5">
        <w:rPr>
          <w:rFonts w:ascii="Century Gothic" w:hAnsi="Century Gothic"/>
          <w:sz w:val="13"/>
          <w:szCs w:val="13"/>
        </w:rPr>
        <w:t>.</w:t>
      </w:r>
    </w:p>
  </w:footnote>
  <w:footnote w:id="44">
    <w:p w14:paraId="50ABF383" w14:textId="3A52DE81"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(2018). </w:t>
      </w:r>
      <w:r w:rsidRPr="000305C5">
        <w:rPr>
          <w:rFonts w:ascii="Century Gothic" w:hAnsi="Century Gothic"/>
          <w:i/>
          <w:sz w:val="13"/>
          <w:szCs w:val="13"/>
          <w:lang w:val="en"/>
        </w:rPr>
        <w:t>Statistics report on TEQSA registered higher education providers 2018</w:t>
      </w:r>
      <w:r w:rsidRPr="000305C5">
        <w:rPr>
          <w:rFonts w:ascii="Century Gothic" w:hAnsi="Century Gothic"/>
          <w:sz w:val="13"/>
          <w:szCs w:val="13"/>
          <w:lang w:val="en"/>
        </w:rPr>
        <w:t xml:space="preserve">. p.7. Retrieved from: </w:t>
      </w:r>
      <w:hyperlink r:id="rId32" w:history="1">
        <w:r w:rsidRPr="000305C5">
          <w:rPr>
            <w:rStyle w:val="Hyperlink"/>
            <w:rFonts w:ascii="Century Gothic" w:hAnsi="Century Gothic"/>
            <w:sz w:val="13"/>
            <w:szCs w:val="13"/>
            <w:lang w:val="en"/>
          </w:rPr>
          <w:t>https://www.teqsa.gov.au/latest-news/publications/statistics-report-teqsa-registered-higher-education-providers-2018</w:t>
        </w:r>
      </w:hyperlink>
      <w:r w:rsidRPr="000305C5">
        <w:rPr>
          <w:rFonts w:ascii="Century Gothic" w:hAnsi="Century Gothic"/>
          <w:sz w:val="13"/>
          <w:szCs w:val="13"/>
          <w:lang w:val="en"/>
        </w:rPr>
        <w:t xml:space="preserve">. </w:t>
      </w:r>
    </w:p>
  </w:footnote>
  <w:footnote w:id="45">
    <w:p w14:paraId="7F0A6F30" w14:textId="6312BF4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ten providers with limited self-accrediting authority are: Alphacrucis College, Australian College of Theology, Batchelor Institute of Indigenous Tertiary Education, Excelsia College, Moore Theological College, Navitas Professional Institute, Sydney College of Divinity, </w:t>
      </w:r>
      <w:r w:rsidRPr="000305C5">
        <w:rPr>
          <w:rFonts w:ascii="Century Gothic" w:hAnsi="Century Gothic"/>
          <w:sz w:val="13"/>
          <w:szCs w:val="13"/>
        </w:rPr>
        <w:br/>
        <w:t>The College of Law, The National Institute of Dramatic Art and Top Education Institute. The Australian Film Radio and Television School has unlimited self-accrediting authority.</w:t>
      </w:r>
    </w:p>
  </w:footnote>
  <w:footnote w:id="46">
    <w:p w14:paraId="6FA9B6AA" w14:textId="37DD3A28"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Standards Agency (TEQSA). (2018). </w:t>
      </w:r>
      <w:r w:rsidRPr="000305C5">
        <w:rPr>
          <w:rFonts w:ascii="Century Gothic" w:hAnsi="Century Gothic"/>
          <w:i/>
          <w:sz w:val="13"/>
          <w:szCs w:val="13"/>
        </w:rPr>
        <w:t>Key Financial Metrics on Australia’s Higher Education Sector</w:t>
      </w:r>
      <w:r w:rsidRPr="000305C5">
        <w:rPr>
          <w:rFonts w:ascii="Century Gothic" w:hAnsi="Century Gothic"/>
          <w:sz w:val="13"/>
          <w:szCs w:val="13"/>
        </w:rPr>
        <w:t xml:space="preserve">. p.14. </w:t>
      </w:r>
      <w:r w:rsidRPr="000305C5">
        <w:rPr>
          <w:rFonts w:ascii="Century Gothic" w:hAnsi="Century Gothic"/>
          <w:sz w:val="13"/>
          <w:szCs w:val="13"/>
        </w:rPr>
        <w:br/>
        <w:t xml:space="preserve">Retrieved from: </w:t>
      </w:r>
      <w:hyperlink r:id="rId33" w:history="1">
        <w:r w:rsidRPr="000305C5">
          <w:rPr>
            <w:rStyle w:val="Hyperlink"/>
            <w:rFonts w:ascii="Century Gothic" w:hAnsi="Century Gothic"/>
            <w:sz w:val="13"/>
            <w:szCs w:val="13"/>
          </w:rPr>
          <w:t>https://www.teqsa.gov.au/sites/default/files/key-financial-metrics-dec-2018_0.pdf?v=1544561601</w:t>
        </w:r>
      </w:hyperlink>
      <w:r w:rsidRPr="000305C5">
        <w:rPr>
          <w:rFonts w:ascii="Century Gothic" w:hAnsi="Century Gothic"/>
          <w:sz w:val="13"/>
          <w:szCs w:val="13"/>
        </w:rPr>
        <w:t xml:space="preserve">.  </w:t>
      </w:r>
    </w:p>
  </w:footnote>
  <w:footnote w:id="47">
    <w:p w14:paraId="2114BE59" w14:textId="3152E490"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Davis, G. (2017). </w:t>
      </w:r>
      <w:r w:rsidRPr="000305C5">
        <w:rPr>
          <w:rFonts w:ascii="Century Gothic" w:hAnsi="Century Gothic"/>
          <w:i/>
          <w:sz w:val="13"/>
          <w:szCs w:val="13"/>
        </w:rPr>
        <w:t>The Australian Idea of a University</w:t>
      </w:r>
      <w:r w:rsidRPr="000305C5">
        <w:rPr>
          <w:rFonts w:ascii="Century Gothic" w:hAnsi="Century Gothic"/>
          <w:sz w:val="13"/>
          <w:szCs w:val="13"/>
        </w:rPr>
        <w:t>. Melbourne University Publishing Limited: Melbourne. pp.109-110.</w:t>
      </w:r>
    </w:p>
  </w:footnote>
  <w:footnote w:id="48">
    <w:p w14:paraId="5CD17BEF" w14:textId="1B3F1C3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Holmesglen Institute submission to the PCS Review. (2019). p.2. Retrieved from: </w:t>
      </w:r>
      <w:hyperlink r:id="rId34" w:history="1">
        <w:r w:rsidRPr="000305C5">
          <w:rPr>
            <w:rStyle w:val="Hyperlink"/>
            <w:rFonts w:ascii="Century Gothic" w:hAnsi="Century Gothic"/>
            <w:sz w:val="13"/>
            <w:szCs w:val="13"/>
          </w:rPr>
          <w:t>https://submissions.education.gov.au/Forms/HEPCS/Documents/Holmesglen-Institute.pdf</w:t>
        </w:r>
      </w:hyperlink>
      <w:r w:rsidRPr="000305C5">
        <w:rPr>
          <w:rFonts w:ascii="Century Gothic" w:hAnsi="Century Gothic"/>
          <w:sz w:val="13"/>
          <w:szCs w:val="13"/>
        </w:rPr>
        <w:t xml:space="preserve">. </w:t>
      </w:r>
    </w:p>
  </w:footnote>
  <w:footnote w:id="49">
    <w:p w14:paraId="5BDA2288" w14:textId="0CB562DC"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Bradley, D. (2008). </w:t>
      </w:r>
      <w:r w:rsidRPr="000305C5">
        <w:rPr>
          <w:rFonts w:ascii="Century Gothic" w:hAnsi="Century Gothic"/>
          <w:i/>
          <w:sz w:val="13"/>
          <w:szCs w:val="13"/>
        </w:rPr>
        <w:t>Review of Australian Higher Education: Final Report</w:t>
      </w:r>
      <w:r w:rsidRPr="000305C5">
        <w:rPr>
          <w:rFonts w:ascii="Century Gothic" w:hAnsi="Century Gothic"/>
          <w:sz w:val="13"/>
          <w:szCs w:val="13"/>
        </w:rPr>
        <w:t xml:space="preserve">. pp.6-7. Retrieved from: </w:t>
      </w:r>
      <w:hyperlink r:id="rId35" w:history="1">
        <w:r w:rsidRPr="000305C5">
          <w:rPr>
            <w:rStyle w:val="Hyperlink"/>
            <w:rFonts w:ascii="Century Gothic" w:hAnsi="Century Gothic"/>
            <w:sz w:val="13"/>
            <w:szCs w:val="13"/>
          </w:rPr>
          <w:t>http://hdl.voced.edu.au/10707/44384</w:t>
        </w:r>
      </w:hyperlink>
      <w:r w:rsidRPr="000305C5">
        <w:rPr>
          <w:rFonts w:ascii="Century Gothic" w:hAnsi="Century Gothic"/>
          <w:sz w:val="13"/>
          <w:szCs w:val="13"/>
        </w:rPr>
        <w:t xml:space="preserve">. </w:t>
      </w:r>
    </w:p>
  </w:footnote>
  <w:footnote w:id="50">
    <w:p w14:paraId="5A6B9B63"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(2019). </w:t>
      </w:r>
      <w:r w:rsidRPr="000305C5">
        <w:rPr>
          <w:rFonts w:ascii="Century Gothic" w:hAnsi="Century Gothic"/>
          <w:i/>
          <w:sz w:val="13"/>
          <w:szCs w:val="13"/>
        </w:rPr>
        <w:t>National Priority Areas</w:t>
      </w:r>
      <w:r w:rsidRPr="000305C5">
        <w:rPr>
          <w:rFonts w:ascii="Century Gothic" w:hAnsi="Century Gothic"/>
          <w:sz w:val="13"/>
          <w:szCs w:val="13"/>
        </w:rPr>
        <w:t xml:space="preserve">. Retrieved from: </w:t>
      </w:r>
      <w:hyperlink r:id="rId36" w:history="1">
        <w:r w:rsidRPr="000305C5">
          <w:rPr>
            <w:rStyle w:val="Hyperlink"/>
            <w:rFonts w:ascii="Century Gothic" w:hAnsi="Century Gothic"/>
            <w:sz w:val="13"/>
            <w:szCs w:val="13"/>
          </w:rPr>
          <w:t>https://heimshelp.education.gov.au/resources/glossary/National%20Priority%20Areas</w:t>
        </w:r>
      </w:hyperlink>
      <w:r w:rsidRPr="000305C5">
        <w:rPr>
          <w:rFonts w:ascii="Century Gothic" w:hAnsi="Century Gothic"/>
          <w:sz w:val="13"/>
          <w:szCs w:val="13"/>
        </w:rPr>
        <w:t xml:space="preserve">. </w:t>
      </w:r>
    </w:p>
  </w:footnote>
  <w:footnote w:id="51">
    <w:p w14:paraId="1618389D" w14:textId="61418074"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Table B providers are currently Bond University, the University of Notre Dame Australia, Torrens University Australia and</w:t>
      </w:r>
      <w:r w:rsidRPr="000305C5">
        <w:rPr>
          <w:rFonts w:ascii="Century Gothic" w:hAnsi="Century Gothic"/>
          <w:sz w:val="13"/>
          <w:szCs w:val="13"/>
        </w:rPr>
        <w:br/>
        <w:t xml:space="preserve">the University of Divinity. </w:t>
      </w:r>
    </w:p>
  </w:footnote>
  <w:footnote w:id="52">
    <w:p w14:paraId="3A40A971"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TAFE Queensland submission to the PCS Review. (2019). p.2. Retrieved from: </w:t>
      </w:r>
      <w:hyperlink r:id="rId37" w:history="1">
        <w:r w:rsidRPr="000305C5">
          <w:rPr>
            <w:rStyle w:val="Hyperlink"/>
            <w:rFonts w:ascii="Century Gothic" w:hAnsi="Century Gothic"/>
            <w:sz w:val="13"/>
            <w:szCs w:val="13"/>
          </w:rPr>
          <w:t>https://submissions.education.gov.au/Forms/HEPCS/Documents/TAFE-Queensland.pdf</w:t>
        </w:r>
      </w:hyperlink>
      <w:r w:rsidRPr="000305C5">
        <w:rPr>
          <w:rFonts w:ascii="Century Gothic" w:hAnsi="Century Gothic"/>
          <w:sz w:val="13"/>
          <w:szCs w:val="13"/>
        </w:rPr>
        <w:t xml:space="preserve">. </w:t>
      </w:r>
    </w:p>
  </w:footnote>
  <w:footnote w:id="53">
    <w:p w14:paraId="0743A7CA" w14:textId="36800DB2"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This includes, notably, the choice of the two major peak representative bodies for providers in the ‘Higher Education Provider’ category to change their names in 2019: the Council of Private Higher Education (COPHE) has become Independent Higher Education Australia (IHEA), and the Australian Council for Private Education and Training (ACPET) has become Independent Tertiary Education Council Australia (ITECA).</w:t>
      </w:r>
    </w:p>
  </w:footnote>
  <w:footnote w:id="54">
    <w:p w14:paraId="2F4B7BF9"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Independent Tertiary Education Council Australia (ITECA) submission to the PCS Review. (2019). p.6. Retrieved from: </w:t>
      </w:r>
      <w:hyperlink r:id="rId38" w:history="1">
        <w:r w:rsidRPr="000305C5">
          <w:rPr>
            <w:rStyle w:val="Hyperlink"/>
            <w:rFonts w:ascii="Century Gothic" w:hAnsi="Century Gothic"/>
            <w:sz w:val="13"/>
            <w:szCs w:val="13"/>
          </w:rPr>
          <w:t>https://submissions.education.gov.au/Forms/HEPCS/Documents/Independent-Tertiary-Education-Council-Australia-formerly-Australian-Council-for-Private-Education-and-Training.pdf</w:t>
        </w:r>
      </w:hyperlink>
      <w:r w:rsidRPr="000305C5">
        <w:rPr>
          <w:rFonts w:ascii="Century Gothic" w:hAnsi="Century Gothic"/>
          <w:sz w:val="13"/>
          <w:szCs w:val="13"/>
        </w:rPr>
        <w:t xml:space="preserve">. </w:t>
      </w:r>
    </w:p>
  </w:footnote>
  <w:footnote w:id="55">
    <w:p w14:paraId="19A704BC" w14:textId="670A6FA6"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Information provided by TEQSA. (June 2019).  </w:t>
      </w:r>
    </w:p>
  </w:footnote>
  <w:footnote w:id="56">
    <w:p w14:paraId="376D641C" w14:textId="348AE476"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submission to the PCS Review. (2018). p.5. Retrieved from: </w:t>
      </w:r>
      <w:hyperlink r:id="rId39" w:history="1">
        <w:r w:rsidRPr="000305C5">
          <w:rPr>
            <w:rStyle w:val="Hyperlink"/>
            <w:rFonts w:ascii="Century Gothic" w:hAnsi="Century Gothic"/>
            <w:sz w:val="13"/>
            <w:szCs w:val="13"/>
          </w:rPr>
          <w:t>https://submissions.education.gov.au/Forms/HEPCS/Documents/Tertiary-Education-Quality-and-Standards-Agency.pdf</w:t>
        </w:r>
      </w:hyperlink>
      <w:r w:rsidRPr="000305C5">
        <w:rPr>
          <w:rFonts w:ascii="Century Gothic" w:hAnsi="Century Gothic"/>
          <w:sz w:val="13"/>
          <w:szCs w:val="13"/>
        </w:rPr>
        <w:t xml:space="preserve">. </w:t>
      </w:r>
    </w:p>
  </w:footnote>
  <w:footnote w:id="57">
    <w:p w14:paraId="7AA64868" w14:textId="11574279"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Monash College submission to the PCS Review. (2019). p.4. Retrieved from: </w:t>
      </w:r>
      <w:hyperlink r:id="rId40" w:history="1">
        <w:r w:rsidRPr="000305C5">
          <w:rPr>
            <w:rStyle w:val="Hyperlink"/>
            <w:rFonts w:ascii="Century Gothic" w:hAnsi="Century Gothic"/>
            <w:sz w:val="13"/>
            <w:szCs w:val="13"/>
          </w:rPr>
          <w:t>https://submissions.education.gov.au/Forms/HEPCS/Documents/Monash-College.pdf</w:t>
        </w:r>
      </w:hyperlink>
      <w:r w:rsidRPr="000305C5">
        <w:rPr>
          <w:rFonts w:ascii="Century Gothic" w:hAnsi="Century Gothic"/>
          <w:sz w:val="13"/>
          <w:szCs w:val="13"/>
        </w:rPr>
        <w:t xml:space="preserve">.  </w:t>
      </w:r>
    </w:p>
  </w:footnote>
  <w:footnote w:id="58">
    <w:p w14:paraId="716362A9" w14:textId="6B1A2228"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Information provided by TEQSA. (June 2019).  </w:t>
      </w:r>
    </w:p>
  </w:footnote>
  <w:footnote w:id="59">
    <w:p w14:paraId="3DED3BBF" w14:textId="53B43FA0"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Standards Agency (TEQSA). (2018). </w:t>
      </w:r>
      <w:r w:rsidRPr="000305C5">
        <w:rPr>
          <w:rFonts w:ascii="Century Gothic" w:hAnsi="Century Gothic"/>
          <w:i/>
          <w:sz w:val="13"/>
          <w:szCs w:val="13"/>
        </w:rPr>
        <w:t>Key Financial Metrics on Australia’s Higher Education Sector</w:t>
      </w:r>
      <w:r w:rsidRPr="000305C5">
        <w:rPr>
          <w:rFonts w:ascii="Century Gothic" w:hAnsi="Century Gothic"/>
          <w:sz w:val="13"/>
          <w:szCs w:val="13"/>
        </w:rPr>
        <w:t xml:space="preserve">. p.14. Retrieved from: </w:t>
      </w:r>
      <w:hyperlink r:id="rId41" w:history="1">
        <w:r w:rsidRPr="000305C5">
          <w:rPr>
            <w:rStyle w:val="Hyperlink"/>
            <w:rFonts w:ascii="Century Gothic" w:hAnsi="Century Gothic"/>
            <w:sz w:val="13"/>
            <w:szCs w:val="13"/>
          </w:rPr>
          <w:t>https://www.teqsa.gov.au/sites/default/files/key-financial-metrics-dec-2018_0.pdf?v=1544561601</w:t>
        </w:r>
      </w:hyperlink>
      <w:r w:rsidRPr="000305C5">
        <w:rPr>
          <w:rFonts w:ascii="Century Gothic" w:hAnsi="Century Gothic"/>
          <w:sz w:val="13"/>
          <w:szCs w:val="13"/>
        </w:rPr>
        <w:t xml:space="preserve">.  </w:t>
      </w:r>
    </w:p>
  </w:footnote>
  <w:footnote w:id="60">
    <w:p w14:paraId="427E4F55" w14:textId="231FEBD8"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Information provided by TEQSA. (June 2019).  </w:t>
      </w:r>
    </w:p>
  </w:footnote>
  <w:footnote w:id="61">
    <w:p w14:paraId="5834AD80" w14:textId="782885B5"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Melbourne Polytechnic submission to the PCS Review. (2019). p.3. Retrieved from: </w:t>
      </w:r>
      <w:hyperlink r:id="rId42" w:history="1">
        <w:r w:rsidRPr="000305C5">
          <w:rPr>
            <w:rStyle w:val="Hyperlink"/>
            <w:rFonts w:ascii="Century Gothic" w:hAnsi="Century Gothic"/>
            <w:sz w:val="13"/>
            <w:szCs w:val="13"/>
          </w:rPr>
          <w:t>https://submissions.education.gov.au/Forms/HEPCS/Documents/Melbourne-Polytechnic.pdf</w:t>
        </w:r>
      </w:hyperlink>
      <w:r w:rsidRPr="000305C5">
        <w:rPr>
          <w:rFonts w:ascii="Century Gothic" w:hAnsi="Century Gothic"/>
          <w:sz w:val="13"/>
          <w:szCs w:val="13"/>
        </w:rPr>
        <w:t xml:space="preserve">. </w:t>
      </w:r>
    </w:p>
  </w:footnote>
  <w:footnote w:id="62">
    <w:p w14:paraId="77F0DABE" w14:textId="699A4592"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See, for example: Tertiary Education Quality and Standards Agency (TEQSA). (2018). </w:t>
      </w:r>
      <w:r w:rsidRPr="000305C5">
        <w:rPr>
          <w:rFonts w:ascii="Century Gothic" w:hAnsi="Century Gothic"/>
          <w:i/>
          <w:sz w:val="13"/>
          <w:szCs w:val="13"/>
          <w:lang w:val="en"/>
        </w:rPr>
        <w:t>Statistics report on TEQSA registered higher education providers 2018</w:t>
      </w:r>
      <w:r w:rsidRPr="000305C5">
        <w:rPr>
          <w:rFonts w:ascii="Century Gothic" w:hAnsi="Century Gothic"/>
          <w:sz w:val="13"/>
          <w:szCs w:val="13"/>
          <w:lang w:val="en"/>
        </w:rPr>
        <w:t xml:space="preserve">. p.6. Retrieved from: </w:t>
      </w:r>
      <w:hyperlink r:id="rId43" w:history="1">
        <w:r w:rsidRPr="000305C5">
          <w:rPr>
            <w:rStyle w:val="Hyperlink"/>
            <w:rFonts w:ascii="Century Gothic" w:hAnsi="Century Gothic"/>
            <w:sz w:val="13"/>
            <w:szCs w:val="13"/>
            <w:lang w:val="en"/>
          </w:rPr>
          <w:t>https://www.teqsa.gov.au/latest-news/publications/statistics-report-teqsa-registered-higher-education-providers-2018</w:t>
        </w:r>
      </w:hyperlink>
      <w:r w:rsidRPr="000305C5">
        <w:rPr>
          <w:rFonts w:ascii="Century Gothic" w:hAnsi="Century Gothic"/>
          <w:sz w:val="13"/>
          <w:szCs w:val="13"/>
          <w:lang w:val="en"/>
        </w:rPr>
        <w:t xml:space="preserve">. </w:t>
      </w:r>
    </w:p>
  </w:footnote>
  <w:footnote w:id="63">
    <w:p w14:paraId="79B31180"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(2019). </w:t>
      </w:r>
      <w:r w:rsidRPr="000305C5">
        <w:rPr>
          <w:rFonts w:ascii="Century Gothic" w:hAnsi="Century Gothic"/>
          <w:i/>
          <w:sz w:val="13"/>
          <w:szCs w:val="13"/>
        </w:rPr>
        <w:t>National Register Summary Table.</w:t>
      </w:r>
      <w:r w:rsidRPr="000305C5">
        <w:rPr>
          <w:rFonts w:ascii="Century Gothic" w:hAnsi="Century Gothic"/>
          <w:sz w:val="13"/>
          <w:szCs w:val="13"/>
        </w:rPr>
        <w:t xml:space="preserve"> Retrieved 03/09/2019 </w:t>
      </w:r>
    </w:p>
    <w:p w14:paraId="06847613" w14:textId="28E9C4AC" w:rsidR="00374E52" w:rsidRPr="000305C5" w:rsidRDefault="00374E52" w:rsidP="00D76409">
      <w:pPr>
        <w:spacing w:before="0" w:after="0" w:line="240" w:lineRule="auto"/>
        <w:ind w:right="-142"/>
        <w:rPr>
          <w:rFonts w:ascii="Century Gothic" w:hAnsi="Century Gothic"/>
          <w:sz w:val="13"/>
          <w:szCs w:val="13"/>
        </w:rPr>
      </w:pPr>
      <w:r w:rsidRPr="000305C5">
        <w:rPr>
          <w:rFonts w:ascii="Century Gothic" w:hAnsi="Century Gothic"/>
          <w:sz w:val="13"/>
          <w:szCs w:val="13"/>
        </w:rPr>
        <w:t xml:space="preserve">from: </w:t>
      </w:r>
      <w:hyperlink r:id="rId44" w:history="1">
        <w:r w:rsidRPr="000305C5">
          <w:rPr>
            <w:rStyle w:val="Hyperlink"/>
            <w:rFonts w:ascii="Century Gothic" w:hAnsi="Century Gothic"/>
            <w:sz w:val="13"/>
            <w:szCs w:val="13"/>
          </w:rPr>
          <w:t>www.teqsa.gov.au/national-register</w:t>
        </w:r>
      </w:hyperlink>
      <w:r w:rsidRPr="000305C5">
        <w:rPr>
          <w:rFonts w:ascii="Century Gothic" w:hAnsi="Century Gothic"/>
          <w:sz w:val="13"/>
          <w:szCs w:val="13"/>
        </w:rPr>
        <w:t>.</w:t>
      </w:r>
    </w:p>
  </w:footnote>
  <w:footnote w:id="64">
    <w:p w14:paraId="6E04A3A8" w14:textId="17C4355C"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Monash University submission to the PCS Review. (2019). p.1. Retrieved from: </w:t>
      </w:r>
      <w:hyperlink r:id="rId45" w:history="1">
        <w:r w:rsidRPr="000305C5">
          <w:rPr>
            <w:rStyle w:val="Hyperlink"/>
            <w:rFonts w:ascii="Century Gothic" w:hAnsi="Century Gothic"/>
            <w:sz w:val="13"/>
            <w:szCs w:val="13"/>
          </w:rPr>
          <w:t>https://submissions.education.gov.au/Forms/HEPCS/Documents/Monash-University.pdf</w:t>
        </w:r>
      </w:hyperlink>
      <w:r w:rsidRPr="000305C5">
        <w:rPr>
          <w:rFonts w:ascii="Century Gothic" w:hAnsi="Century Gothic"/>
          <w:sz w:val="13"/>
          <w:szCs w:val="13"/>
        </w:rPr>
        <w:t xml:space="preserve">. </w:t>
      </w:r>
    </w:p>
  </w:footnote>
  <w:footnote w:id="65">
    <w:p w14:paraId="144C59D9" w14:textId="74B52D3A"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See footnote 45 for a full list of providers with self-accrediting authority. </w:t>
      </w:r>
    </w:p>
  </w:footnote>
  <w:footnote w:id="66">
    <w:p w14:paraId="731E31DA" w14:textId="20CF7953"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Job Outlook. (2019). </w:t>
      </w:r>
      <w:r w:rsidRPr="000305C5">
        <w:rPr>
          <w:rFonts w:ascii="Century Gothic" w:hAnsi="Century Gothic"/>
          <w:i/>
          <w:sz w:val="13"/>
          <w:szCs w:val="13"/>
        </w:rPr>
        <w:t>Future Outlook</w:t>
      </w:r>
      <w:r w:rsidRPr="000305C5">
        <w:rPr>
          <w:rFonts w:ascii="Century Gothic" w:hAnsi="Century Gothic"/>
          <w:sz w:val="13"/>
          <w:szCs w:val="13"/>
        </w:rPr>
        <w:t xml:space="preserve">. Retrieved from: </w:t>
      </w:r>
      <w:hyperlink r:id="rId46" w:history="1">
        <w:r w:rsidRPr="000305C5">
          <w:rPr>
            <w:rStyle w:val="Hyperlink"/>
            <w:rFonts w:ascii="Century Gothic" w:hAnsi="Century Gothic"/>
            <w:sz w:val="13"/>
            <w:szCs w:val="13"/>
          </w:rPr>
          <w:t>https://joboutlook.gov.au/FutureOfWork</w:t>
        </w:r>
      </w:hyperlink>
      <w:r w:rsidRPr="000305C5">
        <w:rPr>
          <w:rFonts w:ascii="Century Gothic" w:hAnsi="Century Gothic"/>
          <w:sz w:val="13"/>
          <w:szCs w:val="13"/>
        </w:rPr>
        <w:t xml:space="preserve">. </w:t>
      </w:r>
    </w:p>
  </w:footnote>
  <w:footnote w:id="67">
    <w:p w14:paraId="6403D75E" w14:textId="77777777" w:rsidR="00374E52" w:rsidRPr="000305C5" w:rsidRDefault="00374E52" w:rsidP="00D76409">
      <w:pPr>
        <w:pStyle w:val="FootnoteText"/>
        <w:spacing w:before="0"/>
        <w:rPr>
          <w:rFonts w:ascii="Century Gothic" w:hAnsi="Century Gothic"/>
          <w:sz w:val="13"/>
          <w:szCs w:val="13"/>
        </w:rPr>
      </w:pPr>
      <w:r w:rsidRPr="000305C5">
        <w:rPr>
          <w:rFonts w:ascii="Century Gothic" w:hAnsi="Century Gothic"/>
          <w:sz w:val="13"/>
          <w:szCs w:val="13"/>
          <w:vertAlign w:val="superscript"/>
        </w:rPr>
        <w:footnoteRef/>
      </w:r>
      <w:r w:rsidRPr="000305C5">
        <w:rPr>
          <w:rFonts w:ascii="Century Gothic" w:hAnsi="Century Gothic"/>
          <w:sz w:val="13"/>
          <w:szCs w:val="13"/>
          <w:vertAlign w:val="superscript"/>
        </w:rPr>
        <w:t xml:space="preserve"> </w:t>
      </w:r>
      <w:r w:rsidRPr="000305C5">
        <w:rPr>
          <w:rFonts w:ascii="Century Gothic" w:hAnsi="Century Gothic"/>
          <w:sz w:val="13"/>
          <w:szCs w:val="13"/>
        </w:rPr>
        <w:t>The National Institutes Program is run by the Department of Education and delivers additional funding to four higher education providers in recognition of the role they play in facilitating key activities that are of national significance.</w:t>
      </w:r>
    </w:p>
  </w:footnote>
  <w:footnote w:id="68">
    <w:p w14:paraId="43074EF4" w14:textId="5E8A824C"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Lee-Dow, K. and Braithwaite, V. (2013).</w:t>
      </w:r>
      <w:r w:rsidRPr="000305C5">
        <w:rPr>
          <w:rFonts w:ascii="Century Gothic" w:hAnsi="Century Gothic"/>
          <w:i/>
          <w:sz w:val="13"/>
          <w:szCs w:val="13"/>
        </w:rPr>
        <w:t xml:space="preserve"> Review of Higher Education Regulation Report</w:t>
      </w:r>
      <w:r w:rsidRPr="000305C5">
        <w:rPr>
          <w:rFonts w:ascii="Century Gothic" w:hAnsi="Century Gothic"/>
          <w:sz w:val="13"/>
          <w:szCs w:val="13"/>
        </w:rPr>
        <w:t xml:space="preserve">. p.25. Retrieved from: </w:t>
      </w:r>
      <w:hyperlink r:id="rId47" w:history="1">
        <w:r w:rsidRPr="000305C5">
          <w:rPr>
            <w:rStyle w:val="Hyperlink"/>
            <w:rFonts w:ascii="Century Gothic" w:hAnsi="Century Gothic"/>
            <w:sz w:val="13"/>
            <w:szCs w:val="13"/>
          </w:rPr>
          <w:t>https://docs.education.gov.au/node/33587</w:t>
        </w:r>
      </w:hyperlink>
      <w:r w:rsidRPr="000305C5">
        <w:rPr>
          <w:rFonts w:ascii="Century Gothic" w:hAnsi="Century Gothic"/>
          <w:sz w:val="13"/>
          <w:szCs w:val="13"/>
        </w:rPr>
        <w:t xml:space="preserve">. </w:t>
      </w:r>
    </w:p>
  </w:footnote>
  <w:footnote w:id="69">
    <w:p w14:paraId="61E409CD" w14:textId="4D33E745" w:rsidR="00374E52" w:rsidRPr="000305C5" w:rsidRDefault="00374E52" w:rsidP="00D76409">
      <w:pPr>
        <w:pStyle w:val="ListParagraph"/>
        <w:spacing w:before="0" w:after="0" w:line="240" w:lineRule="auto"/>
        <w:ind w:left="0" w:right="-142"/>
        <w:rPr>
          <w:rFonts w:ascii="Century Gothic" w:hAnsi="Century Gothic"/>
          <w:color w:val="2763AC"/>
          <w:sz w:val="13"/>
          <w:szCs w:val="13"/>
          <w:u w:val="single"/>
          <w:lang w:val="en"/>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(2017). </w:t>
      </w:r>
      <w:r w:rsidRPr="000305C5">
        <w:rPr>
          <w:rFonts w:ascii="Century Gothic" w:hAnsi="Century Gothic"/>
          <w:i/>
          <w:sz w:val="13"/>
          <w:szCs w:val="13"/>
        </w:rPr>
        <w:t xml:space="preserve">Selected Higher Education Statistics – 2017: Student Summary Tables. </w:t>
      </w:r>
      <w:r w:rsidRPr="000305C5">
        <w:rPr>
          <w:rFonts w:ascii="Century Gothic" w:hAnsi="Century Gothic"/>
          <w:sz w:val="13"/>
          <w:szCs w:val="13"/>
        </w:rPr>
        <w:t>Retrieved from:</w:t>
      </w:r>
      <w:r w:rsidRPr="000305C5">
        <w:rPr>
          <w:rFonts w:ascii="Century Gothic" w:hAnsi="Century Gothic"/>
          <w:i/>
          <w:sz w:val="13"/>
          <w:szCs w:val="13"/>
        </w:rPr>
        <w:t xml:space="preserve"> </w:t>
      </w:r>
      <w:hyperlink r:id="rId48" w:history="1">
        <w:r w:rsidRPr="000305C5">
          <w:rPr>
            <w:rStyle w:val="Hyperlink"/>
            <w:rFonts w:ascii="Century Gothic" w:hAnsi="Century Gothic"/>
            <w:sz w:val="13"/>
            <w:szCs w:val="13"/>
            <w:lang w:val="en"/>
          </w:rPr>
          <w:t>https://docs.education.gov.au/node/51301</w:t>
        </w:r>
      </w:hyperlink>
      <w:r w:rsidRPr="000305C5">
        <w:rPr>
          <w:rStyle w:val="Hyperlink"/>
          <w:rFonts w:ascii="Century Gothic" w:hAnsi="Century Gothic"/>
          <w:sz w:val="13"/>
          <w:szCs w:val="13"/>
          <w:lang w:val="en"/>
        </w:rPr>
        <w:t xml:space="preserve"> </w:t>
      </w:r>
      <w:r w:rsidRPr="000305C5">
        <w:rPr>
          <w:rFonts w:ascii="Century Gothic" w:hAnsi="Century Gothic"/>
          <w:sz w:val="13"/>
          <w:szCs w:val="13"/>
        </w:rPr>
        <w:t xml:space="preserve">(Latest publicly available full year data); and Tertiary Education Quality and Standards Agency (TEQSA). (2018). </w:t>
      </w:r>
      <w:r w:rsidRPr="000305C5">
        <w:rPr>
          <w:rFonts w:ascii="Century Gothic" w:hAnsi="Century Gothic"/>
          <w:i/>
          <w:sz w:val="13"/>
          <w:szCs w:val="13"/>
          <w:lang w:val="en"/>
        </w:rPr>
        <w:t>Statistics Report on TEQSA Registered Higher Education Providers 2018</w:t>
      </w:r>
      <w:r w:rsidRPr="000305C5">
        <w:rPr>
          <w:rFonts w:ascii="Century Gothic" w:hAnsi="Century Gothic"/>
          <w:sz w:val="13"/>
          <w:szCs w:val="13"/>
          <w:lang w:val="en"/>
        </w:rPr>
        <w:t xml:space="preserve">. p.7. Retrieved from: </w:t>
      </w:r>
      <w:r w:rsidRPr="000305C5">
        <w:rPr>
          <w:rFonts w:ascii="Century Gothic" w:hAnsi="Century Gothic"/>
          <w:sz w:val="13"/>
          <w:szCs w:val="13"/>
          <w:lang w:val="en"/>
        </w:rPr>
        <w:br/>
      </w:r>
      <w:hyperlink r:id="rId49" w:history="1">
        <w:r w:rsidRPr="000305C5">
          <w:rPr>
            <w:rStyle w:val="Hyperlink"/>
            <w:rFonts w:ascii="Century Gothic" w:hAnsi="Century Gothic"/>
            <w:sz w:val="13"/>
            <w:szCs w:val="13"/>
            <w:lang w:val="en"/>
          </w:rPr>
          <w:t>https://www.teqsa.gov.au/latest-news/publications/statistics-report-teqsa-registered-higher-education-providers-2018</w:t>
        </w:r>
      </w:hyperlink>
      <w:r w:rsidRPr="000305C5">
        <w:rPr>
          <w:rFonts w:ascii="Century Gothic" w:hAnsi="Century Gothic"/>
          <w:sz w:val="13"/>
          <w:szCs w:val="13"/>
        </w:rPr>
        <w:t>).</w:t>
      </w:r>
    </w:p>
  </w:footnote>
  <w:footnote w:id="70">
    <w:p w14:paraId="2D44F3B2" w14:textId="76748FC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Bradley, D. (2008). </w:t>
      </w:r>
      <w:r w:rsidRPr="000305C5">
        <w:rPr>
          <w:rFonts w:ascii="Century Gothic" w:hAnsi="Century Gothic"/>
          <w:i/>
          <w:sz w:val="13"/>
          <w:szCs w:val="13"/>
        </w:rPr>
        <w:t>Review of Australian Higher Education: Final Report</w:t>
      </w:r>
      <w:r w:rsidRPr="000305C5">
        <w:rPr>
          <w:rFonts w:ascii="Century Gothic" w:hAnsi="Century Gothic"/>
          <w:sz w:val="13"/>
          <w:szCs w:val="13"/>
        </w:rPr>
        <w:t xml:space="preserve">. p.145. Retrieved from: </w:t>
      </w:r>
      <w:hyperlink r:id="rId50" w:history="1">
        <w:r w:rsidRPr="000305C5">
          <w:rPr>
            <w:rStyle w:val="Hyperlink"/>
            <w:rFonts w:ascii="Century Gothic" w:hAnsi="Century Gothic"/>
            <w:sz w:val="13"/>
            <w:szCs w:val="13"/>
          </w:rPr>
          <w:t>http://hdl.voced.edu.au/10707/44384</w:t>
        </w:r>
      </w:hyperlink>
      <w:r w:rsidRPr="000305C5">
        <w:rPr>
          <w:rFonts w:ascii="Century Gothic" w:hAnsi="Century Gothic"/>
          <w:sz w:val="13"/>
          <w:szCs w:val="13"/>
        </w:rPr>
        <w:t xml:space="preserve">; </w:t>
      </w:r>
      <w:r w:rsidRPr="000305C5">
        <w:rPr>
          <w:rFonts w:ascii="Century Gothic" w:hAnsi="Century Gothic"/>
          <w:sz w:val="13"/>
          <w:szCs w:val="13"/>
        </w:rPr>
        <w:br/>
        <w:t xml:space="preserve">and Tertiary Education Quality and Standards Agency (TEQSA). (2019). </w:t>
      </w:r>
      <w:r w:rsidRPr="000305C5">
        <w:rPr>
          <w:rFonts w:ascii="Century Gothic" w:hAnsi="Century Gothic"/>
          <w:i/>
          <w:sz w:val="13"/>
          <w:szCs w:val="13"/>
        </w:rPr>
        <w:t>National Register Summary Table.</w:t>
      </w:r>
      <w:r w:rsidRPr="000305C5">
        <w:rPr>
          <w:rFonts w:ascii="Century Gothic" w:hAnsi="Century Gothic"/>
          <w:sz w:val="13"/>
          <w:szCs w:val="13"/>
        </w:rPr>
        <w:t xml:space="preserve"> Retrieved 03/09/2019 </w:t>
      </w:r>
    </w:p>
    <w:p w14:paraId="06EA34F2" w14:textId="0633458D" w:rsidR="00374E52" w:rsidRPr="000305C5" w:rsidRDefault="00374E52" w:rsidP="00D76409">
      <w:pPr>
        <w:spacing w:before="0" w:after="0" w:line="240" w:lineRule="auto"/>
        <w:ind w:right="-142"/>
        <w:rPr>
          <w:rFonts w:ascii="Century Gothic" w:hAnsi="Century Gothic"/>
          <w:sz w:val="13"/>
          <w:szCs w:val="13"/>
        </w:rPr>
      </w:pPr>
      <w:r w:rsidRPr="000305C5">
        <w:rPr>
          <w:rFonts w:ascii="Century Gothic" w:hAnsi="Century Gothic"/>
          <w:sz w:val="13"/>
          <w:szCs w:val="13"/>
        </w:rPr>
        <w:t xml:space="preserve">from: </w:t>
      </w:r>
      <w:hyperlink r:id="rId51" w:history="1">
        <w:r w:rsidRPr="000305C5">
          <w:rPr>
            <w:rStyle w:val="Hyperlink"/>
            <w:rFonts w:ascii="Century Gothic" w:hAnsi="Century Gothic"/>
            <w:sz w:val="13"/>
            <w:szCs w:val="13"/>
          </w:rPr>
          <w:t>www.teqsa.gov.au/national-register</w:t>
        </w:r>
      </w:hyperlink>
      <w:r w:rsidRPr="000305C5">
        <w:rPr>
          <w:rFonts w:ascii="Century Gothic" w:hAnsi="Century Gothic"/>
          <w:sz w:val="13"/>
          <w:szCs w:val="13"/>
        </w:rPr>
        <w:t>.</w:t>
      </w:r>
    </w:p>
  </w:footnote>
  <w:footnote w:id="71">
    <w:p w14:paraId="6C762873"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LH Martin Institute and the Australian Council for Educational Research. (2013). </w:t>
      </w:r>
      <w:r w:rsidRPr="000305C5">
        <w:rPr>
          <w:rFonts w:ascii="Century Gothic" w:hAnsi="Century Gothic"/>
          <w:i/>
          <w:sz w:val="13"/>
          <w:szCs w:val="13"/>
        </w:rPr>
        <w:t xml:space="preserve">Profiling Diversity of Australian Universities. </w:t>
      </w:r>
      <w:r w:rsidRPr="000305C5">
        <w:rPr>
          <w:rFonts w:ascii="Century Gothic" w:hAnsi="Century Gothic"/>
          <w:sz w:val="13"/>
          <w:szCs w:val="13"/>
        </w:rPr>
        <w:t xml:space="preserve">p.6. Retrieved from: </w:t>
      </w:r>
      <w:hyperlink r:id="rId52" w:history="1">
        <w:r w:rsidRPr="000305C5">
          <w:rPr>
            <w:rStyle w:val="Hyperlink"/>
            <w:rFonts w:ascii="Century Gothic" w:hAnsi="Century Gothic"/>
            <w:sz w:val="13"/>
            <w:szCs w:val="13"/>
          </w:rPr>
          <w:t>https://research.acer.edu.au/cgi/viewcontent.cgi?article=1035&amp;context=higher_education</w:t>
        </w:r>
      </w:hyperlink>
      <w:r w:rsidRPr="000305C5">
        <w:rPr>
          <w:rFonts w:ascii="Century Gothic" w:hAnsi="Century Gothic"/>
          <w:sz w:val="13"/>
          <w:szCs w:val="13"/>
        </w:rPr>
        <w:t xml:space="preserve">. </w:t>
      </w:r>
    </w:p>
  </w:footnote>
  <w:footnote w:id="72">
    <w:p w14:paraId="0A6CC847" w14:textId="3616DB8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Comparison of Australian Bureau of Statistics (ABS) Survey of Education and Work data from 2000 to 2018. Retrieved from: </w:t>
      </w:r>
      <w:hyperlink r:id="rId53" w:history="1">
        <w:r w:rsidRPr="000305C5">
          <w:rPr>
            <w:rStyle w:val="Hyperlink"/>
            <w:rFonts w:ascii="Century Gothic" w:hAnsi="Century Gothic"/>
            <w:sz w:val="13"/>
            <w:szCs w:val="13"/>
          </w:rPr>
          <w:t>https://www.abs.gov.au/ausstats/abs@.nsf/mf/6227.0</w:t>
        </w:r>
      </w:hyperlink>
      <w:r w:rsidRPr="000305C5">
        <w:rPr>
          <w:rFonts w:ascii="Century Gothic" w:hAnsi="Century Gothic"/>
          <w:sz w:val="13"/>
          <w:szCs w:val="13"/>
        </w:rPr>
        <w:t xml:space="preserve">. </w:t>
      </w:r>
    </w:p>
  </w:footnote>
  <w:footnote w:id="73">
    <w:p w14:paraId="18CD0CF3" w14:textId="3EEF358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TEQSA’s current range of guidance notes are available here: </w:t>
      </w:r>
      <w:hyperlink r:id="rId54" w:history="1">
        <w:r w:rsidRPr="000305C5">
          <w:rPr>
            <w:rStyle w:val="Hyperlink"/>
            <w:rFonts w:ascii="Century Gothic" w:hAnsi="Century Gothic"/>
            <w:sz w:val="13"/>
            <w:szCs w:val="13"/>
          </w:rPr>
          <w:t>https://www.teqsa.gov.au/guidance-notes</w:t>
        </w:r>
      </w:hyperlink>
      <w:r w:rsidRPr="000305C5">
        <w:rPr>
          <w:rFonts w:ascii="Century Gothic" w:hAnsi="Century Gothic"/>
          <w:sz w:val="13"/>
          <w:szCs w:val="13"/>
        </w:rPr>
        <w:t xml:space="preserve">. </w:t>
      </w:r>
    </w:p>
  </w:footnote>
  <w:footnote w:id="74">
    <w:p w14:paraId="7DA30A97" w14:textId="1C44A158"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(2018). </w:t>
      </w:r>
      <w:r w:rsidRPr="000305C5">
        <w:rPr>
          <w:rFonts w:ascii="Century Gothic" w:hAnsi="Century Gothic"/>
          <w:i/>
          <w:sz w:val="13"/>
          <w:szCs w:val="13"/>
          <w:lang w:val="en"/>
        </w:rPr>
        <w:t>Statistics report on TEQSA registered higher education providers 2018</w:t>
      </w:r>
      <w:r w:rsidRPr="000305C5">
        <w:rPr>
          <w:rFonts w:ascii="Century Gothic" w:hAnsi="Century Gothic"/>
          <w:sz w:val="13"/>
          <w:szCs w:val="13"/>
          <w:lang w:val="en"/>
        </w:rPr>
        <w:t xml:space="preserve">. p.5. Retrieved from: </w:t>
      </w:r>
      <w:hyperlink r:id="rId55" w:history="1">
        <w:r w:rsidRPr="000305C5">
          <w:rPr>
            <w:rStyle w:val="Hyperlink"/>
            <w:rFonts w:ascii="Century Gothic" w:hAnsi="Century Gothic"/>
            <w:sz w:val="13"/>
            <w:szCs w:val="13"/>
            <w:lang w:val="en"/>
          </w:rPr>
          <w:t>https://www.teqsa.gov.au/latest-news/publications/statistics-report-teqsa-registered-higher-education-providers-2018</w:t>
        </w:r>
      </w:hyperlink>
      <w:r w:rsidRPr="000305C5">
        <w:rPr>
          <w:rFonts w:ascii="Century Gothic" w:hAnsi="Century Gothic"/>
          <w:sz w:val="13"/>
          <w:szCs w:val="13"/>
          <w:lang w:val="en"/>
        </w:rPr>
        <w:t>.</w:t>
      </w:r>
    </w:p>
  </w:footnote>
  <w:footnote w:id="75">
    <w:p w14:paraId="102D4CA8" w14:textId="497E7CE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(2018). </w:t>
      </w:r>
      <w:r w:rsidRPr="000305C5">
        <w:rPr>
          <w:rFonts w:ascii="Century Gothic" w:hAnsi="Century Gothic"/>
          <w:i/>
          <w:iCs/>
          <w:sz w:val="13"/>
          <w:szCs w:val="13"/>
        </w:rPr>
        <w:t>Selected Higher Education Statistics – 2017 Student Summary Tables</w:t>
      </w:r>
      <w:r w:rsidRPr="000305C5">
        <w:rPr>
          <w:rFonts w:ascii="Century Gothic" w:hAnsi="Century Gothic"/>
          <w:sz w:val="13"/>
          <w:szCs w:val="13"/>
        </w:rPr>
        <w:t xml:space="preserve">. Retrieved from: </w:t>
      </w:r>
      <w:hyperlink r:id="rId56" w:history="1">
        <w:r w:rsidRPr="000305C5">
          <w:rPr>
            <w:rStyle w:val="Hyperlink"/>
            <w:rFonts w:ascii="Century Gothic" w:hAnsi="Century Gothic"/>
            <w:sz w:val="13"/>
            <w:szCs w:val="13"/>
          </w:rPr>
          <w:t>https://docs.education.gov.au/node/51311</w:t>
        </w:r>
      </w:hyperlink>
      <w:r w:rsidRPr="000305C5">
        <w:rPr>
          <w:rFonts w:ascii="Century Gothic" w:hAnsi="Century Gothic"/>
          <w:sz w:val="13"/>
          <w:szCs w:val="13"/>
        </w:rPr>
        <w:t>. (Latest publicly available full year data).</w:t>
      </w:r>
    </w:p>
  </w:footnote>
  <w:footnote w:id="76">
    <w:p w14:paraId="528E2A78" w14:textId="381C9B4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Department of Education. (2017). </w:t>
      </w:r>
      <w:r w:rsidRPr="000305C5">
        <w:rPr>
          <w:rFonts w:ascii="Century Gothic" w:hAnsi="Century Gothic"/>
          <w:i/>
          <w:sz w:val="13"/>
          <w:szCs w:val="13"/>
        </w:rPr>
        <w:t>Higher Degrees by Research Completions Time Series</w:t>
      </w:r>
      <w:r w:rsidRPr="000305C5">
        <w:rPr>
          <w:rFonts w:ascii="Century Gothic" w:hAnsi="Century Gothic"/>
          <w:sz w:val="13"/>
          <w:szCs w:val="13"/>
        </w:rPr>
        <w:t xml:space="preserve">. Retrieved from: </w:t>
      </w:r>
      <w:hyperlink r:id="rId57" w:history="1">
        <w:r w:rsidRPr="000305C5">
          <w:rPr>
            <w:rStyle w:val="Hyperlink"/>
            <w:rFonts w:ascii="Century Gothic" w:hAnsi="Century Gothic"/>
            <w:sz w:val="13"/>
            <w:szCs w:val="13"/>
          </w:rPr>
          <w:t>https://docs.education.gov.au/documents/hdr-completions-time-series</w:t>
        </w:r>
      </w:hyperlink>
      <w:r w:rsidRPr="000305C5">
        <w:rPr>
          <w:rFonts w:ascii="Century Gothic" w:hAnsi="Century Gothic"/>
          <w:sz w:val="13"/>
          <w:szCs w:val="13"/>
        </w:rPr>
        <w:t xml:space="preserve">. </w:t>
      </w:r>
    </w:p>
  </w:footnote>
  <w:footnote w:id="77">
    <w:p w14:paraId="0A1EE4B7" w14:textId="4D438BFF"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Standards Agency (TEQSA). (2018). </w:t>
      </w:r>
      <w:r w:rsidRPr="000305C5">
        <w:rPr>
          <w:rFonts w:ascii="Century Gothic" w:hAnsi="Century Gothic"/>
          <w:i/>
          <w:sz w:val="13"/>
          <w:szCs w:val="13"/>
        </w:rPr>
        <w:t>Key Financial Metrics on Australia’s Higher Education Sector</w:t>
      </w:r>
      <w:r w:rsidRPr="000305C5">
        <w:rPr>
          <w:rFonts w:ascii="Century Gothic" w:hAnsi="Century Gothic"/>
          <w:sz w:val="13"/>
          <w:szCs w:val="13"/>
        </w:rPr>
        <w:t xml:space="preserve">. p.14. Retrieved from: </w:t>
      </w:r>
      <w:hyperlink r:id="rId58" w:history="1">
        <w:r w:rsidRPr="000305C5">
          <w:rPr>
            <w:rStyle w:val="Hyperlink"/>
            <w:rFonts w:ascii="Century Gothic" w:hAnsi="Century Gothic"/>
            <w:sz w:val="13"/>
            <w:szCs w:val="13"/>
          </w:rPr>
          <w:t>https://www.teqsa.gov.au/sites/default/files/key-financial-metrics-dec-2018_0.pdf?v=1544561601</w:t>
        </w:r>
      </w:hyperlink>
      <w:r w:rsidRPr="000305C5">
        <w:rPr>
          <w:rFonts w:ascii="Century Gothic" w:hAnsi="Century Gothic"/>
          <w:sz w:val="13"/>
          <w:szCs w:val="13"/>
        </w:rPr>
        <w:t xml:space="preserve">.  </w:t>
      </w:r>
    </w:p>
  </w:footnote>
  <w:footnote w:id="78">
    <w:p w14:paraId="5E7192F1" w14:textId="06D3F0A1"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Edith Cowan University submission to the PCS Review. (2019). p.1. Retrieved from: </w:t>
      </w:r>
      <w:hyperlink r:id="rId59" w:history="1">
        <w:r w:rsidRPr="000305C5">
          <w:rPr>
            <w:rStyle w:val="Hyperlink"/>
            <w:rFonts w:ascii="Century Gothic" w:hAnsi="Century Gothic"/>
            <w:sz w:val="13"/>
            <w:szCs w:val="13"/>
          </w:rPr>
          <w:t>https://submissions.education.gov.au/Forms/HEPCS/Documents/Edith-Cowan-University.pdf</w:t>
        </w:r>
      </w:hyperlink>
      <w:r w:rsidRPr="000305C5">
        <w:rPr>
          <w:rFonts w:ascii="Century Gothic" w:hAnsi="Century Gothic"/>
          <w:sz w:val="13"/>
          <w:szCs w:val="13"/>
        </w:rPr>
        <w:t xml:space="preserve">. </w:t>
      </w:r>
    </w:p>
  </w:footnote>
  <w:footnote w:id="79">
    <w:p w14:paraId="0A4BF2E9" w14:textId="2CD2BBB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Productivity Commission. (2017). </w:t>
      </w:r>
      <w:r w:rsidRPr="000305C5">
        <w:rPr>
          <w:rFonts w:ascii="Century Gothic" w:hAnsi="Century Gothic"/>
          <w:i/>
          <w:sz w:val="13"/>
          <w:szCs w:val="13"/>
        </w:rPr>
        <w:t>Shifting the Dial: 5 Year Productivity Review</w:t>
      </w:r>
      <w:r w:rsidRPr="000305C5">
        <w:rPr>
          <w:rFonts w:ascii="Century Gothic" w:hAnsi="Century Gothic"/>
          <w:sz w:val="13"/>
          <w:szCs w:val="13"/>
        </w:rPr>
        <w:t xml:space="preserve">. Report no. 84. Canberra. p.108. Retrieved from: </w:t>
      </w:r>
      <w:hyperlink r:id="rId60" w:history="1">
        <w:r w:rsidRPr="000305C5">
          <w:rPr>
            <w:rStyle w:val="Hyperlink"/>
            <w:rFonts w:ascii="Century Gothic" w:hAnsi="Century Gothic"/>
            <w:sz w:val="13"/>
            <w:szCs w:val="13"/>
          </w:rPr>
          <w:t>https://www.pc.gov.au/inquiries/completed/productivity-review/report</w:t>
        </w:r>
      </w:hyperlink>
      <w:r w:rsidRPr="000305C5">
        <w:rPr>
          <w:rFonts w:ascii="Century Gothic" w:hAnsi="Century Gothic"/>
          <w:sz w:val="13"/>
          <w:szCs w:val="13"/>
        </w:rPr>
        <w:t xml:space="preserve">. </w:t>
      </w:r>
    </w:p>
  </w:footnote>
  <w:footnote w:id="80">
    <w:p w14:paraId="1EB28114" w14:textId="1F419E50"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(2018). </w:t>
      </w:r>
      <w:r w:rsidRPr="000305C5">
        <w:rPr>
          <w:rFonts w:ascii="Century Gothic" w:hAnsi="Century Gothic"/>
          <w:i/>
          <w:sz w:val="13"/>
          <w:szCs w:val="13"/>
        </w:rPr>
        <w:t>Guidance Note: Research and Research Training</w:t>
      </w:r>
      <w:r w:rsidRPr="000305C5">
        <w:rPr>
          <w:rFonts w:ascii="Century Gothic" w:hAnsi="Century Gothic"/>
          <w:sz w:val="13"/>
          <w:szCs w:val="13"/>
        </w:rPr>
        <w:t xml:space="preserve">. p.1. </w:t>
      </w:r>
      <w:r w:rsidRPr="000305C5">
        <w:rPr>
          <w:rFonts w:ascii="Century Gothic" w:hAnsi="Century Gothic"/>
          <w:sz w:val="13"/>
          <w:szCs w:val="13"/>
        </w:rPr>
        <w:br/>
        <w:t xml:space="preserve">Retrieved from: </w:t>
      </w:r>
      <w:hyperlink r:id="rId61" w:history="1">
        <w:r w:rsidRPr="000305C5">
          <w:rPr>
            <w:rStyle w:val="Hyperlink"/>
            <w:rFonts w:ascii="Century Gothic" w:hAnsi="Century Gothic"/>
            <w:sz w:val="13"/>
            <w:szCs w:val="13"/>
          </w:rPr>
          <w:t>https://www.teqsa.gov.au/sites/default/files/guidance-note-research-and-research-training-v1-3_0.pdf?v=1530748445</w:t>
        </w:r>
      </w:hyperlink>
      <w:r w:rsidRPr="000305C5">
        <w:rPr>
          <w:rFonts w:ascii="Century Gothic" w:hAnsi="Century Gothic"/>
          <w:sz w:val="13"/>
          <w:szCs w:val="13"/>
        </w:rPr>
        <w:t xml:space="preserve">. </w:t>
      </w:r>
    </w:p>
  </w:footnote>
  <w:footnote w:id="81">
    <w:p w14:paraId="410EAB17" w14:textId="16829B3E"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 p.1. </w:t>
      </w:r>
    </w:p>
  </w:footnote>
  <w:footnote w:id="82">
    <w:p w14:paraId="0752F6FC" w14:textId="0FDE5CAC"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Universities Australia. (2019). </w:t>
      </w:r>
      <w:r w:rsidRPr="000305C5">
        <w:rPr>
          <w:rFonts w:ascii="Century Gothic" w:hAnsi="Century Gothic"/>
          <w:i/>
          <w:sz w:val="13"/>
          <w:szCs w:val="13"/>
        </w:rPr>
        <w:t>Australia’s World Class University System: At a Glance</w:t>
      </w:r>
      <w:r w:rsidRPr="000305C5">
        <w:rPr>
          <w:rFonts w:ascii="Century Gothic" w:hAnsi="Century Gothic"/>
          <w:sz w:val="13"/>
          <w:szCs w:val="13"/>
        </w:rPr>
        <w:t xml:space="preserve">. p.5. Retrieved from: </w:t>
      </w:r>
      <w:hyperlink r:id="rId62" w:history="1">
        <w:r w:rsidRPr="000305C5">
          <w:rPr>
            <w:rStyle w:val="Hyperlink"/>
            <w:rFonts w:ascii="Century Gothic" w:hAnsi="Century Gothic"/>
            <w:sz w:val="13"/>
            <w:szCs w:val="13"/>
          </w:rPr>
          <w:t>https://www.universitiesaustralia.edu.au/wp-content/uploads/2019/06/Data-Card-2017-v25.pdf</w:t>
        </w:r>
      </w:hyperlink>
      <w:r w:rsidRPr="000305C5">
        <w:rPr>
          <w:rFonts w:ascii="Century Gothic" w:hAnsi="Century Gothic"/>
          <w:sz w:val="13"/>
          <w:szCs w:val="13"/>
        </w:rPr>
        <w:t>.</w:t>
      </w:r>
    </w:p>
  </w:footnote>
  <w:footnote w:id="83">
    <w:p w14:paraId="4573D5F0" w14:textId="2C4D3608"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w:t>
      </w:r>
    </w:p>
  </w:footnote>
  <w:footnote w:id="84">
    <w:p w14:paraId="32C42319" w14:textId="0D9652F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Norton, A., Cherastidtham, I., and Mackey, W. (2018). </w:t>
      </w:r>
      <w:r w:rsidRPr="000305C5">
        <w:rPr>
          <w:rFonts w:ascii="Century Gothic" w:hAnsi="Century Gothic"/>
          <w:i/>
          <w:sz w:val="13"/>
          <w:szCs w:val="13"/>
        </w:rPr>
        <w:t>Mapping Australian Higher Education 2018</w:t>
      </w:r>
      <w:r w:rsidRPr="000305C5">
        <w:rPr>
          <w:rFonts w:ascii="Century Gothic" w:hAnsi="Century Gothic"/>
          <w:sz w:val="13"/>
          <w:szCs w:val="13"/>
        </w:rPr>
        <w:t xml:space="preserve">. Grattan Institute. p.41. </w:t>
      </w:r>
      <w:r w:rsidRPr="000305C5">
        <w:rPr>
          <w:rFonts w:ascii="Century Gothic" w:hAnsi="Century Gothic"/>
          <w:sz w:val="13"/>
          <w:szCs w:val="13"/>
        </w:rPr>
        <w:br/>
        <w:t xml:space="preserve">Retrieved from: </w:t>
      </w:r>
      <w:hyperlink r:id="rId63" w:history="1">
        <w:r w:rsidRPr="000305C5">
          <w:rPr>
            <w:rStyle w:val="Hyperlink"/>
            <w:rFonts w:ascii="Century Gothic" w:hAnsi="Century Gothic"/>
            <w:sz w:val="13"/>
            <w:szCs w:val="13"/>
          </w:rPr>
          <w:t>https://grattan.edu.au/wp-content/uploads/2018/09/907-Mapping-Australian-higher-education-2018.pdf</w:t>
        </w:r>
      </w:hyperlink>
      <w:r w:rsidRPr="000305C5">
        <w:rPr>
          <w:rFonts w:ascii="Century Gothic" w:hAnsi="Century Gothic"/>
          <w:sz w:val="13"/>
          <w:szCs w:val="13"/>
        </w:rPr>
        <w:t>.</w:t>
      </w:r>
    </w:p>
  </w:footnote>
  <w:footnote w:id="85">
    <w:p w14:paraId="461FE46D" w14:textId="70EB476F"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Here, research expenditure includes general university funds and Australian competitive grants.</w:t>
      </w:r>
    </w:p>
  </w:footnote>
  <w:footnote w:id="86">
    <w:p w14:paraId="508AFA72" w14:textId="099CEBA0"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Bureau of Statistics (2018). </w:t>
      </w:r>
      <w:r w:rsidRPr="000305C5">
        <w:rPr>
          <w:rFonts w:ascii="Century Gothic" w:hAnsi="Century Gothic"/>
          <w:i/>
          <w:sz w:val="13"/>
          <w:szCs w:val="13"/>
        </w:rPr>
        <w:t>8111.0 – Research and Experimental Development, Higher Education Organisations, Australia</w:t>
      </w:r>
      <w:r w:rsidRPr="000305C5">
        <w:rPr>
          <w:rFonts w:ascii="Century Gothic" w:hAnsi="Century Gothic"/>
          <w:sz w:val="13"/>
          <w:szCs w:val="13"/>
        </w:rPr>
        <w:t xml:space="preserve">. </w:t>
      </w:r>
      <w:r w:rsidRPr="000305C5">
        <w:rPr>
          <w:rFonts w:ascii="Century Gothic" w:hAnsi="Century Gothic"/>
          <w:sz w:val="13"/>
          <w:szCs w:val="13"/>
        </w:rPr>
        <w:br/>
        <w:t xml:space="preserve">Retrieved from: </w:t>
      </w:r>
      <w:hyperlink r:id="rId64" w:history="1">
        <w:r w:rsidRPr="000305C5">
          <w:rPr>
            <w:rStyle w:val="Hyperlink"/>
            <w:rFonts w:ascii="Century Gothic" w:hAnsi="Century Gothic"/>
            <w:sz w:val="13"/>
            <w:szCs w:val="13"/>
          </w:rPr>
          <w:t>https://www.abs.gov.au/ausstats/abs@.nsf/mf/8111.0</w:t>
        </w:r>
      </w:hyperlink>
      <w:r w:rsidRPr="000305C5">
        <w:rPr>
          <w:rFonts w:ascii="Century Gothic" w:hAnsi="Century Gothic"/>
          <w:sz w:val="13"/>
          <w:szCs w:val="13"/>
        </w:rPr>
        <w:t xml:space="preserve">. </w:t>
      </w:r>
    </w:p>
  </w:footnote>
  <w:footnote w:id="87">
    <w:p w14:paraId="0D792392"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submission to the PCS Review. (2018). p.16. Retrieved from: </w:t>
      </w:r>
      <w:hyperlink r:id="rId65" w:history="1">
        <w:r w:rsidRPr="000305C5">
          <w:rPr>
            <w:rStyle w:val="Hyperlink"/>
            <w:rFonts w:ascii="Century Gothic" w:hAnsi="Century Gothic"/>
            <w:sz w:val="13"/>
            <w:szCs w:val="13"/>
          </w:rPr>
          <w:t>https://submissions.education.gov.au/Forms/HEPCS/Documents/Tertiary-Education-Quality-and-Standards-Agency.pdf</w:t>
        </w:r>
      </w:hyperlink>
      <w:r w:rsidRPr="000305C5">
        <w:rPr>
          <w:rFonts w:ascii="Century Gothic" w:hAnsi="Century Gothic"/>
          <w:sz w:val="13"/>
          <w:szCs w:val="13"/>
        </w:rPr>
        <w:t xml:space="preserve">. </w:t>
      </w:r>
    </w:p>
  </w:footnote>
  <w:footnote w:id="88">
    <w:p w14:paraId="0582C96D"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Larkins, F. (2019). </w:t>
      </w:r>
      <w:r w:rsidRPr="000305C5">
        <w:rPr>
          <w:rFonts w:ascii="Century Gothic" w:hAnsi="Century Gothic"/>
          <w:i/>
          <w:sz w:val="13"/>
          <w:szCs w:val="13"/>
        </w:rPr>
        <w:t>Anomalies in the Research Excellence ERA Performances of Australian Universities</w:t>
      </w:r>
      <w:r w:rsidRPr="000305C5">
        <w:rPr>
          <w:rFonts w:ascii="Century Gothic" w:hAnsi="Century Gothic"/>
          <w:sz w:val="13"/>
          <w:szCs w:val="13"/>
        </w:rPr>
        <w:t xml:space="preserve">. University of Melbourne. p.7. Retrieved from: </w:t>
      </w:r>
      <w:hyperlink r:id="rId66" w:history="1">
        <w:r w:rsidRPr="000305C5">
          <w:rPr>
            <w:rStyle w:val="Hyperlink"/>
            <w:rFonts w:ascii="Century Gothic" w:hAnsi="Century Gothic"/>
            <w:sz w:val="13"/>
            <w:szCs w:val="13"/>
          </w:rPr>
          <w:t>https://melbourne-cshe.unimelb.edu.au/__data/assets/pdf_file/0009/3078099/FP-LARKINS_University-Performances-ERA-2018-12.pdf</w:t>
        </w:r>
      </w:hyperlink>
      <w:r w:rsidRPr="000305C5">
        <w:rPr>
          <w:rFonts w:ascii="Century Gothic" w:hAnsi="Century Gothic"/>
          <w:sz w:val="13"/>
          <w:szCs w:val="13"/>
        </w:rPr>
        <w:t xml:space="preserve">. </w:t>
      </w:r>
    </w:p>
  </w:footnote>
  <w:footnote w:id="89">
    <w:p w14:paraId="0576157F"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Pettigrew, A. (2018). </w:t>
      </w:r>
      <w:r w:rsidRPr="000305C5">
        <w:rPr>
          <w:rFonts w:ascii="Century Gothic" w:hAnsi="Century Gothic"/>
          <w:i/>
          <w:sz w:val="13"/>
          <w:szCs w:val="13"/>
        </w:rPr>
        <w:t xml:space="preserve">The Profile of Research Excellence in Australia’s Universities – The Missing Piece in the Policy Puzzle. </w:t>
      </w:r>
      <w:r w:rsidRPr="000305C5">
        <w:rPr>
          <w:rFonts w:ascii="Century Gothic" w:hAnsi="Century Gothic"/>
          <w:sz w:val="13"/>
          <w:szCs w:val="13"/>
        </w:rPr>
        <w:t xml:space="preserve">LH Martin Institute for Tertiary Education Leadership and Management. p.2. Retrieved from the University of Sydney submission to the PCS Review (2019): </w:t>
      </w:r>
      <w:hyperlink r:id="rId67" w:history="1">
        <w:r w:rsidRPr="000305C5">
          <w:rPr>
            <w:rStyle w:val="Hyperlink"/>
            <w:rFonts w:ascii="Century Gothic" w:hAnsi="Century Gothic"/>
            <w:sz w:val="13"/>
            <w:szCs w:val="13"/>
          </w:rPr>
          <w:t>https://submissions.education.gov.au/Forms/HEPCS/Documents/The-University-of-Sydney.pdf</w:t>
        </w:r>
      </w:hyperlink>
      <w:r w:rsidRPr="000305C5">
        <w:rPr>
          <w:rFonts w:ascii="Century Gothic" w:hAnsi="Century Gothic"/>
          <w:sz w:val="13"/>
          <w:szCs w:val="13"/>
        </w:rPr>
        <w:t xml:space="preserve">. </w:t>
      </w:r>
    </w:p>
  </w:footnote>
  <w:footnote w:id="90">
    <w:p w14:paraId="61D4E4F0" w14:textId="0A1FA3CA"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Bureau of Statistics. (2001). </w:t>
      </w:r>
      <w:r w:rsidRPr="000305C5">
        <w:rPr>
          <w:rFonts w:ascii="Century Gothic" w:hAnsi="Century Gothic"/>
          <w:i/>
          <w:sz w:val="13"/>
          <w:szCs w:val="13"/>
        </w:rPr>
        <w:t>Australian Standard Classification of Education</w:t>
      </w:r>
      <w:r w:rsidRPr="000305C5">
        <w:rPr>
          <w:rFonts w:ascii="Century Gothic" w:hAnsi="Century Gothic"/>
          <w:sz w:val="13"/>
          <w:szCs w:val="13"/>
        </w:rPr>
        <w:t xml:space="preserve">. Retrieved from: </w:t>
      </w:r>
      <w:hyperlink r:id="rId68" w:history="1">
        <w:r w:rsidRPr="000305C5">
          <w:rPr>
            <w:rStyle w:val="Hyperlink"/>
            <w:rFonts w:ascii="Century Gothic" w:hAnsi="Century Gothic"/>
            <w:sz w:val="13"/>
            <w:szCs w:val="13"/>
          </w:rPr>
          <w:t>https://www.abs.gov.au/ausstats/abs@.nsf/Latestproducts/1272.0Contents12001?opendocument&amp;tabname=Summary&amp;prodno=1272.0&amp;issue=2001&amp;num=&amp;view</w:t>
        </w:r>
      </w:hyperlink>
      <w:r w:rsidRPr="000305C5">
        <w:rPr>
          <w:rFonts w:ascii="Century Gothic" w:hAnsi="Century Gothic"/>
          <w:sz w:val="13"/>
          <w:szCs w:val="13"/>
        </w:rPr>
        <w:t xml:space="preserve">. </w:t>
      </w:r>
    </w:p>
  </w:footnote>
  <w:footnote w:id="91">
    <w:p w14:paraId="69A6C9E4" w14:textId="7FB92ACC"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Bureau of Statistics. (2008). </w:t>
      </w:r>
      <w:r w:rsidRPr="000305C5">
        <w:rPr>
          <w:rFonts w:ascii="Century Gothic" w:hAnsi="Century Gothic"/>
          <w:i/>
          <w:sz w:val="13"/>
          <w:szCs w:val="13"/>
        </w:rPr>
        <w:t>Australian and New Zealand Standard Research Classification</w:t>
      </w:r>
      <w:r w:rsidRPr="000305C5">
        <w:rPr>
          <w:rFonts w:ascii="Century Gothic" w:hAnsi="Century Gothic"/>
          <w:sz w:val="13"/>
          <w:szCs w:val="13"/>
        </w:rPr>
        <w:t xml:space="preserve">. Retrieved from: </w:t>
      </w:r>
      <w:hyperlink r:id="rId69" w:history="1">
        <w:r w:rsidRPr="000305C5">
          <w:rPr>
            <w:rStyle w:val="Hyperlink"/>
            <w:rFonts w:ascii="Century Gothic" w:hAnsi="Century Gothic"/>
            <w:sz w:val="13"/>
            <w:szCs w:val="13"/>
          </w:rPr>
          <w:t>https://www.abs.gov.au/ausstats/abs@.nsf/Products/1297.0~2008~Main+Features~Chapter+3,Fields+of+Research?OpenDocument</w:t>
        </w:r>
      </w:hyperlink>
      <w:r w:rsidRPr="000305C5">
        <w:rPr>
          <w:rFonts w:ascii="Century Gothic" w:hAnsi="Century Gothic"/>
          <w:sz w:val="13"/>
          <w:szCs w:val="13"/>
        </w:rPr>
        <w:t xml:space="preserve">. </w:t>
      </w:r>
    </w:p>
  </w:footnote>
  <w:footnote w:id="92">
    <w:p w14:paraId="112AD479" w14:textId="176778C5"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Boyer, E. (1990). </w:t>
      </w:r>
      <w:r w:rsidRPr="000305C5">
        <w:rPr>
          <w:rFonts w:ascii="Century Gothic" w:hAnsi="Century Gothic"/>
          <w:i/>
          <w:iCs/>
          <w:sz w:val="13"/>
          <w:szCs w:val="13"/>
        </w:rPr>
        <w:t>Scholarship Reconsidered: Priorities of the Professoriate</w:t>
      </w:r>
      <w:r w:rsidRPr="000305C5">
        <w:rPr>
          <w:rFonts w:ascii="Century Gothic" w:hAnsi="Century Gothic"/>
          <w:sz w:val="13"/>
          <w:szCs w:val="13"/>
        </w:rPr>
        <w:t xml:space="preserve">. Carnegie Foundation. p.16. Retrieved from: </w:t>
      </w:r>
      <w:hyperlink r:id="rId70" w:history="1">
        <w:r w:rsidRPr="000305C5">
          <w:rPr>
            <w:rStyle w:val="Hyperlink"/>
            <w:rFonts w:ascii="Century Gothic" w:hAnsi="Century Gothic"/>
            <w:sz w:val="13"/>
            <w:szCs w:val="13"/>
          </w:rPr>
          <w:t>http://www.hadinur.com/paper/BoyerScholarshipReconsidered.pdf</w:t>
        </w:r>
      </w:hyperlink>
      <w:r w:rsidRPr="000305C5">
        <w:rPr>
          <w:rFonts w:ascii="Century Gothic" w:hAnsi="Century Gothic"/>
          <w:sz w:val="13"/>
          <w:szCs w:val="13"/>
        </w:rPr>
        <w:t xml:space="preserve">.   </w:t>
      </w:r>
    </w:p>
  </w:footnote>
  <w:footnote w:id="93">
    <w:p w14:paraId="3325EC3E" w14:textId="45D0FBF2"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(2018). </w:t>
      </w:r>
      <w:r w:rsidRPr="000305C5">
        <w:rPr>
          <w:rFonts w:ascii="Century Gothic" w:hAnsi="Century Gothic"/>
          <w:i/>
          <w:sz w:val="13"/>
          <w:szCs w:val="13"/>
        </w:rPr>
        <w:t>Guidance Note: Scholarship</w:t>
      </w:r>
      <w:r w:rsidRPr="000305C5">
        <w:rPr>
          <w:rFonts w:ascii="Century Gothic" w:hAnsi="Century Gothic"/>
          <w:sz w:val="13"/>
          <w:szCs w:val="13"/>
        </w:rPr>
        <w:t xml:space="preserve">. p.1. Retrieved from: </w:t>
      </w:r>
      <w:hyperlink r:id="rId71" w:history="1">
        <w:r w:rsidRPr="000305C5">
          <w:rPr>
            <w:rStyle w:val="Hyperlink"/>
            <w:rFonts w:ascii="Century Gothic" w:hAnsi="Century Gothic"/>
            <w:sz w:val="13"/>
            <w:szCs w:val="13"/>
          </w:rPr>
          <w:t>https://www.teqsa.gov.au/latest-news/publications/guidance-note-scholarship</w:t>
        </w:r>
      </w:hyperlink>
      <w:r w:rsidRPr="000305C5">
        <w:rPr>
          <w:rFonts w:ascii="Century Gothic" w:hAnsi="Century Gothic"/>
          <w:sz w:val="13"/>
          <w:szCs w:val="13"/>
        </w:rPr>
        <w:t xml:space="preserve">. </w:t>
      </w:r>
    </w:p>
  </w:footnote>
  <w:footnote w:id="94">
    <w:p w14:paraId="73EE0A94" w14:textId="31E5192E"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 p.3.  </w:t>
      </w:r>
    </w:p>
  </w:footnote>
  <w:footnote w:id="95">
    <w:p w14:paraId="0E18D5AA" w14:textId="2082581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(2018). </w:t>
      </w:r>
      <w:r w:rsidRPr="000305C5">
        <w:rPr>
          <w:rFonts w:ascii="Century Gothic" w:hAnsi="Century Gothic"/>
          <w:i/>
          <w:sz w:val="13"/>
          <w:szCs w:val="13"/>
        </w:rPr>
        <w:t>Guidance Note: Scholarship</w:t>
      </w:r>
      <w:r w:rsidRPr="000305C5">
        <w:rPr>
          <w:rFonts w:ascii="Century Gothic" w:hAnsi="Century Gothic"/>
          <w:sz w:val="13"/>
          <w:szCs w:val="13"/>
        </w:rPr>
        <w:t xml:space="preserve">. p.1. Retrieved from: </w:t>
      </w:r>
      <w:hyperlink r:id="rId72" w:history="1">
        <w:r w:rsidRPr="000305C5">
          <w:rPr>
            <w:rStyle w:val="Hyperlink"/>
            <w:rFonts w:ascii="Century Gothic" w:hAnsi="Century Gothic"/>
            <w:sz w:val="13"/>
            <w:szCs w:val="13"/>
          </w:rPr>
          <w:t>https://www.teqsa.gov.au/latest-news/publications/guidance-note-scholarship</w:t>
        </w:r>
      </w:hyperlink>
      <w:r w:rsidRPr="000305C5">
        <w:rPr>
          <w:rFonts w:ascii="Century Gothic" w:hAnsi="Century Gothic"/>
          <w:sz w:val="13"/>
          <w:szCs w:val="13"/>
        </w:rPr>
        <w:t>.</w:t>
      </w:r>
    </w:p>
  </w:footnote>
  <w:footnote w:id="96">
    <w:p w14:paraId="69C9A502" w14:textId="0302AF79"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ibid. p.6. </w:t>
      </w:r>
    </w:p>
  </w:footnote>
  <w:footnote w:id="97">
    <w:p w14:paraId="77CC3E27" w14:textId="11F8AFA3"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w:t>
      </w:r>
      <w:r w:rsidRPr="000305C5">
        <w:rPr>
          <w:rFonts w:ascii="Century Gothic" w:hAnsi="Century Gothic"/>
          <w:i/>
          <w:sz w:val="13"/>
          <w:szCs w:val="13"/>
        </w:rPr>
        <w:t>Higher Education Standards Framework 2015</w:t>
      </w:r>
      <w:r w:rsidRPr="000305C5">
        <w:rPr>
          <w:rFonts w:ascii="Century Gothic" w:hAnsi="Century Gothic"/>
          <w:sz w:val="13"/>
          <w:szCs w:val="13"/>
        </w:rPr>
        <w:t xml:space="preserve">. Part B1.3.5. Retrieved from: </w:t>
      </w:r>
      <w:hyperlink r:id="rId73" w:anchor="_Toc428368878" w:history="1">
        <w:r w:rsidRPr="000305C5">
          <w:rPr>
            <w:rStyle w:val="Hyperlink"/>
            <w:rFonts w:ascii="Century Gothic" w:hAnsi="Century Gothic"/>
            <w:sz w:val="13"/>
            <w:szCs w:val="13"/>
          </w:rPr>
          <w:t>https://www.legislation.gov.au/Details/F2015L01639/Html/Text#_Toc428368878</w:t>
        </w:r>
      </w:hyperlink>
      <w:r w:rsidRPr="000305C5">
        <w:rPr>
          <w:rFonts w:ascii="Century Gothic" w:hAnsi="Century Gothic"/>
          <w:sz w:val="13"/>
          <w:szCs w:val="13"/>
        </w:rPr>
        <w:t xml:space="preserve">. </w:t>
      </w:r>
    </w:p>
  </w:footnote>
  <w:footnote w:id="98">
    <w:p w14:paraId="717944BE" w14:textId="0ABF21AD" w:rsidR="00374E52" w:rsidRPr="000305C5" w:rsidRDefault="00374E52" w:rsidP="00D76409">
      <w:pPr>
        <w:spacing w:before="0" w:after="0" w:line="240" w:lineRule="auto"/>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Quality Indicators for Learning and Teaching (QILT) Student Experience Survey measures five key aspects of the student experience: skills development, learner engagement, teaching quality, student support, and learning resources.</w:t>
      </w:r>
    </w:p>
  </w:footnote>
  <w:footnote w:id="99">
    <w:p w14:paraId="5049EE4E" w14:textId="34C0AFD5"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(2017). </w:t>
      </w:r>
      <w:r w:rsidRPr="000305C5">
        <w:rPr>
          <w:rFonts w:ascii="Century Gothic" w:hAnsi="Century Gothic"/>
          <w:i/>
          <w:sz w:val="13"/>
          <w:szCs w:val="13"/>
        </w:rPr>
        <w:t>Contextual Overview of the HES Framework 2015</w:t>
      </w:r>
      <w:r w:rsidRPr="000305C5">
        <w:rPr>
          <w:rFonts w:ascii="Century Gothic" w:hAnsi="Century Gothic"/>
          <w:sz w:val="13"/>
          <w:szCs w:val="13"/>
        </w:rPr>
        <w:t xml:space="preserve">. p.10. Retrieved from: </w:t>
      </w:r>
      <w:hyperlink r:id="rId74" w:history="1">
        <w:r w:rsidRPr="000305C5">
          <w:rPr>
            <w:rStyle w:val="Hyperlink"/>
            <w:rFonts w:ascii="Century Gothic" w:hAnsi="Century Gothic"/>
            <w:sz w:val="13"/>
            <w:szCs w:val="13"/>
          </w:rPr>
          <w:t>https://www.teqsa.gov.au/contextual-overview-hes-framework-2015</w:t>
        </w:r>
      </w:hyperlink>
      <w:r w:rsidRPr="000305C5">
        <w:rPr>
          <w:rFonts w:ascii="Century Gothic" w:hAnsi="Century Gothic"/>
          <w:sz w:val="13"/>
          <w:szCs w:val="13"/>
        </w:rPr>
        <w:t xml:space="preserve">. </w:t>
      </w:r>
    </w:p>
  </w:footnote>
  <w:footnote w:id="100">
    <w:p w14:paraId="6836E3AC" w14:textId="1DDB30AB"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Quality Indicators for Learning and Teaching (QILT). (2019). </w:t>
      </w:r>
      <w:r w:rsidRPr="000305C5">
        <w:rPr>
          <w:rFonts w:ascii="Century Gothic" w:hAnsi="Century Gothic"/>
          <w:i/>
          <w:sz w:val="13"/>
          <w:szCs w:val="13"/>
        </w:rPr>
        <w:t>2018 Student Experience Survey: National Report</w:t>
      </w:r>
      <w:r w:rsidRPr="000305C5">
        <w:rPr>
          <w:rFonts w:ascii="Century Gothic" w:hAnsi="Century Gothic"/>
          <w:sz w:val="13"/>
          <w:szCs w:val="13"/>
        </w:rPr>
        <w:t xml:space="preserve">. p.11. Retrieved from: </w:t>
      </w:r>
      <w:hyperlink r:id="rId75" w:history="1">
        <w:r w:rsidRPr="000305C5">
          <w:rPr>
            <w:rStyle w:val="Hyperlink"/>
            <w:rFonts w:ascii="Century Gothic" w:hAnsi="Century Gothic"/>
            <w:sz w:val="13"/>
            <w:szCs w:val="13"/>
          </w:rPr>
          <w:t>https://www.qilt.edu.au/docs/default-source/ses/ses2018/2018-ses-national-report75e58791b1e86477b58fff00006709da.pdf?sfvrsn=d733e33c_4</w:t>
        </w:r>
      </w:hyperlink>
      <w:r w:rsidRPr="000305C5">
        <w:rPr>
          <w:rFonts w:ascii="Century Gothic" w:hAnsi="Century Gothic"/>
          <w:sz w:val="13"/>
          <w:szCs w:val="13"/>
        </w:rPr>
        <w:t xml:space="preserve">. </w:t>
      </w:r>
    </w:p>
  </w:footnote>
  <w:footnote w:id="101">
    <w:p w14:paraId="7A9E31CD" w14:textId="291EA4C1"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(2017). </w:t>
      </w:r>
      <w:r w:rsidRPr="000305C5">
        <w:rPr>
          <w:rFonts w:ascii="Century Gothic" w:hAnsi="Century Gothic"/>
          <w:i/>
          <w:sz w:val="13"/>
          <w:szCs w:val="13"/>
        </w:rPr>
        <w:t>Contextual Overview of the HES Framework 2015</w:t>
      </w:r>
      <w:r w:rsidRPr="000305C5">
        <w:rPr>
          <w:rFonts w:ascii="Century Gothic" w:hAnsi="Century Gothic"/>
          <w:sz w:val="13"/>
          <w:szCs w:val="13"/>
        </w:rPr>
        <w:t xml:space="preserve">. p.6. Retrieved from: </w:t>
      </w:r>
      <w:hyperlink r:id="rId76" w:history="1">
        <w:r w:rsidRPr="000305C5">
          <w:rPr>
            <w:rStyle w:val="Hyperlink"/>
            <w:rFonts w:ascii="Century Gothic" w:hAnsi="Century Gothic"/>
            <w:sz w:val="13"/>
            <w:szCs w:val="13"/>
          </w:rPr>
          <w:t>https://www.teqsa.gov.au/contextual-overview-hes-framework-2015</w:t>
        </w:r>
      </w:hyperlink>
      <w:r w:rsidRPr="000305C5">
        <w:rPr>
          <w:rFonts w:ascii="Century Gothic" w:hAnsi="Century Gothic"/>
          <w:sz w:val="13"/>
          <w:szCs w:val="13"/>
        </w:rPr>
        <w:t xml:space="preserve">. </w:t>
      </w:r>
    </w:p>
  </w:footnote>
  <w:footnote w:id="102">
    <w:p w14:paraId="153BCD60"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Ernst and Young. (2018). </w:t>
      </w:r>
      <w:r w:rsidRPr="000305C5">
        <w:rPr>
          <w:rFonts w:ascii="Century Gothic" w:hAnsi="Century Gothic"/>
          <w:i/>
          <w:sz w:val="13"/>
          <w:szCs w:val="13"/>
        </w:rPr>
        <w:t>Can the universities of today lead learning for tomorrow? The University of the Future</w:t>
      </w:r>
      <w:r w:rsidRPr="000305C5">
        <w:rPr>
          <w:rFonts w:ascii="Century Gothic" w:hAnsi="Century Gothic"/>
          <w:sz w:val="13"/>
          <w:szCs w:val="13"/>
        </w:rPr>
        <w:t xml:space="preserve">. p.8. Retrieved from: </w:t>
      </w:r>
      <w:hyperlink r:id="rId77" w:tgtFrame="_blank" w:history="1">
        <w:r w:rsidRPr="000305C5">
          <w:rPr>
            <w:rStyle w:val="Hyperlink"/>
            <w:rFonts w:ascii="Century Gothic" w:hAnsi="Century Gothic"/>
            <w:sz w:val="13"/>
            <w:szCs w:val="13"/>
            <w:lang w:val="en-US"/>
          </w:rPr>
          <w:t>https://go.ey.com/2Z4Xxah</w:t>
        </w:r>
      </w:hyperlink>
      <w:r w:rsidRPr="000305C5">
        <w:rPr>
          <w:rFonts w:ascii="Century Gothic" w:hAnsi="Century Gothic"/>
          <w:sz w:val="13"/>
          <w:szCs w:val="13"/>
        </w:rPr>
        <w:t>.</w:t>
      </w:r>
    </w:p>
  </w:footnote>
  <w:footnote w:id="103">
    <w:p w14:paraId="3242A0CF" w14:textId="5565CF26"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These include, for example, a collaboration between RMIT University and the Bureau of Meteorology to improve the accuracy of weather forecasting and a collaboration between the University of South Australia and industry partner SMR Automotive to provide the world’s first </w:t>
      </w:r>
      <w:r w:rsidRPr="000305C5">
        <w:rPr>
          <w:rFonts w:ascii="Century Gothic" w:hAnsi="Century Gothic"/>
          <w:sz w:val="13"/>
          <w:szCs w:val="13"/>
        </w:rPr>
        <w:br/>
        <w:t xml:space="preserve">light-weight, plastic automotive mirror. </w:t>
      </w:r>
    </w:p>
  </w:footnote>
  <w:footnote w:id="104">
    <w:p w14:paraId="4120033C"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Technology Network of Universities and AiGroup. (2015). </w:t>
      </w:r>
      <w:r w:rsidRPr="000305C5">
        <w:rPr>
          <w:rFonts w:ascii="Century Gothic" w:hAnsi="Century Gothic"/>
          <w:i/>
          <w:sz w:val="13"/>
          <w:szCs w:val="13"/>
        </w:rPr>
        <w:t>Innovate and Prosper: Ensuring Australia’s Future Competitiveness through University-Industry Collaboration</w:t>
      </w:r>
      <w:r w:rsidRPr="000305C5">
        <w:rPr>
          <w:rFonts w:ascii="Century Gothic" w:hAnsi="Century Gothic"/>
          <w:sz w:val="13"/>
          <w:szCs w:val="13"/>
        </w:rPr>
        <w:t xml:space="preserve">. p.2. Retrieved from: </w:t>
      </w:r>
      <w:hyperlink r:id="rId78" w:history="1">
        <w:r w:rsidRPr="000305C5">
          <w:rPr>
            <w:rStyle w:val="Hyperlink"/>
            <w:rFonts w:ascii="Century Gothic" w:hAnsi="Century Gothic"/>
            <w:sz w:val="13"/>
            <w:szCs w:val="13"/>
          </w:rPr>
          <w:t>https://www.atn.edu.au/siteassets/publications/atninnovateprosper.pdf</w:t>
        </w:r>
      </w:hyperlink>
      <w:r w:rsidRPr="000305C5">
        <w:rPr>
          <w:rFonts w:ascii="Century Gothic" w:hAnsi="Century Gothic"/>
          <w:sz w:val="13"/>
          <w:szCs w:val="13"/>
        </w:rPr>
        <w:t xml:space="preserve">. </w:t>
      </w:r>
    </w:p>
  </w:footnote>
  <w:footnote w:id="105">
    <w:p w14:paraId="0C553DC8" w14:textId="0031E0B2"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UPP Foundation Civic University Commission. (2019). </w:t>
      </w:r>
      <w:r w:rsidRPr="000305C5">
        <w:rPr>
          <w:rFonts w:ascii="Century Gothic" w:hAnsi="Century Gothic"/>
          <w:i/>
          <w:sz w:val="13"/>
          <w:szCs w:val="13"/>
        </w:rPr>
        <w:t>Truly Civic: Strengthening the Connection between Universities and their Places</w:t>
      </w:r>
      <w:r w:rsidRPr="000305C5">
        <w:rPr>
          <w:rFonts w:ascii="Century Gothic" w:hAnsi="Century Gothic"/>
          <w:sz w:val="13"/>
          <w:szCs w:val="13"/>
        </w:rPr>
        <w:t xml:space="preserve">. p.36. Retrieved from: </w:t>
      </w:r>
      <w:hyperlink r:id="rId79" w:history="1">
        <w:r w:rsidRPr="000305C5">
          <w:rPr>
            <w:rStyle w:val="Hyperlink"/>
            <w:rFonts w:ascii="Century Gothic" w:hAnsi="Century Gothic"/>
            <w:sz w:val="13"/>
            <w:szCs w:val="13"/>
          </w:rPr>
          <w:t>https://upp-foundation.org/wp-content/uploads/2019/02/Civic-University-Commission-Final-Report.pdf</w:t>
        </w:r>
      </w:hyperlink>
      <w:r w:rsidRPr="000305C5">
        <w:rPr>
          <w:rFonts w:ascii="Century Gothic" w:hAnsi="Century Gothic"/>
          <w:sz w:val="13"/>
          <w:szCs w:val="13"/>
        </w:rPr>
        <w:t xml:space="preserve">.  </w:t>
      </w:r>
    </w:p>
  </w:footnote>
  <w:footnote w:id="106">
    <w:p w14:paraId="4DAB6268" w14:textId="40B3A913"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University of New England. (2019).</w:t>
      </w:r>
      <w:r w:rsidRPr="000305C5">
        <w:rPr>
          <w:rFonts w:ascii="Century Gothic" w:hAnsi="Century Gothic"/>
          <w:i/>
          <w:sz w:val="13"/>
          <w:szCs w:val="13"/>
        </w:rPr>
        <w:t xml:space="preserve"> SMART Farms</w:t>
      </w:r>
      <w:r w:rsidRPr="000305C5">
        <w:rPr>
          <w:rFonts w:ascii="Century Gothic" w:hAnsi="Century Gothic"/>
          <w:sz w:val="13"/>
          <w:szCs w:val="13"/>
        </w:rPr>
        <w:t xml:space="preserve">. Retrieved from: </w:t>
      </w:r>
      <w:r w:rsidRPr="000305C5">
        <w:rPr>
          <w:rFonts w:ascii="Century Gothic" w:hAnsi="Century Gothic"/>
          <w:sz w:val="13"/>
          <w:szCs w:val="13"/>
        </w:rPr>
        <w:br/>
      </w:r>
      <w:hyperlink r:id="rId80" w:history="1">
        <w:r w:rsidRPr="000305C5">
          <w:rPr>
            <w:rStyle w:val="Hyperlink"/>
            <w:rFonts w:ascii="Century Gothic" w:hAnsi="Century Gothic"/>
            <w:sz w:val="13"/>
            <w:szCs w:val="13"/>
          </w:rPr>
          <w:t>https://www.une.edu.au/research/research-centres-institutes/smart-farm</w:t>
        </w:r>
      </w:hyperlink>
      <w:r w:rsidRPr="000305C5">
        <w:rPr>
          <w:rFonts w:ascii="Century Gothic" w:hAnsi="Century Gothic"/>
          <w:sz w:val="13"/>
          <w:szCs w:val="13"/>
        </w:rPr>
        <w:t xml:space="preserve">. </w:t>
      </w:r>
    </w:p>
  </w:footnote>
  <w:footnote w:id="107">
    <w:p w14:paraId="6936DF18" w14:textId="06D5CEDD"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MultiLit. (2019). </w:t>
      </w:r>
      <w:r w:rsidRPr="000305C5">
        <w:rPr>
          <w:rFonts w:ascii="Century Gothic" w:hAnsi="Century Gothic"/>
          <w:i/>
          <w:sz w:val="13"/>
          <w:szCs w:val="13"/>
        </w:rPr>
        <w:t>About</w:t>
      </w:r>
      <w:r w:rsidRPr="000305C5">
        <w:rPr>
          <w:rFonts w:ascii="Century Gothic" w:hAnsi="Century Gothic"/>
          <w:sz w:val="13"/>
          <w:szCs w:val="13"/>
        </w:rPr>
        <w:t xml:space="preserve">. Retrieved from: </w:t>
      </w:r>
      <w:hyperlink r:id="rId81" w:history="1">
        <w:r w:rsidRPr="000305C5">
          <w:rPr>
            <w:rStyle w:val="Hyperlink"/>
            <w:rFonts w:ascii="Century Gothic" w:hAnsi="Century Gothic"/>
            <w:sz w:val="13"/>
            <w:szCs w:val="13"/>
          </w:rPr>
          <w:t>https://multilit.com/about/</w:t>
        </w:r>
      </w:hyperlink>
      <w:r w:rsidRPr="000305C5">
        <w:rPr>
          <w:rFonts w:ascii="Century Gothic" w:hAnsi="Century Gothic"/>
          <w:sz w:val="13"/>
          <w:szCs w:val="13"/>
        </w:rPr>
        <w:t xml:space="preserve">. </w:t>
      </w:r>
    </w:p>
  </w:footnote>
  <w:footnote w:id="108">
    <w:p w14:paraId="38797F16"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Catholic University submission to the PCS Review. (2019). p.5. Retrieved from: </w:t>
      </w:r>
      <w:hyperlink r:id="rId82" w:history="1">
        <w:r w:rsidRPr="000305C5">
          <w:rPr>
            <w:rStyle w:val="Hyperlink"/>
            <w:rFonts w:ascii="Century Gothic" w:hAnsi="Century Gothic"/>
            <w:sz w:val="13"/>
            <w:szCs w:val="13"/>
          </w:rPr>
          <w:t>https://submissions.education.gov.au/Forms/HEPCS/Documents/Australian-Catholic-University.pdf</w:t>
        </w:r>
      </w:hyperlink>
      <w:r w:rsidRPr="000305C5">
        <w:rPr>
          <w:rFonts w:ascii="Century Gothic" w:hAnsi="Century Gothic"/>
          <w:sz w:val="13"/>
          <w:szCs w:val="13"/>
        </w:rPr>
        <w:t xml:space="preserve">. </w:t>
      </w:r>
    </w:p>
  </w:footnote>
  <w:footnote w:id="109">
    <w:p w14:paraId="6B6CE987"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Ministerial Council on Education, Employment, Training and Youth Affairs. (2006). </w:t>
      </w:r>
      <w:r w:rsidRPr="000305C5">
        <w:rPr>
          <w:rFonts w:ascii="Century Gothic" w:hAnsi="Century Gothic"/>
          <w:i/>
          <w:sz w:val="13"/>
          <w:szCs w:val="13"/>
        </w:rPr>
        <w:t>National Protocols for Higher Education Approval Processes</w:t>
      </w:r>
      <w:r w:rsidRPr="000305C5">
        <w:rPr>
          <w:rFonts w:ascii="Century Gothic" w:hAnsi="Century Gothic"/>
          <w:sz w:val="13"/>
          <w:szCs w:val="13"/>
        </w:rPr>
        <w:t xml:space="preserve">. Clauses 8.11 – 8.16. Retrieved from: </w:t>
      </w:r>
      <w:hyperlink r:id="rId83" w:history="1">
        <w:r w:rsidRPr="000305C5">
          <w:rPr>
            <w:rStyle w:val="Hyperlink"/>
            <w:rFonts w:ascii="Century Gothic" w:hAnsi="Century Gothic"/>
            <w:sz w:val="13"/>
            <w:szCs w:val="13"/>
          </w:rPr>
          <w:t>http://www.curriculum.edu.au/verve/_resources/RevisedNationalProtocols20081.pdf</w:t>
        </w:r>
      </w:hyperlink>
      <w:r w:rsidRPr="000305C5">
        <w:rPr>
          <w:rFonts w:ascii="Century Gothic" w:hAnsi="Century Gothic"/>
          <w:sz w:val="13"/>
          <w:szCs w:val="13"/>
        </w:rPr>
        <w:t xml:space="preserve">. </w:t>
      </w:r>
    </w:p>
  </w:footnote>
  <w:footnote w:id="110">
    <w:p w14:paraId="4C47E32B"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The most recent ‘greenfield’ university is Torrens University Australia. Torrens was registered as a University by South Australia prior to the commencement of the </w:t>
      </w:r>
      <w:r w:rsidRPr="000305C5">
        <w:rPr>
          <w:rFonts w:ascii="Century Gothic" w:hAnsi="Century Gothic"/>
          <w:i/>
          <w:sz w:val="13"/>
          <w:szCs w:val="13"/>
        </w:rPr>
        <w:t>TEQSA Act 2011</w:t>
      </w:r>
      <w:r w:rsidRPr="000305C5">
        <w:rPr>
          <w:rFonts w:ascii="Century Gothic" w:hAnsi="Century Gothic"/>
          <w:sz w:val="13"/>
          <w:szCs w:val="13"/>
        </w:rPr>
        <w:t xml:space="preserve">. Torrens was registered as an ‘Australian University’ in accordance with the </w:t>
      </w:r>
      <w:r w:rsidRPr="000305C5">
        <w:rPr>
          <w:rFonts w:ascii="Century Gothic" w:hAnsi="Century Gothic"/>
          <w:sz w:val="13"/>
          <w:szCs w:val="13"/>
        </w:rPr>
        <w:br/>
      </w:r>
      <w:r w:rsidRPr="000305C5">
        <w:rPr>
          <w:rFonts w:ascii="Century Gothic" w:hAnsi="Century Gothic"/>
          <w:i/>
          <w:sz w:val="13"/>
          <w:szCs w:val="13"/>
        </w:rPr>
        <w:t>Tertiary Education Quality Standards Agency (Consequential Amendments and Transitional Provisions) Act 2011</w:t>
      </w:r>
      <w:r w:rsidRPr="000305C5">
        <w:rPr>
          <w:rFonts w:ascii="Century Gothic" w:hAnsi="Century Gothic"/>
          <w:sz w:val="13"/>
          <w:szCs w:val="13"/>
        </w:rPr>
        <w:t xml:space="preserve">. </w:t>
      </w:r>
    </w:p>
  </w:footnote>
  <w:footnote w:id="111">
    <w:p w14:paraId="1E883932" w14:textId="485332FA"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(2019). </w:t>
      </w:r>
      <w:r w:rsidRPr="000305C5">
        <w:rPr>
          <w:rFonts w:ascii="Century Gothic" w:hAnsi="Century Gothic"/>
          <w:i/>
          <w:sz w:val="13"/>
          <w:szCs w:val="13"/>
        </w:rPr>
        <w:t>Applying for Self-Accrediting Authority</w:t>
      </w:r>
      <w:r w:rsidRPr="000305C5">
        <w:rPr>
          <w:rFonts w:ascii="Century Gothic" w:hAnsi="Century Gothic"/>
          <w:sz w:val="13"/>
          <w:szCs w:val="13"/>
        </w:rPr>
        <w:t xml:space="preserve">. Retrieved from: </w:t>
      </w:r>
      <w:hyperlink r:id="rId84" w:history="1">
        <w:r w:rsidRPr="000305C5">
          <w:rPr>
            <w:rStyle w:val="Hyperlink"/>
            <w:rFonts w:ascii="Century Gothic" w:hAnsi="Century Gothic"/>
            <w:sz w:val="13"/>
            <w:szCs w:val="13"/>
          </w:rPr>
          <w:t>https://www.teqsa.gov.au/applying-self-accreditation</w:t>
        </w:r>
      </w:hyperlink>
      <w:r w:rsidRPr="000305C5">
        <w:rPr>
          <w:rFonts w:ascii="Century Gothic" w:hAnsi="Century Gothic"/>
          <w:sz w:val="13"/>
          <w:szCs w:val="13"/>
        </w:rPr>
        <w:t xml:space="preserve">. </w:t>
      </w:r>
    </w:p>
  </w:footnote>
  <w:footnote w:id="112">
    <w:p w14:paraId="6B07049C" w14:textId="3C8E37F8"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Information provided by TEQSA. (2019).  </w:t>
      </w:r>
    </w:p>
  </w:footnote>
  <w:footnote w:id="113">
    <w:p w14:paraId="118C5D41"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Tertiary Education Quality and Standards Agency (TEQSA). (2019). </w:t>
      </w:r>
      <w:r w:rsidRPr="000305C5">
        <w:rPr>
          <w:rFonts w:ascii="Century Gothic" w:hAnsi="Century Gothic"/>
          <w:i/>
          <w:sz w:val="13"/>
          <w:szCs w:val="13"/>
        </w:rPr>
        <w:t>National Register Summary Table.</w:t>
      </w:r>
      <w:r w:rsidRPr="000305C5">
        <w:rPr>
          <w:rFonts w:ascii="Century Gothic" w:hAnsi="Century Gothic"/>
          <w:sz w:val="13"/>
          <w:szCs w:val="13"/>
        </w:rPr>
        <w:t xml:space="preserve"> Retrieved 03/09/2019 </w:t>
      </w:r>
    </w:p>
    <w:p w14:paraId="19029FCE" w14:textId="0D4BD88B" w:rsidR="00374E52" w:rsidRPr="000305C5" w:rsidRDefault="00374E52" w:rsidP="00D76409">
      <w:pPr>
        <w:spacing w:before="0" w:after="0" w:line="240" w:lineRule="auto"/>
        <w:ind w:right="-142"/>
        <w:rPr>
          <w:rFonts w:ascii="Century Gothic" w:hAnsi="Century Gothic"/>
          <w:sz w:val="13"/>
          <w:szCs w:val="13"/>
        </w:rPr>
      </w:pPr>
      <w:r w:rsidRPr="000305C5">
        <w:rPr>
          <w:rFonts w:ascii="Century Gothic" w:hAnsi="Century Gothic"/>
          <w:sz w:val="13"/>
          <w:szCs w:val="13"/>
        </w:rPr>
        <w:t xml:space="preserve">from: </w:t>
      </w:r>
      <w:hyperlink r:id="rId85" w:history="1">
        <w:r w:rsidRPr="000305C5">
          <w:rPr>
            <w:rStyle w:val="Hyperlink"/>
            <w:rFonts w:ascii="Century Gothic" w:hAnsi="Century Gothic"/>
            <w:sz w:val="13"/>
            <w:szCs w:val="13"/>
          </w:rPr>
          <w:t>www.teqsa.gov.au/national-register</w:t>
        </w:r>
      </w:hyperlink>
      <w:r w:rsidRPr="000305C5">
        <w:rPr>
          <w:rFonts w:ascii="Century Gothic" w:hAnsi="Century Gothic"/>
          <w:sz w:val="13"/>
          <w:szCs w:val="13"/>
        </w:rPr>
        <w:t>.</w:t>
      </w:r>
    </w:p>
  </w:footnote>
  <w:footnote w:id="114">
    <w:p w14:paraId="7B8CCEBB"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Information provided by TEQSA. (2019).   </w:t>
      </w:r>
    </w:p>
  </w:footnote>
  <w:footnote w:id="115">
    <w:p w14:paraId="3974E93D" w14:textId="576F32C6"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EFTSL is defined in HESA as an equivalent full time student load. It is a measure of the study load, for a year, of a student undertaking a course of study on a full time basis, where the student undertakes a standard program of studies. </w:t>
      </w:r>
    </w:p>
  </w:footnote>
  <w:footnote w:id="116">
    <w:p w14:paraId="0C32FDE6" w14:textId="668AE0FE"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Australian Government. (2017). </w:t>
      </w:r>
      <w:r w:rsidRPr="000305C5">
        <w:rPr>
          <w:rFonts w:ascii="Century Gothic" w:hAnsi="Century Gothic"/>
          <w:i/>
          <w:sz w:val="13"/>
          <w:szCs w:val="13"/>
        </w:rPr>
        <w:t xml:space="preserve">National Code of Practice for Providers of Education and Training to Overseas Students 2018 </w:t>
      </w:r>
      <w:r w:rsidRPr="000305C5">
        <w:rPr>
          <w:rFonts w:ascii="Century Gothic" w:hAnsi="Century Gothic"/>
          <w:i/>
          <w:sz w:val="13"/>
          <w:szCs w:val="13"/>
        </w:rPr>
        <w:br/>
        <w:t>(National Code 2018)</w:t>
      </w:r>
      <w:r w:rsidRPr="000305C5">
        <w:rPr>
          <w:rFonts w:ascii="Century Gothic" w:hAnsi="Century Gothic"/>
          <w:sz w:val="13"/>
          <w:szCs w:val="13"/>
        </w:rPr>
        <w:t>.</w:t>
      </w:r>
      <w:r w:rsidRPr="000305C5">
        <w:rPr>
          <w:rFonts w:ascii="Century Gothic" w:hAnsi="Century Gothic"/>
          <w:i/>
          <w:sz w:val="13"/>
          <w:szCs w:val="13"/>
        </w:rPr>
        <w:t xml:space="preserve"> </w:t>
      </w:r>
      <w:r w:rsidRPr="000305C5">
        <w:rPr>
          <w:rFonts w:ascii="Century Gothic" w:hAnsi="Century Gothic"/>
          <w:sz w:val="13"/>
          <w:szCs w:val="13"/>
        </w:rPr>
        <w:t xml:space="preserve">Standard 1.4. Retrieved from: </w:t>
      </w:r>
      <w:hyperlink r:id="rId86" w:history="1">
        <w:r w:rsidRPr="000305C5">
          <w:rPr>
            <w:rStyle w:val="Hyperlink"/>
            <w:rFonts w:ascii="Century Gothic" w:hAnsi="Century Gothic"/>
            <w:sz w:val="13"/>
            <w:szCs w:val="13"/>
          </w:rPr>
          <w:t>https://www.legislation.gov.au/Details/F2017L01182</w:t>
        </w:r>
      </w:hyperlink>
      <w:r w:rsidRPr="000305C5">
        <w:rPr>
          <w:rFonts w:ascii="Century Gothic" w:hAnsi="Century Gothic"/>
          <w:sz w:val="13"/>
          <w:szCs w:val="13"/>
        </w:rPr>
        <w:t xml:space="preserve">. </w:t>
      </w:r>
    </w:p>
  </w:footnote>
  <w:footnote w:id="117">
    <w:p w14:paraId="1B430DE4"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See, for example, Curtin University PRV12158 (</w:t>
      </w:r>
      <w:hyperlink r:id="rId87" w:history="1">
        <w:r w:rsidRPr="000305C5">
          <w:rPr>
            <w:rStyle w:val="Hyperlink"/>
            <w:rFonts w:ascii="Century Gothic" w:hAnsi="Century Gothic"/>
            <w:sz w:val="13"/>
            <w:szCs w:val="13"/>
          </w:rPr>
          <w:t>www.curtin.edu.au</w:t>
        </w:r>
      </w:hyperlink>
      <w:r w:rsidRPr="000305C5">
        <w:rPr>
          <w:rFonts w:ascii="Century Gothic" w:hAnsi="Century Gothic"/>
          <w:sz w:val="13"/>
          <w:szCs w:val="13"/>
        </w:rPr>
        <w:t xml:space="preserve">).  </w:t>
      </w:r>
    </w:p>
  </w:footnote>
  <w:footnote w:id="118">
    <w:p w14:paraId="112D1CA9" w14:textId="4DD9183D"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Information sourced from a Department of Education desktop audit of registered higher education providers listed on the </w:t>
      </w:r>
      <w:r w:rsidRPr="000305C5">
        <w:rPr>
          <w:rFonts w:ascii="Century Gothic" w:hAnsi="Century Gothic"/>
          <w:sz w:val="13"/>
          <w:szCs w:val="13"/>
        </w:rPr>
        <w:br/>
        <w:t xml:space="preserve">Register in May 2019. </w:t>
      </w:r>
    </w:p>
  </w:footnote>
  <w:footnote w:id="119">
    <w:p w14:paraId="34063EB2" w14:textId="39E1E4D3"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See criterion B1.4 in </w:t>
      </w:r>
      <w:hyperlink w:anchor="_Appendix_D." w:history="1">
        <w:r w:rsidRPr="000305C5">
          <w:rPr>
            <w:rStyle w:val="Hyperlink"/>
            <w:rFonts w:ascii="Century Gothic" w:hAnsi="Century Gothic"/>
            <w:sz w:val="13"/>
            <w:szCs w:val="13"/>
          </w:rPr>
          <w:t>Appendix D</w:t>
        </w:r>
      </w:hyperlink>
      <w:r w:rsidRPr="000305C5">
        <w:rPr>
          <w:rFonts w:ascii="Century Gothic" w:hAnsi="Century Gothic"/>
          <w:sz w:val="13"/>
          <w:szCs w:val="13"/>
        </w:rPr>
        <w:t>.</w:t>
      </w:r>
    </w:p>
  </w:footnote>
  <w:footnote w:id="120">
    <w:p w14:paraId="60764D04"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Croucher, G., Goedegebuure, L., James, R., and Ahsan, A. (2018). </w:t>
      </w:r>
      <w:r w:rsidRPr="000305C5">
        <w:rPr>
          <w:rFonts w:ascii="Century Gothic" w:hAnsi="Century Gothic"/>
          <w:i/>
          <w:sz w:val="13"/>
          <w:szCs w:val="13"/>
        </w:rPr>
        <w:t>Scoping Study to Inform the Review of the Higher Education Provider Category Standards</w:t>
      </w:r>
      <w:r w:rsidRPr="000305C5">
        <w:rPr>
          <w:rFonts w:ascii="Century Gothic" w:hAnsi="Century Gothic"/>
          <w:sz w:val="13"/>
          <w:szCs w:val="13"/>
        </w:rPr>
        <w:t xml:space="preserve">. p.8. Retrieved from: </w:t>
      </w:r>
      <w:hyperlink r:id="rId88" w:history="1">
        <w:r w:rsidRPr="000305C5">
          <w:rPr>
            <w:rStyle w:val="Hyperlink"/>
            <w:rFonts w:ascii="Century Gothic" w:hAnsi="Century Gothic"/>
            <w:sz w:val="13"/>
            <w:szCs w:val="13"/>
          </w:rPr>
          <w:t>https://docs.education.gov.au/node/51736</w:t>
        </w:r>
      </w:hyperlink>
      <w:r w:rsidRPr="000305C5">
        <w:rPr>
          <w:rFonts w:ascii="Century Gothic" w:hAnsi="Century Gothic"/>
          <w:sz w:val="13"/>
          <w:szCs w:val="13"/>
        </w:rPr>
        <w:t xml:space="preserve">. </w:t>
      </w:r>
    </w:p>
  </w:footnote>
  <w:footnote w:id="121">
    <w:p w14:paraId="35757DFA" w14:textId="77777777" w:rsidR="00374E52" w:rsidRPr="000305C5" w:rsidRDefault="00374E52" w:rsidP="00D76409">
      <w:pPr>
        <w:pStyle w:val="FootnoteText"/>
        <w:spacing w:before="0"/>
        <w:rPr>
          <w:rFonts w:ascii="Century Gothic" w:hAnsi="Century Gothic"/>
          <w:sz w:val="13"/>
          <w:szCs w:val="13"/>
        </w:rPr>
      </w:pPr>
      <w:r w:rsidRPr="000305C5">
        <w:rPr>
          <w:rStyle w:val="FootnoteReference"/>
          <w:rFonts w:ascii="Century Gothic" w:hAnsi="Century Gothic"/>
          <w:sz w:val="13"/>
          <w:szCs w:val="13"/>
        </w:rPr>
        <w:footnoteRef/>
      </w:r>
      <w:r w:rsidRPr="000305C5">
        <w:rPr>
          <w:rFonts w:ascii="Century Gothic" w:hAnsi="Century Gothic"/>
          <w:sz w:val="13"/>
          <w:szCs w:val="13"/>
        </w:rPr>
        <w:t xml:space="preserve"> French, R. (2019). </w:t>
      </w:r>
      <w:r w:rsidRPr="000305C5">
        <w:rPr>
          <w:rFonts w:ascii="Century Gothic" w:hAnsi="Century Gothic"/>
          <w:i/>
          <w:sz w:val="13"/>
          <w:szCs w:val="13"/>
        </w:rPr>
        <w:t>Report of the Independent Review of Freedom of Speech in Australian Higher Education Providers</w:t>
      </w:r>
      <w:r w:rsidRPr="000305C5">
        <w:rPr>
          <w:rFonts w:ascii="Century Gothic" w:hAnsi="Century Gothic"/>
          <w:sz w:val="13"/>
          <w:szCs w:val="13"/>
        </w:rPr>
        <w:t xml:space="preserve">. p.228. Retrieved from: </w:t>
      </w:r>
      <w:hyperlink r:id="rId89" w:history="1">
        <w:r w:rsidRPr="000305C5">
          <w:rPr>
            <w:rStyle w:val="Hyperlink"/>
            <w:rFonts w:ascii="Century Gothic" w:hAnsi="Century Gothic"/>
            <w:sz w:val="13"/>
            <w:szCs w:val="13"/>
          </w:rPr>
          <w:t>https://docs.education.gov.au/node/52661</w:t>
        </w:r>
      </w:hyperlink>
      <w:r w:rsidRPr="000305C5">
        <w:rPr>
          <w:rFonts w:ascii="Century Gothic" w:hAnsi="Century Gothic"/>
          <w:sz w:val="13"/>
          <w:szCs w:val="13"/>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C182D2" w14:textId="3D8EE7CF" w:rsidR="00374E52" w:rsidRDefault="00374E52">
    <w:pPr>
      <w:pStyle w:val="Header"/>
    </w:pPr>
    <w:r w:rsidRPr="000A04F0">
      <w:rPr>
        <w:noProof/>
        <w:lang w:eastAsia="en-AU"/>
      </w:rPr>
      <w:drawing>
        <wp:anchor distT="0" distB="0" distL="114300" distR="114300" simplePos="0" relativeHeight="251680768" behindDoc="1" locked="0" layoutInCell="1" allowOverlap="1" wp14:anchorId="22B44E6F" wp14:editId="236414DA">
          <wp:simplePos x="0" y="0"/>
          <wp:positionH relativeFrom="column">
            <wp:posOffset>-904875</wp:posOffset>
          </wp:positionH>
          <wp:positionV relativeFrom="paragraph">
            <wp:posOffset>-436880</wp:posOffset>
          </wp:positionV>
          <wp:extent cx="7546631" cy="10682605"/>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special$\Tertiary Taskforce\Tertiary Project\System Architecture\PCS review\Review Report\Working Documents\ED19-0172 - HE - Higher Education Provider Category Standards Review Report_Page graphic_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6631" cy="106826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B203C" w14:textId="2E5FD73A" w:rsidR="00374E52" w:rsidRDefault="00374E52">
    <w:pPr>
      <w:pStyle w:val="Header"/>
    </w:pPr>
    <w:r w:rsidRPr="000A04F0">
      <w:rPr>
        <w:noProof/>
        <w:lang w:eastAsia="en-AU"/>
      </w:rPr>
      <w:drawing>
        <wp:anchor distT="0" distB="0" distL="114300" distR="114300" simplePos="0" relativeHeight="251679744" behindDoc="1" locked="0" layoutInCell="1" allowOverlap="1" wp14:anchorId="6E5EA78C" wp14:editId="0205239E">
          <wp:simplePos x="0" y="0"/>
          <wp:positionH relativeFrom="column">
            <wp:posOffset>-914400</wp:posOffset>
          </wp:positionH>
          <wp:positionV relativeFrom="paragraph">
            <wp:posOffset>-432723</wp:posOffset>
          </wp:positionV>
          <wp:extent cx="7559675" cy="10682565"/>
          <wp:effectExtent l="0" t="0" r="3175" b="5080"/>
          <wp:wrapNone/>
          <wp:docPr id="27" name="Picture 27" descr="\\Edu\special$\Tertiary Taskforce\Tertiary Project\System Architecture\PCS review\Review Report\Working Documents\ED19-0172 - HE - Higher Education Provider Category Standards Review Report_Page graphic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pecial$\Tertiary Taskforce\Tertiary Project\System Architecture\PCS review\Review Report\Working Documents\ED19-0172 - HE - Higher Education Provider Category Standards Review Report_Page graphic_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682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FEE8E" w14:textId="37125D7C" w:rsidR="00374E52" w:rsidRDefault="00374E52">
    <w:pPr>
      <w:pStyle w:val="Header"/>
    </w:pPr>
    <w:r w:rsidRPr="00B52F40">
      <w:rPr>
        <w:noProof/>
        <w:lang w:eastAsia="en-AU"/>
      </w:rPr>
      <w:drawing>
        <wp:anchor distT="0" distB="0" distL="114300" distR="114300" simplePos="0" relativeHeight="251704320" behindDoc="1" locked="0" layoutInCell="1" allowOverlap="1" wp14:anchorId="7221B9ED" wp14:editId="555E2E39">
          <wp:simplePos x="0" y="0"/>
          <wp:positionH relativeFrom="column">
            <wp:posOffset>-923087</wp:posOffset>
          </wp:positionH>
          <wp:positionV relativeFrom="paragraph">
            <wp:posOffset>-478155</wp:posOffset>
          </wp:positionV>
          <wp:extent cx="7580300" cy="10708154"/>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pecial$\Tertiary Taskforce\Tertiary Project\System Architecture\PCS review\Review Report\Working Documents\Design\ED19-0172 - HE - Higher Education Provider Category Standards Review Report_Page graphic_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0300" cy="1070815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9AE2F" w14:textId="5699217B" w:rsidR="00374E52" w:rsidRDefault="00374E52">
    <w:pPr>
      <w:pStyle w:val="Header"/>
    </w:pPr>
    <w:r w:rsidRPr="000A04F0">
      <w:rPr>
        <w:noProof/>
        <w:lang w:eastAsia="en-AU"/>
      </w:rPr>
      <w:drawing>
        <wp:anchor distT="0" distB="0" distL="114300" distR="114300" simplePos="0" relativeHeight="251708416" behindDoc="1" locked="0" layoutInCell="1" allowOverlap="1" wp14:anchorId="47A630FF" wp14:editId="59EA88F0">
          <wp:simplePos x="0" y="0"/>
          <wp:positionH relativeFrom="column">
            <wp:posOffset>-911022</wp:posOffset>
          </wp:positionH>
          <wp:positionV relativeFrom="paragraph">
            <wp:posOffset>-451485</wp:posOffset>
          </wp:positionV>
          <wp:extent cx="7559675" cy="10681970"/>
          <wp:effectExtent l="0" t="0" r="3175"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pecial$\Tertiary Taskforce\Tertiary Project\System Architecture\PCS review\Review Report\Working Documents\ED19-0172 - HE - Higher Education Provider Category Standards Review Report_Page graphic_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836EE" w14:textId="2DD09C8B" w:rsidR="00374E52" w:rsidRDefault="00374E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B2EED" w14:textId="478357CC" w:rsidR="00374E52" w:rsidRDefault="00374E52">
    <w:pPr>
      <w:pStyle w:val="Header"/>
    </w:pPr>
    <w:r w:rsidRPr="00B52F40">
      <w:rPr>
        <w:noProof/>
        <w:lang w:eastAsia="en-AU"/>
      </w:rPr>
      <w:drawing>
        <wp:anchor distT="0" distB="0" distL="114300" distR="114300" simplePos="0" relativeHeight="251702272" behindDoc="1" locked="0" layoutInCell="1" allowOverlap="1" wp14:anchorId="6F577D31" wp14:editId="0D9953BE">
          <wp:simplePos x="0" y="0"/>
          <wp:positionH relativeFrom="column">
            <wp:posOffset>-930072</wp:posOffset>
          </wp:positionH>
          <wp:positionV relativeFrom="paragraph">
            <wp:posOffset>-478155</wp:posOffset>
          </wp:positionV>
          <wp:extent cx="7587459" cy="10718268"/>
          <wp:effectExtent l="0" t="0" r="0" b="698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pecial$\Tertiary Taskforce\Tertiary Project\System Architecture\PCS review\Review Report\Working Documents\Design\ED19-0172 - HE - Higher Education Provider Category Standards Review Report_Page graphic_Lef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87459" cy="1071826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A4A1C" w14:textId="14CBFE69" w:rsidR="00374E52" w:rsidRDefault="00374E52">
    <w:pPr>
      <w:pStyle w:val="Header"/>
    </w:pPr>
    <w:r w:rsidRPr="000A04F0">
      <w:rPr>
        <w:noProof/>
        <w:lang w:eastAsia="en-AU"/>
      </w:rPr>
      <w:drawing>
        <wp:anchor distT="0" distB="0" distL="114300" distR="114300" simplePos="0" relativeHeight="251682816" behindDoc="1" locked="0" layoutInCell="1" allowOverlap="1" wp14:anchorId="70AAD74D" wp14:editId="15B9EC2C">
          <wp:simplePos x="0" y="0"/>
          <wp:positionH relativeFrom="column">
            <wp:posOffset>-919277</wp:posOffset>
          </wp:positionH>
          <wp:positionV relativeFrom="paragraph">
            <wp:posOffset>-443865</wp:posOffset>
          </wp:positionV>
          <wp:extent cx="7559675" cy="10681970"/>
          <wp:effectExtent l="0" t="0" r="3175"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special$\Tertiary Taskforce\Tertiary Project\System Architecture\PCS review\Review Report\Working Documents\ED19-0172 - HE - Higher Education Provider Category Standards Review Report_Page graphic_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10681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0B2">
      <w:rPr>
        <w:noProof/>
      </w:rPr>
      <w:pict w14:anchorId="1EA8C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09pt;height:127.25pt;rotation:315;z-index:-251642880;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8F024" w14:textId="4BA657CE" w:rsidR="00374E52" w:rsidRDefault="00DB40B2">
    <w:pPr>
      <w:pStyle w:val="Header"/>
    </w:pPr>
    <w:r>
      <w:rPr>
        <w:noProof/>
      </w:rPr>
      <w:pict w14:anchorId="62AD74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9pt;height:127.25pt;rotation:315;z-index:-251644928;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C8290E4"/>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04E06B5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E61FF9"/>
    <w:multiLevelType w:val="hybridMultilevel"/>
    <w:tmpl w:val="897AA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FE1937"/>
    <w:multiLevelType w:val="hybridMultilevel"/>
    <w:tmpl w:val="03680370"/>
    <w:lvl w:ilvl="0" w:tplc="6382D994">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E68CD"/>
    <w:multiLevelType w:val="hybridMultilevel"/>
    <w:tmpl w:val="3DC04A82"/>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144AB4"/>
    <w:multiLevelType w:val="hybridMultilevel"/>
    <w:tmpl w:val="8572E4BC"/>
    <w:lvl w:ilvl="0" w:tplc="0C090005">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7E4B42"/>
    <w:multiLevelType w:val="hybridMultilevel"/>
    <w:tmpl w:val="0F325F8A"/>
    <w:lvl w:ilvl="0" w:tplc="B1966E7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FC3876"/>
    <w:multiLevelType w:val="hybridMultilevel"/>
    <w:tmpl w:val="842055AA"/>
    <w:lvl w:ilvl="0" w:tplc="BE6CA7A0">
      <w:start w:val="1"/>
      <w:numFmt w:val="bullet"/>
      <w:lvlText w:val=""/>
      <w:lvlJc w:val="left"/>
      <w:pPr>
        <w:ind w:left="781" w:hanging="360"/>
      </w:pPr>
      <w:rPr>
        <w:rFonts w:ascii="Wingdings" w:hAnsi="Wingdings" w:hint="default"/>
        <w:color w:val="00913C"/>
        <w:sz w:val="24"/>
        <w:szCs w:val="24"/>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8" w15:restartNumberingAfterBreak="0">
    <w:nsid w:val="0B4A48DF"/>
    <w:multiLevelType w:val="hybridMultilevel"/>
    <w:tmpl w:val="CAC44D8E"/>
    <w:lvl w:ilvl="0" w:tplc="C4A4839E">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7070A6"/>
    <w:multiLevelType w:val="hybridMultilevel"/>
    <w:tmpl w:val="1054DA24"/>
    <w:lvl w:ilvl="0" w:tplc="56E63C56">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BE176C9"/>
    <w:multiLevelType w:val="multilevel"/>
    <w:tmpl w:val="D9EE14E0"/>
    <w:lvl w:ilvl="0">
      <w:start w:val="1"/>
      <w:numFmt w:val="decimal"/>
      <w:pStyle w:val="Heading1Numbered"/>
      <w:suff w:val="space"/>
      <w:lvlText w:val="Chapter %1:"/>
      <w:lvlJc w:val="left"/>
      <w:pPr>
        <w:ind w:left="0" w:firstLine="0"/>
      </w:pPr>
      <w:rPr>
        <w:rFonts w:hint="default"/>
      </w:rPr>
    </w:lvl>
    <w:lvl w:ilvl="1">
      <w:start w:val="1"/>
      <w:numFmt w:val="decimal"/>
      <w:pStyle w:val="Heading2numbered"/>
      <w:lvlText w:val="%1.%2"/>
      <w:lvlJc w:val="left"/>
      <w:pPr>
        <w:tabs>
          <w:tab w:val="num" w:pos="680"/>
        </w:tabs>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DB91FA6"/>
    <w:multiLevelType w:val="hybridMultilevel"/>
    <w:tmpl w:val="95406106"/>
    <w:lvl w:ilvl="0" w:tplc="BE6CA7A0">
      <w:start w:val="1"/>
      <w:numFmt w:val="bullet"/>
      <w:lvlText w:val=""/>
      <w:lvlJc w:val="left"/>
      <w:pPr>
        <w:ind w:left="765" w:hanging="360"/>
      </w:pPr>
      <w:rPr>
        <w:rFonts w:ascii="Wingdings" w:hAnsi="Wingdings" w:hint="default"/>
        <w:color w:val="00913C"/>
        <w:sz w:val="24"/>
        <w:szCs w:val="24"/>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2" w15:restartNumberingAfterBreak="0">
    <w:nsid w:val="0E2B34FD"/>
    <w:multiLevelType w:val="hybridMultilevel"/>
    <w:tmpl w:val="B96E626A"/>
    <w:lvl w:ilvl="0" w:tplc="0960FE44">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00958FC"/>
    <w:multiLevelType w:val="hybridMultilevel"/>
    <w:tmpl w:val="2E7EDFBA"/>
    <w:lvl w:ilvl="0" w:tplc="96942578">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E25B9F"/>
    <w:multiLevelType w:val="hybridMultilevel"/>
    <w:tmpl w:val="639A68C8"/>
    <w:lvl w:ilvl="0" w:tplc="5AD882B6">
      <w:start w:val="3"/>
      <w:numFmt w:val="decimal"/>
      <w:lvlText w:val="5.%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6A104A"/>
    <w:multiLevelType w:val="hybridMultilevel"/>
    <w:tmpl w:val="2222CB8A"/>
    <w:lvl w:ilvl="0" w:tplc="B6207760">
      <w:start w:val="3"/>
      <w:numFmt w:val="decimal"/>
      <w:lvlText w:val="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AE7C1D"/>
    <w:multiLevelType w:val="hybridMultilevel"/>
    <w:tmpl w:val="7E667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15:restartNumberingAfterBreak="0">
    <w:nsid w:val="16AA3867"/>
    <w:multiLevelType w:val="hybridMultilevel"/>
    <w:tmpl w:val="D24A0BE0"/>
    <w:lvl w:ilvl="0" w:tplc="10E0E20E">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6F32C2"/>
    <w:multiLevelType w:val="hybridMultilevel"/>
    <w:tmpl w:val="CFAA58F4"/>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231A5F"/>
    <w:multiLevelType w:val="multilevel"/>
    <w:tmpl w:val="4808D586"/>
    <w:lvl w:ilvl="0">
      <w:start w:val="2"/>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18680F6D"/>
    <w:multiLevelType w:val="hybridMultilevel"/>
    <w:tmpl w:val="A8AA2A82"/>
    <w:lvl w:ilvl="0" w:tplc="331291FA">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89C5916"/>
    <w:multiLevelType w:val="hybridMultilevel"/>
    <w:tmpl w:val="AF4ED902"/>
    <w:lvl w:ilvl="0" w:tplc="0C090017">
      <w:start w:val="1"/>
      <w:numFmt w:val="lowerLetter"/>
      <w:lvlText w:val="%1)"/>
      <w:lvlJc w:val="left"/>
      <w:pPr>
        <w:ind w:left="360" w:hanging="360"/>
      </w:pPr>
    </w:lvl>
    <w:lvl w:ilvl="1" w:tplc="0C09000F">
      <w:start w:val="1"/>
      <w:numFmt w:val="decimal"/>
      <w:lvlText w:val="%2."/>
      <w:lvlJc w:val="left"/>
      <w:pPr>
        <w:ind w:left="1080" w:hanging="360"/>
      </w:pPr>
      <w:rPr>
        <w:rFonts w:hint="default"/>
      </w:rPr>
    </w:lvl>
    <w:lvl w:ilvl="2" w:tplc="BE6CA7A0">
      <w:start w:val="1"/>
      <w:numFmt w:val="bullet"/>
      <w:lvlText w:val=""/>
      <w:lvlJc w:val="left"/>
      <w:pPr>
        <w:ind w:left="1800" w:hanging="180"/>
      </w:pPr>
      <w:rPr>
        <w:rFonts w:ascii="Wingdings" w:hAnsi="Wingdings" w:hint="default"/>
        <w:color w:val="00913C"/>
        <w:sz w:val="24"/>
        <w:szCs w:val="24"/>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9C724EB"/>
    <w:multiLevelType w:val="hybridMultilevel"/>
    <w:tmpl w:val="965A636C"/>
    <w:lvl w:ilvl="0" w:tplc="9D64B43A">
      <w:start w:val="1"/>
      <w:numFmt w:val="lowerLetter"/>
      <w:lvlText w:val="%1."/>
      <w:lvlJc w:val="left"/>
      <w:pPr>
        <w:ind w:left="436" w:hanging="360"/>
      </w:pPr>
      <w:rPr>
        <w:color w:val="auto"/>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24" w15:restartNumberingAfterBreak="0">
    <w:nsid w:val="1E695A2B"/>
    <w:multiLevelType w:val="hybridMultilevel"/>
    <w:tmpl w:val="8544E360"/>
    <w:lvl w:ilvl="0" w:tplc="6B9C966C">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8224E2"/>
    <w:multiLevelType w:val="multilevel"/>
    <w:tmpl w:val="9AAADADC"/>
    <w:numStyleLink w:val="Style1"/>
  </w:abstractNum>
  <w:abstractNum w:abstractNumId="26" w15:restartNumberingAfterBreak="0">
    <w:nsid w:val="2299009F"/>
    <w:multiLevelType w:val="hybridMultilevel"/>
    <w:tmpl w:val="F462E0C2"/>
    <w:lvl w:ilvl="0" w:tplc="47EC9F6C">
      <w:start w:val="1"/>
      <w:numFmt w:val="bullet"/>
      <w:lvlText w:val=""/>
      <w:lvlJc w:val="left"/>
      <w:pPr>
        <w:ind w:left="720" w:hanging="360"/>
      </w:pPr>
      <w:rPr>
        <w:rFonts w:ascii="Wingdings" w:hAnsi="Wingdings" w:hint="default"/>
        <w:color w:val="00913C"/>
        <w:sz w:val="13"/>
        <w:szCs w:val="1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A26090"/>
    <w:multiLevelType w:val="hybridMultilevel"/>
    <w:tmpl w:val="C7BE47B2"/>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BC10DB"/>
    <w:multiLevelType w:val="hybridMultilevel"/>
    <w:tmpl w:val="FC668318"/>
    <w:lvl w:ilvl="0" w:tplc="A27E532A">
      <w:start w:val="1"/>
      <w:numFmt w:val="decimal"/>
      <w:lvlText w:val="%1."/>
      <w:lvlJc w:val="left"/>
      <w:pPr>
        <w:ind w:left="644" w:hanging="360"/>
      </w:pPr>
      <w:rPr>
        <w:rFonts w:ascii="Century Gothic" w:hAnsi="Century Gothic" w:cstheme="minorHAnsi" w:hint="default"/>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2B82580C"/>
    <w:multiLevelType w:val="hybridMultilevel"/>
    <w:tmpl w:val="0AB2C3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C625E5D"/>
    <w:multiLevelType w:val="hybridMultilevel"/>
    <w:tmpl w:val="E670065A"/>
    <w:lvl w:ilvl="0" w:tplc="B04E3C50">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E5400F9"/>
    <w:multiLevelType w:val="hybridMultilevel"/>
    <w:tmpl w:val="DF0C5430"/>
    <w:lvl w:ilvl="0" w:tplc="232E156C">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F7A0830"/>
    <w:multiLevelType w:val="hybridMultilevel"/>
    <w:tmpl w:val="778EFD5C"/>
    <w:lvl w:ilvl="0" w:tplc="BE6CA7A0">
      <w:start w:val="1"/>
      <w:numFmt w:val="bullet"/>
      <w:lvlText w:val=""/>
      <w:lvlJc w:val="left"/>
      <w:pPr>
        <w:ind w:left="720" w:hanging="360"/>
      </w:pPr>
      <w:rPr>
        <w:rFonts w:ascii="Wingdings" w:hAnsi="Wingdings" w:hint="default"/>
        <w:color w:val="00913C"/>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5204843"/>
    <w:multiLevelType w:val="hybridMultilevel"/>
    <w:tmpl w:val="CB90EA1C"/>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3965B8"/>
    <w:multiLevelType w:val="hybridMultilevel"/>
    <w:tmpl w:val="53FA124E"/>
    <w:lvl w:ilvl="0" w:tplc="BE6CA7A0">
      <w:start w:val="1"/>
      <w:numFmt w:val="bullet"/>
      <w:lvlText w:val=""/>
      <w:lvlJc w:val="left"/>
      <w:pPr>
        <w:ind w:left="775" w:hanging="360"/>
      </w:pPr>
      <w:rPr>
        <w:rFonts w:ascii="Wingdings" w:hAnsi="Wingdings" w:hint="default"/>
        <w:color w:val="00913C"/>
        <w:sz w:val="24"/>
        <w:szCs w:val="24"/>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5" w15:restartNumberingAfterBreak="0">
    <w:nsid w:val="37602B72"/>
    <w:multiLevelType w:val="hybridMultilevel"/>
    <w:tmpl w:val="1668E108"/>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BCA7414"/>
    <w:multiLevelType w:val="hybridMultilevel"/>
    <w:tmpl w:val="1256E4CE"/>
    <w:lvl w:ilvl="0" w:tplc="518CBC3E">
      <w:start w:val="1"/>
      <w:numFmt w:val="bullet"/>
      <w:lvlText w:val=""/>
      <w:lvlJc w:val="left"/>
      <w:pPr>
        <w:ind w:left="750" w:hanging="360"/>
      </w:pPr>
      <w:rPr>
        <w:rFonts w:ascii="Wingdings" w:hAnsi="Wingdings" w:hint="default"/>
        <w:color w:val="00913C"/>
        <w:sz w:val="24"/>
        <w:szCs w:val="24"/>
      </w:rPr>
    </w:lvl>
    <w:lvl w:ilvl="1" w:tplc="0C090003" w:tentative="1">
      <w:start w:val="1"/>
      <w:numFmt w:val="bullet"/>
      <w:lvlText w:val="o"/>
      <w:lvlJc w:val="left"/>
      <w:pPr>
        <w:ind w:left="1470" w:hanging="360"/>
      </w:pPr>
      <w:rPr>
        <w:rFonts w:ascii="Courier New" w:hAnsi="Courier New" w:cs="Courier New" w:hint="default"/>
      </w:rPr>
    </w:lvl>
    <w:lvl w:ilvl="2" w:tplc="0C090005" w:tentative="1">
      <w:start w:val="1"/>
      <w:numFmt w:val="bullet"/>
      <w:lvlText w:val=""/>
      <w:lvlJc w:val="left"/>
      <w:pPr>
        <w:ind w:left="2190" w:hanging="360"/>
      </w:pPr>
      <w:rPr>
        <w:rFonts w:ascii="Wingdings" w:hAnsi="Wingdings" w:hint="default"/>
      </w:rPr>
    </w:lvl>
    <w:lvl w:ilvl="3" w:tplc="0C090001" w:tentative="1">
      <w:start w:val="1"/>
      <w:numFmt w:val="bullet"/>
      <w:lvlText w:val=""/>
      <w:lvlJc w:val="left"/>
      <w:pPr>
        <w:ind w:left="2910" w:hanging="360"/>
      </w:pPr>
      <w:rPr>
        <w:rFonts w:ascii="Symbol" w:hAnsi="Symbol" w:hint="default"/>
      </w:rPr>
    </w:lvl>
    <w:lvl w:ilvl="4" w:tplc="0C090003" w:tentative="1">
      <w:start w:val="1"/>
      <w:numFmt w:val="bullet"/>
      <w:lvlText w:val="o"/>
      <w:lvlJc w:val="left"/>
      <w:pPr>
        <w:ind w:left="3630" w:hanging="360"/>
      </w:pPr>
      <w:rPr>
        <w:rFonts w:ascii="Courier New" w:hAnsi="Courier New" w:cs="Courier New" w:hint="default"/>
      </w:rPr>
    </w:lvl>
    <w:lvl w:ilvl="5" w:tplc="0C090005" w:tentative="1">
      <w:start w:val="1"/>
      <w:numFmt w:val="bullet"/>
      <w:lvlText w:val=""/>
      <w:lvlJc w:val="left"/>
      <w:pPr>
        <w:ind w:left="4350" w:hanging="360"/>
      </w:pPr>
      <w:rPr>
        <w:rFonts w:ascii="Wingdings" w:hAnsi="Wingdings" w:hint="default"/>
      </w:rPr>
    </w:lvl>
    <w:lvl w:ilvl="6" w:tplc="0C090001" w:tentative="1">
      <w:start w:val="1"/>
      <w:numFmt w:val="bullet"/>
      <w:lvlText w:val=""/>
      <w:lvlJc w:val="left"/>
      <w:pPr>
        <w:ind w:left="5070" w:hanging="360"/>
      </w:pPr>
      <w:rPr>
        <w:rFonts w:ascii="Symbol" w:hAnsi="Symbol" w:hint="default"/>
      </w:rPr>
    </w:lvl>
    <w:lvl w:ilvl="7" w:tplc="0C090003" w:tentative="1">
      <w:start w:val="1"/>
      <w:numFmt w:val="bullet"/>
      <w:lvlText w:val="o"/>
      <w:lvlJc w:val="left"/>
      <w:pPr>
        <w:ind w:left="5790" w:hanging="360"/>
      </w:pPr>
      <w:rPr>
        <w:rFonts w:ascii="Courier New" w:hAnsi="Courier New" w:cs="Courier New" w:hint="default"/>
      </w:rPr>
    </w:lvl>
    <w:lvl w:ilvl="8" w:tplc="0C090005" w:tentative="1">
      <w:start w:val="1"/>
      <w:numFmt w:val="bullet"/>
      <w:lvlText w:val=""/>
      <w:lvlJc w:val="left"/>
      <w:pPr>
        <w:ind w:left="6510" w:hanging="360"/>
      </w:pPr>
      <w:rPr>
        <w:rFonts w:ascii="Wingdings" w:hAnsi="Wingdings" w:hint="default"/>
      </w:rPr>
    </w:lvl>
  </w:abstractNum>
  <w:abstractNum w:abstractNumId="37" w15:restartNumberingAfterBreak="0">
    <w:nsid w:val="3CDF029B"/>
    <w:multiLevelType w:val="hybridMultilevel"/>
    <w:tmpl w:val="2D580608"/>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CE425FC"/>
    <w:multiLevelType w:val="hybridMultilevel"/>
    <w:tmpl w:val="21900AF6"/>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D077F9E"/>
    <w:multiLevelType w:val="hybridMultilevel"/>
    <w:tmpl w:val="6F0EE4A6"/>
    <w:lvl w:ilvl="0" w:tplc="47EC9F6C">
      <w:start w:val="1"/>
      <w:numFmt w:val="bullet"/>
      <w:lvlText w:val=""/>
      <w:lvlJc w:val="left"/>
      <w:pPr>
        <w:ind w:left="720" w:hanging="360"/>
      </w:pPr>
      <w:rPr>
        <w:rFonts w:ascii="Wingdings" w:hAnsi="Wingdings" w:hint="default"/>
        <w:color w:val="00913C"/>
        <w:sz w:val="13"/>
        <w:szCs w:val="1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245055"/>
    <w:multiLevelType w:val="hybridMultilevel"/>
    <w:tmpl w:val="4D762162"/>
    <w:lvl w:ilvl="0" w:tplc="10CA5BCA">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E981BF0"/>
    <w:multiLevelType w:val="hybridMultilevel"/>
    <w:tmpl w:val="02745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863C35"/>
    <w:multiLevelType w:val="multilevel"/>
    <w:tmpl w:val="13003D80"/>
    <w:styleLink w:val="RSCBNumberList1"/>
    <w:lvl w:ilvl="0">
      <w:start w:val="1"/>
      <w:numFmt w:val="decimal"/>
      <w:pStyle w:val="ListNumber"/>
      <w:lvlText w:val="%1."/>
      <w:lvlJc w:val="left"/>
      <w:pPr>
        <w:ind w:left="284" w:hanging="284"/>
      </w:pPr>
      <w:rPr>
        <w:rFonts w:hint="default"/>
      </w:rPr>
    </w:lvl>
    <w:lvl w:ilvl="1">
      <w:start w:val="1"/>
      <w:numFmt w:val="decimal"/>
      <w:pStyle w:val="ListNumber2"/>
      <w:lvlText w:val="%2.%1."/>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43747C81"/>
    <w:multiLevelType w:val="hybridMultilevel"/>
    <w:tmpl w:val="637032D0"/>
    <w:lvl w:ilvl="0" w:tplc="89306B22">
      <w:start w:val="1"/>
      <w:numFmt w:val="decimal"/>
      <w:lvlText w:val="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44C4910"/>
    <w:multiLevelType w:val="hybridMultilevel"/>
    <w:tmpl w:val="1710422E"/>
    <w:lvl w:ilvl="0" w:tplc="6FE4E9A2">
      <w:start w:val="1"/>
      <w:numFmt w:val="decimal"/>
      <w:lvlText w:val="%1."/>
      <w:lvlJc w:val="left"/>
      <w:pPr>
        <w:ind w:left="360" w:hanging="360"/>
      </w:pPr>
      <w:rPr>
        <w:rFonts w:ascii="Century Gothic" w:hAnsi="Century Gothic" w:cstheme="minorHAns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46A7324E"/>
    <w:multiLevelType w:val="hybridMultilevel"/>
    <w:tmpl w:val="5224A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81B72A5"/>
    <w:multiLevelType w:val="multilevel"/>
    <w:tmpl w:val="7A22DE42"/>
    <w:lvl w:ilvl="0">
      <w:start w:val="2"/>
      <w:numFmt w:val="decimal"/>
      <w:lvlText w:val="%1"/>
      <w:lvlJc w:val="left"/>
      <w:pPr>
        <w:ind w:left="360" w:hanging="360"/>
      </w:pPr>
      <w:rPr>
        <w:rFonts w:hint="default"/>
      </w:rPr>
    </w:lvl>
    <w:lvl w:ilvl="1">
      <w:start w:val="6"/>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8C86F05"/>
    <w:multiLevelType w:val="multilevel"/>
    <w:tmpl w:val="0D20D096"/>
    <w:lvl w:ilvl="0">
      <w:start w:val="1"/>
      <w:numFmt w:val="bullet"/>
      <w:lvlText w:val=""/>
      <w:lvlJc w:val="left"/>
      <w:pPr>
        <w:tabs>
          <w:tab w:val="num" w:pos="720"/>
        </w:tabs>
        <w:ind w:left="720" w:hanging="360"/>
      </w:pPr>
      <w:rPr>
        <w:rFonts w:ascii="Wingdings" w:hAnsi="Wingdings" w:hint="default"/>
        <w:color w:val="00913C"/>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CDC5D4E"/>
    <w:multiLevelType w:val="hybridMultilevel"/>
    <w:tmpl w:val="5A26DD28"/>
    <w:lvl w:ilvl="0" w:tplc="C7582AD0">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EA13487"/>
    <w:multiLevelType w:val="hybridMultilevel"/>
    <w:tmpl w:val="F92CC808"/>
    <w:lvl w:ilvl="0" w:tplc="7E0ADD60">
      <w:start w:val="1"/>
      <w:numFmt w:val="decimal"/>
      <w:lvlText w:val="%1."/>
      <w:lvlJc w:val="left"/>
      <w:pPr>
        <w:ind w:left="360" w:hanging="360"/>
      </w:pPr>
      <w:rPr>
        <w:rFonts w:ascii="Century Gothic" w:hAnsi="Century Gothic" w:cstheme="minorHAns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4FAA791E"/>
    <w:multiLevelType w:val="hybridMultilevel"/>
    <w:tmpl w:val="332CA4BC"/>
    <w:lvl w:ilvl="0" w:tplc="0C090005">
      <w:start w:val="1"/>
      <w:numFmt w:val="bullet"/>
      <w:lvlText w:val=""/>
      <w:lvlJc w:val="left"/>
      <w:pPr>
        <w:ind w:left="720" w:hanging="360"/>
      </w:pPr>
      <w:rPr>
        <w:rFonts w:ascii="Wingdings" w:hAnsi="Wingdings" w:hint="default"/>
        <w:color w:val="00913C"/>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4FE83F48"/>
    <w:multiLevelType w:val="hybridMultilevel"/>
    <w:tmpl w:val="BD2A86A2"/>
    <w:lvl w:ilvl="0" w:tplc="93E2E658">
      <w:start w:val="1"/>
      <w:numFmt w:val="bullet"/>
      <w:lvlText w:val=""/>
      <w:lvlJc w:val="left"/>
      <w:pPr>
        <w:ind w:left="775" w:hanging="360"/>
      </w:pPr>
      <w:rPr>
        <w:rFonts w:ascii="Wingdings" w:hAnsi="Wingdings" w:hint="default"/>
        <w:color w:val="00913C"/>
        <w:sz w:val="24"/>
        <w:szCs w:val="24"/>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52" w15:restartNumberingAfterBreak="0">
    <w:nsid w:val="53117E87"/>
    <w:multiLevelType w:val="hybridMultilevel"/>
    <w:tmpl w:val="BB30BC6A"/>
    <w:lvl w:ilvl="0" w:tplc="BE52D1E4">
      <w:start w:val="1"/>
      <w:numFmt w:val="decimal"/>
      <w:lvlText w:val="%1."/>
      <w:lvlJc w:val="left"/>
      <w:pPr>
        <w:ind w:left="360" w:hanging="360"/>
      </w:pPr>
      <w:rPr>
        <w:rFonts w:ascii="Century Gothic" w:hAnsi="Century Gothic" w:cstheme="minorHAns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53C21082"/>
    <w:multiLevelType w:val="hybridMultilevel"/>
    <w:tmpl w:val="08EC8B2E"/>
    <w:lvl w:ilvl="0" w:tplc="0C090005">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4371604"/>
    <w:multiLevelType w:val="hybridMultilevel"/>
    <w:tmpl w:val="8C18F0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55600227"/>
    <w:multiLevelType w:val="hybridMultilevel"/>
    <w:tmpl w:val="6D50FEFA"/>
    <w:lvl w:ilvl="0" w:tplc="BE6CA7A0">
      <w:start w:val="1"/>
      <w:numFmt w:val="bullet"/>
      <w:lvlText w:val=""/>
      <w:lvlJc w:val="left"/>
      <w:pPr>
        <w:ind w:left="720" w:hanging="360"/>
      </w:pPr>
      <w:rPr>
        <w:rFonts w:ascii="Wingdings" w:hAnsi="Wingdings" w:hint="default"/>
        <w:color w:val="00913C"/>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559A491E"/>
    <w:multiLevelType w:val="hybridMultilevel"/>
    <w:tmpl w:val="CE24B5AE"/>
    <w:lvl w:ilvl="0" w:tplc="0C09001B">
      <w:start w:val="1"/>
      <w:numFmt w:val="lowerRoman"/>
      <w:lvlText w:val="%1."/>
      <w:lvlJc w:val="right"/>
      <w:pPr>
        <w:ind w:left="1485" w:hanging="360"/>
      </w:pPr>
      <w:rPr>
        <w:rFonts w:hint="default"/>
      </w:r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57" w15:restartNumberingAfterBreak="0">
    <w:nsid w:val="56B53150"/>
    <w:multiLevelType w:val="hybridMultilevel"/>
    <w:tmpl w:val="4DDE8D72"/>
    <w:lvl w:ilvl="0" w:tplc="E46C9BAA">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7C0588"/>
    <w:multiLevelType w:val="hybridMultilevel"/>
    <w:tmpl w:val="D45432FE"/>
    <w:lvl w:ilvl="0" w:tplc="BE6CA7A0">
      <w:start w:val="1"/>
      <w:numFmt w:val="bullet"/>
      <w:lvlText w:val=""/>
      <w:lvlJc w:val="left"/>
      <w:pPr>
        <w:ind w:left="786" w:hanging="360"/>
      </w:pPr>
      <w:rPr>
        <w:rFonts w:ascii="Wingdings" w:hAnsi="Wingdings" w:hint="default"/>
        <w:color w:val="00913C"/>
        <w:sz w:val="24"/>
        <w:szCs w:val="24"/>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59" w15:restartNumberingAfterBreak="0">
    <w:nsid w:val="57DD04F5"/>
    <w:multiLevelType w:val="multilevel"/>
    <w:tmpl w:val="13003D80"/>
    <w:numStyleLink w:val="RSCBNumberList1"/>
  </w:abstractNum>
  <w:abstractNum w:abstractNumId="60" w15:restartNumberingAfterBreak="0">
    <w:nsid w:val="58B84EDB"/>
    <w:multiLevelType w:val="hybridMultilevel"/>
    <w:tmpl w:val="FD5C6EA4"/>
    <w:lvl w:ilvl="0" w:tplc="BE6CA7A0">
      <w:start w:val="1"/>
      <w:numFmt w:val="bullet"/>
      <w:lvlText w:val=""/>
      <w:lvlJc w:val="left"/>
      <w:pPr>
        <w:ind w:left="720" w:hanging="360"/>
      </w:pPr>
      <w:rPr>
        <w:rFonts w:ascii="Wingdings" w:hAnsi="Wingdings" w:hint="default"/>
        <w:color w:val="00913C"/>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7139D6"/>
    <w:multiLevelType w:val="hybridMultilevel"/>
    <w:tmpl w:val="4D3A08A6"/>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B964A85"/>
    <w:multiLevelType w:val="multilevel"/>
    <w:tmpl w:val="6D722D2E"/>
    <w:lvl w:ilvl="0">
      <w:start w:val="2"/>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63D47D50"/>
    <w:multiLevelType w:val="hybridMultilevel"/>
    <w:tmpl w:val="4F7CD6BA"/>
    <w:lvl w:ilvl="0" w:tplc="9592A202">
      <w:start w:val="2"/>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5523E8A"/>
    <w:multiLevelType w:val="hybridMultilevel"/>
    <w:tmpl w:val="CE24B5AE"/>
    <w:lvl w:ilvl="0" w:tplc="0C09001B">
      <w:start w:val="1"/>
      <w:numFmt w:val="lowerRoman"/>
      <w:lvlText w:val="%1."/>
      <w:lvlJc w:val="right"/>
      <w:pPr>
        <w:ind w:left="1485" w:hanging="360"/>
      </w:pPr>
      <w:rPr>
        <w:rFonts w:hint="default"/>
      </w:r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65" w15:restartNumberingAfterBreak="0">
    <w:nsid w:val="6818321D"/>
    <w:multiLevelType w:val="hybridMultilevel"/>
    <w:tmpl w:val="CFD229A2"/>
    <w:lvl w:ilvl="0" w:tplc="0C090005">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C447DD"/>
    <w:multiLevelType w:val="multilevel"/>
    <w:tmpl w:val="9AAADADC"/>
    <w:styleLink w:val="Style1"/>
    <w:lvl w:ilvl="0">
      <w:start w:val="1"/>
      <w:numFmt w:val="bullet"/>
      <w:pStyle w:val="ListBullet"/>
      <w:lvlText w:val=""/>
      <w:lvlJc w:val="left"/>
      <w:pPr>
        <w:tabs>
          <w:tab w:val="num" w:pos="284"/>
        </w:tabs>
        <w:ind w:left="284" w:hanging="284"/>
      </w:pPr>
      <w:rPr>
        <w:rFonts w:ascii="Symbol" w:hAnsi="Symbol" w:hint="default"/>
      </w:rPr>
    </w:lvl>
    <w:lvl w:ilvl="1">
      <w:start w:val="1"/>
      <w:numFmt w:val="bullet"/>
      <w:pStyle w:val="ListBullet2"/>
      <w:lvlText w:val="o"/>
      <w:lvlJc w:val="left"/>
      <w:pPr>
        <w:tabs>
          <w:tab w:val="num" w:pos="567"/>
        </w:tabs>
        <w:ind w:left="567" w:hanging="283"/>
      </w:pPr>
      <w:rPr>
        <w:rFonts w:ascii="Courier New" w:hAnsi="Courier New" w:hint="default"/>
      </w:rPr>
    </w:lvl>
    <w:lvl w:ilvl="2">
      <w:start w:val="1"/>
      <w:numFmt w:val="bullet"/>
      <w:pStyle w:val="ListBullet3"/>
      <w:lvlText w:val=""/>
      <w:lvlJc w:val="left"/>
      <w:pPr>
        <w:tabs>
          <w:tab w:val="num" w:pos="851"/>
        </w:tabs>
        <w:ind w:left="851" w:hanging="284"/>
      </w:pPr>
      <w:rPr>
        <w:rFonts w:ascii="Wingdings" w:hAnsi="Wingdings" w:hint="default"/>
        <w:position w:val="-4"/>
        <w:sz w:val="28"/>
      </w:rPr>
    </w:lvl>
    <w:lvl w:ilvl="3">
      <w:start w:val="1"/>
      <w:numFmt w:val="bullet"/>
      <w:pStyle w:val="ListBullet4"/>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B353176"/>
    <w:multiLevelType w:val="hybridMultilevel"/>
    <w:tmpl w:val="6F1A965C"/>
    <w:lvl w:ilvl="0" w:tplc="7144AD38">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F9F798E"/>
    <w:multiLevelType w:val="hybridMultilevel"/>
    <w:tmpl w:val="3F48032E"/>
    <w:lvl w:ilvl="0" w:tplc="4B9AC1E0">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24D4055"/>
    <w:multiLevelType w:val="hybridMultilevel"/>
    <w:tmpl w:val="669034BA"/>
    <w:lvl w:ilvl="0" w:tplc="0E261DDC">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2950CD5"/>
    <w:multiLevelType w:val="hybridMultilevel"/>
    <w:tmpl w:val="CC90348C"/>
    <w:lvl w:ilvl="0" w:tplc="8F0AD68A">
      <w:start w:val="1"/>
      <w:numFmt w:val="decimal"/>
      <w:lvlText w:val="%1."/>
      <w:lvlJc w:val="left"/>
      <w:pPr>
        <w:ind w:left="720" w:hanging="360"/>
      </w:pPr>
      <w:rPr>
        <w:rFonts w:ascii="Arial" w:hAnsi="Arial" w:cs="Arial" w:hint="default"/>
      </w:rPr>
    </w:lvl>
    <w:lvl w:ilvl="1" w:tplc="7144AD38">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481461D"/>
    <w:multiLevelType w:val="hybridMultilevel"/>
    <w:tmpl w:val="8BEC3F02"/>
    <w:lvl w:ilvl="0" w:tplc="7E26F3F4">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53D75AE"/>
    <w:multiLevelType w:val="hybridMultilevel"/>
    <w:tmpl w:val="10561E7C"/>
    <w:lvl w:ilvl="0" w:tplc="BE6CA7A0">
      <w:start w:val="1"/>
      <w:numFmt w:val="bullet"/>
      <w:lvlText w:val=""/>
      <w:lvlJc w:val="left"/>
      <w:pPr>
        <w:ind w:left="786" w:hanging="360"/>
      </w:pPr>
      <w:rPr>
        <w:rFonts w:ascii="Wingdings" w:hAnsi="Wingdings" w:hint="default"/>
        <w:color w:val="00913C"/>
        <w:sz w:val="24"/>
        <w:szCs w:val="24"/>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73" w15:restartNumberingAfterBreak="0">
    <w:nsid w:val="75A475B1"/>
    <w:multiLevelType w:val="hybridMultilevel"/>
    <w:tmpl w:val="54663CBA"/>
    <w:lvl w:ilvl="0" w:tplc="0C090005">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6E92C25"/>
    <w:multiLevelType w:val="hybridMultilevel"/>
    <w:tmpl w:val="334656CA"/>
    <w:lvl w:ilvl="0" w:tplc="8F0AD68A">
      <w:start w:val="1"/>
      <w:numFmt w:val="decimal"/>
      <w:lvlText w:val="%1."/>
      <w:lvlJc w:val="left"/>
      <w:pPr>
        <w:ind w:left="786" w:hanging="360"/>
      </w:pPr>
      <w:rPr>
        <w:rFonts w:ascii="Arial" w:hAnsi="Arial" w:cs="Arial" w:hint="default"/>
      </w:rPr>
    </w:lvl>
    <w:lvl w:ilvl="1" w:tplc="BE6CA7A0">
      <w:start w:val="1"/>
      <w:numFmt w:val="bullet"/>
      <w:lvlText w:val=""/>
      <w:lvlJc w:val="left"/>
      <w:pPr>
        <w:ind w:left="1506" w:hanging="360"/>
      </w:pPr>
      <w:rPr>
        <w:rFonts w:ascii="Wingdings" w:hAnsi="Wingdings" w:hint="default"/>
        <w:color w:val="00913C"/>
        <w:sz w:val="24"/>
        <w:szCs w:val="24"/>
      </w:rPr>
    </w:lvl>
    <w:lvl w:ilvl="2" w:tplc="0C09001B">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5" w15:restartNumberingAfterBreak="0">
    <w:nsid w:val="7A211E22"/>
    <w:multiLevelType w:val="hybridMultilevel"/>
    <w:tmpl w:val="89FC0C62"/>
    <w:lvl w:ilvl="0" w:tplc="BE6CA7A0">
      <w:start w:val="1"/>
      <w:numFmt w:val="bullet"/>
      <w:lvlText w:val=""/>
      <w:lvlJc w:val="left"/>
      <w:pPr>
        <w:ind w:left="720" w:hanging="360"/>
      </w:pPr>
      <w:rPr>
        <w:rFonts w:ascii="Wingdings" w:hAnsi="Wingdings" w:hint="default"/>
        <w:color w:val="00913C"/>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3E3D6E"/>
    <w:multiLevelType w:val="hybridMultilevel"/>
    <w:tmpl w:val="1F844F50"/>
    <w:lvl w:ilvl="0" w:tplc="19BEFE82">
      <w:start w:val="1"/>
      <w:numFmt w:val="decimal"/>
      <w:lvlText w:val="%1."/>
      <w:lvlJc w:val="left"/>
      <w:pPr>
        <w:ind w:left="720" w:hanging="360"/>
      </w:pPr>
      <w:rPr>
        <w:rFonts w:ascii="Century Gothic" w:hAnsi="Century Gothic" w:cs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8"/>
  </w:num>
  <w:num w:numId="3">
    <w:abstractNumId w:val="22"/>
  </w:num>
  <w:num w:numId="4">
    <w:abstractNumId w:val="16"/>
  </w:num>
  <w:num w:numId="5">
    <w:abstractNumId w:val="72"/>
  </w:num>
  <w:num w:numId="6">
    <w:abstractNumId w:val="20"/>
  </w:num>
  <w:num w:numId="7">
    <w:abstractNumId w:val="63"/>
  </w:num>
  <w:num w:numId="8">
    <w:abstractNumId w:val="46"/>
  </w:num>
  <w:num w:numId="9">
    <w:abstractNumId w:val="62"/>
  </w:num>
  <w:num w:numId="10">
    <w:abstractNumId w:val="14"/>
  </w:num>
  <w:num w:numId="11">
    <w:abstractNumId w:val="43"/>
  </w:num>
  <w:num w:numId="12">
    <w:abstractNumId w:val="15"/>
  </w:num>
  <w:num w:numId="13">
    <w:abstractNumId w:val="12"/>
  </w:num>
  <w:num w:numId="14">
    <w:abstractNumId w:val="70"/>
  </w:num>
  <w:num w:numId="15">
    <w:abstractNumId w:val="9"/>
  </w:num>
  <w:num w:numId="16">
    <w:abstractNumId w:val="30"/>
  </w:num>
  <w:num w:numId="17">
    <w:abstractNumId w:val="48"/>
  </w:num>
  <w:num w:numId="18">
    <w:abstractNumId w:val="24"/>
  </w:num>
  <w:num w:numId="19">
    <w:abstractNumId w:val="68"/>
  </w:num>
  <w:num w:numId="20">
    <w:abstractNumId w:val="76"/>
  </w:num>
  <w:num w:numId="21">
    <w:abstractNumId w:val="71"/>
  </w:num>
  <w:num w:numId="22">
    <w:abstractNumId w:val="21"/>
  </w:num>
  <w:num w:numId="23">
    <w:abstractNumId w:val="40"/>
  </w:num>
  <w:num w:numId="24">
    <w:abstractNumId w:val="64"/>
  </w:num>
  <w:num w:numId="25">
    <w:abstractNumId w:val="49"/>
  </w:num>
  <w:num w:numId="26">
    <w:abstractNumId w:val="74"/>
  </w:num>
  <w:num w:numId="27">
    <w:abstractNumId w:val="52"/>
  </w:num>
  <w:num w:numId="28">
    <w:abstractNumId w:val="44"/>
  </w:num>
  <w:num w:numId="29">
    <w:abstractNumId w:val="28"/>
  </w:num>
  <w:num w:numId="30">
    <w:abstractNumId w:val="61"/>
  </w:num>
  <w:num w:numId="31">
    <w:abstractNumId w:val="42"/>
  </w:num>
  <w:num w:numId="32">
    <w:abstractNumId w:val="59"/>
  </w:num>
  <w:num w:numId="33">
    <w:abstractNumId w:val="66"/>
  </w:num>
  <w:num w:numId="34">
    <w:abstractNumId w:val="25"/>
  </w:num>
  <w:num w:numId="35">
    <w:abstractNumId w:val="10"/>
  </w:num>
  <w:num w:numId="36">
    <w:abstractNumId w:val="35"/>
  </w:num>
  <w:num w:numId="37">
    <w:abstractNumId w:val="19"/>
  </w:num>
  <w:num w:numId="38">
    <w:abstractNumId w:val="27"/>
  </w:num>
  <w:num w:numId="39">
    <w:abstractNumId w:val="37"/>
  </w:num>
  <w:num w:numId="40">
    <w:abstractNumId w:val="75"/>
  </w:num>
  <w:num w:numId="41">
    <w:abstractNumId w:val="4"/>
  </w:num>
  <w:num w:numId="42">
    <w:abstractNumId w:val="57"/>
  </w:num>
  <w:num w:numId="43">
    <w:abstractNumId w:val="34"/>
  </w:num>
  <w:num w:numId="44">
    <w:abstractNumId w:val="47"/>
  </w:num>
  <w:num w:numId="45">
    <w:abstractNumId w:val="51"/>
  </w:num>
  <w:num w:numId="46">
    <w:abstractNumId w:val="36"/>
  </w:num>
  <w:num w:numId="47">
    <w:abstractNumId w:val="50"/>
  </w:num>
  <w:num w:numId="48">
    <w:abstractNumId w:val="69"/>
  </w:num>
  <w:num w:numId="49">
    <w:abstractNumId w:val="73"/>
  </w:num>
  <w:num w:numId="50">
    <w:abstractNumId w:val="18"/>
  </w:num>
  <w:num w:numId="51">
    <w:abstractNumId w:val="8"/>
  </w:num>
  <w:num w:numId="52">
    <w:abstractNumId w:val="53"/>
  </w:num>
  <w:num w:numId="53">
    <w:abstractNumId w:val="3"/>
  </w:num>
  <w:num w:numId="54">
    <w:abstractNumId w:val="31"/>
  </w:num>
  <w:num w:numId="55">
    <w:abstractNumId w:val="5"/>
  </w:num>
  <w:num w:numId="56">
    <w:abstractNumId w:val="65"/>
  </w:num>
  <w:num w:numId="57">
    <w:abstractNumId w:val="6"/>
  </w:num>
  <w:num w:numId="58">
    <w:abstractNumId w:val="13"/>
  </w:num>
  <w:num w:numId="59">
    <w:abstractNumId w:val="56"/>
  </w:num>
  <w:num w:numId="60">
    <w:abstractNumId w:val="54"/>
  </w:num>
  <w:num w:numId="61">
    <w:abstractNumId w:val="23"/>
  </w:num>
  <w:num w:numId="62">
    <w:abstractNumId w:val="32"/>
  </w:num>
  <w:num w:numId="63">
    <w:abstractNumId w:val="7"/>
  </w:num>
  <w:num w:numId="64">
    <w:abstractNumId w:val="11"/>
  </w:num>
  <w:num w:numId="65">
    <w:abstractNumId w:val="55"/>
  </w:num>
  <w:num w:numId="66">
    <w:abstractNumId w:val="1"/>
  </w:num>
  <w:num w:numId="67">
    <w:abstractNumId w:val="0"/>
  </w:num>
  <w:num w:numId="68">
    <w:abstractNumId w:val="33"/>
  </w:num>
  <w:num w:numId="69">
    <w:abstractNumId w:val="60"/>
  </w:num>
  <w:num w:numId="70">
    <w:abstractNumId w:val="29"/>
  </w:num>
  <w:num w:numId="71">
    <w:abstractNumId w:val="58"/>
  </w:num>
  <w:num w:numId="72">
    <w:abstractNumId w:val="67"/>
  </w:num>
  <w:num w:numId="73">
    <w:abstractNumId w:val="2"/>
  </w:num>
  <w:num w:numId="74">
    <w:abstractNumId w:val="45"/>
  </w:num>
  <w:num w:numId="75">
    <w:abstractNumId w:val="39"/>
  </w:num>
  <w:num w:numId="76">
    <w:abstractNumId w:val="26"/>
  </w:num>
  <w:num w:numId="77">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defaultTabStop w:val="720"/>
  <w:evenAndOddHeaders/>
  <w:characterSpacingControl w:val="doNotCompress"/>
  <w:hdrShapeDefaults>
    <o:shapedefaults v:ext="edit" spidmax="2054"/>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26D"/>
    <w:rsid w:val="000036D9"/>
    <w:rsid w:val="000065F6"/>
    <w:rsid w:val="0000692E"/>
    <w:rsid w:val="0000777E"/>
    <w:rsid w:val="000100F8"/>
    <w:rsid w:val="0001017B"/>
    <w:rsid w:val="00011DD9"/>
    <w:rsid w:val="0001252B"/>
    <w:rsid w:val="000159B6"/>
    <w:rsid w:val="00015B54"/>
    <w:rsid w:val="00016E90"/>
    <w:rsid w:val="00023BAF"/>
    <w:rsid w:val="00023DBD"/>
    <w:rsid w:val="00024ECD"/>
    <w:rsid w:val="00025115"/>
    <w:rsid w:val="000305C5"/>
    <w:rsid w:val="00031E31"/>
    <w:rsid w:val="0003303F"/>
    <w:rsid w:val="00033147"/>
    <w:rsid w:val="000406A7"/>
    <w:rsid w:val="000434E1"/>
    <w:rsid w:val="00043C6E"/>
    <w:rsid w:val="000458A8"/>
    <w:rsid w:val="000464A9"/>
    <w:rsid w:val="0004722E"/>
    <w:rsid w:val="000504F0"/>
    <w:rsid w:val="000519C9"/>
    <w:rsid w:val="000557A2"/>
    <w:rsid w:val="00067915"/>
    <w:rsid w:val="00070AED"/>
    <w:rsid w:val="00070C2E"/>
    <w:rsid w:val="00075C16"/>
    <w:rsid w:val="00082A8C"/>
    <w:rsid w:val="00082A8E"/>
    <w:rsid w:val="00086C9E"/>
    <w:rsid w:val="000952C4"/>
    <w:rsid w:val="000A04F0"/>
    <w:rsid w:val="000A0FFF"/>
    <w:rsid w:val="000A1F36"/>
    <w:rsid w:val="000A423E"/>
    <w:rsid w:val="000A4EB6"/>
    <w:rsid w:val="000B0D90"/>
    <w:rsid w:val="000B215B"/>
    <w:rsid w:val="000B4408"/>
    <w:rsid w:val="000B5B94"/>
    <w:rsid w:val="000B6B62"/>
    <w:rsid w:val="000B7DD2"/>
    <w:rsid w:val="000C735D"/>
    <w:rsid w:val="000C7749"/>
    <w:rsid w:val="000D1696"/>
    <w:rsid w:val="000D4655"/>
    <w:rsid w:val="000D5028"/>
    <w:rsid w:val="000D6AE9"/>
    <w:rsid w:val="000D773D"/>
    <w:rsid w:val="000E10EB"/>
    <w:rsid w:val="000E14DE"/>
    <w:rsid w:val="000E4A6D"/>
    <w:rsid w:val="000E72BC"/>
    <w:rsid w:val="000F2B25"/>
    <w:rsid w:val="000F2E1E"/>
    <w:rsid w:val="000F4B95"/>
    <w:rsid w:val="000F7498"/>
    <w:rsid w:val="0010171E"/>
    <w:rsid w:val="00102397"/>
    <w:rsid w:val="001031EA"/>
    <w:rsid w:val="00103282"/>
    <w:rsid w:val="00107EDB"/>
    <w:rsid w:val="00110070"/>
    <w:rsid w:val="001153C7"/>
    <w:rsid w:val="00115430"/>
    <w:rsid w:val="00115B89"/>
    <w:rsid w:val="001212AD"/>
    <w:rsid w:val="00126449"/>
    <w:rsid w:val="001267EB"/>
    <w:rsid w:val="00130B74"/>
    <w:rsid w:val="00131DB7"/>
    <w:rsid w:val="00136141"/>
    <w:rsid w:val="0014115B"/>
    <w:rsid w:val="0014126D"/>
    <w:rsid w:val="0014243A"/>
    <w:rsid w:val="00147536"/>
    <w:rsid w:val="00151C74"/>
    <w:rsid w:val="0015226F"/>
    <w:rsid w:val="0015230F"/>
    <w:rsid w:val="00152B67"/>
    <w:rsid w:val="00160A4E"/>
    <w:rsid w:val="00161AE1"/>
    <w:rsid w:val="00161E62"/>
    <w:rsid w:val="001620A4"/>
    <w:rsid w:val="001622EF"/>
    <w:rsid w:val="001647C3"/>
    <w:rsid w:val="00165DCF"/>
    <w:rsid w:val="00171115"/>
    <w:rsid w:val="00172215"/>
    <w:rsid w:val="00172A32"/>
    <w:rsid w:val="001732E5"/>
    <w:rsid w:val="001734BF"/>
    <w:rsid w:val="00174FFC"/>
    <w:rsid w:val="00175536"/>
    <w:rsid w:val="00175955"/>
    <w:rsid w:val="00181264"/>
    <w:rsid w:val="001829B3"/>
    <w:rsid w:val="0019008E"/>
    <w:rsid w:val="00195A60"/>
    <w:rsid w:val="00196E7B"/>
    <w:rsid w:val="001A13EC"/>
    <w:rsid w:val="001A2D71"/>
    <w:rsid w:val="001B04E6"/>
    <w:rsid w:val="001B268B"/>
    <w:rsid w:val="001C4635"/>
    <w:rsid w:val="001C4E7E"/>
    <w:rsid w:val="001C5CC2"/>
    <w:rsid w:val="001C72A0"/>
    <w:rsid w:val="001D1D02"/>
    <w:rsid w:val="001D2737"/>
    <w:rsid w:val="001D2ED4"/>
    <w:rsid w:val="001D38AF"/>
    <w:rsid w:val="001D3B67"/>
    <w:rsid w:val="001D3E9B"/>
    <w:rsid w:val="001D446D"/>
    <w:rsid w:val="001D524C"/>
    <w:rsid w:val="001D7F4D"/>
    <w:rsid w:val="001E03F5"/>
    <w:rsid w:val="001E2CBF"/>
    <w:rsid w:val="001E2DCB"/>
    <w:rsid w:val="001F1160"/>
    <w:rsid w:val="001F554F"/>
    <w:rsid w:val="001F6504"/>
    <w:rsid w:val="00200C05"/>
    <w:rsid w:val="00203E58"/>
    <w:rsid w:val="00211670"/>
    <w:rsid w:val="00212916"/>
    <w:rsid w:val="002130E6"/>
    <w:rsid w:val="00213A0D"/>
    <w:rsid w:val="00213E27"/>
    <w:rsid w:val="0021448B"/>
    <w:rsid w:val="00216DA3"/>
    <w:rsid w:val="002208A7"/>
    <w:rsid w:val="00221DCD"/>
    <w:rsid w:val="0022393A"/>
    <w:rsid w:val="002240B1"/>
    <w:rsid w:val="00227F72"/>
    <w:rsid w:val="002329D4"/>
    <w:rsid w:val="00234049"/>
    <w:rsid w:val="00240CE7"/>
    <w:rsid w:val="0024168F"/>
    <w:rsid w:val="0024520B"/>
    <w:rsid w:val="00245277"/>
    <w:rsid w:val="00245B20"/>
    <w:rsid w:val="00245E63"/>
    <w:rsid w:val="00246D38"/>
    <w:rsid w:val="0025124F"/>
    <w:rsid w:val="002548E1"/>
    <w:rsid w:val="002667C2"/>
    <w:rsid w:val="00266D8E"/>
    <w:rsid w:val="00266D9C"/>
    <w:rsid w:val="002676F5"/>
    <w:rsid w:val="00272CC9"/>
    <w:rsid w:val="002741DC"/>
    <w:rsid w:val="00274233"/>
    <w:rsid w:val="0027670E"/>
    <w:rsid w:val="00276D67"/>
    <w:rsid w:val="002771EE"/>
    <w:rsid w:val="00281F56"/>
    <w:rsid w:val="00286090"/>
    <w:rsid w:val="002945A0"/>
    <w:rsid w:val="00294B5C"/>
    <w:rsid w:val="002A008F"/>
    <w:rsid w:val="002A2D7C"/>
    <w:rsid w:val="002A3212"/>
    <w:rsid w:val="002A3769"/>
    <w:rsid w:val="002A4008"/>
    <w:rsid w:val="002B0932"/>
    <w:rsid w:val="002B34CC"/>
    <w:rsid w:val="002C11B4"/>
    <w:rsid w:val="002C2E0D"/>
    <w:rsid w:val="002C5D83"/>
    <w:rsid w:val="002C7BFE"/>
    <w:rsid w:val="002C7EB8"/>
    <w:rsid w:val="002D6A0A"/>
    <w:rsid w:val="002E1026"/>
    <w:rsid w:val="002E1536"/>
    <w:rsid w:val="002E170A"/>
    <w:rsid w:val="002E4008"/>
    <w:rsid w:val="002E5CEC"/>
    <w:rsid w:val="002E6AC4"/>
    <w:rsid w:val="002F1F09"/>
    <w:rsid w:val="002F31E5"/>
    <w:rsid w:val="002F5466"/>
    <w:rsid w:val="002F6F7A"/>
    <w:rsid w:val="003008ED"/>
    <w:rsid w:val="003017BD"/>
    <w:rsid w:val="00302179"/>
    <w:rsid w:val="00302912"/>
    <w:rsid w:val="00303893"/>
    <w:rsid w:val="00303941"/>
    <w:rsid w:val="003117EC"/>
    <w:rsid w:val="0031264E"/>
    <w:rsid w:val="0031355B"/>
    <w:rsid w:val="003137BA"/>
    <w:rsid w:val="00313F9B"/>
    <w:rsid w:val="0031434A"/>
    <w:rsid w:val="00321466"/>
    <w:rsid w:val="003223DE"/>
    <w:rsid w:val="003227B9"/>
    <w:rsid w:val="00325FE4"/>
    <w:rsid w:val="003312A6"/>
    <w:rsid w:val="003320BA"/>
    <w:rsid w:val="0033271B"/>
    <w:rsid w:val="003344C2"/>
    <w:rsid w:val="00335FA6"/>
    <w:rsid w:val="00340750"/>
    <w:rsid w:val="00350732"/>
    <w:rsid w:val="003559AE"/>
    <w:rsid w:val="00361C98"/>
    <w:rsid w:val="00363B57"/>
    <w:rsid w:val="00364895"/>
    <w:rsid w:val="00364939"/>
    <w:rsid w:val="0036589F"/>
    <w:rsid w:val="00370494"/>
    <w:rsid w:val="00371291"/>
    <w:rsid w:val="00374A82"/>
    <w:rsid w:val="00374E52"/>
    <w:rsid w:val="00374EA2"/>
    <w:rsid w:val="00375815"/>
    <w:rsid w:val="00380249"/>
    <w:rsid w:val="0038069A"/>
    <w:rsid w:val="003806EF"/>
    <w:rsid w:val="0038116E"/>
    <w:rsid w:val="00381A10"/>
    <w:rsid w:val="00381C5A"/>
    <w:rsid w:val="00383AC7"/>
    <w:rsid w:val="00384211"/>
    <w:rsid w:val="00387374"/>
    <w:rsid w:val="00392286"/>
    <w:rsid w:val="00392E49"/>
    <w:rsid w:val="00393645"/>
    <w:rsid w:val="00394CEB"/>
    <w:rsid w:val="00397487"/>
    <w:rsid w:val="003A178A"/>
    <w:rsid w:val="003A2CAA"/>
    <w:rsid w:val="003A6A20"/>
    <w:rsid w:val="003B1008"/>
    <w:rsid w:val="003B110A"/>
    <w:rsid w:val="003B1162"/>
    <w:rsid w:val="003B226D"/>
    <w:rsid w:val="003B32D9"/>
    <w:rsid w:val="003B50F6"/>
    <w:rsid w:val="003B64E1"/>
    <w:rsid w:val="003C0111"/>
    <w:rsid w:val="003C062A"/>
    <w:rsid w:val="003C2DF9"/>
    <w:rsid w:val="003C461B"/>
    <w:rsid w:val="003C592E"/>
    <w:rsid w:val="003D116B"/>
    <w:rsid w:val="003D1C56"/>
    <w:rsid w:val="003D230A"/>
    <w:rsid w:val="003D241A"/>
    <w:rsid w:val="003D33DA"/>
    <w:rsid w:val="003D3B09"/>
    <w:rsid w:val="003D468B"/>
    <w:rsid w:val="003D4960"/>
    <w:rsid w:val="003D4FD1"/>
    <w:rsid w:val="003D619E"/>
    <w:rsid w:val="003E007A"/>
    <w:rsid w:val="003E0A27"/>
    <w:rsid w:val="003E0D28"/>
    <w:rsid w:val="003E1568"/>
    <w:rsid w:val="003E1D27"/>
    <w:rsid w:val="003E3280"/>
    <w:rsid w:val="003E50B4"/>
    <w:rsid w:val="003E696E"/>
    <w:rsid w:val="003F22BE"/>
    <w:rsid w:val="003F2E1E"/>
    <w:rsid w:val="003F32B4"/>
    <w:rsid w:val="003F3E81"/>
    <w:rsid w:val="003F4222"/>
    <w:rsid w:val="003F6A69"/>
    <w:rsid w:val="00400C53"/>
    <w:rsid w:val="0040222A"/>
    <w:rsid w:val="00403523"/>
    <w:rsid w:val="00403D11"/>
    <w:rsid w:val="00404FE6"/>
    <w:rsid w:val="00405AC6"/>
    <w:rsid w:val="004076B7"/>
    <w:rsid w:val="00407923"/>
    <w:rsid w:val="0040792E"/>
    <w:rsid w:val="0041150F"/>
    <w:rsid w:val="0041216A"/>
    <w:rsid w:val="004122EA"/>
    <w:rsid w:val="00424CDD"/>
    <w:rsid w:val="00425078"/>
    <w:rsid w:val="00426127"/>
    <w:rsid w:val="004267B8"/>
    <w:rsid w:val="00427725"/>
    <w:rsid w:val="004305CF"/>
    <w:rsid w:val="0043141C"/>
    <w:rsid w:val="004321E2"/>
    <w:rsid w:val="00435AC2"/>
    <w:rsid w:val="004421AB"/>
    <w:rsid w:val="00442664"/>
    <w:rsid w:val="0044376C"/>
    <w:rsid w:val="00444E76"/>
    <w:rsid w:val="00450209"/>
    <w:rsid w:val="00450DDB"/>
    <w:rsid w:val="00452E6D"/>
    <w:rsid w:val="00452E8C"/>
    <w:rsid w:val="0045440C"/>
    <w:rsid w:val="00454803"/>
    <w:rsid w:val="0045490F"/>
    <w:rsid w:val="004578FC"/>
    <w:rsid w:val="00457F2C"/>
    <w:rsid w:val="0046033A"/>
    <w:rsid w:val="00460D9F"/>
    <w:rsid w:val="00461C35"/>
    <w:rsid w:val="00462D0C"/>
    <w:rsid w:val="0046321A"/>
    <w:rsid w:val="00463349"/>
    <w:rsid w:val="00466DC5"/>
    <w:rsid w:val="00472794"/>
    <w:rsid w:val="00474A8C"/>
    <w:rsid w:val="00474B80"/>
    <w:rsid w:val="00480482"/>
    <w:rsid w:val="004834AB"/>
    <w:rsid w:val="00483E2A"/>
    <w:rsid w:val="004860A1"/>
    <w:rsid w:val="004921E3"/>
    <w:rsid w:val="004967DF"/>
    <w:rsid w:val="004978DA"/>
    <w:rsid w:val="004A0E66"/>
    <w:rsid w:val="004A3483"/>
    <w:rsid w:val="004A41CE"/>
    <w:rsid w:val="004A6286"/>
    <w:rsid w:val="004A67EB"/>
    <w:rsid w:val="004A6EC9"/>
    <w:rsid w:val="004A703E"/>
    <w:rsid w:val="004B0DE8"/>
    <w:rsid w:val="004B1BC1"/>
    <w:rsid w:val="004B6F81"/>
    <w:rsid w:val="004C0764"/>
    <w:rsid w:val="004C0870"/>
    <w:rsid w:val="004C0BE2"/>
    <w:rsid w:val="004C0CE0"/>
    <w:rsid w:val="004C16A6"/>
    <w:rsid w:val="004C1FDA"/>
    <w:rsid w:val="004C2EF9"/>
    <w:rsid w:val="004C652F"/>
    <w:rsid w:val="004C6D3D"/>
    <w:rsid w:val="004C764F"/>
    <w:rsid w:val="004D1747"/>
    <w:rsid w:val="004D29D2"/>
    <w:rsid w:val="004D4B01"/>
    <w:rsid w:val="004D777F"/>
    <w:rsid w:val="004E07AE"/>
    <w:rsid w:val="004E1EA1"/>
    <w:rsid w:val="004E35B4"/>
    <w:rsid w:val="004E3FAD"/>
    <w:rsid w:val="004E6CD9"/>
    <w:rsid w:val="004E7033"/>
    <w:rsid w:val="004E7CA1"/>
    <w:rsid w:val="004F11AF"/>
    <w:rsid w:val="004F3AB8"/>
    <w:rsid w:val="004F3EAF"/>
    <w:rsid w:val="004F6499"/>
    <w:rsid w:val="004F7720"/>
    <w:rsid w:val="0050154B"/>
    <w:rsid w:val="005025F3"/>
    <w:rsid w:val="00505938"/>
    <w:rsid w:val="00505E84"/>
    <w:rsid w:val="00506767"/>
    <w:rsid w:val="00506CB5"/>
    <w:rsid w:val="00517BB0"/>
    <w:rsid w:val="00520FB5"/>
    <w:rsid w:val="00522FC7"/>
    <w:rsid w:val="00526D3F"/>
    <w:rsid w:val="00527A0F"/>
    <w:rsid w:val="0053218F"/>
    <w:rsid w:val="00532B68"/>
    <w:rsid w:val="00533FD0"/>
    <w:rsid w:val="00535DE3"/>
    <w:rsid w:val="00541AB8"/>
    <w:rsid w:val="00541ED4"/>
    <w:rsid w:val="0054236C"/>
    <w:rsid w:val="00542AF2"/>
    <w:rsid w:val="00542BDB"/>
    <w:rsid w:val="00543D43"/>
    <w:rsid w:val="00547C99"/>
    <w:rsid w:val="00550F16"/>
    <w:rsid w:val="00551546"/>
    <w:rsid w:val="0055361E"/>
    <w:rsid w:val="00553BC3"/>
    <w:rsid w:val="0055558A"/>
    <w:rsid w:val="00557115"/>
    <w:rsid w:val="00562254"/>
    <w:rsid w:val="00562D4D"/>
    <w:rsid w:val="005635D6"/>
    <w:rsid w:val="005639A1"/>
    <w:rsid w:val="005657D0"/>
    <w:rsid w:val="005720CC"/>
    <w:rsid w:val="00572AD0"/>
    <w:rsid w:val="00574912"/>
    <w:rsid w:val="00576110"/>
    <w:rsid w:val="00580D9B"/>
    <w:rsid w:val="00581F2B"/>
    <w:rsid w:val="0058259B"/>
    <w:rsid w:val="0058304C"/>
    <w:rsid w:val="005837B1"/>
    <w:rsid w:val="00587042"/>
    <w:rsid w:val="00587A29"/>
    <w:rsid w:val="00587C95"/>
    <w:rsid w:val="00592892"/>
    <w:rsid w:val="00593456"/>
    <w:rsid w:val="00594242"/>
    <w:rsid w:val="00595D55"/>
    <w:rsid w:val="00596264"/>
    <w:rsid w:val="0059728A"/>
    <w:rsid w:val="005976BB"/>
    <w:rsid w:val="005A1F24"/>
    <w:rsid w:val="005A25E3"/>
    <w:rsid w:val="005A3340"/>
    <w:rsid w:val="005A46B6"/>
    <w:rsid w:val="005A4870"/>
    <w:rsid w:val="005A4998"/>
    <w:rsid w:val="005A6603"/>
    <w:rsid w:val="005B126B"/>
    <w:rsid w:val="005B381A"/>
    <w:rsid w:val="005B4564"/>
    <w:rsid w:val="005B75E4"/>
    <w:rsid w:val="005B7953"/>
    <w:rsid w:val="005C00A1"/>
    <w:rsid w:val="005C1C5F"/>
    <w:rsid w:val="005C1D99"/>
    <w:rsid w:val="005C1E7B"/>
    <w:rsid w:val="005C6A40"/>
    <w:rsid w:val="005C7F22"/>
    <w:rsid w:val="005D0A42"/>
    <w:rsid w:val="005D478F"/>
    <w:rsid w:val="005D6880"/>
    <w:rsid w:val="005D7AA4"/>
    <w:rsid w:val="005E1871"/>
    <w:rsid w:val="005E1E4C"/>
    <w:rsid w:val="005E5A78"/>
    <w:rsid w:val="005E629B"/>
    <w:rsid w:val="005E7B18"/>
    <w:rsid w:val="005F2AEB"/>
    <w:rsid w:val="005F40E1"/>
    <w:rsid w:val="005F4434"/>
    <w:rsid w:val="006017E6"/>
    <w:rsid w:val="00602214"/>
    <w:rsid w:val="006050EC"/>
    <w:rsid w:val="006062C1"/>
    <w:rsid w:val="006106C1"/>
    <w:rsid w:val="00610C0D"/>
    <w:rsid w:val="00610E8A"/>
    <w:rsid w:val="00614068"/>
    <w:rsid w:val="00620445"/>
    <w:rsid w:val="006214C6"/>
    <w:rsid w:val="00623388"/>
    <w:rsid w:val="006241A6"/>
    <w:rsid w:val="006248CA"/>
    <w:rsid w:val="0062596D"/>
    <w:rsid w:val="00626DE6"/>
    <w:rsid w:val="006273E4"/>
    <w:rsid w:val="00631EF0"/>
    <w:rsid w:val="0063677A"/>
    <w:rsid w:val="0063688E"/>
    <w:rsid w:val="0063753E"/>
    <w:rsid w:val="00637677"/>
    <w:rsid w:val="00637E03"/>
    <w:rsid w:val="0064469A"/>
    <w:rsid w:val="006460DB"/>
    <w:rsid w:val="0065314C"/>
    <w:rsid w:val="00662FAD"/>
    <w:rsid w:val="00663028"/>
    <w:rsid w:val="0066328A"/>
    <w:rsid w:val="00665E5C"/>
    <w:rsid w:val="006661D3"/>
    <w:rsid w:val="00667267"/>
    <w:rsid w:val="00670173"/>
    <w:rsid w:val="0067474E"/>
    <w:rsid w:val="00675ED3"/>
    <w:rsid w:val="0067635D"/>
    <w:rsid w:val="0068429E"/>
    <w:rsid w:val="00684944"/>
    <w:rsid w:val="00685B4B"/>
    <w:rsid w:val="00687BEA"/>
    <w:rsid w:val="00696AC9"/>
    <w:rsid w:val="00696C31"/>
    <w:rsid w:val="00697FBA"/>
    <w:rsid w:val="006A0142"/>
    <w:rsid w:val="006A08DD"/>
    <w:rsid w:val="006A1C35"/>
    <w:rsid w:val="006A6451"/>
    <w:rsid w:val="006A64C5"/>
    <w:rsid w:val="006A660B"/>
    <w:rsid w:val="006A7131"/>
    <w:rsid w:val="006A7659"/>
    <w:rsid w:val="006A7BAC"/>
    <w:rsid w:val="006B0A77"/>
    <w:rsid w:val="006B0B11"/>
    <w:rsid w:val="006B24D2"/>
    <w:rsid w:val="006B4AB4"/>
    <w:rsid w:val="006B5AC1"/>
    <w:rsid w:val="006B5D05"/>
    <w:rsid w:val="006B6B9E"/>
    <w:rsid w:val="006B7DF7"/>
    <w:rsid w:val="006C0323"/>
    <w:rsid w:val="006C33DF"/>
    <w:rsid w:val="006C3699"/>
    <w:rsid w:val="006C5765"/>
    <w:rsid w:val="006C583D"/>
    <w:rsid w:val="006C7E07"/>
    <w:rsid w:val="006D0F36"/>
    <w:rsid w:val="006D1FCB"/>
    <w:rsid w:val="006D4C9E"/>
    <w:rsid w:val="006D67E6"/>
    <w:rsid w:val="006E23B7"/>
    <w:rsid w:val="006E6616"/>
    <w:rsid w:val="006F21E6"/>
    <w:rsid w:val="006F5AC8"/>
    <w:rsid w:val="00701F73"/>
    <w:rsid w:val="00711728"/>
    <w:rsid w:val="00713C3C"/>
    <w:rsid w:val="00714354"/>
    <w:rsid w:val="00717063"/>
    <w:rsid w:val="007203FE"/>
    <w:rsid w:val="00720B7A"/>
    <w:rsid w:val="00721219"/>
    <w:rsid w:val="00722BDB"/>
    <w:rsid w:val="00730C0D"/>
    <w:rsid w:val="00731680"/>
    <w:rsid w:val="00733D85"/>
    <w:rsid w:val="0073611B"/>
    <w:rsid w:val="00741DFB"/>
    <w:rsid w:val="00745537"/>
    <w:rsid w:val="007465DF"/>
    <w:rsid w:val="007478D2"/>
    <w:rsid w:val="00750639"/>
    <w:rsid w:val="007511F2"/>
    <w:rsid w:val="007618B0"/>
    <w:rsid w:val="0076338E"/>
    <w:rsid w:val="007639BE"/>
    <w:rsid w:val="00765A2F"/>
    <w:rsid w:val="00767A38"/>
    <w:rsid w:val="0077282B"/>
    <w:rsid w:val="00773811"/>
    <w:rsid w:val="00775D62"/>
    <w:rsid w:val="00775EF7"/>
    <w:rsid w:val="00777818"/>
    <w:rsid w:val="0078019A"/>
    <w:rsid w:val="00782546"/>
    <w:rsid w:val="00784638"/>
    <w:rsid w:val="00784C45"/>
    <w:rsid w:val="00785E81"/>
    <w:rsid w:val="00786D2C"/>
    <w:rsid w:val="00792EAE"/>
    <w:rsid w:val="007934EF"/>
    <w:rsid w:val="00794E80"/>
    <w:rsid w:val="007950D2"/>
    <w:rsid w:val="007A2298"/>
    <w:rsid w:val="007A38F3"/>
    <w:rsid w:val="007A42FF"/>
    <w:rsid w:val="007A4739"/>
    <w:rsid w:val="007A507E"/>
    <w:rsid w:val="007A5946"/>
    <w:rsid w:val="007B34DF"/>
    <w:rsid w:val="007B4945"/>
    <w:rsid w:val="007B775E"/>
    <w:rsid w:val="007C0CF7"/>
    <w:rsid w:val="007C1717"/>
    <w:rsid w:val="007C34CC"/>
    <w:rsid w:val="007C58C0"/>
    <w:rsid w:val="007C6B53"/>
    <w:rsid w:val="007C6D9C"/>
    <w:rsid w:val="007D3B5F"/>
    <w:rsid w:val="007D3E7C"/>
    <w:rsid w:val="007D7CA7"/>
    <w:rsid w:val="007E02A6"/>
    <w:rsid w:val="007E113D"/>
    <w:rsid w:val="007E1EC0"/>
    <w:rsid w:val="007E36E9"/>
    <w:rsid w:val="007E5CFE"/>
    <w:rsid w:val="007F07EE"/>
    <w:rsid w:val="007F0836"/>
    <w:rsid w:val="007F0D76"/>
    <w:rsid w:val="007F3D98"/>
    <w:rsid w:val="007F3EF1"/>
    <w:rsid w:val="007F43C3"/>
    <w:rsid w:val="007F4E99"/>
    <w:rsid w:val="007F57E2"/>
    <w:rsid w:val="00801A65"/>
    <w:rsid w:val="0080346F"/>
    <w:rsid w:val="00803B0A"/>
    <w:rsid w:val="0080431C"/>
    <w:rsid w:val="00806B0A"/>
    <w:rsid w:val="008076A9"/>
    <w:rsid w:val="00813C0B"/>
    <w:rsid w:val="0081713C"/>
    <w:rsid w:val="00817C00"/>
    <w:rsid w:val="0082441F"/>
    <w:rsid w:val="00826449"/>
    <w:rsid w:val="00827DE1"/>
    <w:rsid w:val="0083176E"/>
    <w:rsid w:val="008325BD"/>
    <w:rsid w:val="00832A27"/>
    <w:rsid w:val="008352A8"/>
    <w:rsid w:val="00836D9D"/>
    <w:rsid w:val="00837C8D"/>
    <w:rsid w:val="008418C1"/>
    <w:rsid w:val="00842C66"/>
    <w:rsid w:val="008441D0"/>
    <w:rsid w:val="008442C3"/>
    <w:rsid w:val="0084519E"/>
    <w:rsid w:val="00847A7F"/>
    <w:rsid w:val="00852556"/>
    <w:rsid w:val="00852A7B"/>
    <w:rsid w:val="00854DD4"/>
    <w:rsid w:val="008556AD"/>
    <w:rsid w:val="008608FC"/>
    <w:rsid w:val="00860BF3"/>
    <w:rsid w:val="00861312"/>
    <w:rsid w:val="00865C9D"/>
    <w:rsid w:val="00867C2C"/>
    <w:rsid w:val="0087097B"/>
    <w:rsid w:val="00870BE0"/>
    <w:rsid w:val="008725CC"/>
    <w:rsid w:val="00872B2E"/>
    <w:rsid w:val="008779A9"/>
    <w:rsid w:val="00877E78"/>
    <w:rsid w:val="008808BF"/>
    <w:rsid w:val="00883DCF"/>
    <w:rsid w:val="00886DCC"/>
    <w:rsid w:val="008916A9"/>
    <w:rsid w:val="00894EC9"/>
    <w:rsid w:val="00897BFC"/>
    <w:rsid w:val="008A1BAF"/>
    <w:rsid w:val="008A5B65"/>
    <w:rsid w:val="008A6C47"/>
    <w:rsid w:val="008A7920"/>
    <w:rsid w:val="008B064D"/>
    <w:rsid w:val="008B348F"/>
    <w:rsid w:val="008B4106"/>
    <w:rsid w:val="008B5F91"/>
    <w:rsid w:val="008B63C7"/>
    <w:rsid w:val="008B6E55"/>
    <w:rsid w:val="008C4D48"/>
    <w:rsid w:val="008C58CC"/>
    <w:rsid w:val="008C6D7C"/>
    <w:rsid w:val="008D2C51"/>
    <w:rsid w:val="008D4B8D"/>
    <w:rsid w:val="008D58DD"/>
    <w:rsid w:val="008E0591"/>
    <w:rsid w:val="008E184D"/>
    <w:rsid w:val="008E37A6"/>
    <w:rsid w:val="008E410C"/>
    <w:rsid w:val="008E5A4A"/>
    <w:rsid w:val="008F0344"/>
    <w:rsid w:val="008F0476"/>
    <w:rsid w:val="008F1B0F"/>
    <w:rsid w:val="008F3689"/>
    <w:rsid w:val="008F4167"/>
    <w:rsid w:val="008F56C6"/>
    <w:rsid w:val="008F7B84"/>
    <w:rsid w:val="009010EB"/>
    <w:rsid w:val="009054D0"/>
    <w:rsid w:val="0090580A"/>
    <w:rsid w:val="00912940"/>
    <w:rsid w:val="00916479"/>
    <w:rsid w:val="00917958"/>
    <w:rsid w:val="00924BD7"/>
    <w:rsid w:val="00925B70"/>
    <w:rsid w:val="00926098"/>
    <w:rsid w:val="00930973"/>
    <w:rsid w:val="009323E8"/>
    <w:rsid w:val="009333A0"/>
    <w:rsid w:val="00933B88"/>
    <w:rsid w:val="009345CD"/>
    <w:rsid w:val="00936D7A"/>
    <w:rsid w:val="00940DB7"/>
    <w:rsid w:val="00942BC9"/>
    <w:rsid w:val="009435D1"/>
    <w:rsid w:val="00943927"/>
    <w:rsid w:val="00944227"/>
    <w:rsid w:val="009452C7"/>
    <w:rsid w:val="00946C8C"/>
    <w:rsid w:val="00950633"/>
    <w:rsid w:val="00950C2E"/>
    <w:rsid w:val="00955DF2"/>
    <w:rsid w:val="009564C5"/>
    <w:rsid w:val="00960C3D"/>
    <w:rsid w:val="0096210A"/>
    <w:rsid w:val="009647AA"/>
    <w:rsid w:val="00965146"/>
    <w:rsid w:val="009701BB"/>
    <w:rsid w:val="00971230"/>
    <w:rsid w:val="00973756"/>
    <w:rsid w:val="009762F5"/>
    <w:rsid w:val="00977520"/>
    <w:rsid w:val="00980208"/>
    <w:rsid w:val="00984F2D"/>
    <w:rsid w:val="00985DE4"/>
    <w:rsid w:val="00986E98"/>
    <w:rsid w:val="0098727E"/>
    <w:rsid w:val="009911C4"/>
    <w:rsid w:val="00993350"/>
    <w:rsid w:val="00993F05"/>
    <w:rsid w:val="009A240C"/>
    <w:rsid w:val="009A3E89"/>
    <w:rsid w:val="009A4B86"/>
    <w:rsid w:val="009A6DF4"/>
    <w:rsid w:val="009A785F"/>
    <w:rsid w:val="009B14A5"/>
    <w:rsid w:val="009B6E9F"/>
    <w:rsid w:val="009C33A5"/>
    <w:rsid w:val="009C3E33"/>
    <w:rsid w:val="009C509D"/>
    <w:rsid w:val="009D3795"/>
    <w:rsid w:val="009E3E10"/>
    <w:rsid w:val="009E4019"/>
    <w:rsid w:val="009E63B7"/>
    <w:rsid w:val="009E7BF8"/>
    <w:rsid w:val="009F330D"/>
    <w:rsid w:val="009F7EF3"/>
    <w:rsid w:val="00A01368"/>
    <w:rsid w:val="00A03E36"/>
    <w:rsid w:val="00A04FD2"/>
    <w:rsid w:val="00A051C9"/>
    <w:rsid w:val="00A060DA"/>
    <w:rsid w:val="00A12222"/>
    <w:rsid w:val="00A13008"/>
    <w:rsid w:val="00A154CF"/>
    <w:rsid w:val="00A15A76"/>
    <w:rsid w:val="00A16AF8"/>
    <w:rsid w:val="00A16CC3"/>
    <w:rsid w:val="00A212F7"/>
    <w:rsid w:val="00A22C9B"/>
    <w:rsid w:val="00A27F9B"/>
    <w:rsid w:val="00A30027"/>
    <w:rsid w:val="00A315E3"/>
    <w:rsid w:val="00A34FAA"/>
    <w:rsid w:val="00A354B2"/>
    <w:rsid w:val="00A4399D"/>
    <w:rsid w:val="00A43D22"/>
    <w:rsid w:val="00A509AF"/>
    <w:rsid w:val="00A52313"/>
    <w:rsid w:val="00A52F7A"/>
    <w:rsid w:val="00A54041"/>
    <w:rsid w:val="00A54FCC"/>
    <w:rsid w:val="00A56951"/>
    <w:rsid w:val="00A57337"/>
    <w:rsid w:val="00A612CB"/>
    <w:rsid w:val="00A63F6F"/>
    <w:rsid w:val="00A6496A"/>
    <w:rsid w:val="00A64E21"/>
    <w:rsid w:val="00A7104F"/>
    <w:rsid w:val="00A711A4"/>
    <w:rsid w:val="00A71326"/>
    <w:rsid w:val="00A759EA"/>
    <w:rsid w:val="00A76EB6"/>
    <w:rsid w:val="00A8029F"/>
    <w:rsid w:val="00A8043F"/>
    <w:rsid w:val="00A80E55"/>
    <w:rsid w:val="00A83BA9"/>
    <w:rsid w:val="00A846F4"/>
    <w:rsid w:val="00A849A0"/>
    <w:rsid w:val="00A86229"/>
    <w:rsid w:val="00A869BE"/>
    <w:rsid w:val="00A87D48"/>
    <w:rsid w:val="00A908AB"/>
    <w:rsid w:val="00A97062"/>
    <w:rsid w:val="00A97B86"/>
    <w:rsid w:val="00AA031C"/>
    <w:rsid w:val="00AA0602"/>
    <w:rsid w:val="00AA1700"/>
    <w:rsid w:val="00AA2658"/>
    <w:rsid w:val="00AA3315"/>
    <w:rsid w:val="00AA7819"/>
    <w:rsid w:val="00AB07E5"/>
    <w:rsid w:val="00AB3741"/>
    <w:rsid w:val="00AB3881"/>
    <w:rsid w:val="00AB7C17"/>
    <w:rsid w:val="00AC1716"/>
    <w:rsid w:val="00AC333F"/>
    <w:rsid w:val="00AC3621"/>
    <w:rsid w:val="00AC4B4C"/>
    <w:rsid w:val="00AC6336"/>
    <w:rsid w:val="00AC7D05"/>
    <w:rsid w:val="00AD12D3"/>
    <w:rsid w:val="00AD352D"/>
    <w:rsid w:val="00AD4815"/>
    <w:rsid w:val="00AD791A"/>
    <w:rsid w:val="00AE02AB"/>
    <w:rsid w:val="00AE13A0"/>
    <w:rsid w:val="00AE1672"/>
    <w:rsid w:val="00AE1AB9"/>
    <w:rsid w:val="00AE3239"/>
    <w:rsid w:val="00AE4D15"/>
    <w:rsid w:val="00AE52BF"/>
    <w:rsid w:val="00AE53B3"/>
    <w:rsid w:val="00AE5F47"/>
    <w:rsid w:val="00AE725E"/>
    <w:rsid w:val="00AE738C"/>
    <w:rsid w:val="00AF1641"/>
    <w:rsid w:val="00AF31F6"/>
    <w:rsid w:val="00AF6219"/>
    <w:rsid w:val="00AF7E44"/>
    <w:rsid w:val="00B01F63"/>
    <w:rsid w:val="00B068BC"/>
    <w:rsid w:val="00B1212E"/>
    <w:rsid w:val="00B121EE"/>
    <w:rsid w:val="00B12483"/>
    <w:rsid w:val="00B16661"/>
    <w:rsid w:val="00B20C86"/>
    <w:rsid w:val="00B21D44"/>
    <w:rsid w:val="00B22C87"/>
    <w:rsid w:val="00B2609F"/>
    <w:rsid w:val="00B27D09"/>
    <w:rsid w:val="00B33052"/>
    <w:rsid w:val="00B3388D"/>
    <w:rsid w:val="00B34B1A"/>
    <w:rsid w:val="00B34F91"/>
    <w:rsid w:val="00B3577B"/>
    <w:rsid w:val="00B37A0B"/>
    <w:rsid w:val="00B45716"/>
    <w:rsid w:val="00B472D3"/>
    <w:rsid w:val="00B474E5"/>
    <w:rsid w:val="00B52901"/>
    <w:rsid w:val="00B52F40"/>
    <w:rsid w:val="00B55597"/>
    <w:rsid w:val="00B5703E"/>
    <w:rsid w:val="00B57B7F"/>
    <w:rsid w:val="00B626D0"/>
    <w:rsid w:val="00B62BB4"/>
    <w:rsid w:val="00B65C5F"/>
    <w:rsid w:val="00B725F6"/>
    <w:rsid w:val="00B73103"/>
    <w:rsid w:val="00B73BFE"/>
    <w:rsid w:val="00B74215"/>
    <w:rsid w:val="00B767A5"/>
    <w:rsid w:val="00B770C1"/>
    <w:rsid w:val="00B80970"/>
    <w:rsid w:val="00B81F7E"/>
    <w:rsid w:val="00B83A39"/>
    <w:rsid w:val="00B842DE"/>
    <w:rsid w:val="00B84953"/>
    <w:rsid w:val="00B84F22"/>
    <w:rsid w:val="00B8555A"/>
    <w:rsid w:val="00B903B1"/>
    <w:rsid w:val="00B9072B"/>
    <w:rsid w:val="00B91E74"/>
    <w:rsid w:val="00B93306"/>
    <w:rsid w:val="00B94BA7"/>
    <w:rsid w:val="00B9556F"/>
    <w:rsid w:val="00B95DF1"/>
    <w:rsid w:val="00BA0318"/>
    <w:rsid w:val="00BA0DFE"/>
    <w:rsid w:val="00BA2CEE"/>
    <w:rsid w:val="00BA2FB7"/>
    <w:rsid w:val="00BA41CA"/>
    <w:rsid w:val="00BA5844"/>
    <w:rsid w:val="00BA6999"/>
    <w:rsid w:val="00BB4A66"/>
    <w:rsid w:val="00BB5C0D"/>
    <w:rsid w:val="00BC121C"/>
    <w:rsid w:val="00BC1B02"/>
    <w:rsid w:val="00BC6CC2"/>
    <w:rsid w:val="00BD08F2"/>
    <w:rsid w:val="00BD1C6F"/>
    <w:rsid w:val="00BD4487"/>
    <w:rsid w:val="00BD61B7"/>
    <w:rsid w:val="00BD6B98"/>
    <w:rsid w:val="00BD74BE"/>
    <w:rsid w:val="00BD7FE5"/>
    <w:rsid w:val="00BE50BF"/>
    <w:rsid w:val="00BE7097"/>
    <w:rsid w:val="00BF131A"/>
    <w:rsid w:val="00BF6F80"/>
    <w:rsid w:val="00BF76AF"/>
    <w:rsid w:val="00C0392B"/>
    <w:rsid w:val="00C04609"/>
    <w:rsid w:val="00C07218"/>
    <w:rsid w:val="00C07243"/>
    <w:rsid w:val="00C07B0A"/>
    <w:rsid w:val="00C12ACC"/>
    <w:rsid w:val="00C12F75"/>
    <w:rsid w:val="00C13BBC"/>
    <w:rsid w:val="00C14320"/>
    <w:rsid w:val="00C14B89"/>
    <w:rsid w:val="00C158D1"/>
    <w:rsid w:val="00C200CB"/>
    <w:rsid w:val="00C2047E"/>
    <w:rsid w:val="00C21B24"/>
    <w:rsid w:val="00C21E24"/>
    <w:rsid w:val="00C22D19"/>
    <w:rsid w:val="00C236E4"/>
    <w:rsid w:val="00C25677"/>
    <w:rsid w:val="00C256FB"/>
    <w:rsid w:val="00C30652"/>
    <w:rsid w:val="00C30873"/>
    <w:rsid w:val="00C31C30"/>
    <w:rsid w:val="00C32C9B"/>
    <w:rsid w:val="00C335A2"/>
    <w:rsid w:val="00C34A35"/>
    <w:rsid w:val="00C34CD0"/>
    <w:rsid w:val="00C35043"/>
    <w:rsid w:val="00C40DCE"/>
    <w:rsid w:val="00C41099"/>
    <w:rsid w:val="00C447EE"/>
    <w:rsid w:val="00C4797D"/>
    <w:rsid w:val="00C510CC"/>
    <w:rsid w:val="00C5144E"/>
    <w:rsid w:val="00C52511"/>
    <w:rsid w:val="00C61472"/>
    <w:rsid w:val="00C622F7"/>
    <w:rsid w:val="00C63AD6"/>
    <w:rsid w:val="00C67C1D"/>
    <w:rsid w:val="00C70464"/>
    <w:rsid w:val="00C7114E"/>
    <w:rsid w:val="00C7571A"/>
    <w:rsid w:val="00C776B4"/>
    <w:rsid w:val="00C77F22"/>
    <w:rsid w:val="00C84937"/>
    <w:rsid w:val="00C86660"/>
    <w:rsid w:val="00C8711D"/>
    <w:rsid w:val="00C9043D"/>
    <w:rsid w:val="00C916B2"/>
    <w:rsid w:val="00C91B59"/>
    <w:rsid w:val="00C92278"/>
    <w:rsid w:val="00C93260"/>
    <w:rsid w:val="00C93BDA"/>
    <w:rsid w:val="00C966D1"/>
    <w:rsid w:val="00CA2512"/>
    <w:rsid w:val="00CA2709"/>
    <w:rsid w:val="00CB0321"/>
    <w:rsid w:val="00CB15A5"/>
    <w:rsid w:val="00CB1BFD"/>
    <w:rsid w:val="00CB364D"/>
    <w:rsid w:val="00CB6975"/>
    <w:rsid w:val="00CB712C"/>
    <w:rsid w:val="00CB7D60"/>
    <w:rsid w:val="00CC1766"/>
    <w:rsid w:val="00CC1910"/>
    <w:rsid w:val="00CD16D6"/>
    <w:rsid w:val="00CD3422"/>
    <w:rsid w:val="00CD7C81"/>
    <w:rsid w:val="00CE1CFC"/>
    <w:rsid w:val="00CE2BD1"/>
    <w:rsid w:val="00CE31F8"/>
    <w:rsid w:val="00CE679B"/>
    <w:rsid w:val="00CE6D06"/>
    <w:rsid w:val="00CE7C4D"/>
    <w:rsid w:val="00CF006C"/>
    <w:rsid w:val="00CF05C8"/>
    <w:rsid w:val="00CF1038"/>
    <w:rsid w:val="00CF2679"/>
    <w:rsid w:val="00CF2BDC"/>
    <w:rsid w:val="00CF2E17"/>
    <w:rsid w:val="00CF33ED"/>
    <w:rsid w:val="00CF3DD2"/>
    <w:rsid w:val="00CF4AF6"/>
    <w:rsid w:val="00CF65E9"/>
    <w:rsid w:val="00D01423"/>
    <w:rsid w:val="00D05844"/>
    <w:rsid w:val="00D07BDF"/>
    <w:rsid w:val="00D102CD"/>
    <w:rsid w:val="00D11840"/>
    <w:rsid w:val="00D176DF"/>
    <w:rsid w:val="00D27C76"/>
    <w:rsid w:val="00D306AF"/>
    <w:rsid w:val="00D31B9A"/>
    <w:rsid w:val="00D355C3"/>
    <w:rsid w:val="00D36440"/>
    <w:rsid w:val="00D4175F"/>
    <w:rsid w:val="00D4191E"/>
    <w:rsid w:val="00D41D97"/>
    <w:rsid w:val="00D47582"/>
    <w:rsid w:val="00D50807"/>
    <w:rsid w:val="00D51EC3"/>
    <w:rsid w:val="00D51FF6"/>
    <w:rsid w:val="00D52B55"/>
    <w:rsid w:val="00D530DA"/>
    <w:rsid w:val="00D5335C"/>
    <w:rsid w:val="00D5474D"/>
    <w:rsid w:val="00D55787"/>
    <w:rsid w:val="00D55849"/>
    <w:rsid w:val="00D55D9D"/>
    <w:rsid w:val="00D604B1"/>
    <w:rsid w:val="00D61509"/>
    <w:rsid w:val="00D66D58"/>
    <w:rsid w:val="00D66FC2"/>
    <w:rsid w:val="00D74FAC"/>
    <w:rsid w:val="00D76409"/>
    <w:rsid w:val="00D8100C"/>
    <w:rsid w:val="00D85822"/>
    <w:rsid w:val="00D8586F"/>
    <w:rsid w:val="00D85D34"/>
    <w:rsid w:val="00D87B23"/>
    <w:rsid w:val="00D913A4"/>
    <w:rsid w:val="00D9389A"/>
    <w:rsid w:val="00D94B21"/>
    <w:rsid w:val="00D95ECF"/>
    <w:rsid w:val="00D973A4"/>
    <w:rsid w:val="00DA00DD"/>
    <w:rsid w:val="00DA0281"/>
    <w:rsid w:val="00DA27E0"/>
    <w:rsid w:val="00DA388A"/>
    <w:rsid w:val="00DA4968"/>
    <w:rsid w:val="00DA5F6D"/>
    <w:rsid w:val="00DA6D2F"/>
    <w:rsid w:val="00DA7784"/>
    <w:rsid w:val="00DB17A5"/>
    <w:rsid w:val="00DB29C3"/>
    <w:rsid w:val="00DB2C4F"/>
    <w:rsid w:val="00DB40B2"/>
    <w:rsid w:val="00DB501F"/>
    <w:rsid w:val="00DB50A7"/>
    <w:rsid w:val="00DC1C50"/>
    <w:rsid w:val="00DC330F"/>
    <w:rsid w:val="00DC3D74"/>
    <w:rsid w:val="00DC63B5"/>
    <w:rsid w:val="00DC77B4"/>
    <w:rsid w:val="00DD07F6"/>
    <w:rsid w:val="00DD45C3"/>
    <w:rsid w:val="00DD7A52"/>
    <w:rsid w:val="00DD7D95"/>
    <w:rsid w:val="00DE5C63"/>
    <w:rsid w:val="00DE6438"/>
    <w:rsid w:val="00DE666A"/>
    <w:rsid w:val="00DE6F2F"/>
    <w:rsid w:val="00DF02AF"/>
    <w:rsid w:val="00DF1B08"/>
    <w:rsid w:val="00DF223B"/>
    <w:rsid w:val="00DF2A4F"/>
    <w:rsid w:val="00DF3656"/>
    <w:rsid w:val="00DF62D6"/>
    <w:rsid w:val="00DF6310"/>
    <w:rsid w:val="00DF6586"/>
    <w:rsid w:val="00DF7F10"/>
    <w:rsid w:val="00E00E54"/>
    <w:rsid w:val="00E00ECD"/>
    <w:rsid w:val="00E02422"/>
    <w:rsid w:val="00E02775"/>
    <w:rsid w:val="00E0415D"/>
    <w:rsid w:val="00E04944"/>
    <w:rsid w:val="00E07CA1"/>
    <w:rsid w:val="00E100BE"/>
    <w:rsid w:val="00E103E4"/>
    <w:rsid w:val="00E11DA7"/>
    <w:rsid w:val="00E17C04"/>
    <w:rsid w:val="00E22B30"/>
    <w:rsid w:val="00E22D20"/>
    <w:rsid w:val="00E22F0A"/>
    <w:rsid w:val="00E334A7"/>
    <w:rsid w:val="00E335E8"/>
    <w:rsid w:val="00E33BBC"/>
    <w:rsid w:val="00E37F47"/>
    <w:rsid w:val="00E42337"/>
    <w:rsid w:val="00E436C2"/>
    <w:rsid w:val="00E44C3E"/>
    <w:rsid w:val="00E45B21"/>
    <w:rsid w:val="00E4653E"/>
    <w:rsid w:val="00E50866"/>
    <w:rsid w:val="00E52102"/>
    <w:rsid w:val="00E5441F"/>
    <w:rsid w:val="00E54667"/>
    <w:rsid w:val="00E54FF8"/>
    <w:rsid w:val="00E552AA"/>
    <w:rsid w:val="00E55CC5"/>
    <w:rsid w:val="00E5771B"/>
    <w:rsid w:val="00E6178A"/>
    <w:rsid w:val="00E6326F"/>
    <w:rsid w:val="00E63EE9"/>
    <w:rsid w:val="00E63F6C"/>
    <w:rsid w:val="00E64554"/>
    <w:rsid w:val="00E70A1F"/>
    <w:rsid w:val="00E71113"/>
    <w:rsid w:val="00E74A95"/>
    <w:rsid w:val="00E805F5"/>
    <w:rsid w:val="00E81142"/>
    <w:rsid w:val="00E817AD"/>
    <w:rsid w:val="00E83CCE"/>
    <w:rsid w:val="00E86FBD"/>
    <w:rsid w:val="00E91179"/>
    <w:rsid w:val="00E9282A"/>
    <w:rsid w:val="00E92F1D"/>
    <w:rsid w:val="00E94922"/>
    <w:rsid w:val="00E96292"/>
    <w:rsid w:val="00E9772D"/>
    <w:rsid w:val="00EA179E"/>
    <w:rsid w:val="00EA263B"/>
    <w:rsid w:val="00EA26D6"/>
    <w:rsid w:val="00EA63A2"/>
    <w:rsid w:val="00EA67CB"/>
    <w:rsid w:val="00EA79A5"/>
    <w:rsid w:val="00EB169A"/>
    <w:rsid w:val="00EB4923"/>
    <w:rsid w:val="00EC34E2"/>
    <w:rsid w:val="00EC719E"/>
    <w:rsid w:val="00EC7FDB"/>
    <w:rsid w:val="00ED1489"/>
    <w:rsid w:val="00ED14B9"/>
    <w:rsid w:val="00ED21E4"/>
    <w:rsid w:val="00ED4F1A"/>
    <w:rsid w:val="00EE00B4"/>
    <w:rsid w:val="00EE1848"/>
    <w:rsid w:val="00EF3FD9"/>
    <w:rsid w:val="00EF512E"/>
    <w:rsid w:val="00EF5C7D"/>
    <w:rsid w:val="00EF6C16"/>
    <w:rsid w:val="00F00C43"/>
    <w:rsid w:val="00F01E6D"/>
    <w:rsid w:val="00F03F94"/>
    <w:rsid w:val="00F041DB"/>
    <w:rsid w:val="00F050A4"/>
    <w:rsid w:val="00F07530"/>
    <w:rsid w:val="00F11756"/>
    <w:rsid w:val="00F11F68"/>
    <w:rsid w:val="00F14F55"/>
    <w:rsid w:val="00F1745F"/>
    <w:rsid w:val="00F2494B"/>
    <w:rsid w:val="00F25080"/>
    <w:rsid w:val="00F26925"/>
    <w:rsid w:val="00F304E7"/>
    <w:rsid w:val="00F31A03"/>
    <w:rsid w:val="00F322D1"/>
    <w:rsid w:val="00F40377"/>
    <w:rsid w:val="00F413EB"/>
    <w:rsid w:val="00F43130"/>
    <w:rsid w:val="00F45CD5"/>
    <w:rsid w:val="00F466B2"/>
    <w:rsid w:val="00F46D61"/>
    <w:rsid w:val="00F4772A"/>
    <w:rsid w:val="00F50376"/>
    <w:rsid w:val="00F52772"/>
    <w:rsid w:val="00F53195"/>
    <w:rsid w:val="00F55AFC"/>
    <w:rsid w:val="00F55DE3"/>
    <w:rsid w:val="00F56055"/>
    <w:rsid w:val="00F6168F"/>
    <w:rsid w:val="00F638DB"/>
    <w:rsid w:val="00F6436E"/>
    <w:rsid w:val="00F65328"/>
    <w:rsid w:val="00F65FF8"/>
    <w:rsid w:val="00F7057A"/>
    <w:rsid w:val="00F732D2"/>
    <w:rsid w:val="00F74FDD"/>
    <w:rsid w:val="00F83438"/>
    <w:rsid w:val="00F8433A"/>
    <w:rsid w:val="00F90894"/>
    <w:rsid w:val="00F9170F"/>
    <w:rsid w:val="00F93F56"/>
    <w:rsid w:val="00F9411B"/>
    <w:rsid w:val="00F97188"/>
    <w:rsid w:val="00F97BD4"/>
    <w:rsid w:val="00FA370E"/>
    <w:rsid w:val="00FA4588"/>
    <w:rsid w:val="00FA76FB"/>
    <w:rsid w:val="00FA7C47"/>
    <w:rsid w:val="00FB0206"/>
    <w:rsid w:val="00FB2E3C"/>
    <w:rsid w:val="00FB2E42"/>
    <w:rsid w:val="00FB3867"/>
    <w:rsid w:val="00FB485F"/>
    <w:rsid w:val="00FC60E9"/>
    <w:rsid w:val="00FC7D8B"/>
    <w:rsid w:val="00FC7FA2"/>
    <w:rsid w:val="00FD0D6D"/>
    <w:rsid w:val="00FD1B05"/>
    <w:rsid w:val="00FD399C"/>
    <w:rsid w:val="00FD5C46"/>
    <w:rsid w:val="00FD6110"/>
    <w:rsid w:val="00FD650E"/>
    <w:rsid w:val="00FD7CF3"/>
    <w:rsid w:val="00FE5BAB"/>
    <w:rsid w:val="00FE5C9A"/>
    <w:rsid w:val="00FE78DE"/>
    <w:rsid w:val="00FF0469"/>
    <w:rsid w:val="00FF61EE"/>
    <w:rsid w:val="00FF6634"/>
    <w:rsid w:val="00FF6A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D8E5DA2"/>
  <w14:defaultImageDpi w14:val="330"/>
  <w15:chartTrackingRefBased/>
  <w15:docId w15:val="{61E53ED7-31A7-4D01-B383-B9F048FA7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26D"/>
    <w:pPr>
      <w:spacing w:before="120" w:after="120"/>
    </w:pPr>
  </w:style>
  <w:style w:type="paragraph" w:styleId="Heading1">
    <w:name w:val="heading 1"/>
    <w:basedOn w:val="Normal"/>
    <w:next w:val="Normal"/>
    <w:link w:val="Heading1Char"/>
    <w:uiPriority w:val="9"/>
    <w:qFormat/>
    <w:rsid w:val="003A178A"/>
    <w:pPr>
      <w:keepNext/>
      <w:keepLines/>
      <w:spacing w:before="0" w:after="0"/>
      <w:outlineLvl w:val="0"/>
    </w:pPr>
    <w:rPr>
      <w:rFonts w:ascii="Century Gothic" w:eastAsiaTheme="majorEastAsia" w:hAnsi="Century Gothic" w:cstheme="majorBidi"/>
      <w:color w:val="2763AC"/>
      <w:sz w:val="46"/>
      <w:szCs w:val="46"/>
    </w:rPr>
  </w:style>
  <w:style w:type="paragraph" w:styleId="Heading2">
    <w:name w:val="heading 2"/>
    <w:basedOn w:val="Normal"/>
    <w:next w:val="Normal"/>
    <w:link w:val="Heading2Char"/>
    <w:uiPriority w:val="9"/>
    <w:unhideWhenUsed/>
    <w:qFormat/>
    <w:rsid w:val="004978DA"/>
    <w:pPr>
      <w:keepNext/>
      <w:keepLines/>
      <w:spacing w:before="0"/>
      <w:outlineLvl w:val="1"/>
    </w:pPr>
    <w:rPr>
      <w:rFonts w:ascii="Century Gothic" w:eastAsiaTheme="majorEastAsia" w:hAnsi="Century Gothic" w:cstheme="majorBidi"/>
      <w:b/>
      <w:color w:val="2763AC"/>
      <w:sz w:val="28"/>
      <w:szCs w:val="28"/>
    </w:rPr>
  </w:style>
  <w:style w:type="paragraph" w:styleId="Heading3">
    <w:name w:val="heading 3"/>
    <w:basedOn w:val="Normal"/>
    <w:next w:val="Normal"/>
    <w:link w:val="Heading3Char"/>
    <w:uiPriority w:val="9"/>
    <w:qFormat/>
    <w:rsid w:val="004978DA"/>
    <w:pPr>
      <w:keepNext/>
      <w:keepLines/>
      <w:spacing w:before="0"/>
      <w:outlineLvl w:val="2"/>
    </w:pPr>
    <w:rPr>
      <w:rFonts w:ascii="Century Gothic" w:eastAsiaTheme="majorEastAsia" w:hAnsi="Century Gothic" w:cstheme="majorBidi"/>
      <w:b/>
    </w:rPr>
  </w:style>
  <w:style w:type="paragraph" w:styleId="Heading4">
    <w:name w:val="heading 4"/>
    <w:basedOn w:val="Normal"/>
    <w:next w:val="Normal"/>
    <w:link w:val="Heading4Char"/>
    <w:uiPriority w:val="9"/>
    <w:qFormat/>
    <w:rsid w:val="00E83CCE"/>
    <w:pPr>
      <w:keepNext/>
      <w:keepLines/>
      <w:spacing w:before="40" w:after="0"/>
      <w:outlineLvl w:val="3"/>
    </w:pPr>
    <w:rPr>
      <w:rFonts w:ascii="Calibri" w:eastAsiaTheme="majorEastAsia" w:hAnsi="Calibri" w:cstheme="majorBidi"/>
      <w:b/>
      <w:i/>
      <w:iCs/>
    </w:rPr>
  </w:style>
  <w:style w:type="paragraph" w:styleId="Heading5">
    <w:name w:val="heading 5"/>
    <w:basedOn w:val="Normal"/>
    <w:next w:val="Normal"/>
    <w:link w:val="Heading5Char"/>
    <w:uiPriority w:val="9"/>
    <w:rsid w:val="00E83CCE"/>
    <w:pPr>
      <w:keepNext/>
      <w:keepLines/>
      <w:spacing w:before="40" w:after="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rsid w:val="00E83CCE"/>
    <w:pPr>
      <w:keepNext/>
      <w:keepLines/>
      <w:spacing w:before="40" w:after="0"/>
      <w:outlineLvl w:val="5"/>
    </w:pPr>
    <w:rPr>
      <w:rFonts w:ascii="Calibri" w:eastAsiaTheme="majorEastAsia" w:hAnsi="Calibri" w:cstheme="majorBidi"/>
      <w:b/>
      <w:i/>
      <w:color w:val="757575"/>
    </w:rPr>
  </w:style>
  <w:style w:type="paragraph" w:styleId="Heading7">
    <w:name w:val="heading 7"/>
    <w:basedOn w:val="Normal"/>
    <w:next w:val="Normal"/>
    <w:link w:val="Heading7Char"/>
    <w:uiPriority w:val="9"/>
    <w:semiHidden/>
    <w:unhideWhenUsed/>
    <w:qFormat/>
    <w:rsid w:val="002B34C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34C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34C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126D"/>
    <w:pPr>
      <w:spacing w:before="2280" w:after="0" w:line="240" w:lineRule="auto"/>
      <w:contextualSpacing/>
      <w:jc w:val="right"/>
    </w:pPr>
    <w:rPr>
      <w:rFonts w:ascii="Arial" w:eastAsiaTheme="majorEastAsia" w:hAnsi="Arial" w:cstheme="majorBidi"/>
      <w:color w:val="000000" w:themeColor="text1"/>
      <w:spacing w:val="-10"/>
      <w:kern w:val="28"/>
      <w:sz w:val="52"/>
      <w:szCs w:val="56"/>
    </w:rPr>
  </w:style>
  <w:style w:type="character" w:customStyle="1" w:styleId="TitleChar">
    <w:name w:val="Title Char"/>
    <w:basedOn w:val="DefaultParagraphFont"/>
    <w:link w:val="Title"/>
    <w:uiPriority w:val="10"/>
    <w:rsid w:val="0014126D"/>
    <w:rPr>
      <w:rFonts w:ascii="Arial" w:eastAsiaTheme="majorEastAsia" w:hAnsi="Arial" w:cstheme="majorBidi"/>
      <w:color w:val="000000" w:themeColor="text1"/>
      <w:spacing w:val="-10"/>
      <w:kern w:val="28"/>
      <w:sz w:val="52"/>
      <w:szCs w:val="56"/>
    </w:rPr>
  </w:style>
  <w:style w:type="character" w:styleId="Hyperlink">
    <w:name w:val="Hyperlink"/>
    <w:basedOn w:val="DefaultParagraphFont"/>
    <w:uiPriority w:val="99"/>
    <w:qFormat/>
    <w:rsid w:val="0014126D"/>
    <w:rPr>
      <w:color w:val="2763AC"/>
      <w:u w:val="single"/>
    </w:rPr>
  </w:style>
  <w:style w:type="paragraph" w:styleId="Subtitle">
    <w:name w:val="Subtitle"/>
    <w:basedOn w:val="Normal"/>
    <w:next w:val="Normal"/>
    <w:link w:val="SubtitleChar"/>
    <w:uiPriority w:val="11"/>
    <w:qFormat/>
    <w:rsid w:val="0014126D"/>
    <w:pPr>
      <w:numPr>
        <w:ilvl w:val="1"/>
      </w:numPr>
      <w:spacing w:before="360" w:line="240" w:lineRule="auto"/>
      <w:jc w:val="right"/>
    </w:pPr>
    <w:rPr>
      <w:rFonts w:ascii="Arial" w:eastAsiaTheme="minorEastAsia" w:hAnsi="Arial"/>
      <w:b/>
      <w:caps/>
      <w:color w:val="2763AC"/>
      <w:spacing w:val="15"/>
      <w:sz w:val="32"/>
    </w:rPr>
  </w:style>
  <w:style w:type="character" w:customStyle="1" w:styleId="SubtitleChar">
    <w:name w:val="Subtitle Char"/>
    <w:basedOn w:val="DefaultParagraphFont"/>
    <w:link w:val="Subtitle"/>
    <w:uiPriority w:val="11"/>
    <w:rsid w:val="0014126D"/>
    <w:rPr>
      <w:rFonts w:ascii="Arial" w:eastAsiaTheme="minorEastAsia" w:hAnsi="Arial"/>
      <w:b/>
      <w:caps/>
      <w:color w:val="2763AC"/>
      <w:spacing w:val="15"/>
      <w:sz w:val="32"/>
    </w:rPr>
  </w:style>
  <w:style w:type="paragraph" w:customStyle="1" w:styleId="ImageHeader">
    <w:name w:val="Image Header"/>
    <w:basedOn w:val="Normal"/>
    <w:rsid w:val="0014126D"/>
    <w:pPr>
      <w:spacing w:before="0" w:after="600"/>
      <w:ind w:left="-284"/>
    </w:pPr>
    <w:rPr>
      <w:rFonts w:eastAsia="Times New Roman" w:cs="Times New Roman"/>
      <w:szCs w:val="20"/>
    </w:rPr>
  </w:style>
  <w:style w:type="paragraph" w:customStyle="1" w:styleId="numberedpara">
    <w:name w:val="numbered para"/>
    <w:basedOn w:val="Normal"/>
    <w:uiPriority w:val="99"/>
    <w:rsid w:val="0014126D"/>
    <w:pPr>
      <w:numPr>
        <w:numId w:val="1"/>
      </w:numPr>
      <w:spacing w:before="0" w:after="0" w:line="240" w:lineRule="auto"/>
    </w:pPr>
    <w:rPr>
      <w:rFonts w:ascii="Calibri" w:hAnsi="Calibri" w:cs="Calibri"/>
      <w:lang w:eastAsia="en-AU"/>
    </w:rPr>
  </w:style>
  <w:style w:type="character" w:customStyle="1" w:styleId="NormalWebChar">
    <w:name w:val="Normal (Web) Char"/>
    <w:aliases w:val="Char Char,Normal bulleted Char"/>
    <w:basedOn w:val="DefaultParagraphFont"/>
    <w:link w:val="NormalWeb"/>
    <w:uiPriority w:val="99"/>
    <w:locked/>
    <w:rsid w:val="0014126D"/>
    <w:rPr>
      <w:rFonts w:ascii="Calibri" w:hAnsi="Calibri"/>
    </w:rPr>
  </w:style>
  <w:style w:type="paragraph" w:styleId="NormalWeb">
    <w:name w:val="Normal (Web)"/>
    <w:aliases w:val="Char,Normal bulleted"/>
    <w:basedOn w:val="Normal"/>
    <w:link w:val="NormalWebChar"/>
    <w:uiPriority w:val="99"/>
    <w:unhideWhenUsed/>
    <w:rsid w:val="0014126D"/>
    <w:pPr>
      <w:spacing w:before="200" w:after="0" w:line="240" w:lineRule="auto"/>
    </w:pPr>
    <w:rPr>
      <w:rFonts w:ascii="Calibri" w:hAnsi="Calibri"/>
    </w:rPr>
  </w:style>
  <w:style w:type="character" w:customStyle="1" w:styleId="Heading1Char">
    <w:name w:val="Heading 1 Char"/>
    <w:basedOn w:val="DefaultParagraphFont"/>
    <w:link w:val="Heading1"/>
    <w:uiPriority w:val="9"/>
    <w:rsid w:val="003A178A"/>
    <w:rPr>
      <w:rFonts w:ascii="Century Gothic" w:eastAsiaTheme="majorEastAsia" w:hAnsi="Century Gothic" w:cstheme="majorBidi"/>
      <w:color w:val="2763AC"/>
      <w:sz w:val="46"/>
      <w:szCs w:val="46"/>
    </w:rPr>
  </w:style>
  <w:style w:type="paragraph" w:styleId="TOCHeading">
    <w:name w:val="TOC Heading"/>
    <w:basedOn w:val="Heading1"/>
    <w:next w:val="Normal"/>
    <w:uiPriority w:val="39"/>
    <w:unhideWhenUsed/>
    <w:qFormat/>
    <w:rsid w:val="004978DA"/>
    <w:pPr>
      <w:spacing w:before="480" w:after="120" w:line="240" w:lineRule="auto"/>
    </w:pPr>
    <w:rPr>
      <w:sz w:val="52"/>
    </w:rPr>
  </w:style>
  <w:style w:type="paragraph" w:styleId="Header">
    <w:name w:val="header"/>
    <w:basedOn w:val="Normal"/>
    <w:link w:val="HeaderChar"/>
    <w:uiPriority w:val="99"/>
    <w:unhideWhenUsed/>
    <w:rsid w:val="0014126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4126D"/>
  </w:style>
  <w:style w:type="paragraph" w:styleId="Footer">
    <w:name w:val="footer"/>
    <w:basedOn w:val="Normal"/>
    <w:link w:val="FooterChar"/>
    <w:uiPriority w:val="99"/>
    <w:unhideWhenUsed/>
    <w:rsid w:val="0014126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4126D"/>
  </w:style>
  <w:style w:type="paragraph" w:customStyle="1" w:styleId="InstructionText">
    <w:name w:val="Instruction Text"/>
    <w:basedOn w:val="Normal"/>
    <w:rsid w:val="0014126D"/>
    <w:pPr>
      <w:spacing w:after="200" w:line="240" w:lineRule="auto"/>
      <w:ind w:left="-113"/>
    </w:pPr>
    <w:rPr>
      <w:color w:val="7030A0"/>
    </w:rPr>
  </w:style>
  <w:style w:type="character" w:customStyle="1" w:styleId="Heading2Char">
    <w:name w:val="Heading 2 Char"/>
    <w:basedOn w:val="DefaultParagraphFont"/>
    <w:link w:val="Heading2"/>
    <w:uiPriority w:val="9"/>
    <w:rsid w:val="004978DA"/>
    <w:rPr>
      <w:rFonts w:ascii="Century Gothic" w:eastAsiaTheme="majorEastAsia" w:hAnsi="Century Gothic" w:cstheme="majorBidi"/>
      <w:b/>
      <w:color w:val="2763AC"/>
      <w:sz w:val="28"/>
      <w:szCs w:val="28"/>
    </w:rPr>
  </w:style>
  <w:style w:type="table" w:styleId="TableGrid">
    <w:name w:val="Table Grid"/>
    <w:aliases w:val="NSRB Table"/>
    <w:basedOn w:val="TableNormal"/>
    <w:uiPriority w:val="39"/>
    <w:rsid w:val="0014126D"/>
    <w:pPr>
      <w:spacing w:after="40" w:line="240" w:lineRule="auto"/>
    </w:pPr>
    <w:tblPr>
      <w:tblBorders>
        <w:top w:val="single" w:sz="4" w:space="0" w:color="2763AC"/>
        <w:left w:val="single" w:sz="4" w:space="0" w:color="2763AC"/>
        <w:bottom w:val="single" w:sz="4" w:space="0" w:color="2763AC"/>
        <w:right w:val="single" w:sz="4" w:space="0" w:color="2763AC"/>
        <w:insideH w:val="single" w:sz="4" w:space="0" w:color="2763AC"/>
        <w:insideV w:val="single" w:sz="4" w:space="0" w:color="2763AC"/>
      </w:tblBorders>
      <w:tblCellMar>
        <w:top w:w="45" w:type="dxa"/>
      </w:tblCellMar>
    </w:tblPr>
    <w:tcPr>
      <w:shd w:val="clear" w:color="auto" w:fill="auto"/>
      <w:vAlign w:val="center"/>
    </w:tcPr>
    <w:tblStylePr w:type="firstRow">
      <w:pPr>
        <w:jc w:val="left"/>
      </w:pPr>
      <w:rPr>
        <w:rFonts w:ascii="Calibri" w:hAnsi="Calibri"/>
        <w:b/>
        <w:color w:val="FFFFFF" w:themeColor="background1"/>
        <w:sz w:val="24"/>
      </w:rPr>
      <w:tblPr/>
      <w:tcPr>
        <w:shd w:val="clear" w:color="auto" w:fill="2763AC"/>
      </w:tcPr>
    </w:tblStylePr>
  </w:style>
  <w:style w:type="paragraph" w:styleId="ListParagraph">
    <w:name w:val="List Paragraph"/>
    <w:aliases w:val="Bullet point,List Paragraph1,List Paragraph11,Recommendation,List Paragraph Number,L,Bullet Point,List Bullet 1,Body Bullets 1,Bulleted Para,NFP GP Bulleted List,bullet point list,Bullet points,Content descriptions,List Paragraph2,Number"/>
    <w:basedOn w:val="Normal"/>
    <w:link w:val="ListParagraphChar"/>
    <w:uiPriority w:val="34"/>
    <w:qFormat/>
    <w:rsid w:val="00CD7C81"/>
    <w:pPr>
      <w:ind w:left="720"/>
      <w:contextualSpacing/>
    </w:pPr>
  </w:style>
  <w:style w:type="character" w:styleId="IntenseReference">
    <w:name w:val="Intense Reference"/>
    <w:basedOn w:val="DefaultParagraphFont"/>
    <w:uiPriority w:val="32"/>
    <w:qFormat/>
    <w:rsid w:val="00CD7C81"/>
    <w:rPr>
      <w:b/>
      <w:bCs/>
      <w:smallCaps/>
      <w:color w:val="auto"/>
      <w:spacing w:val="5"/>
      <w:u w:val="single"/>
    </w:rPr>
  </w:style>
  <w:style w:type="character" w:customStyle="1" w:styleId="ListParagraphChar">
    <w:name w:val="List Paragraph Char"/>
    <w:aliases w:val="Bullet point Char,List Paragraph1 Char,List Paragraph11 Char,Recommendation Char,List Paragraph Number Char,L Char,Bullet Point Char,List Bullet 1 Char,Body Bullets 1 Char,Bulleted Para Char,NFP GP Bulleted List Char,Number Char"/>
    <w:basedOn w:val="DefaultParagraphFont"/>
    <w:link w:val="ListParagraph"/>
    <w:uiPriority w:val="34"/>
    <w:qFormat/>
    <w:rsid w:val="00CD7C81"/>
  </w:style>
  <w:style w:type="table" w:styleId="GridTable4-Accent5">
    <w:name w:val="Grid Table 4 Accent 5"/>
    <w:basedOn w:val="TableNormal"/>
    <w:uiPriority w:val="49"/>
    <w:rsid w:val="00CD7C8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5">
    <w:name w:val="List Table 4 Accent 5"/>
    <w:basedOn w:val="TableNormal"/>
    <w:uiPriority w:val="49"/>
    <w:rsid w:val="00CD7C8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Grid-Accent1">
    <w:name w:val="Light Grid Accent 1"/>
    <w:basedOn w:val="TableNormal"/>
    <w:uiPriority w:val="62"/>
    <w:rsid w:val="00CD7C8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Heading3Char">
    <w:name w:val="Heading 3 Char"/>
    <w:basedOn w:val="DefaultParagraphFont"/>
    <w:link w:val="Heading3"/>
    <w:uiPriority w:val="9"/>
    <w:rsid w:val="004978DA"/>
    <w:rPr>
      <w:rFonts w:ascii="Century Gothic" w:eastAsiaTheme="majorEastAsia" w:hAnsi="Century Gothic" w:cstheme="majorBidi"/>
      <w:b/>
    </w:rPr>
  </w:style>
  <w:style w:type="character" w:customStyle="1" w:styleId="Heading4Char">
    <w:name w:val="Heading 4 Char"/>
    <w:basedOn w:val="DefaultParagraphFont"/>
    <w:link w:val="Heading4"/>
    <w:uiPriority w:val="9"/>
    <w:rsid w:val="00E83CCE"/>
    <w:rPr>
      <w:rFonts w:ascii="Calibri" w:eastAsiaTheme="majorEastAsia" w:hAnsi="Calibri" w:cstheme="majorBidi"/>
      <w:b/>
      <w:i/>
      <w:iCs/>
    </w:rPr>
  </w:style>
  <w:style w:type="character" w:customStyle="1" w:styleId="Heading5Char">
    <w:name w:val="Heading 5 Char"/>
    <w:basedOn w:val="DefaultParagraphFont"/>
    <w:link w:val="Heading5"/>
    <w:uiPriority w:val="9"/>
    <w:rsid w:val="00E83CCE"/>
    <w:rPr>
      <w:rFonts w:ascii="Calibri" w:eastAsiaTheme="majorEastAsia" w:hAnsi="Calibri" w:cstheme="majorBidi"/>
      <w:b/>
      <w:color w:val="757575"/>
    </w:rPr>
  </w:style>
  <w:style w:type="character" w:customStyle="1" w:styleId="Heading6Char">
    <w:name w:val="Heading 6 Char"/>
    <w:basedOn w:val="DefaultParagraphFont"/>
    <w:link w:val="Heading6"/>
    <w:uiPriority w:val="9"/>
    <w:rsid w:val="00E83CCE"/>
    <w:rPr>
      <w:rFonts w:ascii="Calibri" w:eastAsiaTheme="majorEastAsia" w:hAnsi="Calibri" w:cstheme="majorBidi"/>
      <w:b/>
      <w:i/>
      <w:color w:val="757575"/>
    </w:rPr>
  </w:style>
  <w:style w:type="character" w:styleId="PlaceholderText">
    <w:name w:val="Placeholder Text"/>
    <w:basedOn w:val="DefaultParagraphFont"/>
    <w:uiPriority w:val="99"/>
    <w:semiHidden/>
    <w:rsid w:val="00E83CCE"/>
    <w:rPr>
      <w:color w:val="808080"/>
    </w:rPr>
  </w:style>
  <w:style w:type="paragraph" w:styleId="ListNumber">
    <w:name w:val="List Number"/>
    <w:basedOn w:val="Normal"/>
    <w:uiPriority w:val="99"/>
    <w:qFormat/>
    <w:rsid w:val="00E83CCE"/>
    <w:pPr>
      <w:numPr>
        <w:numId w:val="32"/>
      </w:numPr>
      <w:tabs>
        <w:tab w:val="left" w:pos="284"/>
        <w:tab w:val="left" w:pos="567"/>
        <w:tab w:val="left" w:pos="851"/>
        <w:tab w:val="left" w:pos="1134"/>
      </w:tabs>
      <w:contextualSpacing/>
    </w:pPr>
  </w:style>
  <w:style w:type="paragraph" w:styleId="ListNumber2">
    <w:name w:val="List Number 2"/>
    <w:basedOn w:val="Normal"/>
    <w:uiPriority w:val="99"/>
    <w:qFormat/>
    <w:rsid w:val="00E83CCE"/>
    <w:pPr>
      <w:numPr>
        <w:ilvl w:val="1"/>
        <w:numId w:val="32"/>
      </w:numPr>
      <w:contextualSpacing/>
    </w:pPr>
  </w:style>
  <w:style w:type="paragraph" w:styleId="ListBullet">
    <w:name w:val="List Bullet"/>
    <w:basedOn w:val="Normal"/>
    <w:uiPriority w:val="99"/>
    <w:qFormat/>
    <w:rsid w:val="00E83CCE"/>
    <w:pPr>
      <w:numPr>
        <w:numId w:val="34"/>
      </w:numPr>
      <w:contextualSpacing/>
    </w:pPr>
  </w:style>
  <w:style w:type="paragraph" w:styleId="ListBullet2">
    <w:name w:val="List Bullet 2"/>
    <w:basedOn w:val="Normal"/>
    <w:uiPriority w:val="99"/>
    <w:qFormat/>
    <w:rsid w:val="00E83CCE"/>
    <w:pPr>
      <w:numPr>
        <w:ilvl w:val="1"/>
        <w:numId w:val="34"/>
      </w:numPr>
      <w:tabs>
        <w:tab w:val="left" w:pos="567"/>
      </w:tabs>
      <w:contextualSpacing/>
    </w:pPr>
  </w:style>
  <w:style w:type="paragraph" w:styleId="Caption">
    <w:name w:val="caption"/>
    <w:basedOn w:val="Normal"/>
    <w:next w:val="Normal"/>
    <w:uiPriority w:val="35"/>
    <w:qFormat/>
    <w:rsid w:val="00E83CCE"/>
    <w:pPr>
      <w:spacing w:before="240"/>
    </w:pPr>
    <w:rPr>
      <w:b/>
      <w:i/>
    </w:rPr>
  </w:style>
  <w:style w:type="numbering" w:customStyle="1" w:styleId="RSCBNumberList1">
    <w:name w:val="RSCB Number List 1"/>
    <w:uiPriority w:val="99"/>
    <w:rsid w:val="00E83CCE"/>
    <w:pPr>
      <w:numPr>
        <w:numId w:val="31"/>
      </w:numPr>
    </w:pPr>
  </w:style>
  <w:style w:type="paragraph" w:styleId="ListBullet3">
    <w:name w:val="List Bullet 3"/>
    <w:basedOn w:val="Normal"/>
    <w:uiPriority w:val="99"/>
    <w:qFormat/>
    <w:rsid w:val="00E83CCE"/>
    <w:pPr>
      <w:numPr>
        <w:ilvl w:val="2"/>
        <w:numId w:val="34"/>
      </w:numPr>
      <w:tabs>
        <w:tab w:val="left" w:pos="851"/>
      </w:tabs>
      <w:contextualSpacing/>
    </w:pPr>
  </w:style>
  <w:style w:type="paragraph" w:styleId="ListNumber3">
    <w:name w:val="List Number 3"/>
    <w:basedOn w:val="Normal"/>
    <w:uiPriority w:val="99"/>
    <w:qFormat/>
    <w:rsid w:val="00E83CCE"/>
    <w:pPr>
      <w:numPr>
        <w:ilvl w:val="2"/>
        <w:numId w:val="32"/>
      </w:numPr>
      <w:tabs>
        <w:tab w:val="left" w:pos="1021"/>
      </w:tabs>
      <w:contextualSpacing/>
    </w:pPr>
  </w:style>
  <w:style w:type="paragraph" w:styleId="ListNumber4">
    <w:name w:val="List Number 4"/>
    <w:basedOn w:val="Normal"/>
    <w:uiPriority w:val="99"/>
    <w:qFormat/>
    <w:rsid w:val="00E83CCE"/>
    <w:pPr>
      <w:numPr>
        <w:ilvl w:val="3"/>
        <w:numId w:val="32"/>
      </w:numPr>
      <w:contextualSpacing/>
    </w:pPr>
  </w:style>
  <w:style w:type="paragraph" w:styleId="ListBullet4">
    <w:name w:val="List Bullet 4"/>
    <w:basedOn w:val="Normal"/>
    <w:uiPriority w:val="99"/>
    <w:qFormat/>
    <w:rsid w:val="00E83CCE"/>
    <w:pPr>
      <w:numPr>
        <w:ilvl w:val="3"/>
        <w:numId w:val="34"/>
      </w:numPr>
      <w:tabs>
        <w:tab w:val="left" w:pos="1134"/>
      </w:tabs>
      <w:contextualSpacing/>
    </w:pPr>
  </w:style>
  <w:style w:type="numbering" w:customStyle="1" w:styleId="Style1">
    <w:name w:val="Style1"/>
    <w:uiPriority w:val="99"/>
    <w:rsid w:val="00E83CCE"/>
    <w:pPr>
      <w:numPr>
        <w:numId w:val="33"/>
      </w:numPr>
    </w:pPr>
  </w:style>
  <w:style w:type="paragraph" w:styleId="FootnoteText">
    <w:name w:val="footnote text"/>
    <w:basedOn w:val="Normal"/>
    <w:link w:val="FootnoteTextChar"/>
    <w:uiPriority w:val="99"/>
    <w:rsid w:val="00E83CCE"/>
    <w:pPr>
      <w:spacing w:after="0" w:line="240" w:lineRule="auto"/>
    </w:pPr>
    <w:rPr>
      <w:sz w:val="20"/>
      <w:szCs w:val="20"/>
    </w:rPr>
  </w:style>
  <w:style w:type="character" w:customStyle="1" w:styleId="FootnoteTextChar">
    <w:name w:val="Footnote Text Char"/>
    <w:basedOn w:val="DefaultParagraphFont"/>
    <w:link w:val="FootnoteText"/>
    <w:uiPriority w:val="99"/>
    <w:rsid w:val="00E83CCE"/>
    <w:rPr>
      <w:sz w:val="20"/>
      <w:szCs w:val="20"/>
    </w:rPr>
  </w:style>
  <w:style w:type="character" w:styleId="FootnoteReference">
    <w:name w:val="footnote reference"/>
    <w:basedOn w:val="DefaultParagraphFont"/>
    <w:uiPriority w:val="99"/>
    <w:semiHidden/>
    <w:unhideWhenUsed/>
    <w:rsid w:val="00E83CCE"/>
    <w:rPr>
      <w:vertAlign w:val="superscript"/>
    </w:rPr>
  </w:style>
  <w:style w:type="character" w:styleId="Strong">
    <w:name w:val="Strong"/>
    <w:basedOn w:val="DefaultParagraphFont"/>
    <w:uiPriority w:val="22"/>
    <w:qFormat/>
    <w:rsid w:val="00E83CCE"/>
    <w:rPr>
      <w:b/>
      <w:bCs/>
    </w:rPr>
  </w:style>
  <w:style w:type="character" w:styleId="BookTitle">
    <w:name w:val="Book Title"/>
    <w:basedOn w:val="DefaultParagraphFont"/>
    <w:uiPriority w:val="33"/>
    <w:qFormat/>
    <w:rsid w:val="00E83CCE"/>
    <w:rPr>
      <w:b w:val="0"/>
      <w:bCs/>
      <w:i/>
      <w:iCs/>
      <w:spacing w:val="5"/>
    </w:rPr>
  </w:style>
  <w:style w:type="character" w:styleId="Emphasis">
    <w:name w:val="Emphasis"/>
    <w:basedOn w:val="DefaultParagraphFont"/>
    <w:uiPriority w:val="20"/>
    <w:qFormat/>
    <w:rsid w:val="00E83CCE"/>
    <w:rPr>
      <w:b w:val="0"/>
      <w:i/>
      <w:iCs/>
    </w:rPr>
  </w:style>
  <w:style w:type="paragraph" w:customStyle="1" w:styleId="SourceImageCaption">
    <w:name w:val="Source/Image Caption"/>
    <w:basedOn w:val="Normal"/>
    <w:rsid w:val="00E83CCE"/>
    <w:rPr>
      <w:sz w:val="18"/>
    </w:rPr>
  </w:style>
  <w:style w:type="paragraph" w:customStyle="1" w:styleId="Normal-AfterTableFigure">
    <w:name w:val="Normal - After Table/Figure"/>
    <w:basedOn w:val="Normal"/>
    <w:qFormat/>
    <w:rsid w:val="00E83CCE"/>
    <w:pPr>
      <w:spacing w:before="240"/>
    </w:pPr>
  </w:style>
  <w:style w:type="paragraph" w:customStyle="1" w:styleId="Heading1Numbered">
    <w:name w:val="Heading 1 Numbered"/>
    <w:basedOn w:val="Heading1"/>
    <w:rsid w:val="00E83CCE"/>
    <w:pPr>
      <w:numPr>
        <w:numId w:val="35"/>
      </w:numPr>
      <w:spacing w:before="480" w:after="120" w:line="240" w:lineRule="auto"/>
    </w:pPr>
    <w:rPr>
      <w:rFonts w:ascii="Calibri" w:hAnsi="Calibri"/>
      <w:sz w:val="52"/>
    </w:rPr>
  </w:style>
  <w:style w:type="paragraph" w:customStyle="1" w:styleId="Heading2numbered">
    <w:name w:val="Heading 2 numbered"/>
    <w:basedOn w:val="Heading2"/>
    <w:rsid w:val="00E83CCE"/>
    <w:pPr>
      <w:numPr>
        <w:ilvl w:val="1"/>
        <w:numId w:val="35"/>
      </w:numPr>
      <w:spacing w:before="240" w:after="60" w:line="240" w:lineRule="auto"/>
    </w:pPr>
    <w:rPr>
      <w:rFonts w:ascii="Calibri" w:hAnsi="Calibri"/>
      <w:b w:val="0"/>
    </w:rPr>
  </w:style>
  <w:style w:type="paragraph" w:styleId="Quote">
    <w:name w:val="Quote"/>
    <w:basedOn w:val="Normal"/>
    <w:next w:val="Normal"/>
    <w:link w:val="QuoteChar"/>
    <w:uiPriority w:val="29"/>
    <w:qFormat/>
    <w:rsid w:val="00E83CCE"/>
    <w:pPr>
      <w:spacing w:before="200" w:line="240" w:lineRule="auto"/>
      <w:ind w:left="567" w:right="567"/>
    </w:pPr>
    <w:rPr>
      <w:i/>
      <w:iCs/>
      <w:color w:val="404040" w:themeColor="text1" w:themeTint="BF"/>
    </w:rPr>
  </w:style>
  <w:style w:type="character" w:customStyle="1" w:styleId="QuoteChar">
    <w:name w:val="Quote Char"/>
    <w:basedOn w:val="DefaultParagraphFont"/>
    <w:link w:val="Quote"/>
    <w:uiPriority w:val="29"/>
    <w:rsid w:val="00E83CCE"/>
    <w:rPr>
      <w:i/>
      <w:iCs/>
      <w:color w:val="404040" w:themeColor="text1" w:themeTint="BF"/>
    </w:rPr>
  </w:style>
  <w:style w:type="character" w:styleId="IntenseEmphasis">
    <w:name w:val="Intense Emphasis"/>
    <w:basedOn w:val="DefaultParagraphFont"/>
    <w:uiPriority w:val="21"/>
    <w:rsid w:val="00E83CCE"/>
    <w:rPr>
      <w:b/>
      <w:i/>
      <w:iCs/>
      <w:color w:val="auto"/>
    </w:rPr>
  </w:style>
  <w:style w:type="character" w:styleId="SubtleReference">
    <w:name w:val="Subtle Reference"/>
    <w:basedOn w:val="DefaultParagraphFont"/>
    <w:uiPriority w:val="31"/>
    <w:rsid w:val="00E83CCE"/>
    <w:rPr>
      <w:smallCaps/>
      <w:color w:val="auto"/>
      <w:u w:val="single"/>
    </w:rPr>
  </w:style>
  <w:style w:type="paragraph" w:styleId="TOC1">
    <w:name w:val="toc 1"/>
    <w:basedOn w:val="Normal"/>
    <w:next w:val="Normal"/>
    <w:autoRedefine/>
    <w:uiPriority w:val="39"/>
    <w:unhideWhenUsed/>
    <w:rsid w:val="00D87B23"/>
    <w:pPr>
      <w:tabs>
        <w:tab w:val="right" w:pos="9060"/>
      </w:tabs>
      <w:spacing w:before="80" w:after="80"/>
      <w:ind w:left="1418" w:hanging="1418"/>
    </w:pPr>
    <w:rPr>
      <w:rFonts w:ascii="Century Gothic" w:hAnsi="Century Gothic"/>
      <w:b/>
      <w:noProof/>
      <w:color w:val="2763AC"/>
      <w:sz w:val="24"/>
      <w:szCs w:val="24"/>
    </w:rPr>
  </w:style>
  <w:style w:type="paragraph" w:styleId="TOC2">
    <w:name w:val="toc 2"/>
    <w:basedOn w:val="Normal"/>
    <w:next w:val="Normal"/>
    <w:autoRedefine/>
    <w:uiPriority w:val="39"/>
    <w:unhideWhenUsed/>
    <w:rsid w:val="0059728A"/>
    <w:pPr>
      <w:tabs>
        <w:tab w:val="left" w:pos="709"/>
        <w:tab w:val="right" w:pos="9016"/>
      </w:tabs>
      <w:spacing w:before="60" w:after="100"/>
      <w:ind w:left="701" w:hanging="480"/>
    </w:pPr>
    <w:rPr>
      <w:rFonts w:ascii="Century Gothic" w:hAnsi="Century Gothic"/>
      <w:noProof/>
      <w:color w:val="2763AC"/>
    </w:rPr>
  </w:style>
  <w:style w:type="paragraph" w:styleId="TOC3">
    <w:name w:val="toc 3"/>
    <w:basedOn w:val="Normal"/>
    <w:next w:val="Normal"/>
    <w:autoRedefine/>
    <w:uiPriority w:val="39"/>
    <w:unhideWhenUsed/>
    <w:rsid w:val="00CE6D06"/>
    <w:pPr>
      <w:tabs>
        <w:tab w:val="left" w:pos="1320"/>
        <w:tab w:val="right" w:pos="9016"/>
      </w:tabs>
      <w:spacing w:before="0" w:after="100"/>
      <w:ind w:left="442"/>
    </w:pPr>
    <w:rPr>
      <w:rFonts w:ascii="Century Gothic" w:hAnsi="Century Gothic"/>
      <w:noProof/>
      <w:sz w:val="20"/>
    </w:rPr>
  </w:style>
  <w:style w:type="table" w:styleId="TableGridLight">
    <w:name w:val="Grid Table Light"/>
    <w:basedOn w:val="TableNormal"/>
    <w:uiPriority w:val="40"/>
    <w:rsid w:val="00E83C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83CCE"/>
    <w:pPr>
      <w:spacing w:after="0" w:line="240" w:lineRule="auto"/>
    </w:pPr>
    <w:tblPr/>
    <w:tcPr>
      <w:shd w:val="clear" w:color="auto" w:fill="D9DFF1"/>
    </w:tcPr>
  </w:style>
  <w:style w:type="table" w:customStyle="1" w:styleId="PullOutBox2">
    <w:name w:val="Pull Out Box 2"/>
    <w:basedOn w:val="TableNormal"/>
    <w:uiPriority w:val="99"/>
    <w:rsid w:val="00E83CCE"/>
    <w:pPr>
      <w:spacing w:after="0" w:line="240" w:lineRule="auto"/>
    </w:pPr>
    <w:tblPr>
      <w:tblBorders>
        <w:top w:val="single" w:sz="6" w:space="0" w:color="32375D"/>
        <w:left w:val="single" w:sz="6" w:space="0" w:color="32375D"/>
        <w:bottom w:val="single" w:sz="6" w:space="0" w:color="32375D"/>
        <w:right w:val="single" w:sz="6" w:space="0" w:color="32375D"/>
        <w:insideH w:val="single" w:sz="6" w:space="0" w:color="32375D"/>
        <w:insideV w:val="single" w:sz="6" w:space="0" w:color="32375D"/>
      </w:tblBorders>
    </w:tblPr>
    <w:tcPr>
      <w:shd w:val="clear" w:color="auto" w:fill="auto"/>
    </w:tcPr>
  </w:style>
  <w:style w:type="paragraph" w:customStyle="1" w:styleId="CoverRule">
    <w:name w:val="Cover Rule"/>
    <w:basedOn w:val="Normal"/>
    <w:rsid w:val="00E83CCE"/>
    <w:pPr>
      <w:jc w:val="right"/>
    </w:pPr>
    <w:rPr>
      <w:rFonts w:eastAsia="Times New Roman" w:cs="Times New Roman"/>
      <w:szCs w:val="20"/>
    </w:rPr>
  </w:style>
  <w:style w:type="paragraph" w:styleId="TableofFigures">
    <w:name w:val="table of figures"/>
    <w:basedOn w:val="Normal"/>
    <w:next w:val="Normal"/>
    <w:uiPriority w:val="99"/>
    <w:rsid w:val="00D530DA"/>
    <w:pPr>
      <w:spacing w:after="0"/>
    </w:pPr>
  </w:style>
  <w:style w:type="paragraph" w:styleId="BalloonText">
    <w:name w:val="Balloon Text"/>
    <w:basedOn w:val="Normal"/>
    <w:link w:val="BalloonTextChar"/>
    <w:uiPriority w:val="99"/>
    <w:semiHidden/>
    <w:rsid w:val="00E83CC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CCE"/>
    <w:rPr>
      <w:rFonts w:ascii="Segoe UI" w:hAnsi="Segoe UI" w:cs="Segoe UI"/>
      <w:sz w:val="18"/>
      <w:szCs w:val="18"/>
    </w:rPr>
  </w:style>
  <w:style w:type="paragraph" w:customStyle="1" w:styleId="Normal-Indent">
    <w:name w:val="Normal - Indent"/>
    <w:basedOn w:val="Normal"/>
    <w:qFormat/>
    <w:rsid w:val="00E83CCE"/>
    <w:pPr>
      <w:ind w:left="680"/>
    </w:pPr>
  </w:style>
  <w:style w:type="paragraph" w:customStyle="1" w:styleId="Heading3-Indented">
    <w:name w:val="Heading 3 - Indented"/>
    <w:basedOn w:val="Heading3"/>
    <w:qFormat/>
    <w:rsid w:val="00E83CCE"/>
    <w:pPr>
      <w:ind w:left="680"/>
    </w:pPr>
  </w:style>
  <w:style w:type="paragraph" w:customStyle="1" w:styleId="Default">
    <w:name w:val="Default"/>
    <w:uiPriority w:val="99"/>
    <w:rsid w:val="00E83CCE"/>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styleId="CommentReference">
    <w:name w:val="annotation reference"/>
    <w:basedOn w:val="DefaultParagraphFont"/>
    <w:uiPriority w:val="99"/>
    <w:semiHidden/>
    <w:rsid w:val="00E83CCE"/>
    <w:rPr>
      <w:sz w:val="16"/>
      <w:szCs w:val="16"/>
    </w:rPr>
  </w:style>
  <w:style w:type="paragraph" w:styleId="CommentText">
    <w:name w:val="annotation text"/>
    <w:basedOn w:val="Normal"/>
    <w:link w:val="CommentTextChar"/>
    <w:uiPriority w:val="99"/>
    <w:semiHidden/>
    <w:rsid w:val="00E83CCE"/>
    <w:pPr>
      <w:spacing w:line="240" w:lineRule="auto"/>
    </w:pPr>
    <w:rPr>
      <w:sz w:val="20"/>
      <w:szCs w:val="20"/>
    </w:rPr>
  </w:style>
  <w:style w:type="character" w:customStyle="1" w:styleId="CommentTextChar">
    <w:name w:val="Comment Text Char"/>
    <w:basedOn w:val="DefaultParagraphFont"/>
    <w:link w:val="CommentText"/>
    <w:uiPriority w:val="99"/>
    <w:semiHidden/>
    <w:rsid w:val="00E83CCE"/>
    <w:rPr>
      <w:sz w:val="20"/>
      <w:szCs w:val="20"/>
    </w:rPr>
  </w:style>
  <w:style w:type="paragraph" w:styleId="CommentSubject">
    <w:name w:val="annotation subject"/>
    <w:basedOn w:val="CommentText"/>
    <w:next w:val="CommentText"/>
    <w:link w:val="CommentSubjectChar"/>
    <w:uiPriority w:val="99"/>
    <w:semiHidden/>
    <w:rsid w:val="00E83CCE"/>
    <w:rPr>
      <w:b/>
      <w:bCs/>
    </w:rPr>
  </w:style>
  <w:style w:type="character" w:customStyle="1" w:styleId="CommentSubjectChar">
    <w:name w:val="Comment Subject Char"/>
    <w:basedOn w:val="CommentTextChar"/>
    <w:link w:val="CommentSubject"/>
    <w:uiPriority w:val="99"/>
    <w:semiHidden/>
    <w:rsid w:val="00E83CCE"/>
    <w:rPr>
      <w:b/>
      <w:bCs/>
      <w:sz w:val="20"/>
      <w:szCs w:val="20"/>
    </w:rPr>
  </w:style>
  <w:style w:type="character" w:styleId="FollowedHyperlink">
    <w:name w:val="FollowedHyperlink"/>
    <w:basedOn w:val="DefaultParagraphFont"/>
    <w:uiPriority w:val="99"/>
    <w:semiHidden/>
    <w:rsid w:val="00E83CCE"/>
    <w:rPr>
      <w:color w:val="954F72" w:themeColor="followedHyperlink"/>
      <w:u w:val="single"/>
    </w:rPr>
  </w:style>
  <w:style w:type="paragraph" w:styleId="NoSpacing">
    <w:name w:val="No Spacing"/>
    <w:link w:val="NoSpacingChar"/>
    <w:uiPriority w:val="1"/>
    <w:qFormat/>
    <w:rsid w:val="00E83C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83CCE"/>
    <w:rPr>
      <w:rFonts w:eastAsiaTheme="minorEastAsia"/>
      <w:lang w:val="en-US"/>
    </w:rPr>
  </w:style>
  <w:style w:type="paragraph" w:customStyle="1" w:styleId="msonormal0">
    <w:name w:val="msonormal"/>
    <w:basedOn w:val="Normal"/>
    <w:rsid w:val="00E83CC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4">
    <w:name w:val="xl64"/>
    <w:basedOn w:val="Normal"/>
    <w:rsid w:val="00E83CCE"/>
    <w:pP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65">
    <w:name w:val="xl65"/>
    <w:basedOn w:val="Normal"/>
    <w:rsid w:val="00E83CCE"/>
    <w:pP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66">
    <w:name w:val="xl66"/>
    <w:basedOn w:val="Normal"/>
    <w:rsid w:val="00E83CCE"/>
    <w:pPr>
      <w:pBdr>
        <w:top w:val="single" w:sz="4" w:space="0" w:color="auto"/>
        <w:left w:val="single" w:sz="4" w:space="0" w:color="auto"/>
        <w:bottom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E83CC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68">
    <w:name w:val="xl68"/>
    <w:basedOn w:val="Normal"/>
    <w:rsid w:val="00E83CCE"/>
    <w:pPr>
      <w:pBdr>
        <w:top w:val="single" w:sz="4" w:space="0" w:color="auto"/>
        <w:bottom w:val="single" w:sz="4" w:space="0" w:color="auto"/>
      </w:pBdr>
      <w:shd w:val="clear" w:color="000000" w:fill="FF505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9">
    <w:name w:val="xl69"/>
    <w:basedOn w:val="Normal"/>
    <w:rsid w:val="00E83CCE"/>
    <w:pPr>
      <w:pBdr>
        <w:top w:val="single" w:sz="4" w:space="0" w:color="auto"/>
        <w:bottom w:val="single" w:sz="4" w:space="0" w:color="auto"/>
        <w:right w:val="single" w:sz="4" w:space="0" w:color="auto"/>
      </w:pBdr>
      <w:shd w:val="clear" w:color="000000" w:fill="FF505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0">
    <w:name w:val="xl70"/>
    <w:basedOn w:val="Normal"/>
    <w:rsid w:val="00E83CCE"/>
    <w:pPr>
      <w:pBdr>
        <w:top w:val="single" w:sz="4"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1">
    <w:name w:val="xl71"/>
    <w:basedOn w:val="Normal"/>
    <w:rsid w:val="00E83CC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en-AU"/>
    </w:rPr>
  </w:style>
  <w:style w:type="paragraph" w:customStyle="1" w:styleId="xl72">
    <w:name w:val="xl72"/>
    <w:basedOn w:val="Normal"/>
    <w:rsid w:val="00E83CCE"/>
    <w:pPr>
      <w:pBdr>
        <w:top w:val="single" w:sz="4" w:space="0" w:color="auto"/>
        <w:bottom w:val="single" w:sz="4" w:space="0" w:color="auto"/>
        <w:right w:val="single" w:sz="4" w:space="0" w:color="auto"/>
      </w:pBdr>
      <w:shd w:val="clear" w:color="000000" w:fill="FFFF66"/>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3">
    <w:name w:val="xl73"/>
    <w:basedOn w:val="Normal"/>
    <w:rsid w:val="00E83CCE"/>
    <w:pPr>
      <w:pBdr>
        <w:top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4">
    <w:name w:val="xl74"/>
    <w:basedOn w:val="Normal"/>
    <w:rsid w:val="00E83CCE"/>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5">
    <w:name w:val="xl75"/>
    <w:basedOn w:val="Normal"/>
    <w:rsid w:val="00E83CCE"/>
    <w:pPr>
      <w:pBdr>
        <w:top w:val="single" w:sz="4" w:space="0" w:color="auto"/>
        <w:lef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76">
    <w:name w:val="xl76"/>
    <w:basedOn w:val="Normal"/>
    <w:rsid w:val="00E83CCE"/>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7">
    <w:name w:val="xl77"/>
    <w:basedOn w:val="Normal"/>
    <w:rsid w:val="00E83CCE"/>
    <w:pPr>
      <w:pBdr>
        <w:top w:val="single" w:sz="4" w:space="0" w:color="auto"/>
      </w:pBdr>
      <w:shd w:val="clear" w:color="000000" w:fill="FF505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8">
    <w:name w:val="xl78"/>
    <w:basedOn w:val="Normal"/>
    <w:rsid w:val="00E83CCE"/>
    <w:pPr>
      <w:pBdr>
        <w:top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79">
    <w:name w:val="xl79"/>
    <w:basedOn w:val="Normal"/>
    <w:rsid w:val="00E83CCE"/>
    <w:pPr>
      <w:pBdr>
        <w:top w:val="single" w:sz="4" w:space="0" w:color="auto"/>
        <w:right w:val="single" w:sz="4" w:space="0" w:color="auto"/>
      </w:pBdr>
      <w:shd w:val="clear" w:color="000000" w:fill="FF505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80">
    <w:name w:val="xl80"/>
    <w:basedOn w:val="Normal"/>
    <w:rsid w:val="00E83CCE"/>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styleId="Revision">
    <w:name w:val="Revision"/>
    <w:hidden/>
    <w:uiPriority w:val="99"/>
    <w:semiHidden/>
    <w:rsid w:val="00E83CCE"/>
    <w:pPr>
      <w:spacing w:after="0" w:line="240" w:lineRule="auto"/>
    </w:pPr>
  </w:style>
  <w:style w:type="numbering" w:customStyle="1" w:styleId="NoList1">
    <w:name w:val="No List1"/>
    <w:next w:val="NoList"/>
    <w:uiPriority w:val="99"/>
    <w:semiHidden/>
    <w:unhideWhenUsed/>
    <w:rsid w:val="00D31B9A"/>
  </w:style>
  <w:style w:type="table" w:customStyle="1" w:styleId="NSRBTable1">
    <w:name w:val="NSRB Table1"/>
    <w:basedOn w:val="TableNormal"/>
    <w:next w:val="TableGrid"/>
    <w:uiPriority w:val="39"/>
    <w:rsid w:val="00D31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D31B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NSRBTable2">
    <w:name w:val="NSRB Table2"/>
    <w:basedOn w:val="TableNormal"/>
    <w:next w:val="TableGrid"/>
    <w:uiPriority w:val="39"/>
    <w:rsid w:val="00D31B9A"/>
    <w:pPr>
      <w:spacing w:after="40" w:line="240" w:lineRule="auto"/>
    </w:pPr>
    <w:tblPr>
      <w:tblBorders>
        <w:top w:val="single" w:sz="4" w:space="0" w:color="2763AC"/>
        <w:left w:val="single" w:sz="4" w:space="0" w:color="2763AC"/>
        <w:bottom w:val="single" w:sz="4" w:space="0" w:color="2763AC"/>
        <w:right w:val="single" w:sz="4" w:space="0" w:color="2763AC"/>
        <w:insideH w:val="single" w:sz="4" w:space="0" w:color="2763AC"/>
        <w:insideV w:val="single" w:sz="4" w:space="0" w:color="2763AC"/>
      </w:tblBorders>
      <w:tblCellMar>
        <w:top w:w="45" w:type="dxa"/>
      </w:tblCellMar>
    </w:tblPr>
    <w:tcPr>
      <w:shd w:val="clear" w:color="auto" w:fill="auto"/>
      <w:vAlign w:val="center"/>
    </w:tcPr>
    <w:tblStylePr w:type="firstRow">
      <w:pPr>
        <w:jc w:val="left"/>
      </w:pPr>
      <w:rPr>
        <w:rFonts w:ascii="Calibri" w:hAnsi="Calibri"/>
        <w:b/>
        <w:color w:val="FFFFFF"/>
        <w:sz w:val="24"/>
      </w:rPr>
      <w:tblPr/>
      <w:tcPr>
        <w:shd w:val="clear" w:color="auto" w:fill="2763AC"/>
      </w:tcPr>
    </w:tblStylePr>
  </w:style>
  <w:style w:type="paragraph" w:styleId="EndnoteText">
    <w:name w:val="endnote text"/>
    <w:basedOn w:val="Normal"/>
    <w:link w:val="EndnoteTextChar"/>
    <w:uiPriority w:val="99"/>
    <w:semiHidden/>
    <w:unhideWhenUsed/>
    <w:rsid w:val="004B1BC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B1BC1"/>
    <w:rPr>
      <w:sz w:val="20"/>
      <w:szCs w:val="20"/>
    </w:rPr>
  </w:style>
  <w:style w:type="character" w:styleId="EndnoteReference">
    <w:name w:val="endnote reference"/>
    <w:basedOn w:val="DefaultParagraphFont"/>
    <w:uiPriority w:val="99"/>
    <w:semiHidden/>
    <w:unhideWhenUsed/>
    <w:rsid w:val="004B1BC1"/>
    <w:rPr>
      <w:vertAlign w:val="superscript"/>
    </w:rPr>
  </w:style>
  <w:style w:type="numbering" w:customStyle="1" w:styleId="NoList2">
    <w:name w:val="No List2"/>
    <w:next w:val="NoList"/>
    <w:uiPriority w:val="99"/>
    <w:semiHidden/>
    <w:unhideWhenUsed/>
    <w:rsid w:val="00A8043F"/>
  </w:style>
  <w:style w:type="table" w:customStyle="1" w:styleId="TableGrid1">
    <w:name w:val="Table Grid1"/>
    <w:basedOn w:val="TableNormal"/>
    <w:next w:val="TableGrid"/>
    <w:uiPriority w:val="39"/>
    <w:rsid w:val="00A80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2B34CC"/>
  </w:style>
  <w:style w:type="paragraph" w:styleId="BlockText">
    <w:name w:val="Block Text"/>
    <w:basedOn w:val="Normal"/>
    <w:uiPriority w:val="99"/>
    <w:semiHidden/>
    <w:unhideWhenUsed/>
    <w:rsid w:val="002B34CC"/>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2B34CC"/>
  </w:style>
  <w:style w:type="character" w:customStyle="1" w:styleId="BodyTextChar">
    <w:name w:val="Body Text Char"/>
    <w:basedOn w:val="DefaultParagraphFont"/>
    <w:link w:val="BodyText"/>
    <w:uiPriority w:val="99"/>
    <w:semiHidden/>
    <w:rsid w:val="002B34CC"/>
  </w:style>
  <w:style w:type="paragraph" w:styleId="BodyText2">
    <w:name w:val="Body Text 2"/>
    <w:basedOn w:val="Normal"/>
    <w:link w:val="BodyText2Char"/>
    <w:uiPriority w:val="99"/>
    <w:semiHidden/>
    <w:unhideWhenUsed/>
    <w:rsid w:val="002B34CC"/>
    <w:pPr>
      <w:spacing w:line="480" w:lineRule="auto"/>
    </w:pPr>
  </w:style>
  <w:style w:type="character" w:customStyle="1" w:styleId="BodyText2Char">
    <w:name w:val="Body Text 2 Char"/>
    <w:basedOn w:val="DefaultParagraphFont"/>
    <w:link w:val="BodyText2"/>
    <w:uiPriority w:val="99"/>
    <w:semiHidden/>
    <w:rsid w:val="002B34CC"/>
  </w:style>
  <w:style w:type="paragraph" w:styleId="BodyText3">
    <w:name w:val="Body Text 3"/>
    <w:basedOn w:val="Normal"/>
    <w:link w:val="BodyText3Char"/>
    <w:uiPriority w:val="99"/>
    <w:semiHidden/>
    <w:unhideWhenUsed/>
    <w:rsid w:val="002B34CC"/>
    <w:rPr>
      <w:sz w:val="16"/>
      <w:szCs w:val="16"/>
    </w:rPr>
  </w:style>
  <w:style w:type="character" w:customStyle="1" w:styleId="BodyText3Char">
    <w:name w:val="Body Text 3 Char"/>
    <w:basedOn w:val="DefaultParagraphFont"/>
    <w:link w:val="BodyText3"/>
    <w:uiPriority w:val="99"/>
    <w:semiHidden/>
    <w:rsid w:val="002B34CC"/>
    <w:rPr>
      <w:sz w:val="16"/>
      <w:szCs w:val="16"/>
    </w:rPr>
  </w:style>
  <w:style w:type="paragraph" w:styleId="BodyTextFirstIndent">
    <w:name w:val="Body Text First Indent"/>
    <w:basedOn w:val="BodyText"/>
    <w:link w:val="BodyTextFirstIndentChar"/>
    <w:uiPriority w:val="99"/>
    <w:semiHidden/>
    <w:unhideWhenUsed/>
    <w:rsid w:val="002B34CC"/>
    <w:pPr>
      <w:ind w:firstLine="360"/>
    </w:pPr>
  </w:style>
  <w:style w:type="character" w:customStyle="1" w:styleId="BodyTextFirstIndentChar">
    <w:name w:val="Body Text First Indent Char"/>
    <w:basedOn w:val="BodyTextChar"/>
    <w:link w:val="BodyTextFirstIndent"/>
    <w:uiPriority w:val="99"/>
    <w:semiHidden/>
    <w:rsid w:val="002B34CC"/>
  </w:style>
  <w:style w:type="paragraph" w:styleId="BodyTextIndent">
    <w:name w:val="Body Text Indent"/>
    <w:basedOn w:val="Normal"/>
    <w:link w:val="BodyTextIndentChar"/>
    <w:uiPriority w:val="99"/>
    <w:semiHidden/>
    <w:unhideWhenUsed/>
    <w:rsid w:val="002B34CC"/>
    <w:pPr>
      <w:ind w:left="283"/>
    </w:pPr>
  </w:style>
  <w:style w:type="character" w:customStyle="1" w:styleId="BodyTextIndentChar">
    <w:name w:val="Body Text Indent Char"/>
    <w:basedOn w:val="DefaultParagraphFont"/>
    <w:link w:val="BodyTextIndent"/>
    <w:uiPriority w:val="99"/>
    <w:semiHidden/>
    <w:rsid w:val="002B34CC"/>
  </w:style>
  <w:style w:type="paragraph" w:styleId="BodyTextFirstIndent2">
    <w:name w:val="Body Text First Indent 2"/>
    <w:basedOn w:val="BodyTextIndent"/>
    <w:link w:val="BodyTextFirstIndent2Char"/>
    <w:uiPriority w:val="99"/>
    <w:semiHidden/>
    <w:unhideWhenUsed/>
    <w:rsid w:val="002B34CC"/>
    <w:pPr>
      <w:ind w:left="360" w:firstLine="360"/>
    </w:pPr>
  </w:style>
  <w:style w:type="character" w:customStyle="1" w:styleId="BodyTextFirstIndent2Char">
    <w:name w:val="Body Text First Indent 2 Char"/>
    <w:basedOn w:val="BodyTextIndentChar"/>
    <w:link w:val="BodyTextFirstIndent2"/>
    <w:uiPriority w:val="99"/>
    <w:semiHidden/>
    <w:rsid w:val="002B34CC"/>
  </w:style>
  <w:style w:type="paragraph" w:styleId="BodyTextIndent2">
    <w:name w:val="Body Text Indent 2"/>
    <w:basedOn w:val="Normal"/>
    <w:link w:val="BodyTextIndent2Char"/>
    <w:uiPriority w:val="99"/>
    <w:semiHidden/>
    <w:unhideWhenUsed/>
    <w:rsid w:val="002B34CC"/>
    <w:pPr>
      <w:spacing w:line="480" w:lineRule="auto"/>
      <w:ind w:left="283"/>
    </w:pPr>
  </w:style>
  <w:style w:type="character" w:customStyle="1" w:styleId="BodyTextIndent2Char">
    <w:name w:val="Body Text Indent 2 Char"/>
    <w:basedOn w:val="DefaultParagraphFont"/>
    <w:link w:val="BodyTextIndent2"/>
    <w:uiPriority w:val="99"/>
    <w:semiHidden/>
    <w:rsid w:val="002B34CC"/>
  </w:style>
  <w:style w:type="paragraph" w:styleId="BodyTextIndent3">
    <w:name w:val="Body Text Indent 3"/>
    <w:basedOn w:val="Normal"/>
    <w:link w:val="BodyTextIndent3Char"/>
    <w:uiPriority w:val="99"/>
    <w:semiHidden/>
    <w:unhideWhenUsed/>
    <w:rsid w:val="002B34CC"/>
    <w:pPr>
      <w:ind w:left="283"/>
    </w:pPr>
    <w:rPr>
      <w:sz w:val="16"/>
      <w:szCs w:val="16"/>
    </w:rPr>
  </w:style>
  <w:style w:type="character" w:customStyle="1" w:styleId="BodyTextIndent3Char">
    <w:name w:val="Body Text Indent 3 Char"/>
    <w:basedOn w:val="DefaultParagraphFont"/>
    <w:link w:val="BodyTextIndent3"/>
    <w:uiPriority w:val="99"/>
    <w:semiHidden/>
    <w:rsid w:val="002B34CC"/>
    <w:rPr>
      <w:sz w:val="16"/>
      <w:szCs w:val="16"/>
    </w:rPr>
  </w:style>
  <w:style w:type="paragraph" w:styleId="Closing">
    <w:name w:val="Closing"/>
    <w:basedOn w:val="Normal"/>
    <w:link w:val="ClosingChar"/>
    <w:uiPriority w:val="99"/>
    <w:semiHidden/>
    <w:unhideWhenUsed/>
    <w:rsid w:val="002B34CC"/>
    <w:pPr>
      <w:spacing w:before="0" w:after="0" w:line="240" w:lineRule="auto"/>
      <w:ind w:left="4252"/>
    </w:pPr>
  </w:style>
  <w:style w:type="character" w:customStyle="1" w:styleId="ClosingChar">
    <w:name w:val="Closing Char"/>
    <w:basedOn w:val="DefaultParagraphFont"/>
    <w:link w:val="Closing"/>
    <w:uiPriority w:val="99"/>
    <w:semiHidden/>
    <w:rsid w:val="002B34CC"/>
  </w:style>
  <w:style w:type="paragraph" w:styleId="Date">
    <w:name w:val="Date"/>
    <w:basedOn w:val="Normal"/>
    <w:next w:val="Normal"/>
    <w:link w:val="DateChar"/>
    <w:uiPriority w:val="99"/>
    <w:semiHidden/>
    <w:unhideWhenUsed/>
    <w:rsid w:val="002B34CC"/>
  </w:style>
  <w:style w:type="character" w:customStyle="1" w:styleId="DateChar">
    <w:name w:val="Date Char"/>
    <w:basedOn w:val="DefaultParagraphFont"/>
    <w:link w:val="Date"/>
    <w:uiPriority w:val="99"/>
    <w:semiHidden/>
    <w:rsid w:val="002B34CC"/>
  </w:style>
  <w:style w:type="paragraph" w:styleId="DocumentMap">
    <w:name w:val="Document Map"/>
    <w:basedOn w:val="Normal"/>
    <w:link w:val="DocumentMapChar"/>
    <w:uiPriority w:val="99"/>
    <w:semiHidden/>
    <w:unhideWhenUsed/>
    <w:rsid w:val="002B34C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B34CC"/>
    <w:rPr>
      <w:rFonts w:ascii="Segoe UI" w:hAnsi="Segoe UI" w:cs="Segoe UI"/>
      <w:sz w:val="16"/>
      <w:szCs w:val="16"/>
    </w:rPr>
  </w:style>
  <w:style w:type="paragraph" w:styleId="E-mailSignature">
    <w:name w:val="E-mail Signature"/>
    <w:basedOn w:val="Normal"/>
    <w:link w:val="E-mailSignatureChar"/>
    <w:uiPriority w:val="99"/>
    <w:semiHidden/>
    <w:unhideWhenUsed/>
    <w:rsid w:val="002B34CC"/>
    <w:pPr>
      <w:spacing w:before="0" w:after="0" w:line="240" w:lineRule="auto"/>
    </w:pPr>
  </w:style>
  <w:style w:type="character" w:customStyle="1" w:styleId="E-mailSignatureChar">
    <w:name w:val="E-mail Signature Char"/>
    <w:basedOn w:val="DefaultParagraphFont"/>
    <w:link w:val="E-mailSignature"/>
    <w:uiPriority w:val="99"/>
    <w:semiHidden/>
    <w:rsid w:val="002B34CC"/>
  </w:style>
  <w:style w:type="paragraph" w:styleId="EnvelopeAddress">
    <w:name w:val="envelope address"/>
    <w:basedOn w:val="Normal"/>
    <w:uiPriority w:val="99"/>
    <w:semiHidden/>
    <w:unhideWhenUsed/>
    <w:rsid w:val="002B34C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B34CC"/>
    <w:pPr>
      <w:spacing w:before="0" w:after="0" w:line="240" w:lineRule="auto"/>
    </w:pPr>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2B34C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34C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34C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B34CC"/>
    <w:pPr>
      <w:spacing w:before="0" w:after="0" w:line="240" w:lineRule="auto"/>
    </w:pPr>
    <w:rPr>
      <w:i/>
      <w:iCs/>
    </w:rPr>
  </w:style>
  <w:style w:type="character" w:customStyle="1" w:styleId="HTMLAddressChar">
    <w:name w:val="HTML Address Char"/>
    <w:basedOn w:val="DefaultParagraphFont"/>
    <w:link w:val="HTMLAddress"/>
    <w:uiPriority w:val="99"/>
    <w:semiHidden/>
    <w:rsid w:val="002B34CC"/>
    <w:rPr>
      <w:i/>
      <w:iCs/>
    </w:rPr>
  </w:style>
  <w:style w:type="paragraph" w:styleId="HTMLPreformatted">
    <w:name w:val="HTML Preformatted"/>
    <w:basedOn w:val="Normal"/>
    <w:link w:val="HTMLPreformattedChar"/>
    <w:uiPriority w:val="99"/>
    <w:semiHidden/>
    <w:unhideWhenUsed/>
    <w:rsid w:val="002B34C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B34CC"/>
    <w:rPr>
      <w:rFonts w:ascii="Consolas" w:hAnsi="Consolas"/>
      <w:sz w:val="20"/>
      <w:szCs w:val="20"/>
    </w:rPr>
  </w:style>
  <w:style w:type="paragraph" w:styleId="Index1">
    <w:name w:val="index 1"/>
    <w:basedOn w:val="Normal"/>
    <w:next w:val="Normal"/>
    <w:autoRedefine/>
    <w:uiPriority w:val="99"/>
    <w:semiHidden/>
    <w:unhideWhenUsed/>
    <w:rsid w:val="002B34CC"/>
    <w:pPr>
      <w:spacing w:before="0" w:after="0" w:line="240" w:lineRule="auto"/>
      <w:ind w:left="220" w:hanging="220"/>
    </w:pPr>
  </w:style>
  <w:style w:type="paragraph" w:styleId="Index2">
    <w:name w:val="index 2"/>
    <w:basedOn w:val="Normal"/>
    <w:next w:val="Normal"/>
    <w:autoRedefine/>
    <w:uiPriority w:val="99"/>
    <w:semiHidden/>
    <w:unhideWhenUsed/>
    <w:rsid w:val="002B34CC"/>
    <w:pPr>
      <w:spacing w:before="0" w:after="0" w:line="240" w:lineRule="auto"/>
      <w:ind w:left="440" w:hanging="220"/>
    </w:pPr>
  </w:style>
  <w:style w:type="paragraph" w:styleId="Index3">
    <w:name w:val="index 3"/>
    <w:basedOn w:val="Normal"/>
    <w:next w:val="Normal"/>
    <w:autoRedefine/>
    <w:uiPriority w:val="99"/>
    <w:semiHidden/>
    <w:unhideWhenUsed/>
    <w:rsid w:val="002B34CC"/>
    <w:pPr>
      <w:spacing w:before="0" w:after="0" w:line="240" w:lineRule="auto"/>
      <w:ind w:left="660" w:hanging="220"/>
    </w:pPr>
  </w:style>
  <w:style w:type="paragraph" w:styleId="Index4">
    <w:name w:val="index 4"/>
    <w:basedOn w:val="Normal"/>
    <w:next w:val="Normal"/>
    <w:autoRedefine/>
    <w:uiPriority w:val="99"/>
    <w:semiHidden/>
    <w:unhideWhenUsed/>
    <w:rsid w:val="002B34CC"/>
    <w:pPr>
      <w:spacing w:before="0" w:after="0" w:line="240" w:lineRule="auto"/>
      <w:ind w:left="880" w:hanging="220"/>
    </w:pPr>
  </w:style>
  <w:style w:type="paragraph" w:styleId="Index5">
    <w:name w:val="index 5"/>
    <w:basedOn w:val="Normal"/>
    <w:next w:val="Normal"/>
    <w:autoRedefine/>
    <w:uiPriority w:val="99"/>
    <w:semiHidden/>
    <w:unhideWhenUsed/>
    <w:rsid w:val="002B34CC"/>
    <w:pPr>
      <w:spacing w:before="0" w:after="0" w:line="240" w:lineRule="auto"/>
      <w:ind w:left="1100" w:hanging="220"/>
    </w:pPr>
  </w:style>
  <w:style w:type="paragraph" w:styleId="Index6">
    <w:name w:val="index 6"/>
    <w:basedOn w:val="Normal"/>
    <w:next w:val="Normal"/>
    <w:autoRedefine/>
    <w:uiPriority w:val="99"/>
    <w:semiHidden/>
    <w:unhideWhenUsed/>
    <w:rsid w:val="002B34CC"/>
    <w:pPr>
      <w:spacing w:before="0" w:after="0" w:line="240" w:lineRule="auto"/>
      <w:ind w:left="1320" w:hanging="220"/>
    </w:pPr>
  </w:style>
  <w:style w:type="paragraph" w:styleId="Index7">
    <w:name w:val="index 7"/>
    <w:basedOn w:val="Normal"/>
    <w:next w:val="Normal"/>
    <w:autoRedefine/>
    <w:uiPriority w:val="99"/>
    <w:semiHidden/>
    <w:unhideWhenUsed/>
    <w:rsid w:val="002B34CC"/>
    <w:pPr>
      <w:spacing w:before="0" w:after="0" w:line="240" w:lineRule="auto"/>
      <w:ind w:left="1540" w:hanging="220"/>
    </w:pPr>
  </w:style>
  <w:style w:type="paragraph" w:styleId="Index8">
    <w:name w:val="index 8"/>
    <w:basedOn w:val="Normal"/>
    <w:next w:val="Normal"/>
    <w:autoRedefine/>
    <w:uiPriority w:val="99"/>
    <w:semiHidden/>
    <w:unhideWhenUsed/>
    <w:rsid w:val="002B34CC"/>
    <w:pPr>
      <w:spacing w:before="0" w:after="0" w:line="240" w:lineRule="auto"/>
      <w:ind w:left="1760" w:hanging="220"/>
    </w:pPr>
  </w:style>
  <w:style w:type="paragraph" w:styleId="Index9">
    <w:name w:val="index 9"/>
    <w:basedOn w:val="Normal"/>
    <w:next w:val="Normal"/>
    <w:autoRedefine/>
    <w:uiPriority w:val="99"/>
    <w:semiHidden/>
    <w:unhideWhenUsed/>
    <w:rsid w:val="002B34CC"/>
    <w:pPr>
      <w:spacing w:before="0" w:after="0" w:line="240" w:lineRule="auto"/>
      <w:ind w:left="1980" w:hanging="220"/>
    </w:pPr>
  </w:style>
  <w:style w:type="paragraph" w:styleId="IndexHeading">
    <w:name w:val="index heading"/>
    <w:basedOn w:val="Normal"/>
    <w:next w:val="Index1"/>
    <w:uiPriority w:val="99"/>
    <w:semiHidden/>
    <w:unhideWhenUsed/>
    <w:rsid w:val="002B34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B34C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B34CC"/>
    <w:rPr>
      <w:i/>
      <w:iCs/>
      <w:color w:val="5B9BD5" w:themeColor="accent1"/>
    </w:rPr>
  </w:style>
  <w:style w:type="paragraph" w:styleId="List">
    <w:name w:val="List"/>
    <w:basedOn w:val="Normal"/>
    <w:uiPriority w:val="99"/>
    <w:semiHidden/>
    <w:unhideWhenUsed/>
    <w:rsid w:val="002B34CC"/>
    <w:pPr>
      <w:ind w:left="283" w:hanging="283"/>
      <w:contextualSpacing/>
    </w:pPr>
  </w:style>
  <w:style w:type="paragraph" w:styleId="List2">
    <w:name w:val="List 2"/>
    <w:basedOn w:val="Normal"/>
    <w:uiPriority w:val="99"/>
    <w:semiHidden/>
    <w:unhideWhenUsed/>
    <w:rsid w:val="002B34CC"/>
    <w:pPr>
      <w:ind w:left="566" w:hanging="283"/>
      <w:contextualSpacing/>
    </w:pPr>
  </w:style>
  <w:style w:type="paragraph" w:styleId="List3">
    <w:name w:val="List 3"/>
    <w:basedOn w:val="Normal"/>
    <w:uiPriority w:val="99"/>
    <w:semiHidden/>
    <w:unhideWhenUsed/>
    <w:rsid w:val="002B34CC"/>
    <w:pPr>
      <w:ind w:left="849" w:hanging="283"/>
      <w:contextualSpacing/>
    </w:pPr>
  </w:style>
  <w:style w:type="paragraph" w:styleId="List4">
    <w:name w:val="List 4"/>
    <w:basedOn w:val="Normal"/>
    <w:uiPriority w:val="99"/>
    <w:semiHidden/>
    <w:unhideWhenUsed/>
    <w:rsid w:val="002B34CC"/>
    <w:pPr>
      <w:ind w:left="1132" w:hanging="283"/>
      <w:contextualSpacing/>
    </w:pPr>
  </w:style>
  <w:style w:type="paragraph" w:styleId="List5">
    <w:name w:val="List 5"/>
    <w:basedOn w:val="Normal"/>
    <w:uiPriority w:val="99"/>
    <w:semiHidden/>
    <w:unhideWhenUsed/>
    <w:rsid w:val="002B34CC"/>
    <w:pPr>
      <w:ind w:left="1415" w:hanging="283"/>
      <w:contextualSpacing/>
    </w:pPr>
  </w:style>
  <w:style w:type="paragraph" w:styleId="ListBullet5">
    <w:name w:val="List Bullet 5"/>
    <w:basedOn w:val="Normal"/>
    <w:uiPriority w:val="99"/>
    <w:semiHidden/>
    <w:unhideWhenUsed/>
    <w:rsid w:val="002B34CC"/>
    <w:pPr>
      <w:numPr>
        <w:numId w:val="66"/>
      </w:numPr>
      <w:contextualSpacing/>
    </w:pPr>
  </w:style>
  <w:style w:type="paragraph" w:styleId="ListContinue">
    <w:name w:val="List Continue"/>
    <w:basedOn w:val="Normal"/>
    <w:uiPriority w:val="99"/>
    <w:semiHidden/>
    <w:unhideWhenUsed/>
    <w:rsid w:val="002B34CC"/>
    <w:pPr>
      <w:ind w:left="283"/>
      <w:contextualSpacing/>
    </w:pPr>
  </w:style>
  <w:style w:type="paragraph" w:styleId="ListContinue2">
    <w:name w:val="List Continue 2"/>
    <w:basedOn w:val="Normal"/>
    <w:uiPriority w:val="99"/>
    <w:semiHidden/>
    <w:unhideWhenUsed/>
    <w:rsid w:val="002B34CC"/>
    <w:pPr>
      <w:ind w:left="566"/>
      <w:contextualSpacing/>
    </w:pPr>
  </w:style>
  <w:style w:type="paragraph" w:styleId="ListContinue3">
    <w:name w:val="List Continue 3"/>
    <w:basedOn w:val="Normal"/>
    <w:uiPriority w:val="99"/>
    <w:semiHidden/>
    <w:unhideWhenUsed/>
    <w:rsid w:val="002B34CC"/>
    <w:pPr>
      <w:ind w:left="849"/>
      <w:contextualSpacing/>
    </w:pPr>
  </w:style>
  <w:style w:type="paragraph" w:styleId="ListContinue4">
    <w:name w:val="List Continue 4"/>
    <w:basedOn w:val="Normal"/>
    <w:uiPriority w:val="99"/>
    <w:semiHidden/>
    <w:unhideWhenUsed/>
    <w:rsid w:val="002B34CC"/>
    <w:pPr>
      <w:ind w:left="1132"/>
      <w:contextualSpacing/>
    </w:pPr>
  </w:style>
  <w:style w:type="paragraph" w:styleId="ListContinue5">
    <w:name w:val="List Continue 5"/>
    <w:basedOn w:val="Normal"/>
    <w:uiPriority w:val="99"/>
    <w:semiHidden/>
    <w:unhideWhenUsed/>
    <w:rsid w:val="002B34CC"/>
    <w:pPr>
      <w:ind w:left="1415"/>
      <w:contextualSpacing/>
    </w:pPr>
  </w:style>
  <w:style w:type="paragraph" w:styleId="ListNumber5">
    <w:name w:val="List Number 5"/>
    <w:basedOn w:val="Normal"/>
    <w:uiPriority w:val="99"/>
    <w:semiHidden/>
    <w:unhideWhenUsed/>
    <w:rsid w:val="002B34CC"/>
    <w:pPr>
      <w:numPr>
        <w:numId w:val="67"/>
      </w:numPr>
      <w:contextualSpacing/>
    </w:pPr>
  </w:style>
  <w:style w:type="paragraph" w:styleId="MacroText">
    <w:name w:val="macro"/>
    <w:link w:val="MacroTextChar"/>
    <w:uiPriority w:val="99"/>
    <w:semiHidden/>
    <w:unhideWhenUsed/>
    <w:rsid w:val="002B34CC"/>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sz w:val="20"/>
      <w:szCs w:val="20"/>
    </w:rPr>
  </w:style>
  <w:style w:type="character" w:customStyle="1" w:styleId="MacroTextChar">
    <w:name w:val="Macro Text Char"/>
    <w:basedOn w:val="DefaultParagraphFont"/>
    <w:link w:val="MacroText"/>
    <w:uiPriority w:val="99"/>
    <w:semiHidden/>
    <w:rsid w:val="002B34CC"/>
    <w:rPr>
      <w:rFonts w:ascii="Consolas" w:hAnsi="Consolas"/>
      <w:sz w:val="20"/>
      <w:szCs w:val="20"/>
    </w:rPr>
  </w:style>
  <w:style w:type="paragraph" w:styleId="MessageHeader">
    <w:name w:val="Message Header"/>
    <w:basedOn w:val="Normal"/>
    <w:link w:val="MessageHeaderChar"/>
    <w:uiPriority w:val="99"/>
    <w:semiHidden/>
    <w:unhideWhenUsed/>
    <w:rsid w:val="002B34C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B34CC"/>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2B34CC"/>
    <w:pPr>
      <w:ind w:left="720"/>
    </w:pPr>
  </w:style>
  <w:style w:type="paragraph" w:styleId="NoteHeading">
    <w:name w:val="Note Heading"/>
    <w:basedOn w:val="Normal"/>
    <w:next w:val="Normal"/>
    <w:link w:val="NoteHeadingChar"/>
    <w:uiPriority w:val="99"/>
    <w:semiHidden/>
    <w:unhideWhenUsed/>
    <w:rsid w:val="002B34CC"/>
    <w:pPr>
      <w:spacing w:before="0" w:after="0" w:line="240" w:lineRule="auto"/>
    </w:pPr>
  </w:style>
  <w:style w:type="character" w:customStyle="1" w:styleId="NoteHeadingChar">
    <w:name w:val="Note Heading Char"/>
    <w:basedOn w:val="DefaultParagraphFont"/>
    <w:link w:val="NoteHeading"/>
    <w:uiPriority w:val="99"/>
    <w:semiHidden/>
    <w:rsid w:val="002B34CC"/>
  </w:style>
  <w:style w:type="paragraph" w:styleId="PlainText">
    <w:name w:val="Plain Text"/>
    <w:basedOn w:val="Normal"/>
    <w:link w:val="PlainTextChar"/>
    <w:uiPriority w:val="99"/>
    <w:semiHidden/>
    <w:unhideWhenUsed/>
    <w:rsid w:val="002B34C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B34CC"/>
    <w:rPr>
      <w:rFonts w:ascii="Consolas" w:hAnsi="Consolas"/>
      <w:sz w:val="21"/>
      <w:szCs w:val="21"/>
    </w:rPr>
  </w:style>
  <w:style w:type="paragraph" w:styleId="Salutation">
    <w:name w:val="Salutation"/>
    <w:basedOn w:val="Normal"/>
    <w:next w:val="Normal"/>
    <w:link w:val="SalutationChar"/>
    <w:uiPriority w:val="99"/>
    <w:semiHidden/>
    <w:unhideWhenUsed/>
    <w:rsid w:val="002B34CC"/>
  </w:style>
  <w:style w:type="character" w:customStyle="1" w:styleId="SalutationChar">
    <w:name w:val="Salutation Char"/>
    <w:basedOn w:val="DefaultParagraphFont"/>
    <w:link w:val="Salutation"/>
    <w:uiPriority w:val="99"/>
    <w:semiHidden/>
    <w:rsid w:val="002B34CC"/>
  </w:style>
  <w:style w:type="paragraph" w:styleId="Signature">
    <w:name w:val="Signature"/>
    <w:basedOn w:val="Normal"/>
    <w:link w:val="SignatureChar"/>
    <w:uiPriority w:val="99"/>
    <w:semiHidden/>
    <w:unhideWhenUsed/>
    <w:rsid w:val="002B34CC"/>
    <w:pPr>
      <w:spacing w:before="0" w:after="0" w:line="240" w:lineRule="auto"/>
      <w:ind w:left="4252"/>
    </w:pPr>
  </w:style>
  <w:style w:type="character" w:customStyle="1" w:styleId="SignatureChar">
    <w:name w:val="Signature Char"/>
    <w:basedOn w:val="DefaultParagraphFont"/>
    <w:link w:val="Signature"/>
    <w:uiPriority w:val="99"/>
    <w:semiHidden/>
    <w:rsid w:val="002B34CC"/>
  </w:style>
  <w:style w:type="paragraph" w:styleId="TableofAuthorities">
    <w:name w:val="table of authorities"/>
    <w:basedOn w:val="Normal"/>
    <w:next w:val="Normal"/>
    <w:uiPriority w:val="99"/>
    <w:semiHidden/>
    <w:unhideWhenUsed/>
    <w:rsid w:val="002B34CC"/>
    <w:pPr>
      <w:spacing w:after="0"/>
      <w:ind w:left="220" w:hanging="220"/>
    </w:pPr>
  </w:style>
  <w:style w:type="paragraph" w:styleId="TOAHeading">
    <w:name w:val="toa heading"/>
    <w:basedOn w:val="Normal"/>
    <w:next w:val="Normal"/>
    <w:uiPriority w:val="99"/>
    <w:semiHidden/>
    <w:unhideWhenUsed/>
    <w:rsid w:val="002B34CC"/>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B34CC"/>
    <w:pPr>
      <w:spacing w:after="100"/>
      <w:ind w:left="660"/>
    </w:pPr>
  </w:style>
  <w:style w:type="paragraph" w:styleId="TOC5">
    <w:name w:val="toc 5"/>
    <w:basedOn w:val="Normal"/>
    <w:next w:val="Normal"/>
    <w:autoRedefine/>
    <w:uiPriority w:val="39"/>
    <w:semiHidden/>
    <w:unhideWhenUsed/>
    <w:rsid w:val="002B34CC"/>
    <w:pPr>
      <w:spacing w:after="100"/>
      <w:ind w:left="880"/>
    </w:pPr>
  </w:style>
  <w:style w:type="paragraph" w:styleId="TOC6">
    <w:name w:val="toc 6"/>
    <w:basedOn w:val="Normal"/>
    <w:next w:val="Normal"/>
    <w:autoRedefine/>
    <w:uiPriority w:val="39"/>
    <w:semiHidden/>
    <w:unhideWhenUsed/>
    <w:rsid w:val="002B34CC"/>
    <w:pPr>
      <w:spacing w:after="100"/>
      <w:ind w:left="1100"/>
    </w:pPr>
  </w:style>
  <w:style w:type="paragraph" w:styleId="TOC7">
    <w:name w:val="toc 7"/>
    <w:basedOn w:val="Normal"/>
    <w:next w:val="Normal"/>
    <w:autoRedefine/>
    <w:uiPriority w:val="39"/>
    <w:semiHidden/>
    <w:unhideWhenUsed/>
    <w:rsid w:val="002B34CC"/>
    <w:pPr>
      <w:spacing w:after="100"/>
      <w:ind w:left="1320"/>
    </w:pPr>
  </w:style>
  <w:style w:type="paragraph" w:styleId="TOC8">
    <w:name w:val="toc 8"/>
    <w:basedOn w:val="Normal"/>
    <w:next w:val="Normal"/>
    <w:autoRedefine/>
    <w:uiPriority w:val="39"/>
    <w:semiHidden/>
    <w:unhideWhenUsed/>
    <w:rsid w:val="002B34CC"/>
    <w:pPr>
      <w:spacing w:after="100"/>
      <w:ind w:left="1540"/>
    </w:pPr>
  </w:style>
  <w:style w:type="paragraph" w:styleId="TOC9">
    <w:name w:val="toc 9"/>
    <w:basedOn w:val="Normal"/>
    <w:next w:val="Normal"/>
    <w:autoRedefine/>
    <w:uiPriority w:val="39"/>
    <w:semiHidden/>
    <w:unhideWhenUsed/>
    <w:rsid w:val="002B34C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56842">
      <w:bodyDiv w:val="1"/>
      <w:marLeft w:val="0"/>
      <w:marRight w:val="0"/>
      <w:marTop w:val="0"/>
      <w:marBottom w:val="0"/>
      <w:divBdr>
        <w:top w:val="none" w:sz="0" w:space="0" w:color="auto"/>
        <w:left w:val="none" w:sz="0" w:space="0" w:color="auto"/>
        <w:bottom w:val="none" w:sz="0" w:space="0" w:color="auto"/>
        <w:right w:val="none" w:sz="0" w:space="0" w:color="auto"/>
      </w:divBdr>
    </w:div>
    <w:div w:id="276445638">
      <w:bodyDiv w:val="1"/>
      <w:marLeft w:val="0"/>
      <w:marRight w:val="0"/>
      <w:marTop w:val="0"/>
      <w:marBottom w:val="0"/>
      <w:divBdr>
        <w:top w:val="none" w:sz="0" w:space="0" w:color="auto"/>
        <w:left w:val="none" w:sz="0" w:space="0" w:color="auto"/>
        <w:bottom w:val="none" w:sz="0" w:space="0" w:color="auto"/>
        <w:right w:val="none" w:sz="0" w:space="0" w:color="auto"/>
      </w:divBdr>
    </w:div>
    <w:div w:id="330571963">
      <w:bodyDiv w:val="1"/>
      <w:marLeft w:val="0"/>
      <w:marRight w:val="0"/>
      <w:marTop w:val="0"/>
      <w:marBottom w:val="0"/>
      <w:divBdr>
        <w:top w:val="none" w:sz="0" w:space="0" w:color="auto"/>
        <w:left w:val="none" w:sz="0" w:space="0" w:color="auto"/>
        <w:bottom w:val="none" w:sz="0" w:space="0" w:color="auto"/>
        <w:right w:val="none" w:sz="0" w:space="0" w:color="auto"/>
      </w:divBdr>
    </w:div>
    <w:div w:id="372537940">
      <w:bodyDiv w:val="1"/>
      <w:marLeft w:val="0"/>
      <w:marRight w:val="0"/>
      <w:marTop w:val="0"/>
      <w:marBottom w:val="0"/>
      <w:divBdr>
        <w:top w:val="none" w:sz="0" w:space="0" w:color="auto"/>
        <w:left w:val="none" w:sz="0" w:space="0" w:color="auto"/>
        <w:bottom w:val="none" w:sz="0" w:space="0" w:color="auto"/>
        <w:right w:val="none" w:sz="0" w:space="0" w:color="auto"/>
      </w:divBdr>
    </w:div>
    <w:div w:id="437062450">
      <w:bodyDiv w:val="1"/>
      <w:marLeft w:val="0"/>
      <w:marRight w:val="0"/>
      <w:marTop w:val="0"/>
      <w:marBottom w:val="0"/>
      <w:divBdr>
        <w:top w:val="none" w:sz="0" w:space="0" w:color="auto"/>
        <w:left w:val="none" w:sz="0" w:space="0" w:color="auto"/>
        <w:bottom w:val="none" w:sz="0" w:space="0" w:color="auto"/>
        <w:right w:val="none" w:sz="0" w:space="0" w:color="auto"/>
      </w:divBdr>
    </w:div>
    <w:div w:id="514271341">
      <w:bodyDiv w:val="1"/>
      <w:marLeft w:val="0"/>
      <w:marRight w:val="0"/>
      <w:marTop w:val="0"/>
      <w:marBottom w:val="0"/>
      <w:divBdr>
        <w:top w:val="none" w:sz="0" w:space="0" w:color="auto"/>
        <w:left w:val="none" w:sz="0" w:space="0" w:color="auto"/>
        <w:bottom w:val="none" w:sz="0" w:space="0" w:color="auto"/>
        <w:right w:val="none" w:sz="0" w:space="0" w:color="auto"/>
      </w:divBdr>
    </w:div>
    <w:div w:id="531500305">
      <w:bodyDiv w:val="1"/>
      <w:marLeft w:val="0"/>
      <w:marRight w:val="0"/>
      <w:marTop w:val="0"/>
      <w:marBottom w:val="0"/>
      <w:divBdr>
        <w:top w:val="none" w:sz="0" w:space="0" w:color="auto"/>
        <w:left w:val="none" w:sz="0" w:space="0" w:color="auto"/>
        <w:bottom w:val="none" w:sz="0" w:space="0" w:color="auto"/>
        <w:right w:val="none" w:sz="0" w:space="0" w:color="auto"/>
      </w:divBdr>
    </w:div>
    <w:div w:id="582300843">
      <w:bodyDiv w:val="1"/>
      <w:marLeft w:val="0"/>
      <w:marRight w:val="0"/>
      <w:marTop w:val="0"/>
      <w:marBottom w:val="0"/>
      <w:divBdr>
        <w:top w:val="none" w:sz="0" w:space="0" w:color="auto"/>
        <w:left w:val="none" w:sz="0" w:space="0" w:color="auto"/>
        <w:bottom w:val="none" w:sz="0" w:space="0" w:color="auto"/>
        <w:right w:val="none" w:sz="0" w:space="0" w:color="auto"/>
      </w:divBdr>
    </w:div>
    <w:div w:id="629557903">
      <w:bodyDiv w:val="1"/>
      <w:marLeft w:val="0"/>
      <w:marRight w:val="0"/>
      <w:marTop w:val="0"/>
      <w:marBottom w:val="0"/>
      <w:divBdr>
        <w:top w:val="none" w:sz="0" w:space="0" w:color="auto"/>
        <w:left w:val="none" w:sz="0" w:space="0" w:color="auto"/>
        <w:bottom w:val="none" w:sz="0" w:space="0" w:color="auto"/>
        <w:right w:val="none" w:sz="0" w:space="0" w:color="auto"/>
      </w:divBdr>
    </w:div>
    <w:div w:id="698236972">
      <w:bodyDiv w:val="1"/>
      <w:marLeft w:val="0"/>
      <w:marRight w:val="0"/>
      <w:marTop w:val="0"/>
      <w:marBottom w:val="0"/>
      <w:divBdr>
        <w:top w:val="none" w:sz="0" w:space="0" w:color="auto"/>
        <w:left w:val="none" w:sz="0" w:space="0" w:color="auto"/>
        <w:bottom w:val="none" w:sz="0" w:space="0" w:color="auto"/>
        <w:right w:val="none" w:sz="0" w:space="0" w:color="auto"/>
      </w:divBdr>
    </w:div>
    <w:div w:id="703941319">
      <w:bodyDiv w:val="1"/>
      <w:marLeft w:val="0"/>
      <w:marRight w:val="0"/>
      <w:marTop w:val="0"/>
      <w:marBottom w:val="0"/>
      <w:divBdr>
        <w:top w:val="none" w:sz="0" w:space="0" w:color="auto"/>
        <w:left w:val="none" w:sz="0" w:space="0" w:color="auto"/>
        <w:bottom w:val="none" w:sz="0" w:space="0" w:color="auto"/>
        <w:right w:val="none" w:sz="0" w:space="0" w:color="auto"/>
      </w:divBdr>
      <w:divsChild>
        <w:div w:id="640765475">
          <w:marLeft w:val="0"/>
          <w:marRight w:val="0"/>
          <w:marTop w:val="0"/>
          <w:marBottom w:val="0"/>
          <w:divBdr>
            <w:top w:val="none" w:sz="0" w:space="0" w:color="auto"/>
            <w:left w:val="none" w:sz="0" w:space="0" w:color="auto"/>
            <w:bottom w:val="none" w:sz="0" w:space="0" w:color="auto"/>
            <w:right w:val="none" w:sz="0" w:space="0" w:color="auto"/>
          </w:divBdr>
          <w:divsChild>
            <w:div w:id="588736694">
              <w:marLeft w:val="0"/>
              <w:marRight w:val="0"/>
              <w:marTop w:val="0"/>
              <w:marBottom w:val="0"/>
              <w:divBdr>
                <w:top w:val="none" w:sz="0" w:space="0" w:color="auto"/>
                <w:left w:val="none" w:sz="0" w:space="0" w:color="auto"/>
                <w:bottom w:val="none" w:sz="0" w:space="0" w:color="auto"/>
                <w:right w:val="none" w:sz="0" w:space="0" w:color="auto"/>
              </w:divBdr>
              <w:divsChild>
                <w:div w:id="1194535940">
                  <w:marLeft w:val="0"/>
                  <w:marRight w:val="0"/>
                  <w:marTop w:val="0"/>
                  <w:marBottom w:val="0"/>
                  <w:divBdr>
                    <w:top w:val="none" w:sz="0" w:space="0" w:color="auto"/>
                    <w:left w:val="none" w:sz="0" w:space="0" w:color="auto"/>
                    <w:bottom w:val="none" w:sz="0" w:space="0" w:color="auto"/>
                    <w:right w:val="none" w:sz="0" w:space="0" w:color="auto"/>
                  </w:divBdr>
                  <w:divsChild>
                    <w:div w:id="1519003562">
                      <w:marLeft w:val="0"/>
                      <w:marRight w:val="0"/>
                      <w:marTop w:val="0"/>
                      <w:marBottom w:val="0"/>
                      <w:divBdr>
                        <w:top w:val="none" w:sz="0" w:space="0" w:color="auto"/>
                        <w:left w:val="none" w:sz="0" w:space="0" w:color="auto"/>
                        <w:bottom w:val="none" w:sz="0" w:space="0" w:color="auto"/>
                        <w:right w:val="none" w:sz="0" w:space="0" w:color="auto"/>
                      </w:divBdr>
                      <w:divsChild>
                        <w:div w:id="798258490">
                          <w:marLeft w:val="0"/>
                          <w:marRight w:val="0"/>
                          <w:marTop w:val="0"/>
                          <w:marBottom w:val="0"/>
                          <w:divBdr>
                            <w:top w:val="none" w:sz="0" w:space="0" w:color="auto"/>
                            <w:left w:val="none" w:sz="0" w:space="0" w:color="auto"/>
                            <w:bottom w:val="none" w:sz="0" w:space="0" w:color="auto"/>
                            <w:right w:val="none" w:sz="0" w:space="0" w:color="auto"/>
                          </w:divBdr>
                          <w:divsChild>
                            <w:div w:id="1777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842046">
      <w:bodyDiv w:val="1"/>
      <w:marLeft w:val="0"/>
      <w:marRight w:val="0"/>
      <w:marTop w:val="0"/>
      <w:marBottom w:val="0"/>
      <w:divBdr>
        <w:top w:val="none" w:sz="0" w:space="0" w:color="auto"/>
        <w:left w:val="none" w:sz="0" w:space="0" w:color="auto"/>
        <w:bottom w:val="none" w:sz="0" w:space="0" w:color="auto"/>
        <w:right w:val="none" w:sz="0" w:space="0" w:color="auto"/>
      </w:divBdr>
    </w:div>
    <w:div w:id="727150111">
      <w:bodyDiv w:val="1"/>
      <w:marLeft w:val="0"/>
      <w:marRight w:val="0"/>
      <w:marTop w:val="0"/>
      <w:marBottom w:val="0"/>
      <w:divBdr>
        <w:top w:val="none" w:sz="0" w:space="0" w:color="auto"/>
        <w:left w:val="none" w:sz="0" w:space="0" w:color="auto"/>
        <w:bottom w:val="none" w:sz="0" w:space="0" w:color="auto"/>
        <w:right w:val="none" w:sz="0" w:space="0" w:color="auto"/>
      </w:divBdr>
      <w:divsChild>
        <w:div w:id="1470316016">
          <w:marLeft w:val="0"/>
          <w:marRight w:val="0"/>
          <w:marTop w:val="0"/>
          <w:marBottom w:val="0"/>
          <w:divBdr>
            <w:top w:val="none" w:sz="0" w:space="0" w:color="auto"/>
            <w:left w:val="none" w:sz="0" w:space="0" w:color="auto"/>
            <w:bottom w:val="none" w:sz="0" w:space="0" w:color="auto"/>
            <w:right w:val="none" w:sz="0" w:space="0" w:color="auto"/>
          </w:divBdr>
          <w:divsChild>
            <w:div w:id="1073239986">
              <w:marLeft w:val="0"/>
              <w:marRight w:val="0"/>
              <w:marTop w:val="0"/>
              <w:marBottom w:val="0"/>
              <w:divBdr>
                <w:top w:val="none" w:sz="0" w:space="0" w:color="auto"/>
                <w:left w:val="none" w:sz="0" w:space="0" w:color="auto"/>
                <w:bottom w:val="none" w:sz="0" w:space="0" w:color="auto"/>
                <w:right w:val="none" w:sz="0" w:space="0" w:color="auto"/>
              </w:divBdr>
              <w:divsChild>
                <w:div w:id="1721318639">
                  <w:marLeft w:val="0"/>
                  <w:marRight w:val="0"/>
                  <w:marTop w:val="0"/>
                  <w:marBottom w:val="0"/>
                  <w:divBdr>
                    <w:top w:val="none" w:sz="0" w:space="0" w:color="auto"/>
                    <w:left w:val="none" w:sz="0" w:space="0" w:color="auto"/>
                    <w:bottom w:val="none" w:sz="0" w:space="0" w:color="auto"/>
                    <w:right w:val="none" w:sz="0" w:space="0" w:color="auto"/>
                  </w:divBdr>
                  <w:divsChild>
                    <w:div w:id="1915236998">
                      <w:marLeft w:val="0"/>
                      <w:marRight w:val="0"/>
                      <w:marTop w:val="0"/>
                      <w:marBottom w:val="0"/>
                      <w:divBdr>
                        <w:top w:val="none" w:sz="0" w:space="0" w:color="auto"/>
                        <w:left w:val="none" w:sz="0" w:space="0" w:color="auto"/>
                        <w:bottom w:val="none" w:sz="0" w:space="0" w:color="auto"/>
                        <w:right w:val="none" w:sz="0" w:space="0" w:color="auto"/>
                      </w:divBdr>
                      <w:divsChild>
                        <w:div w:id="383145507">
                          <w:marLeft w:val="0"/>
                          <w:marRight w:val="0"/>
                          <w:marTop w:val="0"/>
                          <w:marBottom w:val="0"/>
                          <w:divBdr>
                            <w:top w:val="none" w:sz="0" w:space="0" w:color="auto"/>
                            <w:left w:val="none" w:sz="0" w:space="0" w:color="auto"/>
                            <w:bottom w:val="none" w:sz="0" w:space="0" w:color="auto"/>
                            <w:right w:val="none" w:sz="0" w:space="0" w:color="auto"/>
                          </w:divBdr>
                        </w:div>
                        <w:div w:id="554589744">
                          <w:marLeft w:val="330"/>
                          <w:marRight w:val="0"/>
                          <w:marTop w:val="555"/>
                          <w:marBottom w:val="0"/>
                          <w:divBdr>
                            <w:top w:val="none" w:sz="0" w:space="0" w:color="auto"/>
                            <w:left w:val="none" w:sz="0" w:space="0" w:color="auto"/>
                            <w:bottom w:val="none" w:sz="0" w:space="0" w:color="auto"/>
                            <w:right w:val="none" w:sz="0" w:space="0" w:color="auto"/>
                          </w:divBdr>
                        </w:div>
                        <w:div w:id="633288825">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4659">
              <w:marLeft w:val="0"/>
              <w:marRight w:val="0"/>
              <w:marTop w:val="0"/>
              <w:marBottom w:val="0"/>
              <w:divBdr>
                <w:top w:val="none" w:sz="0" w:space="0" w:color="auto"/>
                <w:left w:val="none" w:sz="0" w:space="0" w:color="auto"/>
                <w:bottom w:val="none" w:sz="0" w:space="0" w:color="auto"/>
                <w:right w:val="none" w:sz="0" w:space="0" w:color="auto"/>
              </w:divBdr>
              <w:divsChild>
                <w:div w:id="642582328">
                  <w:marLeft w:val="0"/>
                  <w:marRight w:val="0"/>
                  <w:marTop w:val="0"/>
                  <w:marBottom w:val="0"/>
                  <w:divBdr>
                    <w:top w:val="none" w:sz="0" w:space="0" w:color="auto"/>
                    <w:left w:val="none" w:sz="0" w:space="0" w:color="auto"/>
                    <w:bottom w:val="none" w:sz="0" w:space="0" w:color="auto"/>
                    <w:right w:val="none" w:sz="0" w:space="0" w:color="auto"/>
                  </w:divBdr>
                  <w:divsChild>
                    <w:div w:id="57016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852950">
      <w:bodyDiv w:val="1"/>
      <w:marLeft w:val="0"/>
      <w:marRight w:val="0"/>
      <w:marTop w:val="0"/>
      <w:marBottom w:val="0"/>
      <w:divBdr>
        <w:top w:val="none" w:sz="0" w:space="0" w:color="auto"/>
        <w:left w:val="none" w:sz="0" w:space="0" w:color="auto"/>
        <w:bottom w:val="none" w:sz="0" w:space="0" w:color="auto"/>
        <w:right w:val="none" w:sz="0" w:space="0" w:color="auto"/>
      </w:divBdr>
    </w:div>
    <w:div w:id="845284722">
      <w:bodyDiv w:val="1"/>
      <w:marLeft w:val="0"/>
      <w:marRight w:val="0"/>
      <w:marTop w:val="0"/>
      <w:marBottom w:val="0"/>
      <w:divBdr>
        <w:top w:val="none" w:sz="0" w:space="0" w:color="auto"/>
        <w:left w:val="none" w:sz="0" w:space="0" w:color="auto"/>
        <w:bottom w:val="none" w:sz="0" w:space="0" w:color="auto"/>
        <w:right w:val="none" w:sz="0" w:space="0" w:color="auto"/>
      </w:divBdr>
    </w:div>
    <w:div w:id="870537010">
      <w:bodyDiv w:val="1"/>
      <w:marLeft w:val="0"/>
      <w:marRight w:val="0"/>
      <w:marTop w:val="0"/>
      <w:marBottom w:val="0"/>
      <w:divBdr>
        <w:top w:val="none" w:sz="0" w:space="0" w:color="auto"/>
        <w:left w:val="none" w:sz="0" w:space="0" w:color="auto"/>
        <w:bottom w:val="none" w:sz="0" w:space="0" w:color="auto"/>
        <w:right w:val="none" w:sz="0" w:space="0" w:color="auto"/>
      </w:divBdr>
    </w:div>
    <w:div w:id="946351282">
      <w:bodyDiv w:val="1"/>
      <w:marLeft w:val="0"/>
      <w:marRight w:val="0"/>
      <w:marTop w:val="0"/>
      <w:marBottom w:val="0"/>
      <w:divBdr>
        <w:top w:val="none" w:sz="0" w:space="0" w:color="auto"/>
        <w:left w:val="none" w:sz="0" w:space="0" w:color="auto"/>
        <w:bottom w:val="none" w:sz="0" w:space="0" w:color="auto"/>
        <w:right w:val="none" w:sz="0" w:space="0" w:color="auto"/>
      </w:divBdr>
    </w:div>
    <w:div w:id="961613081">
      <w:bodyDiv w:val="1"/>
      <w:marLeft w:val="0"/>
      <w:marRight w:val="0"/>
      <w:marTop w:val="0"/>
      <w:marBottom w:val="0"/>
      <w:divBdr>
        <w:top w:val="none" w:sz="0" w:space="0" w:color="auto"/>
        <w:left w:val="none" w:sz="0" w:space="0" w:color="auto"/>
        <w:bottom w:val="none" w:sz="0" w:space="0" w:color="auto"/>
        <w:right w:val="none" w:sz="0" w:space="0" w:color="auto"/>
      </w:divBdr>
    </w:div>
    <w:div w:id="978531766">
      <w:bodyDiv w:val="1"/>
      <w:marLeft w:val="0"/>
      <w:marRight w:val="0"/>
      <w:marTop w:val="0"/>
      <w:marBottom w:val="0"/>
      <w:divBdr>
        <w:top w:val="none" w:sz="0" w:space="0" w:color="auto"/>
        <w:left w:val="none" w:sz="0" w:space="0" w:color="auto"/>
        <w:bottom w:val="none" w:sz="0" w:space="0" w:color="auto"/>
        <w:right w:val="none" w:sz="0" w:space="0" w:color="auto"/>
      </w:divBdr>
    </w:div>
    <w:div w:id="985814501">
      <w:bodyDiv w:val="1"/>
      <w:marLeft w:val="0"/>
      <w:marRight w:val="0"/>
      <w:marTop w:val="0"/>
      <w:marBottom w:val="0"/>
      <w:divBdr>
        <w:top w:val="none" w:sz="0" w:space="0" w:color="auto"/>
        <w:left w:val="none" w:sz="0" w:space="0" w:color="auto"/>
        <w:bottom w:val="none" w:sz="0" w:space="0" w:color="auto"/>
        <w:right w:val="none" w:sz="0" w:space="0" w:color="auto"/>
      </w:divBdr>
    </w:div>
    <w:div w:id="1043870244">
      <w:bodyDiv w:val="1"/>
      <w:marLeft w:val="0"/>
      <w:marRight w:val="0"/>
      <w:marTop w:val="0"/>
      <w:marBottom w:val="0"/>
      <w:divBdr>
        <w:top w:val="none" w:sz="0" w:space="0" w:color="auto"/>
        <w:left w:val="none" w:sz="0" w:space="0" w:color="auto"/>
        <w:bottom w:val="none" w:sz="0" w:space="0" w:color="auto"/>
        <w:right w:val="none" w:sz="0" w:space="0" w:color="auto"/>
      </w:divBdr>
    </w:div>
    <w:div w:id="1120804698">
      <w:bodyDiv w:val="1"/>
      <w:marLeft w:val="0"/>
      <w:marRight w:val="0"/>
      <w:marTop w:val="0"/>
      <w:marBottom w:val="0"/>
      <w:divBdr>
        <w:top w:val="none" w:sz="0" w:space="0" w:color="auto"/>
        <w:left w:val="none" w:sz="0" w:space="0" w:color="auto"/>
        <w:bottom w:val="none" w:sz="0" w:space="0" w:color="auto"/>
        <w:right w:val="none" w:sz="0" w:space="0" w:color="auto"/>
      </w:divBdr>
    </w:div>
    <w:div w:id="1169247215">
      <w:bodyDiv w:val="1"/>
      <w:marLeft w:val="0"/>
      <w:marRight w:val="0"/>
      <w:marTop w:val="0"/>
      <w:marBottom w:val="0"/>
      <w:divBdr>
        <w:top w:val="none" w:sz="0" w:space="0" w:color="auto"/>
        <w:left w:val="none" w:sz="0" w:space="0" w:color="auto"/>
        <w:bottom w:val="none" w:sz="0" w:space="0" w:color="auto"/>
        <w:right w:val="none" w:sz="0" w:space="0" w:color="auto"/>
      </w:divBdr>
    </w:div>
    <w:div w:id="1237210438">
      <w:bodyDiv w:val="1"/>
      <w:marLeft w:val="0"/>
      <w:marRight w:val="0"/>
      <w:marTop w:val="0"/>
      <w:marBottom w:val="0"/>
      <w:divBdr>
        <w:top w:val="none" w:sz="0" w:space="0" w:color="auto"/>
        <w:left w:val="none" w:sz="0" w:space="0" w:color="auto"/>
        <w:bottom w:val="none" w:sz="0" w:space="0" w:color="auto"/>
        <w:right w:val="none" w:sz="0" w:space="0" w:color="auto"/>
      </w:divBdr>
    </w:div>
    <w:div w:id="1306084585">
      <w:bodyDiv w:val="1"/>
      <w:marLeft w:val="0"/>
      <w:marRight w:val="0"/>
      <w:marTop w:val="0"/>
      <w:marBottom w:val="0"/>
      <w:divBdr>
        <w:top w:val="none" w:sz="0" w:space="0" w:color="auto"/>
        <w:left w:val="none" w:sz="0" w:space="0" w:color="auto"/>
        <w:bottom w:val="none" w:sz="0" w:space="0" w:color="auto"/>
        <w:right w:val="none" w:sz="0" w:space="0" w:color="auto"/>
      </w:divBdr>
    </w:div>
    <w:div w:id="1332180667">
      <w:bodyDiv w:val="1"/>
      <w:marLeft w:val="0"/>
      <w:marRight w:val="0"/>
      <w:marTop w:val="0"/>
      <w:marBottom w:val="0"/>
      <w:divBdr>
        <w:top w:val="none" w:sz="0" w:space="0" w:color="auto"/>
        <w:left w:val="none" w:sz="0" w:space="0" w:color="auto"/>
        <w:bottom w:val="none" w:sz="0" w:space="0" w:color="auto"/>
        <w:right w:val="none" w:sz="0" w:space="0" w:color="auto"/>
      </w:divBdr>
    </w:div>
    <w:div w:id="1355225517">
      <w:bodyDiv w:val="1"/>
      <w:marLeft w:val="0"/>
      <w:marRight w:val="0"/>
      <w:marTop w:val="0"/>
      <w:marBottom w:val="0"/>
      <w:divBdr>
        <w:top w:val="none" w:sz="0" w:space="0" w:color="auto"/>
        <w:left w:val="none" w:sz="0" w:space="0" w:color="auto"/>
        <w:bottom w:val="none" w:sz="0" w:space="0" w:color="auto"/>
        <w:right w:val="none" w:sz="0" w:space="0" w:color="auto"/>
      </w:divBdr>
      <w:divsChild>
        <w:div w:id="1047952768">
          <w:marLeft w:val="0"/>
          <w:marRight w:val="0"/>
          <w:marTop w:val="0"/>
          <w:marBottom w:val="0"/>
          <w:divBdr>
            <w:top w:val="none" w:sz="0" w:space="0" w:color="auto"/>
            <w:left w:val="none" w:sz="0" w:space="0" w:color="auto"/>
            <w:bottom w:val="none" w:sz="0" w:space="0" w:color="auto"/>
            <w:right w:val="none" w:sz="0" w:space="0" w:color="auto"/>
          </w:divBdr>
          <w:divsChild>
            <w:div w:id="754596332">
              <w:marLeft w:val="0"/>
              <w:marRight w:val="0"/>
              <w:marTop w:val="0"/>
              <w:marBottom w:val="0"/>
              <w:divBdr>
                <w:top w:val="none" w:sz="0" w:space="0" w:color="auto"/>
                <w:left w:val="none" w:sz="0" w:space="0" w:color="auto"/>
                <w:bottom w:val="none" w:sz="0" w:space="0" w:color="auto"/>
                <w:right w:val="none" w:sz="0" w:space="0" w:color="auto"/>
              </w:divBdr>
              <w:divsChild>
                <w:div w:id="434907227">
                  <w:marLeft w:val="0"/>
                  <w:marRight w:val="0"/>
                  <w:marTop w:val="0"/>
                  <w:marBottom w:val="0"/>
                  <w:divBdr>
                    <w:top w:val="none" w:sz="0" w:space="0" w:color="auto"/>
                    <w:left w:val="none" w:sz="0" w:space="0" w:color="auto"/>
                    <w:bottom w:val="none" w:sz="0" w:space="0" w:color="auto"/>
                    <w:right w:val="none" w:sz="0" w:space="0" w:color="auto"/>
                  </w:divBdr>
                  <w:divsChild>
                    <w:div w:id="538053200">
                      <w:marLeft w:val="0"/>
                      <w:marRight w:val="0"/>
                      <w:marTop w:val="0"/>
                      <w:marBottom w:val="0"/>
                      <w:divBdr>
                        <w:top w:val="none" w:sz="0" w:space="0" w:color="auto"/>
                        <w:left w:val="none" w:sz="0" w:space="0" w:color="auto"/>
                        <w:bottom w:val="none" w:sz="0" w:space="0" w:color="auto"/>
                        <w:right w:val="none" w:sz="0" w:space="0" w:color="auto"/>
                      </w:divBdr>
                      <w:divsChild>
                        <w:div w:id="24527460">
                          <w:marLeft w:val="0"/>
                          <w:marRight w:val="0"/>
                          <w:marTop w:val="0"/>
                          <w:marBottom w:val="0"/>
                          <w:divBdr>
                            <w:top w:val="none" w:sz="0" w:space="0" w:color="auto"/>
                            <w:left w:val="none" w:sz="0" w:space="0" w:color="auto"/>
                            <w:bottom w:val="none" w:sz="0" w:space="0" w:color="auto"/>
                            <w:right w:val="none" w:sz="0" w:space="0" w:color="auto"/>
                          </w:divBdr>
                        </w:div>
                        <w:div w:id="456266804">
                          <w:marLeft w:val="330"/>
                          <w:marRight w:val="0"/>
                          <w:marTop w:val="555"/>
                          <w:marBottom w:val="0"/>
                          <w:divBdr>
                            <w:top w:val="none" w:sz="0" w:space="0" w:color="auto"/>
                            <w:left w:val="none" w:sz="0" w:space="0" w:color="auto"/>
                            <w:bottom w:val="none" w:sz="0" w:space="0" w:color="auto"/>
                            <w:right w:val="none" w:sz="0" w:space="0" w:color="auto"/>
                          </w:divBdr>
                        </w:div>
                        <w:div w:id="548956818">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27095">
              <w:marLeft w:val="0"/>
              <w:marRight w:val="0"/>
              <w:marTop w:val="0"/>
              <w:marBottom w:val="0"/>
              <w:divBdr>
                <w:top w:val="none" w:sz="0" w:space="0" w:color="auto"/>
                <w:left w:val="none" w:sz="0" w:space="0" w:color="auto"/>
                <w:bottom w:val="none" w:sz="0" w:space="0" w:color="auto"/>
                <w:right w:val="none" w:sz="0" w:space="0" w:color="auto"/>
              </w:divBdr>
              <w:divsChild>
                <w:div w:id="1110467869">
                  <w:marLeft w:val="0"/>
                  <w:marRight w:val="0"/>
                  <w:marTop w:val="0"/>
                  <w:marBottom w:val="0"/>
                  <w:divBdr>
                    <w:top w:val="none" w:sz="0" w:space="0" w:color="auto"/>
                    <w:left w:val="none" w:sz="0" w:space="0" w:color="auto"/>
                    <w:bottom w:val="none" w:sz="0" w:space="0" w:color="auto"/>
                    <w:right w:val="none" w:sz="0" w:space="0" w:color="auto"/>
                  </w:divBdr>
                  <w:divsChild>
                    <w:div w:id="156251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256170">
      <w:bodyDiv w:val="1"/>
      <w:marLeft w:val="0"/>
      <w:marRight w:val="0"/>
      <w:marTop w:val="0"/>
      <w:marBottom w:val="0"/>
      <w:divBdr>
        <w:top w:val="none" w:sz="0" w:space="0" w:color="auto"/>
        <w:left w:val="none" w:sz="0" w:space="0" w:color="auto"/>
        <w:bottom w:val="none" w:sz="0" w:space="0" w:color="auto"/>
        <w:right w:val="none" w:sz="0" w:space="0" w:color="auto"/>
      </w:divBdr>
    </w:div>
    <w:div w:id="1433744007">
      <w:bodyDiv w:val="1"/>
      <w:marLeft w:val="0"/>
      <w:marRight w:val="0"/>
      <w:marTop w:val="0"/>
      <w:marBottom w:val="0"/>
      <w:divBdr>
        <w:top w:val="none" w:sz="0" w:space="0" w:color="auto"/>
        <w:left w:val="none" w:sz="0" w:space="0" w:color="auto"/>
        <w:bottom w:val="none" w:sz="0" w:space="0" w:color="auto"/>
        <w:right w:val="none" w:sz="0" w:space="0" w:color="auto"/>
      </w:divBdr>
    </w:div>
    <w:div w:id="1456826941">
      <w:bodyDiv w:val="1"/>
      <w:marLeft w:val="0"/>
      <w:marRight w:val="0"/>
      <w:marTop w:val="0"/>
      <w:marBottom w:val="0"/>
      <w:divBdr>
        <w:top w:val="none" w:sz="0" w:space="0" w:color="auto"/>
        <w:left w:val="none" w:sz="0" w:space="0" w:color="auto"/>
        <w:bottom w:val="none" w:sz="0" w:space="0" w:color="auto"/>
        <w:right w:val="none" w:sz="0" w:space="0" w:color="auto"/>
      </w:divBdr>
    </w:div>
    <w:div w:id="1540239550">
      <w:bodyDiv w:val="1"/>
      <w:marLeft w:val="0"/>
      <w:marRight w:val="0"/>
      <w:marTop w:val="0"/>
      <w:marBottom w:val="0"/>
      <w:divBdr>
        <w:top w:val="none" w:sz="0" w:space="0" w:color="auto"/>
        <w:left w:val="none" w:sz="0" w:space="0" w:color="auto"/>
        <w:bottom w:val="none" w:sz="0" w:space="0" w:color="auto"/>
        <w:right w:val="none" w:sz="0" w:space="0" w:color="auto"/>
      </w:divBdr>
    </w:div>
    <w:div w:id="1542670453">
      <w:bodyDiv w:val="1"/>
      <w:marLeft w:val="0"/>
      <w:marRight w:val="0"/>
      <w:marTop w:val="0"/>
      <w:marBottom w:val="0"/>
      <w:divBdr>
        <w:top w:val="none" w:sz="0" w:space="0" w:color="auto"/>
        <w:left w:val="none" w:sz="0" w:space="0" w:color="auto"/>
        <w:bottom w:val="none" w:sz="0" w:space="0" w:color="auto"/>
        <w:right w:val="none" w:sz="0" w:space="0" w:color="auto"/>
      </w:divBdr>
    </w:div>
    <w:div w:id="1567254092">
      <w:bodyDiv w:val="1"/>
      <w:marLeft w:val="0"/>
      <w:marRight w:val="0"/>
      <w:marTop w:val="0"/>
      <w:marBottom w:val="0"/>
      <w:divBdr>
        <w:top w:val="none" w:sz="0" w:space="0" w:color="auto"/>
        <w:left w:val="none" w:sz="0" w:space="0" w:color="auto"/>
        <w:bottom w:val="none" w:sz="0" w:space="0" w:color="auto"/>
        <w:right w:val="none" w:sz="0" w:space="0" w:color="auto"/>
      </w:divBdr>
    </w:div>
    <w:div w:id="1641810574">
      <w:bodyDiv w:val="1"/>
      <w:marLeft w:val="0"/>
      <w:marRight w:val="0"/>
      <w:marTop w:val="0"/>
      <w:marBottom w:val="0"/>
      <w:divBdr>
        <w:top w:val="none" w:sz="0" w:space="0" w:color="auto"/>
        <w:left w:val="none" w:sz="0" w:space="0" w:color="auto"/>
        <w:bottom w:val="none" w:sz="0" w:space="0" w:color="auto"/>
        <w:right w:val="none" w:sz="0" w:space="0" w:color="auto"/>
      </w:divBdr>
    </w:div>
    <w:div w:id="1702439885">
      <w:bodyDiv w:val="1"/>
      <w:marLeft w:val="0"/>
      <w:marRight w:val="0"/>
      <w:marTop w:val="0"/>
      <w:marBottom w:val="0"/>
      <w:divBdr>
        <w:top w:val="none" w:sz="0" w:space="0" w:color="auto"/>
        <w:left w:val="none" w:sz="0" w:space="0" w:color="auto"/>
        <w:bottom w:val="none" w:sz="0" w:space="0" w:color="auto"/>
        <w:right w:val="none" w:sz="0" w:space="0" w:color="auto"/>
      </w:divBdr>
      <w:divsChild>
        <w:div w:id="1168716653">
          <w:marLeft w:val="0"/>
          <w:marRight w:val="0"/>
          <w:marTop w:val="0"/>
          <w:marBottom w:val="0"/>
          <w:divBdr>
            <w:top w:val="none" w:sz="0" w:space="0" w:color="auto"/>
            <w:left w:val="none" w:sz="0" w:space="0" w:color="auto"/>
            <w:bottom w:val="none" w:sz="0" w:space="0" w:color="auto"/>
            <w:right w:val="none" w:sz="0" w:space="0" w:color="auto"/>
          </w:divBdr>
          <w:divsChild>
            <w:div w:id="1499348204">
              <w:marLeft w:val="0"/>
              <w:marRight w:val="0"/>
              <w:marTop w:val="0"/>
              <w:marBottom w:val="0"/>
              <w:divBdr>
                <w:top w:val="none" w:sz="0" w:space="0" w:color="auto"/>
                <w:left w:val="none" w:sz="0" w:space="0" w:color="auto"/>
                <w:bottom w:val="none" w:sz="0" w:space="0" w:color="auto"/>
                <w:right w:val="none" w:sz="0" w:space="0" w:color="auto"/>
              </w:divBdr>
              <w:divsChild>
                <w:div w:id="163472120">
                  <w:marLeft w:val="0"/>
                  <w:marRight w:val="0"/>
                  <w:marTop w:val="0"/>
                  <w:marBottom w:val="0"/>
                  <w:divBdr>
                    <w:top w:val="none" w:sz="0" w:space="0" w:color="auto"/>
                    <w:left w:val="none" w:sz="0" w:space="0" w:color="auto"/>
                    <w:bottom w:val="none" w:sz="0" w:space="0" w:color="auto"/>
                    <w:right w:val="none" w:sz="0" w:space="0" w:color="auto"/>
                  </w:divBdr>
                  <w:divsChild>
                    <w:div w:id="2019388297">
                      <w:marLeft w:val="0"/>
                      <w:marRight w:val="0"/>
                      <w:marTop w:val="0"/>
                      <w:marBottom w:val="0"/>
                      <w:divBdr>
                        <w:top w:val="none" w:sz="0" w:space="0" w:color="auto"/>
                        <w:left w:val="none" w:sz="0" w:space="0" w:color="auto"/>
                        <w:bottom w:val="none" w:sz="0" w:space="0" w:color="auto"/>
                        <w:right w:val="none" w:sz="0" w:space="0" w:color="auto"/>
                      </w:divBdr>
                      <w:divsChild>
                        <w:div w:id="1635796149">
                          <w:marLeft w:val="0"/>
                          <w:marRight w:val="0"/>
                          <w:marTop w:val="0"/>
                          <w:marBottom w:val="0"/>
                          <w:divBdr>
                            <w:top w:val="none" w:sz="0" w:space="0" w:color="auto"/>
                            <w:left w:val="none" w:sz="0" w:space="0" w:color="auto"/>
                            <w:bottom w:val="none" w:sz="0" w:space="0" w:color="auto"/>
                            <w:right w:val="none" w:sz="0" w:space="0" w:color="auto"/>
                          </w:divBdr>
                          <w:divsChild>
                            <w:div w:id="14303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410924">
      <w:bodyDiv w:val="1"/>
      <w:marLeft w:val="0"/>
      <w:marRight w:val="0"/>
      <w:marTop w:val="0"/>
      <w:marBottom w:val="0"/>
      <w:divBdr>
        <w:top w:val="none" w:sz="0" w:space="0" w:color="auto"/>
        <w:left w:val="none" w:sz="0" w:space="0" w:color="auto"/>
        <w:bottom w:val="none" w:sz="0" w:space="0" w:color="auto"/>
        <w:right w:val="none" w:sz="0" w:space="0" w:color="auto"/>
      </w:divBdr>
    </w:div>
    <w:div w:id="1875578858">
      <w:bodyDiv w:val="1"/>
      <w:marLeft w:val="0"/>
      <w:marRight w:val="0"/>
      <w:marTop w:val="0"/>
      <w:marBottom w:val="0"/>
      <w:divBdr>
        <w:top w:val="none" w:sz="0" w:space="0" w:color="auto"/>
        <w:left w:val="none" w:sz="0" w:space="0" w:color="auto"/>
        <w:bottom w:val="none" w:sz="0" w:space="0" w:color="auto"/>
        <w:right w:val="none" w:sz="0" w:space="0" w:color="auto"/>
      </w:divBdr>
    </w:div>
    <w:div w:id="196411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cid:image001.jpg@01D31CE9.E303EF80" TargetMode="External"/><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hyperlink" Target="http://www.education.gov.au/review-higher-education-provider-category-standards" TargetMode="External"/><Relationship Id="rId21" Type="http://schemas.openxmlformats.org/officeDocument/2006/relationships/footer" Target="footer3.xml"/><Relationship Id="rId34" Type="http://schemas.openxmlformats.org/officeDocument/2006/relationships/hyperlink" Target="https://docs.education.gov.au/node/51901" TargetMode="External"/><Relationship Id="rId42" Type="http://schemas.openxmlformats.org/officeDocument/2006/relationships/hyperlink" Target="http://www.education.gov.au/review-higher-education-provider-category-standards" TargetMode="External"/><Relationship Id="rId47" Type="http://schemas.openxmlformats.org/officeDocument/2006/relationships/hyperlink" Target="https://www.ic.gc.ca/eic/site/cd-dgc.nsf/eng/cs01287.html" TargetMode="External"/><Relationship Id="rId50" Type="http://schemas.openxmlformats.org/officeDocument/2006/relationships/hyperlink" Target="https://www.univcan.ca/about-us/membership-and-governance/membership-criteria/" TargetMode="External"/><Relationship Id="rId55" Type="http://schemas.openxmlformats.org/officeDocument/2006/relationships/hyperlink" Target="http://www.legifrance.gouv.fr/affichCode.do?cidTexte=LEGITEXT000006071191" TargetMode="External"/><Relationship Id="rId63" Type="http://schemas.openxmlformats.org/officeDocument/2006/relationships/hyperlink" Target="https://www.government.nl/topics/secondary-vocational-education-mbo-and-higher-education/higher-education" TargetMode="External"/><Relationship Id="rId68" Type="http://schemas.openxmlformats.org/officeDocument/2006/relationships/hyperlink" Target="https://www.nzqa.govt.nz/providers-partners/about-education-organisations/" TargetMode="External"/><Relationship Id="rId76" Type="http://schemas.openxmlformats.org/officeDocument/2006/relationships/hyperlink" Target="http://www.moe.gov.cn/s78/A02/zfs__left/s5911/moe_619/201512/t20151228_226196.html" TargetMode="External"/><Relationship Id="rId84" Type="http://schemas.openxmlformats.org/officeDocument/2006/relationships/header" Target="header6.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nokut.no/en/surveys-and-databases/accredited-institutions/" TargetMode="External"/><Relationship Id="rId2" Type="http://schemas.openxmlformats.org/officeDocument/2006/relationships/customXml" Target="../customXml/item2.xml"/><Relationship Id="rId16" Type="http://schemas.openxmlformats.org/officeDocument/2006/relationships/hyperlink" Target="mailto:copyright@education.gov.au" TargetMode="External"/><Relationship Id="rId29" Type="http://schemas.openxmlformats.org/officeDocument/2006/relationships/hyperlink" Target="http://www.teqsa.gov.au/national-register" TargetMode="Externa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www.teqsa.gov.au/national-register" TargetMode="External"/><Relationship Id="rId37" Type="http://schemas.openxmlformats.org/officeDocument/2006/relationships/hyperlink" Target="http://cricos.education.gov.au" TargetMode="External"/><Relationship Id="rId40" Type="http://schemas.openxmlformats.org/officeDocument/2006/relationships/hyperlink" Target="http://www.education.gov.au/review-higher-education-provider-category-standards" TargetMode="External"/><Relationship Id="rId45" Type="http://schemas.openxmlformats.org/officeDocument/2006/relationships/hyperlink" Target="http://www.planalto.gov.br/ccivil_03/_Ato2015-2018/2017/Decreto/D9235.htm" TargetMode="External"/><Relationship Id="rId53" Type="http://schemas.openxmlformats.org/officeDocument/2006/relationships/hyperlink" Target="https://minedu.fi/en/heis-and-science-agencies" TargetMode="External"/><Relationship Id="rId58" Type="http://schemas.openxmlformats.org/officeDocument/2006/relationships/hyperlink" Target="https://cache.media.education.gouv.fr/file/2019/51/6/depp-rers-2019_1162516.pdf" TargetMode="External"/><Relationship Id="rId66" Type="http://schemas.openxmlformats.org/officeDocument/2006/relationships/hyperlink" Target="https://www.aqa.ac.nz/" TargetMode="External"/><Relationship Id="rId74" Type="http://schemas.openxmlformats.org/officeDocument/2006/relationships/hyperlink" Target="http://old.moe.gov.cn/publicfiles/business/htmlfiles/moe/moe_621/201001/81942.html" TargetMode="External"/><Relationship Id="rId79" Type="http://schemas.openxmlformats.org/officeDocument/2006/relationships/hyperlink" Target="http://kess.kedi.re.kr/eng/index" TargetMode="External"/><Relationship Id="rId87"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aishe.nic.in/aishe/viewDocument.action?documentId=175" TargetMode="External"/><Relationship Id="rId82" Type="http://schemas.openxmlformats.org/officeDocument/2006/relationships/hyperlink" Target="https://english.uka.se/facts-about-higher-education/higher-education-institutions-heis/universities-and-university-colleges.html" TargetMode="Externa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image" Target="media/image6.jpeg"/><Relationship Id="rId27" Type="http://schemas.openxmlformats.org/officeDocument/2006/relationships/header" Target="header5.xml"/><Relationship Id="rId30" Type="http://schemas.openxmlformats.org/officeDocument/2006/relationships/hyperlink" Target="https://docs.education.gov.au/node/51301" TargetMode="External"/><Relationship Id="rId35" Type="http://schemas.openxmlformats.org/officeDocument/2006/relationships/image" Target="media/image9.jpeg"/><Relationship Id="rId43" Type="http://schemas.openxmlformats.org/officeDocument/2006/relationships/hyperlink" Target="http://www.education.gov.au/review-higher-education-provider-category-standards" TargetMode="External"/><Relationship Id="rId48" Type="http://schemas.openxmlformats.org/officeDocument/2006/relationships/hyperlink" Target="https://www.ontariocolleges.ca/en/apply/program-types" TargetMode="External"/><Relationship Id="rId56" Type="http://schemas.openxmlformats.org/officeDocument/2006/relationships/hyperlink" Target="http://www.enseignementsup-recherche.gouv.fr/pid24598/etablissements.html" TargetMode="External"/><Relationship Id="rId64" Type="http://schemas.openxmlformats.org/officeDocument/2006/relationships/hyperlink" Target="https://www.nvao.net/en/procedures/the-netherlands/recognition-of-new-institution-recognised-private-institutions" TargetMode="External"/><Relationship Id="rId69" Type="http://schemas.openxmlformats.org/officeDocument/2006/relationships/hyperlink" Target="https://www.universitiesnz.ac.nz/about-university-sector" TargetMode="External"/><Relationship Id="rId77" Type="http://schemas.openxmlformats.org/officeDocument/2006/relationships/hyperlink" Target="https://www.moe.gov.sg/education/post-secondary" TargetMode="External"/><Relationship Id="rId8" Type="http://schemas.openxmlformats.org/officeDocument/2006/relationships/webSettings" Target="webSettings.xml"/><Relationship Id="rId51" Type="http://schemas.openxmlformats.org/officeDocument/2006/relationships/hyperlink" Target="https://ufm.dk/en/education/higher-education/the-danish-higher-education-system" TargetMode="External"/><Relationship Id="rId72" Type="http://schemas.openxmlformats.org/officeDocument/2006/relationships/hyperlink" Target="https://www.nokut.no/en/utdanningskvalitet/self-accreditation" TargetMode="External"/><Relationship Id="rId80" Type="http://schemas.openxmlformats.org/officeDocument/2006/relationships/hyperlink" Target="https://www.studera.nu/startpage/higher-education-studies/universities-and-university-colleges/university-och-university-college/" TargetMode="External"/><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yperlink" Target="https://docs.education.gov.au/node/49011" TargetMode="External"/><Relationship Id="rId38" Type="http://schemas.openxmlformats.org/officeDocument/2006/relationships/hyperlink" Target="https://www.legislation.gov.au/Details/F2015L01639" TargetMode="External"/><Relationship Id="rId46" Type="http://schemas.openxmlformats.org/officeDocument/2006/relationships/hyperlink" Target="http://portal.mec.gov.br/instituicoes-credenciadas-sp-1781541355" TargetMode="External"/><Relationship Id="rId59" Type="http://schemas.openxmlformats.org/officeDocument/2006/relationships/hyperlink" Target="https://www.hrk.de/activities/higher-education-system/" TargetMode="External"/><Relationship Id="rId67" Type="http://schemas.openxmlformats.org/officeDocument/2006/relationships/hyperlink" Target="http://www.legislation.govt.nz/act/public/1989/0080/latest/DLM175959.html" TargetMode="External"/><Relationship Id="rId20" Type="http://schemas.openxmlformats.org/officeDocument/2006/relationships/footer" Target="footer2.xml"/><Relationship Id="rId41" Type="http://schemas.openxmlformats.org/officeDocument/2006/relationships/hyperlink" Target="http://www.education.gov.au/review-higher-education-provider-category-standards" TargetMode="External"/><Relationship Id="rId54" Type="http://schemas.openxmlformats.org/officeDocument/2006/relationships/hyperlink" Target="https://www.hceres.fr/fr/enseignement-superieur-recherche-en-france-panorama-et-evolution-externe" TargetMode="External"/><Relationship Id="rId62" Type="http://schemas.openxmlformats.org/officeDocument/2006/relationships/hyperlink" Target="http://www.mext.go.jp/a_menu/01_d.htm" TargetMode="External"/><Relationship Id="rId70" Type="http://schemas.openxmlformats.org/officeDocument/2006/relationships/hyperlink" Target="https://norric.org/nordbalt/norway" TargetMode="External"/><Relationship Id="rId75" Type="http://schemas.openxmlformats.org/officeDocument/2006/relationships/hyperlink" Target="http://www.moe.gov.cn/jyb_xxgk/s5743/s5744/201906/t20190617_386200.html" TargetMode="External"/><Relationship Id="rId83" Type="http://schemas.openxmlformats.org/officeDocument/2006/relationships/hyperlink" Target="http://carnegieclassifications.iu.edu/classification_descriptions/basic.php"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legalcode" TargetMode="External"/><Relationship Id="rId23" Type="http://schemas.openxmlformats.org/officeDocument/2006/relationships/header" Target="header3.xml"/><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hyperlink" Target="http://www.tcu.gov.on.ca/pepg/audiences/pcc/faq_pcc.html" TargetMode="External"/><Relationship Id="rId57" Type="http://schemas.openxmlformats.org/officeDocument/2006/relationships/hyperlink" Target="http://www.enseignementsup-recherche.gouv.fr/pid29434-cid56594/ecoles-francaises-a-l-etranger.html" TargetMode="External"/><Relationship Id="rId10" Type="http://schemas.openxmlformats.org/officeDocument/2006/relationships/endnotes" Target="endnotes.xml"/><Relationship Id="rId31" Type="http://schemas.openxmlformats.org/officeDocument/2006/relationships/hyperlink" Target="https://www.teqsa.gov.au/latest-news/publications/statistics-report-teqsa-registered-higher-education-providers-2018" TargetMode="External"/><Relationship Id="rId44" Type="http://schemas.openxmlformats.org/officeDocument/2006/relationships/hyperlink" Target="http://emec.mec.gov.br/" TargetMode="External"/><Relationship Id="rId52" Type="http://schemas.openxmlformats.org/officeDocument/2006/relationships/hyperlink" Target="https://eacea.ec.europa.eu/national-policies/eurydice/finland/quality-assurance-higher-education_en" TargetMode="External"/><Relationship Id="rId60" Type="http://schemas.openxmlformats.org/officeDocument/2006/relationships/hyperlink" Target="https://mhrd.gov.in/university-and-higher-education" TargetMode="External"/><Relationship Id="rId65" Type="http://schemas.openxmlformats.org/officeDocument/2006/relationships/hyperlink" Target="http://www.aqa.ac.nz/" TargetMode="External"/><Relationship Id="rId73" Type="http://schemas.openxmlformats.org/officeDocument/2006/relationships/hyperlink" Target="https://www.nokut.no/siteassets/om-nokut/universities_and_university_colleges_act.pdf" TargetMode="External"/><Relationship Id="rId78" Type="http://schemas.openxmlformats.org/officeDocument/2006/relationships/hyperlink" Target="https://www.moe.gov.sg/education/private-education" TargetMode="External"/><Relationship Id="rId81" Type="http://schemas.openxmlformats.org/officeDocument/2006/relationships/hyperlink" Target="https://english.uka.se/facts-about-higher-education/higher-education-institutions-heis/independent-higher-education-providers.html" TargetMode="External"/><Relationship Id="rId86"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13" Type="http://schemas.openxmlformats.org/officeDocument/2006/relationships/hyperlink" Target="https://internationaleducation.gov.au/research/DataVisualisations/Pages/Student-number.aspx" TargetMode="External"/><Relationship Id="rId18" Type="http://schemas.openxmlformats.org/officeDocument/2006/relationships/hyperlink" Target="http://www.teqsa.gov.au/national-register" TargetMode="External"/><Relationship Id="rId26" Type="http://schemas.openxmlformats.org/officeDocument/2006/relationships/hyperlink" Target="https://grattan.edu.au/wp-content/uploads/2018/09/907-Mapping-Australian-higher-education-2018.pdf" TargetMode="External"/><Relationship Id="rId39" Type="http://schemas.openxmlformats.org/officeDocument/2006/relationships/hyperlink" Target="https://submissions.education.gov.au/Forms/HEPCS/Documents/Tertiary-Education-Quality-and-Standards-Agency.pdf" TargetMode="External"/><Relationship Id="rId21" Type="http://schemas.openxmlformats.org/officeDocument/2006/relationships/hyperlink" Target="https://www.usc.edu.au/explore/vision/history-and-growth" TargetMode="External"/><Relationship Id="rId34" Type="http://schemas.openxmlformats.org/officeDocument/2006/relationships/hyperlink" Target="https://submissions.education.gov.au/Forms/HEPCS/Documents/Holmesglen-Institute.pdf" TargetMode="External"/><Relationship Id="rId42" Type="http://schemas.openxmlformats.org/officeDocument/2006/relationships/hyperlink" Target="https://submissions.education.gov.au/Forms/HEPCS/Documents/Melbourne-Polytechnic.pdf" TargetMode="External"/><Relationship Id="rId47" Type="http://schemas.openxmlformats.org/officeDocument/2006/relationships/hyperlink" Target="https://docs.education.gov.au/node/33587" TargetMode="External"/><Relationship Id="rId50" Type="http://schemas.openxmlformats.org/officeDocument/2006/relationships/hyperlink" Target="http://hdl.voced.edu.au/10707/44384" TargetMode="External"/><Relationship Id="rId55" Type="http://schemas.openxmlformats.org/officeDocument/2006/relationships/hyperlink" Target="https://www.teqsa.gov.au/latest-news/publications/statistics-report-teqsa-registered-higher-education-providers-2018" TargetMode="External"/><Relationship Id="rId63" Type="http://schemas.openxmlformats.org/officeDocument/2006/relationships/hyperlink" Target="https://grattan.edu.au/wp-content/uploads/2018/09/907-Mapping-Australian-higher-education-2018.pdf" TargetMode="External"/><Relationship Id="rId68" Type="http://schemas.openxmlformats.org/officeDocument/2006/relationships/hyperlink" Target="https://www.abs.gov.au/ausstats/abs@.nsf/Latestproducts/1272.0Contents12001?opendocument&amp;tabname=Summary&amp;prodno=1272.0&amp;issue=2001&amp;num=&amp;view" TargetMode="External"/><Relationship Id="rId76" Type="http://schemas.openxmlformats.org/officeDocument/2006/relationships/hyperlink" Target="https://www.teqsa.gov.au/contextual-overview-hes-framework-2015" TargetMode="External"/><Relationship Id="rId84" Type="http://schemas.openxmlformats.org/officeDocument/2006/relationships/hyperlink" Target="https://www.teqsa.gov.au/applying-self-accreditation" TargetMode="External"/><Relationship Id="rId89" Type="http://schemas.openxmlformats.org/officeDocument/2006/relationships/hyperlink" Target="https://docs.education.gov.au/node/52661" TargetMode="External"/><Relationship Id="rId7" Type="http://schemas.openxmlformats.org/officeDocument/2006/relationships/hyperlink" Target="https://docs.education.gov.au/node/51311" TargetMode="External"/><Relationship Id="rId71" Type="http://schemas.openxmlformats.org/officeDocument/2006/relationships/hyperlink" Target="https://www.teqsa.gov.au/latest-news/publications/guidance-note-scholarship" TargetMode="External"/><Relationship Id="rId2" Type="http://schemas.openxmlformats.org/officeDocument/2006/relationships/hyperlink" Target="https://docs.education.gov.au/documents/review-impact-teqsa-act-final-report" TargetMode="External"/><Relationship Id="rId16" Type="http://schemas.openxmlformats.org/officeDocument/2006/relationships/hyperlink" Target="https://www.asqa.gov.au/about/australias-vet-sector/about-rtos" TargetMode="External"/><Relationship Id="rId29" Type="http://schemas.openxmlformats.org/officeDocument/2006/relationships/hyperlink" Target="https://www.rockefeller.edu/about/awards/" TargetMode="External"/><Relationship Id="rId11" Type="http://schemas.openxmlformats.org/officeDocument/2006/relationships/hyperlink" Target="https://docs.education.gov.au/node/35519" TargetMode="External"/><Relationship Id="rId24" Type="http://schemas.openxmlformats.org/officeDocument/2006/relationships/hyperlink" Target="https://submissions.education.gov.au/Forms/HEPCS/Documents/Independent-Higher-Education-Australia.pdf" TargetMode="External"/><Relationship Id="rId32" Type="http://schemas.openxmlformats.org/officeDocument/2006/relationships/hyperlink" Target="https://www.teqsa.gov.au/latest-news/publications/statistics-report-teqsa-registered-higher-education-providers-2018" TargetMode="External"/><Relationship Id="rId37" Type="http://schemas.openxmlformats.org/officeDocument/2006/relationships/hyperlink" Target="https://submissions.education.gov.au/Forms/HEPCS/Documents/TAFE-Queensland.pdf" TargetMode="External"/><Relationship Id="rId40" Type="http://schemas.openxmlformats.org/officeDocument/2006/relationships/hyperlink" Target="https://submissions.education.gov.au/Forms/HEPCS/Documents/Monash-College.pdf" TargetMode="External"/><Relationship Id="rId45" Type="http://schemas.openxmlformats.org/officeDocument/2006/relationships/hyperlink" Target="https://submissions.education.gov.au/Forms/HEPCS/Documents/Monash-University.pdf" TargetMode="External"/><Relationship Id="rId53" Type="http://schemas.openxmlformats.org/officeDocument/2006/relationships/hyperlink" Target="https://www.abs.gov.au/ausstats/abs@.nsf/mf/6227.0" TargetMode="External"/><Relationship Id="rId58" Type="http://schemas.openxmlformats.org/officeDocument/2006/relationships/hyperlink" Target="https://www.teqsa.gov.au/sites/default/files/key-financial-metrics-dec-2018_0.pdf?v=1544561601" TargetMode="External"/><Relationship Id="rId66" Type="http://schemas.openxmlformats.org/officeDocument/2006/relationships/hyperlink" Target="https://melbourne-cshe.unimelb.edu.au/__data/assets/pdf_file/0009/3078099/FP-LARKINS_University-Performances-ERA-2018-12.pdf" TargetMode="External"/><Relationship Id="rId74" Type="http://schemas.openxmlformats.org/officeDocument/2006/relationships/hyperlink" Target="https://www.teqsa.gov.au/contextual-overview-hes-framework-2015" TargetMode="External"/><Relationship Id="rId79" Type="http://schemas.openxmlformats.org/officeDocument/2006/relationships/hyperlink" Target="https://upp-foundation.org/wp-content/uploads/2019/02/Civic-University-Commission-Final-Report.pdf" TargetMode="External"/><Relationship Id="rId87" Type="http://schemas.openxmlformats.org/officeDocument/2006/relationships/hyperlink" Target="http://www.curtin.edu.au" TargetMode="External"/><Relationship Id="rId5" Type="http://schemas.openxmlformats.org/officeDocument/2006/relationships/hyperlink" Target="http://www.teqsa.gov.au/national-register" TargetMode="External"/><Relationship Id="rId61" Type="http://schemas.openxmlformats.org/officeDocument/2006/relationships/hyperlink" Target="https://www.teqsa.gov.au/sites/default/files/guidance-note-research-and-research-training-v1-3_0.pdf?v=1530748445" TargetMode="External"/><Relationship Id="rId82" Type="http://schemas.openxmlformats.org/officeDocument/2006/relationships/hyperlink" Target="https://submissions.education.gov.au/Forms/HEPCS/Documents/Australian-Catholic-University.pdf" TargetMode="External"/><Relationship Id="rId19" Type="http://schemas.openxmlformats.org/officeDocument/2006/relationships/hyperlink" Target="https://www.une.edu.au/about-une" TargetMode="External"/><Relationship Id="rId4" Type="http://schemas.openxmlformats.org/officeDocument/2006/relationships/hyperlink" Target="https://docs.education.gov.au/system/files/doc/other/report_on_the_independent_review_of_the_hes_framework_-_no_logo.pdf" TargetMode="External"/><Relationship Id="rId9" Type="http://schemas.openxmlformats.org/officeDocument/2006/relationships/hyperlink" Target="https://internationaleducation.gov.au/research/Research-Snapshots/Documents/RS_Job%20supported.pdf" TargetMode="External"/><Relationship Id="rId14" Type="http://schemas.openxmlformats.org/officeDocument/2006/relationships/hyperlink" Target="http://lmip.gov.au/default.aspx?LMIP/EmploymentProjections" TargetMode="External"/><Relationship Id="rId22" Type="http://schemas.openxmlformats.org/officeDocument/2006/relationships/hyperlink" Target="https://www.teqsa.gov.au/latest-news/articles/teqsa-approves-application-australian-university-college" TargetMode="External"/><Relationship Id="rId27" Type="http://schemas.openxmlformats.org/officeDocument/2006/relationships/hyperlink" Target="https://submissions.education.gov.au/Forms/HEPCS/Documents/Edith-Cowan-University.pdf" TargetMode="External"/><Relationship Id="rId30" Type="http://schemas.openxmlformats.org/officeDocument/2006/relationships/hyperlink" Target="https://submissions.education.gov.au/Forms/HEPCS/Documents/University-of-Divinity.pdf" TargetMode="External"/><Relationship Id="rId35" Type="http://schemas.openxmlformats.org/officeDocument/2006/relationships/hyperlink" Target="http://hdl.voced.edu.au/10707/44384" TargetMode="External"/><Relationship Id="rId43" Type="http://schemas.openxmlformats.org/officeDocument/2006/relationships/hyperlink" Target="https://www.teqsa.gov.au/latest-news/publications/statistics-report-teqsa-registered-higher-education-providers-2018" TargetMode="External"/><Relationship Id="rId48" Type="http://schemas.openxmlformats.org/officeDocument/2006/relationships/hyperlink" Target="https://docs.education.gov.au/node/51301" TargetMode="External"/><Relationship Id="rId56" Type="http://schemas.openxmlformats.org/officeDocument/2006/relationships/hyperlink" Target="https://docs.education.gov.au/node/51311" TargetMode="External"/><Relationship Id="rId64" Type="http://schemas.openxmlformats.org/officeDocument/2006/relationships/hyperlink" Target="https://www.abs.gov.au/ausstats/abs@.nsf/mf/8111.0" TargetMode="External"/><Relationship Id="rId69" Type="http://schemas.openxmlformats.org/officeDocument/2006/relationships/hyperlink" Target="https://www.abs.gov.au/ausstats/abs@.nsf/Products/1297.0~2008~Main+Features~Chapter+3,Fields+of+Research?OpenDocument" TargetMode="External"/><Relationship Id="rId77" Type="http://schemas.openxmlformats.org/officeDocument/2006/relationships/hyperlink" Target="https://go.ey.com/2Z4Xxah" TargetMode="External"/><Relationship Id="rId8" Type="http://schemas.openxmlformats.org/officeDocument/2006/relationships/hyperlink" Target="https://www.abs.gov.au/AUSSTATS/abs@.nsf/Lookup/5368.0.55.003Main+Features12017-18?OpenDocument" TargetMode="External"/><Relationship Id="rId51" Type="http://schemas.openxmlformats.org/officeDocument/2006/relationships/hyperlink" Target="http://www.teqsa.gov.au/national-register" TargetMode="External"/><Relationship Id="rId72" Type="http://schemas.openxmlformats.org/officeDocument/2006/relationships/hyperlink" Target="https://www.teqsa.gov.au/latest-news/publications/guidance-note-scholarship" TargetMode="External"/><Relationship Id="rId80" Type="http://schemas.openxmlformats.org/officeDocument/2006/relationships/hyperlink" Target="https://www.une.edu.au/research/research-centres-institutes/smart-farm" TargetMode="External"/><Relationship Id="rId85" Type="http://schemas.openxmlformats.org/officeDocument/2006/relationships/hyperlink" Target="http://www.teqsa.gov.au/national-register" TargetMode="External"/><Relationship Id="rId3" Type="http://schemas.openxmlformats.org/officeDocument/2006/relationships/hyperlink" Target="http://hdl.voced.edu.au/10707/44384" TargetMode="External"/><Relationship Id="rId12" Type="http://schemas.openxmlformats.org/officeDocument/2006/relationships/hyperlink" Target="https://docs.education.gov.au/node/51311" TargetMode="External"/><Relationship Id="rId17" Type="http://schemas.openxmlformats.org/officeDocument/2006/relationships/hyperlink" Target="https://dataverse.ada.edu.au/dataset.xhtml?persistentId=doi:10.4225/87/6BW27V" TargetMode="External"/><Relationship Id="rId25" Type="http://schemas.openxmlformats.org/officeDocument/2006/relationships/hyperlink" Target="https://submissions.education.gov.au/Forms/HEPCS/Documents/Tertiary-Education-Quality-and-Standards-Agency.pdf" TargetMode="External"/><Relationship Id="rId33" Type="http://schemas.openxmlformats.org/officeDocument/2006/relationships/hyperlink" Target="https://www.teqsa.gov.au/sites/default/files/key-financial-metrics-dec-2018_0.pdf?v=1544561601" TargetMode="External"/><Relationship Id="rId38" Type="http://schemas.openxmlformats.org/officeDocument/2006/relationships/hyperlink" Target="https://submissions.education.gov.au/Forms/HEPCS/Documents/Independent-Tertiary-Education-Council-Australia-formerly-Australian-Council-for-Private-Education-and-Training.pdf" TargetMode="External"/><Relationship Id="rId46" Type="http://schemas.openxmlformats.org/officeDocument/2006/relationships/hyperlink" Target="https://joboutlook.gov.au/FutureOfWork" TargetMode="External"/><Relationship Id="rId59" Type="http://schemas.openxmlformats.org/officeDocument/2006/relationships/hyperlink" Target="https://submissions.education.gov.au/Forms/HEPCS/Documents/Edith-Cowan-University.pdf" TargetMode="External"/><Relationship Id="rId67" Type="http://schemas.openxmlformats.org/officeDocument/2006/relationships/hyperlink" Target="https://submissions.education.gov.au/Forms/HEPCS/Documents/The-University-of-Sydney.pdf" TargetMode="External"/><Relationship Id="rId20" Type="http://schemas.openxmlformats.org/officeDocument/2006/relationships/hyperlink" Target="https://www.jcu.edu.au/about-jcu/history" TargetMode="External"/><Relationship Id="rId41" Type="http://schemas.openxmlformats.org/officeDocument/2006/relationships/hyperlink" Target="https://www.teqsa.gov.au/sites/default/files/key-financial-metrics-dec-2018_0.pdf?v=1544561601" TargetMode="External"/><Relationship Id="rId54" Type="http://schemas.openxmlformats.org/officeDocument/2006/relationships/hyperlink" Target="https://www.teqsa.gov.au/guidance-notes" TargetMode="External"/><Relationship Id="rId62" Type="http://schemas.openxmlformats.org/officeDocument/2006/relationships/hyperlink" Target="https://www.universitiesaustralia.edu.au/wp-content/uploads/2019/06/Data-Card-2017-v25.pdf" TargetMode="External"/><Relationship Id="rId70" Type="http://schemas.openxmlformats.org/officeDocument/2006/relationships/hyperlink" Target="http://www.hadinur.com/paper/BoyerScholarshipReconsidered.pdf" TargetMode="External"/><Relationship Id="rId75" Type="http://schemas.openxmlformats.org/officeDocument/2006/relationships/hyperlink" Target="https://www.qilt.edu.au/docs/default-source/ses/ses2018/2018-ses-national-report75e58791b1e86477b58fff00006709da.pdf?sfvrsn=d733e33c_4" TargetMode="External"/><Relationship Id="rId83" Type="http://schemas.openxmlformats.org/officeDocument/2006/relationships/hyperlink" Target="http://www.curriculum.edu.au/verve/_resources/RevisedNationalProtocols20081.pdf" TargetMode="External"/><Relationship Id="rId88" Type="http://schemas.openxmlformats.org/officeDocument/2006/relationships/hyperlink" Target="https://docs.education.gov.au/node/51736" TargetMode="External"/><Relationship Id="rId1" Type="http://schemas.openxmlformats.org/officeDocument/2006/relationships/hyperlink" Target="https://www.teqsa.gov.au/sites/default/files/teqsa-annual-report-2017-2018.pdf?v=1539560088" TargetMode="External"/><Relationship Id="rId6" Type="http://schemas.openxmlformats.org/officeDocument/2006/relationships/hyperlink" Target="https://www.abs.gov.au/ausstats/abs@.nsf/mf/6227.0" TargetMode="External"/><Relationship Id="rId15" Type="http://schemas.openxmlformats.org/officeDocument/2006/relationships/hyperlink" Target="https://www.abs.gov.au/AUSSTATS/abs@.nsf/Lookup/8146.0Main+Features12016-17?OpenDocument" TargetMode="External"/><Relationship Id="rId23" Type="http://schemas.openxmlformats.org/officeDocument/2006/relationships/hyperlink" Target="https://www.legislation.gov.au/Details/F2015L01639/Html/Text" TargetMode="External"/><Relationship Id="rId28" Type="http://schemas.openxmlformats.org/officeDocument/2006/relationships/hyperlink" Target="https://submissions.education.gov.au/Forms/HEPCS/Documents/Batchelor-Institute.pdf" TargetMode="External"/><Relationship Id="rId36" Type="http://schemas.openxmlformats.org/officeDocument/2006/relationships/hyperlink" Target="https://heimshelp.education.gov.au/resources/glossary/National%20Priority%20Areas" TargetMode="External"/><Relationship Id="rId49" Type="http://schemas.openxmlformats.org/officeDocument/2006/relationships/hyperlink" Target="https://www.teqsa.gov.au/latest-news/publications/statistics-report-teqsa-registered-higher-education-providers-2018" TargetMode="External"/><Relationship Id="rId57" Type="http://schemas.openxmlformats.org/officeDocument/2006/relationships/hyperlink" Target="https://docs.education.gov.au/documents/hdr-completions-time-series" TargetMode="External"/><Relationship Id="rId10" Type="http://schemas.openxmlformats.org/officeDocument/2006/relationships/hyperlink" Target="https://docs.education.gov.au/node/51311" TargetMode="External"/><Relationship Id="rId31" Type="http://schemas.openxmlformats.org/officeDocument/2006/relationships/hyperlink" Target="http://www.teqsa.gov.au/national-register" TargetMode="External"/><Relationship Id="rId44" Type="http://schemas.openxmlformats.org/officeDocument/2006/relationships/hyperlink" Target="http://www.teqsa.gov.au/national-register" TargetMode="External"/><Relationship Id="rId52" Type="http://schemas.openxmlformats.org/officeDocument/2006/relationships/hyperlink" Target="https://research.acer.edu.au/cgi/viewcontent.cgi?article=1035&amp;context=higher_education" TargetMode="External"/><Relationship Id="rId60" Type="http://schemas.openxmlformats.org/officeDocument/2006/relationships/hyperlink" Target="https://www.pc.gov.au/inquiries/completed/productivity-review/report" TargetMode="External"/><Relationship Id="rId65" Type="http://schemas.openxmlformats.org/officeDocument/2006/relationships/hyperlink" Target="https://submissions.education.gov.au/Forms/HEPCS/Documents/Tertiary-Education-Quality-and-Standards-Agency.pdf" TargetMode="External"/><Relationship Id="rId73" Type="http://schemas.openxmlformats.org/officeDocument/2006/relationships/hyperlink" Target="https://www.legislation.gov.au/Details/F2015L01639/Html/Text" TargetMode="External"/><Relationship Id="rId78" Type="http://schemas.openxmlformats.org/officeDocument/2006/relationships/hyperlink" Target="https://www.atn.edu.au/siteassets/publications/atninnovateprosper.pdf" TargetMode="External"/><Relationship Id="rId81" Type="http://schemas.openxmlformats.org/officeDocument/2006/relationships/hyperlink" Target="https://multilit.com/about/" TargetMode="External"/><Relationship Id="rId86" Type="http://schemas.openxmlformats.org/officeDocument/2006/relationships/hyperlink" Target="https://www.legislation.gov.au/Details/F2017L011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06BB88-8FA9-4DCE-8A6E-E21FBFD03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3C2DF5D9-CEE1-4752-83D5-2AA8EEFC27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DBB9447-7245-4931-95BC-C761ACB84C07}">
  <ds:schemaRefs>
    <ds:schemaRef ds:uri="http://schemas.microsoft.com/sharepoint/v3/contenttype/forms"/>
  </ds:schemaRefs>
</ds:datastoreItem>
</file>

<file path=customXml/itemProps4.xml><?xml version="1.0" encoding="utf-8"?>
<ds:datastoreItem xmlns:ds="http://schemas.openxmlformats.org/officeDocument/2006/customXml" ds:itemID="{2E6E1E83-7FA6-46F8-8B44-8E82BEE0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D6CCBA43.dotm</Template>
  <TotalTime>0</TotalTime>
  <Pages>106</Pages>
  <Words>43820</Words>
  <Characters>249777</Characters>
  <Application>Microsoft Office Word</Application>
  <DocSecurity>0</DocSecurity>
  <Lines>2081</Lines>
  <Paragraphs>586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293011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WRIGHT,Jessica</dc:creator>
  <cp:keywords/>
  <dc:description/>
  <cp:lastModifiedBy>MANNIE,Ryan</cp:lastModifiedBy>
  <cp:revision>2</cp:revision>
  <cp:lastPrinted>2019-10-11T05:45:00Z</cp:lastPrinted>
  <dcterms:created xsi:type="dcterms:W3CDTF">2019-10-14T22:36:00Z</dcterms:created>
  <dcterms:modified xsi:type="dcterms:W3CDTF">2019-10-14T22:36:00Z</dcterms:modified>
</cp:coreProperties>
</file>