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E656E" w14:textId="77777777" w:rsidR="00DE55FA" w:rsidRDefault="00E1604B" w:rsidP="00384CFD">
      <w:pPr>
        <w:pStyle w:val="NoSpacing"/>
        <w:spacing w:before="0"/>
        <w:ind w:left="-1134"/>
        <w:sectPr w:rsidR="00DE55FA" w:rsidSect="00DE55FA">
          <w:headerReference w:type="default" r:id="rId11"/>
          <w:footerReference w:type="default" r:id="rId12"/>
          <w:footerReference w:type="first" r:id="rId13"/>
          <w:type w:val="continuous"/>
          <w:pgSz w:w="11906" w:h="16838"/>
          <w:pgMar w:top="0" w:right="1134" w:bottom="1134" w:left="1134" w:header="680" w:footer="567" w:gutter="0"/>
          <w:cols w:space="708"/>
          <w:titlePg/>
          <w:docGrid w:linePitch="360"/>
        </w:sectPr>
      </w:pPr>
      <w:bookmarkStart w:id="0" w:name="_GoBack"/>
      <w:bookmarkEnd w:id="0"/>
      <w:r>
        <w:rPr>
          <w:noProof/>
          <w:lang w:eastAsia="en-AU"/>
        </w:rPr>
        <w:drawing>
          <wp:inline distT="0" distB="0" distL="0" distR="0" wp14:anchorId="5A2E65A5" wp14:editId="5A2E65A6">
            <wp:extent cx="7541179" cy="2411353"/>
            <wp:effectExtent l="0" t="0" r="3175" b="8255"/>
            <wp:docPr id="2" name="Picture 2"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41179" cy="2411353"/>
                    </a:xfrm>
                    <a:prstGeom prst="rect">
                      <a:avLst/>
                    </a:prstGeom>
                  </pic:spPr>
                </pic:pic>
              </a:graphicData>
            </a:graphic>
          </wp:inline>
        </w:drawing>
      </w:r>
    </w:p>
    <w:sdt>
      <w:sdtPr>
        <w:rPr>
          <w:rFonts w:cs="Calibri"/>
        </w:rPr>
        <w:alias w:val="Title"/>
        <w:tag w:val=""/>
        <w:id w:val="-19171197"/>
        <w:placeholder>
          <w:docPart w:val="98295DF8831F496DA3DF8BF6B06EFE49"/>
        </w:placeholder>
        <w:dataBinding w:prefixMappings="xmlns:ns0='http://purl.org/dc/elements/1.1/' xmlns:ns1='http://schemas.openxmlformats.org/package/2006/metadata/core-properties' " w:xpath="/ns1:coreProperties[1]/ns0:title[1]" w:storeItemID="{6C3C8BC8-F283-45AE-878A-BAB7291924A1}"/>
        <w:text/>
      </w:sdtPr>
      <w:sdtEndPr/>
      <w:sdtContent>
        <w:p w14:paraId="00CF39A5" w14:textId="3961DC51" w:rsidR="00DD5681" w:rsidRPr="00D27C2D" w:rsidRDefault="00A911DA" w:rsidP="00DD5681">
          <w:pPr>
            <w:pStyle w:val="Title"/>
            <w:ind w:right="-23"/>
          </w:pPr>
          <w:r>
            <w:rPr>
              <w:rFonts w:cs="Calibri"/>
            </w:rPr>
            <w:t>International Education Agen</w:t>
          </w:r>
          <w:r w:rsidR="000F1D93">
            <w:rPr>
              <w:rFonts w:cs="Calibri"/>
            </w:rPr>
            <w:t>ts</w:t>
          </w:r>
        </w:p>
      </w:sdtContent>
    </w:sdt>
    <w:p w14:paraId="3D215998" w14:textId="38FCD977" w:rsidR="00DD5681" w:rsidRDefault="00DD5681" w:rsidP="00DD5681">
      <w:pPr>
        <w:pStyle w:val="Subtitle"/>
      </w:pPr>
      <w:r>
        <w:t>Overview report</w:t>
      </w:r>
    </w:p>
    <w:p w14:paraId="4376E1FA" w14:textId="0008BD4F" w:rsidR="00DD5681" w:rsidRDefault="00DD5681" w:rsidP="00DD5681">
      <w:pPr>
        <w:spacing w:before="0" w:after="0"/>
      </w:pPr>
      <w:r w:rsidRPr="00F8334B">
        <w:t xml:space="preserve">Education agents </w:t>
      </w:r>
      <w:r w:rsidR="00B20124">
        <w:t>play</w:t>
      </w:r>
      <w:r w:rsidRPr="00F8334B">
        <w:t xml:space="preserve"> an important role within </w:t>
      </w:r>
      <w:r w:rsidR="00B20124">
        <w:t>Australia’s</w:t>
      </w:r>
      <w:r w:rsidR="00C26B75">
        <w:t xml:space="preserve"> international education sector and </w:t>
      </w:r>
      <w:r w:rsidR="00697054">
        <w:t>were</w:t>
      </w:r>
      <w:r w:rsidRPr="00F8334B">
        <w:t xml:space="preserve"> involved in approximately 75 per cent of overseas student enrolments in 2018. They are valuable partners for providers offering services to overseas students, and in many cases they are the first point of contact an intending student has with the Australia education system.</w:t>
      </w:r>
    </w:p>
    <w:p w14:paraId="42C811C8" w14:textId="77777777" w:rsidR="00DD5681" w:rsidRDefault="00DD5681" w:rsidP="00DD5681">
      <w:pPr>
        <w:spacing w:before="0" w:after="0"/>
      </w:pPr>
    </w:p>
    <w:p w14:paraId="105EF6F5" w14:textId="62BD914E" w:rsidR="00DD5681" w:rsidRDefault="00DD5681" w:rsidP="00DD5681">
      <w:pPr>
        <w:spacing w:before="0" w:after="0"/>
      </w:pPr>
      <w:r>
        <w:t xml:space="preserve">The </w:t>
      </w:r>
      <w:r w:rsidRPr="00C43898">
        <w:rPr>
          <w:i/>
        </w:rPr>
        <w:t>Education Services for Overseas Students Act 2000</w:t>
      </w:r>
      <w:r>
        <w:t xml:space="preserve"> (ESOS Act) </w:t>
      </w:r>
      <w:r w:rsidR="00B20124">
        <w:t>and the</w:t>
      </w:r>
      <w:r>
        <w:t xml:space="preserve"> </w:t>
      </w:r>
      <w:r w:rsidRPr="00C43898">
        <w:rPr>
          <w:i/>
        </w:rPr>
        <w:t>National Code of Practice for Providers of Education and Training to Overseas Students 2018</w:t>
      </w:r>
      <w:r>
        <w:t xml:space="preserve"> (National Code)</w:t>
      </w:r>
      <w:r w:rsidR="005A2291">
        <w:t xml:space="preserve"> recognise the challenges of regulating</w:t>
      </w:r>
      <w:r w:rsidR="00B20124">
        <w:t xml:space="preserve"> agents, many of whom are offshore</w:t>
      </w:r>
      <w:r w:rsidR="005A2291">
        <w:t>. The ESOS Act and the National Code</w:t>
      </w:r>
      <w:r w:rsidR="00B20124">
        <w:t xml:space="preserve"> </w:t>
      </w:r>
      <w:r>
        <w:t>establish provid</w:t>
      </w:r>
      <w:r w:rsidR="005A2291">
        <w:t xml:space="preserve">ers as responsible for ensuring the </w:t>
      </w:r>
      <w:r>
        <w:t xml:space="preserve">education agents </w:t>
      </w:r>
      <w:r w:rsidR="005A2291">
        <w:t xml:space="preserve">they choose to represent them </w:t>
      </w:r>
      <w:r>
        <w:t>act ethically, honestly and in the bes</w:t>
      </w:r>
      <w:r w:rsidR="00B20124">
        <w:t>t interest of overseas students.</w:t>
      </w:r>
      <w:r>
        <w:t xml:space="preserve"> </w:t>
      </w:r>
    </w:p>
    <w:p w14:paraId="2634CB8E" w14:textId="77777777" w:rsidR="00DD5681" w:rsidRDefault="00DD5681" w:rsidP="00DD5681">
      <w:pPr>
        <w:spacing w:before="0" w:after="0"/>
      </w:pPr>
    </w:p>
    <w:p w14:paraId="5271C30D" w14:textId="681E49D8" w:rsidR="00DD5681" w:rsidRDefault="00B20124" w:rsidP="00DD5681">
      <w:pPr>
        <w:spacing w:before="0" w:after="0"/>
      </w:pPr>
      <w:r>
        <w:t xml:space="preserve">To assist providers to meet these responsibilities, </w:t>
      </w:r>
      <w:r w:rsidR="001306FA">
        <w:t xml:space="preserve">and in the interests of increased transparency in the international education sector, </w:t>
      </w:r>
      <w:r>
        <w:t>t</w:t>
      </w:r>
      <w:r w:rsidR="00DD5681">
        <w:t xml:space="preserve">he Australian Government has committed to publish data on education agents. </w:t>
      </w:r>
      <w:r>
        <w:rPr>
          <w:rFonts w:cstheme="minorHAnsi"/>
        </w:rPr>
        <w:t xml:space="preserve">This report is a part of that commitment, providing </w:t>
      </w:r>
      <w:r w:rsidR="00DD5681" w:rsidRPr="006D55B0">
        <w:rPr>
          <w:rFonts w:cstheme="minorHAnsi"/>
        </w:rPr>
        <w:t>a hig</w:t>
      </w:r>
      <w:r>
        <w:rPr>
          <w:rFonts w:cstheme="minorHAnsi"/>
        </w:rPr>
        <w:t>h-level overview of the sector, giving</w:t>
      </w:r>
      <w:r w:rsidR="00DD5681" w:rsidRPr="006D55B0">
        <w:rPr>
          <w:rFonts w:cstheme="minorHAnsi"/>
        </w:rPr>
        <w:t xml:space="preserve"> education </w:t>
      </w:r>
      <w:r>
        <w:rPr>
          <w:rFonts w:cstheme="minorHAnsi"/>
        </w:rPr>
        <w:t>stakeholders</w:t>
      </w:r>
      <w:r w:rsidR="00DD5681" w:rsidRPr="006D55B0">
        <w:rPr>
          <w:rFonts w:cstheme="minorHAnsi"/>
        </w:rPr>
        <w:t xml:space="preserve"> a</w:t>
      </w:r>
      <w:r w:rsidR="00C26B75">
        <w:rPr>
          <w:rFonts w:cstheme="minorHAnsi"/>
        </w:rPr>
        <w:t>n</w:t>
      </w:r>
      <w:r w:rsidR="00DD5681" w:rsidRPr="006D55B0">
        <w:rPr>
          <w:rFonts w:cstheme="minorHAnsi"/>
        </w:rPr>
        <w:t xml:space="preserve"> insight into the activity of education agen</w:t>
      </w:r>
      <w:r w:rsidR="00DD5681">
        <w:rPr>
          <w:rFonts w:cstheme="minorHAnsi"/>
        </w:rPr>
        <w:t>ts</w:t>
      </w:r>
      <w:r w:rsidR="00DD5681" w:rsidRPr="006D55B0">
        <w:rPr>
          <w:rFonts w:cstheme="minorHAnsi"/>
        </w:rPr>
        <w:t>.</w:t>
      </w:r>
    </w:p>
    <w:p w14:paraId="7154B9F6" w14:textId="77777777" w:rsidR="00DD5681" w:rsidRDefault="00DD5681" w:rsidP="00DD5681">
      <w:pPr>
        <w:spacing w:before="0" w:after="0"/>
      </w:pPr>
    </w:p>
    <w:p w14:paraId="5A6F1651" w14:textId="77777777" w:rsidR="00DD5681" w:rsidRDefault="00DD5681" w:rsidP="00DD5681">
      <w:pPr>
        <w:spacing w:before="0" w:after="0"/>
      </w:pPr>
      <w:r w:rsidRPr="001E297F">
        <w:t>This overview is one component in a broad suite of tools which will support providers to meet their obligations with respect to education agents</w:t>
      </w:r>
      <w:r>
        <w:t>.</w:t>
      </w:r>
      <w:r w:rsidRPr="001E297F">
        <w:t xml:space="preserve"> The Government is working towards full public release of education agent data. Full public release of student outcomes for enrolment and visa outcomes of students recruited by agents will facilitate improved decision-making by providers, agents and students and incentivise providers and agents to work towards better student outcomes.</w:t>
      </w:r>
    </w:p>
    <w:p w14:paraId="72B7F651" w14:textId="77777777" w:rsidR="00DD5681" w:rsidRDefault="00DD5681" w:rsidP="00DD5681">
      <w:pPr>
        <w:spacing w:before="0" w:after="0"/>
      </w:pPr>
    </w:p>
    <w:p w14:paraId="1A5EBC7C" w14:textId="77777777" w:rsidR="00DD5681" w:rsidRDefault="00DD5681" w:rsidP="00DD5681"/>
    <w:p w14:paraId="3F71968C" w14:textId="77777777" w:rsidR="00DD5681" w:rsidRDefault="00DD5681" w:rsidP="00DD5681">
      <w:pPr>
        <w:spacing w:before="0" w:after="200"/>
      </w:pPr>
    </w:p>
    <w:p w14:paraId="1B6EBDC2" w14:textId="77777777" w:rsidR="00DD5681" w:rsidRDefault="00DD5681">
      <w:pPr>
        <w:spacing w:before="0" w:after="200"/>
        <w:rPr>
          <w:b/>
          <w:sz w:val="28"/>
        </w:rPr>
      </w:pPr>
      <w:r>
        <w:rPr>
          <w:b/>
          <w:sz w:val="28"/>
        </w:rPr>
        <w:br w:type="page"/>
      </w:r>
    </w:p>
    <w:p w14:paraId="03A946DD" w14:textId="69090E19" w:rsidR="00DD5681" w:rsidRPr="004A7EAA" w:rsidRDefault="00DD5681" w:rsidP="00DD5681">
      <w:pPr>
        <w:spacing w:before="0" w:after="200"/>
        <w:rPr>
          <w:b/>
          <w:sz w:val="28"/>
        </w:rPr>
      </w:pPr>
      <w:r>
        <w:rPr>
          <w:b/>
          <w:sz w:val="28"/>
        </w:rPr>
        <w:lastRenderedPageBreak/>
        <w:t>Education a</w:t>
      </w:r>
      <w:r w:rsidRPr="004A7EAA">
        <w:rPr>
          <w:b/>
          <w:sz w:val="28"/>
        </w:rPr>
        <w:t xml:space="preserve">gent </w:t>
      </w:r>
      <w:r>
        <w:rPr>
          <w:b/>
          <w:sz w:val="28"/>
        </w:rPr>
        <w:t>i</w:t>
      </w:r>
      <w:r w:rsidRPr="004A7EAA">
        <w:rPr>
          <w:b/>
          <w:sz w:val="28"/>
        </w:rPr>
        <w:t>nvolvement</w:t>
      </w:r>
      <w:r>
        <w:rPr>
          <w:b/>
          <w:sz w:val="28"/>
        </w:rPr>
        <w:t xml:space="preserve"> in enrolments</w:t>
      </w:r>
    </w:p>
    <w:p w14:paraId="5AEC47B1" w14:textId="1CB3CC31" w:rsidR="00DD5681" w:rsidRPr="00CE2A90" w:rsidRDefault="00800C6F" w:rsidP="00CE2A90">
      <w:r>
        <w:t>In 2018, there were 6,878</w:t>
      </w:r>
      <w:r w:rsidR="00DD5681">
        <w:t xml:space="preserve"> </w:t>
      </w:r>
      <w:r w:rsidR="00111395">
        <w:t xml:space="preserve">active </w:t>
      </w:r>
      <w:r w:rsidR="00DD5681">
        <w:t>agencies and 19,413 agents involved in enrolments for overseas students at Australian educat</w:t>
      </w:r>
      <w:r w:rsidR="002E1ABC">
        <w:t xml:space="preserve">ion providers. </w:t>
      </w:r>
      <w:r w:rsidR="00111395">
        <w:t>Education agencies are the business entities and education agents are the individual counsellors</w:t>
      </w:r>
      <w:r w:rsidR="00A47BDC">
        <w:t xml:space="preserve"> assisting overseas students</w:t>
      </w:r>
      <w:r w:rsidR="00111395">
        <w:t xml:space="preserve">. </w:t>
      </w:r>
      <w:r w:rsidR="00613CD1">
        <w:t xml:space="preserve">The percentage of enrolments facilitated by an education agent varies by sector, as shown in Figure 1. As might be expected, prospective students looking to study </w:t>
      </w:r>
      <w:r w:rsidR="00613CD1" w:rsidRPr="00873A30">
        <w:t xml:space="preserve">English Language Intensive Courses for Overseas Students </w:t>
      </w:r>
      <w:r w:rsidR="00613CD1">
        <w:t xml:space="preserve">(ELICOS) are the most reliant on education agents. </w:t>
      </w:r>
      <w:r w:rsidR="002E1ABC">
        <w:t>There has been a gradual</w:t>
      </w:r>
      <w:r w:rsidR="00DD5681">
        <w:t xml:space="preserve"> increase in education agent involvement in enrolments over the last five years across the Higher Education, VET, Schools, and ELICOS sectors.</w:t>
      </w:r>
      <w:r w:rsidR="00A47BDC">
        <w:t xml:space="preserve"> </w:t>
      </w:r>
    </w:p>
    <w:p w14:paraId="3587310F" w14:textId="163ED0F6" w:rsidR="00DD5681" w:rsidRDefault="00CE2A90" w:rsidP="00DD5681">
      <w:r>
        <w:rPr>
          <w:noProof/>
          <w:lang w:eastAsia="en-AU"/>
        </w:rPr>
        <w:drawing>
          <wp:inline distT="0" distB="0" distL="0" distR="0" wp14:anchorId="02E33D8B" wp14:editId="130DB5D1">
            <wp:extent cx="6120130" cy="2425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2425065"/>
                    </a:xfrm>
                    <a:prstGeom prst="rect">
                      <a:avLst/>
                    </a:prstGeom>
                  </pic:spPr>
                </pic:pic>
              </a:graphicData>
            </a:graphic>
          </wp:inline>
        </w:drawing>
      </w:r>
    </w:p>
    <w:p w14:paraId="1E71EB89" w14:textId="201E3CCE" w:rsidR="00DD5681" w:rsidRPr="00A447DB" w:rsidRDefault="00DD5681" w:rsidP="00DD5681">
      <w:r>
        <w:t>The percentage of enrolments that are facilitated by agents also varie</w:t>
      </w:r>
      <w:r w:rsidR="00FC6FA9">
        <w:t xml:space="preserve">s across the top student nationalities </w:t>
      </w:r>
      <w:r>
        <w:t xml:space="preserve">for Australia as detailed </w:t>
      </w:r>
      <w:r w:rsidR="00FC6FA9">
        <w:t>in Table 1</w:t>
      </w:r>
      <w:r>
        <w:t xml:space="preserve">. </w:t>
      </w:r>
      <w:r w:rsidR="002E1ABC">
        <w:t xml:space="preserve">Notably, emerging partner countries such as </w:t>
      </w:r>
      <w:r w:rsidR="004C72C8">
        <w:t xml:space="preserve">Nepal, </w:t>
      </w:r>
      <w:r w:rsidR="002E1ABC">
        <w:t>Brazil and Colombia have a larger proportion of enrolments</w:t>
      </w:r>
      <w:r w:rsidR="004C72C8">
        <w:t xml:space="preserve"> facilitated by agents, compared to more established partner countries such as China, India and Malaysia.</w:t>
      </w:r>
    </w:p>
    <w:p w14:paraId="6B158121" w14:textId="5EBB25CE" w:rsidR="005B0BC3" w:rsidRDefault="005B0BC3" w:rsidP="005B0BC3">
      <w:pPr>
        <w:pStyle w:val="Caption"/>
        <w:keepNext/>
      </w:pPr>
      <w:r>
        <w:t xml:space="preserve">Table </w:t>
      </w:r>
      <w:r>
        <w:rPr>
          <w:noProof/>
        </w:rPr>
        <w:fldChar w:fldCharType="begin"/>
      </w:r>
      <w:r>
        <w:rPr>
          <w:noProof/>
        </w:rPr>
        <w:instrText xml:space="preserve"> SEQ Table \* ARABIC </w:instrText>
      </w:r>
      <w:r>
        <w:rPr>
          <w:noProof/>
        </w:rPr>
        <w:fldChar w:fldCharType="separate"/>
      </w:r>
      <w:r w:rsidR="005B7BDC">
        <w:rPr>
          <w:noProof/>
        </w:rPr>
        <w:t>1</w:t>
      </w:r>
      <w:r>
        <w:rPr>
          <w:noProof/>
        </w:rPr>
        <w:fldChar w:fldCharType="end"/>
      </w:r>
      <w:r>
        <w:t xml:space="preserve"> </w:t>
      </w:r>
      <w:r w:rsidR="00D732F9">
        <w:t xml:space="preserve">: </w:t>
      </w:r>
      <w:r w:rsidR="00DB7941">
        <w:t>Agency</w:t>
      </w:r>
      <w:r w:rsidR="00D732F9">
        <w:t xml:space="preserve"> Numbers and Percentage of Enrolments Facilitated by Agents</w:t>
      </w:r>
      <w:r w:rsidR="002655C1">
        <w:t xml:space="preserve"> in 2018</w:t>
      </w:r>
    </w:p>
    <w:tbl>
      <w:tblPr>
        <w:tblStyle w:val="EducationTable"/>
        <w:tblW w:w="7244" w:type="dxa"/>
        <w:tblLayout w:type="fixed"/>
        <w:tblLook w:val="0020" w:firstRow="1" w:lastRow="0" w:firstColumn="0" w:lastColumn="0" w:noHBand="0" w:noVBand="0"/>
      </w:tblPr>
      <w:tblGrid>
        <w:gridCol w:w="2359"/>
        <w:gridCol w:w="2491"/>
        <w:gridCol w:w="2394"/>
      </w:tblGrid>
      <w:tr w:rsidR="000E34E8" w14:paraId="7FF557A5" w14:textId="5B3C22F5" w:rsidTr="000E34E8">
        <w:trPr>
          <w:cnfStyle w:val="100000000000" w:firstRow="1" w:lastRow="0" w:firstColumn="0" w:lastColumn="0" w:oddVBand="0" w:evenVBand="0" w:oddHBand="0" w:evenHBand="0" w:firstRowFirstColumn="0" w:firstRowLastColumn="0" w:lastRowFirstColumn="0" w:lastRowLastColumn="0"/>
          <w:trHeight w:val="60"/>
          <w:tblHeader/>
        </w:trPr>
        <w:tc>
          <w:tcPr>
            <w:tcW w:w="2359" w:type="dxa"/>
            <w:vAlign w:val="bottom"/>
          </w:tcPr>
          <w:p w14:paraId="3307CC45" w14:textId="5BEB2E90" w:rsidR="000E34E8" w:rsidRPr="00410C58" w:rsidRDefault="000E34E8" w:rsidP="00F46B5A">
            <w:r>
              <w:rPr>
                <w:rFonts w:ascii="Calibri" w:hAnsi="Calibri" w:cs="Calibri"/>
              </w:rPr>
              <w:t>Student Nationality</w:t>
            </w:r>
          </w:p>
        </w:tc>
        <w:tc>
          <w:tcPr>
            <w:tcW w:w="2491" w:type="dxa"/>
          </w:tcPr>
          <w:p w14:paraId="4D344184" w14:textId="25276230" w:rsidR="000E34E8" w:rsidRDefault="000E34E8" w:rsidP="00F46B5A">
            <w:r w:rsidRPr="005B667B">
              <w:t>%</w:t>
            </w:r>
            <w:r>
              <w:t xml:space="preserve"> Enrolments Facilitated b</w:t>
            </w:r>
            <w:r w:rsidRPr="005B667B">
              <w:t xml:space="preserve">y </w:t>
            </w:r>
            <w:r w:rsidR="00111395">
              <w:t xml:space="preserve">Education </w:t>
            </w:r>
            <w:r w:rsidRPr="005B667B">
              <w:t>Agents</w:t>
            </w:r>
          </w:p>
        </w:tc>
        <w:tc>
          <w:tcPr>
            <w:tcW w:w="2394" w:type="dxa"/>
          </w:tcPr>
          <w:p w14:paraId="68C2459C" w14:textId="74510D7D" w:rsidR="000E34E8" w:rsidRDefault="000E34E8" w:rsidP="00F46B5A">
            <w:r>
              <w:t>Number o</w:t>
            </w:r>
            <w:r w:rsidRPr="005B667B">
              <w:t>f Agencies</w:t>
            </w:r>
          </w:p>
        </w:tc>
      </w:tr>
      <w:tr w:rsidR="000E34E8" w14:paraId="74A10A6D" w14:textId="3D4F4D19" w:rsidTr="000E34E8">
        <w:trPr>
          <w:trHeight w:val="60"/>
        </w:trPr>
        <w:tc>
          <w:tcPr>
            <w:tcW w:w="2359" w:type="dxa"/>
            <w:vAlign w:val="bottom"/>
          </w:tcPr>
          <w:p w14:paraId="02305D51" w14:textId="25A1A8AF" w:rsidR="000E34E8" w:rsidRPr="00410C58" w:rsidRDefault="000E34E8" w:rsidP="00F46B5A">
            <w:r w:rsidRPr="00410C58">
              <w:rPr>
                <w:rFonts w:ascii="Calibri" w:hAnsi="Calibri" w:cs="Calibri"/>
                <w:color w:val="000000"/>
              </w:rPr>
              <w:t>China</w:t>
            </w:r>
          </w:p>
        </w:tc>
        <w:tc>
          <w:tcPr>
            <w:tcW w:w="2491" w:type="dxa"/>
          </w:tcPr>
          <w:p w14:paraId="14789005" w14:textId="38E41441" w:rsidR="000E34E8" w:rsidRDefault="000E34E8" w:rsidP="001A761D">
            <w:pPr>
              <w:jc w:val="center"/>
            </w:pPr>
            <w:r w:rsidRPr="005B667B">
              <w:t>73%</w:t>
            </w:r>
          </w:p>
        </w:tc>
        <w:tc>
          <w:tcPr>
            <w:tcW w:w="2394" w:type="dxa"/>
          </w:tcPr>
          <w:p w14:paraId="7039CE02" w14:textId="44757B41" w:rsidR="000E34E8" w:rsidRDefault="000E34E8" w:rsidP="001A761D">
            <w:pPr>
              <w:jc w:val="center"/>
            </w:pPr>
            <w:r w:rsidRPr="005B667B">
              <w:t>1892</w:t>
            </w:r>
          </w:p>
        </w:tc>
      </w:tr>
      <w:tr w:rsidR="000E34E8" w14:paraId="4882E53B" w14:textId="07BBC9BB" w:rsidTr="000E34E8">
        <w:trPr>
          <w:trHeight w:val="60"/>
        </w:trPr>
        <w:tc>
          <w:tcPr>
            <w:tcW w:w="2359" w:type="dxa"/>
            <w:vAlign w:val="bottom"/>
          </w:tcPr>
          <w:p w14:paraId="6119E06C" w14:textId="7F2D04AC" w:rsidR="000E34E8" w:rsidRPr="00410C58" w:rsidRDefault="000E34E8" w:rsidP="00F46B5A">
            <w:r w:rsidRPr="00410C58">
              <w:rPr>
                <w:rFonts w:ascii="Calibri" w:hAnsi="Calibri" w:cs="Calibri"/>
                <w:color w:val="000000"/>
              </w:rPr>
              <w:t>India</w:t>
            </w:r>
          </w:p>
        </w:tc>
        <w:tc>
          <w:tcPr>
            <w:tcW w:w="2491" w:type="dxa"/>
          </w:tcPr>
          <w:p w14:paraId="38C36D92" w14:textId="0F75EE8C" w:rsidR="000E34E8" w:rsidRDefault="000E34E8" w:rsidP="001A761D">
            <w:pPr>
              <w:jc w:val="center"/>
            </w:pPr>
            <w:r w:rsidRPr="005B667B">
              <w:t>72%</w:t>
            </w:r>
          </w:p>
        </w:tc>
        <w:tc>
          <w:tcPr>
            <w:tcW w:w="2394" w:type="dxa"/>
          </w:tcPr>
          <w:p w14:paraId="3C4F47D1" w14:textId="3C5DEA14" w:rsidR="000E34E8" w:rsidRDefault="000E34E8" w:rsidP="001A761D">
            <w:pPr>
              <w:jc w:val="center"/>
            </w:pPr>
            <w:r w:rsidRPr="005B667B">
              <w:t>1427</w:t>
            </w:r>
          </w:p>
        </w:tc>
      </w:tr>
      <w:tr w:rsidR="000E34E8" w14:paraId="1003C45F" w14:textId="31813053" w:rsidTr="000E34E8">
        <w:trPr>
          <w:trHeight w:val="60"/>
        </w:trPr>
        <w:tc>
          <w:tcPr>
            <w:tcW w:w="2359" w:type="dxa"/>
            <w:vAlign w:val="bottom"/>
          </w:tcPr>
          <w:p w14:paraId="60A0ED23" w14:textId="4AD6704E" w:rsidR="000E34E8" w:rsidRPr="00410C58" w:rsidRDefault="000E34E8" w:rsidP="00F46B5A">
            <w:r w:rsidRPr="00410C58">
              <w:rPr>
                <w:rFonts w:ascii="Calibri" w:hAnsi="Calibri" w:cs="Calibri"/>
                <w:color w:val="000000"/>
              </w:rPr>
              <w:t>Nepal</w:t>
            </w:r>
          </w:p>
        </w:tc>
        <w:tc>
          <w:tcPr>
            <w:tcW w:w="2491" w:type="dxa"/>
          </w:tcPr>
          <w:p w14:paraId="18B6365A" w14:textId="1B454F75" w:rsidR="000E34E8" w:rsidRDefault="000E34E8" w:rsidP="001A761D">
            <w:pPr>
              <w:jc w:val="center"/>
            </w:pPr>
            <w:r w:rsidRPr="005B667B">
              <w:t>84%</w:t>
            </w:r>
          </w:p>
        </w:tc>
        <w:tc>
          <w:tcPr>
            <w:tcW w:w="2394" w:type="dxa"/>
          </w:tcPr>
          <w:p w14:paraId="214FDDFC" w14:textId="7A544655" w:rsidR="000E34E8" w:rsidRDefault="000E34E8" w:rsidP="001A761D">
            <w:pPr>
              <w:jc w:val="center"/>
            </w:pPr>
            <w:r w:rsidRPr="005B667B">
              <w:t>977</w:t>
            </w:r>
          </w:p>
        </w:tc>
      </w:tr>
      <w:tr w:rsidR="000E34E8" w14:paraId="49DA28DE" w14:textId="43987120" w:rsidTr="000E34E8">
        <w:trPr>
          <w:trHeight w:val="60"/>
        </w:trPr>
        <w:tc>
          <w:tcPr>
            <w:tcW w:w="2359" w:type="dxa"/>
            <w:vAlign w:val="bottom"/>
          </w:tcPr>
          <w:p w14:paraId="7B913059" w14:textId="393A3106" w:rsidR="000E34E8" w:rsidRPr="00410C58" w:rsidRDefault="000E34E8" w:rsidP="00F46B5A">
            <w:r w:rsidRPr="00410C58">
              <w:rPr>
                <w:rFonts w:ascii="Calibri" w:hAnsi="Calibri" w:cs="Calibri"/>
                <w:color w:val="000000"/>
              </w:rPr>
              <w:t>Brazil</w:t>
            </w:r>
          </w:p>
        </w:tc>
        <w:tc>
          <w:tcPr>
            <w:tcW w:w="2491" w:type="dxa"/>
          </w:tcPr>
          <w:p w14:paraId="0BF8BD3F" w14:textId="4139EE6E" w:rsidR="000E34E8" w:rsidRDefault="000E34E8" w:rsidP="001A761D">
            <w:pPr>
              <w:jc w:val="center"/>
            </w:pPr>
            <w:r w:rsidRPr="005B667B">
              <w:t>92%</w:t>
            </w:r>
          </w:p>
        </w:tc>
        <w:tc>
          <w:tcPr>
            <w:tcW w:w="2394" w:type="dxa"/>
          </w:tcPr>
          <w:p w14:paraId="6080D78D" w14:textId="5D809F2F" w:rsidR="000E34E8" w:rsidRDefault="000E34E8" w:rsidP="001A761D">
            <w:pPr>
              <w:jc w:val="center"/>
            </w:pPr>
            <w:r w:rsidRPr="005B667B">
              <w:t>479</w:t>
            </w:r>
          </w:p>
        </w:tc>
      </w:tr>
      <w:tr w:rsidR="000E34E8" w14:paraId="1F799E9A" w14:textId="7D0666AF" w:rsidTr="000E34E8">
        <w:trPr>
          <w:trHeight w:val="60"/>
        </w:trPr>
        <w:tc>
          <w:tcPr>
            <w:tcW w:w="2359" w:type="dxa"/>
            <w:vAlign w:val="bottom"/>
          </w:tcPr>
          <w:p w14:paraId="6AC9D7E4" w14:textId="087777E5" w:rsidR="000E34E8" w:rsidRPr="00410C58" w:rsidRDefault="000E34E8" w:rsidP="00F46B5A">
            <w:pPr>
              <w:rPr>
                <w:rFonts w:ascii="Calibri" w:hAnsi="Calibri" w:cs="Calibri"/>
                <w:color w:val="000000"/>
              </w:rPr>
            </w:pPr>
            <w:r w:rsidRPr="00410C58">
              <w:rPr>
                <w:rFonts w:ascii="Calibri" w:hAnsi="Calibri" w:cs="Calibri"/>
                <w:color w:val="000000"/>
              </w:rPr>
              <w:t>Colombia</w:t>
            </w:r>
          </w:p>
        </w:tc>
        <w:tc>
          <w:tcPr>
            <w:tcW w:w="2491" w:type="dxa"/>
          </w:tcPr>
          <w:p w14:paraId="5C6C3339" w14:textId="2A67C36A" w:rsidR="000E34E8" w:rsidRDefault="000E34E8" w:rsidP="001A761D">
            <w:pPr>
              <w:jc w:val="center"/>
            </w:pPr>
            <w:r w:rsidRPr="005B667B">
              <w:t>89%</w:t>
            </w:r>
          </w:p>
        </w:tc>
        <w:tc>
          <w:tcPr>
            <w:tcW w:w="2394" w:type="dxa"/>
          </w:tcPr>
          <w:p w14:paraId="3DF5F30A" w14:textId="69C07E37" w:rsidR="000E34E8" w:rsidRDefault="000E34E8" w:rsidP="001A761D">
            <w:pPr>
              <w:jc w:val="center"/>
            </w:pPr>
            <w:r w:rsidRPr="005B667B">
              <w:t>423</w:t>
            </w:r>
          </w:p>
        </w:tc>
      </w:tr>
      <w:tr w:rsidR="000E34E8" w14:paraId="407CC565" w14:textId="45576FF1" w:rsidTr="000E34E8">
        <w:trPr>
          <w:trHeight w:val="60"/>
        </w:trPr>
        <w:tc>
          <w:tcPr>
            <w:tcW w:w="2359" w:type="dxa"/>
            <w:vAlign w:val="bottom"/>
          </w:tcPr>
          <w:p w14:paraId="3FD93B70" w14:textId="6A3F2EF5" w:rsidR="000E34E8" w:rsidRPr="00410C58" w:rsidRDefault="000E34E8" w:rsidP="00F46B5A">
            <w:pPr>
              <w:rPr>
                <w:rFonts w:ascii="Calibri" w:hAnsi="Calibri" w:cs="Calibri"/>
                <w:color w:val="000000"/>
              </w:rPr>
            </w:pPr>
            <w:r w:rsidRPr="00410C58">
              <w:rPr>
                <w:rFonts w:ascii="Calibri" w:hAnsi="Calibri" w:cs="Calibri"/>
                <w:color w:val="000000"/>
              </w:rPr>
              <w:t>Vietnam</w:t>
            </w:r>
          </w:p>
        </w:tc>
        <w:tc>
          <w:tcPr>
            <w:tcW w:w="2491" w:type="dxa"/>
          </w:tcPr>
          <w:p w14:paraId="0BCA0218" w14:textId="18B6F37A" w:rsidR="000E34E8" w:rsidRDefault="000E34E8" w:rsidP="001A761D">
            <w:pPr>
              <w:jc w:val="center"/>
            </w:pPr>
            <w:r w:rsidRPr="005B667B">
              <w:t>77%</w:t>
            </w:r>
          </w:p>
        </w:tc>
        <w:tc>
          <w:tcPr>
            <w:tcW w:w="2394" w:type="dxa"/>
          </w:tcPr>
          <w:p w14:paraId="5FBF145B" w14:textId="3DA74D96" w:rsidR="000E34E8" w:rsidRDefault="000E34E8" w:rsidP="001A761D">
            <w:pPr>
              <w:jc w:val="center"/>
            </w:pPr>
            <w:r w:rsidRPr="005B667B">
              <w:t>595</w:t>
            </w:r>
          </w:p>
        </w:tc>
      </w:tr>
      <w:tr w:rsidR="000E34E8" w14:paraId="086E11C6" w14:textId="125C16A8" w:rsidTr="000E34E8">
        <w:trPr>
          <w:trHeight w:val="60"/>
        </w:trPr>
        <w:tc>
          <w:tcPr>
            <w:tcW w:w="2359" w:type="dxa"/>
            <w:vAlign w:val="bottom"/>
          </w:tcPr>
          <w:p w14:paraId="475E655C" w14:textId="14F951A3" w:rsidR="000E34E8" w:rsidRPr="00410C58" w:rsidRDefault="000E34E8" w:rsidP="00F46B5A">
            <w:pPr>
              <w:rPr>
                <w:rFonts w:ascii="Calibri" w:hAnsi="Calibri" w:cs="Calibri"/>
                <w:color w:val="000000"/>
              </w:rPr>
            </w:pPr>
            <w:r w:rsidRPr="00410C58">
              <w:rPr>
                <w:rFonts w:ascii="Calibri" w:hAnsi="Calibri" w:cs="Calibri"/>
                <w:color w:val="000000"/>
              </w:rPr>
              <w:t>Korea, Republic of (South)</w:t>
            </w:r>
          </w:p>
        </w:tc>
        <w:tc>
          <w:tcPr>
            <w:tcW w:w="2491" w:type="dxa"/>
          </w:tcPr>
          <w:p w14:paraId="0B63444E" w14:textId="56584B28" w:rsidR="000E34E8" w:rsidRDefault="000E34E8" w:rsidP="001A761D">
            <w:pPr>
              <w:jc w:val="center"/>
            </w:pPr>
            <w:r w:rsidRPr="005B667B">
              <w:t>85%</w:t>
            </w:r>
          </w:p>
        </w:tc>
        <w:tc>
          <w:tcPr>
            <w:tcW w:w="2394" w:type="dxa"/>
          </w:tcPr>
          <w:p w14:paraId="7A401B8E" w14:textId="14482B4E" w:rsidR="000E34E8" w:rsidRDefault="000E34E8" w:rsidP="001A761D">
            <w:pPr>
              <w:jc w:val="center"/>
            </w:pPr>
            <w:r w:rsidRPr="005B667B">
              <w:t>497</w:t>
            </w:r>
          </w:p>
        </w:tc>
      </w:tr>
      <w:tr w:rsidR="000E34E8" w14:paraId="66361A35" w14:textId="674C374B" w:rsidTr="000E34E8">
        <w:trPr>
          <w:trHeight w:val="60"/>
        </w:trPr>
        <w:tc>
          <w:tcPr>
            <w:tcW w:w="2359" w:type="dxa"/>
            <w:tcBorders>
              <w:bottom w:val="single" w:sz="4" w:space="0" w:color="auto"/>
            </w:tcBorders>
            <w:vAlign w:val="bottom"/>
          </w:tcPr>
          <w:p w14:paraId="75E5EAB9" w14:textId="3BBD8B85" w:rsidR="000E34E8" w:rsidRPr="00410C58" w:rsidRDefault="000E34E8" w:rsidP="00F46B5A">
            <w:pPr>
              <w:rPr>
                <w:rFonts w:ascii="Calibri" w:hAnsi="Calibri" w:cs="Calibri"/>
                <w:color w:val="000000"/>
              </w:rPr>
            </w:pPr>
            <w:r w:rsidRPr="00410C58">
              <w:rPr>
                <w:rFonts w:ascii="Calibri" w:hAnsi="Calibri" w:cs="Calibri"/>
                <w:color w:val="000000"/>
              </w:rPr>
              <w:t>Malaysia</w:t>
            </w:r>
          </w:p>
        </w:tc>
        <w:tc>
          <w:tcPr>
            <w:tcW w:w="2491" w:type="dxa"/>
            <w:tcBorders>
              <w:bottom w:val="single" w:sz="4" w:space="0" w:color="auto"/>
            </w:tcBorders>
          </w:tcPr>
          <w:p w14:paraId="106AC048" w14:textId="2FB206C9" w:rsidR="000E34E8" w:rsidRDefault="000E34E8" w:rsidP="001A761D">
            <w:pPr>
              <w:jc w:val="center"/>
            </w:pPr>
            <w:r w:rsidRPr="005B667B">
              <w:t>71%</w:t>
            </w:r>
          </w:p>
        </w:tc>
        <w:tc>
          <w:tcPr>
            <w:tcW w:w="2394" w:type="dxa"/>
            <w:tcBorders>
              <w:bottom w:val="single" w:sz="4" w:space="0" w:color="auto"/>
            </w:tcBorders>
          </w:tcPr>
          <w:p w14:paraId="6A5F5468" w14:textId="5BBB1061" w:rsidR="000E34E8" w:rsidRDefault="000E34E8" w:rsidP="001A761D">
            <w:pPr>
              <w:jc w:val="center"/>
            </w:pPr>
            <w:r w:rsidRPr="005B667B">
              <w:t>722</w:t>
            </w:r>
          </w:p>
        </w:tc>
      </w:tr>
      <w:tr w:rsidR="000E34E8" w14:paraId="746854E1" w14:textId="57F7485A" w:rsidTr="000E34E8">
        <w:trPr>
          <w:trHeight w:val="60"/>
        </w:trPr>
        <w:tc>
          <w:tcPr>
            <w:tcW w:w="2359" w:type="dxa"/>
            <w:tcBorders>
              <w:top w:val="single" w:sz="4" w:space="0" w:color="auto"/>
              <w:bottom w:val="single" w:sz="4" w:space="0" w:color="auto"/>
            </w:tcBorders>
            <w:vAlign w:val="bottom"/>
          </w:tcPr>
          <w:p w14:paraId="45163865" w14:textId="40F06670" w:rsidR="000E34E8" w:rsidRPr="00410C58" w:rsidRDefault="000E34E8" w:rsidP="00F46B5A">
            <w:pPr>
              <w:rPr>
                <w:rFonts w:ascii="Calibri" w:hAnsi="Calibri" w:cs="Calibri"/>
                <w:color w:val="000000"/>
              </w:rPr>
            </w:pPr>
            <w:r>
              <w:rPr>
                <w:rFonts w:ascii="Calibri" w:hAnsi="Calibri" w:cs="Calibri"/>
                <w:color w:val="000000"/>
              </w:rPr>
              <w:t>All countries</w:t>
            </w:r>
          </w:p>
        </w:tc>
        <w:tc>
          <w:tcPr>
            <w:tcW w:w="2491" w:type="dxa"/>
            <w:tcBorders>
              <w:top w:val="single" w:sz="4" w:space="0" w:color="auto"/>
              <w:bottom w:val="single" w:sz="4" w:space="0" w:color="auto"/>
            </w:tcBorders>
          </w:tcPr>
          <w:p w14:paraId="007E41E1" w14:textId="35CE45A4" w:rsidR="000E34E8" w:rsidRDefault="000E34E8" w:rsidP="001A761D">
            <w:pPr>
              <w:jc w:val="center"/>
            </w:pPr>
            <w:r>
              <w:t>75%</w:t>
            </w:r>
          </w:p>
        </w:tc>
        <w:tc>
          <w:tcPr>
            <w:tcW w:w="2394" w:type="dxa"/>
            <w:tcBorders>
              <w:top w:val="single" w:sz="4" w:space="0" w:color="auto"/>
              <w:bottom w:val="single" w:sz="4" w:space="0" w:color="auto"/>
            </w:tcBorders>
          </w:tcPr>
          <w:p w14:paraId="06B1F749" w14:textId="261A627E" w:rsidR="000E34E8" w:rsidRDefault="00613CD1" w:rsidP="001A761D">
            <w:pPr>
              <w:jc w:val="center"/>
            </w:pPr>
            <w:r>
              <w:t>6878</w:t>
            </w:r>
          </w:p>
        </w:tc>
      </w:tr>
    </w:tbl>
    <w:p w14:paraId="202B8A22" w14:textId="41A7F184" w:rsidR="002655C1" w:rsidRDefault="002655C1">
      <w:pPr>
        <w:spacing w:before="0" w:after="200"/>
      </w:pPr>
      <w:r>
        <w:br w:type="page"/>
      </w:r>
    </w:p>
    <w:p w14:paraId="62E91DDB" w14:textId="0F411788" w:rsidR="002655C1" w:rsidRDefault="002655C1" w:rsidP="005B0BC3">
      <w:r>
        <w:lastRenderedPageBreak/>
        <w:t>The number of enrolments and the provider agency contacts shown in Table 2 further describes the different relationship between providers and agencies for top student nationalities.</w:t>
      </w:r>
      <w:r w:rsidR="000B68EE">
        <w:t xml:space="preserve"> There is less variation in the number of </w:t>
      </w:r>
      <w:r w:rsidR="004D121E">
        <w:t xml:space="preserve">education </w:t>
      </w:r>
      <w:r w:rsidR="000B68EE">
        <w:t>providers each agency works with on average, compared to the number of agencies each provider works with for different student nationalities.</w:t>
      </w:r>
      <w:r w:rsidR="001657A8">
        <w:t xml:space="preserve"> This is likely due to the relative size of each market and whether these markets are emerging or established. </w:t>
      </w:r>
    </w:p>
    <w:p w14:paraId="79EF4CCC" w14:textId="37A6861F" w:rsidR="00410C58" w:rsidRDefault="00410C58" w:rsidP="00410C58">
      <w:pPr>
        <w:pStyle w:val="Caption"/>
        <w:keepNext/>
      </w:pPr>
      <w:r>
        <w:t xml:space="preserve">Table </w:t>
      </w:r>
      <w:r>
        <w:rPr>
          <w:noProof/>
        </w:rPr>
        <w:t>2</w:t>
      </w:r>
      <w:r w:rsidR="00FC6FA9">
        <w:rPr>
          <w:noProof/>
        </w:rPr>
        <w:t xml:space="preserve">: </w:t>
      </w:r>
      <w:r w:rsidR="00FC6FA9">
        <w:t xml:space="preserve">Agency and Provider relationships </w:t>
      </w:r>
      <w:r w:rsidR="002655C1">
        <w:t>in 2018</w:t>
      </w:r>
    </w:p>
    <w:tbl>
      <w:tblPr>
        <w:tblStyle w:val="EducationTable"/>
        <w:tblW w:w="0" w:type="auto"/>
        <w:tblLayout w:type="fixed"/>
        <w:tblLook w:val="0020" w:firstRow="1" w:lastRow="0" w:firstColumn="0" w:lastColumn="0" w:noHBand="0" w:noVBand="0"/>
      </w:tblPr>
      <w:tblGrid>
        <w:gridCol w:w="2304"/>
        <w:gridCol w:w="2216"/>
        <w:gridCol w:w="2559"/>
        <w:gridCol w:w="2559"/>
      </w:tblGrid>
      <w:tr w:rsidR="000E34E8" w14:paraId="3358680F" w14:textId="386E1CAD" w:rsidTr="00A26D16">
        <w:trPr>
          <w:cnfStyle w:val="100000000000" w:firstRow="1" w:lastRow="0" w:firstColumn="0" w:lastColumn="0" w:oddVBand="0" w:evenVBand="0" w:oddHBand="0" w:evenHBand="0" w:firstRowFirstColumn="0" w:firstRowLastColumn="0" w:lastRowFirstColumn="0" w:lastRowLastColumn="0"/>
          <w:trHeight w:val="60"/>
          <w:tblHeader/>
        </w:trPr>
        <w:tc>
          <w:tcPr>
            <w:tcW w:w="2304" w:type="dxa"/>
            <w:vAlign w:val="bottom"/>
          </w:tcPr>
          <w:p w14:paraId="6C622C83" w14:textId="5C9294D3" w:rsidR="000E34E8" w:rsidRPr="00410C58" w:rsidRDefault="000E34E8" w:rsidP="000E34E8">
            <w:r>
              <w:rPr>
                <w:rFonts w:ascii="Calibri" w:hAnsi="Calibri" w:cs="Calibri"/>
              </w:rPr>
              <w:t>Student Nationality</w:t>
            </w:r>
          </w:p>
        </w:tc>
        <w:tc>
          <w:tcPr>
            <w:tcW w:w="2216" w:type="dxa"/>
          </w:tcPr>
          <w:p w14:paraId="0D5287EB" w14:textId="0DFE29EF" w:rsidR="000E34E8" w:rsidRDefault="00613CD1" w:rsidP="000E34E8">
            <w:r>
              <w:t>Average Number of Agencies per</w:t>
            </w:r>
            <w:r w:rsidR="000E34E8" w:rsidRPr="003A3376">
              <w:t xml:space="preserve"> Provider</w:t>
            </w:r>
          </w:p>
        </w:tc>
        <w:tc>
          <w:tcPr>
            <w:tcW w:w="2559" w:type="dxa"/>
          </w:tcPr>
          <w:p w14:paraId="067562F7" w14:textId="45C50AED" w:rsidR="000E34E8" w:rsidRPr="005B667B" w:rsidRDefault="00613CD1" w:rsidP="000E34E8">
            <w:r>
              <w:t>Average Number of Providers per</w:t>
            </w:r>
            <w:r w:rsidR="000E34E8" w:rsidRPr="003A3376">
              <w:t xml:space="preserve"> Agency</w:t>
            </w:r>
          </w:p>
        </w:tc>
        <w:tc>
          <w:tcPr>
            <w:tcW w:w="2559" w:type="dxa"/>
          </w:tcPr>
          <w:p w14:paraId="734EED70" w14:textId="38ADB82C" w:rsidR="000E34E8" w:rsidRPr="003A3376" w:rsidRDefault="000E34E8" w:rsidP="000E34E8">
            <w:r>
              <w:t>Average Number of Enrolments per</w:t>
            </w:r>
            <w:r w:rsidRPr="003A3376">
              <w:t xml:space="preserve"> Agency</w:t>
            </w:r>
          </w:p>
        </w:tc>
      </w:tr>
      <w:tr w:rsidR="000E34E8" w14:paraId="3C4B76E0" w14:textId="35F7E4AA" w:rsidTr="00A26D16">
        <w:trPr>
          <w:trHeight w:val="60"/>
        </w:trPr>
        <w:tc>
          <w:tcPr>
            <w:tcW w:w="2304" w:type="dxa"/>
            <w:vAlign w:val="bottom"/>
          </w:tcPr>
          <w:p w14:paraId="619CD73F" w14:textId="77777777" w:rsidR="000E34E8" w:rsidRPr="00410C58" w:rsidRDefault="000E34E8" w:rsidP="000E34E8">
            <w:r w:rsidRPr="00410C58">
              <w:rPr>
                <w:rFonts w:ascii="Calibri" w:hAnsi="Calibri" w:cs="Calibri"/>
                <w:color w:val="000000"/>
              </w:rPr>
              <w:t>China</w:t>
            </w:r>
          </w:p>
        </w:tc>
        <w:tc>
          <w:tcPr>
            <w:tcW w:w="2216" w:type="dxa"/>
          </w:tcPr>
          <w:p w14:paraId="58FA76E2" w14:textId="6A38D4D0" w:rsidR="000E34E8" w:rsidRDefault="000E34E8" w:rsidP="001A761D">
            <w:pPr>
              <w:jc w:val="center"/>
            </w:pPr>
            <w:r w:rsidRPr="003A3376">
              <w:t>16</w:t>
            </w:r>
          </w:p>
        </w:tc>
        <w:tc>
          <w:tcPr>
            <w:tcW w:w="2559" w:type="dxa"/>
          </w:tcPr>
          <w:p w14:paraId="35F7B9C1" w14:textId="214926C7" w:rsidR="000E34E8" w:rsidRPr="005B667B" w:rsidRDefault="000E34E8" w:rsidP="001A761D">
            <w:pPr>
              <w:jc w:val="center"/>
            </w:pPr>
            <w:r w:rsidRPr="003A3376">
              <w:t>5</w:t>
            </w:r>
          </w:p>
        </w:tc>
        <w:tc>
          <w:tcPr>
            <w:tcW w:w="2559" w:type="dxa"/>
          </w:tcPr>
          <w:p w14:paraId="020C14B8" w14:textId="7B7F3C8F" w:rsidR="000E34E8" w:rsidRPr="003A3376" w:rsidRDefault="000E34E8" w:rsidP="001A761D">
            <w:pPr>
              <w:jc w:val="center"/>
            </w:pPr>
            <w:r w:rsidRPr="003A3376">
              <w:t>84</w:t>
            </w:r>
          </w:p>
        </w:tc>
      </w:tr>
      <w:tr w:rsidR="000E34E8" w14:paraId="7A1FFADA" w14:textId="24838AD9" w:rsidTr="00A26D16">
        <w:trPr>
          <w:trHeight w:val="60"/>
        </w:trPr>
        <w:tc>
          <w:tcPr>
            <w:tcW w:w="2304" w:type="dxa"/>
            <w:vAlign w:val="bottom"/>
          </w:tcPr>
          <w:p w14:paraId="361C46AB" w14:textId="77777777" w:rsidR="000E34E8" w:rsidRPr="00410C58" w:rsidRDefault="000E34E8" w:rsidP="000E34E8">
            <w:r w:rsidRPr="00410C58">
              <w:rPr>
                <w:rFonts w:ascii="Calibri" w:hAnsi="Calibri" w:cs="Calibri"/>
                <w:color w:val="000000"/>
              </w:rPr>
              <w:t>India</w:t>
            </w:r>
          </w:p>
        </w:tc>
        <w:tc>
          <w:tcPr>
            <w:tcW w:w="2216" w:type="dxa"/>
          </w:tcPr>
          <w:p w14:paraId="75CFD90C" w14:textId="5E67356F" w:rsidR="000E34E8" w:rsidRDefault="000E34E8" w:rsidP="001A761D">
            <w:pPr>
              <w:jc w:val="center"/>
            </w:pPr>
            <w:r w:rsidRPr="003A3376">
              <w:t>15</w:t>
            </w:r>
          </w:p>
        </w:tc>
        <w:tc>
          <w:tcPr>
            <w:tcW w:w="2559" w:type="dxa"/>
          </w:tcPr>
          <w:p w14:paraId="77916A39" w14:textId="3879C0B0" w:rsidR="000E34E8" w:rsidRPr="005B667B" w:rsidRDefault="000E34E8" w:rsidP="001A761D">
            <w:pPr>
              <w:jc w:val="center"/>
            </w:pPr>
            <w:r w:rsidRPr="003A3376">
              <w:t>5</w:t>
            </w:r>
          </w:p>
        </w:tc>
        <w:tc>
          <w:tcPr>
            <w:tcW w:w="2559" w:type="dxa"/>
          </w:tcPr>
          <w:p w14:paraId="65725C8E" w14:textId="5B432C37" w:rsidR="000E34E8" w:rsidRPr="003A3376" w:rsidRDefault="000E34E8" w:rsidP="001A761D">
            <w:pPr>
              <w:jc w:val="center"/>
            </w:pPr>
            <w:r w:rsidRPr="003A3376">
              <w:t>61</w:t>
            </w:r>
          </w:p>
        </w:tc>
      </w:tr>
      <w:tr w:rsidR="000E34E8" w14:paraId="5A72DBAE" w14:textId="6F55AD7E" w:rsidTr="00A26D16">
        <w:trPr>
          <w:trHeight w:val="60"/>
        </w:trPr>
        <w:tc>
          <w:tcPr>
            <w:tcW w:w="2304" w:type="dxa"/>
            <w:vAlign w:val="bottom"/>
          </w:tcPr>
          <w:p w14:paraId="37E77AED" w14:textId="77777777" w:rsidR="000E34E8" w:rsidRPr="00410C58" w:rsidRDefault="000E34E8" w:rsidP="000E34E8">
            <w:r w:rsidRPr="00410C58">
              <w:rPr>
                <w:rFonts w:ascii="Calibri" w:hAnsi="Calibri" w:cs="Calibri"/>
                <w:color w:val="000000"/>
              </w:rPr>
              <w:t>Nepal</w:t>
            </w:r>
          </w:p>
        </w:tc>
        <w:tc>
          <w:tcPr>
            <w:tcW w:w="2216" w:type="dxa"/>
          </w:tcPr>
          <w:p w14:paraId="4663A825" w14:textId="189B2E55" w:rsidR="000E34E8" w:rsidRDefault="000E34E8" w:rsidP="001A761D">
            <w:pPr>
              <w:jc w:val="center"/>
            </w:pPr>
            <w:r w:rsidRPr="003A3376">
              <w:t>13</w:t>
            </w:r>
          </w:p>
        </w:tc>
        <w:tc>
          <w:tcPr>
            <w:tcW w:w="2559" w:type="dxa"/>
          </w:tcPr>
          <w:p w14:paraId="74AE3241" w14:textId="144D357E" w:rsidR="000E34E8" w:rsidRPr="005B667B" w:rsidRDefault="000E34E8" w:rsidP="001A761D">
            <w:pPr>
              <w:jc w:val="center"/>
            </w:pPr>
            <w:r w:rsidRPr="003A3376">
              <w:t>5</w:t>
            </w:r>
          </w:p>
        </w:tc>
        <w:tc>
          <w:tcPr>
            <w:tcW w:w="2559" w:type="dxa"/>
          </w:tcPr>
          <w:p w14:paraId="44EDA8EB" w14:textId="3B0413F8" w:rsidR="000E34E8" w:rsidRPr="003A3376" w:rsidRDefault="000E34E8" w:rsidP="001A761D">
            <w:pPr>
              <w:jc w:val="center"/>
            </w:pPr>
            <w:r w:rsidRPr="003A3376">
              <w:t>53</w:t>
            </w:r>
          </w:p>
        </w:tc>
      </w:tr>
      <w:tr w:rsidR="000E34E8" w14:paraId="351076E6" w14:textId="6C7619CF" w:rsidTr="00A26D16">
        <w:trPr>
          <w:trHeight w:val="60"/>
        </w:trPr>
        <w:tc>
          <w:tcPr>
            <w:tcW w:w="2304" w:type="dxa"/>
            <w:vAlign w:val="bottom"/>
          </w:tcPr>
          <w:p w14:paraId="03629647" w14:textId="77777777" w:rsidR="000E34E8" w:rsidRPr="00410C58" w:rsidRDefault="000E34E8" w:rsidP="000E34E8">
            <w:r w:rsidRPr="00410C58">
              <w:rPr>
                <w:rFonts w:ascii="Calibri" w:hAnsi="Calibri" w:cs="Calibri"/>
                <w:color w:val="000000"/>
              </w:rPr>
              <w:t>Brazil</w:t>
            </w:r>
          </w:p>
        </w:tc>
        <w:tc>
          <w:tcPr>
            <w:tcW w:w="2216" w:type="dxa"/>
          </w:tcPr>
          <w:p w14:paraId="782BE321" w14:textId="798C0C65" w:rsidR="000E34E8" w:rsidRDefault="000E34E8" w:rsidP="001A761D">
            <w:pPr>
              <w:jc w:val="center"/>
            </w:pPr>
            <w:r w:rsidRPr="003A3376">
              <w:t>9</w:t>
            </w:r>
          </w:p>
        </w:tc>
        <w:tc>
          <w:tcPr>
            <w:tcW w:w="2559" w:type="dxa"/>
          </w:tcPr>
          <w:p w14:paraId="562F45A3" w14:textId="0CC48065" w:rsidR="000E34E8" w:rsidRPr="005B667B" w:rsidRDefault="000E34E8" w:rsidP="001A761D">
            <w:pPr>
              <w:jc w:val="center"/>
            </w:pPr>
            <w:r w:rsidRPr="003A3376">
              <w:t>7</w:t>
            </w:r>
          </w:p>
        </w:tc>
        <w:tc>
          <w:tcPr>
            <w:tcW w:w="2559" w:type="dxa"/>
          </w:tcPr>
          <w:p w14:paraId="09C8FD42" w14:textId="267EF0B4" w:rsidR="000E34E8" w:rsidRPr="003A3376" w:rsidRDefault="000E34E8" w:rsidP="001A761D">
            <w:pPr>
              <w:jc w:val="center"/>
            </w:pPr>
            <w:r w:rsidRPr="003A3376">
              <w:t>77</w:t>
            </w:r>
          </w:p>
        </w:tc>
      </w:tr>
      <w:tr w:rsidR="000E34E8" w14:paraId="46DB9FED" w14:textId="7EA8858B" w:rsidTr="00A26D16">
        <w:trPr>
          <w:trHeight w:val="60"/>
        </w:trPr>
        <w:tc>
          <w:tcPr>
            <w:tcW w:w="2304" w:type="dxa"/>
            <w:vAlign w:val="bottom"/>
          </w:tcPr>
          <w:p w14:paraId="53AE2354" w14:textId="77777777" w:rsidR="000E34E8" w:rsidRPr="00410C58" w:rsidRDefault="000E34E8" w:rsidP="000E34E8">
            <w:pPr>
              <w:rPr>
                <w:rFonts w:ascii="Calibri" w:hAnsi="Calibri" w:cs="Calibri"/>
                <w:color w:val="000000"/>
              </w:rPr>
            </w:pPr>
            <w:r w:rsidRPr="00410C58">
              <w:rPr>
                <w:rFonts w:ascii="Calibri" w:hAnsi="Calibri" w:cs="Calibri"/>
                <w:color w:val="000000"/>
              </w:rPr>
              <w:t>Colombia</w:t>
            </w:r>
          </w:p>
        </w:tc>
        <w:tc>
          <w:tcPr>
            <w:tcW w:w="2216" w:type="dxa"/>
          </w:tcPr>
          <w:p w14:paraId="5A8E3C2F" w14:textId="6ACB2E3C" w:rsidR="000E34E8" w:rsidRDefault="000E34E8" w:rsidP="001A761D">
            <w:pPr>
              <w:jc w:val="center"/>
            </w:pPr>
            <w:r w:rsidRPr="003A3376">
              <w:t>9</w:t>
            </w:r>
          </w:p>
        </w:tc>
        <w:tc>
          <w:tcPr>
            <w:tcW w:w="2559" w:type="dxa"/>
          </w:tcPr>
          <w:p w14:paraId="0E4B6A94" w14:textId="0FB9AC82" w:rsidR="000E34E8" w:rsidRPr="005B667B" w:rsidRDefault="000E34E8" w:rsidP="001A761D">
            <w:pPr>
              <w:jc w:val="center"/>
            </w:pPr>
            <w:r w:rsidRPr="003A3376">
              <w:t>8</w:t>
            </w:r>
          </w:p>
        </w:tc>
        <w:tc>
          <w:tcPr>
            <w:tcW w:w="2559" w:type="dxa"/>
          </w:tcPr>
          <w:p w14:paraId="22182B05" w14:textId="6EE4FA89" w:rsidR="000E34E8" w:rsidRPr="003A3376" w:rsidRDefault="000E34E8" w:rsidP="001A761D">
            <w:pPr>
              <w:jc w:val="center"/>
            </w:pPr>
            <w:r w:rsidRPr="003A3376">
              <w:t>62</w:t>
            </w:r>
          </w:p>
        </w:tc>
      </w:tr>
      <w:tr w:rsidR="000E34E8" w14:paraId="22815AF2" w14:textId="14372CAB" w:rsidTr="00A26D16">
        <w:trPr>
          <w:trHeight w:val="60"/>
        </w:trPr>
        <w:tc>
          <w:tcPr>
            <w:tcW w:w="2304" w:type="dxa"/>
            <w:vAlign w:val="bottom"/>
          </w:tcPr>
          <w:p w14:paraId="729330BE" w14:textId="77777777" w:rsidR="000E34E8" w:rsidRPr="00410C58" w:rsidRDefault="000E34E8" w:rsidP="000E34E8">
            <w:pPr>
              <w:rPr>
                <w:rFonts w:ascii="Calibri" w:hAnsi="Calibri" w:cs="Calibri"/>
                <w:color w:val="000000"/>
              </w:rPr>
            </w:pPr>
            <w:r w:rsidRPr="00410C58">
              <w:rPr>
                <w:rFonts w:ascii="Calibri" w:hAnsi="Calibri" w:cs="Calibri"/>
                <w:color w:val="000000"/>
              </w:rPr>
              <w:t>Vietnam</w:t>
            </w:r>
          </w:p>
        </w:tc>
        <w:tc>
          <w:tcPr>
            <w:tcW w:w="2216" w:type="dxa"/>
          </w:tcPr>
          <w:p w14:paraId="13C1ED93" w14:textId="1AD47201" w:rsidR="000E34E8" w:rsidRDefault="000E34E8" w:rsidP="001A761D">
            <w:pPr>
              <w:jc w:val="center"/>
            </w:pPr>
            <w:r w:rsidRPr="003A3376">
              <w:t>7</w:t>
            </w:r>
          </w:p>
        </w:tc>
        <w:tc>
          <w:tcPr>
            <w:tcW w:w="2559" w:type="dxa"/>
          </w:tcPr>
          <w:p w14:paraId="201059AA" w14:textId="63265931" w:rsidR="000E34E8" w:rsidRPr="005B667B" w:rsidRDefault="000E34E8" w:rsidP="001A761D">
            <w:pPr>
              <w:jc w:val="center"/>
            </w:pPr>
            <w:r w:rsidRPr="003A3376">
              <w:t>4</w:t>
            </w:r>
          </w:p>
        </w:tc>
        <w:tc>
          <w:tcPr>
            <w:tcW w:w="2559" w:type="dxa"/>
          </w:tcPr>
          <w:p w14:paraId="23B96B66" w14:textId="616C4F1B" w:rsidR="000E34E8" w:rsidRPr="003A3376" w:rsidRDefault="000E34E8" w:rsidP="001A761D">
            <w:pPr>
              <w:jc w:val="center"/>
            </w:pPr>
            <w:r w:rsidRPr="003A3376">
              <w:t>33</w:t>
            </w:r>
          </w:p>
        </w:tc>
      </w:tr>
      <w:tr w:rsidR="000E34E8" w14:paraId="357DBADA" w14:textId="1B59E247" w:rsidTr="00A26D16">
        <w:trPr>
          <w:trHeight w:val="60"/>
        </w:trPr>
        <w:tc>
          <w:tcPr>
            <w:tcW w:w="2304" w:type="dxa"/>
            <w:vAlign w:val="bottom"/>
          </w:tcPr>
          <w:p w14:paraId="578AAF62" w14:textId="77777777" w:rsidR="000E34E8" w:rsidRPr="00410C58" w:rsidRDefault="000E34E8" w:rsidP="000E34E8">
            <w:pPr>
              <w:rPr>
                <w:rFonts w:ascii="Calibri" w:hAnsi="Calibri" w:cs="Calibri"/>
                <w:color w:val="000000"/>
              </w:rPr>
            </w:pPr>
            <w:r w:rsidRPr="00410C58">
              <w:rPr>
                <w:rFonts w:ascii="Calibri" w:hAnsi="Calibri" w:cs="Calibri"/>
                <w:color w:val="000000"/>
              </w:rPr>
              <w:t>Korea, Republic of (South)</w:t>
            </w:r>
          </w:p>
        </w:tc>
        <w:tc>
          <w:tcPr>
            <w:tcW w:w="2216" w:type="dxa"/>
          </w:tcPr>
          <w:p w14:paraId="7E7728A7" w14:textId="674CF663" w:rsidR="000E34E8" w:rsidRDefault="000E34E8" w:rsidP="001A761D">
            <w:pPr>
              <w:jc w:val="center"/>
            </w:pPr>
            <w:r w:rsidRPr="003A3376">
              <w:t>6</w:t>
            </w:r>
          </w:p>
        </w:tc>
        <w:tc>
          <w:tcPr>
            <w:tcW w:w="2559" w:type="dxa"/>
          </w:tcPr>
          <w:p w14:paraId="4A3DF1AC" w14:textId="0E952363" w:rsidR="000E34E8" w:rsidRPr="005B667B" w:rsidRDefault="000E34E8" w:rsidP="001A761D">
            <w:pPr>
              <w:jc w:val="center"/>
            </w:pPr>
            <w:r w:rsidRPr="003A3376">
              <w:t>6</w:t>
            </w:r>
          </w:p>
        </w:tc>
        <w:tc>
          <w:tcPr>
            <w:tcW w:w="2559" w:type="dxa"/>
          </w:tcPr>
          <w:p w14:paraId="624A7670" w14:textId="1323AA09" w:rsidR="000E34E8" w:rsidRPr="003A3376" w:rsidRDefault="000E34E8" w:rsidP="001A761D">
            <w:pPr>
              <w:jc w:val="center"/>
            </w:pPr>
            <w:r w:rsidRPr="003A3376">
              <w:t>45</w:t>
            </w:r>
          </w:p>
        </w:tc>
      </w:tr>
      <w:tr w:rsidR="000E34E8" w14:paraId="041CCFD5" w14:textId="5DAE8CD0" w:rsidTr="00A26D16">
        <w:trPr>
          <w:trHeight w:val="60"/>
        </w:trPr>
        <w:tc>
          <w:tcPr>
            <w:tcW w:w="2304" w:type="dxa"/>
            <w:tcBorders>
              <w:bottom w:val="single" w:sz="4" w:space="0" w:color="auto"/>
            </w:tcBorders>
            <w:vAlign w:val="bottom"/>
          </w:tcPr>
          <w:p w14:paraId="337602BB" w14:textId="77777777" w:rsidR="000E34E8" w:rsidRPr="00410C58" w:rsidRDefault="000E34E8" w:rsidP="000E34E8">
            <w:pPr>
              <w:rPr>
                <w:rFonts w:ascii="Calibri" w:hAnsi="Calibri" w:cs="Calibri"/>
                <w:color w:val="000000"/>
              </w:rPr>
            </w:pPr>
            <w:r w:rsidRPr="00410C58">
              <w:rPr>
                <w:rFonts w:ascii="Calibri" w:hAnsi="Calibri" w:cs="Calibri"/>
                <w:color w:val="000000"/>
              </w:rPr>
              <w:t>Malaysia</w:t>
            </w:r>
          </w:p>
        </w:tc>
        <w:tc>
          <w:tcPr>
            <w:tcW w:w="2216" w:type="dxa"/>
            <w:tcBorders>
              <w:bottom w:val="single" w:sz="4" w:space="0" w:color="auto"/>
            </w:tcBorders>
          </w:tcPr>
          <w:p w14:paraId="515388FD" w14:textId="6644C025" w:rsidR="000E34E8" w:rsidRDefault="000E34E8" w:rsidP="001A761D">
            <w:pPr>
              <w:jc w:val="center"/>
            </w:pPr>
            <w:r w:rsidRPr="003A3376">
              <w:t>6</w:t>
            </w:r>
          </w:p>
        </w:tc>
        <w:tc>
          <w:tcPr>
            <w:tcW w:w="2559" w:type="dxa"/>
            <w:tcBorders>
              <w:bottom w:val="single" w:sz="4" w:space="0" w:color="auto"/>
            </w:tcBorders>
          </w:tcPr>
          <w:p w14:paraId="09B84C16" w14:textId="768C49C4" w:rsidR="000E34E8" w:rsidRPr="005B667B" w:rsidRDefault="000E34E8" w:rsidP="001A761D">
            <w:pPr>
              <w:jc w:val="center"/>
            </w:pPr>
            <w:r w:rsidRPr="003A3376">
              <w:t>3</w:t>
            </w:r>
          </w:p>
        </w:tc>
        <w:tc>
          <w:tcPr>
            <w:tcW w:w="2559" w:type="dxa"/>
            <w:tcBorders>
              <w:bottom w:val="single" w:sz="4" w:space="0" w:color="auto"/>
            </w:tcBorders>
          </w:tcPr>
          <w:p w14:paraId="0C5CF782" w14:textId="5A3ECBF9" w:rsidR="000E34E8" w:rsidRPr="003A3376" w:rsidRDefault="000E34E8" w:rsidP="001A761D">
            <w:pPr>
              <w:jc w:val="center"/>
            </w:pPr>
            <w:r w:rsidRPr="003A3376">
              <w:t>25</w:t>
            </w:r>
          </w:p>
        </w:tc>
      </w:tr>
    </w:tbl>
    <w:p w14:paraId="704481E9" w14:textId="77777777" w:rsidR="00F1449A" w:rsidRDefault="00F1449A" w:rsidP="00DD5681">
      <w:pPr>
        <w:spacing w:before="0" w:after="200"/>
        <w:rPr>
          <w:b/>
          <w:sz w:val="28"/>
        </w:rPr>
      </w:pPr>
    </w:p>
    <w:p w14:paraId="48171C07" w14:textId="21C20BBD" w:rsidR="005679F2" w:rsidRPr="00170F77" w:rsidRDefault="00DD5681" w:rsidP="00170F77">
      <w:pPr>
        <w:spacing w:before="0" w:after="0"/>
        <w:rPr>
          <w:rFonts w:cstheme="minorHAnsi"/>
        </w:rPr>
      </w:pPr>
      <w:r w:rsidRPr="004A7EAA">
        <w:rPr>
          <w:b/>
          <w:sz w:val="28"/>
        </w:rPr>
        <w:t xml:space="preserve">Agency </w:t>
      </w:r>
      <w:r w:rsidR="002D7B93" w:rsidRPr="00170F77">
        <w:rPr>
          <w:rFonts w:cstheme="minorHAnsi"/>
          <w:b/>
          <w:sz w:val="28"/>
        </w:rPr>
        <w:t>characteristics</w:t>
      </w:r>
    </w:p>
    <w:p w14:paraId="085011DE" w14:textId="236885D3" w:rsidR="005679F2" w:rsidRPr="00170F77" w:rsidRDefault="005679F2" w:rsidP="00170F77">
      <w:pPr>
        <w:spacing w:before="0" w:after="0"/>
        <w:rPr>
          <w:rFonts w:cstheme="minorHAnsi"/>
        </w:rPr>
      </w:pPr>
      <w:r w:rsidRPr="00170F77">
        <w:rPr>
          <w:rFonts w:cstheme="minorHAnsi"/>
        </w:rPr>
        <w:t>There has been an increase in the number of education agencies working with Aust</w:t>
      </w:r>
      <w:r w:rsidR="00715FBD" w:rsidRPr="00170F77">
        <w:rPr>
          <w:rFonts w:cstheme="minorHAnsi"/>
        </w:rPr>
        <w:t>ralian</w:t>
      </w:r>
      <w:r w:rsidRPr="00170F77">
        <w:rPr>
          <w:rFonts w:cstheme="minorHAnsi"/>
        </w:rPr>
        <w:t xml:space="preserve"> providers in the last five years. While in part this reflects better data </w:t>
      </w:r>
      <w:r w:rsidR="00DA157B" w:rsidRPr="00170F77">
        <w:rPr>
          <w:rFonts w:cstheme="minorHAnsi"/>
        </w:rPr>
        <w:t>capture</w:t>
      </w:r>
      <w:r w:rsidR="006F4196" w:rsidRPr="00170F77">
        <w:rPr>
          <w:rFonts w:cstheme="minorHAnsi"/>
        </w:rPr>
        <w:t>,</w:t>
      </w:r>
      <w:r w:rsidRPr="00170F77">
        <w:rPr>
          <w:rFonts w:cstheme="minorHAnsi"/>
        </w:rPr>
        <w:t xml:space="preserve"> it also reflects growth in </w:t>
      </w:r>
      <w:r w:rsidR="00B04542" w:rsidRPr="00170F77">
        <w:rPr>
          <w:rFonts w:cstheme="minorHAnsi"/>
        </w:rPr>
        <w:t>student enrolments. Since 2</w:t>
      </w:r>
      <w:r w:rsidR="006F4196" w:rsidRPr="00170F77">
        <w:rPr>
          <w:rFonts w:cstheme="minorHAnsi"/>
        </w:rPr>
        <w:t xml:space="preserve">014 to </w:t>
      </w:r>
      <w:r w:rsidR="00ED0D3C" w:rsidRPr="00170F77">
        <w:rPr>
          <w:rFonts w:cstheme="minorHAnsi"/>
        </w:rPr>
        <w:t>2018, enrolments have grown by 35</w:t>
      </w:r>
      <w:r w:rsidR="00B04542" w:rsidRPr="00170F77">
        <w:rPr>
          <w:rFonts w:cstheme="minorHAnsi"/>
        </w:rPr>
        <w:t>%, faster than the</w:t>
      </w:r>
      <w:r w:rsidR="006F4196" w:rsidRPr="00170F77">
        <w:rPr>
          <w:rFonts w:cstheme="minorHAnsi"/>
        </w:rPr>
        <w:t xml:space="preserve"> 27%</w:t>
      </w:r>
      <w:r w:rsidR="00B04542" w:rsidRPr="00170F77">
        <w:rPr>
          <w:rFonts w:cstheme="minorHAnsi"/>
        </w:rPr>
        <w:t xml:space="preserve"> growth in </w:t>
      </w:r>
      <w:r w:rsidR="006F4196" w:rsidRPr="00170F77">
        <w:rPr>
          <w:rFonts w:cstheme="minorHAnsi"/>
        </w:rPr>
        <w:t xml:space="preserve">the number of </w:t>
      </w:r>
      <w:r w:rsidR="00B04542" w:rsidRPr="00170F77">
        <w:rPr>
          <w:rFonts w:cstheme="minorHAnsi"/>
        </w:rPr>
        <w:t xml:space="preserve">agencies. </w:t>
      </w:r>
    </w:p>
    <w:p w14:paraId="6B94FF1D" w14:textId="77777777" w:rsidR="006F4196" w:rsidRPr="00170F77" w:rsidRDefault="006F4196" w:rsidP="00170F77">
      <w:pPr>
        <w:spacing w:before="0" w:after="0"/>
        <w:rPr>
          <w:rFonts w:cstheme="minorHAnsi"/>
        </w:rPr>
      </w:pPr>
    </w:p>
    <w:p w14:paraId="0DD019B7" w14:textId="155120E5" w:rsidR="006F4196" w:rsidRPr="00170F77" w:rsidRDefault="006F4196" w:rsidP="00170F77">
      <w:pPr>
        <w:spacing w:before="0" w:after="0"/>
        <w:rPr>
          <w:rFonts w:cstheme="minorHAnsi"/>
        </w:rPr>
      </w:pPr>
      <w:r w:rsidRPr="00170F77">
        <w:rPr>
          <w:rFonts w:cstheme="minorHAnsi"/>
        </w:rPr>
        <w:t>There is a wide divergence in scale of agencies who work with Australian providers</w:t>
      </w:r>
      <w:r w:rsidR="006247B3" w:rsidRPr="00170F77">
        <w:rPr>
          <w:rFonts w:cstheme="minorHAnsi"/>
        </w:rPr>
        <w:t xml:space="preserve"> as shown in Figure 2</w:t>
      </w:r>
      <w:r w:rsidRPr="00170F77">
        <w:rPr>
          <w:rFonts w:cstheme="minorHAnsi"/>
        </w:rPr>
        <w:t>. The distribution of agency size and the percentage of enrolments facilitated over the last five years shows that there is an increasing number of small and medium sized agencies. Small agencies are classified as agencies involved in 1-10 enrolments per year, medium agencies are those involved in 11-500 enrolments per year, and large agencies are those involved in more than 500 enrolments per year.</w:t>
      </w:r>
    </w:p>
    <w:p w14:paraId="6467A4AA" w14:textId="77777777" w:rsidR="006247B3" w:rsidRPr="00170F77" w:rsidRDefault="006247B3" w:rsidP="00170F77">
      <w:pPr>
        <w:spacing w:before="0" w:after="0"/>
        <w:rPr>
          <w:rFonts w:cstheme="minorHAnsi"/>
        </w:rPr>
      </w:pPr>
    </w:p>
    <w:p w14:paraId="1FB00C4E" w14:textId="57943435" w:rsidR="00B04542" w:rsidRPr="00170F77" w:rsidRDefault="006247B3" w:rsidP="00170F77">
      <w:pPr>
        <w:spacing w:before="0" w:after="0"/>
        <w:rPr>
          <w:rFonts w:cstheme="minorHAnsi"/>
        </w:rPr>
      </w:pPr>
      <w:r w:rsidRPr="00170F77">
        <w:rPr>
          <w:rFonts w:cstheme="minorHAnsi"/>
        </w:rPr>
        <w:t xml:space="preserve">While there are many small and medium sized agencies, the vast majority of enrolments are facilitated by large agencies as demonstrated in Figure 3. </w:t>
      </w:r>
      <w:r w:rsidR="006F4196" w:rsidRPr="00170F77">
        <w:rPr>
          <w:rFonts w:cstheme="minorHAnsi"/>
        </w:rPr>
        <w:t>In 2018, s</w:t>
      </w:r>
      <w:r w:rsidR="00B04542" w:rsidRPr="00170F77">
        <w:rPr>
          <w:rFonts w:cstheme="minorHAnsi"/>
        </w:rPr>
        <w:t xml:space="preserve">mall agencies </w:t>
      </w:r>
      <w:r w:rsidR="006209CA">
        <w:rPr>
          <w:rFonts w:cstheme="minorHAnsi"/>
        </w:rPr>
        <w:t>with less than 10 enrolments mad</w:t>
      </w:r>
      <w:r w:rsidR="00B04542" w:rsidRPr="00170F77">
        <w:rPr>
          <w:rFonts w:cstheme="minorHAnsi"/>
        </w:rPr>
        <w:t>e up more than half (52%) of all agencies, yet account for around 2 percent of all enrolments. At the other end of the spectrum, larger agencies comprised less than 3.5 percen</w:t>
      </w:r>
      <w:r w:rsidR="006F4196" w:rsidRPr="00170F77">
        <w:rPr>
          <w:rFonts w:cstheme="minorHAnsi"/>
        </w:rPr>
        <w:t>t of all agencies, but accounted</w:t>
      </w:r>
      <w:r w:rsidR="00B04542" w:rsidRPr="00170F77">
        <w:rPr>
          <w:rFonts w:cstheme="minorHAnsi"/>
        </w:rPr>
        <w:t xml:space="preserve"> for almost 70 percent of enrolments.</w:t>
      </w:r>
    </w:p>
    <w:p w14:paraId="05411202" w14:textId="77777777" w:rsidR="006247B3" w:rsidRDefault="006247B3" w:rsidP="00DA157B"/>
    <w:p w14:paraId="71647D6C" w14:textId="5AB9D895" w:rsidR="00BA1386" w:rsidRDefault="006C30B1" w:rsidP="00DD5681">
      <w:r>
        <w:rPr>
          <w:noProof/>
          <w:lang w:eastAsia="en-AU"/>
        </w:rPr>
        <w:lastRenderedPageBreak/>
        <w:drawing>
          <wp:inline distT="0" distB="0" distL="0" distR="0" wp14:anchorId="579DAB63" wp14:editId="25EAD134">
            <wp:extent cx="6120130" cy="34309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3430905"/>
                    </a:xfrm>
                    <a:prstGeom prst="rect">
                      <a:avLst/>
                    </a:prstGeom>
                  </pic:spPr>
                </pic:pic>
              </a:graphicData>
            </a:graphic>
          </wp:inline>
        </w:drawing>
      </w:r>
    </w:p>
    <w:p w14:paraId="26B6C298" w14:textId="04E18F65" w:rsidR="00790183" w:rsidRDefault="00790183" w:rsidP="00DD5681">
      <w:r>
        <w:rPr>
          <w:noProof/>
          <w:lang w:eastAsia="en-AU"/>
        </w:rPr>
        <w:drawing>
          <wp:inline distT="0" distB="0" distL="0" distR="0" wp14:anchorId="5C46CC76" wp14:editId="5793DC0A">
            <wp:extent cx="6120130" cy="3547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3547745"/>
                    </a:xfrm>
                    <a:prstGeom prst="rect">
                      <a:avLst/>
                    </a:prstGeom>
                  </pic:spPr>
                </pic:pic>
              </a:graphicData>
            </a:graphic>
          </wp:inline>
        </w:drawing>
      </w:r>
    </w:p>
    <w:p w14:paraId="6B8E7FF1" w14:textId="6DC13EBE" w:rsidR="005D76DC" w:rsidRDefault="005D76DC" w:rsidP="00DD5681"/>
    <w:p w14:paraId="5CFB1801" w14:textId="77777777" w:rsidR="00246B09" w:rsidRDefault="00246B09">
      <w:pPr>
        <w:spacing w:before="0" w:after="200"/>
      </w:pPr>
      <w:r>
        <w:br w:type="page"/>
      </w:r>
    </w:p>
    <w:p w14:paraId="0BA6D8CA" w14:textId="569BAD62" w:rsidR="000E2CC1" w:rsidRDefault="000F2E97" w:rsidP="00DD5681">
      <w:r>
        <w:lastRenderedPageBreak/>
        <w:t>Figure 4 shows that the scale of the agencies appears to have a positive correlation with visa outcomes, with larger agencies experiencing lower visa rejection rates than smaller agencies.</w:t>
      </w:r>
      <w:r w:rsidR="00831E27">
        <w:t xml:space="preserve"> In part, this may reflect the sectors or nationalities of enrolment by smaller agencies. As illustrated in Figure 3, small agencies facilitate a relatively small number of enrolments, therefore a small number of visa refusals will more noticeably influence this percentage.</w:t>
      </w:r>
    </w:p>
    <w:p w14:paraId="10687305" w14:textId="41AF8B43" w:rsidR="006C30B1" w:rsidRDefault="001F32BF" w:rsidP="00DD5681">
      <w:r>
        <w:rPr>
          <w:noProof/>
          <w:lang w:eastAsia="en-AU"/>
        </w:rPr>
        <w:drawing>
          <wp:inline distT="0" distB="0" distL="0" distR="0" wp14:anchorId="067E6E59" wp14:editId="6FC8233B">
            <wp:extent cx="6120130" cy="3121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3121660"/>
                    </a:xfrm>
                    <a:prstGeom prst="rect">
                      <a:avLst/>
                    </a:prstGeom>
                  </pic:spPr>
                </pic:pic>
              </a:graphicData>
            </a:graphic>
          </wp:inline>
        </w:drawing>
      </w:r>
    </w:p>
    <w:p w14:paraId="03521ADA" w14:textId="75A0976D" w:rsidR="000F2E97" w:rsidRDefault="000F2E97" w:rsidP="00743560"/>
    <w:p w14:paraId="3255862C" w14:textId="17128BAD" w:rsidR="00743560" w:rsidRDefault="002D7B93" w:rsidP="00743560">
      <w:r>
        <w:t>The</w:t>
      </w:r>
      <w:r w:rsidR="000F2E97">
        <w:t xml:space="preserve"> distribution of the</w:t>
      </w:r>
      <w:r>
        <w:t xml:space="preserve"> length of operation </w:t>
      </w:r>
      <w:r w:rsidR="00B34979">
        <w:t>for agencies active in 2018</w:t>
      </w:r>
      <w:r w:rsidR="00E975FE">
        <w:t xml:space="preserve"> demonstrates that t</w:t>
      </w:r>
      <w:r w:rsidR="0094294D">
        <w:t xml:space="preserve">here are many </w:t>
      </w:r>
      <w:r w:rsidR="00E975FE">
        <w:t>young</w:t>
      </w:r>
      <w:r w:rsidR="0094294D">
        <w:t xml:space="preserve"> agencies</w:t>
      </w:r>
      <w:r w:rsidR="00B34979">
        <w:t>,</w:t>
      </w:r>
      <w:r w:rsidR="000F2E97">
        <w:t xml:space="preserve"> as shown in Figure 5</w:t>
      </w:r>
      <w:r w:rsidR="00E975FE">
        <w:t>.</w:t>
      </w:r>
      <w:r w:rsidR="00F30AE0" w:rsidRPr="00F30AE0">
        <w:t xml:space="preserve"> </w:t>
      </w:r>
      <w:r w:rsidR="000F2E97">
        <w:t xml:space="preserve">The majority of young agencies are small agencies, and this likely reflects newcomers to the industry and higher turnover for small agencies. </w:t>
      </w:r>
    </w:p>
    <w:p w14:paraId="2E896A8A" w14:textId="1E065CE0" w:rsidR="00B34979" w:rsidRDefault="006D4F3A" w:rsidP="00743560">
      <w:pPr>
        <w:rPr>
          <w:b/>
          <w:sz w:val="28"/>
        </w:rPr>
      </w:pPr>
      <w:r>
        <w:rPr>
          <w:noProof/>
          <w:lang w:eastAsia="en-AU"/>
        </w:rPr>
        <w:drawing>
          <wp:inline distT="0" distB="0" distL="0" distR="0" wp14:anchorId="7525C8D3" wp14:editId="0C1B708A">
            <wp:extent cx="6120130" cy="3133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3133090"/>
                    </a:xfrm>
                    <a:prstGeom prst="rect">
                      <a:avLst/>
                    </a:prstGeom>
                  </pic:spPr>
                </pic:pic>
              </a:graphicData>
            </a:graphic>
          </wp:inline>
        </w:drawing>
      </w:r>
    </w:p>
    <w:p w14:paraId="78834D2D" w14:textId="77777777" w:rsidR="00D41ADE" w:rsidRDefault="00D41ADE">
      <w:pPr>
        <w:spacing w:before="0" w:after="200"/>
        <w:rPr>
          <w:b/>
          <w:sz w:val="28"/>
        </w:rPr>
      </w:pPr>
      <w:r>
        <w:rPr>
          <w:b/>
          <w:sz w:val="28"/>
        </w:rPr>
        <w:br w:type="page"/>
      </w:r>
    </w:p>
    <w:p w14:paraId="11455FD5" w14:textId="4AD0F03A" w:rsidR="00DD5681" w:rsidRPr="004A7EAA" w:rsidRDefault="008E2E5E" w:rsidP="00DD5681">
      <w:pPr>
        <w:rPr>
          <w:sz w:val="28"/>
        </w:rPr>
      </w:pPr>
      <w:r>
        <w:rPr>
          <w:b/>
          <w:sz w:val="28"/>
        </w:rPr>
        <w:lastRenderedPageBreak/>
        <w:t>Student i</w:t>
      </w:r>
      <w:r w:rsidR="00DD5681" w:rsidRPr="004A7EAA">
        <w:rPr>
          <w:b/>
          <w:sz w:val="28"/>
        </w:rPr>
        <w:t>nco</w:t>
      </w:r>
      <w:r>
        <w:rPr>
          <w:b/>
          <w:sz w:val="28"/>
        </w:rPr>
        <w:t>mpletion and v</w:t>
      </w:r>
      <w:r w:rsidR="00DD5681">
        <w:rPr>
          <w:b/>
          <w:sz w:val="28"/>
        </w:rPr>
        <w:t>isa refusals</w:t>
      </w:r>
    </w:p>
    <w:p w14:paraId="2D7A2767" w14:textId="3902EE84" w:rsidR="00DD5681" w:rsidRDefault="00DD5681" w:rsidP="00DD5681">
      <w:r>
        <w:t xml:space="preserve">International student visa refusal and incompletion data for 2018 demonstrates the variation in enrolment and visa outcomes for different student nationalities and sectors of enrolment. These plots show the distribution of the visa refusal and </w:t>
      </w:r>
      <w:r w:rsidR="008E2E5E">
        <w:t xml:space="preserve">student </w:t>
      </w:r>
      <w:r>
        <w:t xml:space="preserve">incompletion rates across agencies. Small agencies (10 or less enrolments in </w:t>
      </w:r>
      <w:r w:rsidR="008E2E5E">
        <w:t>2018</w:t>
      </w:r>
      <w:r w:rsidR="00800C6F">
        <w:t xml:space="preserve"> for the relevant sector or nationality</w:t>
      </w:r>
      <w:r>
        <w:t xml:space="preserve">) have been excluded to better visualise differences. </w:t>
      </w:r>
      <w:r w:rsidR="007B46BB">
        <w:t>The different coloured curves allow for comparison across sectors and by top source countries.</w:t>
      </w:r>
    </w:p>
    <w:p w14:paraId="3BE0599C" w14:textId="77777777" w:rsidR="00D41ADE" w:rsidRPr="008B44FD" w:rsidRDefault="00D41ADE" w:rsidP="00D41ADE">
      <w:pPr>
        <w:rPr>
          <w:b/>
          <w:sz w:val="24"/>
        </w:rPr>
      </w:pPr>
      <w:r w:rsidRPr="008B44FD">
        <w:rPr>
          <w:b/>
          <w:sz w:val="24"/>
        </w:rPr>
        <w:t xml:space="preserve">Visa </w:t>
      </w:r>
      <w:r>
        <w:rPr>
          <w:b/>
          <w:sz w:val="24"/>
        </w:rPr>
        <w:t>r</w:t>
      </w:r>
      <w:r w:rsidRPr="008B44FD">
        <w:rPr>
          <w:b/>
          <w:sz w:val="24"/>
        </w:rPr>
        <w:t>efusal</w:t>
      </w:r>
    </w:p>
    <w:p w14:paraId="28DA9236" w14:textId="4CE8EC0F" w:rsidR="00D41ADE" w:rsidRDefault="00D41ADE" w:rsidP="00D41ADE">
      <w:r>
        <w:t>The visa refusal rate for an agency is based on the visa outcomes for enrolments they have facilitated. This reveals that generally visa refusal rates tend to be low. The VET and ELICOS Sectors tend to have higher visa refusal rates than Higher Education, Schools or Non-Award. While many agencies have a very low visa refusal rate, agencies facilitating enrolments for student</w:t>
      </w:r>
      <w:r w:rsidR="00BA162C">
        <w:t>s</w:t>
      </w:r>
      <w:r>
        <w:t xml:space="preserve"> from Nepal tend to have a broader distribution of visa outcomes. </w:t>
      </w:r>
    </w:p>
    <w:p w14:paraId="6427E19B" w14:textId="2A0BA1A3" w:rsidR="00D41ADE" w:rsidRDefault="00A02DF5" w:rsidP="00D41ADE">
      <w:r>
        <w:rPr>
          <w:noProof/>
          <w:lang w:eastAsia="en-AU"/>
        </w:rPr>
        <w:drawing>
          <wp:inline distT="0" distB="0" distL="0" distR="0" wp14:anchorId="1B44C40E" wp14:editId="671A0020">
            <wp:extent cx="6120130" cy="2781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2781300"/>
                    </a:xfrm>
                    <a:prstGeom prst="rect">
                      <a:avLst/>
                    </a:prstGeom>
                  </pic:spPr>
                </pic:pic>
              </a:graphicData>
            </a:graphic>
          </wp:inline>
        </w:drawing>
      </w:r>
    </w:p>
    <w:p w14:paraId="6906D5CA" w14:textId="135957BF" w:rsidR="00D41ADE" w:rsidRDefault="00B56CE8" w:rsidP="00D41ADE">
      <w:r>
        <w:rPr>
          <w:noProof/>
          <w:lang w:eastAsia="en-AU"/>
        </w:rPr>
        <w:drawing>
          <wp:inline distT="0" distB="0" distL="0" distR="0" wp14:anchorId="6587F4C1" wp14:editId="78EED111">
            <wp:extent cx="6120130" cy="27666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130" cy="2766695"/>
                    </a:xfrm>
                    <a:prstGeom prst="rect">
                      <a:avLst/>
                    </a:prstGeom>
                  </pic:spPr>
                </pic:pic>
              </a:graphicData>
            </a:graphic>
          </wp:inline>
        </w:drawing>
      </w:r>
    </w:p>
    <w:p w14:paraId="5BD37D04" w14:textId="77777777" w:rsidR="00D41ADE" w:rsidRDefault="00D41ADE" w:rsidP="00DD5681"/>
    <w:p w14:paraId="54EAF2E7" w14:textId="77777777" w:rsidR="00D41ADE" w:rsidRDefault="00D41ADE">
      <w:pPr>
        <w:spacing w:before="0" w:after="200"/>
        <w:rPr>
          <w:b/>
          <w:sz w:val="24"/>
        </w:rPr>
      </w:pPr>
      <w:r>
        <w:rPr>
          <w:b/>
          <w:sz w:val="24"/>
        </w:rPr>
        <w:br w:type="page"/>
      </w:r>
    </w:p>
    <w:p w14:paraId="424656A9" w14:textId="4FB053D4" w:rsidR="00DD5681" w:rsidRPr="008B44FD" w:rsidRDefault="00717BD9" w:rsidP="00DD5681">
      <w:pPr>
        <w:rPr>
          <w:b/>
          <w:sz w:val="24"/>
        </w:rPr>
      </w:pPr>
      <w:r>
        <w:rPr>
          <w:b/>
          <w:sz w:val="24"/>
        </w:rPr>
        <w:t xml:space="preserve">Student </w:t>
      </w:r>
      <w:r w:rsidR="00332373">
        <w:rPr>
          <w:b/>
          <w:sz w:val="24"/>
        </w:rPr>
        <w:t>i</w:t>
      </w:r>
      <w:r w:rsidR="00DD5681" w:rsidRPr="008B44FD">
        <w:rPr>
          <w:b/>
          <w:sz w:val="24"/>
        </w:rPr>
        <w:t>ncompletion</w:t>
      </w:r>
      <w:r>
        <w:rPr>
          <w:b/>
          <w:sz w:val="24"/>
        </w:rPr>
        <w:t>s</w:t>
      </w:r>
    </w:p>
    <w:p w14:paraId="1F776CBC" w14:textId="27BCAB3F" w:rsidR="00DD5681" w:rsidRDefault="00DD5681" w:rsidP="00DD5681">
      <w:r w:rsidRPr="00A37578">
        <w:t>The incompletion rate</w:t>
      </w:r>
      <w:r>
        <w:t>*</w:t>
      </w:r>
      <w:r w:rsidRPr="00A37578">
        <w:t xml:space="preserve"> for an agency reflects the </w:t>
      </w:r>
      <w:r w:rsidR="00717BD9">
        <w:t xml:space="preserve">student </w:t>
      </w:r>
      <w:r w:rsidRPr="00A37578">
        <w:t>outcomes for enrolments facilitated</w:t>
      </w:r>
      <w:r w:rsidR="00717BD9">
        <w:t xml:space="preserve"> by that agency</w:t>
      </w:r>
      <w:r w:rsidRPr="00A37578">
        <w:t>.</w:t>
      </w:r>
      <w:r>
        <w:t xml:space="preserve"> Each agency has had their incompletion rate calculated (on the x axis), and the height of the lines (on the y axis) indicates the number of agencies with that incompletion rate. The peak therefore represents the most frequent incompletion rate. A curve where the peak is shifted to the right </w:t>
      </w:r>
      <w:r w:rsidR="00717BD9">
        <w:t>shows</w:t>
      </w:r>
      <w:r>
        <w:t xml:space="preserve"> higher incompletion rates than a curve shifted to the left. Here, the schools and non-award sectors </w:t>
      </w:r>
      <w:r w:rsidR="00717BD9">
        <w:t>demonstrate</w:t>
      </w:r>
      <w:r>
        <w:t xml:space="preserve"> very low</w:t>
      </w:r>
      <w:r w:rsidR="00717BD9">
        <w:t xml:space="preserve"> student</w:t>
      </w:r>
      <w:r>
        <w:t xml:space="preserve"> incompletion</w:t>
      </w:r>
      <w:r w:rsidR="00717BD9">
        <w:t>s</w:t>
      </w:r>
      <w:r>
        <w:t>, and the VET sector has more agencies with high</w:t>
      </w:r>
      <w:r w:rsidR="00717BD9">
        <w:t xml:space="preserve"> student</w:t>
      </w:r>
      <w:r>
        <w:t xml:space="preserve"> incompletion rates. The breakdown of top student nationalities shows that India, China and Nepal have more agencies with high </w:t>
      </w:r>
      <w:r w:rsidR="00717BD9">
        <w:t xml:space="preserve">student </w:t>
      </w:r>
      <w:r>
        <w:t xml:space="preserve">incompletion rates than Brazil and Colombia. </w:t>
      </w:r>
    </w:p>
    <w:p w14:paraId="43932BE2" w14:textId="47BE16FB" w:rsidR="00DD5681" w:rsidRPr="00F04713" w:rsidRDefault="00DD5681" w:rsidP="00DD5681">
      <w:r w:rsidRPr="00F04713">
        <w:t xml:space="preserve">*Definition of incompletion </w:t>
      </w:r>
      <w:r w:rsidR="00717BD9">
        <w:t>rate on final page</w:t>
      </w:r>
    </w:p>
    <w:p w14:paraId="000750CD" w14:textId="017EB28F" w:rsidR="00DD5681" w:rsidRDefault="00B56CE8" w:rsidP="00DD5681">
      <w:pPr>
        <w:rPr>
          <w:b/>
        </w:rPr>
      </w:pPr>
      <w:r>
        <w:rPr>
          <w:noProof/>
          <w:lang w:eastAsia="en-AU"/>
        </w:rPr>
        <w:drawing>
          <wp:inline distT="0" distB="0" distL="0" distR="0" wp14:anchorId="7494D709" wp14:editId="4FCBC0EF">
            <wp:extent cx="6120130" cy="27190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2719070"/>
                    </a:xfrm>
                    <a:prstGeom prst="rect">
                      <a:avLst/>
                    </a:prstGeom>
                  </pic:spPr>
                </pic:pic>
              </a:graphicData>
            </a:graphic>
          </wp:inline>
        </w:drawing>
      </w:r>
    </w:p>
    <w:p w14:paraId="33B377D4" w14:textId="3CE191E4" w:rsidR="00DD5681" w:rsidRDefault="002E7204" w:rsidP="00DD5681">
      <w:pPr>
        <w:rPr>
          <w:b/>
        </w:rPr>
      </w:pPr>
      <w:r>
        <w:rPr>
          <w:noProof/>
          <w:lang w:eastAsia="en-AU"/>
        </w:rPr>
        <w:drawing>
          <wp:inline distT="0" distB="0" distL="0" distR="0" wp14:anchorId="34A6B20B" wp14:editId="61F11CE3">
            <wp:extent cx="6120130" cy="27095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130" cy="2709545"/>
                    </a:xfrm>
                    <a:prstGeom prst="rect">
                      <a:avLst/>
                    </a:prstGeom>
                  </pic:spPr>
                </pic:pic>
              </a:graphicData>
            </a:graphic>
          </wp:inline>
        </w:drawing>
      </w:r>
    </w:p>
    <w:p w14:paraId="5AFE3E76" w14:textId="1C7C550F" w:rsidR="00DD5681" w:rsidRPr="00D41ADE" w:rsidRDefault="00B34979" w:rsidP="00DD5681">
      <w:pPr>
        <w:spacing w:before="0" w:after="200"/>
        <w:rPr>
          <w:b/>
          <w:sz w:val="24"/>
        </w:rPr>
      </w:pPr>
      <w:r>
        <w:rPr>
          <w:b/>
          <w:sz w:val="24"/>
        </w:rPr>
        <w:br w:type="page"/>
      </w:r>
    </w:p>
    <w:p w14:paraId="66AF0D6E" w14:textId="77777777" w:rsidR="00DD5681" w:rsidRPr="00E74756" w:rsidRDefault="00DD5681" w:rsidP="00DD5681">
      <w:pPr>
        <w:spacing w:before="0" w:after="200"/>
        <w:rPr>
          <w:b/>
          <w:sz w:val="28"/>
        </w:rPr>
      </w:pPr>
      <w:r w:rsidRPr="00E74756">
        <w:rPr>
          <w:b/>
          <w:sz w:val="28"/>
        </w:rPr>
        <w:t>Where does the data come from?</w:t>
      </w:r>
    </w:p>
    <w:p w14:paraId="64A3299F" w14:textId="1D8394C3" w:rsidR="00DD5681" w:rsidRDefault="00DD5681" w:rsidP="00DD5681">
      <w:r>
        <w:t xml:space="preserve">This data is sourced from the Australian Government’s </w:t>
      </w:r>
      <w:r w:rsidRPr="00F63563">
        <w:t>Provider Registration and International Student</w:t>
      </w:r>
      <w:r>
        <w:t xml:space="preserve"> Management System (PRISMS). PRISMS captures enrolment details for all students with student visas and is entered by education providers at the point of enrolment. </w:t>
      </w:r>
      <w:r w:rsidR="00CF1841">
        <w:t>Providers are also able to nominate education agencies</w:t>
      </w:r>
      <w:r>
        <w:t xml:space="preserve"> associated with each enrolment. With this information, visa refusals and student enrolment outcomes can be monitored at the sector, provider and education agency level.</w:t>
      </w:r>
    </w:p>
    <w:p w14:paraId="6280B1D8" w14:textId="77777777" w:rsidR="00DD5681" w:rsidRDefault="00DD5681" w:rsidP="00DD5681">
      <w:r>
        <w:t>Features of PRISMS data include:</w:t>
      </w:r>
    </w:p>
    <w:p w14:paraId="7E3399AF" w14:textId="2F667400" w:rsidR="00DD5681" w:rsidRDefault="00F159FD" w:rsidP="00DD5681">
      <w:pPr>
        <w:pStyle w:val="ListParagraph"/>
        <w:numPr>
          <w:ilvl w:val="0"/>
          <w:numId w:val="21"/>
        </w:numPr>
      </w:pPr>
      <w:r>
        <w:t>enrolments for students with</w:t>
      </w:r>
      <w:r w:rsidR="00DD5681">
        <w:t xml:space="preserve"> international student visa </w:t>
      </w:r>
      <w:r>
        <w:t>activity</w:t>
      </w:r>
    </w:p>
    <w:p w14:paraId="1C9BD632" w14:textId="643475AA" w:rsidR="00DD5681" w:rsidRDefault="00F159FD" w:rsidP="00DD5681">
      <w:pPr>
        <w:pStyle w:val="ListParagraph"/>
        <w:numPr>
          <w:ilvl w:val="0"/>
          <w:numId w:val="21"/>
        </w:numPr>
      </w:pPr>
      <w:r>
        <w:t xml:space="preserve">records </w:t>
      </w:r>
      <w:r w:rsidR="00DD5681">
        <w:t xml:space="preserve">based on electronic Confirmation of Enrolment (CoE) </w:t>
      </w:r>
    </w:p>
    <w:p w14:paraId="21750D50" w14:textId="77777777" w:rsidR="00DD5681" w:rsidRDefault="00DD5681" w:rsidP="00DD5681">
      <w:pPr>
        <w:pStyle w:val="ListParagraph"/>
        <w:numPr>
          <w:ilvl w:val="0"/>
          <w:numId w:val="21"/>
        </w:numPr>
      </w:pPr>
      <w:r>
        <w:t>student nationality based on citizenship rather than permanent home residence</w:t>
      </w:r>
    </w:p>
    <w:p w14:paraId="228C850A" w14:textId="77777777" w:rsidR="00DD5681" w:rsidRDefault="00DD5681" w:rsidP="00DD5681">
      <w:pPr>
        <w:pStyle w:val="ListParagraph"/>
      </w:pPr>
    </w:p>
    <w:p w14:paraId="7AEF87CE" w14:textId="4930B880" w:rsidR="001705E5" w:rsidRDefault="001705E5" w:rsidP="00DD5681">
      <w:pPr>
        <w:rPr>
          <w:b/>
          <w:sz w:val="28"/>
        </w:rPr>
      </w:pPr>
      <w:r>
        <w:rPr>
          <w:b/>
          <w:sz w:val="28"/>
        </w:rPr>
        <w:t>Definitions</w:t>
      </w:r>
    </w:p>
    <w:p w14:paraId="5D106DEE" w14:textId="20911FC1" w:rsidR="001705E5" w:rsidRPr="001705E5" w:rsidRDefault="001705E5" w:rsidP="001705E5">
      <w:pPr>
        <w:pStyle w:val="Caption"/>
        <w:keepNext/>
        <w:rPr>
          <w:sz w:val="24"/>
        </w:rPr>
      </w:pPr>
      <w:r w:rsidRPr="001705E5">
        <w:rPr>
          <w:sz w:val="24"/>
        </w:rPr>
        <w:t>Education Agencies</w:t>
      </w:r>
      <w:r w:rsidR="00A73C81">
        <w:rPr>
          <w:sz w:val="24"/>
        </w:rPr>
        <w:t xml:space="preserve"> and Agents</w:t>
      </w:r>
    </w:p>
    <w:p w14:paraId="65F8350A" w14:textId="5FCAAE0B" w:rsidR="00A73C81" w:rsidRDefault="00A73C81" w:rsidP="00A73C81">
      <w:r w:rsidRPr="00A73C81">
        <w:t>An</w:t>
      </w:r>
      <w:r>
        <w:t xml:space="preserve"> education agency is a business entity that has one or more agents and operates within </w:t>
      </w:r>
      <w:r w:rsidR="00B665A2">
        <w:t>Australia or o</w:t>
      </w:r>
      <w:r>
        <w:t>verseas or both. E</w:t>
      </w:r>
      <w:r w:rsidRPr="00A73C81">
        <w:t>ducation agents are the individual counsellors assisting overseas students.</w:t>
      </w:r>
    </w:p>
    <w:p w14:paraId="493C4055" w14:textId="77777777" w:rsidR="009F7990" w:rsidRDefault="009F7990" w:rsidP="00DD5681">
      <w:pPr>
        <w:rPr>
          <w:b/>
          <w:sz w:val="24"/>
        </w:rPr>
      </w:pPr>
    </w:p>
    <w:p w14:paraId="03D89559" w14:textId="19BF4E3A" w:rsidR="00DD5681" w:rsidRPr="001705E5" w:rsidRDefault="00DD5681" w:rsidP="00DD5681">
      <w:pPr>
        <w:rPr>
          <w:b/>
          <w:sz w:val="24"/>
        </w:rPr>
      </w:pPr>
      <w:r w:rsidRPr="001705E5">
        <w:rPr>
          <w:b/>
          <w:sz w:val="24"/>
        </w:rPr>
        <w:t>Incompletion</w:t>
      </w:r>
      <w:r w:rsidR="00B859EA">
        <w:rPr>
          <w:b/>
          <w:sz w:val="24"/>
        </w:rPr>
        <w:t xml:space="preserve"> rate</w:t>
      </w:r>
    </w:p>
    <w:p w14:paraId="26E61A1A" w14:textId="0A8F5814" w:rsidR="00DD5681" w:rsidRDefault="00DD5681" w:rsidP="00DD5681">
      <w:r>
        <w:t>Enrolments are considered “incomplete” when</w:t>
      </w:r>
      <w:r w:rsidR="00354F60">
        <w:t xml:space="preserve"> the enrolment record is terminated for the following reasons</w:t>
      </w:r>
      <w:r>
        <w:t>:</w:t>
      </w:r>
    </w:p>
    <w:p w14:paraId="2F47A522" w14:textId="50B0AC4B" w:rsidR="00FF1E2A" w:rsidRDefault="00FF1E2A" w:rsidP="00FF1E2A">
      <w:pPr>
        <w:pStyle w:val="ListParagraph"/>
        <w:numPr>
          <w:ilvl w:val="0"/>
          <w:numId w:val="20"/>
        </w:numPr>
        <w:spacing w:before="0" w:after="160" w:line="256" w:lineRule="auto"/>
      </w:pPr>
      <w:r>
        <w:t>the student does not commence their studies *</w:t>
      </w:r>
    </w:p>
    <w:p w14:paraId="5F481A7E" w14:textId="30235A2E" w:rsidR="00FF1E2A" w:rsidRDefault="00FF1E2A" w:rsidP="00FF1E2A">
      <w:pPr>
        <w:pStyle w:val="ListParagraph"/>
        <w:numPr>
          <w:ilvl w:val="0"/>
          <w:numId w:val="20"/>
        </w:numPr>
      </w:pPr>
      <w:r>
        <w:t>the student notifies cessation of their s</w:t>
      </w:r>
      <w:r w:rsidRPr="00FF1E2A">
        <w:t>tudies</w:t>
      </w:r>
      <w:r>
        <w:t xml:space="preserve"> *</w:t>
      </w:r>
    </w:p>
    <w:p w14:paraId="470C660F" w14:textId="21AB4367" w:rsidR="00FF1E2A" w:rsidRDefault="00FF1E2A" w:rsidP="00FF1E2A">
      <w:pPr>
        <w:pStyle w:val="ListParagraph"/>
        <w:numPr>
          <w:ilvl w:val="0"/>
          <w:numId w:val="20"/>
        </w:numPr>
        <w:spacing w:before="0" w:after="160" w:line="256" w:lineRule="auto"/>
      </w:pPr>
      <w:r>
        <w:t>the student defers or suspends their student enrolment *</w:t>
      </w:r>
    </w:p>
    <w:p w14:paraId="2BDD596C" w14:textId="77777777" w:rsidR="00FF1E2A" w:rsidRDefault="00FF1E2A" w:rsidP="00FF1E2A">
      <w:pPr>
        <w:pStyle w:val="ListParagraph"/>
        <w:numPr>
          <w:ilvl w:val="0"/>
          <w:numId w:val="20"/>
        </w:numPr>
        <w:spacing w:before="0" w:after="160" w:line="256" w:lineRule="auto"/>
      </w:pPr>
      <w:r>
        <w:t>the student transfers to a course at another provider</w:t>
      </w:r>
    </w:p>
    <w:p w14:paraId="3A41BEC9" w14:textId="0B9A1288" w:rsidR="00DD5681" w:rsidRDefault="00DD5681" w:rsidP="00DD5681">
      <w:pPr>
        <w:pStyle w:val="ListParagraph"/>
        <w:numPr>
          <w:ilvl w:val="0"/>
          <w:numId w:val="20"/>
        </w:numPr>
        <w:spacing w:before="0" w:after="160" w:line="256" w:lineRule="auto"/>
      </w:pPr>
      <w:r>
        <w:t>the provider decides to cease the student enrolment</w:t>
      </w:r>
      <w:r w:rsidR="0045215A">
        <w:t xml:space="preserve"> due to non-payment of fees, student no longer holding a student visa or disciplinary reasons</w:t>
      </w:r>
    </w:p>
    <w:p w14:paraId="0740EC6E" w14:textId="1366C23E" w:rsidR="00DD5681" w:rsidRDefault="00DD5681" w:rsidP="00DD5681">
      <w:pPr>
        <w:pStyle w:val="ListParagraph"/>
        <w:numPr>
          <w:ilvl w:val="0"/>
          <w:numId w:val="20"/>
        </w:numPr>
        <w:spacing w:before="0" w:after="160" w:line="256" w:lineRule="auto"/>
      </w:pPr>
      <w:r>
        <w:t>there is non-compliance with student visa conditions</w:t>
      </w:r>
      <w:r w:rsidR="0045215A">
        <w:t xml:space="preserve"> due to unsatisfactory course progress or unsatisfactory attendance</w:t>
      </w:r>
    </w:p>
    <w:p w14:paraId="29BC2F24" w14:textId="7665617E" w:rsidR="00FF1E2A" w:rsidRPr="00FF1E2A" w:rsidRDefault="00354F60" w:rsidP="00354F60">
      <w:r>
        <w:t>*For non-commencement, s</w:t>
      </w:r>
      <w:r w:rsidR="00FF1E2A" w:rsidRPr="00FF1E2A">
        <w:t>tudent noti</w:t>
      </w:r>
      <w:r>
        <w:t>fies cessation of studies, and d</w:t>
      </w:r>
      <w:r w:rsidR="00FF1E2A" w:rsidRPr="00FF1E2A">
        <w:t xml:space="preserve">eferment/suspension: </w:t>
      </w:r>
      <w:r>
        <w:t>terminated enrolment records which have a new enrolment</w:t>
      </w:r>
      <w:r w:rsidR="00FF1E2A" w:rsidRPr="00FF1E2A">
        <w:t xml:space="preserve"> created </w:t>
      </w:r>
      <w:r>
        <w:t xml:space="preserve">in the same course </w:t>
      </w:r>
      <w:r w:rsidR="00FF1E2A" w:rsidRPr="00FF1E2A">
        <w:t xml:space="preserve">at that provider with the same agent involved within 1 day of the </w:t>
      </w:r>
      <w:r>
        <w:t xml:space="preserve">initial termination </w:t>
      </w:r>
      <w:r w:rsidR="00FF1E2A" w:rsidRPr="00FF1E2A">
        <w:t xml:space="preserve">reporting </w:t>
      </w:r>
      <w:r w:rsidR="00575482">
        <w:t xml:space="preserve">are </w:t>
      </w:r>
      <w:r w:rsidR="00FF1E2A" w:rsidRPr="00FF1E2A">
        <w:t xml:space="preserve">not </w:t>
      </w:r>
      <w:r w:rsidR="00575482">
        <w:t>included</w:t>
      </w:r>
      <w:r w:rsidR="00FF1E2A" w:rsidRPr="00FF1E2A">
        <w:t xml:space="preserve"> in incompletion.</w:t>
      </w:r>
    </w:p>
    <w:sectPr w:rsidR="00FF1E2A" w:rsidRPr="00FF1E2A" w:rsidSect="00DE55FA">
      <w:type w:val="continuous"/>
      <w:pgSz w:w="11906" w:h="16838"/>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3C925" w14:textId="77777777" w:rsidR="00D374FD" w:rsidRDefault="00D374FD" w:rsidP="00130923">
      <w:pPr>
        <w:spacing w:after="0" w:line="240" w:lineRule="auto"/>
      </w:pPr>
      <w:r>
        <w:separator/>
      </w:r>
    </w:p>
  </w:endnote>
  <w:endnote w:type="continuationSeparator" w:id="0">
    <w:p w14:paraId="5839A9BA" w14:textId="77777777" w:rsidR="00D374FD" w:rsidRDefault="00D374FD"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E65AC" w14:textId="35FC4DA0" w:rsidR="00782F1B" w:rsidRDefault="001A0F90" w:rsidP="00A73406">
    <w:pPr>
      <w:pStyle w:val="Footer"/>
      <w:tabs>
        <w:tab w:val="clear" w:pos="9026"/>
        <w:tab w:val="right" w:pos="8647"/>
      </w:tabs>
      <w:ind w:firstLine="720"/>
      <w:jc w:val="right"/>
    </w:pPr>
    <w:sdt>
      <w:sdtPr>
        <w:id w:val="-872919286"/>
        <w:docPartObj>
          <w:docPartGallery w:val="Page Numbers (Bottom of Page)"/>
          <w:docPartUnique/>
        </w:docPartObj>
      </w:sdtPr>
      <w:sdtEndPr>
        <w:rPr>
          <w:noProof/>
        </w:rPr>
      </w:sdtEndPr>
      <w:sdtContent>
        <w:r w:rsidR="00782F1B">
          <w:fldChar w:fldCharType="begin"/>
        </w:r>
        <w:r w:rsidR="00782F1B">
          <w:instrText xml:space="preserve"> PAGE   \* MERGEFORMAT </w:instrText>
        </w:r>
        <w:r w:rsidR="00782F1B">
          <w:fldChar w:fldCharType="separate"/>
        </w:r>
        <w:r>
          <w:rPr>
            <w:noProof/>
          </w:rPr>
          <w:t>2</w:t>
        </w:r>
        <w:r w:rsidR="00782F1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E65AD" w14:textId="77777777" w:rsidR="00782F1B" w:rsidRDefault="00782F1B"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99C11" w14:textId="77777777" w:rsidR="00D374FD" w:rsidRDefault="00D374FD" w:rsidP="00130923">
      <w:pPr>
        <w:spacing w:after="0" w:line="240" w:lineRule="auto"/>
      </w:pPr>
      <w:r>
        <w:separator/>
      </w:r>
    </w:p>
  </w:footnote>
  <w:footnote w:type="continuationSeparator" w:id="0">
    <w:p w14:paraId="4C84E8B6" w14:textId="77777777" w:rsidR="00D374FD" w:rsidRDefault="00D374FD"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E65AB" w14:textId="216C79D7" w:rsidR="00782F1B" w:rsidRDefault="00DD5681" w:rsidP="00A66052">
    <w:pPr>
      <w:pStyle w:val="Header"/>
      <w:spacing w:after="480"/>
      <w:jc w:val="right"/>
    </w:pPr>
    <w:r>
      <w:t>International Education Agents – Overview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74AC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B6A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F82575"/>
    <w:multiLevelType w:val="hybridMultilevel"/>
    <w:tmpl w:val="81D8D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C94219"/>
    <w:multiLevelType w:val="hybridMultilevel"/>
    <w:tmpl w:val="4B6AAA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num>
  <w:num w:numId="15">
    <w:abstractNumId w:val="12"/>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1"/>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206139"/>
    <w:rsid w:val="0000170B"/>
    <w:rsid w:val="00002721"/>
    <w:rsid w:val="00007E0C"/>
    <w:rsid w:val="00024E24"/>
    <w:rsid w:val="00031050"/>
    <w:rsid w:val="00034EAA"/>
    <w:rsid w:val="000812C8"/>
    <w:rsid w:val="000861A6"/>
    <w:rsid w:val="000A0DDB"/>
    <w:rsid w:val="000B68EE"/>
    <w:rsid w:val="000D7FD3"/>
    <w:rsid w:val="000E2CC1"/>
    <w:rsid w:val="000E34E8"/>
    <w:rsid w:val="000E7B81"/>
    <w:rsid w:val="000E7E7B"/>
    <w:rsid w:val="000F1D93"/>
    <w:rsid w:val="000F2E97"/>
    <w:rsid w:val="000F3BA2"/>
    <w:rsid w:val="00107800"/>
    <w:rsid w:val="00111395"/>
    <w:rsid w:val="001116A2"/>
    <w:rsid w:val="001175BF"/>
    <w:rsid w:val="001306FA"/>
    <w:rsid w:val="00130923"/>
    <w:rsid w:val="001414F3"/>
    <w:rsid w:val="00143FCD"/>
    <w:rsid w:val="00162BF3"/>
    <w:rsid w:val="001657A8"/>
    <w:rsid w:val="00165E98"/>
    <w:rsid w:val="001705E5"/>
    <w:rsid w:val="00170F77"/>
    <w:rsid w:val="001872C4"/>
    <w:rsid w:val="001A0F90"/>
    <w:rsid w:val="001A761D"/>
    <w:rsid w:val="001B5326"/>
    <w:rsid w:val="001B6467"/>
    <w:rsid w:val="001B682C"/>
    <w:rsid w:val="001C48A7"/>
    <w:rsid w:val="001F0250"/>
    <w:rsid w:val="001F32BF"/>
    <w:rsid w:val="00206139"/>
    <w:rsid w:val="002076E6"/>
    <w:rsid w:val="002135C4"/>
    <w:rsid w:val="00223EB1"/>
    <w:rsid w:val="00224640"/>
    <w:rsid w:val="00231760"/>
    <w:rsid w:val="00236917"/>
    <w:rsid w:val="00241465"/>
    <w:rsid w:val="00243D6B"/>
    <w:rsid w:val="00246B09"/>
    <w:rsid w:val="00262052"/>
    <w:rsid w:val="002655C1"/>
    <w:rsid w:val="0026793C"/>
    <w:rsid w:val="002717CB"/>
    <w:rsid w:val="002822BD"/>
    <w:rsid w:val="002912A9"/>
    <w:rsid w:val="002B06E6"/>
    <w:rsid w:val="002B2895"/>
    <w:rsid w:val="002C3AA1"/>
    <w:rsid w:val="002D271F"/>
    <w:rsid w:val="002D6386"/>
    <w:rsid w:val="002D7B93"/>
    <w:rsid w:val="002E1ABC"/>
    <w:rsid w:val="002E7204"/>
    <w:rsid w:val="002F1999"/>
    <w:rsid w:val="00305B35"/>
    <w:rsid w:val="003069FF"/>
    <w:rsid w:val="003155A7"/>
    <w:rsid w:val="003155A8"/>
    <w:rsid w:val="003166C5"/>
    <w:rsid w:val="003242B9"/>
    <w:rsid w:val="00326CCC"/>
    <w:rsid w:val="00332373"/>
    <w:rsid w:val="003417EA"/>
    <w:rsid w:val="00350CE5"/>
    <w:rsid w:val="00354F60"/>
    <w:rsid w:val="00366302"/>
    <w:rsid w:val="003753C7"/>
    <w:rsid w:val="00384CFD"/>
    <w:rsid w:val="00390E73"/>
    <w:rsid w:val="003979FC"/>
    <w:rsid w:val="003D67FC"/>
    <w:rsid w:val="00406E5A"/>
    <w:rsid w:val="00410C58"/>
    <w:rsid w:val="0042496A"/>
    <w:rsid w:val="0045215A"/>
    <w:rsid w:val="00455B34"/>
    <w:rsid w:val="004615BE"/>
    <w:rsid w:val="00481F02"/>
    <w:rsid w:val="0048762C"/>
    <w:rsid w:val="004B0FF3"/>
    <w:rsid w:val="004B256F"/>
    <w:rsid w:val="004C72C8"/>
    <w:rsid w:val="004D121E"/>
    <w:rsid w:val="004D6EC6"/>
    <w:rsid w:val="004E0D49"/>
    <w:rsid w:val="004F15A7"/>
    <w:rsid w:val="005016D9"/>
    <w:rsid w:val="00506BF9"/>
    <w:rsid w:val="00511259"/>
    <w:rsid w:val="005113B6"/>
    <w:rsid w:val="00531817"/>
    <w:rsid w:val="00535C03"/>
    <w:rsid w:val="00560CA0"/>
    <w:rsid w:val="005624F3"/>
    <w:rsid w:val="005679F2"/>
    <w:rsid w:val="00575482"/>
    <w:rsid w:val="005811EF"/>
    <w:rsid w:val="005A2291"/>
    <w:rsid w:val="005B0878"/>
    <w:rsid w:val="005B0BC3"/>
    <w:rsid w:val="005B7BDC"/>
    <w:rsid w:val="005C15C0"/>
    <w:rsid w:val="005D132E"/>
    <w:rsid w:val="005D399A"/>
    <w:rsid w:val="005D76DC"/>
    <w:rsid w:val="005E3EC0"/>
    <w:rsid w:val="006051D0"/>
    <w:rsid w:val="00610654"/>
    <w:rsid w:val="00613CD1"/>
    <w:rsid w:val="006209CA"/>
    <w:rsid w:val="006247B3"/>
    <w:rsid w:val="006318B9"/>
    <w:rsid w:val="0067026C"/>
    <w:rsid w:val="00697054"/>
    <w:rsid w:val="006A1F67"/>
    <w:rsid w:val="006B49D9"/>
    <w:rsid w:val="006C30B1"/>
    <w:rsid w:val="006D4F3A"/>
    <w:rsid w:val="006E2D49"/>
    <w:rsid w:val="006E7A25"/>
    <w:rsid w:val="006F4196"/>
    <w:rsid w:val="00704DA8"/>
    <w:rsid w:val="0070692C"/>
    <w:rsid w:val="00715FBD"/>
    <w:rsid w:val="00717BD9"/>
    <w:rsid w:val="00743560"/>
    <w:rsid w:val="007468FC"/>
    <w:rsid w:val="00782F1B"/>
    <w:rsid w:val="00790183"/>
    <w:rsid w:val="00792CA3"/>
    <w:rsid w:val="007B2FDD"/>
    <w:rsid w:val="007B46BB"/>
    <w:rsid w:val="007B7817"/>
    <w:rsid w:val="007D58FB"/>
    <w:rsid w:val="00800C6F"/>
    <w:rsid w:val="00831E27"/>
    <w:rsid w:val="00832FB2"/>
    <w:rsid w:val="0083468A"/>
    <w:rsid w:val="00842D43"/>
    <w:rsid w:val="00856D1C"/>
    <w:rsid w:val="008673C5"/>
    <w:rsid w:val="00871B28"/>
    <w:rsid w:val="00873A30"/>
    <w:rsid w:val="00876AC0"/>
    <w:rsid w:val="008B40EE"/>
    <w:rsid w:val="008E2E5E"/>
    <w:rsid w:val="00903408"/>
    <w:rsid w:val="00905AD9"/>
    <w:rsid w:val="009116EA"/>
    <w:rsid w:val="00932BAC"/>
    <w:rsid w:val="00933671"/>
    <w:rsid w:val="0094294D"/>
    <w:rsid w:val="00971D09"/>
    <w:rsid w:val="00972BF7"/>
    <w:rsid w:val="00972DD5"/>
    <w:rsid w:val="00984879"/>
    <w:rsid w:val="00985632"/>
    <w:rsid w:val="00991B63"/>
    <w:rsid w:val="009B2428"/>
    <w:rsid w:val="009B5CB7"/>
    <w:rsid w:val="009E3E0C"/>
    <w:rsid w:val="009F7990"/>
    <w:rsid w:val="00A02DF5"/>
    <w:rsid w:val="00A0490D"/>
    <w:rsid w:val="00A06C45"/>
    <w:rsid w:val="00A145A2"/>
    <w:rsid w:val="00A31242"/>
    <w:rsid w:val="00A475CB"/>
    <w:rsid w:val="00A47BDC"/>
    <w:rsid w:val="00A52530"/>
    <w:rsid w:val="00A551BF"/>
    <w:rsid w:val="00A60741"/>
    <w:rsid w:val="00A66052"/>
    <w:rsid w:val="00A70524"/>
    <w:rsid w:val="00A73406"/>
    <w:rsid w:val="00A73C81"/>
    <w:rsid w:val="00A90ECC"/>
    <w:rsid w:val="00A911DA"/>
    <w:rsid w:val="00AC4FF8"/>
    <w:rsid w:val="00AC65DA"/>
    <w:rsid w:val="00AD09E4"/>
    <w:rsid w:val="00AF1737"/>
    <w:rsid w:val="00B04542"/>
    <w:rsid w:val="00B04D02"/>
    <w:rsid w:val="00B20124"/>
    <w:rsid w:val="00B2722A"/>
    <w:rsid w:val="00B34979"/>
    <w:rsid w:val="00B53D79"/>
    <w:rsid w:val="00B56CE8"/>
    <w:rsid w:val="00B618BA"/>
    <w:rsid w:val="00B665A2"/>
    <w:rsid w:val="00B708D0"/>
    <w:rsid w:val="00B723B9"/>
    <w:rsid w:val="00B82137"/>
    <w:rsid w:val="00B859EA"/>
    <w:rsid w:val="00BA1386"/>
    <w:rsid w:val="00BA162C"/>
    <w:rsid w:val="00BA282D"/>
    <w:rsid w:val="00BA4D57"/>
    <w:rsid w:val="00BB6260"/>
    <w:rsid w:val="00C00C86"/>
    <w:rsid w:val="00C05E74"/>
    <w:rsid w:val="00C10C19"/>
    <w:rsid w:val="00C143B8"/>
    <w:rsid w:val="00C17D02"/>
    <w:rsid w:val="00C26B75"/>
    <w:rsid w:val="00C5649C"/>
    <w:rsid w:val="00C5778C"/>
    <w:rsid w:val="00C655BF"/>
    <w:rsid w:val="00C75486"/>
    <w:rsid w:val="00C8202C"/>
    <w:rsid w:val="00C91576"/>
    <w:rsid w:val="00C92A5B"/>
    <w:rsid w:val="00CA46EC"/>
    <w:rsid w:val="00CA7E59"/>
    <w:rsid w:val="00CE2A90"/>
    <w:rsid w:val="00CF1841"/>
    <w:rsid w:val="00D05B29"/>
    <w:rsid w:val="00D1394D"/>
    <w:rsid w:val="00D27C2D"/>
    <w:rsid w:val="00D374FD"/>
    <w:rsid w:val="00D41ADE"/>
    <w:rsid w:val="00D47740"/>
    <w:rsid w:val="00D52853"/>
    <w:rsid w:val="00D65E01"/>
    <w:rsid w:val="00D732F9"/>
    <w:rsid w:val="00D812B9"/>
    <w:rsid w:val="00D903FD"/>
    <w:rsid w:val="00D94BC5"/>
    <w:rsid w:val="00D96C08"/>
    <w:rsid w:val="00DA157B"/>
    <w:rsid w:val="00DB7941"/>
    <w:rsid w:val="00DC3052"/>
    <w:rsid w:val="00DD5681"/>
    <w:rsid w:val="00DE55FA"/>
    <w:rsid w:val="00DF46C4"/>
    <w:rsid w:val="00DF4CA3"/>
    <w:rsid w:val="00E02515"/>
    <w:rsid w:val="00E11BF8"/>
    <w:rsid w:val="00E1604B"/>
    <w:rsid w:val="00E22D50"/>
    <w:rsid w:val="00E24C36"/>
    <w:rsid w:val="00E309B4"/>
    <w:rsid w:val="00E44BB4"/>
    <w:rsid w:val="00E975FE"/>
    <w:rsid w:val="00EC78E7"/>
    <w:rsid w:val="00ED0D3C"/>
    <w:rsid w:val="00ED43D2"/>
    <w:rsid w:val="00EE3B8C"/>
    <w:rsid w:val="00EF4A38"/>
    <w:rsid w:val="00EF5845"/>
    <w:rsid w:val="00F11B8F"/>
    <w:rsid w:val="00F1449A"/>
    <w:rsid w:val="00F159FD"/>
    <w:rsid w:val="00F203A4"/>
    <w:rsid w:val="00F30AE0"/>
    <w:rsid w:val="00F30B28"/>
    <w:rsid w:val="00F46B5A"/>
    <w:rsid w:val="00F47193"/>
    <w:rsid w:val="00F501B4"/>
    <w:rsid w:val="00F61B6D"/>
    <w:rsid w:val="00F74011"/>
    <w:rsid w:val="00F76175"/>
    <w:rsid w:val="00F80CFC"/>
    <w:rsid w:val="00F80DCB"/>
    <w:rsid w:val="00F92D45"/>
    <w:rsid w:val="00F9445A"/>
    <w:rsid w:val="00FA6C3E"/>
    <w:rsid w:val="00FB10CB"/>
    <w:rsid w:val="00FB6CDD"/>
    <w:rsid w:val="00FC0AB0"/>
    <w:rsid w:val="00FC6FA9"/>
    <w:rsid w:val="00FF1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2E656E"/>
  <w15:docId w15:val="{C460A427-0132-4445-8C44-6AA2658A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FD"/>
    <w:pPr>
      <w:spacing w:before="120" w:after="120"/>
    </w:pPr>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E55FA"/>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E1604B"/>
    <w:pPr>
      <w:spacing w:before="48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AC65DA"/>
    <w:rPr>
      <w:b/>
      <w:bCs/>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unhideWhenUsed/>
    <w:rsid w:val="00AC65DA"/>
    <w:pPr>
      <w:outlineLvl w:val="9"/>
    </w:pPr>
    <w:rPr>
      <w:lang w:bidi="en-US"/>
    </w:rPr>
  </w:style>
  <w:style w:type="paragraph" w:styleId="ListNumber">
    <w:name w:val="List Number"/>
    <w:basedOn w:val="Normal"/>
    <w:uiPriority w:val="99"/>
    <w:unhideWhenUsed/>
    <w:qFormat/>
    <w:rsid w:val="00FB10CB"/>
    <w:pPr>
      <w:numPr>
        <w:numId w:val="11"/>
      </w:numPr>
      <w:ind w:left="369" w:hanging="369"/>
      <w:contextualSpacing/>
    </w:pPr>
  </w:style>
  <w:style w:type="paragraph" w:styleId="ListNumber2">
    <w:name w:val="List Number 2"/>
    <w:basedOn w:val="Normal"/>
    <w:uiPriority w:val="99"/>
    <w:unhideWhenUsed/>
    <w:rsid w:val="00985632"/>
    <w:pPr>
      <w:numPr>
        <w:ilvl w:val="1"/>
        <w:numId w:val="11"/>
      </w:numPr>
      <w:tabs>
        <w:tab w:val="left" w:pos="1134"/>
      </w:tabs>
      <w:ind w:left="936" w:hanging="567"/>
      <w:contextualSpacing/>
    </w:pPr>
  </w:style>
  <w:style w:type="paragraph" w:styleId="ListNumber3">
    <w:name w:val="List Number 3"/>
    <w:basedOn w:val="Normal"/>
    <w:uiPriority w:val="99"/>
    <w:unhideWhenUsed/>
    <w:rsid w:val="00985632"/>
    <w:pPr>
      <w:numPr>
        <w:ilvl w:val="2"/>
        <w:numId w:val="11"/>
      </w:numPr>
      <w:ind w:left="1701" w:hanging="765"/>
      <w:contextualSpacing/>
    </w:pPr>
  </w:style>
  <w:style w:type="paragraph" w:styleId="ListNumber4">
    <w:name w:val="List Number 4"/>
    <w:basedOn w:val="Normal"/>
    <w:uiPriority w:val="99"/>
    <w:unhideWhenUsed/>
    <w:rsid w:val="00406E5A"/>
    <w:pPr>
      <w:numPr>
        <w:ilvl w:val="3"/>
        <w:numId w:val="11"/>
      </w:numPr>
      <w:ind w:left="2637" w:hanging="936"/>
      <w:contextualSpacing/>
    </w:pPr>
  </w:style>
  <w:style w:type="paragraph" w:styleId="ListBullet">
    <w:name w:val="List Bullet"/>
    <w:basedOn w:val="Normal"/>
    <w:uiPriority w:val="99"/>
    <w:unhideWhenUsed/>
    <w:qFormat/>
    <w:rsid w:val="00CA46EC"/>
    <w:pPr>
      <w:numPr>
        <w:numId w:val="16"/>
      </w:numPr>
      <w:ind w:left="369" w:hanging="369"/>
      <w:contextualSpacing/>
    </w:pPr>
  </w:style>
  <w:style w:type="paragraph" w:styleId="ListBullet2">
    <w:name w:val="List Bullet 2"/>
    <w:basedOn w:val="Normal"/>
    <w:uiPriority w:val="99"/>
    <w:unhideWhenUsed/>
    <w:rsid w:val="00CA46EC"/>
    <w:pPr>
      <w:numPr>
        <w:ilvl w:val="1"/>
        <w:numId w:val="16"/>
      </w:numPr>
      <w:ind w:left="766" w:hanging="369"/>
      <w:contextualSpacing/>
    </w:pPr>
  </w:style>
  <w:style w:type="paragraph" w:styleId="ListBullet3">
    <w:name w:val="List Bullet 3"/>
    <w:basedOn w:val="Normal"/>
    <w:uiPriority w:val="99"/>
    <w:unhideWhenUsed/>
    <w:rsid w:val="00CA46EC"/>
    <w:pPr>
      <w:numPr>
        <w:ilvl w:val="2"/>
        <w:numId w:val="16"/>
      </w:numPr>
      <w:ind w:left="1163" w:hanging="369"/>
      <w:contextualSpacing/>
    </w:pPr>
  </w:style>
  <w:style w:type="paragraph" w:styleId="ListBullet4">
    <w:name w:val="List Bullet 4"/>
    <w:basedOn w:val="Normal"/>
    <w:uiPriority w:val="99"/>
    <w:unhideWhenUsed/>
    <w:rsid w:val="00CA46EC"/>
    <w:pPr>
      <w:numPr>
        <w:ilvl w:val="3"/>
        <w:numId w:val="16"/>
      </w:numPr>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ucationTable">
    <w:name w:val="Education Table"/>
    <w:basedOn w:val="TableNormal"/>
    <w:uiPriority w:val="99"/>
    <w:rsid w:val="00366302"/>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semiHidden/>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paragraph" w:styleId="FootnoteText">
    <w:name w:val="footnote text"/>
    <w:basedOn w:val="Normal"/>
    <w:link w:val="FootnoteTextChar"/>
    <w:uiPriority w:val="99"/>
    <w:semiHidden/>
    <w:unhideWhenUsed/>
    <w:rsid w:val="00DE55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5FA"/>
    <w:rPr>
      <w:sz w:val="20"/>
      <w:szCs w:val="20"/>
    </w:rPr>
  </w:style>
  <w:style w:type="character" w:styleId="FootnoteReference">
    <w:name w:val="footnote reference"/>
    <w:basedOn w:val="DefaultParagraphFont"/>
    <w:uiPriority w:val="99"/>
    <w:semiHidden/>
    <w:unhideWhenUsed/>
    <w:rsid w:val="00DE55FA"/>
    <w:rPr>
      <w:vertAlign w:val="superscript"/>
    </w:rPr>
  </w:style>
  <w:style w:type="paragraph" w:customStyle="1" w:styleId="BasicParagraph">
    <w:name w:val="[Basic Paragraph]"/>
    <w:basedOn w:val="Normal"/>
    <w:uiPriority w:val="99"/>
    <w:rsid w:val="006A1F67"/>
    <w:pPr>
      <w:autoSpaceDE w:val="0"/>
      <w:autoSpaceDN w:val="0"/>
      <w:adjustRightInd w:val="0"/>
      <w:spacing w:before="0" w:after="0" w:line="288" w:lineRule="auto"/>
      <w:textAlignment w:val="center"/>
    </w:pPr>
    <w:rPr>
      <w:rFonts w:ascii="Minion Pro"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295DF8831F496DA3DF8BF6B06EFE49"/>
        <w:category>
          <w:name w:val="General"/>
          <w:gallery w:val="placeholder"/>
        </w:category>
        <w:types>
          <w:type w:val="bbPlcHdr"/>
        </w:types>
        <w:behaviors>
          <w:behavior w:val="content"/>
        </w:behaviors>
        <w:guid w:val="{B51E5D45-F8B2-44CB-B6D4-F3C16611A91D}"/>
      </w:docPartPr>
      <w:docPartBody>
        <w:p w:rsidR="007E4322" w:rsidRDefault="00A274B9" w:rsidP="00A274B9">
          <w:pPr>
            <w:pStyle w:val="98295DF8831F496DA3DF8BF6B06EFE49"/>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FC"/>
    <w:rsid w:val="000567FC"/>
    <w:rsid w:val="003071AF"/>
    <w:rsid w:val="007E4322"/>
    <w:rsid w:val="00A27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4B9"/>
    <w:rPr>
      <w:color w:val="808080"/>
    </w:rPr>
  </w:style>
  <w:style w:type="paragraph" w:customStyle="1" w:styleId="A98782A4A47A4521AEDC8F233D20C403">
    <w:name w:val="A98782A4A47A4521AEDC8F233D20C403"/>
  </w:style>
  <w:style w:type="paragraph" w:customStyle="1" w:styleId="BB4E3638832B4D359DD744AA6381628D">
    <w:name w:val="BB4E3638832B4D359DD744AA6381628D"/>
    <w:rsid w:val="00A274B9"/>
  </w:style>
  <w:style w:type="paragraph" w:customStyle="1" w:styleId="98295DF8831F496DA3DF8BF6B06EFE49">
    <w:name w:val="98295DF8831F496DA3DF8BF6B06EFE49"/>
    <w:rsid w:val="00A27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a79020c4b25e25e8f7900ec03033250c">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3fd1cb83386e3e96473aa3ea0fcee1b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Minute"/>
          <xsd:enumeration value="Meeting"/>
          <xsd:enumeration value="Letter"/>
          <xsd:enumeration value="Additional Secretary templates"/>
          <xsd:enumeration value="Departmental templates"/>
          <xsd:enumeration value="Organisational Chart"/>
          <xsd:enumeration value="Email"/>
          <xsd:enumeration value="Fax"/>
        </xsd:restriction>
      </xsd:simpleType>
    </xsd:element>
    <xsd:element name="Security_x0020_DLM" ma:index="11" nillable="true" ma:displayName="Security DLM" ma:format="Dropdown" ma:internalName="Security_x0020_DLM">
      <xsd:simpleType>
        <xsd:restriction base="dms:Choice">
          <xsd:enumeration value="Personal privacy"/>
          <xsd:enumeration value="Legislative secrecy"/>
          <xsd:enumeration value="Legal privilege"/>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OFFICIAL"/>
          <xsd:enumeration value="OFFICIAL: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Departmental templates</Categories0>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D44D4-1230-4F0E-82B5-094160C1B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AAB01-E58C-4841-B922-14ADCC30097F}">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c5a0bbd5-585e-4472-9791-5df67fe41a90"/>
    <ds:schemaRef ds:uri="http://www.w3.org/XML/1998/namespace"/>
  </ds:schemaRefs>
</ds:datastoreItem>
</file>

<file path=customXml/itemProps3.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4.xml><?xml version="1.0" encoding="utf-8"?>
<ds:datastoreItem xmlns:ds="http://schemas.openxmlformats.org/officeDocument/2006/customXml" ds:itemID="{32755761-B427-4F6B-B1BF-7E704E7D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DFCA9750.dotm</Template>
  <TotalTime>0</TotalTime>
  <Pages>8</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International Education Agents</vt:lpstr>
    </vt:vector>
  </TitlesOfParts>
  <Company>Australian Government</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Education Agents</dc:title>
  <dc:creator>ASHTON,Michael</dc:creator>
  <cp:lastModifiedBy>MANNIE,Ryan</cp:lastModifiedBy>
  <cp:revision>2</cp:revision>
  <cp:lastPrinted>2019-10-11T00:02:00Z</cp:lastPrinted>
  <dcterms:created xsi:type="dcterms:W3CDTF">2019-10-11T03:57:00Z</dcterms:created>
  <dcterms:modified xsi:type="dcterms:W3CDTF">2019-10-11T03:57:00Z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