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D88D2" w14:textId="192AC114" w:rsidR="002251BF" w:rsidRPr="00202E76" w:rsidRDefault="6B870884" w:rsidP="7634409A">
      <w:pPr>
        <w:spacing w:before="480" w:after="180" w:line="240" w:lineRule="auto"/>
        <w:outlineLvl w:val="0"/>
        <w:rPr>
          <w:rFonts w:ascii="Corbel" w:eastAsia="Times New Roman" w:hAnsi="Corbel" w:cs="Consolas"/>
          <w:b/>
          <w:bCs/>
          <w:caps/>
          <w:color w:val="316F72"/>
          <w:kern w:val="32"/>
          <w:sz w:val="32"/>
          <w:szCs w:val="32"/>
          <w:lang w:eastAsia="en-AU"/>
        </w:rPr>
      </w:pPr>
      <w:r w:rsidRPr="7634409A">
        <w:rPr>
          <w:rFonts w:ascii="Corbel" w:eastAsia="Times New Roman" w:hAnsi="Corbel" w:cs="Consolas"/>
          <w:b/>
          <w:bCs/>
          <w:caps/>
          <w:color w:val="316F72"/>
          <w:kern w:val="32"/>
          <w:sz w:val="32"/>
          <w:szCs w:val="32"/>
          <w:lang w:eastAsia="en-AU"/>
        </w:rPr>
        <w:t xml:space="preserve">Appendix </w:t>
      </w:r>
      <w:r w:rsidR="004D332D" w:rsidRPr="7634409A">
        <w:rPr>
          <w:rFonts w:ascii="Corbel" w:eastAsia="Times New Roman" w:hAnsi="Corbel" w:cs="Consolas"/>
          <w:b/>
          <w:bCs/>
          <w:caps/>
          <w:color w:val="316F72"/>
          <w:sz w:val="32"/>
          <w:szCs w:val="32"/>
          <w:lang w:eastAsia="en-AU"/>
        </w:rPr>
        <w:t>4</w:t>
      </w:r>
      <w:r w:rsidR="1D0CC6A0" w:rsidRPr="7634409A">
        <w:rPr>
          <w:rFonts w:ascii="Corbel" w:eastAsia="Times New Roman" w:hAnsi="Corbel" w:cs="Consolas"/>
          <w:b/>
          <w:bCs/>
          <w:caps/>
          <w:color w:val="316F72"/>
          <w:kern w:val="32"/>
          <w:sz w:val="32"/>
          <w:szCs w:val="32"/>
          <w:lang w:eastAsia="en-AU"/>
        </w:rPr>
        <w:t>: Bilateral agreement between the Northern territory and the Commonwealth on quality schools reform</w:t>
      </w:r>
    </w:p>
    <w:p w14:paraId="71FFA970" w14:textId="15BF248D" w:rsidR="002251BF" w:rsidRPr="00202E76" w:rsidRDefault="002251BF" w:rsidP="002251BF">
      <w:pPr>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Preliminaries</w:t>
      </w:r>
    </w:p>
    <w:p w14:paraId="2863EEFF" w14:textId="040527A3" w:rsidR="002251BF" w:rsidRPr="00340377"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40377">
        <w:rPr>
          <w:rFonts w:ascii="Corbel" w:eastAsia="Times New Roman" w:hAnsi="Corbel" w:cs="Calibri"/>
          <w:color w:val="000000"/>
          <w:sz w:val="23"/>
          <w:szCs w:val="23"/>
          <w:lang w:eastAsia="en-AU"/>
        </w:rPr>
        <w:t xml:space="preserve">This agreement satisfies the conditions of subsection 22(2)(b) of the </w:t>
      </w:r>
      <w:r w:rsidRPr="00A02607">
        <w:rPr>
          <w:rFonts w:ascii="Corbel" w:eastAsia="Times New Roman" w:hAnsi="Corbel" w:cs="Calibri"/>
          <w:i/>
          <w:color w:val="000000"/>
          <w:sz w:val="23"/>
          <w:szCs w:val="23"/>
          <w:lang w:eastAsia="en-AU"/>
        </w:rPr>
        <w:t>Australian Education Act 2013</w:t>
      </w:r>
      <w:r>
        <w:rPr>
          <w:rFonts w:ascii="Corbel" w:eastAsia="Times New Roman" w:hAnsi="Corbel" w:cs="Calibri"/>
          <w:color w:val="000000"/>
          <w:sz w:val="23"/>
          <w:szCs w:val="23"/>
          <w:lang w:eastAsia="en-AU"/>
        </w:rPr>
        <w:t xml:space="preserve"> (the Act)</w:t>
      </w:r>
      <w:r w:rsidRPr="00965BAF">
        <w:rPr>
          <w:rFonts w:ascii="Corbel" w:eastAsia="Times New Roman" w:hAnsi="Corbel" w:cs="Calibri"/>
          <w:color w:val="000000"/>
          <w:sz w:val="23"/>
          <w:szCs w:val="23"/>
          <w:lang w:eastAsia="en-AU"/>
        </w:rPr>
        <w:t xml:space="preserve"> </w:t>
      </w:r>
      <w:r w:rsidRPr="00340377">
        <w:rPr>
          <w:rFonts w:ascii="Corbel" w:eastAsia="Times New Roman" w:hAnsi="Corbel" w:cs="Calibri"/>
          <w:color w:val="000000"/>
          <w:sz w:val="23"/>
          <w:szCs w:val="23"/>
          <w:lang w:eastAsia="en-AU"/>
        </w:rPr>
        <w:t>requiring each State and Territory to be party to an agreement with the Commonwealth relating to the implementation of school education reform. It also satisfies the requirement in paragraph 1(1)(b) of Schedule 1 to the Regulation, relating to the use of financial assistance payable under subsection 69</w:t>
      </w:r>
      <w:proofErr w:type="gramStart"/>
      <w:r w:rsidRPr="00340377">
        <w:rPr>
          <w:rFonts w:ascii="Corbel" w:eastAsia="Times New Roman" w:hAnsi="Corbel" w:cs="Calibri"/>
          <w:color w:val="000000"/>
          <w:sz w:val="23"/>
          <w:szCs w:val="23"/>
          <w:lang w:eastAsia="en-AU"/>
        </w:rPr>
        <w:t>B(</w:t>
      </w:r>
      <w:proofErr w:type="gramEnd"/>
      <w:r w:rsidRPr="00340377">
        <w:rPr>
          <w:rFonts w:ascii="Corbel" w:eastAsia="Times New Roman" w:hAnsi="Corbel" w:cs="Calibri"/>
          <w:color w:val="000000"/>
          <w:sz w:val="23"/>
          <w:szCs w:val="23"/>
          <w:lang w:eastAsia="en-AU"/>
        </w:rPr>
        <w:t>1) of the Act.</w:t>
      </w:r>
    </w:p>
    <w:p w14:paraId="597BE70B" w14:textId="73F8F893" w:rsidR="002251BF" w:rsidRPr="000D2DF0"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0D2DF0">
        <w:rPr>
          <w:rFonts w:ascii="Corbel" w:eastAsia="Times New Roman" w:hAnsi="Corbel" w:cs="Calibri"/>
          <w:color w:val="000000"/>
          <w:sz w:val="23"/>
          <w:szCs w:val="23"/>
          <w:lang w:eastAsia="en-AU"/>
        </w:rPr>
        <w:t xml:space="preserve">This bilateral agreement will inform the priorities for the work plans for non-government representative bodies in </w:t>
      </w:r>
      <w:r>
        <w:rPr>
          <w:rFonts w:ascii="Corbel" w:eastAsia="Times New Roman" w:hAnsi="Corbel" w:cs="Calibri"/>
          <w:color w:val="000000"/>
          <w:sz w:val="23"/>
          <w:szCs w:val="23"/>
          <w:lang w:eastAsia="en-AU"/>
        </w:rPr>
        <w:t xml:space="preserve">the Northern Territory </w:t>
      </w:r>
      <w:r w:rsidRPr="000D2DF0">
        <w:rPr>
          <w:rFonts w:ascii="Corbel" w:eastAsia="Times New Roman" w:hAnsi="Corbel" w:cs="Calibri"/>
          <w:color w:val="000000"/>
          <w:sz w:val="23"/>
          <w:szCs w:val="23"/>
          <w:lang w:eastAsia="en-AU"/>
        </w:rPr>
        <w:t>under the Australian Government’s Non</w:t>
      </w:r>
      <w:r w:rsidR="76EAEB11" w:rsidRPr="000D2DF0">
        <w:rPr>
          <w:rFonts w:ascii="Corbel" w:eastAsia="Times New Roman" w:hAnsi="Corbel" w:cs="Calibri"/>
          <w:color w:val="000000"/>
          <w:sz w:val="23"/>
          <w:szCs w:val="23"/>
          <w:lang w:eastAsia="en-AU"/>
        </w:rPr>
        <w:t>-</w:t>
      </w:r>
      <w:r>
        <w:rPr>
          <w:rFonts w:ascii="Corbel" w:eastAsia="Times New Roman" w:hAnsi="Corbel" w:cs="Calibri"/>
          <w:color w:val="000000"/>
          <w:sz w:val="23"/>
          <w:szCs w:val="23"/>
          <w:lang w:eastAsia="en-AU"/>
        </w:rPr>
        <w:noBreakHyphen/>
      </w:r>
      <w:r w:rsidRPr="000D2DF0">
        <w:rPr>
          <w:rFonts w:ascii="Corbel" w:eastAsia="Times New Roman" w:hAnsi="Corbel" w:cs="Calibri"/>
          <w:color w:val="000000"/>
          <w:sz w:val="23"/>
          <w:szCs w:val="23"/>
          <w:lang w:eastAsia="en-AU"/>
        </w:rPr>
        <w:t>Government Reform Support Fund.</w:t>
      </w:r>
    </w:p>
    <w:p w14:paraId="22CE6A39" w14:textId="4AEA9962" w:rsidR="002251BF" w:rsidRPr="008E3455"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4182BC9">
        <w:rPr>
          <w:rFonts w:ascii="Corbel" w:eastAsia="Times New Roman" w:hAnsi="Corbel" w:cs="Calibri"/>
          <w:color w:val="000000" w:themeColor="text1"/>
          <w:sz w:val="23"/>
          <w:szCs w:val="23"/>
          <w:lang w:eastAsia="en-AU"/>
        </w:rPr>
        <w:t xml:space="preserve">This bilateral agreement between the Commonwealth and Northern Territory will commence on 1 January 2019 and expire on 31 December </w:t>
      </w:r>
      <w:r w:rsidR="00E90672" w:rsidRPr="04182BC9">
        <w:rPr>
          <w:rFonts w:ascii="Corbel" w:eastAsia="Times New Roman" w:hAnsi="Corbel" w:cs="Calibri"/>
          <w:color w:val="000000" w:themeColor="text1"/>
          <w:sz w:val="23"/>
          <w:szCs w:val="23"/>
          <w:lang w:eastAsia="en-AU"/>
        </w:rPr>
        <w:t>2024</w:t>
      </w:r>
      <w:r w:rsidRPr="04182BC9">
        <w:rPr>
          <w:rFonts w:ascii="Corbel" w:eastAsia="Times New Roman" w:hAnsi="Corbel" w:cs="Calibri"/>
          <w:color w:val="000000" w:themeColor="text1"/>
          <w:sz w:val="23"/>
          <w:szCs w:val="23"/>
          <w:lang w:eastAsia="en-AU"/>
        </w:rPr>
        <w:t>.</w:t>
      </w:r>
      <w:r w:rsidR="00FC083C" w:rsidRPr="04182BC9">
        <w:rPr>
          <w:rFonts w:ascii="Corbel" w:eastAsia="Times New Roman" w:hAnsi="Corbel" w:cs="Calibri"/>
          <w:color w:val="000000" w:themeColor="text1"/>
          <w:sz w:val="23"/>
          <w:szCs w:val="23"/>
          <w:lang w:eastAsia="en-AU"/>
        </w:rPr>
        <w:t xml:space="preserve"> </w:t>
      </w:r>
      <w:r w:rsidRPr="04182BC9">
        <w:rPr>
          <w:rFonts w:ascii="Corbel" w:eastAsia="Times New Roman" w:hAnsi="Corbel" w:cs="Calibri"/>
          <w:color w:val="000000" w:themeColor="text1"/>
          <w:sz w:val="23"/>
          <w:szCs w:val="23"/>
          <w:lang w:eastAsia="en-AU"/>
        </w:rPr>
        <w:t>Although this agreement commences on 1 January 2019, the Territory’s share stipulated in this bilateral agreement for 2018 will apply to the 2018 calendar year.</w:t>
      </w:r>
    </w:p>
    <w:p w14:paraId="622A849B" w14:textId="32B8232F" w:rsidR="002251BF" w:rsidRPr="008E3455"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71BBD4E5">
        <w:rPr>
          <w:rFonts w:ascii="Corbel" w:eastAsia="Times New Roman" w:hAnsi="Corbel" w:cs="Calibri"/>
          <w:color w:val="000000" w:themeColor="text1"/>
          <w:sz w:val="23"/>
          <w:szCs w:val="23"/>
          <w:lang w:eastAsia="en-AU"/>
        </w:rPr>
        <w:t>The Commonwealth</w:t>
      </w:r>
      <w:r w:rsidR="001C19DE" w:rsidRPr="71BBD4E5">
        <w:rPr>
          <w:rFonts w:ascii="Corbel" w:eastAsia="Times New Roman" w:hAnsi="Corbel" w:cs="Calibri"/>
          <w:color w:val="000000" w:themeColor="text1"/>
          <w:sz w:val="23"/>
          <w:szCs w:val="23"/>
          <w:lang w:eastAsia="en-AU"/>
        </w:rPr>
        <w:t xml:space="preserve"> is providing an additional $78.</w:t>
      </w:r>
      <w:r w:rsidRPr="71BBD4E5">
        <w:rPr>
          <w:rFonts w:ascii="Corbel" w:eastAsia="Times New Roman" w:hAnsi="Corbel" w:cs="Calibri"/>
          <w:color w:val="000000" w:themeColor="text1"/>
          <w:sz w:val="23"/>
          <w:szCs w:val="23"/>
          <w:lang w:eastAsia="en-AU"/>
        </w:rPr>
        <w:t xml:space="preserve">453 million in transition support for Northern Territory government schools from 2018 to 2027 (inclusive) for the purpose of supporting school education and in accordance with this agreement. </w:t>
      </w:r>
    </w:p>
    <w:p w14:paraId="1F42E9BE" w14:textId="688DFFA1" w:rsidR="002251BF" w:rsidRPr="000C6ACF"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0C6ACF">
        <w:rPr>
          <w:rFonts w:ascii="Corbel" w:eastAsia="Times New Roman" w:hAnsi="Corbel" w:cs="Calibri"/>
          <w:color w:val="000000"/>
          <w:sz w:val="23"/>
          <w:szCs w:val="23"/>
          <w:lang w:eastAsia="en-AU"/>
        </w:rPr>
        <w:t xml:space="preserve">In the </w:t>
      </w:r>
      <w:r w:rsidRPr="009172B3">
        <w:rPr>
          <w:rFonts w:ascii="Corbel" w:hAnsi="Corbel"/>
          <w:color w:val="000000"/>
          <w:sz w:val="23"/>
          <w:szCs w:val="23"/>
          <w:lang w:eastAsia="en-AU"/>
        </w:rPr>
        <w:t>event</w:t>
      </w:r>
      <w:r w:rsidRPr="000C6ACF">
        <w:rPr>
          <w:rFonts w:ascii="Corbel" w:eastAsia="Times New Roman" w:hAnsi="Corbel" w:cs="Calibri"/>
          <w:color w:val="000000"/>
          <w:sz w:val="23"/>
          <w:szCs w:val="23"/>
          <w:lang w:eastAsia="en-AU"/>
        </w:rPr>
        <w:t xml:space="preserve"> the Commonwealth offers terms to the agreement that are more favourable in bilateral agreements with other jurisdictions, including but not limited to:</w:t>
      </w:r>
    </w:p>
    <w:p w14:paraId="3AEF98EE" w14:textId="1B6E03FB" w:rsidR="002251BF" w:rsidRPr="00A02607" w:rsidRDefault="002251BF" w:rsidP="002251BF">
      <w:pPr>
        <w:numPr>
          <w:ilvl w:val="0"/>
          <w:numId w:val="2"/>
        </w:numPr>
        <w:spacing w:after="240" w:line="260" w:lineRule="exact"/>
        <w:ind w:left="993"/>
        <w:jc w:val="both"/>
        <w:rPr>
          <w:rFonts w:ascii="Corbel" w:eastAsia="Times New Roman" w:hAnsi="Corbel" w:cs="Calibri"/>
          <w:color w:val="000000"/>
          <w:sz w:val="23"/>
          <w:szCs w:val="23"/>
          <w:lang w:eastAsia="en-AU"/>
        </w:rPr>
      </w:pPr>
      <w:r w:rsidRPr="00A02607">
        <w:rPr>
          <w:rFonts w:ascii="Corbel" w:eastAsia="Times New Roman" w:hAnsi="Corbel" w:cs="Calibri"/>
          <w:color w:val="000000"/>
          <w:sz w:val="23"/>
          <w:szCs w:val="23"/>
          <w:lang w:eastAsia="en-AU"/>
        </w:rPr>
        <w:t>an adjustment to the measurement of state funding contribution included in another state’s bilateral agreement, or</w:t>
      </w:r>
    </w:p>
    <w:p w14:paraId="202C2747" w14:textId="74FB3802" w:rsidR="002251BF" w:rsidRPr="00A02607" w:rsidRDefault="002251BF" w:rsidP="002251BF">
      <w:pPr>
        <w:numPr>
          <w:ilvl w:val="0"/>
          <w:numId w:val="2"/>
        </w:numPr>
        <w:spacing w:after="240" w:line="260" w:lineRule="exact"/>
        <w:ind w:left="993"/>
        <w:jc w:val="both"/>
        <w:rPr>
          <w:rFonts w:ascii="Corbel" w:eastAsia="Times New Roman" w:hAnsi="Corbel" w:cs="Calibri"/>
          <w:color w:val="000000"/>
          <w:sz w:val="23"/>
          <w:szCs w:val="23"/>
          <w:lang w:eastAsia="en-AU"/>
        </w:rPr>
      </w:pPr>
      <w:r w:rsidRPr="00A02607">
        <w:rPr>
          <w:rFonts w:ascii="Corbel" w:eastAsia="Times New Roman" w:hAnsi="Corbel" w:cs="Calibri"/>
          <w:color w:val="000000"/>
          <w:sz w:val="23"/>
          <w:szCs w:val="23"/>
          <w:lang w:eastAsia="en-AU"/>
        </w:rPr>
        <w:t xml:space="preserve">any subsequent agreement the Commonwealth makes with any other state or territory which favourably impacts on that state’s financial contributions or risk sharing arrangements under the agreement, </w:t>
      </w:r>
    </w:p>
    <w:p w14:paraId="3361CFFF" w14:textId="5EE088C4" w:rsidR="002251BF" w:rsidRDefault="002251BF" w:rsidP="002251BF">
      <w:pPr>
        <w:spacing w:before="180" w:after="120" w:line="240" w:lineRule="auto"/>
        <w:ind w:left="567"/>
        <w:outlineLvl w:val="1"/>
        <w:rPr>
          <w:rFonts w:ascii="Corbel" w:eastAsia="Times New Roman" w:hAnsi="Corbel" w:cs="Calibri"/>
          <w:color w:val="000000"/>
          <w:sz w:val="23"/>
          <w:szCs w:val="23"/>
          <w:lang w:eastAsia="en-AU"/>
        </w:rPr>
      </w:pPr>
      <w:r w:rsidRPr="000C6ACF">
        <w:rPr>
          <w:rFonts w:ascii="Corbel" w:eastAsia="Times New Roman" w:hAnsi="Corbel" w:cs="Calibri"/>
          <w:color w:val="000000"/>
          <w:sz w:val="23"/>
          <w:szCs w:val="23"/>
          <w:lang w:eastAsia="en-AU"/>
        </w:rPr>
        <w:t xml:space="preserve">then these terms will also be made available to </w:t>
      </w:r>
      <w:r>
        <w:rPr>
          <w:rFonts w:ascii="Corbel" w:eastAsia="Times New Roman" w:hAnsi="Corbel" w:cs="Calibri"/>
          <w:color w:val="000000"/>
          <w:sz w:val="23"/>
          <w:szCs w:val="23"/>
          <w:lang w:eastAsia="en-AU"/>
        </w:rPr>
        <w:t>the Northern Territory</w:t>
      </w:r>
      <w:r w:rsidRPr="000C6ACF">
        <w:rPr>
          <w:rFonts w:ascii="Corbel" w:eastAsia="Times New Roman" w:hAnsi="Corbel" w:cs="Calibri"/>
          <w:color w:val="000000"/>
          <w:sz w:val="23"/>
          <w:szCs w:val="23"/>
          <w:lang w:eastAsia="en-AU"/>
        </w:rPr>
        <w:t xml:space="preserve"> and this agreement will be updated to </w:t>
      </w:r>
      <w:proofErr w:type="gramStart"/>
      <w:r w:rsidRPr="000C6ACF">
        <w:rPr>
          <w:rFonts w:ascii="Corbel" w:eastAsia="Times New Roman" w:hAnsi="Corbel" w:cs="Calibri"/>
          <w:color w:val="000000"/>
          <w:sz w:val="23"/>
          <w:szCs w:val="23"/>
          <w:lang w:eastAsia="en-AU"/>
        </w:rPr>
        <w:t>take into account</w:t>
      </w:r>
      <w:proofErr w:type="gramEnd"/>
      <w:r w:rsidRPr="000C6ACF">
        <w:rPr>
          <w:rFonts w:ascii="Corbel" w:eastAsia="Times New Roman" w:hAnsi="Corbel" w:cs="Calibri"/>
          <w:color w:val="000000"/>
          <w:sz w:val="23"/>
          <w:szCs w:val="23"/>
          <w:lang w:eastAsia="en-AU"/>
        </w:rPr>
        <w:t xml:space="preserve"> the adjustment or material change to circumstance. The agreement may also be updated through agreement with the Commonwealth if there is a material change in the state’s circumstances, beyond its reasonable control, which will affect </w:t>
      </w:r>
      <w:r>
        <w:rPr>
          <w:rFonts w:ascii="Corbel" w:eastAsia="Times New Roman" w:hAnsi="Corbel" w:cs="Calibri"/>
          <w:color w:val="000000"/>
          <w:sz w:val="23"/>
          <w:szCs w:val="23"/>
          <w:lang w:eastAsia="en-AU"/>
        </w:rPr>
        <w:t>the Northern Territory</w:t>
      </w:r>
      <w:r w:rsidRPr="000C6ACF">
        <w:rPr>
          <w:rFonts w:ascii="Corbel" w:eastAsia="Times New Roman" w:hAnsi="Corbel" w:cs="Calibri"/>
          <w:color w:val="000000"/>
          <w:sz w:val="23"/>
          <w:szCs w:val="23"/>
          <w:lang w:eastAsia="en-AU"/>
        </w:rPr>
        <w:t xml:space="preserve">’s fiscal position or the recognition of the state’s funding contribution. </w:t>
      </w:r>
    </w:p>
    <w:p w14:paraId="2BB611F0" w14:textId="1632291D" w:rsidR="002251BF" w:rsidRPr="00202E76" w:rsidRDefault="002251BF" w:rsidP="002251BF">
      <w:pPr>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Reform context</w:t>
      </w:r>
      <w:r>
        <w:rPr>
          <w:rFonts w:ascii="Corbel" w:eastAsia="Times New Roman" w:hAnsi="Corbel" w:cs="Corbel"/>
          <w:b/>
          <w:bCs/>
          <w:color w:val="316F72"/>
          <w:sz w:val="28"/>
          <w:szCs w:val="28"/>
          <w:lang w:eastAsia="en-AU"/>
        </w:rPr>
        <w:t xml:space="preserve"> – government school sector</w:t>
      </w:r>
    </w:p>
    <w:p w14:paraId="489236B7" w14:textId="059F46E7" w:rsidR="002251BF"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The Northern Territory’s vision is for a strong public education system that ensures equity and gives every child the opportunity to engage, grow and achieve. </w:t>
      </w:r>
    </w:p>
    <w:p w14:paraId="672A6659" w14:textId="4A6FBE0B" w:rsidR="002251BF" w:rsidRPr="003A7206" w:rsidRDefault="002251BF" w:rsidP="002251BF">
      <w:pPr>
        <w:spacing w:after="240" w:line="260" w:lineRule="exact"/>
        <w:ind w:left="284"/>
        <w:jc w:val="both"/>
        <w:rPr>
          <w:rFonts w:ascii="Corbel" w:eastAsia="Times New Roman" w:hAnsi="Corbel" w:cs="Calibri"/>
          <w:color w:val="000000"/>
          <w:sz w:val="23"/>
          <w:szCs w:val="23"/>
          <w:lang w:eastAsia="en-AU"/>
        </w:rPr>
      </w:pPr>
    </w:p>
    <w:p w14:paraId="38602468" w14:textId="58C43CEC"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lastRenderedPageBreak/>
        <w:t xml:space="preserve">Education starts from birth. The Northern Territory Government is committed to support children and families to build the skills to be ready for school, day one, term one, year one. By providing children with the confidence in the early years, they will be more engaged and thrive in the schooling the environment. </w:t>
      </w:r>
    </w:p>
    <w:p w14:paraId="2F28656A" w14:textId="00424655"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At school, the priorities are to maximise student engagement and participation, to ensure that every student achieves at least one year of growth for one year of education and that every student once they leave school has opportunities to pursue a pathway for a bright future.   </w:t>
      </w:r>
    </w:p>
    <w:p w14:paraId="6AE6E317" w14:textId="0B3BD8B5"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The delivery of school education in the Northern Territory is unique because of the challenges associated with providing services to a disproportionately high number of disadvantaged schools and students. </w:t>
      </w:r>
    </w:p>
    <w:p w14:paraId="2B36B551" w14:textId="053091A8"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There are 153 government schools in the </w:t>
      </w:r>
      <w:r>
        <w:rPr>
          <w:rFonts w:ascii="Corbel" w:eastAsia="Times New Roman" w:hAnsi="Corbel" w:cs="Calibri"/>
          <w:color w:val="000000"/>
          <w:sz w:val="23"/>
          <w:szCs w:val="23"/>
          <w:lang w:eastAsia="en-AU"/>
        </w:rPr>
        <w:t xml:space="preserve">Northern </w:t>
      </w:r>
      <w:r w:rsidRPr="003A7206">
        <w:rPr>
          <w:rFonts w:ascii="Corbel" w:eastAsia="Times New Roman" w:hAnsi="Corbel" w:cs="Calibri"/>
          <w:color w:val="000000"/>
          <w:sz w:val="23"/>
          <w:szCs w:val="23"/>
          <w:lang w:eastAsia="en-AU"/>
        </w:rPr>
        <w:t xml:space="preserve">Territory spread across a vast and remote geographical area. Three quarters of government schools in the </w:t>
      </w:r>
      <w:r>
        <w:rPr>
          <w:rFonts w:ascii="Corbel" w:eastAsia="Times New Roman" w:hAnsi="Corbel" w:cs="Calibri"/>
          <w:color w:val="000000"/>
          <w:sz w:val="23"/>
          <w:szCs w:val="23"/>
          <w:lang w:eastAsia="en-AU"/>
        </w:rPr>
        <w:t xml:space="preserve">Northern </w:t>
      </w:r>
      <w:r w:rsidRPr="003A7206">
        <w:rPr>
          <w:rFonts w:ascii="Corbel" w:eastAsia="Times New Roman" w:hAnsi="Corbel" w:cs="Calibri"/>
          <w:color w:val="000000"/>
          <w:sz w:val="23"/>
          <w:szCs w:val="23"/>
          <w:lang w:eastAsia="en-AU"/>
        </w:rPr>
        <w:t xml:space="preserve">Territory </w:t>
      </w:r>
      <w:proofErr w:type="gramStart"/>
      <w:r w:rsidRPr="003A7206">
        <w:rPr>
          <w:rFonts w:ascii="Corbel" w:eastAsia="Times New Roman" w:hAnsi="Corbel" w:cs="Calibri"/>
          <w:color w:val="000000"/>
          <w:sz w:val="23"/>
          <w:szCs w:val="23"/>
          <w:lang w:eastAsia="en-AU"/>
        </w:rPr>
        <w:t>are located in</w:t>
      </w:r>
      <w:proofErr w:type="gramEnd"/>
      <w:r w:rsidRPr="003A7206">
        <w:rPr>
          <w:rFonts w:ascii="Corbel" w:eastAsia="Times New Roman" w:hAnsi="Corbel" w:cs="Calibri"/>
          <w:color w:val="000000"/>
          <w:sz w:val="23"/>
          <w:szCs w:val="23"/>
          <w:lang w:eastAsia="en-AU"/>
        </w:rPr>
        <w:t xml:space="preserve"> remote and very remote areas and about a third have a total enrolment of 50 students or less. The vast distances between schools and small population means there are significant challenges associated with diseconomies of small scale in the delivery of education services in the </w:t>
      </w:r>
      <w:r>
        <w:rPr>
          <w:rFonts w:ascii="Corbel" w:eastAsia="Times New Roman" w:hAnsi="Corbel" w:cs="Calibri"/>
          <w:color w:val="000000"/>
          <w:sz w:val="23"/>
          <w:szCs w:val="23"/>
          <w:lang w:eastAsia="en-AU"/>
        </w:rPr>
        <w:t xml:space="preserve">Northern </w:t>
      </w:r>
      <w:r w:rsidRPr="003A7206">
        <w:rPr>
          <w:rFonts w:ascii="Corbel" w:eastAsia="Times New Roman" w:hAnsi="Corbel" w:cs="Calibri"/>
          <w:color w:val="000000"/>
          <w:sz w:val="23"/>
          <w:szCs w:val="23"/>
          <w:lang w:eastAsia="en-AU"/>
        </w:rPr>
        <w:t xml:space="preserve">Territory.  </w:t>
      </w:r>
    </w:p>
    <w:p w14:paraId="05337A46" w14:textId="4FDFC84F"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71BBD4E5">
        <w:rPr>
          <w:rFonts w:ascii="Corbel" w:eastAsia="Times New Roman" w:hAnsi="Corbel" w:cs="Calibri"/>
          <w:color w:val="000000" w:themeColor="text1"/>
          <w:sz w:val="23"/>
          <w:szCs w:val="23"/>
          <w:lang w:eastAsia="en-AU"/>
        </w:rPr>
        <w:t>The student profile in the Northern Territory is very different from other jurisdictions. There are a disproportionate number of disadvantaged students in the Northern Territory, the majority of which attend government schools:</w:t>
      </w:r>
    </w:p>
    <w:p w14:paraId="35D02398" w14:textId="7A30FE72" w:rsidR="002251BF" w:rsidRPr="003A7206" w:rsidRDefault="002251BF" w:rsidP="002251BF">
      <w:pPr>
        <w:numPr>
          <w:ilvl w:val="0"/>
          <w:numId w:val="4"/>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44 per cent of governments students in the </w:t>
      </w:r>
      <w:r>
        <w:rPr>
          <w:rFonts w:ascii="Corbel" w:eastAsia="Times New Roman" w:hAnsi="Corbel" w:cs="Calibri"/>
          <w:color w:val="000000"/>
          <w:sz w:val="23"/>
          <w:szCs w:val="23"/>
          <w:lang w:eastAsia="en-AU"/>
        </w:rPr>
        <w:t xml:space="preserve">Northern </w:t>
      </w:r>
      <w:r w:rsidRPr="003A7206">
        <w:rPr>
          <w:rFonts w:ascii="Corbel" w:eastAsia="Times New Roman" w:hAnsi="Corbel" w:cs="Calibri"/>
          <w:color w:val="000000"/>
          <w:sz w:val="23"/>
          <w:szCs w:val="23"/>
          <w:lang w:eastAsia="en-AU"/>
        </w:rPr>
        <w:t xml:space="preserve">Territory are </w:t>
      </w:r>
      <w:r>
        <w:rPr>
          <w:rFonts w:ascii="Corbel" w:eastAsia="Times New Roman" w:hAnsi="Corbel" w:cs="Calibri"/>
          <w:color w:val="000000"/>
          <w:sz w:val="23"/>
          <w:szCs w:val="23"/>
          <w:lang w:eastAsia="en-AU"/>
        </w:rPr>
        <w:t xml:space="preserve">Aboriginal </w:t>
      </w:r>
      <w:r w:rsidRPr="00135F4C">
        <w:rPr>
          <w:rFonts w:ascii="Corbel" w:eastAsia="Times New Roman" w:hAnsi="Corbel" w:cs="Calibri"/>
          <w:sz w:val="23"/>
          <w:szCs w:val="23"/>
          <w:lang w:eastAsia="en-AU"/>
        </w:rPr>
        <w:t xml:space="preserve">or </w:t>
      </w:r>
      <w:r>
        <w:rPr>
          <w:rFonts w:ascii="Corbel" w:eastAsia="Times New Roman" w:hAnsi="Corbel" w:cs="Calibri"/>
          <w:color w:val="000000"/>
          <w:sz w:val="23"/>
          <w:szCs w:val="23"/>
          <w:lang w:eastAsia="en-AU"/>
        </w:rPr>
        <w:t>Torres Strait Islander</w:t>
      </w:r>
      <w:r w:rsidRPr="003A7206">
        <w:rPr>
          <w:rFonts w:ascii="Corbel" w:eastAsia="Times New Roman" w:hAnsi="Corbel" w:cs="Calibri"/>
          <w:color w:val="000000"/>
          <w:sz w:val="23"/>
          <w:szCs w:val="23"/>
          <w:lang w:eastAsia="en-AU"/>
        </w:rPr>
        <w:t>, compared to 7.0 per cent nationally</w:t>
      </w:r>
      <w:r>
        <w:rPr>
          <w:rFonts w:ascii="Corbel" w:eastAsia="Times New Roman" w:hAnsi="Corbel" w:cs="Calibri"/>
          <w:color w:val="000000"/>
          <w:sz w:val="23"/>
          <w:szCs w:val="23"/>
          <w:lang w:eastAsia="en-AU"/>
        </w:rPr>
        <w:t>.</w:t>
      </w:r>
    </w:p>
    <w:p w14:paraId="4FE820D7" w14:textId="58E43638" w:rsidR="002251BF" w:rsidRPr="003A7206" w:rsidRDefault="002251BF" w:rsidP="002251BF">
      <w:pPr>
        <w:numPr>
          <w:ilvl w:val="0"/>
          <w:numId w:val="4"/>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Over 40 per cent of students in government schools in the </w:t>
      </w:r>
      <w:r>
        <w:rPr>
          <w:rFonts w:ascii="Corbel" w:eastAsia="Times New Roman" w:hAnsi="Corbel" w:cs="Calibri"/>
          <w:color w:val="000000"/>
          <w:sz w:val="23"/>
          <w:szCs w:val="23"/>
          <w:lang w:eastAsia="en-AU"/>
        </w:rPr>
        <w:t xml:space="preserve">Northern </w:t>
      </w:r>
      <w:r w:rsidRPr="003A7206">
        <w:rPr>
          <w:rFonts w:ascii="Corbel" w:eastAsia="Times New Roman" w:hAnsi="Corbel" w:cs="Calibri"/>
          <w:color w:val="000000"/>
          <w:sz w:val="23"/>
          <w:szCs w:val="23"/>
          <w:lang w:eastAsia="en-AU"/>
        </w:rPr>
        <w:t>Territory reside in remote or very remote areas compared to 2.5 per cent nationally</w:t>
      </w:r>
      <w:r>
        <w:rPr>
          <w:rFonts w:ascii="Corbel" w:eastAsia="Times New Roman" w:hAnsi="Corbel" w:cs="Calibri"/>
          <w:color w:val="000000"/>
          <w:sz w:val="23"/>
          <w:szCs w:val="23"/>
          <w:lang w:eastAsia="en-AU"/>
        </w:rPr>
        <w:t>.</w:t>
      </w:r>
    </w:p>
    <w:p w14:paraId="5C0393D5" w14:textId="356FD7BA" w:rsidR="002251BF" w:rsidRPr="003A7206" w:rsidRDefault="002251BF" w:rsidP="002251BF">
      <w:pPr>
        <w:numPr>
          <w:ilvl w:val="0"/>
          <w:numId w:val="4"/>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Nearly half of Territory government students are in the lowest </w:t>
      </w:r>
      <w:r>
        <w:rPr>
          <w:rFonts w:ascii="Corbel" w:eastAsia="Times New Roman" w:hAnsi="Corbel" w:cs="Calibri"/>
          <w:color w:val="000000"/>
          <w:sz w:val="23"/>
          <w:szCs w:val="23"/>
          <w:lang w:eastAsia="en-AU"/>
        </w:rPr>
        <w:t>quartile of the</w:t>
      </w:r>
      <w:r w:rsidRPr="00F064AD">
        <w:rPr>
          <w:rFonts w:ascii="Corbel" w:eastAsia="Times New Roman" w:hAnsi="Corbel" w:cs="Calibri"/>
          <w:color w:val="000000"/>
          <w:sz w:val="23"/>
          <w:szCs w:val="23"/>
          <w:lang w:eastAsia="en-AU"/>
        </w:rPr>
        <w:t xml:space="preserve"> </w:t>
      </w:r>
      <w:r w:rsidRPr="003A7206">
        <w:rPr>
          <w:rFonts w:ascii="Corbel" w:eastAsia="Times New Roman" w:hAnsi="Corbel" w:cs="Calibri"/>
          <w:color w:val="000000"/>
          <w:sz w:val="23"/>
          <w:szCs w:val="23"/>
          <w:lang w:eastAsia="en-AU"/>
        </w:rPr>
        <w:t>Index of Community Socio-Educational Advantage</w:t>
      </w:r>
      <w:r>
        <w:rPr>
          <w:rFonts w:ascii="Corbel" w:eastAsia="Times New Roman" w:hAnsi="Corbel" w:cs="Calibri"/>
          <w:color w:val="000000"/>
          <w:sz w:val="23"/>
          <w:szCs w:val="23"/>
          <w:lang w:eastAsia="en-AU"/>
        </w:rPr>
        <w:t>.</w:t>
      </w:r>
      <w:r w:rsidRPr="003A7206">
        <w:rPr>
          <w:rFonts w:ascii="Corbel" w:eastAsia="Times New Roman" w:hAnsi="Corbel" w:cs="Calibri"/>
          <w:color w:val="000000"/>
          <w:sz w:val="23"/>
          <w:szCs w:val="23"/>
          <w:lang w:eastAsia="en-AU"/>
        </w:rPr>
        <w:t xml:space="preserve"> </w:t>
      </w:r>
    </w:p>
    <w:p w14:paraId="1665DCC7" w14:textId="069A71D7" w:rsidR="002251BF" w:rsidRDefault="002251BF" w:rsidP="002251BF">
      <w:pPr>
        <w:numPr>
          <w:ilvl w:val="0"/>
          <w:numId w:val="4"/>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38 per cent of government students in the </w:t>
      </w:r>
      <w:r>
        <w:rPr>
          <w:rFonts w:ascii="Corbel" w:eastAsia="Times New Roman" w:hAnsi="Corbel" w:cs="Calibri"/>
          <w:color w:val="000000"/>
          <w:sz w:val="23"/>
          <w:szCs w:val="23"/>
          <w:lang w:eastAsia="en-AU"/>
        </w:rPr>
        <w:t xml:space="preserve">Northern </w:t>
      </w:r>
      <w:r w:rsidRPr="003A7206">
        <w:rPr>
          <w:rFonts w:ascii="Corbel" w:eastAsia="Times New Roman" w:hAnsi="Corbel" w:cs="Calibri"/>
          <w:color w:val="000000"/>
          <w:sz w:val="23"/>
          <w:szCs w:val="23"/>
          <w:lang w:eastAsia="en-AU"/>
        </w:rPr>
        <w:t>Territory have language backgrounds other than English compared to 24 per cent nationally</w:t>
      </w:r>
      <w:r>
        <w:rPr>
          <w:rFonts w:ascii="Corbel" w:eastAsia="Times New Roman" w:hAnsi="Corbel" w:cs="Calibri"/>
          <w:color w:val="000000"/>
          <w:sz w:val="23"/>
          <w:szCs w:val="23"/>
          <w:lang w:eastAsia="en-AU"/>
        </w:rPr>
        <w:t>.</w:t>
      </w:r>
    </w:p>
    <w:p w14:paraId="43C4E99F" w14:textId="6172CFC6" w:rsidR="002251BF" w:rsidRPr="003A7206" w:rsidRDefault="002251BF" w:rsidP="002251BF">
      <w:pPr>
        <w:numPr>
          <w:ilvl w:val="0"/>
          <w:numId w:val="4"/>
        </w:numPr>
        <w:spacing w:after="240" w:line="260" w:lineRule="exact"/>
        <w:ind w:left="993"/>
        <w:jc w:val="both"/>
        <w:rPr>
          <w:rFonts w:ascii="Corbel" w:eastAsia="Times New Roman" w:hAnsi="Corbel" w:cs="Calibri"/>
          <w:color w:val="000000"/>
          <w:sz w:val="23"/>
          <w:szCs w:val="23"/>
          <w:lang w:eastAsia="en-AU"/>
        </w:rPr>
      </w:pPr>
      <w:r w:rsidRPr="71BBD4E5">
        <w:rPr>
          <w:rFonts w:ascii="Corbel" w:eastAsia="Times New Roman" w:hAnsi="Corbel" w:cs="Calibri"/>
          <w:color w:val="000000" w:themeColor="text1"/>
          <w:sz w:val="23"/>
          <w:szCs w:val="23"/>
          <w:lang w:eastAsia="en-AU"/>
        </w:rPr>
        <w:t xml:space="preserve">26 per cent of government students in the Northern Territory have a disability and receive educational adjustments. </w:t>
      </w:r>
    </w:p>
    <w:p w14:paraId="0792A96E" w14:textId="0097B7DC"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The complexity of school education service delivery is compounded due to the multidimensional needs of many </w:t>
      </w:r>
      <w:r>
        <w:rPr>
          <w:rFonts w:ascii="Corbel" w:eastAsia="Times New Roman" w:hAnsi="Corbel" w:cs="Calibri"/>
          <w:color w:val="000000"/>
          <w:sz w:val="23"/>
          <w:szCs w:val="23"/>
          <w:lang w:eastAsia="en-AU"/>
        </w:rPr>
        <w:t xml:space="preserve">Northern </w:t>
      </w:r>
      <w:r w:rsidRPr="003A7206">
        <w:rPr>
          <w:rFonts w:ascii="Corbel" w:eastAsia="Times New Roman" w:hAnsi="Corbel" w:cs="Calibri"/>
          <w:color w:val="000000"/>
          <w:sz w:val="23"/>
          <w:szCs w:val="23"/>
          <w:lang w:eastAsia="en-AU"/>
        </w:rPr>
        <w:t xml:space="preserve">Territory children and students that are both within the school gate and outside the school gate. To meet the broader needs of </w:t>
      </w:r>
      <w:r>
        <w:rPr>
          <w:rFonts w:ascii="Corbel" w:eastAsia="Times New Roman" w:hAnsi="Corbel" w:cs="Calibri"/>
          <w:color w:val="000000"/>
          <w:sz w:val="23"/>
          <w:szCs w:val="23"/>
          <w:lang w:eastAsia="en-AU"/>
        </w:rPr>
        <w:t>Northern </w:t>
      </w:r>
      <w:r w:rsidRPr="003A7206">
        <w:rPr>
          <w:rFonts w:ascii="Corbel" w:eastAsia="Times New Roman" w:hAnsi="Corbel" w:cs="Calibri"/>
          <w:color w:val="000000"/>
          <w:sz w:val="23"/>
          <w:szCs w:val="23"/>
          <w:lang w:eastAsia="en-AU"/>
        </w:rPr>
        <w:t xml:space="preserve">Territory students, the Northern Territory Government has invested in a significant cross </w:t>
      </w:r>
      <w:r>
        <w:rPr>
          <w:rFonts w:ascii="Corbel" w:eastAsia="Times New Roman" w:hAnsi="Corbel" w:cs="Calibri"/>
          <w:color w:val="000000"/>
          <w:sz w:val="23"/>
          <w:szCs w:val="23"/>
          <w:lang w:eastAsia="en-AU"/>
        </w:rPr>
        <w:t xml:space="preserve">agency </w:t>
      </w:r>
      <w:r w:rsidRPr="003A7206">
        <w:rPr>
          <w:rFonts w:ascii="Corbel" w:eastAsia="Times New Roman" w:hAnsi="Corbel" w:cs="Calibri"/>
          <w:color w:val="000000"/>
          <w:sz w:val="23"/>
          <w:szCs w:val="23"/>
          <w:lang w:eastAsia="en-AU"/>
        </w:rPr>
        <w:t>reform agenda that will have significant positive impact on the outcomes of Territory children and students. These investments include:</w:t>
      </w:r>
    </w:p>
    <w:p w14:paraId="75D21AFD" w14:textId="05CD37D4" w:rsidR="002251BF" w:rsidRDefault="002251BF" w:rsidP="002251BF">
      <w:pPr>
        <w:numPr>
          <w:ilvl w:val="0"/>
          <w:numId w:val="3"/>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i/>
          <w:color w:val="000000"/>
          <w:sz w:val="23"/>
          <w:szCs w:val="23"/>
          <w:lang w:eastAsia="en-AU"/>
        </w:rPr>
        <w:t>Starting Early for a Better Future Early Childhood Development Plan 2018-2028</w:t>
      </w:r>
      <w:r w:rsidRPr="003A7206">
        <w:rPr>
          <w:rFonts w:ascii="Corbel" w:eastAsia="Times New Roman" w:hAnsi="Corbel" w:cs="Calibri"/>
          <w:color w:val="000000"/>
          <w:sz w:val="23"/>
          <w:szCs w:val="23"/>
          <w:lang w:eastAsia="en-AU"/>
        </w:rPr>
        <w:t>. The plan’s vision is to ensure “all children are ready to start school from day 1, term 1, in year 1”. The Northern Territory Government is investing $35.6 million over the first four years to priority actions across four key themes: Ready to Learn, Strong Families, Getting it Right for Life, and Quality Early Childhood Development System.</w:t>
      </w:r>
    </w:p>
    <w:p w14:paraId="2823A142" w14:textId="4E10AB3A" w:rsidR="002251BF" w:rsidRPr="003A7206" w:rsidRDefault="002251BF" w:rsidP="002251BF">
      <w:pPr>
        <w:numPr>
          <w:ilvl w:val="0"/>
          <w:numId w:val="3"/>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lastRenderedPageBreak/>
        <w:t xml:space="preserve">Implementing recommendations from the Royal Commission into the Protection and Detention of Children in the Northern Territory. The Northern Territory Government has committed $229 million over five years to support the Northern Territory’s Safe, Thriving and Connected Implementation Plan. The reform plan is aimed at addressing the underlying causes of offending by children and young people including efforts and resources directed towards prevention, identification, early intervention, </w:t>
      </w:r>
      <w:proofErr w:type="gramStart"/>
      <w:r w:rsidRPr="003A7206">
        <w:rPr>
          <w:rFonts w:ascii="Corbel" w:eastAsia="Times New Roman" w:hAnsi="Corbel" w:cs="Calibri"/>
          <w:color w:val="000000"/>
          <w:sz w:val="23"/>
          <w:szCs w:val="23"/>
          <w:lang w:eastAsia="en-AU"/>
        </w:rPr>
        <w:t>engagement</w:t>
      </w:r>
      <w:proofErr w:type="gramEnd"/>
      <w:r w:rsidRPr="003A7206">
        <w:rPr>
          <w:rFonts w:ascii="Corbel" w:eastAsia="Times New Roman" w:hAnsi="Corbel" w:cs="Calibri"/>
          <w:color w:val="000000"/>
          <w:sz w:val="23"/>
          <w:szCs w:val="23"/>
          <w:lang w:eastAsia="en-AU"/>
        </w:rPr>
        <w:t xml:space="preserve"> and diversion will have significant positive flow on impacts on education outcomes of children in the</w:t>
      </w:r>
      <w:r>
        <w:rPr>
          <w:rFonts w:ascii="Corbel" w:eastAsia="Times New Roman" w:hAnsi="Corbel" w:cs="Calibri"/>
          <w:color w:val="000000"/>
          <w:sz w:val="23"/>
          <w:szCs w:val="23"/>
          <w:lang w:eastAsia="en-AU"/>
        </w:rPr>
        <w:t xml:space="preserve"> Northern</w:t>
      </w:r>
      <w:r w:rsidRPr="003A7206">
        <w:rPr>
          <w:rFonts w:ascii="Corbel" w:eastAsia="Times New Roman" w:hAnsi="Corbel" w:cs="Calibri"/>
          <w:color w:val="000000"/>
          <w:sz w:val="23"/>
          <w:szCs w:val="23"/>
          <w:lang w:eastAsia="en-AU"/>
        </w:rPr>
        <w:t xml:space="preserve"> Territory, and</w:t>
      </w:r>
    </w:p>
    <w:p w14:paraId="0A1E6A95" w14:textId="6E5B8391" w:rsidR="002251BF" w:rsidRPr="003A7206" w:rsidRDefault="002251BF" w:rsidP="002251BF">
      <w:pPr>
        <w:numPr>
          <w:ilvl w:val="0"/>
          <w:numId w:val="3"/>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$1.1 </w:t>
      </w:r>
      <w:r>
        <w:rPr>
          <w:rFonts w:ascii="Corbel" w:eastAsia="Times New Roman" w:hAnsi="Corbel" w:cs="Calibri"/>
          <w:color w:val="000000"/>
          <w:sz w:val="23"/>
          <w:szCs w:val="23"/>
          <w:lang w:eastAsia="en-AU"/>
        </w:rPr>
        <w:t>b</w:t>
      </w:r>
      <w:r w:rsidRPr="003A7206">
        <w:rPr>
          <w:rFonts w:ascii="Corbel" w:eastAsia="Times New Roman" w:hAnsi="Corbel" w:cs="Calibri"/>
          <w:color w:val="000000"/>
          <w:sz w:val="23"/>
          <w:szCs w:val="23"/>
          <w:lang w:eastAsia="en-AU"/>
        </w:rPr>
        <w:t xml:space="preserve">illion to improve housing in remote communities over 10 years from 2017-18. Investment in safe and suitable housing will have significant impacts on the development, </w:t>
      </w:r>
      <w:proofErr w:type="gramStart"/>
      <w:r w:rsidRPr="003A7206">
        <w:rPr>
          <w:rFonts w:ascii="Corbel" w:eastAsia="Times New Roman" w:hAnsi="Corbel" w:cs="Calibri"/>
          <w:color w:val="000000"/>
          <w:sz w:val="23"/>
          <w:szCs w:val="23"/>
          <w:lang w:eastAsia="en-AU"/>
        </w:rPr>
        <w:t>health</w:t>
      </w:r>
      <w:proofErr w:type="gramEnd"/>
      <w:r w:rsidRPr="003A7206">
        <w:rPr>
          <w:rFonts w:ascii="Corbel" w:eastAsia="Times New Roman" w:hAnsi="Corbel" w:cs="Calibri"/>
          <w:color w:val="000000"/>
          <w:sz w:val="23"/>
          <w:szCs w:val="23"/>
          <w:lang w:eastAsia="en-AU"/>
        </w:rPr>
        <w:t xml:space="preserve"> and wellbeing of children in remote communities, including school attendance, readiness to learn and educational achievement. </w:t>
      </w:r>
    </w:p>
    <w:p w14:paraId="37B9A334" w14:textId="4CE0E67C"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These investments and other initiatives funded by the Northern Territory Government that have a flow on impact on student outcomes </w:t>
      </w:r>
      <w:r w:rsidRPr="002C5709">
        <w:rPr>
          <w:rFonts w:ascii="Corbel" w:eastAsia="Times New Roman" w:hAnsi="Corbel" w:cs="Calibri"/>
          <w:color w:val="000000"/>
          <w:sz w:val="23"/>
          <w:szCs w:val="23"/>
          <w:lang w:eastAsia="en-AU"/>
        </w:rPr>
        <w:t>are not counted</w:t>
      </w:r>
      <w:r w:rsidRPr="003A7206">
        <w:rPr>
          <w:rFonts w:ascii="Corbel" w:eastAsia="Times New Roman" w:hAnsi="Corbel" w:cs="Calibri"/>
          <w:color w:val="000000"/>
          <w:sz w:val="23"/>
          <w:szCs w:val="23"/>
          <w:lang w:eastAsia="en-AU"/>
        </w:rPr>
        <w:t xml:space="preserve"> towards the Northern Territory’s share of the Schooling Resource Standard under this agreement.</w:t>
      </w:r>
    </w:p>
    <w:p w14:paraId="75FA95A2" w14:textId="79DD0975"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Ensuring that </w:t>
      </w:r>
      <w:r>
        <w:rPr>
          <w:rFonts w:ascii="Corbel" w:eastAsia="Times New Roman" w:hAnsi="Corbel" w:cs="Calibri"/>
          <w:color w:val="000000"/>
          <w:sz w:val="23"/>
          <w:szCs w:val="23"/>
          <w:lang w:eastAsia="en-AU"/>
        </w:rPr>
        <w:t>Aboriginal and Torres Strait Islander</w:t>
      </w:r>
      <w:r w:rsidRPr="003A7206">
        <w:rPr>
          <w:rFonts w:ascii="Corbel" w:eastAsia="Times New Roman" w:hAnsi="Corbel" w:cs="Calibri"/>
          <w:color w:val="000000"/>
          <w:sz w:val="23"/>
          <w:szCs w:val="23"/>
          <w:lang w:eastAsia="en-AU"/>
        </w:rPr>
        <w:t xml:space="preserve"> students in the Northern</w:t>
      </w:r>
      <w:r>
        <w:rPr>
          <w:rFonts w:ascii="Corbel" w:eastAsia="Times New Roman" w:hAnsi="Corbel" w:cs="Calibri"/>
          <w:color w:val="000000"/>
          <w:sz w:val="23"/>
          <w:szCs w:val="23"/>
          <w:lang w:eastAsia="en-AU"/>
        </w:rPr>
        <w:t> </w:t>
      </w:r>
      <w:r w:rsidRPr="003A7206">
        <w:rPr>
          <w:rFonts w:ascii="Corbel" w:eastAsia="Times New Roman" w:hAnsi="Corbel" w:cs="Calibri"/>
          <w:color w:val="000000"/>
          <w:sz w:val="23"/>
          <w:szCs w:val="23"/>
          <w:lang w:eastAsia="en-AU"/>
        </w:rPr>
        <w:t xml:space="preserve">Territory are successful and confident in their education journey is a key objective of the Northern Territory Government. It is about ensuring that </w:t>
      </w:r>
      <w:r>
        <w:rPr>
          <w:rFonts w:ascii="Corbel" w:eastAsia="Times New Roman" w:hAnsi="Corbel" w:cs="Calibri"/>
          <w:color w:val="000000"/>
          <w:sz w:val="23"/>
          <w:szCs w:val="23"/>
          <w:lang w:eastAsia="en-AU"/>
        </w:rPr>
        <w:t>Aboriginal and Torres Strait Islander</w:t>
      </w:r>
      <w:r w:rsidRPr="003A7206">
        <w:rPr>
          <w:rFonts w:ascii="Corbel" w:eastAsia="Times New Roman" w:hAnsi="Corbel" w:cs="Calibri"/>
          <w:color w:val="000000"/>
          <w:sz w:val="23"/>
          <w:szCs w:val="23"/>
          <w:lang w:eastAsia="en-AU"/>
        </w:rPr>
        <w:t xml:space="preserve"> students:</w:t>
      </w:r>
    </w:p>
    <w:p w14:paraId="72C879F4" w14:textId="10CEBF74" w:rsidR="002251BF" w:rsidRPr="003A7206" w:rsidRDefault="002251BF" w:rsidP="002251BF">
      <w:pPr>
        <w:numPr>
          <w:ilvl w:val="0"/>
          <w:numId w:val="5"/>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have the early foundations when they enter primary </w:t>
      </w:r>
      <w:proofErr w:type="gramStart"/>
      <w:r w:rsidRPr="003A7206">
        <w:rPr>
          <w:rFonts w:ascii="Corbel" w:eastAsia="Times New Roman" w:hAnsi="Corbel" w:cs="Calibri"/>
          <w:color w:val="000000"/>
          <w:sz w:val="23"/>
          <w:szCs w:val="23"/>
          <w:lang w:eastAsia="en-AU"/>
        </w:rPr>
        <w:t>schooling</w:t>
      </w:r>
      <w:proofErr w:type="gramEnd"/>
    </w:p>
    <w:p w14:paraId="3B8DB593" w14:textId="45D1512E" w:rsidR="002251BF" w:rsidRPr="003A7206" w:rsidRDefault="002251BF" w:rsidP="002251BF">
      <w:pPr>
        <w:numPr>
          <w:ilvl w:val="0"/>
          <w:numId w:val="5"/>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are engaged with their learning and attend school </w:t>
      </w:r>
      <w:proofErr w:type="gramStart"/>
      <w:r w:rsidRPr="003A7206">
        <w:rPr>
          <w:rFonts w:ascii="Corbel" w:eastAsia="Times New Roman" w:hAnsi="Corbel" w:cs="Calibri"/>
          <w:color w:val="000000"/>
          <w:sz w:val="23"/>
          <w:szCs w:val="23"/>
          <w:lang w:eastAsia="en-AU"/>
        </w:rPr>
        <w:t>regularly</w:t>
      </w:r>
      <w:proofErr w:type="gramEnd"/>
    </w:p>
    <w:p w14:paraId="4CED819C" w14:textId="7D17D8CD" w:rsidR="002251BF" w:rsidRPr="003A7206" w:rsidRDefault="002251BF" w:rsidP="002251BF">
      <w:pPr>
        <w:numPr>
          <w:ilvl w:val="0"/>
          <w:numId w:val="5"/>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have the essential literacy and numeracy skills to succeed in their schooling</w:t>
      </w:r>
      <w:r>
        <w:rPr>
          <w:rFonts w:ascii="Corbel" w:eastAsia="Times New Roman" w:hAnsi="Corbel" w:cs="Calibri"/>
          <w:color w:val="000000"/>
          <w:sz w:val="23"/>
          <w:szCs w:val="23"/>
          <w:lang w:eastAsia="en-AU"/>
        </w:rPr>
        <w:t xml:space="preserve"> and</w:t>
      </w:r>
    </w:p>
    <w:p w14:paraId="5DBEA2FE" w14:textId="4C359EB5" w:rsidR="002251BF" w:rsidRPr="003A7206" w:rsidRDefault="002251BF" w:rsidP="002251BF">
      <w:pPr>
        <w:numPr>
          <w:ilvl w:val="0"/>
          <w:numId w:val="5"/>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complete schooling and are well equipped to take up employment, </w:t>
      </w:r>
      <w:proofErr w:type="gramStart"/>
      <w:r w:rsidRPr="003A7206">
        <w:rPr>
          <w:rFonts w:ascii="Corbel" w:eastAsia="Times New Roman" w:hAnsi="Corbel" w:cs="Calibri"/>
          <w:color w:val="000000"/>
          <w:sz w:val="23"/>
          <w:szCs w:val="23"/>
          <w:lang w:eastAsia="en-AU"/>
        </w:rPr>
        <w:t>training</w:t>
      </w:r>
      <w:proofErr w:type="gramEnd"/>
      <w:r w:rsidRPr="003A7206">
        <w:rPr>
          <w:rFonts w:ascii="Corbel" w:eastAsia="Times New Roman" w:hAnsi="Corbel" w:cs="Calibri"/>
          <w:color w:val="000000"/>
          <w:sz w:val="23"/>
          <w:szCs w:val="23"/>
          <w:lang w:eastAsia="en-AU"/>
        </w:rPr>
        <w:t xml:space="preserve"> and higher education opportunities.</w:t>
      </w:r>
    </w:p>
    <w:p w14:paraId="3C40176F" w14:textId="539E263F"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The Northern Territory recognises that engaging with </w:t>
      </w:r>
      <w:r>
        <w:rPr>
          <w:rFonts w:ascii="Corbel" w:eastAsia="Times New Roman" w:hAnsi="Corbel" w:cs="Calibri"/>
          <w:color w:val="000000"/>
          <w:sz w:val="23"/>
          <w:szCs w:val="23"/>
          <w:lang w:eastAsia="en-AU"/>
        </w:rPr>
        <w:t>Aboriginal and Torres Strait Islander</w:t>
      </w:r>
      <w:r w:rsidRPr="003A7206">
        <w:rPr>
          <w:rFonts w:ascii="Corbel" w:eastAsia="Times New Roman" w:hAnsi="Corbel" w:cs="Calibri"/>
          <w:color w:val="000000"/>
          <w:sz w:val="23"/>
          <w:szCs w:val="23"/>
          <w:lang w:eastAsia="en-AU"/>
        </w:rPr>
        <w:t xml:space="preserve"> students, families and communities in the development and implementation of education is the foundation for success. </w:t>
      </w:r>
      <w:proofErr w:type="gramStart"/>
      <w:r w:rsidRPr="003A7206">
        <w:rPr>
          <w:rFonts w:ascii="Corbel" w:eastAsia="Times New Roman" w:hAnsi="Corbel" w:cs="Calibri"/>
          <w:color w:val="000000"/>
          <w:sz w:val="23"/>
          <w:szCs w:val="23"/>
          <w:lang w:eastAsia="en-AU"/>
        </w:rPr>
        <w:t>A number of</w:t>
      </w:r>
      <w:proofErr w:type="gramEnd"/>
      <w:r w:rsidRPr="003A7206">
        <w:rPr>
          <w:rFonts w:ascii="Corbel" w:eastAsia="Times New Roman" w:hAnsi="Corbel" w:cs="Calibri"/>
          <w:color w:val="000000"/>
          <w:sz w:val="23"/>
          <w:szCs w:val="23"/>
          <w:lang w:eastAsia="en-AU"/>
        </w:rPr>
        <w:t xml:space="preserve"> formal and informal mechanisms exist to facilitate engagement with </w:t>
      </w:r>
      <w:r>
        <w:rPr>
          <w:rFonts w:ascii="Corbel" w:eastAsia="Times New Roman" w:hAnsi="Corbel" w:cs="Calibri"/>
          <w:color w:val="000000"/>
          <w:sz w:val="23"/>
          <w:szCs w:val="23"/>
          <w:lang w:eastAsia="en-AU"/>
        </w:rPr>
        <w:t>Aboriginal and Torres Strait Islander</w:t>
      </w:r>
      <w:r w:rsidRPr="003A7206">
        <w:rPr>
          <w:rFonts w:ascii="Corbel" w:eastAsia="Times New Roman" w:hAnsi="Corbel" w:cs="Calibri"/>
          <w:color w:val="000000"/>
          <w:sz w:val="23"/>
          <w:szCs w:val="23"/>
          <w:lang w:eastAsia="en-AU"/>
        </w:rPr>
        <w:t xml:space="preserve"> people, including the N</w:t>
      </w:r>
      <w:r>
        <w:rPr>
          <w:rFonts w:ascii="Corbel" w:eastAsia="Times New Roman" w:hAnsi="Corbel" w:cs="Calibri"/>
          <w:color w:val="000000"/>
          <w:sz w:val="23"/>
          <w:szCs w:val="23"/>
          <w:lang w:eastAsia="en-AU"/>
        </w:rPr>
        <w:t>orthern Territory</w:t>
      </w:r>
      <w:r w:rsidRPr="003A7206">
        <w:rPr>
          <w:rFonts w:ascii="Corbel" w:eastAsia="Times New Roman" w:hAnsi="Corbel" w:cs="Calibri"/>
          <w:color w:val="000000"/>
          <w:sz w:val="23"/>
          <w:szCs w:val="23"/>
          <w:lang w:eastAsia="en-AU"/>
        </w:rPr>
        <w:t xml:space="preserve"> Government’s 10-year commitment to local decision making and through the Northern Territory Department of Education’s Community Led Schools initiative. </w:t>
      </w:r>
    </w:p>
    <w:p w14:paraId="3EB54DAB" w14:textId="1D289284"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The Northern Territory will continue to work in partnership with the Commonwealth Government to deliver on the Indigenous Education Strategy and joint commitment on Closing the Gap</w:t>
      </w:r>
      <w:r w:rsidR="00D31598">
        <w:rPr>
          <w:rFonts w:ascii="Corbel" w:eastAsia="Times New Roman" w:hAnsi="Corbel" w:cs="Calibri"/>
          <w:color w:val="000000"/>
          <w:sz w:val="23"/>
          <w:szCs w:val="23"/>
          <w:lang w:eastAsia="en-AU"/>
        </w:rPr>
        <w:t xml:space="preserve"> </w:t>
      </w:r>
      <w:r w:rsidRPr="003A7206">
        <w:rPr>
          <w:rFonts w:ascii="Corbel" w:eastAsia="Times New Roman" w:hAnsi="Corbel" w:cs="Calibri"/>
          <w:color w:val="000000"/>
          <w:sz w:val="23"/>
          <w:szCs w:val="23"/>
          <w:lang w:eastAsia="en-AU"/>
        </w:rPr>
        <w:t>between Indigenous and non-Indigenous children and students.</w:t>
      </w:r>
    </w:p>
    <w:p w14:paraId="5D489476" w14:textId="0E5F266C"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The Northern Territory Department of Education is undertaking a significant reform agenda with its Education NT Strategy 2018-2022 (the strategy). The strategy was developed through extensive consultation across education stakeholders and is based on sound evidence. The strategy commits to a strong public education system that ensures equity and gives every child the opportunity to engage, grow and achieve and recognises that educational success looks different for every student and for every school.</w:t>
      </w:r>
    </w:p>
    <w:p w14:paraId="6A13CFC4" w14:textId="1C4C5B20"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The strategy five key focus areas; quality teaching, school leadership, community engagement, data and accountability and differentiated support for schools. The Northern</w:t>
      </w:r>
      <w:r>
        <w:rPr>
          <w:rFonts w:ascii="Corbel" w:eastAsia="Times New Roman" w:hAnsi="Corbel" w:cs="Calibri"/>
          <w:color w:val="000000"/>
          <w:sz w:val="23"/>
          <w:szCs w:val="23"/>
          <w:lang w:eastAsia="en-AU"/>
        </w:rPr>
        <w:t> </w:t>
      </w:r>
      <w:r w:rsidRPr="003A7206">
        <w:rPr>
          <w:rFonts w:ascii="Corbel" w:eastAsia="Times New Roman" w:hAnsi="Corbel" w:cs="Calibri"/>
          <w:color w:val="000000"/>
          <w:sz w:val="23"/>
          <w:szCs w:val="23"/>
          <w:lang w:eastAsia="en-AU"/>
        </w:rPr>
        <w:t xml:space="preserve">Territory will accelerate school improvement by ensuring schools’ priorities are </w:t>
      </w:r>
      <w:r w:rsidRPr="003A7206">
        <w:rPr>
          <w:rFonts w:ascii="Corbel" w:eastAsia="Times New Roman" w:hAnsi="Corbel" w:cs="Calibri"/>
          <w:color w:val="000000"/>
          <w:sz w:val="23"/>
          <w:szCs w:val="23"/>
          <w:lang w:eastAsia="en-AU"/>
        </w:rPr>
        <w:lastRenderedPageBreak/>
        <w:t xml:space="preserve">narrowly focused and that the system supports schools to achieve better outcomes for children and students. </w:t>
      </w:r>
    </w:p>
    <w:p w14:paraId="58DEC55C" w14:textId="06FD9AE3"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The design principles of the strategy are:</w:t>
      </w:r>
    </w:p>
    <w:p w14:paraId="018A9F7B" w14:textId="384974E2" w:rsidR="002251BF" w:rsidRPr="003A7206" w:rsidRDefault="002251BF" w:rsidP="002251BF">
      <w:pPr>
        <w:numPr>
          <w:ilvl w:val="0"/>
          <w:numId w:val="6"/>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a sharp and narrow focus on actions that make a </w:t>
      </w:r>
      <w:proofErr w:type="gramStart"/>
      <w:r w:rsidRPr="003A7206">
        <w:rPr>
          <w:rFonts w:ascii="Corbel" w:eastAsia="Times New Roman" w:hAnsi="Corbel" w:cs="Calibri"/>
          <w:color w:val="000000"/>
          <w:sz w:val="23"/>
          <w:szCs w:val="23"/>
          <w:lang w:eastAsia="en-AU"/>
        </w:rPr>
        <w:t>difference</w:t>
      </w:r>
      <w:r>
        <w:rPr>
          <w:rFonts w:ascii="Corbel" w:eastAsia="Times New Roman" w:hAnsi="Corbel" w:cs="Calibri"/>
          <w:color w:val="000000"/>
          <w:sz w:val="23"/>
          <w:szCs w:val="23"/>
          <w:lang w:eastAsia="en-AU"/>
        </w:rPr>
        <w:t>;</w:t>
      </w:r>
      <w:proofErr w:type="gramEnd"/>
    </w:p>
    <w:p w14:paraId="004EFE94" w14:textId="48CEA458" w:rsidR="002251BF" w:rsidRPr="003A7206" w:rsidRDefault="002251BF" w:rsidP="002251BF">
      <w:pPr>
        <w:numPr>
          <w:ilvl w:val="0"/>
          <w:numId w:val="6"/>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actions based on </w:t>
      </w:r>
      <w:proofErr w:type="gramStart"/>
      <w:r w:rsidRPr="003A7206">
        <w:rPr>
          <w:rFonts w:ascii="Corbel" w:eastAsia="Times New Roman" w:hAnsi="Corbel" w:cs="Calibri"/>
          <w:color w:val="000000"/>
          <w:sz w:val="23"/>
          <w:szCs w:val="23"/>
          <w:lang w:eastAsia="en-AU"/>
        </w:rPr>
        <w:t>evidence</w:t>
      </w:r>
      <w:r>
        <w:rPr>
          <w:rFonts w:ascii="Corbel" w:eastAsia="Times New Roman" w:hAnsi="Corbel" w:cs="Calibri"/>
          <w:color w:val="000000"/>
          <w:sz w:val="23"/>
          <w:szCs w:val="23"/>
          <w:lang w:eastAsia="en-AU"/>
        </w:rPr>
        <w:t>;</w:t>
      </w:r>
      <w:proofErr w:type="gramEnd"/>
    </w:p>
    <w:p w14:paraId="1FCFA3BA" w14:textId="6833050B" w:rsidR="002251BF" w:rsidRPr="003A7206" w:rsidRDefault="002251BF" w:rsidP="002251BF">
      <w:pPr>
        <w:numPr>
          <w:ilvl w:val="0"/>
          <w:numId w:val="6"/>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a school improvement agenda that is everybody’s business and we do whatever it </w:t>
      </w:r>
      <w:proofErr w:type="gramStart"/>
      <w:r w:rsidRPr="003A7206">
        <w:rPr>
          <w:rFonts w:ascii="Corbel" w:eastAsia="Times New Roman" w:hAnsi="Corbel" w:cs="Calibri"/>
          <w:color w:val="000000"/>
          <w:sz w:val="23"/>
          <w:szCs w:val="23"/>
          <w:lang w:eastAsia="en-AU"/>
        </w:rPr>
        <w:t>takes</w:t>
      </w:r>
      <w:r>
        <w:rPr>
          <w:rFonts w:ascii="Corbel" w:eastAsia="Times New Roman" w:hAnsi="Corbel" w:cs="Calibri"/>
          <w:color w:val="000000"/>
          <w:sz w:val="23"/>
          <w:szCs w:val="23"/>
          <w:lang w:eastAsia="en-AU"/>
        </w:rPr>
        <w:t>;</w:t>
      </w:r>
      <w:proofErr w:type="gramEnd"/>
    </w:p>
    <w:p w14:paraId="4DC80868" w14:textId="74DA54D8" w:rsidR="002251BF" w:rsidRPr="003A7206" w:rsidRDefault="002251BF" w:rsidP="002251BF">
      <w:pPr>
        <w:numPr>
          <w:ilvl w:val="0"/>
          <w:numId w:val="6"/>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students and their families, educators, the </w:t>
      </w:r>
      <w:proofErr w:type="gramStart"/>
      <w:r w:rsidRPr="003A7206">
        <w:rPr>
          <w:rFonts w:ascii="Corbel" w:eastAsia="Times New Roman" w:hAnsi="Corbel" w:cs="Calibri"/>
          <w:color w:val="000000"/>
          <w:sz w:val="23"/>
          <w:szCs w:val="23"/>
          <w:lang w:eastAsia="en-AU"/>
        </w:rPr>
        <w:t>system</w:t>
      </w:r>
      <w:proofErr w:type="gramEnd"/>
      <w:r w:rsidRPr="003A7206">
        <w:rPr>
          <w:rFonts w:ascii="Corbel" w:eastAsia="Times New Roman" w:hAnsi="Corbel" w:cs="Calibri"/>
          <w:color w:val="000000"/>
          <w:sz w:val="23"/>
          <w:szCs w:val="23"/>
          <w:lang w:eastAsia="en-AU"/>
        </w:rPr>
        <w:t xml:space="preserve"> and our partners have a shared understanding of our direction</w:t>
      </w:r>
      <w:r>
        <w:rPr>
          <w:rFonts w:ascii="Corbel" w:eastAsia="Times New Roman" w:hAnsi="Corbel" w:cs="Calibri"/>
          <w:color w:val="000000"/>
          <w:sz w:val="23"/>
          <w:szCs w:val="23"/>
          <w:lang w:eastAsia="en-AU"/>
        </w:rPr>
        <w:t>; and</w:t>
      </w:r>
      <w:r w:rsidRPr="003A7206">
        <w:rPr>
          <w:rFonts w:ascii="Corbel" w:eastAsia="Times New Roman" w:hAnsi="Corbel" w:cs="Calibri"/>
          <w:color w:val="000000"/>
          <w:sz w:val="23"/>
          <w:szCs w:val="23"/>
          <w:lang w:eastAsia="en-AU"/>
        </w:rPr>
        <w:t xml:space="preserve"> </w:t>
      </w:r>
    </w:p>
    <w:p w14:paraId="4F40F4E0" w14:textId="50CC6067" w:rsidR="002251BF" w:rsidRPr="003A7206" w:rsidRDefault="002251BF" w:rsidP="002251BF">
      <w:pPr>
        <w:numPr>
          <w:ilvl w:val="0"/>
          <w:numId w:val="6"/>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all of our actions take an inclusive </w:t>
      </w:r>
      <w:proofErr w:type="gramStart"/>
      <w:r w:rsidRPr="003A7206">
        <w:rPr>
          <w:rFonts w:ascii="Corbel" w:eastAsia="Times New Roman" w:hAnsi="Corbel" w:cs="Calibri"/>
          <w:color w:val="000000"/>
          <w:sz w:val="23"/>
          <w:szCs w:val="23"/>
          <w:lang w:eastAsia="en-AU"/>
        </w:rPr>
        <w:t>approach, and</w:t>
      </w:r>
      <w:proofErr w:type="gramEnd"/>
      <w:r w:rsidRPr="003A7206">
        <w:rPr>
          <w:rFonts w:ascii="Corbel" w:eastAsia="Times New Roman" w:hAnsi="Corbel" w:cs="Calibri"/>
          <w:color w:val="000000"/>
          <w:sz w:val="23"/>
          <w:szCs w:val="23"/>
          <w:lang w:eastAsia="en-AU"/>
        </w:rPr>
        <w:t xml:space="preserve"> provide learning pathways for all students.</w:t>
      </w:r>
    </w:p>
    <w:p w14:paraId="2BED99EA" w14:textId="27F1FC1D"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The Northern Territory is committed to delivering on directions set by the national reviews </w:t>
      </w:r>
      <w:proofErr w:type="gramStart"/>
      <w:r w:rsidRPr="003A7206">
        <w:rPr>
          <w:rFonts w:ascii="Corbel" w:eastAsia="Times New Roman" w:hAnsi="Corbel" w:cs="Calibri"/>
          <w:color w:val="000000"/>
          <w:sz w:val="23"/>
          <w:szCs w:val="23"/>
          <w:lang w:eastAsia="en-AU"/>
        </w:rPr>
        <w:t>including;</w:t>
      </w:r>
      <w:proofErr w:type="gramEnd"/>
      <w:r w:rsidRPr="003A7206">
        <w:rPr>
          <w:rFonts w:ascii="Corbel" w:eastAsia="Times New Roman" w:hAnsi="Corbel" w:cs="Calibri"/>
          <w:color w:val="000000"/>
          <w:sz w:val="23"/>
          <w:szCs w:val="23"/>
          <w:lang w:eastAsia="en-AU"/>
        </w:rPr>
        <w:t xml:space="preserve"> Review to Achieve Educational Excellence in Australian Schools, the Independent Review into Regional, Rural and Remote Education, the Review to Achieve Educational Excellence in Australian Schools through the Early Childhood Interventions and the STEM Partnerships Forum. In alignment with many of the recommendations of the reviews, the </w:t>
      </w:r>
      <w:r>
        <w:rPr>
          <w:rFonts w:ascii="Corbel" w:eastAsia="Times New Roman" w:hAnsi="Corbel" w:cs="Calibri"/>
          <w:color w:val="000000"/>
          <w:sz w:val="23"/>
          <w:szCs w:val="23"/>
          <w:lang w:eastAsia="en-AU"/>
        </w:rPr>
        <w:t>Northern Territory Department of Education</w:t>
      </w:r>
      <w:r w:rsidRPr="003A7206">
        <w:rPr>
          <w:rFonts w:ascii="Corbel" w:eastAsia="Times New Roman" w:hAnsi="Corbel" w:cs="Calibri"/>
          <w:color w:val="000000"/>
          <w:sz w:val="23"/>
          <w:szCs w:val="23"/>
          <w:lang w:eastAsia="en-AU"/>
        </w:rPr>
        <w:t xml:space="preserve"> strives to lift student outcomes in implementing initiatives in the following areas:</w:t>
      </w:r>
    </w:p>
    <w:p w14:paraId="4EF26CE2" w14:textId="46FE2076" w:rsidR="002251BF" w:rsidRPr="003A7206"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supporting individual student </w:t>
      </w:r>
      <w:proofErr w:type="gramStart"/>
      <w:r w:rsidRPr="003A7206">
        <w:rPr>
          <w:rFonts w:ascii="Corbel" w:eastAsia="Times New Roman" w:hAnsi="Corbel" w:cs="Calibri"/>
          <w:color w:val="000000"/>
          <w:sz w:val="23"/>
          <w:szCs w:val="23"/>
          <w:lang w:eastAsia="en-AU"/>
        </w:rPr>
        <w:t>learning  and</w:t>
      </w:r>
      <w:proofErr w:type="gramEnd"/>
      <w:r w:rsidRPr="003A7206">
        <w:rPr>
          <w:rFonts w:ascii="Corbel" w:eastAsia="Times New Roman" w:hAnsi="Corbel" w:cs="Calibri"/>
          <w:color w:val="000000"/>
          <w:sz w:val="23"/>
          <w:szCs w:val="23"/>
          <w:lang w:eastAsia="en-AU"/>
        </w:rPr>
        <w:t xml:space="preserve"> achievement and reporting on student growth</w:t>
      </w:r>
      <w:r>
        <w:rPr>
          <w:rFonts w:ascii="Corbel" w:eastAsia="Times New Roman" w:hAnsi="Corbel" w:cs="Calibri"/>
          <w:color w:val="000000"/>
          <w:sz w:val="23"/>
          <w:szCs w:val="23"/>
          <w:lang w:eastAsia="en-AU"/>
        </w:rPr>
        <w:t>;</w:t>
      </w:r>
    </w:p>
    <w:p w14:paraId="3278966C" w14:textId="6C6373BF" w:rsidR="002251BF" w:rsidRPr="003A7206"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literacy and numeracy in the early years, including the implementation of the Foundations of Early Literacy Assessment Northern Territory</w:t>
      </w:r>
      <w:r>
        <w:rPr>
          <w:rFonts w:ascii="Corbel" w:eastAsia="Times New Roman" w:hAnsi="Corbel" w:cs="Calibri"/>
          <w:color w:val="000000"/>
          <w:sz w:val="23"/>
          <w:szCs w:val="23"/>
          <w:lang w:eastAsia="en-AU"/>
        </w:rPr>
        <w:t>,</w:t>
      </w:r>
      <w:r w:rsidRPr="003A7206">
        <w:rPr>
          <w:rFonts w:ascii="Corbel" w:eastAsia="Times New Roman" w:hAnsi="Corbel" w:cs="Calibri"/>
          <w:color w:val="000000"/>
          <w:sz w:val="23"/>
          <w:szCs w:val="23"/>
          <w:lang w:eastAsia="en-AU"/>
        </w:rPr>
        <w:t xml:space="preserve"> designed to assess both phonemic and phonological </w:t>
      </w:r>
      <w:proofErr w:type="gramStart"/>
      <w:r w:rsidRPr="003A7206">
        <w:rPr>
          <w:rFonts w:ascii="Corbel" w:eastAsia="Times New Roman" w:hAnsi="Corbel" w:cs="Calibri"/>
          <w:color w:val="000000"/>
          <w:sz w:val="23"/>
          <w:szCs w:val="23"/>
          <w:lang w:eastAsia="en-AU"/>
        </w:rPr>
        <w:t>awareness</w:t>
      </w:r>
      <w:r>
        <w:rPr>
          <w:rFonts w:ascii="Corbel" w:eastAsia="Times New Roman" w:hAnsi="Corbel" w:cs="Calibri"/>
          <w:color w:val="000000"/>
          <w:sz w:val="23"/>
          <w:szCs w:val="23"/>
          <w:lang w:eastAsia="en-AU"/>
        </w:rPr>
        <w:t>;</w:t>
      </w:r>
      <w:proofErr w:type="gramEnd"/>
      <w:r w:rsidRPr="003A7206">
        <w:rPr>
          <w:rFonts w:ascii="Corbel" w:eastAsia="Times New Roman" w:hAnsi="Corbel" w:cs="Calibri"/>
          <w:color w:val="000000"/>
          <w:sz w:val="23"/>
          <w:szCs w:val="23"/>
          <w:lang w:eastAsia="en-AU"/>
        </w:rPr>
        <w:t xml:space="preserve"> </w:t>
      </w:r>
    </w:p>
    <w:p w14:paraId="0FAF1283" w14:textId="455F790A" w:rsidR="002251BF"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in remote and very remote schools, continue to deliver the Literacy and Numeracy Essentials Program, incorporating ESL pedagogy, tailored to Aboriginal and Torres Strait Islander </w:t>
      </w:r>
      <w:proofErr w:type="gramStart"/>
      <w:r>
        <w:rPr>
          <w:rFonts w:ascii="Corbel" w:eastAsia="Times New Roman" w:hAnsi="Corbel" w:cs="Calibri"/>
          <w:color w:val="000000"/>
          <w:sz w:val="23"/>
          <w:szCs w:val="23"/>
          <w:lang w:eastAsia="en-AU"/>
        </w:rPr>
        <w:t>students;</w:t>
      </w:r>
      <w:proofErr w:type="gramEnd"/>
      <w:r>
        <w:rPr>
          <w:rFonts w:ascii="Corbel" w:eastAsia="Times New Roman" w:hAnsi="Corbel" w:cs="Calibri"/>
          <w:color w:val="000000"/>
          <w:sz w:val="23"/>
          <w:szCs w:val="23"/>
          <w:lang w:eastAsia="en-AU"/>
        </w:rPr>
        <w:t xml:space="preserve"> </w:t>
      </w:r>
    </w:p>
    <w:p w14:paraId="0D0035C3" w14:textId="62D5AD88" w:rsidR="002251BF"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minimum literacy and numeracy achievement for year 12 </w:t>
      </w:r>
      <w:proofErr w:type="gramStart"/>
      <w:r w:rsidRPr="003A7206">
        <w:rPr>
          <w:rFonts w:ascii="Corbel" w:eastAsia="Times New Roman" w:hAnsi="Corbel" w:cs="Calibri"/>
          <w:color w:val="000000"/>
          <w:sz w:val="23"/>
          <w:szCs w:val="23"/>
          <w:lang w:eastAsia="en-AU"/>
        </w:rPr>
        <w:t>students</w:t>
      </w:r>
      <w:r>
        <w:rPr>
          <w:rFonts w:ascii="Corbel" w:eastAsia="Times New Roman" w:hAnsi="Corbel" w:cs="Calibri"/>
          <w:color w:val="000000"/>
          <w:sz w:val="23"/>
          <w:szCs w:val="23"/>
          <w:lang w:eastAsia="en-AU"/>
        </w:rPr>
        <w:t>;</w:t>
      </w:r>
      <w:proofErr w:type="gramEnd"/>
    </w:p>
    <w:p w14:paraId="0E440A94" w14:textId="55FD7D4D" w:rsidR="002251BF" w:rsidRPr="003A7206"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creating inclusive schooling environment for all </w:t>
      </w:r>
      <w:proofErr w:type="gramStart"/>
      <w:r>
        <w:rPr>
          <w:rFonts w:ascii="Corbel" w:eastAsia="Times New Roman" w:hAnsi="Corbel" w:cs="Calibri"/>
          <w:color w:val="000000"/>
          <w:sz w:val="23"/>
          <w:szCs w:val="23"/>
          <w:lang w:eastAsia="en-AU"/>
        </w:rPr>
        <w:t>students;</w:t>
      </w:r>
      <w:proofErr w:type="gramEnd"/>
    </w:p>
    <w:p w14:paraId="63EC807C" w14:textId="57F58DEA" w:rsidR="002251BF" w:rsidRPr="003A7206"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incentives for teachers and principals to work in remote and very remote </w:t>
      </w:r>
      <w:proofErr w:type="gramStart"/>
      <w:r w:rsidRPr="003A7206">
        <w:rPr>
          <w:rFonts w:ascii="Corbel" w:eastAsia="Times New Roman" w:hAnsi="Corbel" w:cs="Calibri"/>
          <w:color w:val="000000"/>
          <w:sz w:val="23"/>
          <w:szCs w:val="23"/>
          <w:lang w:eastAsia="en-AU"/>
        </w:rPr>
        <w:t>communities</w:t>
      </w:r>
      <w:r>
        <w:rPr>
          <w:rFonts w:ascii="Corbel" w:eastAsia="Times New Roman" w:hAnsi="Corbel" w:cs="Calibri"/>
          <w:color w:val="000000"/>
          <w:sz w:val="23"/>
          <w:szCs w:val="23"/>
          <w:lang w:eastAsia="en-AU"/>
        </w:rPr>
        <w:t>;</w:t>
      </w:r>
      <w:proofErr w:type="gramEnd"/>
    </w:p>
    <w:p w14:paraId="1A25CC20" w14:textId="32B6EC5C" w:rsidR="002251BF" w:rsidRPr="003A7206"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improve teacher proficiency in literacy, numeracy and English as a Second Language pedagogy through the literacy and numeracy coaching </w:t>
      </w:r>
      <w:proofErr w:type="gramStart"/>
      <w:r w:rsidRPr="003A7206">
        <w:rPr>
          <w:rFonts w:ascii="Corbel" w:eastAsia="Times New Roman" w:hAnsi="Corbel" w:cs="Calibri"/>
          <w:color w:val="000000"/>
          <w:sz w:val="23"/>
          <w:szCs w:val="23"/>
          <w:lang w:eastAsia="en-AU"/>
        </w:rPr>
        <w:t>program</w:t>
      </w:r>
      <w:r>
        <w:rPr>
          <w:rFonts w:ascii="Corbel" w:eastAsia="Times New Roman" w:hAnsi="Corbel" w:cs="Calibri"/>
          <w:color w:val="000000"/>
          <w:sz w:val="23"/>
          <w:szCs w:val="23"/>
          <w:lang w:eastAsia="en-AU"/>
        </w:rPr>
        <w:t>;</w:t>
      </w:r>
      <w:proofErr w:type="gramEnd"/>
    </w:p>
    <w:p w14:paraId="3A1709EC" w14:textId="36E1A91E" w:rsidR="002251BF" w:rsidRPr="003A7206"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strengthening school leadership to lead their school </w:t>
      </w:r>
      <w:proofErr w:type="gramStart"/>
      <w:r w:rsidRPr="003A7206">
        <w:rPr>
          <w:rFonts w:ascii="Corbel" w:eastAsia="Times New Roman" w:hAnsi="Corbel" w:cs="Calibri"/>
          <w:color w:val="000000"/>
          <w:sz w:val="23"/>
          <w:szCs w:val="23"/>
          <w:lang w:eastAsia="en-AU"/>
        </w:rPr>
        <w:t>on  the</w:t>
      </w:r>
      <w:proofErr w:type="gramEnd"/>
      <w:r w:rsidRPr="003A7206">
        <w:rPr>
          <w:rFonts w:ascii="Corbel" w:eastAsia="Times New Roman" w:hAnsi="Corbel" w:cs="Calibri"/>
          <w:color w:val="000000"/>
          <w:sz w:val="23"/>
          <w:szCs w:val="23"/>
          <w:lang w:eastAsia="en-AU"/>
        </w:rPr>
        <w:t xml:space="preserve"> improvement journey</w:t>
      </w:r>
      <w:r>
        <w:rPr>
          <w:rFonts w:ascii="Corbel" w:eastAsia="Times New Roman" w:hAnsi="Corbel" w:cs="Calibri"/>
          <w:color w:val="000000"/>
          <w:sz w:val="23"/>
          <w:szCs w:val="23"/>
          <w:lang w:eastAsia="en-AU"/>
        </w:rPr>
        <w:t>;</w:t>
      </w:r>
    </w:p>
    <w:p w14:paraId="711B4948" w14:textId="07206FB4" w:rsidR="002251BF" w:rsidRPr="003A7206"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increasing the number of Aboriginal and Torres Strait Islander people in the teaching workforce and school leadership </w:t>
      </w:r>
      <w:proofErr w:type="gramStart"/>
      <w:r w:rsidRPr="003A7206">
        <w:rPr>
          <w:rFonts w:ascii="Corbel" w:eastAsia="Times New Roman" w:hAnsi="Corbel" w:cs="Calibri"/>
          <w:color w:val="000000"/>
          <w:sz w:val="23"/>
          <w:szCs w:val="23"/>
          <w:lang w:eastAsia="en-AU"/>
        </w:rPr>
        <w:t>positions</w:t>
      </w:r>
      <w:r>
        <w:rPr>
          <w:rFonts w:ascii="Corbel" w:eastAsia="Times New Roman" w:hAnsi="Corbel" w:cs="Calibri"/>
          <w:color w:val="000000"/>
          <w:sz w:val="23"/>
          <w:szCs w:val="23"/>
          <w:lang w:eastAsia="en-AU"/>
        </w:rPr>
        <w:t>;</w:t>
      </w:r>
      <w:proofErr w:type="gramEnd"/>
    </w:p>
    <w:p w14:paraId="1053E8FD" w14:textId="43D65571" w:rsidR="002251BF" w:rsidRPr="003A7206"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commitment to ongoing data collection and improving access teachers have to data related to student learning needs</w:t>
      </w:r>
      <w:r>
        <w:rPr>
          <w:rFonts w:ascii="Corbel" w:eastAsia="Times New Roman" w:hAnsi="Corbel" w:cs="Calibri"/>
          <w:color w:val="000000"/>
          <w:sz w:val="23"/>
          <w:szCs w:val="23"/>
          <w:lang w:eastAsia="en-AU"/>
        </w:rPr>
        <w:t>; and</w:t>
      </w:r>
      <w:r w:rsidRPr="003A7206">
        <w:rPr>
          <w:rFonts w:ascii="Corbel" w:eastAsia="Times New Roman" w:hAnsi="Corbel" w:cs="Calibri"/>
          <w:color w:val="000000"/>
          <w:sz w:val="23"/>
          <w:szCs w:val="23"/>
          <w:lang w:eastAsia="en-AU"/>
        </w:rPr>
        <w:t xml:space="preserve"> </w:t>
      </w:r>
    </w:p>
    <w:p w14:paraId="20E4F2FC" w14:textId="71823A67" w:rsidR="002251BF" w:rsidRPr="003A7206"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lastRenderedPageBreak/>
        <w:t>enhance school and system reviews and quality assurance processes.</w:t>
      </w:r>
    </w:p>
    <w:p w14:paraId="71A93BDB" w14:textId="0EBF3A8B"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The activities listed </w:t>
      </w:r>
      <w:r>
        <w:rPr>
          <w:rFonts w:ascii="Corbel" w:eastAsia="Times New Roman" w:hAnsi="Corbel" w:cs="Calibri"/>
          <w:color w:val="000000"/>
          <w:sz w:val="23"/>
          <w:szCs w:val="23"/>
          <w:lang w:eastAsia="en-AU"/>
        </w:rPr>
        <w:t xml:space="preserve">in </w:t>
      </w:r>
      <w:r w:rsidRPr="002C5709">
        <w:rPr>
          <w:rFonts w:ascii="Corbel" w:eastAsia="Times New Roman" w:hAnsi="Corbel" w:cs="Calibri"/>
          <w:color w:val="000000"/>
          <w:sz w:val="23"/>
          <w:szCs w:val="23"/>
          <w:lang w:eastAsia="en-AU"/>
        </w:rPr>
        <w:t>clause 2</w:t>
      </w:r>
      <w:r>
        <w:rPr>
          <w:rFonts w:ascii="Corbel" w:eastAsia="Times New Roman" w:hAnsi="Corbel" w:cs="Calibri"/>
          <w:color w:val="000000"/>
          <w:sz w:val="23"/>
          <w:szCs w:val="23"/>
          <w:lang w:eastAsia="en-AU"/>
        </w:rPr>
        <w:t xml:space="preserve">0 </w:t>
      </w:r>
      <w:r w:rsidRPr="003A7206">
        <w:rPr>
          <w:rFonts w:ascii="Corbel" w:eastAsia="Times New Roman" w:hAnsi="Corbel" w:cs="Calibri"/>
          <w:color w:val="000000"/>
          <w:sz w:val="23"/>
          <w:szCs w:val="23"/>
          <w:lang w:eastAsia="en-AU"/>
        </w:rPr>
        <w:t xml:space="preserve">are provided for context only and are not considered part of the </w:t>
      </w:r>
      <w:r>
        <w:rPr>
          <w:rFonts w:ascii="Corbel" w:eastAsia="Times New Roman" w:hAnsi="Corbel" w:cs="Calibri"/>
          <w:color w:val="000000"/>
          <w:sz w:val="23"/>
          <w:szCs w:val="23"/>
          <w:lang w:eastAsia="en-AU"/>
        </w:rPr>
        <w:t>a</w:t>
      </w:r>
      <w:r w:rsidRPr="003A7206">
        <w:rPr>
          <w:rFonts w:ascii="Corbel" w:eastAsia="Times New Roman" w:hAnsi="Corbel" w:cs="Calibri"/>
          <w:color w:val="000000"/>
          <w:sz w:val="23"/>
          <w:szCs w:val="23"/>
          <w:lang w:eastAsia="en-AU"/>
        </w:rPr>
        <w:t xml:space="preserve">greement for the purposes of subsections 22(2) (b) and (c) of the Act. </w:t>
      </w:r>
    </w:p>
    <w:p w14:paraId="724D19DD" w14:textId="761F8089" w:rsidR="002251BF" w:rsidRPr="00202E76" w:rsidRDefault="002251BF" w:rsidP="002251BF">
      <w:pPr>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Reform context</w:t>
      </w:r>
      <w:r>
        <w:rPr>
          <w:rFonts w:ascii="Corbel" w:eastAsia="Times New Roman" w:hAnsi="Corbel" w:cs="Corbel"/>
          <w:b/>
          <w:bCs/>
          <w:color w:val="316F72"/>
          <w:sz w:val="28"/>
          <w:szCs w:val="28"/>
          <w:lang w:eastAsia="en-AU"/>
        </w:rPr>
        <w:t xml:space="preserve"> – Independent school sector (including Northern Territory Christian Schools and Lutheran Schools)</w:t>
      </w:r>
    </w:p>
    <w:p w14:paraId="602DFE57" w14:textId="1064A9B6" w:rsidR="002251BF"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71BBD4E5">
        <w:rPr>
          <w:rFonts w:ascii="Corbel" w:eastAsia="Times New Roman" w:hAnsi="Corbel" w:cs="Calibri"/>
          <w:color w:val="000000" w:themeColor="text1"/>
          <w:sz w:val="23"/>
          <w:szCs w:val="23"/>
          <w:lang w:eastAsia="en-AU"/>
        </w:rPr>
        <w:t>There are 20 member schools across the Northern Territory represented by the Association of Independent Schools of the Northern Territory (AISNT), with a total enrolment of approximately 6550 students. AISNT membership includes schools belonging to the Northern Territory Christian Schools system and the Lutheran Education South Australia, Northern Territory and Western Australia system, as well as the standalone independent schools.</w:t>
      </w:r>
    </w:p>
    <w:p w14:paraId="58F4760F" w14:textId="66016AB0" w:rsidR="002251BF" w:rsidRPr="007069C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FE3B44">
        <w:rPr>
          <w:rFonts w:ascii="Corbel" w:eastAsia="Times New Roman" w:hAnsi="Corbel" w:cs="Calibri"/>
          <w:color w:val="000000"/>
          <w:sz w:val="23"/>
          <w:szCs w:val="23"/>
          <w:lang w:eastAsia="en-AU"/>
        </w:rPr>
        <w:t>AISNT is an advocacy body representing and prom</w:t>
      </w:r>
      <w:r>
        <w:rPr>
          <w:rFonts w:ascii="Corbel" w:eastAsia="Times New Roman" w:hAnsi="Corbel" w:cs="Calibri"/>
          <w:color w:val="000000"/>
          <w:sz w:val="23"/>
          <w:szCs w:val="23"/>
          <w:lang w:eastAsia="en-AU"/>
        </w:rPr>
        <w:t>oting the diverse interests of i</w:t>
      </w:r>
      <w:r w:rsidRPr="00FE3B44">
        <w:rPr>
          <w:rFonts w:ascii="Corbel" w:eastAsia="Times New Roman" w:hAnsi="Corbel" w:cs="Calibri"/>
          <w:color w:val="000000"/>
          <w:sz w:val="23"/>
          <w:szCs w:val="23"/>
          <w:lang w:eastAsia="en-AU"/>
        </w:rPr>
        <w:t xml:space="preserve">ndependent schools in the Northern Territory. AISNT is not a system authority, but an advocacy and service organisation, providing information and advice to schools on many issues and promoting the sector to governments, the education </w:t>
      </w:r>
      <w:proofErr w:type="gramStart"/>
      <w:r w:rsidRPr="00FE3B44">
        <w:rPr>
          <w:rFonts w:ascii="Corbel" w:eastAsia="Times New Roman" w:hAnsi="Corbel" w:cs="Calibri"/>
          <w:color w:val="000000"/>
          <w:sz w:val="23"/>
          <w:szCs w:val="23"/>
          <w:lang w:eastAsia="en-AU"/>
        </w:rPr>
        <w:t>community</w:t>
      </w:r>
      <w:proofErr w:type="gramEnd"/>
      <w:r w:rsidRPr="00FE3B44">
        <w:rPr>
          <w:rFonts w:ascii="Corbel" w:eastAsia="Times New Roman" w:hAnsi="Corbel" w:cs="Calibri"/>
          <w:color w:val="000000"/>
          <w:sz w:val="23"/>
          <w:szCs w:val="23"/>
          <w:lang w:eastAsia="en-AU"/>
        </w:rPr>
        <w:t xml:space="preserve"> and the general public.</w:t>
      </w:r>
    </w:p>
    <w:p w14:paraId="50A32AD0" w14:textId="0F879666" w:rsidR="002251BF" w:rsidRPr="007069C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7069C6">
        <w:rPr>
          <w:rFonts w:ascii="Corbel" w:eastAsia="Times New Roman" w:hAnsi="Corbel" w:cs="Calibri"/>
          <w:color w:val="000000"/>
          <w:sz w:val="23"/>
          <w:szCs w:val="23"/>
          <w:lang w:eastAsia="en-AU"/>
        </w:rPr>
        <w:t>AISNT is incorporated under the </w:t>
      </w:r>
      <w:r w:rsidRPr="008E3455">
        <w:rPr>
          <w:rFonts w:ascii="Corbel" w:eastAsia="Times New Roman" w:hAnsi="Corbel" w:cs="Calibri"/>
          <w:color w:val="000000"/>
          <w:sz w:val="23"/>
          <w:szCs w:val="23"/>
          <w:lang w:eastAsia="en-AU"/>
        </w:rPr>
        <w:t>Associations Incorporation Act and is a member of the Independent Schools Council of Australia (ISCA), which is representative of all State and Territory independent school associations. </w:t>
      </w:r>
    </w:p>
    <w:p w14:paraId="470AE5AF" w14:textId="750FD07E" w:rsidR="002251BF"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Within </w:t>
      </w:r>
      <w:r w:rsidRPr="00FE3B44">
        <w:rPr>
          <w:rFonts w:ascii="Corbel" w:eastAsia="Times New Roman" w:hAnsi="Corbel" w:cs="Calibri"/>
          <w:color w:val="000000"/>
          <w:sz w:val="23"/>
          <w:szCs w:val="23"/>
          <w:lang w:eastAsia="en-AU"/>
        </w:rPr>
        <w:t>exis</w:t>
      </w:r>
      <w:r>
        <w:rPr>
          <w:rFonts w:ascii="Corbel" w:eastAsia="Times New Roman" w:hAnsi="Corbel" w:cs="Calibri"/>
          <w:color w:val="000000"/>
          <w:sz w:val="23"/>
          <w:szCs w:val="23"/>
          <w:lang w:eastAsia="en-AU"/>
        </w:rPr>
        <w:t>ting legislative requirements, i</w:t>
      </w:r>
      <w:r w:rsidRPr="00FE3B44">
        <w:rPr>
          <w:rFonts w:ascii="Corbel" w:eastAsia="Times New Roman" w:hAnsi="Corbel" w:cs="Calibri"/>
          <w:color w:val="000000"/>
          <w:sz w:val="23"/>
          <w:szCs w:val="23"/>
          <w:lang w:eastAsia="en-AU"/>
        </w:rPr>
        <w:t xml:space="preserve">ndependent schools and systems are autonomous in their operations, determining their own curriculum and co-curricular programs, policies, employment of staff and management of resources, provided they meet the registration requirements under the </w:t>
      </w:r>
      <w:r w:rsidRPr="008E3455">
        <w:rPr>
          <w:rFonts w:ascii="Corbel" w:eastAsia="Times New Roman" w:hAnsi="Corbel" w:cs="Calibri"/>
          <w:color w:val="000000"/>
          <w:sz w:val="23"/>
          <w:szCs w:val="23"/>
          <w:lang w:eastAsia="en-AU"/>
        </w:rPr>
        <w:t>Education Act (NT) 2016</w:t>
      </w:r>
      <w:r w:rsidRPr="00FE3B44">
        <w:rPr>
          <w:rFonts w:ascii="Corbel" w:eastAsia="Times New Roman" w:hAnsi="Corbel" w:cs="Calibri"/>
          <w:color w:val="000000"/>
          <w:sz w:val="23"/>
          <w:szCs w:val="23"/>
          <w:lang w:eastAsia="en-AU"/>
        </w:rPr>
        <w:t>. They are responsible for setting their own strategic priorities and managing their service delivery to best meet the educational needs of their student body.</w:t>
      </w:r>
    </w:p>
    <w:p w14:paraId="2ED59CDB" w14:textId="73B64E12" w:rsidR="002251BF"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AISNT</w:t>
      </w:r>
      <w:r w:rsidRPr="008E3455">
        <w:rPr>
          <w:rFonts w:ascii="Corbel" w:eastAsia="Times New Roman" w:hAnsi="Corbel" w:cs="Calibri"/>
          <w:color w:val="000000"/>
          <w:sz w:val="23"/>
          <w:szCs w:val="23"/>
          <w:lang w:eastAsia="en-AU"/>
        </w:rPr>
        <w:t xml:space="preserve"> </w:t>
      </w:r>
      <w:r w:rsidRPr="00FE3B44">
        <w:rPr>
          <w:rFonts w:ascii="Corbel" w:eastAsia="Times New Roman" w:hAnsi="Corbel" w:cs="Calibri"/>
          <w:color w:val="000000"/>
          <w:sz w:val="23"/>
          <w:szCs w:val="23"/>
          <w:lang w:eastAsia="en-AU"/>
        </w:rPr>
        <w:t xml:space="preserve">works closely with its member schools and systems to assist them in providing a meaningful education for each student taking into consideration each student’s individual circumstances and context. The emphasis on education in the </w:t>
      </w:r>
      <w:r>
        <w:rPr>
          <w:rFonts w:ascii="Corbel" w:eastAsia="Times New Roman" w:hAnsi="Corbel" w:cs="Calibri"/>
          <w:color w:val="000000"/>
          <w:sz w:val="23"/>
          <w:szCs w:val="23"/>
          <w:lang w:eastAsia="en-AU"/>
        </w:rPr>
        <w:t>i</w:t>
      </w:r>
      <w:r w:rsidRPr="00FE3B44">
        <w:rPr>
          <w:rFonts w:ascii="Corbel" w:eastAsia="Times New Roman" w:hAnsi="Corbel" w:cs="Calibri"/>
          <w:color w:val="000000"/>
          <w:sz w:val="23"/>
          <w:szCs w:val="23"/>
          <w:lang w:eastAsia="en-AU"/>
        </w:rPr>
        <w:t xml:space="preserve">ndependent </w:t>
      </w:r>
      <w:r>
        <w:rPr>
          <w:rFonts w:ascii="Corbel" w:eastAsia="Times New Roman" w:hAnsi="Corbel" w:cs="Calibri"/>
          <w:color w:val="000000"/>
          <w:sz w:val="23"/>
          <w:szCs w:val="23"/>
          <w:lang w:eastAsia="en-AU"/>
        </w:rPr>
        <w:t>s</w:t>
      </w:r>
      <w:r w:rsidRPr="00FE3B44">
        <w:rPr>
          <w:rFonts w:ascii="Corbel" w:eastAsia="Times New Roman" w:hAnsi="Corbel" w:cs="Calibri"/>
          <w:color w:val="000000"/>
          <w:sz w:val="23"/>
          <w:szCs w:val="23"/>
          <w:lang w:eastAsia="en-AU"/>
        </w:rPr>
        <w:t>ector is quality, success, diversity, and choice.</w:t>
      </w:r>
    </w:p>
    <w:p w14:paraId="707143DC" w14:textId="7099E6AD" w:rsidR="002251BF"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AISNT </w:t>
      </w:r>
      <w:r w:rsidRPr="00FE3B44">
        <w:rPr>
          <w:rFonts w:ascii="Corbel" w:eastAsia="Times New Roman" w:hAnsi="Corbel" w:cs="Calibri"/>
          <w:color w:val="000000"/>
          <w:sz w:val="23"/>
          <w:szCs w:val="23"/>
          <w:lang w:eastAsia="en-AU"/>
        </w:rPr>
        <w:t xml:space="preserve">also works closely with the Government and Catholic </w:t>
      </w:r>
      <w:r>
        <w:rPr>
          <w:rFonts w:ascii="Corbel" w:eastAsia="Times New Roman" w:hAnsi="Corbel" w:cs="Calibri"/>
          <w:color w:val="000000"/>
          <w:sz w:val="23"/>
          <w:szCs w:val="23"/>
          <w:lang w:eastAsia="en-AU"/>
        </w:rPr>
        <w:t>s</w:t>
      </w:r>
      <w:r w:rsidRPr="00FE3B44">
        <w:rPr>
          <w:rFonts w:ascii="Corbel" w:eastAsia="Times New Roman" w:hAnsi="Corbel" w:cs="Calibri"/>
          <w:color w:val="000000"/>
          <w:sz w:val="23"/>
          <w:szCs w:val="23"/>
          <w:lang w:eastAsia="en-AU"/>
        </w:rPr>
        <w:t xml:space="preserve">ectors of </w:t>
      </w:r>
      <w:r>
        <w:rPr>
          <w:rFonts w:ascii="Corbel" w:eastAsia="Times New Roman" w:hAnsi="Corbel" w:cs="Calibri"/>
          <w:color w:val="000000"/>
          <w:sz w:val="23"/>
          <w:szCs w:val="23"/>
          <w:lang w:eastAsia="en-AU"/>
        </w:rPr>
        <w:t>e</w:t>
      </w:r>
      <w:r w:rsidRPr="00FE3B44">
        <w:rPr>
          <w:rFonts w:ascii="Corbel" w:eastAsia="Times New Roman" w:hAnsi="Corbel" w:cs="Calibri"/>
          <w:color w:val="000000"/>
          <w:sz w:val="23"/>
          <w:szCs w:val="23"/>
          <w:lang w:eastAsia="en-AU"/>
        </w:rPr>
        <w:t>ducation to support opportunities for all Northern Territory students to achieve their best possible outcomes.</w:t>
      </w:r>
    </w:p>
    <w:p w14:paraId="72D5C5C7" w14:textId="24F39CC6" w:rsidR="00BE5A84" w:rsidRPr="00202E76" w:rsidRDefault="00BE5A84" w:rsidP="00BE5A84">
      <w:pPr>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Reform context</w:t>
      </w:r>
      <w:r>
        <w:rPr>
          <w:rFonts w:ascii="Corbel" w:eastAsia="Times New Roman" w:hAnsi="Corbel" w:cs="Corbel"/>
          <w:b/>
          <w:bCs/>
          <w:color w:val="316F72"/>
          <w:sz w:val="28"/>
          <w:szCs w:val="28"/>
          <w:lang w:eastAsia="en-AU"/>
        </w:rPr>
        <w:t xml:space="preserve"> – Catholic Education school sector </w:t>
      </w:r>
    </w:p>
    <w:p w14:paraId="653868AF" w14:textId="2B292473"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71BBD4E5">
        <w:rPr>
          <w:rFonts w:ascii="Corbel" w:eastAsia="Times New Roman" w:hAnsi="Corbel" w:cs="Calibri"/>
          <w:color w:val="000000" w:themeColor="text1"/>
          <w:sz w:val="23"/>
          <w:szCs w:val="23"/>
          <w:lang w:eastAsia="en-AU"/>
        </w:rPr>
        <w:t xml:space="preserve">The Catholic Education Office of the Northern Territory (CEONT) provides a </w:t>
      </w:r>
      <w:proofErr w:type="gramStart"/>
      <w:r w:rsidRPr="71BBD4E5">
        <w:rPr>
          <w:rFonts w:ascii="Corbel" w:eastAsia="Times New Roman" w:hAnsi="Corbel" w:cs="Calibri"/>
          <w:color w:val="000000" w:themeColor="text1"/>
          <w:sz w:val="23"/>
          <w:szCs w:val="23"/>
          <w:lang w:eastAsia="en-AU"/>
        </w:rPr>
        <w:t>high quality</w:t>
      </w:r>
      <w:proofErr w:type="gramEnd"/>
      <w:r w:rsidRPr="71BBD4E5">
        <w:rPr>
          <w:rFonts w:ascii="Corbel" w:eastAsia="Times New Roman" w:hAnsi="Corbel" w:cs="Calibri"/>
          <w:color w:val="000000" w:themeColor="text1"/>
          <w:sz w:val="23"/>
          <w:szCs w:val="23"/>
          <w:lang w:eastAsia="en-AU"/>
        </w:rPr>
        <w:t xml:space="preserve"> education for over 5000 students across 18 schools in the Northern Territory including Aboriginal and Torres Strait Islander community schools, urban and regional primary schools and colleges. Catholic schools offer a </w:t>
      </w:r>
      <w:proofErr w:type="gramStart"/>
      <w:r w:rsidRPr="71BBD4E5">
        <w:rPr>
          <w:rFonts w:ascii="Corbel" w:eastAsia="Times New Roman" w:hAnsi="Corbel" w:cs="Calibri"/>
          <w:color w:val="000000" w:themeColor="text1"/>
          <w:sz w:val="23"/>
          <w:szCs w:val="23"/>
          <w:lang w:eastAsia="en-AU"/>
        </w:rPr>
        <w:t>high quality</w:t>
      </w:r>
      <w:proofErr w:type="gramEnd"/>
      <w:r w:rsidRPr="71BBD4E5">
        <w:rPr>
          <w:rFonts w:ascii="Corbel" w:eastAsia="Times New Roman" w:hAnsi="Corbel" w:cs="Calibri"/>
          <w:color w:val="000000" w:themeColor="text1"/>
          <w:sz w:val="23"/>
          <w:szCs w:val="23"/>
          <w:lang w:eastAsia="en-AU"/>
        </w:rPr>
        <w:t xml:space="preserve"> education alternative that provides a broad academic curriculum and is taught in an inclusive, faith-filled learning community where the focus is to teach the whole child.</w:t>
      </w:r>
    </w:p>
    <w:p w14:paraId="15738F71" w14:textId="448E3AB8"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CEONT</w:t>
      </w:r>
      <w:r w:rsidRPr="00E20C78">
        <w:rPr>
          <w:rFonts w:ascii="Corbel" w:eastAsia="Times New Roman" w:hAnsi="Corbel" w:cs="Calibri"/>
          <w:color w:val="000000"/>
          <w:sz w:val="23"/>
          <w:szCs w:val="23"/>
          <w:lang w:eastAsia="en-AU"/>
        </w:rPr>
        <w:t xml:space="preserve"> has recently developed its Strategic Plan 2018-2022 which includes goals and strategies across all aspects of school life including Catholic </w:t>
      </w:r>
      <w:r>
        <w:rPr>
          <w:rFonts w:ascii="Corbel" w:eastAsia="Times New Roman" w:hAnsi="Corbel" w:cs="Calibri"/>
          <w:color w:val="000000"/>
          <w:sz w:val="23"/>
          <w:szCs w:val="23"/>
          <w:lang w:eastAsia="en-AU"/>
        </w:rPr>
        <w:t>i</w:t>
      </w:r>
      <w:r w:rsidRPr="00E20C78">
        <w:rPr>
          <w:rFonts w:ascii="Corbel" w:eastAsia="Times New Roman" w:hAnsi="Corbel" w:cs="Calibri"/>
          <w:color w:val="000000"/>
          <w:sz w:val="23"/>
          <w:szCs w:val="23"/>
          <w:lang w:eastAsia="en-AU"/>
        </w:rPr>
        <w:t xml:space="preserve">dentity, </w:t>
      </w:r>
      <w:r>
        <w:rPr>
          <w:rFonts w:ascii="Corbel" w:eastAsia="Times New Roman" w:hAnsi="Corbel" w:cs="Calibri"/>
          <w:color w:val="000000"/>
          <w:sz w:val="23"/>
          <w:szCs w:val="23"/>
          <w:lang w:eastAsia="en-AU"/>
        </w:rPr>
        <w:t>l</w:t>
      </w:r>
      <w:r w:rsidRPr="00E20C78">
        <w:rPr>
          <w:rFonts w:ascii="Corbel" w:eastAsia="Times New Roman" w:hAnsi="Corbel" w:cs="Calibri"/>
          <w:color w:val="000000"/>
          <w:sz w:val="23"/>
          <w:szCs w:val="23"/>
          <w:lang w:eastAsia="en-AU"/>
        </w:rPr>
        <w:t xml:space="preserve">eadership, </w:t>
      </w:r>
      <w:r>
        <w:rPr>
          <w:rFonts w:ascii="Corbel" w:eastAsia="Times New Roman" w:hAnsi="Corbel" w:cs="Calibri"/>
          <w:color w:val="000000"/>
          <w:sz w:val="23"/>
          <w:szCs w:val="23"/>
          <w:lang w:eastAsia="en-AU"/>
        </w:rPr>
        <w:t>t</w:t>
      </w:r>
      <w:r w:rsidRPr="00E20C78">
        <w:rPr>
          <w:rFonts w:ascii="Corbel" w:eastAsia="Times New Roman" w:hAnsi="Corbel" w:cs="Calibri"/>
          <w:color w:val="000000"/>
          <w:sz w:val="23"/>
          <w:szCs w:val="23"/>
          <w:lang w:eastAsia="en-AU"/>
        </w:rPr>
        <w:t xml:space="preserve">eaching and </w:t>
      </w:r>
      <w:r>
        <w:rPr>
          <w:rFonts w:ascii="Corbel" w:eastAsia="Times New Roman" w:hAnsi="Corbel" w:cs="Calibri"/>
          <w:color w:val="000000"/>
          <w:sz w:val="23"/>
          <w:szCs w:val="23"/>
          <w:lang w:eastAsia="en-AU"/>
        </w:rPr>
        <w:t>l</w:t>
      </w:r>
      <w:r w:rsidRPr="00E20C78">
        <w:rPr>
          <w:rFonts w:ascii="Corbel" w:eastAsia="Times New Roman" w:hAnsi="Corbel" w:cs="Calibri"/>
          <w:color w:val="000000"/>
          <w:sz w:val="23"/>
          <w:szCs w:val="23"/>
          <w:lang w:eastAsia="en-AU"/>
        </w:rPr>
        <w:t xml:space="preserve">earning, </w:t>
      </w:r>
      <w:r>
        <w:rPr>
          <w:rFonts w:ascii="Corbel" w:eastAsia="Times New Roman" w:hAnsi="Corbel" w:cs="Calibri"/>
          <w:color w:val="000000"/>
          <w:sz w:val="23"/>
          <w:szCs w:val="23"/>
          <w:lang w:eastAsia="en-AU"/>
        </w:rPr>
        <w:t>p</w:t>
      </w:r>
      <w:r w:rsidRPr="00E20C78">
        <w:rPr>
          <w:rFonts w:ascii="Corbel" w:eastAsia="Times New Roman" w:hAnsi="Corbel" w:cs="Calibri"/>
          <w:color w:val="000000"/>
          <w:sz w:val="23"/>
          <w:szCs w:val="23"/>
          <w:lang w:eastAsia="en-AU"/>
        </w:rPr>
        <w:t xml:space="preserve">astoral care and </w:t>
      </w:r>
      <w:r>
        <w:rPr>
          <w:rFonts w:ascii="Corbel" w:eastAsia="Times New Roman" w:hAnsi="Corbel" w:cs="Calibri"/>
          <w:color w:val="000000"/>
          <w:sz w:val="23"/>
          <w:szCs w:val="23"/>
          <w:lang w:eastAsia="en-AU"/>
        </w:rPr>
        <w:t>wellbeing, c</w:t>
      </w:r>
      <w:r w:rsidRPr="00E20C78">
        <w:rPr>
          <w:rFonts w:ascii="Corbel" w:eastAsia="Times New Roman" w:hAnsi="Corbel" w:cs="Calibri"/>
          <w:color w:val="000000"/>
          <w:sz w:val="23"/>
          <w:szCs w:val="23"/>
          <w:lang w:eastAsia="en-AU"/>
        </w:rPr>
        <w:t xml:space="preserve">ommunity and </w:t>
      </w:r>
      <w:r>
        <w:rPr>
          <w:rFonts w:ascii="Corbel" w:eastAsia="Times New Roman" w:hAnsi="Corbel" w:cs="Calibri"/>
          <w:color w:val="000000"/>
          <w:sz w:val="23"/>
          <w:szCs w:val="23"/>
          <w:lang w:eastAsia="en-AU"/>
        </w:rPr>
        <w:t>c</w:t>
      </w:r>
      <w:r w:rsidRPr="00E20C78">
        <w:rPr>
          <w:rFonts w:ascii="Corbel" w:eastAsia="Times New Roman" w:hAnsi="Corbel" w:cs="Calibri"/>
          <w:color w:val="000000"/>
          <w:sz w:val="23"/>
          <w:szCs w:val="23"/>
          <w:lang w:eastAsia="en-AU"/>
        </w:rPr>
        <w:t xml:space="preserve">ulture and </w:t>
      </w:r>
      <w:r>
        <w:rPr>
          <w:rFonts w:ascii="Corbel" w:eastAsia="Times New Roman" w:hAnsi="Corbel" w:cs="Calibri"/>
          <w:color w:val="000000"/>
          <w:sz w:val="23"/>
          <w:szCs w:val="23"/>
          <w:lang w:eastAsia="en-AU"/>
        </w:rPr>
        <w:t>f</w:t>
      </w:r>
      <w:r w:rsidRPr="00E20C78">
        <w:rPr>
          <w:rFonts w:ascii="Corbel" w:eastAsia="Times New Roman" w:hAnsi="Corbel" w:cs="Calibri"/>
          <w:color w:val="000000"/>
          <w:sz w:val="23"/>
          <w:szCs w:val="23"/>
          <w:lang w:eastAsia="en-AU"/>
        </w:rPr>
        <w:t xml:space="preserve">inance, </w:t>
      </w:r>
      <w:proofErr w:type="gramStart"/>
      <w:r w:rsidRPr="00E20C78">
        <w:rPr>
          <w:rFonts w:ascii="Corbel" w:eastAsia="Times New Roman" w:hAnsi="Corbel" w:cs="Calibri"/>
          <w:color w:val="000000"/>
          <w:sz w:val="23"/>
          <w:szCs w:val="23"/>
          <w:lang w:eastAsia="en-AU"/>
        </w:rPr>
        <w:t>facilities</w:t>
      </w:r>
      <w:proofErr w:type="gramEnd"/>
      <w:r w:rsidRPr="00E20C78">
        <w:rPr>
          <w:rFonts w:ascii="Corbel" w:eastAsia="Times New Roman" w:hAnsi="Corbel" w:cs="Calibri"/>
          <w:color w:val="000000"/>
          <w:sz w:val="23"/>
          <w:szCs w:val="23"/>
          <w:lang w:eastAsia="en-AU"/>
        </w:rPr>
        <w:t xml:space="preserve"> </w:t>
      </w:r>
      <w:r w:rsidRPr="00E20C78">
        <w:rPr>
          <w:rFonts w:ascii="Corbel" w:eastAsia="Times New Roman" w:hAnsi="Corbel" w:cs="Calibri"/>
          <w:color w:val="000000"/>
          <w:sz w:val="23"/>
          <w:szCs w:val="23"/>
          <w:lang w:eastAsia="en-AU"/>
        </w:rPr>
        <w:lastRenderedPageBreak/>
        <w:t xml:space="preserve">and </w:t>
      </w:r>
      <w:r>
        <w:rPr>
          <w:rFonts w:ascii="Corbel" w:eastAsia="Times New Roman" w:hAnsi="Corbel" w:cs="Calibri"/>
          <w:color w:val="000000"/>
          <w:sz w:val="23"/>
          <w:szCs w:val="23"/>
          <w:lang w:eastAsia="en-AU"/>
        </w:rPr>
        <w:t>r</w:t>
      </w:r>
      <w:r w:rsidRPr="00E20C78">
        <w:rPr>
          <w:rFonts w:ascii="Corbel" w:eastAsia="Times New Roman" w:hAnsi="Corbel" w:cs="Calibri"/>
          <w:color w:val="000000"/>
          <w:sz w:val="23"/>
          <w:szCs w:val="23"/>
          <w:lang w:eastAsia="en-AU"/>
        </w:rPr>
        <w:t xml:space="preserve">esources. The reform activity outlined </w:t>
      </w:r>
      <w:r>
        <w:rPr>
          <w:rFonts w:ascii="Corbel" w:eastAsia="Times New Roman" w:hAnsi="Corbel" w:cs="Calibri"/>
          <w:color w:val="000000"/>
          <w:sz w:val="23"/>
          <w:szCs w:val="23"/>
          <w:lang w:eastAsia="en-AU"/>
        </w:rPr>
        <w:t xml:space="preserve">in this bilateral </w:t>
      </w:r>
      <w:r w:rsidRPr="00E20C78">
        <w:rPr>
          <w:rFonts w:ascii="Corbel" w:eastAsia="Times New Roman" w:hAnsi="Corbel" w:cs="Calibri"/>
          <w:color w:val="000000"/>
          <w:sz w:val="23"/>
          <w:szCs w:val="23"/>
          <w:lang w:eastAsia="en-AU"/>
        </w:rPr>
        <w:t>is consistent with</w:t>
      </w:r>
      <w:r>
        <w:rPr>
          <w:rFonts w:ascii="Corbel" w:eastAsia="Times New Roman" w:hAnsi="Corbel" w:cs="Calibri"/>
          <w:color w:val="000000"/>
          <w:sz w:val="23"/>
          <w:szCs w:val="23"/>
          <w:lang w:eastAsia="en-AU"/>
        </w:rPr>
        <w:t>,</w:t>
      </w:r>
      <w:r w:rsidRPr="00E20C78">
        <w:rPr>
          <w:rFonts w:ascii="Corbel" w:eastAsia="Times New Roman" w:hAnsi="Corbel" w:cs="Calibri"/>
          <w:color w:val="000000"/>
          <w:sz w:val="23"/>
          <w:szCs w:val="23"/>
          <w:lang w:eastAsia="en-AU"/>
        </w:rPr>
        <w:t xml:space="preserve"> and supports the goals of</w:t>
      </w:r>
      <w:r>
        <w:rPr>
          <w:rFonts w:ascii="Corbel" w:eastAsia="Times New Roman" w:hAnsi="Corbel" w:cs="Calibri"/>
          <w:color w:val="000000"/>
          <w:sz w:val="23"/>
          <w:szCs w:val="23"/>
          <w:lang w:eastAsia="en-AU"/>
        </w:rPr>
        <w:t>,</w:t>
      </w:r>
      <w:r w:rsidRPr="00E20C78">
        <w:rPr>
          <w:rFonts w:ascii="Corbel" w:eastAsia="Times New Roman" w:hAnsi="Corbel" w:cs="Calibri"/>
          <w:color w:val="000000"/>
          <w:sz w:val="23"/>
          <w:szCs w:val="23"/>
          <w:lang w:eastAsia="en-AU"/>
        </w:rPr>
        <w:t xml:space="preserve"> the strategic plan.</w:t>
      </w:r>
    </w:p>
    <w:p w14:paraId="71BD006E" w14:textId="14980306" w:rsidR="00BE5A84" w:rsidRPr="00202E76" w:rsidRDefault="00BE5A84" w:rsidP="00BE5A84">
      <w:pPr>
        <w:spacing w:after="240" w:line="260" w:lineRule="exact"/>
        <w:rPr>
          <w:rFonts w:ascii="Corbel" w:eastAsia="Times New Roman" w:hAnsi="Corbel" w:cs="Corbel"/>
          <w:b/>
          <w:color w:val="316F72"/>
          <w:sz w:val="32"/>
          <w:szCs w:val="23"/>
          <w:lang w:eastAsia="en-AU"/>
        </w:rPr>
      </w:pPr>
      <w:r w:rsidRPr="00202E76">
        <w:rPr>
          <w:rFonts w:ascii="Corbel" w:eastAsia="Times New Roman" w:hAnsi="Corbel" w:cs="Corbel"/>
          <w:b/>
          <w:color w:val="316F72"/>
          <w:sz w:val="32"/>
          <w:szCs w:val="23"/>
          <w:lang w:eastAsia="en-AU"/>
        </w:rPr>
        <w:t>Part 1 — REFORMS</w:t>
      </w:r>
    </w:p>
    <w:p w14:paraId="48AFF136" w14:textId="14CFAF29" w:rsidR="00BE5A84" w:rsidRPr="00202E76" w:rsidRDefault="00BE5A84" w:rsidP="00BE5A84">
      <w:pPr>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Reform activity</w:t>
      </w:r>
    </w:p>
    <w:p w14:paraId="032F6EE2" w14:textId="7C7A2853" w:rsidR="00BE5A84" w:rsidRPr="008E3455"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8E3455">
        <w:rPr>
          <w:rFonts w:ascii="Corbel" w:eastAsia="Times New Roman" w:hAnsi="Corbel" w:cs="Calibri"/>
          <w:color w:val="000000"/>
          <w:sz w:val="23"/>
          <w:szCs w:val="23"/>
          <w:lang w:eastAsia="en-AU"/>
        </w:rPr>
        <w:t>Building on the nationally agreed reform activities, this agreement sets out additional activities to be undertaken during the term of this bilateral agreement.</w:t>
      </w:r>
    </w:p>
    <w:p w14:paraId="41C4BC9A" w14:textId="75A39EC2" w:rsidR="00BE5A84" w:rsidRPr="008E3455"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The reform activities agreed in this bilateral agreement align with the national reform directions of the National </w:t>
      </w:r>
      <w:r>
        <w:rPr>
          <w:rFonts w:ascii="Corbel" w:eastAsia="Times New Roman" w:hAnsi="Corbel" w:cs="Calibri"/>
          <w:color w:val="000000"/>
          <w:sz w:val="23"/>
          <w:szCs w:val="23"/>
          <w:lang w:eastAsia="en-AU"/>
        </w:rPr>
        <w:t>S</w:t>
      </w:r>
      <w:r w:rsidRPr="00202E76">
        <w:rPr>
          <w:rFonts w:ascii="Corbel" w:eastAsia="Times New Roman" w:hAnsi="Corbel" w:cs="Calibri"/>
          <w:color w:val="000000"/>
          <w:sz w:val="23"/>
          <w:szCs w:val="23"/>
          <w:lang w:eastAsia="en-AU"/>
        </w:rPr>
        <w:t xml:space="preserve">chool </w:t>
      </w:r>
      <w:r>
        <w:rPr>
          <w:rFonts w:ascii="Corbel" w:eastAsia="Times New Roman" w:hAnsi="Corbel" w:cs="Calibri"/>
          <w:color w:val="000000"/>
          <w:sz w:val="23"/>
          <w:szCs w:val="23"/>
          <w:lang w:eastAsia="en-AU"/>
        </w:rPr>
        <w:t>R</w:t>
      </w:r>
      <w:r w:rsidRPr="00202E76">
        <w:rPr>
          <w:rFonts w:ascii="Corbel" w:eastAsia="Times New Roman" w:hAnsi="Corbel" w:cs="Calibri"/>
          <w:color w:val="000000"/>
          <w:sz w:val="23"/>
          <w:szCs w:val="23"/>
          <w:lang w:eastAsia="en-AU"/>
        </w:rPr>
        <w:t xml:space="preserve">eform </w:t>
      </w:r>
      <w:r>
        <w:rPr>
          <w:rFonts w:ascii="Corbel" w:eastAsia="Times New Roman" w:hAnsi="Corbel" w:cs="Calibri"/>
          <w:color w:val="000000"/>
          <w:sz w:val="23"/>
          <w:szCs w:val="23"/>
          <w:lang w:eastAsia="en-AU"/>
        </w:rPr>
        <w:t>A</w:t>
      </w:r>
      <w:r w:rsidRPr="00202E76">
        <w:rPr>
          <w:rFonts w:ascii="Corbel" w:eastAsia="Times New Roman" w:hAnsi="Corbel" w:cs="Calibri"/>
          <w:color w:val="000000"/>
          <w:sz w:val="23"/>
          <w:szCs w:val="23"/>
          <w:lang w:eastAsia="en-AU"/>
        </w:rPr>
        <w:t>greement</w:t>
      </w:r>
      <w:r w:rsidRPr="008E3455">
        <w:rPr>
          <w:rFonts w:ascii="Corbel" w:eastAsia="Times New Roman" w:hAnsi="Corbel" w:cs="Calibri"/>
          <w:color w:val="000000"/>
          <w:sz w:val="23"/>
          <w:szCs w:val="23"/>
          <w:lang w:eastAsia="en-AU"/>
        </w:rPr>
        <w:t xml:space="preserve">. </w:t>
      </w:r>
    </w:p>
    <w:p w14:paraId="2A7EA52D" w14:textId="4080DC41" w:rsidR="00BE5A84" w:rsidRPr="00202E76"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Bilateral reforms will include activity to support improved outcomes for specific cohorts of students as appropriate, including Aboriginal and Torres Strait Islander students.  </w:t>
      </w:r>
    </w:p>
    <w:p w14:paraId="03400E2C" w14:textId="7178CED6" w:rsidR="00BE5A84" w:rsidRPr="00202E76"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Northern Territory</w:t>
      </w:r>
      <w:r w:rsidRPr="00202E76">
        <w:rPr>
          <w:rFonts w:ascii="Corbel" w:eastAsia="Times New Roman" w:hAnsi="Corbel" w:cs="Calibri"/>
          <w:color w:val="000000"/>
          <w:sz w:val="23"/>
          <w:szCs w:val="23"/>
          <w:lang w:eastAsia="en-AU"/>
        </w:rPr>
        <w:t xml:space="preserve"> undertakes to work with the non-government school sector in </w:t>
      </w:r>
      <w:r>
        <w:rPr>
          <w:rFonts w:ascii="Corbel" w:eastAsia="Times New Roman" w:hAnsi="Corbel" w:cs="Calibri"/>
          <w:color w:val="000000"/>
          <w:sz w:val="23"/>
          <w:szCs w:val="23"/>
          <w:lang w:eastAsia="en-AU"/>
        </w:rPr>
        <w:t>the Northern Territory</w:t>
      </w:r>
      <w:r w:rsidRPr="00202E76">
        <w:rPr>
          <w:rFonts w:ascii="Corbel" w:eastAsia="Times New Roman" w:hAnsi="Corbel" w:cs="Calibri"/>
          <w:color w:val="000000"/>
          <w:sz w:val="23"/>
          <w:szCs w:val="23"/>
          <w:lang w:eastAsia="en-AU"/>
        </w:rPr>
        <w:t xml:space="preserve"> in the implementation of the reforms outlined in this agreement as follows:</w:t>
      </w:r>
    </w:p>
    <w:p w14:paraId="68763450" w14:textId="0FB27C97" w:rsidR="00BE5A84" w:rsidRDefault="00BE5A84" w:rsidP="00BE5A84">
      <w:pPr>
        <w:numPr>
          <w:ilvl w:val="0"/>
          <w:numId w:val="8"/>
        </w:numPr>
        <w:spacing w:after="240" w:line="260" w:lineRule="exact"/>
        <w:ind w:left="992" w:hanging="35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bilateral reforms to be a standing item at quarterly Non-Government Schools Ministerial Advisory Committee meetings; and</w:t>
      </w:r>
    </w:p>
    <w:p w14:paraId="5DFCA868" w14:textId="551E8BA2" w:rsidR="00BE5A84" w:rsidRPr="00202E76" w:rsidRDefault="00BE5A84" w:rsidP="00BE5A84">
      <w:pPr>
        <w:numPr>
          <w:ilvl w:val="0"/>
          <w:numId w:val="8"/>
        </w:numPr>
        <w:spacing w:after="240" w:line="260" w:lineRule="exact"/>
        <w:ind w:left="993"/>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ongoing/as needed communication between sector networks on the joint initiatives identified in the reform plan.</w:t>
      </w:r>
    </w:p>
    <w:p w14:paraId="13AD26AD" w14:textId="00C4B09F"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sectPr w:rsidR="00BE5A84">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pPr>
      <w:r w:rsidRPr="008E3455">
        <w:rPr>
          <w:rFonts w:ascii="Corbel" w:eastAsia="Times New Roman" w:hAnsi="Corbel" w:cs="Calibri"/>
          <w:color w:val="000000"/>
          <w:sz w:val="23"/>
          <w:szCs w:val="23"/>
          <w:lang w:eastAsia="en-AU"/>
        </w:rPr>
        <w:t xml:space="preserve">The Commonwealth will not impose financial or other sanctions on the Northern Territory for a failure by the non-government school sector to cooperate with the bilateral agreement, as outlined in the National School Reform Agreement. </w:t>
      </w:r>
      <w:r w:rsidRPr="000D2DF0">
        <w:rPr>
          <w:rFonts w:ascii="Corbel" w:eastAsia="Times New Roman" w:hAnsi="Corbel" w:cs="Calibri"/>
          <w:color w:val="000000"/>
          <w:sz w:val="23"/>
          <w:szCs w:val="23"/>
          <w:lang w:eastAsia="en-AU"/>
        </w:rPr>
        <w:t xml:space="preserve">Nor will the Commonwealth impose sanctions on the non-government school sector for a failure of </w:t>
      </w:r>
      <w:r>
        <w:rPr>
          <w:rFonts w:ascii="Corbel" w:eastAsia="Times New Roman" w:hAnsi="Corbel" w:cs="Calibri"/>
          <w:color w:val="000000"/>
          <w:sz w:val="23"/>
          <w:szCs w:val="23"/>
          <w:lang w:eastAsia="en-AU"/>
        </w:rPr>
        <w:t>the Northern Territory Government</w:t>
      </w:r>
      <w:r w:rsidRPr="000D2DF0">
        <w:rPr>
          <w:rFonts w:ascii="Corbel" w:eastAsia="Times New Roman" w:hAnsi="Corbel" w:cs="Calibri"/>
          <w:color w:val="000000"/>
          <w:sz w:val="23"/>
          <w:szCs w:val="23"/>
          <w:lang w:eastAsia="en-AU"/>
        </w:rPr>
        <w:t xml:space="preserve"> to cooperate with them in the implementation of this bilateral agreement.</w:t>
      </w:r>
    </w:p>
    <w:p w14:paraId="44685920" w14:textId="02927E8C" w:rsidR="00BE5A84" w:rsidRPr="00AD021F" w:rsidRDefault="00BE5A84" w:rsidP="00BE5A84">
      <w:pPr>
        <w:tabs>
          <w:tab w:val="left" w:pos="13041"/>
        </w:tabs>
        <w:spacing w:before="180" w:after="120" w:line="240" w:lineRule="auto"/>
        <w:outlineLvl w:val="1"/>
        <w:rPr>
          <w:rFonts w:ascii="Corbel" w:eastAsia="Times New Roman" w:hAnsi="Corbel" w:cs="Corbel"/>
          <w:b/>
          <w:bCs/>
          <w:color w:val="806000"/>
          <w:sz w:val="28"/>
          <w:szCs w:val="28"/>
          <w:lang w:eastAsia="en-AU"/>
        </w:rPr>
      </w:pPr>
      <w:r>
        <w:rPr>
          <w:rFonts w:ascii="Corbel" w:eastAsia="Times New Roman" w:hAnsi="Corbel" w:cs="Corbel"/>
          <w:b/>
          <w:bCs/>
          <w:color w:val="806000"/>
          <w:sz w:val="28"/>
          <w:szCs w:val="28"/>
          <w:lang w:eastAsia="en-AU"/>
        </w:rPr>
        <w:lastRenderedPageBreak/>
        <w:t>Table 1: Northern Territory bilateral reform plan</w:t>
      </w:r>
    </w:p>
    <w:tbl>
      <w:tblPr>
        <w:tblW w:w="5258" w:type="pct"/>
        <w:tblInd w:w="-719" w:type="dxa"/>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9096"/>
        <w:gridCol w:w="1841"/>
        <w:gridCol w:w="1861"/>
        <w:gridCol w:w="1859"/>
      </w:tblGrid>
      <w:tr w:rsidR="00BE5A84" w:rsidRPr="00DA087C" w14:paraId="4944C590" w14:textId="197C1884" w:rsidTr="004C2CB5">
        <w:trPr>
          <w:cantSplit/>
          <w:trHeight w:val="284"/>
          <w:tblHeader/>
        </w:trPr>
        <w:tc>
          <w:tcPr>
            <w:tcW w:w="3103" w:type="pct"/>
            <w:tcBorders>
              <w:top w:val="single" w:sz="24" w:space="0" w:color="316F72"/>
              <w:left w:val="single" w:sz="8" w:space="0" w:color="316F72"/>
              <w:bottom w:val="single" w:sz="24" w:space="0" w:color="316F72"/>
              <w:right w:val="single" w:sz="8" w:space="0" w:color="316F72"/>
            </w:tcBorders>
            <w:hideMark/>
          </w:tcPr>
          <w:p w14:paraId="60648862" w14:textId="22563E74" w:rsidR="00BE5A84" w:rsidRPr="00DA087C" w:rsidRDefault="00BE5A84" w:rsidP="009859AB">
            <w:pPr>
              <w:spacing w:before="120" w:after="120" w:line="260" w:lineRule="exact"/>
              <w:rPr>
                <w:rFonts w:ascii="Corbel" w:eastAsia="Times New Roman" w:hAnsi="Corbel" w:cs="Arial"/>
                <w:b/>
                <w:sz w:val="23"/>
                <w:szCs w:val="23"/>
                <w:lang w:eastAsia="en-AU"/>
              </w:rPr>
            </w:pPr>
            <w:r w:rsidRPr="00DA087C">
              <w:rPr>
                <w:rFonts w:ascii="Corbel" w:eastAsia="Times New Roman" w:hAnsi="Corbel" w:cs="Arial"/>
                <w:b/>
                <w:sz w:val="23"/>
                <w:szCs w:val="23"/>
                <w:lang w:eastAsia="en-AU"/>
              </w:rPr>
              <w:t>Actions</w:t>
            </w:r>
          </w:p>
        </w:tc>
        <w:tc>
          <w:tcPr>
            <w:tcW w:w="628" w:type="pct"/>
            <w:tcBorders>
              <w:top w:val="single" w:sz="24" w:space="0" w:color="316F72"/>
              <w:left w:val="single" w:sz="8" w:space="0" w:color="316F72"/>
              <w:bottom w:val="single" w:sz="24" w:space="0" w:color="316F72"/>
              <w:right w:val="single" w:sz="8" w:space="0" w:color="316F72"/>
            </w:tcBorders>
            <w:hideMark/>
          </w:tcPr>
          <w:p w14:paraId="7AD83E1D" w14:textId="4F848FE1" w:rsidR="00BE5A84" w:rsidRPr="003A7206" w:rsidRDefault="00BE5A84" w:rsidP="009859AB">
            <w:pPr>
              <w:spacing w:before="120" w:after="120" w:line="260" w:lineRule="exact"/>
              <w:rPr>
                <w:rFonts w:ascii="Corbel" w:eastAsia="Times New Roman" w:hAnsi="Corbel" w:cs="Arial"/>
                <w:b/>
                <w:lang w:eastAsia="en-AU"/>
              </w:rPr>
            </w:pPr>
            <w:r w:rsidRPr="003A7206">
              <w:rPr>
                <w:rFonts w:ascii="Corbel" w:eastAsia="Times New Roman" w:hAnsi="Corbel" w:cs="Arial"/>
                <w:b/>
                <w:lang w:eastAsia="en-AU"/>
              </w:rPr>
              <w:t>Sector(s)</w:t>
            </w:r>
          </w:p>
        </w:tc>
        <w:tc>
          <w:tcPr>
            <w:tcW w:w="635" w:type="pct"/>
            <w:tcBorders>
              <w:top w:val="single" w:sz="24" w:space="0" w:color="316F72"/>
              <w:left w:val="single" w:sz="8" w:space="0" w:color="316F72"/>
              <w:bottom w:val="single" w:sz="24" w:space="0" w:color="316F72"/>
              <w:right w:val="single" w:sz="8" w:space="0" w:color="316F72"/>
            </w:tcBorders>
            <w:hideMark/>
          </w:tcPr>
          <w:p w14:paraId="3816B0AB" w14:textId="650F52D8" w:rsidR="00BE5A84" w:rsidRPr="00DA087C" w:rsidRDefault="00BE5A84" w:rsidP="009859AB">
            <w:pPr>
              <w:spacing w:before="120" w:after="120" w:line="260" w:lineRule="exact"/>
              <w:rPr>
                <w:rFonts w:ascii="Corbel" w:eastAsia="Times New Roman" w:hAnsi="Corbel" w:cs="Arial"/>
                <w:b/>
                <w:sz w:val="23"/>
                <w:szCs w:val="23"/>
                <w:lang w:eastAsia="en-AU"/>
              </w:rPr>
            </w:pPr>
            <w:r w:rsidRPr="00DA087C">
              <w:rPr>
                <w:rFonts w:ascii="Corbel" w:eastAsia="Times New Roman" w:hAnsi="Corbel" w:cs="Arial"/>
                <w:b/>
                <w:sz w:val="23"/>
                <w:szCs w:val="23"/>
                <w:lang w:eastAsia="en-AU"/>
              </w:rPr>
              <w:t>Timing</w:t>
            </w:r>
          </w:p>
        </w:tc>
        <w:tc>
          <w:tcPr>
            <w:tcW w:w="634" w:type="pct"/>
            <w:tcBorders>
              <w:top w:val="single" w:sz="24" w:space="0" w:color="316F72"/>
              <w:left w:val="single" w:sz="8" w:space="0" w:color="316F72"/>
              <w:bottom w:val="single" w:sz="24" w:space="0" w:color="316F72"/>
              <w:right w:val="single" w:sz="8" w:space="0" w:color="316F72"/>
            </w:tcBorders>
          </w:tcPr>
          <w:p w14:paraId="0F9F631F" w14:textId="0CAE6597" w:rsidR="00BE5A84" w:rsidRPr="00DA087C" w:rsidRDefault="00BE5A84" w:rsidP="009859AB">
            <w:pPr>
              <w:spacing w:before="120" w:after="120" w:line="260" w:lineRule="exact"/>
              <w:rPr>
                <w:rFonts w:ascii="Corbel" w:eastAsia="Times New Roman" w:hAnsi="Corbel" w:cs="Arial"/>
                <w:b/>
                <w:sz w:val="23"/>
                <w:szCs w:val="23"/>
                <w:lang w:eastAsia="en-AU"/>
              </w:rPr>
            </w:pPr>
            <w:r>
              <w:rPr>
                <w:rFonts w:ascii="Corbel" w:eastAsia="Times New Roman" w:hAnsi="Corbel" w:cs="Arial"/>
                <w:b/>
                <w:sz w:val="23"/>
                <w:szCs w:val="23"/>
                <w:lang w:eastAsia="en-AU"/>
              </w:rPr>
              <w:t>Alignment with reform directions</w:t>
            </w:r>
          </w:p>
        </w:tc>
      </w:tr>
      <w:tr w:rsidR="004C2CB5" w:rsidRPr="00DA087C" w14:paraId="5098535A" w14:textId="6722F22B" w:rsidTr="004C2CB5">
        <w:trPr>
          <w:cantSplit/>
          <w:trHeight w:val="578"/>
        </w:trPr>
        <w:tc>
          <w:tcPr>
            <w:tcW w:w="5000" w:type="pct"/>
            <w:gridSpan w:val="4"/>
            <w:tcBorders>
              <w:top w:val="single" w:sz="24" w:space="0" w:color="316F72"/>
              <w:left w:val="single" w:sz="8" w:space="0" w:color="316F72"/>
              <w:bottom w:val="single" w:sz="24" w:space="0" w:color="316F72"/>
              <w:right w:val="single" w:sz="8" w:space="0" w:color="316F72"/>
            </w:tcBorders>
            <w:shd w:val="clear" w:color="auto" w:fill="FFD966" w:themeFill="accent4" w:themeFillTint="99"/>
          </w:tcPr>
          <w:p w14:paraId="276FC4B6" w14:textId="51F9619F" w:rsidR="004C2CB5" w:rsidRPr="003A545B" w:rsidRDefault="004C2CB5" w:rsidP="009859AB">
            <w:pPr>
              <w:spacing w:before="120" w:after="120" w:line="260" w:lineRule="exact"/>
              <w:rPr>
                <w:rFonts w:ascii="Calibri" w:eastAsia="Calibri" w:hAnsi="Calibri" w:cs="Calibri"/>
                <w:b/>
                <w:sz w:val="23"/>
                <w:szCs w:val="23"/>
              </w:rPr>
            </w:pPr>
            <w:r w:rsidRPr="006F0C28">
              <w:rPr>
                <w:rFonts w:ascii="Calibri" w:eastAsia="Calibri" w:hAnsi="Calibri" w:cs="Calibri"/>
                <w:b/>
              </w:rPr>
              <w:t>National Policy Initiatives</w:t>
            </w:r>
          </w:p>
        </w:tc>
      </w:tr>
      <w:tr w:rsidR="004C2CB5" w:rsidRPr="00DA087C" w14:paraId="65B3FC06" w14:textId="2DD4A392" w:rsidTr="004C2CB5">
        <w:trPr>
          <w:cantSplit/>
          <w:trHeight w:val="578"/>
        </w:trPr>
        <w:tc>
          <w:tcPr>
            <w:tcW w:w="3103" w:type="pct"/>
            <w:tcBorders>
              <w:top w:val="single" w:sz="24" w:space="0" w:color="316F72"/>
              <w:left w:val="single" w:sz="8" w:space="0" w:color="316F72"/>
              <w:bottom w:val="single" w:sz="4" w:space="0" w:color="auto"/>
              <w:right w:val="single" w:sz="8" w:space="0" w:color="316F72"/>
            </w:tcBorders>
          </w:tcPr>
          <w:p w14:paraId="44354660" w14:textId="242038BF" w:rsidR="004C2CB5" w:rsidRPr="003A7206" w:rsidRDefault="004C2CB5" w:rsidP="009859AB">
            <w:pPr>
              <w:spacing w:before="120" w:after="120" w:line="260" w:lineRule="exact"/>
              <w:contextualSpacing/>
              <w:rPr>
                <w:rFonts w:ascii="Calibri" w:eastAsia="Calibri" w:hAnsi="Calibri" w:cs="Calibri"/>
                <w:b/>
              </w:rPr>
            </w:pPr>
            <w:r w:rsidRPr="003A7206">
              <w:rPr>
                <w:rFonts w:ascii="Calibri" w:eastAsia="Calibri" w:hAnsi="Calibri" w:cs="Calibri"/>
                <w:b/>
              </w:rPr>
              <w:t>All sectors commit to the implementation of the national reform initiatives within the context of the Northern Territory</w:t>
            </w:r>
          </w:p>
        </w:tc>
        <w:tc>
          <w:tcPr>
            <w:tcW w:w="628" w:type="pct"/>
            <w:tcBorders>
              <w:top w:val="single" w:sz="24" w:space="0" w:color="316F72"/>
              <w:left w:val="single" w:sz="8" w:space="0" w:color="316F72"/>
              <w:bottom w:val="single" w:sz="4" w:space="0" w:color="auto"/>
              <w:right w:val="single" w:sz="8" w:space="0" w:color="316F72"/>
            </w:tcBorders>
          </w:tcPr>
          <w:p w14:paraId="6B860A7C" w14:textId="0DEEC4B2" w:rsidR="004C2CB5" w:rsidRPr="003A7206" w:rsidRDefault="004C2CB5" w:rsidP="009859AB">
            <w:pPr>
              <w:spacing w:before="120" w:after="120" w:line="260" w:lineRule="exact"/>
              <w:rPr>
                <w:rFonts w:eastAsia="Times New Roman" w:cs="Arial"/>
                <w:lang w:eastAsia="en-AU"/>
              </w:rPr>
            </w:pPr>
            <w:r w:rsidRPr="006F0C28">
              <w:rPr>
                <w:rFonts w:eastAsia="Times New Roman" w:cs="Arial"/>
                <w:lang w:eastAsia="en-AU"/>
              </w:rPr>
              <w:t>All sectors</w:t>
            </w:r>
          </w:p>
        </w:tc>
        <w:tc>
          <w:tcPr>
            <w:tcW w:w="635" w:type="pct"/>
            <w:tcBorders>
              <w:top w:val="single" w:sz="24" w:space="0" w:color="316F72"/>
              <w:left w:val="single" w:sz="8" w:space="0" w:color="316F72"/>
              <w:bottom w:val="single" w:sz="4" w:space="0" w:color="auto"/>
              <w:right w:val="single" w:sz="8" w:space="0" w:color="316F72"/>
            </w:tcBorders>
          </w:tcPr>
          <w:p w14:paraId="0A37501D" w14:textId="1BFCA321" w:rsidR="004C2CB5" w:rsidRPr="00DA087C" w:rsidRDefault="004C2CB5" w:rsidP="009859AB">
            <w:pPr>
              <w:spacing w:before="120" w:after="120" w:line="260" w:lineRule="exact"/>
              <w:rPr>
                <w:rFonts w:ascii="Corbel" w:eastAsia="Times New Roman" w:hAnsi="Corbel" w:cs="Arial"/>
                <w:sz w:val="23"/>
                <w:szCs w:val="23"/>
                <w:lang w:eastAsia="en-AU"/>
              </w:rPr>
            </w:pPr>
          </w:p>
        </w:tc>
        <w:tc>
          <w:tcPr>
            <w:tcW w:w="634" w:type="pct"/>
            <w:tcBorders>
              <w:top w:val="single" w:sz="24" w:space="0" w:color="316F72"/>
              <w:left w:val="single" w:sz="8" w:space="0" w:color="316F72"/>
              <w:bottom w:val="single" w:sz="4" w:space="0" w:color="auto"/>
              <w:right w:val="single" w:sz="8" w:space="0" w:color="316F72"/>
            </w:tcBorders>
          </w:tcPr>
          <w:p w14:paraId="5DAB6C7B" w14:textId="460AF7E3" w:rsidR="004C2CB5" w:rsidRPr="00DA087C" w:rsidRDefault="004C2CB5" w:rsidP="009859AB">
            <w:pPr>
              <w:spacing w:before="120" w:after="120" w:line="260" w:lineRule="exact"/>
              <w:rPr>
                <w:rFonts w:ascii="Corbel" w:eastAsia="Times New Roman" w:hAnsi="Corbel" w:cs="Arial"/>
                <w:sz w:val="23"/>
                <w:szCs w:val="23"/>
                <w:lang w:eastAsia="en-AU"/>
              </w:rPr>
            </w:pPr>
          </w:p>
        </w:tc>
      </w:tr>
      <w:tr w:rsidR="004C2CB5" w:rsidRPr="00DA087C" w14:paraId="6F0C8FE3" w14:textId="68BD0E91" w:rsidTr="009859AB">
        <w:trPr>
          <w:cantSplit/>
          <w:trHeight w:val="578"/>
        </w:trPr>
        <w:tc>
          <w:tcPr>
            <w:tcW w:w="3103" w:type="pct"/>
            <w:tcBorders>
              <w:top w:val="single" w:sz="4" w:space="0" w:color="auto"/>
              <w:left w:val="single" w:sz="4" w:space="0" w:color="auto"/>
              <w:bottom w:val="nil"/>
              <w:right w:val="single" w:sz="4" w:space="0" w:color="auto"/>
            </w:tcBorders>
          </w:tcPr>
          <w:p w14:paraId="21C30C45" w14:textId="2B80F866" w:rsidR="004C2CB5" w:rsidRPr="003A7206" w:rsidRDefault="004C2CB5" w:rsidP="009859AB">
            <w:pPr>
              <w:spacing w:before="120" w:after="120" w:line="260" w:lineRule="exact"/>
              <w:contextualSpacing/>
              <w:rPr>
                <w:rFonts w:eastAsia="Times New Roman" w:cs="Arial"/>
                <w:b/>
                <w:i/>
                <w:lang w:eastAsia="en-AU"/>
              </w:rPr>
            </w:pPr>
            <w:r w:rsidRPr="003A7206">
              <w:rPr>
                <w:rFonts w:eastAsia="Times New Roman" w:cs="Arial"/>
                <w:b/>
                <w:i/>
                <w:lang w:eastAsia="en-AU"/>
              </w:rPr>
              <w:t xml:space="preserve">Reform Direction C </w:t>
            </w:r>
            <w:r>
              <w:rPr>
                <w:rFonts w:eastAsia="Times New Roman" w:cs="Arial"/>
                <w:b/>
                <w:i/>
                <w:lang w:eastAsia="en-AU"/>
              </w:rPr>
              <w:t>(</w:t>
            </w:r>
            <w:proofErr w:type="spellStart"/>
            <w:r>
              <w:rPr>
                <w:rFonts w:eastAsia="Times New Roman" w:cs="Arial"/>
                <w:b/>
                <w:i/>
                <w:lang w:eastAsia="en-AU"/>
              </w:rPr>
              <w:t>i</w:t>
            </w:r>
            <w:proofErr w:type="spellEnd"/>
            <w:r>
              <w:rPr>
                <w:rFonts w:eastAsia="Times New Roman" w:cs="Arial"/>
                <w:b/>
                <w:i/>
                <w:lang w:eastAsia="en-AU"/>
              </w:rPr>
              <w:t xml:space="preserve">) </w:t>
            </w:r>
            <w:r w:rsidRPr="003A7206">
              <w:rPr>
                <w:rFonts w:eastAsia="Times New Roman" w:cs="Arial"/>
                <w:b/>
                <w:i/>
                <w:lang w:eastAsia="en-AU"/>
              </w:rPr>
              <w:t xml:space="preserve">– Enhancing the national evidence </w:t>
            </w:r>
            <w:proofErr w:type="gramStart"/>
            <w:r w:rsidRPr="003A7206">
              <w:rPr>
                <w:rFonts w:eastAsia="Times New Roman" w:cs="Arial"/>
                <w:b/>
                <w:i/>
                <w:lang w:eastAsia="en-AU"/>
              </w:rPr>
              <w:t>base</w:t>
            </w:r>
            <w:proofErr w:type="gramEnd"/>
          </w:p>
          <w:p w14:paraId="6A3BFD92" w14:textId="69EDF8C7" w:rsidR="004C2CB5" w:rsidRPr="00DA087C" w:rsidRDefault="004C2CB5" w:rsidP="009859AB">
            <w:pPr>
              <w:spacing w:before="120" w:after="120" w:line="260" w:lineRule="exact"/>
              <w:contextualSpacing/>
              <w:rPr>
                <w:rFonts w:ascii="Corbel" w:eastAsia="Times New Roman" w:hAnsi="Corbel" w:cs="Arial"/>
                <w:i/>
                <w:sz w:val="23"/>
                <w:szCs w:val="23"/>
                <w:lang w:eastAsia="en-AU"/>
              </w:rPr>
            </w:pPr>
            <w:r w:rsidRPr="00DA087C">
              <w:rPr>
                <w:rFonts w:ascii="Calibri" w:eastAsia="Calibri" w:hAnsi="Calibri" w:cs="Calibri"/>
              </w:rPr>
              <w:t xml:space="preserve">Implementing </w:t>
            </w:r>
            <w:r w:rsidRPr="00DA087C">
              <w:rPr>
                <w:rFonts w:ascii="Calibri" w:eastAsia="Calibri" w:hAnsi="Calibri" w:cs="Times New Roman"/>
              </w:rPr>
              <w:t>a national unique student identifier (USI) to support better understanding of student progression and improve the national evidence base</w:t>
            </w:r>
          </w:p>
        </w:tc>
        <w:tc>
          <w:tcPr>
            <w:tcW w:w="628" w:type="pct"/>
            <w:tcBorders>
              <w:top w:val="single" w:sz="4" w:space="0" w:color="auto"/>
              <w:left w:val="single" w:sz="4" w:space="0" w:color="auto"/>
              <w:bottom w:val="nil"/>
              <w:right w:val="single" w:sz="4" w:space="0" w:color="auto"/>
            </w:tcBorders>
          </w:tcPr>
          <w:p w14:paraId="02EB378F" w14:textId="696DECE4" w:rsidR="004C2CB5" w:rsidRPr="003A7206" w:rsidRDefault="004C2CB5" w:rsidP="009859AB">
            <w:pPr>
              <w:spacing w:before="120" w:after="120" w:line="260" w:lineRule="exact"/>
              <w:rPr>
                <w:rFonts w:eastAsia="Times New Roman" w:cs="Arial"/>
                <w:lang w:eastAsia="en-AU"/>
              </w:rPr>
            </w:pPr>
          </w:p>
        </w:tc>
        <w:tc>
          <w:tcPr>
            <w:tcW w:w="635" w:type="pct"/>
            <w:tcBorders>
              <w:top w:val="single" w:sz="4" w:space="0" w:color="auto"/>
              <w:left w:val="single" w:sz="4" w:space="0" w:color="auto"/>
              <w:bottom w:val="nil"/>
              <w:right w:val="single" w:sz="4" w:space="0" w:color="auto"/>
            </w:tcBorders>
          </w:tcPr>
          <w:p w14:paraId="6A05A809" w14:textId="3925D7AC" w:rsidR="004C2CB5" w:rsidRPr="00DA087C" w:rsidRDefault="004C2CB5" w:rsidP="009859AB">
            <w:pPr>
              <w:spacing w:before="120" w:after="120" w:line="260" w:lineRule="exact"/>
              <w:rPr>
                <w:rFonts w:ascii="Corbel" w:eastAsia="Times New Roman" w:hAnsi="Corbel" w:cs="Arial"/>
                <w:sz w:val="23"/>
                <w:szCs w:val="23"/>
                <w:lang w:eastAsia="en-AU"/>
              </w:rPr>
            </w:pPr>
          </w:p>
        </w:tc>
        <w:tc>
          <w:tcPr>
            <w:tcW w:w="634" w:type="pct"/>
            <w:tcBorders>
              <w:top w:val="single" w:sz="4" w:space="0" w:color="auto"/>
              <w:left w:val="single" w:sz="4" w:space="0" w:color="auto"/>
              <w:bottom w:val="nil"/>
              <w:right w:val="single" w:sz="4" w:space="0" w:color="auto"/>
            </w:tcBorders>
          </w:tcPr>
          <w:p w14:paraId="5A39BBE3" w14:textId="7BCFAA16" w:rsidR="004C2CB5" w:rsidRPr="00DA087C" w:rsidRDefault="004C2CB5" w:rsidP="009859AB">
            <w:pPr>
              <w:spacing w:before="120" w:after="120" w:line="260" w:lineRule="exact"/>
              <w:rPr>
                <w:rFonts w:ascii="Corbel" w:eastAsia="Times New Roman" w:hAnsi="Corbel" w:cs="Arial"/>
                <w:sz w:val="23"/>
                <w:szCs w:val="23"/>
                <w:lang w:eastAsia="en-AU"/>
              </w:rPr>
            </w:pPr>
          </w:p>
        </w:tc>
      </w:tr>
      <w:tr w:rsidR="004C2CB5" w:rsidRPr="00DA087C" w14:paraId="4DA52C0C" w14:textId="0251FBE8" w:rsidTr="004C2CB5">
        <w:trPr>
          <w:cantSplit/>
          <w:trHeight w:val="578"/>
        </w:trPr>
        <w:tc>
          <w:tcPr>
            <w:tcW w:w="3103" w:type="pct"/>
            <w:tcBorders>
              <w:top w:val="nil"/>
              <w:left w:val="single" w:sz="4" w:space="0" w:color="auto"/>
              <w:bottom w:val="single" w:sz="24" w:space="0" w:color="316F72"/>
              <w:right w:val="single" w:sz="4" w:space="0" w:color="auto"/>
            </w:tcBorders>
          </w:tcPr>
          <w:p w14:paraId="75D9915A" w14:textId="2133CBE7" w:rsidR="004C2CB5" w:rsidRPr="003A7206" w:rsidRDefault="004C2CB5" w:rsidP="009859AB">
            <w:pPr>
              <w:pStyle w:val="ListParagraph"/>
              <w:numPr>
                <w:ilvl w:val="0"/>
                <w:numId w:val="9"/>
              </w:numPr>
              <w:spacing w:before="120" w:after="120" w:line="260" w:lineRule="exact"/>
              <w:ind w:left="319" w:hanging="285"/>
              <w:rPr>
                <w:rFonts w:ascii="Calibri" w:eastAsia="Calibri" w:hAnsi="Calibri" w:cs="Calibri"/>
              </w:rPr>
            </w:pPr>
            <w:r>
              <w:rPr>
                <w:rFonts w:ascii="Calibri" w:eastAsia="Calibri" w:hAnsi="Calibri" w:cs="Calibri"/>
              </w:rPr>
              <w:t xml:space="preserve">Note there may be challenges for some </w:t>
            </w:r>
            <w:r w:rsidRPr="00C709A4">
              <w:rPr>
                <w:rFonts w:ascii="Calibri" w:eastAsia="Calibri" w:hAnsi="Calibri" w:cs="Calibri"/>
              </w:rPr>
              <w:t xml:space="preserve">small </w:t>
            </w:r>
            <w:r>
              <w:rPr>
                <w:rFonts w:ascii="Calibri" w:eastAsia="Calibri" w:hAnsi="Calibri" w:cs="Calibri"/>
              </w:rPr>
              <w:t xml:space="preserve">remote </w:t>
            </w:r>
            <w:r w:rsidRPr="00C709A4">
              <w:rPr>
                <w:rFonts w:ascii="Calibri" w:eastAsia="Calibri" w:hAnsi="Calibri" w:cs="Calibri"/>
              </w:rPr>
              <w:t xml:space="preserve">schools </w:t>
            </w:r>
            <w:r>
              <w:rPr>
                <w:rFonts w:ascii="Calibri" w:eastAsia="Calibri" w:hAnsi="Calibri" w:cs="Calibri"/>
              </w:rPr>
              <w:t>to successfully implement the USI due to limited capability and resourcing</w:t>
            </w:r>
          </w:p>
        </w:tc>
        <w:tc>
          <w:tcPr>
            <w:tcW w:w="628" w:type="pct"/>
            <w:tcBorders>
              <w:top w:val="nil"/>
              <w:left w:val="single" w:sz="4" w:space="0" w:color="auto"/>
              <w:bottom w:val="single" w:sz="24" w:space="0" w:color="316F72"/>
              <w:right w:val="single" w:sz="4" w:space="0" w:color="auto"/>
            </w:tcBorders>
          </w:tcPr>
          <w:p w14:paraId="0669B4FB" w14:textId="48231E9A" w:rsidR="004C2CB5" w:rsidRPr="003A7206" w:rsidRDefault="004C2CB5" w:rsidP="009859AB">
            <w:pPr>
              <w:spacing w:before="120" w:after="120" w:line="260" w:lineRule="exact"/>
              <w:rPr>
                <w:rFonts w:eastAsia="Times New Roman" w:cs="Arial"/>
                <w:lang w:eastAsia="en-AU"/>
              </w:rPr>
            </w:pPr>
            <w:r w:rsidRPr="006F0C28">
              <w:rPr>
                <w:rFonts w:eastAsia="Times New Roman" w:cs="Arial"/>
                <w:lang w:eastAsia="en-AU"/>
              </w:rPr>
              <w:t>All sectors</w:t>
            </w:r>
          </w:p>
        </w:tc>
        <w:tc>
          <w:tcPr>
            <w:tcW w:w="635" w:type="pct"/>
            <w:tcBorders>
              <w:top w:val="nil"/>
              <w:left w:val="single" w:sz="4" w:space="0" w:color="auto"/>
              <w:bottom w:val="single" w:sz="24" w:space="0" w:color="316F72"/>
              <w:right w:val="single" w:sz="4" w:space="0" w:color="auto"/>
            </w:tcBorders>
          </w:tcPr>
          <w:p w14:paraId="41C8F396" w14:textId="0659C541" w:rsidR="004C2CB5" w:rsidRPr="00DA087C" w:rsidRDefault="004C2CB5" w:rsidP="009859AB">
            <w:pPr>
              <w:spacing w:before="120" w:after="120" w:line="260" w:lineRule="exact"/>
              <w:rPr>
                <w:rFonts w:ascii="Corbel" w:eastAsia="Times New Roman" w:hAnsi="Corbel" w:cs="Arial"/>
                <w:sz w:val="23"/>
                <w:szCs w:val="23"/>
                <w:lang w:eastAsia="en-AU"/>
              </w:rPr>
            </w:pPr>
          </w:p>
        </w:tc>
        <w:tc>
          <w:tcPr>
            <w:tcW w:w="634" w:type="pct"/>
            <w:tcBorders>
              <w:top w:val="nil"/>
              <w:left w:val="single" w:sz="4" w:space="0" w:color="auto"/>
              <w:bottom w:val="single" w:sz="24" w:space="0" w:color="316F72"/>
              <w:right w:val="single" w:sz="4" w:space="0" w:color="auto"/>
            </w:tcBorders>
          </w:tcPr>
          <w:p w14:paraId="72A3D3EC" w14:textId="3CF0F0C8" w:rsidR="004C2CB5" w:rsidRPr="00DA087C" w:rsidRDefault="004C2CB5" w:rsidP="009859AB">
            <w:pPr>
              <w:spacing w:before="120" w:after="120" w:line="260" w:lineRule="exact"/>
              <w:rPr>
                <w:rFonts w:ascii="Corbel" w:eastAsia="Times New Roman" w:hAnsi="Corbel" w:cs="Arial"/>
                <w:sz w:val="23"/>
                <w:szCs w:val="23"/>
                <w:lang w:eastAsia="en-AU"/>
              </w:rPr>
            </w:pPr>
          </w:p>
        </w:tc>
      </w:tr>
      <w:tr w:rsidR="004C2CB5" w:rsidRPr="00DA087C" w14:paraId="0269274A" w14:textId="542C053D" w:rsidTr="004C2CB5">
        <w:trPr>
          <w:cantSplit/>
          <w:trHeight w:val="353"/>
        </w:trPr>
        <w:tc>
          <w:tcPr>
            <w:tcW w:w="5000" w:type="pct"/>
            <w:gridSpan w:val="4"/>
            <w:tcBorders>
              <w:top w:val="single" w:sz="24" w:space="0" w:color="316F72"/>
              <w:left w:val="single" w:sz="8" w:space="0" w:color="316F72"/>
              <w:bottom w:val="single" w:sz="24" w:space="0" w:color="316F72"/>
              <w:right w:val="single" w:sz="8" w:space="0" w:color="316F72"/>
            </w:tcBorders>
            <w:shd w:val="clear" w:color="auto" w:fill="FFD966" w:themeFill="accent4" w:themeFillTint="99"/>
          </w:tcPr>
          <w:p w14:paraId="0038A47D" w14:textId="239CDF37" w:rsidR="004C2CB5" w:rsidRPr="00DA087C" w:rsidRDefault="004C2CB5" w:rsidP="009859AB">
            <w:pPr>
              <w:spacing w:before="120" w:after="120" w:line="260" w:lineRule="exact"/>
              <w:rPr>
                <w:rFonts w:ascii="Corbel" w:eastAsia="Times New Roman" w:hAnsi="Corbel" w:cs="Arial"/>
                <w:b/>
                <w:sz w:val="23"/>
                <w:szCs w:val="23"/>
                <w:lang w:eastAsia="en-AU"/>
              </w:rPr>
            </w:pPr>
            <w:r w:rsidRPr="003A7206">
              <w:rPr>
                <w:rFonts w:eastAsia="Times New Roman" w:cs="Arial"/>
                <w:b/>
                <w:sz w:val="23"/>
                <w:szCs w:val="23"/>
                <w:lang w:eastAsia="en-AU"/>
              </w:rPr>
              <w:t>Northern Territory Reforms</w:t>
            </w:r>
          </w:p>
        </w:tc>
      </w:tr>
      <w:tr w:rsidR="004C2CB5" w:rsidRPr="00DA087C" w14:paraId="562A6A82" w14:textId="2D39974E" w:rsidTr="004C2CB5">
        <w:trPr>
          <w:cantSplit/>
          <w:trHeight w:val="353"/>
        </w:trPr>
        <w:tc>
          <w:tcPr>
            <w:tcW w:w="5000" w:type="pct"/>
            <w:gridSpan w:val="4"/>
            <w:tcBorders>
              <w:top w:val="single" w:sz="24" w:space="0" w:color="316F72"/>
              <w:left w:val="single" w:sz="8" w:space="0" w:color="316F72"/>
              <w:bottom w:val="single" w:sz="8" w:space="0" w:color="316F72"/>
              <w:right w:val="single" w:sz="8" w:space="0" w:color="316F72"/>
            </w:tcBorders>
            <w:shd w:val="clear" w:color="auto" w:fill="D9D9D9" w:themeFill="background1" w:themeFillShade="D9"/>
          </w:tcPr>
          <w:p w14:paraId="4CC241EC" w14:textId="09B98540" w:rsidR="004C2CB5" w:rsidRPr="00DA087C" w:rsidRDefault="004C2CB5" w:rsidP="009859AB">
            <w:pPr>
              <w:spacing w:before="120" w:after="120" w:line="260" w:lineRule="exact"/>
              <w:rPr>
                <w:rFonts w:ascii="Corbel" w:eastAsia="Times New Roman" w:hAnsi="Corbel" w:cs="Arial"/>
                <w:b/>
                <w:sz w:val="23"/>
                <w:szCs w:val="23"/>
                <w:lang w:eastAsia="en-AU"/>
              </w:rPr>
            </w:pPr>
            <w:r>
              <w:rPr>
                <w:rFonts w:eastAsia="Times New Roman" w:cs="Arial"/>
                <w:b/>
                <w:sz w:val="23"/>
                <w:szCs w:val="23"/>
                <w:lang w:eastAsia="en-AU"/>
              </w:rPr>
              <w:t>Joint initiatives</w:t>
            </w:r>
          </w:p>
        </w:tc>
      </w:tr>
      <w:tr w:rsidR="00BE5A84" w:rsidRPr="00DA087C" w14:paraId="036F7B0F" w14:textId="7534F816" w:rsidTr="009859AB">
        <w:trPr>
          <w:cantSplit/>
          <w:trHeight w:val="353"/>
        </w:trPr>
        <w:tc>
          <w:tcPr>
            <w:tcW w:w="310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798ABC" w14:textId="4793BC5D" w:rsidR="00BE5A84" w:rsidRPr="003A7206" w:rsidRDefault="00BE5A84" w:rsidP="009859AB">
            <w:pPr>
              <w:spacing w:before="120" w:after="120" w:line="260" w:lineRule="exact"/>
              <w:contextualSpacing/>
              <w:rPr>
                <w:rFonts w:ascii="Calibri" w:eastAsia="Calibri" w:hAnsi="Calibri" w:cs="Calibri"/>
                <w:b/>
              </w:rPr>
            </w:pPr>
            <w:r w:rsidRPr="003A7206">
              <w:rPr>
                <w:rFonts w:ascii="Calibri" w:eastAsia="Calibri" w:hAnsi="Calibri" w:cs="Calibri"/>
                <w:b/>
              </w:rPr>
              <w:t xml:space="preserve">Implementation of NAPLAN Online </w:t>
            </w:r>
          </w:p>
        </w:tc>
        <w:tc>
          <w:tcPr>
            <w:tcW w:w="62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461632" w14:textId="7732A4C7" w:rsidR="00BE5A84" w:rsidRPr="006F0C28" w:rsidRDefault="00BE5A84" w:rsidP="009859AB">
            <w:pPr>
              <w:spacing w:before="120" w:after="120" w:line="260" w:lineRule="exact"/>
              <w:rPr>
                <w:rFonts w:eastAsia="Times New Roman" w:cs="Arial"/>
                <w:lang w:eastAsia="en-AU"/>
              </w:rPr>
            </w:pPr>
            <w:r w:rsidRPr="006F0C28">
              <w:rPr>
                <w:rFonts w:eastAsia="Times New Roman" w:cs="Arial"/>
                <w:lang w:eastAsia="en-AU"/>
              </w:rPr>
              <w:t>All sectors</w:t>
            </w:r>
          </w:p>
        </w:tc>
        <w:tc>
          <w:tcPr>
            <w:tcW w:w="6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B940D" w14:textId="6CE84CB8" w:rsidR="00BE5A84" w:rsidRDefault="00BE5A84" w:rsidP="009859AB">
            <w:pPr>
              <w:spacing w:before="120" w:after="120" w:line="260" w:lineRule="exact"/>
              <w:rPr>
                <w:rFonts w:ascii="Corbel" w:eastAsia="Times New Roman" w:hAnsi="Corbel" w:cs="Arial"/>
                <w:b/>
                <w:sz w:val="23"/>
                <w:szCs w:val="23"/>
                <w:lang w:eastAsia="en-AU"/>
              </w:rPr>
            </w:pPr>
          </w:p>
        </w:tc>
        <w:tc>
          <w:tcPr>
            <w:tcW w:w="63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A7FCF3" w14:textId="311E5F26" w:rsidR="00BE5A84" w:rsidRDefault="00BE5A84" w:rsidP="009859AB">
            <w:pPr>
              <w:spacing w:before="120" w:after="120" w:line="260" w:lineRule="exact"/>
              <w:rPr>
                <w:rFonts w:ascii="Corbel" w:eastAsia="Times New Roman" w:hAnsi="Corbel" w:cs="Arial"/>
                <w:b/>
                <w:sz w:val="23"/>
                <w:szCs w:val="23"/>
                <w:lang w:eastAsia="en-AU"/>
              </w:rPr>
            </w:pPr>
            <w:r>
              <w:rPr>
                <w:rFonts w:ascii="Corbel" w:eastAsia="Times New Roman" w:hAnsi="Corbel" w:cs="Arial"/>
                <w:b/>
                <w:sz w:val="23"/>
                <w:szCs w:val="23"/>
                <w:lang w:eastAsia="en-AU"/>
              </w:rPr>
              <w:t>Reform Direction A</w:t>
            </w:r>
          </w:p>
        </w:tc>
      </w:tr>
      <w:tr w:rsidR="00BE5A84" w:rsidRPr="00DA087C" w14:paraId="599A120B" w14:textId="1F01E914" w:rsidTr="009859AB">
        <w:trPr>
          <w:cantSplit/>
          <w:trHeight w:val="247"/>
        </w:trPr>
        <w:tc>
          <w:tcPr>
            <w:tcW w:w="3103" w:type="pct"/>
            <w:tcBorders>
              <w:top w:val="single" w:sz="4" w:space="0" w:color="auto"/>
              <w:left w:val="single" w:sz="4" w:space="0" w:color="auto"/>
              <w:bottom w:val="nil"/>
              <w:right w:val="single" w:sz="4" w:space="0" w:color="auto"/>
            </w:tcBorders>
          </w:tcPr>
          <w:p w14:paraId="0427C861" w14:textId="059D5C6A" w:rsidR="00BE5A84" w:rsidRPr="004337E1"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4337E1">
              <w:rPr>
                <w:rFonts w:ascii="Calibri" w:eastAsia="Calibri" w:hAnsi="Calibri" w:cs="Calibri"/>
              </w:rPr>
              <w:t>Cohort of government and non-government schools implement NAPLAN Online</w:t>
            </w:r>
          </w:p>
        </w:tc>
        <w:tc>
          <w:tcPr>
            <w:tcW w:w="628" w:type="pct"/>
            <w:tcBorders>
              <w:top w:val="single" w:sz="4" w:space="0" w:color="auto"/>
              <w:left w:val="single" w:sz="4" w:space="0" w:color="auto"/>
              <w:bottom w:val="nil"/>
              <w:right w:val="single" w:sz="4" w:space="0" w:color="auto"/>
            </w:tcBorders>
          </w:tcPr>
          <w:p w14:paraId="0E27B00A" w14:textId="00EEFFAA" w:rsidR="00BE5A84" w:rsidRPr="006F0C28" w:rsidRDefault="00BE5A84" w:rsidP="009859AB">
            <w:pPr>
              <w:spacing w:before="120" w:after="120" w:line="260" w:lineRule="exact"/>
              <w:rPr>
                <w:rFonts w:eastAsia="Times New Roman" w:cs="Arial"/>
                <w:lang w:eastAsia="en-AU"/>
              </w:rPr>
            </w:pPr>
          </w:p>
        </w:tc>
        <w:tc>
          <w:tcPr>
            <w:tcW w:w="635" w:type="pct"/>
            <w:tcBorders>
              <w:top w:val="single" w:sz="4" w:space="0" w:color="auto"/>
              <w:left w:val="single" w:sz="4" w:space="0" w:color="auto"/>
              <w:bottom w:val="nil"/>
              <w:right w:val="single" w:sz="4" w:space="0" w:color="auto"/>
            </w:tcBorders>
          </w:tcPr>
          <w:p w14:paraId="46529448" w14:textId="12715520" w:rsidR="00BE5A84" w:rsidRPr="003A7206" w:rsidRDefault="00BE5A84" w:rsidP="009859AB">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May 2019</w:t>
            </w:r>
          </w:p>
        </w:tc>
        <w:tc>
          <w:tcPr>
            <w:tcW w:w="634" w:type="pct"/>
            <w:tcBorders>
              <w:top w:val="single" w:sz="4" w:space="0" w:color="auto"/>
              <w:left w:val="single" w:sz="4" w:space="0" w:color="auto"/>
              <w:bottom w:val="nil"/>
              <w:right w:val="single" w:sz="4" w:space="0" w:color="auto"/>
            </w:tcBorders>
          </w:tcPr>
          <w:p w14:paraId="60061E4C" w14:textId="20DB7AC7" w:rsidR="00BE5A84" w:rsidRDefault="00BE5A84" w:rsidP="009859AB">
            <w:pPr>
              <w:spacing w:before="120" w:after="120" w:line="260" w:lineRule="exact"/>
              <w:rPr>
                <w:rFonts w:ascii="Corbel" w:eastAsia="Times New Roman" w:hAnsi="Corbel" w:cs="Arial"/>
                <w:b/>
                <w:sz w:val="23"/>
                <w:szCs w:val="23"/>
                <w:lang w:eastAsia="en-AU"/>
              </w:rPr>
            </w:pPr>
          </w:p>
        </w:tc>
      </w:tr>
      <w:tr w:rsidR="00BE5A84" w:rsidRPr="00DA087C" w14:paraId="4D6EC37F" w14:textId="4B73F4C9" w:rsidTr="009859AB">
        <w:trPr>
          <w:cantSplit/>
          <w:trHeight w:val="353"/>
        </w:trPr>
        <w:tc>
          <w:tcPr>
            <w:tcW w:w="3103" w:type="pct"/>
            <w:tcBorders>
              <w:top w:val="nil"/>
              <w:left w:val="single" w:sz="4" w:space="0" w:color="auto"/>
              <w:bottom w:val="nil"/>
              <w:right w:val="single" w:sz="4" w:space="0" w:color="auto"/>
            </w:tcBorders>
          </w:tcPr>
          <w:p w14:paraId="5C18FB2B" w14:textId="6F03B949" w:rsidR="00BE5A84" w:rsidRPr="004337E1"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t>Improved data processes in place to increase integrity of NAPLAN assessment data across both government and non-government sectors</w:t>
            </w:r>
          </w:p>
        </w:tc>
        <w:tc>
          <w:tcPr>
            <w:tcW w:w="628" w:type="pct"/>
            <w:tcBorders>
              <w:top w:val="nil"/>
              <w:left w:val="single" w:sz="4" w:space="0" w:color="auto"/>
              <w:bottom w:val="nil"/>
              <w:right w:val="single" w:sz="4" w:space="0" w:color="auto"/>
            </w:tcBorders>
          </w:tcPr>
          <w:p w14:paraId="44EAFD9C" w14:textId="7CE80FC4" w:rsidR="00BE5A84" w:rsidRPr="006F0C28" w:rsidRDefault="00BE5A84" w:rsidP="009859AB">
            <w:pPr>
              <w:spacing w:before="120" w:after="120" w:line="260" w:lineRule="exact"/>
              <w:rPr>
                <w:rFonts w:eastAsia="Times New Roman" w:cs="Arial"/>
                <w:lang w:eastAsia="en-AU"/>
              </w:rPr>
            </w:pPr>
          </w:p>
        </w:tc>
        <w:tc>
          <w:tcPr>
            <w:tcW w:w="635" w:type="pct"/>
            <w:tcBorders>
              <w:top w:val="nil"/>
              <w:left w:val="single" w:sz="4" w:space="0" w:color="auto"/>
              <w:bottom w:val="nil"/>
              <w:right w:val="single" w:sz="4" w:space="0" w:color="auto"/>
            </w:tcBorders>
          </w:tcPr>
          <w:p w14:paraId="332DE661" w14:textId="57694DFB" w:rsidR="00BE5A84" w:rsidRPr="003A7206" w:rsidRDefault="00BE5A84" w:rsidP="009859AB">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Sep 2019</w:t>
            </w:r>
          </w:p>
        </w:tc>
        <w:tc>
          <w:tcPr>
            <w:tcW w:w="634" w:type="pct"/>
            <w:tcBorders>
              <w:top w:val="nil"/>
              <w:left w:val="single" w:sz="4" w:space="0" w:color="auto"/>
              <w:bottom w:val="nil"/>
              <w:right w:val="single" w:sz="4" w:space="0" w:color="auto"/>
            </w:tcBorders>
          </w:tcPr>
          <w:p w14:paraId="4B94D5A5" w14:textId="7DE16887" w:rsidR="00BE5A84" w:rsidRDefault="00BE5A84" w:rsidP="009859AB">
            <w:pPr>
              <w:spacing w:before="120" w:after="120" w:line="260" w:lineRule="exact"/>
              <w:rPr>
                <w:rFonts w:ascii="Corbel" w:eastAsia="Times New Roman" w:hAnsi="Corbel" w:cs="Arial"/>
                <w:b/>
                <w:sz w:val="23"/>
                <w:szCs w:val="23"/>
                <w:lang w:eastAsia="en-AU"/>
              </w:rPr>
            </w:pPr>
          </w:p>
        </w:tc>
      </w:tr>
      <w:tr w:rsidR="00BE5A84" w:rsidRPr="00DA087C" w14:paraId="5A8E0C75" w14:textId="70C94AD2" w:rsidTr="009859AB">
        <w:trPr>
          <w:cantSplit/>
          <w:trHeight w:val="353"/>
        </w:trPr>
        <w:tc>
          <w:tcPr>
            <w:tcW w:w="3103" w:type="pct"/>
            <w:tcBorders>
              <w:top w:val="nil"/>
              <w:left w:val="single" w:sz="4" w:space="0" w:color="auto"/>
              <w:bottom w:val="nil"/>
              <w:right w:val="single" w:sz="4" w:space="0" w:color="auto"/>
            </w:tcBorders>
          </w:tcPr>
          <w:p w14:paraId="4D9B9DF4" w14:textId="3EBB11FC" w:rsidR="00BE5A84"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Pr>
                <w:rFonts w:ascii="Calibri" w:eastAsia="Calibri" w:hAnsi="Calibri" w:cs="Calibri"/>
              </w:rPr>
              <w:t xml:space="preserve">All eligible government and non-government schools implement NAPLAN Online, </w:t>
            </w:r>
            <w:r w:rsidRPr="003A7206">
              <w:rPr>
                <w:rFonts w:ascii="Calibri" w:eastAsia="Calibri" w:hAnsi="Calibri" w:cs="Calibri"/>
              </w:rPr>
              <w:t xml:space="preserve">noting that, at the date of signing of this agreement, </w:t>
            </w:r>
            <w:r w:rsidRPr="002C5709">
              <w:rPr>
                <w:rFonts w:ascii="Calibri" w:eastAsia="Calibri" w:hAnsi="Calibri" w:cs="Calibri"/>
              </w:rPr>
              <w:t>no tested no/low bandwidth</w:t>
            </w:r>
            <w:r w:rsidRPr="003A7206">
              <w:rPr>
                <w:rFonts w:ascii="Calibri" w:eastAsia="Calibri" w:hAnsi="Calibri" w:cs="Calibri"/>
              </w:rPr>
              <w:t xml:space="preserve"> solution has been delivered which may affect the N</w:t>
            </w:r>
            <w:r>
              <w:rPr>
                <w:rFonts w:ascii="Calibri" w:eastAsia="Calibri" w:hAnsi="Calibri" w:cs="Calibri"/>
              </w:rPr>
              <w:t>orthern Territory’s</w:t>
            </w:r>
            <w:r w:rsidRPr="003A7206">
              <w:rPr>
                <w:rFonts w:ascii="Calibri" w:eastAsia="Calibri" w:hAnsi="Calibri" w:cs="Calibri"/>
              </w:rPr>
              <w:t xml:space="preserve"> ability to implement in those affected schools</w:t>
            </w:r>
            <w:r>
              <w:rPr>
                <w:rFonts w:ascii="Calibri" w:eastAsia="Calibri" w:hAnsi="Calibri" w:cs="Calibri"/>
              </w:rPr>
              <w:t>.</w:t>
            </w:r>
          </w:p>
        </w:tc>
        <w:tc>
          <w:tcPr>
            <w:tcW w:w="628" w:type="pct"/>
            <w:tcBorders>
              <w:top w:val="nil"/>
              <w:left w:val="single" w:sz="4" w:space="0" w:color="auto"/>
              <w:bottom w:val="nil"/>
              <w:right w:val="single" w:sz="4" w:space="0" w:color="auto"/>
            </w:tcBorders>
          </w:tcPr>
          <w:p w14:paraId="3DEEC669" w14:textId="29ADD63A" w:rsidR="00BE5A84" w:rsidRPr="006F0C28" w:rsidRDefault="00BE5A84" w:rsidP="009859AB">
            <w:pPr>
              <w:spacing w:before="120" w:after="120" w:line="260" w:lineRule="exact"/>
              <w:rPr>
                <w:rFonts w:eastAsia="Times New Roman" w:cs="Arial"/>
                <w:lang w:eastAsia="en-AU"/>
              </w:rPr>
            </w:pPr>
          </w:p>
        </w:tc>
        <w:tc>
          <w:tcPr>
            <w:tcW w:w="635" w:type="pct"/>
            <w:tcBorders>
              <w:top w:val="nil"/>
              <w:left w:val="single" w:sz="4" w:space="0" w:color="auto"/>
              <w:bottom w:val="nil"/>
              <w:right w:val="single" w:sz="4" w:space="0" w:color="auto"/>
            </w:tcBorders>
          </w:tcPr>
          <w:p w14:paraId="38D2EC43" w14:textId="5C05E654" w:rsidR="00BE5A84" w:rsidRPr="003A7206" w:rsidRDefault="00BE5A84" w:rsidP="009859AB">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May 2020</w:t>
            </w:r>
          </w:p>
        </w:tc>
        <w:tc>
          <w:tcPr>
            <w:tcW w:w="634" w:type="pct"/>
            <w:tcBorders>
              <w:top w:val="nil"/>
              <w:left w:val="single" w:sz="4" w:space="0" w:color="auto"/>
              <w:bottom w:val="nil"/>
              <w:right w:val="single" w:sz="4" w:space="0" w:color="auto"/>
            </w:tcBorders>
          </w:tcPr>
          <w:p w14:paraId="3656B9AB" w14:textId="69620792" w:rsidR="00BE5A84" w:rsidRDefault="00BE5A84" w:rsidP="009859AB">
            <w:pPr>
              <w:spacing w:before="120" w:after="120" w:line="260" w:lineRule="exact"/>
              <w:rPr>
                <w:rFonts w:ascii="Corbel" w:eastAsia="Times New Roman" w:hAnsi="Corbel" w:cs="Arial"/>
                <w:b/>
                <w:sz w:val="23"/>
                <w:szCs w:val="23"/>
                <w:lang w:eastAsia="en-AU"/>
              </w:rPr>
            </w:pPr>
          </w:p>
        </w:tc>
      </w:tr>
      <w:tr w:rsidR="00BE5A84" w:rsidRPr="00DA087C" w14:paraId="0BCDC958" w14:textId="147B145D" w:rsidTr="009859AB">
        <w:trPr>
          <w:cantSplit/>
          <w:trHeight w:val="353"/>
        </w:trPr>
        <w:tc>
          <w:tcPr>
            <w:tcW w:w="3103" w:type="pct"/>
            <w:tcBorders>
              <w:top w:val="nil"/>
              <w:left w:val="single" w:sz="4" w:space="0" w:color="auto"/>
              <w:bottom w:val="single" w:sz="4" w:space="0" w:color="auto"/>
              <w:right w:val="single" w:sz="4" w:space="0" w:color="auto"/>
            </w:tcBorders>
          </w:tcPr>
          <w:p w14:paraId="2995E915" w14:textId="7279D451" w:rsidR="00BE5A84"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Pr>
                <w:rFonts w:ascii="Calibri" w:eastAsia="Calibri" w:hAnsi="Calibri" w:cs="Calibri"/>
              </w:rPr>
              <w:lastRenderedPageBreak/>
              <w:t>Growth data available for first cohort of matched students who have NAPLAN Online in 2020 and 2022</w:t>
            </w:r>
          </w:p>
        </w:tc>
        <w:tc>
          <w:tcPr>
            <w:tcW w:w="628" w:type="pct"/>
            <w:tcBorders>
              <w:top w:val="nil"/>
              <w:left w:val="single" w:sz="4" w:space="0" w:color="auto"/>
              <w:bottom w:val="single" w:sz="4" w:space="0" w:color="auto"/>
              <w:right w:val="single" w:sz="4" w:space="0" w:color="auto"/>
            </w:tcBorders>
          </w:tcPr>
          <w:p w14:paraId="45FB0818" w14:textId="46D30E74" w:rsidR="00BE5A84" w:rsidRPr="006F0C28" w:rsidRDefault="00BE5A84" w:rsidP="009859AB">
            <w:pPr>
              <w:spacing w:before="120" w:after="120" w:line="260" w:lineRule="exact"/>
              <w:rPr>
                <w:rFonts w:eastAsia="Times New Roman" w:cs="Arial"/>
                <w:lang w:eastAsia="en-AU"/>
              </w:rPr>
            </w:pPr>
          </w:p>
        </w:tc>
        <w:tc>
          <w:tcPr>
            <w:tcW w:w="635" w:type="pct"/>
            <w:tcBorders>
              <w:top w:val="nil"/>
              <w:left w:val="single" w:sz="4" w:space="0" w:color="auto"/>
              <w:bottom w:val="single" w:sz="4" w:space="0" w:color="auto"/>
              <w:right w:val="single" w:sz="4" w:space="0" w:color="auto"/>
            </w:tcBorders>
          </w:tcPr>
          <w:p w14:paraId="7C9CAFC9" w14:textId="4F976BE4" w:rsidR="00BE5A84" w:rsidRPr="003A7206" w:rsidRDefault="00BE5A84" w:rsidP="009859AB">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Sep 2022</w:t>
            </w:r>
          </w:p>
        </w:tc>
        <w:tc>
          <w:tcPr>
            <w:tcW w:w="634" w:type="pct"/>
            <w:tcBorders>
              <w:top w:val="nil"/>
              <w:left w:val="single" w:sz="4" w:space="0" w:color="auto"/>
              <w:bottom w:val="single" w:sz="4" w:space="0" w:color="auto"/>
              <w:right w:val="single" w:sz="4" w:space="0" w:color="auto"/>
            </w:tcBorders>
          </w:tcPr>
          <w:p w14:paraId="049F31CB" w14:textId="7F12EF81" w:rsidR="00BE5A84" w:rsidRDefault="00BE5A84" w:rsidP="009859AB">
            <w:pPr>
              <w:spacing w:before="120" w:after="120" w:line="260" w:lineRule="exact"/>
              <w:rPr>
                <w:rFonts w:ascii="Corbel" w:eastAsia="Times New Roman" w:hAnsi="Corbel" w:cs="Arial"/>
                <w:b/>
                <w:sz w:val="23"/>
                <w:szCs w:val="23"/>
                <w:lang w:eastAsia="en-AU"/>
              </w:rPr>
            </w:pPr>
          </w:p>
        </w:tc>
      </w:tr>
      <w:tr w:rsidR="00BE5A84" w:rsidRPr="00DA087C" w14:paraId="25C3A6C8" w14:textId="0F9FB6DF" w:rsidTr="009859AB">
        <w:trPr>
          <w:cantSplit/>
          <w:trHeight w:val="353"/>
        </w:trPr>
        <w:tc>
          <w:tcPr>
            <w:tcW w:w="3103"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56B1960D" w14:textId="26EB5949" w:rsidR="00BE5A84" w:rsidRPr="003A7206" w:rsidRDefault="00BE5A84" w:rsidP="009859AB">
            <w:pPr>
              <w:spacing w:before="120" w:after="120" w:line="260" w:lineRule="exact"/>
              <w:contextualSpacing/>
              <w:rPr>
                <w:rFonts w:ascii="Calibri" w:eastAsia="Calibri" w:hAnsi="Calibri" w:cs="Calibri"/>
                <w:b/>
              </w:rPr>
            </w:pPr>
            <w:r w:rsidRPr="003A7206">
              <w:rPr>
                <w:rFonts w:ascii="Calibri" w:eastAsia="Calibri" w:hAnsi="Calibri" w:cs="Calibri"/>
                <w:b/>
              </w:rPr>
              <w:t xml:space="preserve">Continued implementation of </w:t>
            </w:r>
            <w:r>
              <w:rPr>
                <w:rFonts w:ascii="Calibri" w:eastAsia="Calibri" w:hAnsi="Calibri" w:cs="Calibri"/>
                <w:b/>
              </w:rPr>
              <w:t>National Consistent Collection of Data (</w:t>
            </w:r>
            <w:r w:rsidRPr="003A7206">
              <w:rPr>
                <w:rFonts w:ascii="Calibri" w:eastAsia="Calibri" w:hAnsi="Calibri" w:cs="Calibri"/>
                <w:b/>
              </w:rPr>
              <w:t>NCCD</w:t>
            </w:r>
            <w:r>
              <w:rPr>
                <w:rFonts w:ascii="Calibri" w:eastAsia="Calibri" w:hAnsi="Calibri" w:cs="Calibri"/>
                <w:b/>
              </w:rPr>
              <w:t>)</w:t>
            </w:r>
            <w:r w:rsidRPr="003A7206">
              <w:rPr>
                <w:rFonts w:ascii="Calibri" w:eastAsia="Calibri" w:hAnsi="Calibri" w:cs="Calibri"/>
                <w:b/>
              </w:rPr>
              <w:t xml:space="preserve"> with a focus on moderation and quality control measures</w:t>
            </w:r>
          </w:p>
        </w:tc>
        <w:tc>
          <w:tcPr>
            <w:tcW w:w="628"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090B6BB6" w14:textId="6243BFB9" w:rsidR="00BE5A84" w:rsidRPr="003A7206" w:rsidRDefault="00BE5A84" w:rsidP="009859AB">
            <w:pPr>
              <w:spacing w:before="120" w:after="120" w:line="260" w:lineRule="exact"/>
              <w:rPr>
                <w:rFonts w:eastAsia="Times New Roman" w:cs="Arial"/>
                <w:lang w:eastAsia="en-AU"/>
              </w:rPr>
            </w:pPr>
            <w:r w:rsidRPr="006F0C28">
              <w:rPr>
                <w:rFonts w:eastAsia="Times New Roman" w:cs="Arial"/>
                <w:lang w:eastAsia="en-AU"/>
              </w:rPr>
              <w:t xml:space="preserve">All sectors </w:t>
            </w:r>
          </w:p>
        </w:tc>
        <w:tc>
          <w:tcPr>
            <w:tcW w:w="635"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53128261" w14:textId="5C1F0C99" w:rsidR="00BE5A84" w:rsidRPr="00DA087C" w:rsidRDefault="00BE5A84" w:rsidP="009859AB">
            <w:pPr>
              <w:spacing w:before="120" w:after="120" w:line="260" w:lineRule="exact"/>
              <w:rPr>
                <w:rFonts w:ascii="Corbel" w:eastAsia="Times New Roman" w:hAnsi="Corbel" w:cs="Arial"/>
                <w:b/>
                <w:sz w:val="23"/>
                <w:szCs w:val="23"/>
                <w:lang w:eastAsia="en-AU"/>
              </w:rPr>
            </w:pPr>
          </w:p>
        </w:tc>
        <w:tc>
          <w:tcPr>
            <w:tcW w:w="634"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56065C8C" w14:textId="7D891962" w:rsidR="00BE5A84" w:rsidRPr="00DA087C" w:rsidRDefault="00BE5A84" w:rsidP="009859AB">
            <w:pPr>
              <w:spacing w:before="120" w:after="120" w:line="260" w:lineRule="exact"/>
              <w:rPr>
                <w:rFonts w:ascii="Corbel" w:eastAsia="Times New Roman" w:hAnsi="Corbel" w:cs="Arial"/>
                <w:b/>
                <w:sz w:val="23"/>
                <w:szCs w:val="23"/>
                <w:lang w:eastAsia="en-AU"/>
              </w:rPr>
            </w:pPr>
            <w:r>
              <w:rPr>
                <w:rFonts w:ascii="Corbel" w:eastAsia="Times New Roman" w:hAnsi="Corbel" w:cs="Arial"/>
                <w:b/>
                <w:sz w:val="23"/>
                <w:szCs w:val="23"/>
                <w:lang w:eastAsia="en-AU"/>
              </w:rPr>
              <w:t>Reform Direction B</w:t>
            </w:r>
          </w:p>
        </w:tc>
      </w:tr>
      <w:tr w:rsidR="00BE5A84" w:rsidRPr="006F0C28" w14:paraId="3D1F0834" w14:textId="31D7AEAA" w:rsidTr="009859AB">
        <w:trPr>
          <w:cantSplit/>
          <w:trHeight w:val="353"/>
        </w:trPr>
        <w:tc>
          <w:tcPr>
            <w:tcW w:w="3103" w:type="pct"/>
            <w:tcBorders>
              <w:top w:val="single" w:sz="4" w:space="0" w:color="auto"/>
              <w:left w:val="single" w:sz="4" w:space="0" w:color="auto"/>
              <w:bottom w:val="nil"/>
              <w:right w:val="single" w:sz="4" w:space="0" w:color="auto"/>
            </w:tcBorders>
          </w:tcPr>
          <w:p w14:paraId="7733502E" w14:textId="5CAB27CC" w:rsidR="00BE5A84" w:rsidRPr="003A7206" w:rsidRDefault="00BE5A84" w:rsidP="00BE5A84">
            <w:pPr>
              <w:pStyle w:val="ListParagraph"/>
              <w:numPr>
                <w:ilvl w:val="0"/>
                <w:numId w:val="9"/>
              </w:numPr>
              <w:spacing w:before="120" w:after="120" w:line="260" w:lineRule="exact"/>
              <w:ind w:left="319" w:hanging="285"/>
              <w:rPr>
                <w:rFonts w:ascii="Calibri" w:eastAsia="Calibri" w:hAnsi="Calibri" w:cs="Calibri"/>
              </w:rPr>
            </w:pPr>
            <w:r w:rsidRPr="003A7206">
              <w:rPr>
                <w:rFonts w:ascii="Calibri" w:eastAsia="Calibri" w:hAnsi="Calibri" w:cs="Calibri"/>
              </w:rPr>
              <w:t>Participation in two cross-sector moderation activities</w:t>
            </w:r>
            <w:r>
              <w:rPr>
                <w:rFonts w:ascii="Calibri" w:eastAsia="Calibri" w:hAnsi="Calibri" w:cs="Calibri"/>
              </w:rPr>
              <w:t xml:space="preserve"> per annum</w:t>
            </w:r>
          </w:p>
        </w:tc>
        <w:tc>
          <w:tcPr>
            <w:tcW w:w="628" w:type="pct"/>
            <w:tcBorders>
              <w:top w:val="single" w:sz="4" w:space="0" w:color="auto"/>
              <w:left w:val="single" w:sz="4" w:space="0" w:color="auto"/>
              <w:bottom w:val="nil"/>
              <w:right w:val="single" w:sz="4" w:space="0" w:color="auto"/>
            </w:tcBorders>
          </w:tcPr>
          <w:p w14:paraId="1C15BFCC" w14:textId="2724AA7D" w:rsidR="00BE5A84" w:rsidRPr="003A7206" w:rsidRDefault="00BE5A84" w:rsidP="009859AB">
            <w:pPr>
              <w:spacing w:before="120" w:after="120" w:line="260" w:lineRule="exact"/>
              <w:ind w:left="319" w:hanging="285"/>
              <w:rPr>
                <w:rFonts w:ascii="Calibri" w:eastAsia="Calibri" w:hAnsi="Calibri" w:cs="Calibri"/>
              </w:rPr>
            </w:pPr>
            <w:r w:rsidRPr="003A7206">
              <w:rPr>
                <w:rFonts w:ascii="Calibri" w:eastAsia="Calibri" w:hAnsi="Calibri" w:cs="Calibri"/>
              </w:rPr>
              <w:t>All sectors</w:t>
            </w:r>
          </w:p>
        </w:tc>
        <w:tc>
          <w:tcPr>
            <w:tcW w:w="635" w:type="pct"/>
            <w:tcBorders>
              <w:top w:val="single" w:sz="4" w:space="0" w:color="auto"/>
              <w:left w:val="single" w:sz="4" w:space="0" w:color="auto"/>
              <w:bottom w:val="nil"/>
              <w:right w:val="single" w:sz="4" w:space="0" w:color="auto"/>
            </w:tcBorders>
          </w:tcPr>
          <w:p w14:paraId="71490280" w14:textId="04C21083" w:rsidR="00BE5A84" w:rsidRPr="003A7206" w:rsidRDefault="00BE5A84" w:rsidP="009859AB">
            <w:pPr>
              <w:spacing w:before="120" w:after="120" w:line="260" w:lineRule="exact"/>
              <w:ind w:left="319" w:hanging="285"/>
              <w:rPr>
                <w:rFonts w:ascii="Corbel" w:eastAsia="Calibri" w:hAnsi="Corbel" w:cs="Calibri"/>
                <w:b/>
                <w:sz w:val="23"/>
                <w:szCs w:val="23"/>
              </w:rPr>
            </w:pPr>
            <w:r w:rsidRPr="003A7206">
              <w:rPr>
                <w:rFonts w:ascii="Corbel" w:eastAsia="Calibri" w:hAnsi="Corbel" w:cs="Calibri"/>
                <w:sz w:val="23"/>
                <w:szCs w:val="23"/>
              </w:rPr>
              <w:t>201</w:t>
            </w:r>
            <w:r>
              <w:rPr>
                <w:rFonts w:ascii="Corbel" w:eastAsia="Calibri" w:hAnsi="Corbel" w:cs="Calibri"/>
                <w:sz w:val="23"/>
                <w:szCs w:val="23"/>
              </w:rPr>
              <w:t>9-2023</w:t>
            </w:r>
          </w:p>
        </w:tc>
        <w:tc>
          <w:tcPr>
            <w:tcW w:w="634" w:type="pct"/>
            <w:tcBorders>
              <w:top w:val="single" w:sz="4" w:space="0" w:color="auto"/>
              <w:left w:val="single" w:sz="4" w:space="0" w:color="auto"/>
              <w:bottom w:val="nil"/>
              <w:right w:val="single" w:sz="4" w:space="0" w:color="auto"/>
            </w:tcBorders>
          </w:tcPr>
          <w:p w14:paraId="62486C05" w14:textId="240012A3" w:rsidR="00BE5A84" w:rsidRPr="003A7206" w:rsidRDefault="00BE5A84" w:rsidP="009859AB">
            <w:pPr>
              <w:spacing w:before="120" w:after="120" w:line="260" w:lineRule="exact"/>
              <w:ind w:left="319" w:hanging="285"/>
              <w:rPr>
                <w:rFonts w:ascii="Calibri" w:eastAsia="Calibri" w:hAnsi="Calibri" w:cs="Calibri"/>
              </w:rPr>
            </w:pPr>
          </w:p>
        </w:tc>
      </w:tr>
      <w:tr w:rsidR="00BE5A84" w:rsidRPr="006F0C28" w14:paraId="07009D57" w14:textId="41A4FA2B" w:rsidTr="009859AB">
        <w:trPr>
          <w:cantSplit/>
          <w:trHeight w:val="810"/>
        </w:trPr>
        <w:tc>
          <w:tcPr>
            <w:tcW w:w="3103" w:type="pct"/>
            <w:tcBorders>
              <w:top w:val="nil"/>
              <w:left w:val="single" w:sz="4" w:space="0" w:color="auto"/>
              <w:bottom w:val="single" w:sz="4" w:space="0" w:color="auto"/>
              <w:right w:val="single" w:sz="4" w:space="0" w:color="auto"/>
            </w:tcBorders>
          </w:tcPr>
          <w:p w14:paraId="34DE523F" w14:textId="54D12B0D" w:rsidR="00BE5A84" w:rsidRDefault="00BE5A84" w:rsidP="00BE5A84">
            <w:pPr>
              <w:pStyle w:val="ListParagraph"/>
              <w:numPr>
                <w:ilvl w:val="0"/>
                <w:numId w:val="9"/>
              </w:numPr>
              <w:spacing w:before="120" w:after="120" w:line="260" w:lineRule="exact"/>
              <w:ind w:left="319" w:hanging="285"/>
              <w:rPr>
                <w:rFonts w:ascii="Calibri" w:eastAsia="Calibri" w:hAnsi="Calibri" w:cs="Calibri"/>
              </w:rPr>
            </w:pPr>
            <w:r>
              <w:rPr>
                <w:rFonts w:ascii="Calibri" w:eastAsia="Calibri" w:hAnsi="Calibri" w:cs="Calibri"/>
              </w:rPr>
              <w:t>Inclusion Support Coordinators in place and teachers trained to use the Learning with Diversity Integrated System</w:t>
            </w:r>
          </w:p>
          <w:p w14:paraId="4101652C" w14:textId="776D73CD" w:rsidR="00BE5A84" w:rsidRPr="00A02607" w:rsidRDefault="00BE5A84" w:rsidP="009859AB">
            <w:pPr>
              <w:spacing w:before="120" w:after="120" w:line="260" w:lineRule="exact"/>
              <w:rPr>
                <w:rFonts w:ascii="Calibri" w:eastAsia="Calibri" w:hAnsi="Calibri" w:cs="Calibri"/>
              </w:rPr>
            </w:pPr>
          </w:p>
        </w:tc>
        <w:tc>
          <w:tcPr>
            <w:tcW w:w="628" w:type="pct"/>
            <w:tcBorders>
              <w:top w:val="nil"/>
              <w:left w:val="single" w:sz="4" w:space="0" w:color="auto"/>
              <w:bottom w:val="single" w:sz="4" w:space="0" w:color="auto"/>
              <w:right w:val="single" w:sz="4" w:space="0" w:color="auto"/>
            </w:tcBorders>
          </w:tcPr>
          <w:p w14:paraId="5492EC76" w14:textId="55D8D0E9" w:rsidR="00BE5A84" w:rsidRPr="003A7206" w:rsidRDefault="00BE5A84" w:rsidP="009859AB">
            <w:pPr>
              <w:spacing w:before="120" w:after="120" w:line="260" w:lineRule="exact"/>
              <w:ind w:left="6" w:firstLine="3"/>
              <w:rPr>
                <w:rFonts w:ascii="Calibri" w:eastAsia="Calibri" w:hAnsi="Calibri" w:cs="Calibri"/>
              </w:rPr>
            </w:pPr>
            <w:r w:rsidRPr="003A7206">
              <w:rPr>
                <w:rFonts w:ascii="Calibri" w:eastAsia="Calibri" w:hAnsi="Calibri" w:cs="Calibri"/>
              </w:rPr>
              <w:t>Catholic Education</w:t>
            </w:r>
          </w:p>
        </w:tc>
        <w:tc>
          <w:tcPr>
            <w:tcW w:w="635" w:type="pct"/>
            <w:tcBorders>
              <w:top w:val="nil"/>
              <w:left w:val="single" w:sz="4" w:space="0" w:color="auto"/>
              <w:bottom w:val="single" w:sz="4" w:space="0" w:color="auto"/>
              <w:right w:val="single" w:sz="4" w:space="0" w:color="auto"/>
            </w:tcBorders>
          </w:tcPr>
          <w:p w14:paraId="7CACBFB2" w14:textId="3A0C99DA" w:rsidR="00BE5A84" w:rsidRPr="003A7206" w:rsidRDefault="00BE5A84" w:rsidP="009859AB">
            <w:pPr>
              <w:spacing w:before="120" w:after="120" w:line="260" w:lineRule="exact"/>
              <w:ind w:left="319" w:hanging="285"/>
              <w:rPr>
                <w:rFonts w:ascii="Corbel" w:eastAsia="Calibri" w:hAnsi="Corbel" w:cs="Calibri"/>
                <w:b/>
                <w:sz w:val="23"/>
                <w:szCs w:val="23"/>
              </w:rPr>
            </w:pPr>
            <w:r w:rsidRPr="003A7206">
              <w:rPr>
                <w:rFonts w:ascii="Corbel" w:eastAsia="Calibri" w:hAnsi="Corbel" w:cs="Calibri"/>
                <w:sz w:val="23"/>
                <w:szCs w:val="23"/>
              </w:rPr>
              <w:t>2019-2023</w:t>
            </w:r>
          </w:p>
        </w:tc>
        <w:tc>
          <w:tcPr>
            <w:tcW w:w="634" w:type="pct"/>
            <w:tcBorders>
              <w:top w:val="nil"/>
              <w:left w:val="single" w:sz="4" w:space="0" w:color="auto"/>
              <w:bottom w:val="single" w:sz="4" w:space="0" w:color="auto"/>
              <w:right w:val="single" w:sz="4" w:space="0" w:color="auto"/>
            </w:tcBorders>
          </w:tcPr>
          <w:p w14:paraId="4B99056E" w14:textId="1077091B" w:rsidR="00BE5A84" w:rsidRPr="003A7206" w:rsidRDefault="00BE5A84" w:rsidP="009859AB">
            <w:pPr>
              <w:spacing w:before="120" w:after="120" w:line="260" w:lineRule="exact"/>
              <w:ind w:left="319" w:hanging="285"/>
              <w:rPr>
                <w:rFonts w:ascii="Calibri" w:eastAsia="Calibri" w:hAnsi="Calibri" w:cs="Calibri"/>
              </w:rPr>
            </w:pPr>
          </w:p>
        </w:tc>
      </w:tr>
    </w:tbl>
    <w:p w14:paraId="1299C43A" w14:textId="2CE3F7F4" w:rsidR="00BE5A84" w:rsidRDefault="00BE5A84" w:rsidP="00BE5A84">
      <w:r>
        <w:br w:type="page"/>
      </w:r>
    </w:p>
    <w:tbl>
      <w:tblPr>
        <w:tblW w:w="5258" w:type="pct"/>
        <w:tblInd w:w="-719" w:type="dxa"/>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9096"/>
        <w:gridCol w:w="1841"/>
        <w:gridCol w:w="1861"/>
        <w:gridCol w:w="1859"/>
      </w:tblGrid>
      <w:tr w:rsidR="00BE5A84" w:rsidRPr="00DA087C" w14:paraId="3F602F6D" w14:textId="10952A52" w:rsidTr="009859AB">
        <w:trPr>
          <w:cantSplit/>
          <w:trHeight w:val="284"/>
          <w:tblHeader/>
        </w:trPr>
        <w:tc>
          <w:tcPr>
            <w:tcW w:w="3103" w:type="pct"/>
            <w:tcBorders>
              <w:top w:val="single" w:sz="24" w:space="0" w:color="316F72"/>
              <w:left w:val="single" w:sz="8" w:space="0" w:color="316F72"/>
              <w:bottom w:val="single" w:sz="24" w:space="0" w:color="316F72"/>
              <w:right w:val="single" w:sz="8" w:space="0" w:color="316F72"/>
            </w:tcBorders>
            <w:hideMark/>
          </w:tcPr>
          <w:p w14:paraId="46EEB858" w14:textId="239A5A39" w:rsidR="00BE5A84" w:rsidRPr="00DA087C" w:rsidRDefault="00BE5A84" w:rsidP="009859AB">
            <w:pPr>
              <w:spacing w:before="120" w:after="120" w:line="260" w:lineRule="exact"/>
              <w:rPr>
                <w:rFonts w:ascii="Corbel" w:eastAsia="Times New Roman" w:hAnsi="Corbel" w:cs="Arial"/>
                <w:b/>
                <w:sz w:val="23"/>
                <w:szCs w:val="23"/>
                <w:lang w:eastAsia="en-AU"/>
              </w:rPr>
            </w:pPr>
            <w:r w:rsidRPr="00DA087C">
              <w:rPr>
                <w:rFonts w:ascii="Corbel" w:eastAsia="Times New Roman" w:hAnsi="Corbel" w:cs="Arial"/>
                <w:b/>
                <w:sz w:val="23"/>
                <w:szCs w:val="23"/>
                <w:lang w:eastAsia="en-AU"/>
              </w:rPr>
              <w:lastRenderedPageBreak/>
              <w:t>Actions</w:t>
            </w:r>
          </w:p>
        </w:tc>
        <w:tc>
          <w:tcPr>
            <w:tcW w:w="628" w:type="pct"/>
            <w:tcBorders>
              <w:top w:val="single" w:sz="24" w:space="0" w:color="316F72"/>
              <w:left w:val="single" w:sz="8" w:space="0" w:color="316F72"/>
              <w:bottom w:val="single" w:sz="24" w:space="0" w:color="316F72"/>
              <w:right w:val="single" w:sz="8" w:space="0" w:color="316F72"/>
            </w:tcBorders>
            <w:hideMark/>
          </w:tcPr>
          <w:p w14:paraId="44CAD0BB" w14:textId="2D000EEE" w:rsidR="00BE5A84" w:rsidRPr="003A7206" w:rsidRDefault="00BE5A84" w:rsidP="009859AB">
            <w:pPr>
              <w:spacing w:before="120" w:after="120" w:line="260" w:lineRule="exact"/>
              <w:rPr>
                <w:rFonts w:ascii="Corbel" w:eastAsia="Times New Roman" w:hAnsi="Corbel" w:cs="Arial"/>
                <w:b/>
                <w:lang w:eastAsia="en-AU"/>
              </w:rPr>
            </w:pPr>
            <w:r w:rsidRPr="003A7206">
              <w:rPr>
                <w:rFonts w:ascii="Corbel" w:eastAsia="Times New Roman" w:hAnsi="Corbel" w:cs="Arial"/>
                <w:b/>
                <w:lang w:eastAsia="en-AU"/>
              </w:rPr>
              <w:t>Sector(s)</w:t>
            </w:r>
          </w:p>
        </w:tc>
        <w:tc>
          <w:tcPr>
            <w:tcW w:w="635" w:type="pct"/>
            <w:tcBorders>
              <w:top w:val="single" w:sz="24" w:space="0" w:color="316F72"/>
              <w:left w:val="single" w:sz="8" w:space="0" w:color="316F72"/>
              <w:bottom w:val="single" w:sz="24" w:space="0" w:color="316F72"/>
              <w:right w:val="single" w:sz="8" w:space="0" w:color="316F72"/>
            </w:tcBorders>
            <w:hideMark/>
          </w:tcPr>
          <w:p w14:paraId="19816572" w14:textId="7EA06570" w:rsidR="00BE5A84" w:rsidRPr="00DA087C" w:rsidRDefault="00BE5A84" w:rsidP="009859AB">
            <w:pPr>
              <w:spacing w:before="120" w:after="120" w:line="260" w:lineRule="exact"/>
              <w:rPr>
                <w:rFonts w:ascii="Corbel" w:eastAsia="Times New Roman" w:hAnsi="Corbel" w:cs="Arial"/>
                <w:b/>
                <w:sz w:val="23"/>
                <w:szCs w:val="23"/>
                <w:lang w:eastAsia="en-AU"/>
              </w:rPr>
            </w:pPr>
            <w:r w:rsidRPr="00DA087C">
              <w:rPr>
                <w:rFonts w:ascii="Corbel" w:eastAsia="Times New Roman" w:hAnsi="Corbel" w:cs="Arial"/>
                <w:b/>
                <w:sz w:val="23"/>
                <w:szCs w:val="23"/>
                <w:lang w:eastAsia="en-AU"/>
              </w:rPr>
              <w:t>Timing</w:t>
            </w:r>
          </w:p>
        </w:tc>
        <w:tc>
          <w:tcPr>
            <w:tcW w:w="634" w:type="pct"/>
            <w:tcBorders>
              <w:top w:val="single" w:sz="24" w:space="0" w:color="316F72"/>
              <w:left w:val="single" w:sz="8" w:space="0" w:color="316F72"/>
              <w:bottom w:val="single" w:sz="24" w:space="0" w:color="316F72"/>
              <w:right w:val="single" w:sz="8" w:space="0" w:color="316F72"/>
            </w:tcBorders>
          </w:tcPr>
          <w:p w14:paraId="69D45DE7" w14:textId="10CC819D" w:rsidR="00BE5A84" w:rsidRPr="00DA087C" w:rsidRDefault="00BE5A84" w:rsidP="009859AB">
            <w:pPr>
              <w:spacing w:before="120" w:after="120" w:line="260" w:lineRule="exact"/>
              <w:rPr>
                <w:rFonts w:ascii="Corbel" w:eastAsia="Times New Roman" w:hAnsi="Corbel" w:cs="Arial"/>
                <w:b/>
                <w:sz w:val="23"/>
                <w:szCs w:val="23"/>
                <w:lang w:eastAsia="en-AU"/>
              </w:rPr>
            </w:pPr>
            <w:r>
              <w:rPr>
                <w:rFonts w:ascii="Corbel" w:eastAsia="Times New Roman" w:hAnsi="Corbel" w:cs="Arial"/>
                <w:b/>
                <w:sz w:val="23"/>
                <w:szCs w:val="23"/>
                <w:lang w:eastAsia="en-AU"/>
              </w:rPr>
              <w:t>Alignment with reform directions</w:t>
            </w:r>
          </w:p>
        </w:tc>
      </w:tr>
      <w:tr w:rsidR="004C2CB5" w:rsidRPr="00DA087C" w14:paraId="01EDA68B" w14:textId="6440AC0D" w:rsidTr="004C2CB5">
        <w:trPr>
          <w:cantSplit/>
          <w:trHeight w:val="353"/>
        </w:trPr>
        <w:tc>
          <w:tcPr>
            <w:tcW w:w="5000" w:type="pct"/>
            <w:gridSpan w:val="4"/>
            <w:tcBorders>
              <w:top w:val="single" w:sz="4" w:space="0" w:color="auto"/>
              <w:left w:val="single" w:sz="8" w:space="0" w:color="316F72"/>
              <w:bottom w:val="single" w:sz="8" w:space="0" w:color="316F72"/>
              <w:right w:val="single" w:sz="8" w:space="0" w:color="316F72"/>
            </w:tcBorders>
            <w:shd w:val="clear" w:color="auto" w:fill="D9D9D9" w:themeFill="background1" w:themeFillShade="D9"/>
          </w:tcPr>
          <w:p w14:paraId="4BCB8772" w14:textId="26068C4A" w:rsidR="004C2CB5" w:rsidRPr="00DA087C" w:rsidRDefault="004C2CB5" w:rsidP="009859AB">
            <w:pPr>
              <w:spacing w:before="120" w:after="120" w:line="260" w:lineRule="exact"/>
              <w:rPr>
                <w:rFonts w:ascii="Corbel" w:eastAsia="Times New Roman" w:hAnsi="Corbel" w:cs="Arial"/>
                <w:b/>
                <w:sz w:val="23"/>
                <w:szCs w:val="23"/>
                <w:lang w:eastAsia="en-AU"/>
              </w:rPr>
            </w:pPr>
            <w:r w:rsidRPr="003A7206">
              <w:rPr>
                <w:rFonts w:ascii="Calibri" w:eastAsia="Calibri" w:hAnsi="Calibri" w:cs="Calibri"/>
                <w:b/>
                <w:sz w:val="23"/>
                <w:szCs w:val="23"/>
              </w:rPr>
              <w:t>Sector initiatives</w:t>
            </w:r>
          </w:p>
        </w:tc>
      </w:tr>
      <w:tr w:rsidR="00BE5A84" w:rsidRPr="00DA087C" w14:paraId="4E5B8EA6" w14:textId="06EF470B" w:rsidTr="009859AB">
        <w:trPr>
          <w:cantSplit/>
          <w:trHeight w:val="353"/>
        </w:trPr>
        <w:tc>
          <w:tcPr>
            <w:tcW w:w="3103" w:type="pct"/>
            <w:tcBorders>
              <w:top w:val="single" w:sz="8" w:space="0" w:color="316F72"/>
              <w:left w:val="single" w:sz="8" w:space="0" w:color="316F72"/>
              <w:bottom w:val="single" w:sz="4" w:space="0" w:color="auto"/>
              <w:right w:val="single" w:sz="8" w:space="0" w:color="316F72"/>
            </w:tcBorders>
            <w:shd w:val="clear" w:color="auto" w:fill="F2F2F2" w:themeFill="background1" w:themeFillShade="F2"/>
          </w:tcPr>
          <w:p w14:paraId="4D10E066" w14:textId="35E42ACF" w:rsidR="00BE5A84" w:rsidRPr="003A7206" w:rsidRDefault="00BE5A84" w:rsidP="009859AB">
            <w:pPr>
              <w:spacing w:before="120" w:after="120" w:line="260" w:lineRule="exact"/>
              <w:contextualSpacing/>
              <w:rPr>
                <w:rFonts w:ascii="Calibri" w:eastAsia="Calibri" w:hAnsi="Calibri" w:cs="Calibri"/>
                <w:b/>
              </w:rPr>
            </w:pPr>
            <w:r w:rsidRPr="003A7206">
              <w:rPr>
                <w:rFonts w:ascii="Calibri" w:eastAsia="Calibri" w:hAnsi="Calibri" w:cs="Calibri"/>
                <w:b/>
              </w:rPr>
              <w:t>Invest in pathways for remote and very remote students to provide opportunities and deliver workplace-specific skills and knowledge that is tailored to employment opportunities within communities.</w:t>
            </w:r>
          </w:p>
          <w:p w14:paraId="4DDBEF00" w14:textId="0D4B13DB" w:rsidR="00BE5A84" w:rsidRDefault="00BE5A84" w:rsidP="009859AB">
            <w:pPr>
              <w:spacing w:before="120" w:after="120" w:line="260" w:lineRule="exact"/>
              <w:ind w:left="1080"/>
              <w:contextualSpacing/>
              <w:rPr>
                <w:rFonts w:ascii="Calibri" w:eastAsia="Calibri" w:hAnsi="Calibri" w:cs="Calibri"/>
              </w:rPr>
            </w:pPr>
          </w:p>
        </w:tc>
        <w:tc>
          <w:tcPr>
            <w:tcW w:w="628" w:type="pct"/>
            <w:tcBorders>
              <w:top w:val="single" w:sz="8" w:space="0" w:color="316F72"/>
              <w:left w:val="single" w:sz="8" w:space="0" w:color="316F72"/>
              <w:bottom w:val="single" w:sz="4" w:space="0" w:color="auto"/>
              <w:right w:val="single" w:sz="8" w:space="0" w:color="316F72"/>
            </w:tcBorders>
            <w:shd w:val="clear" w:color="auto" w:fill="F2F2F2" w:themeFill="background1" w:themeFillShade="F2"/>
          </w:tcPr>
          <w:p w14:paraId="207775A0" w14:textId="454312F8" w:rsidR="00BE5A84" w:rsidRPr="003A7206" w:rsidRDefault="00BE5A84" w:rsidP="009859AB">
            <w:pPr>
              <w:spacing w:before="120" w:after="120" w:line="260" w:lineRule="exact"/>
              <w:rPr>
                <w:rFonts w:ascii="Corbel" w:eastAsia="Times New Roman" w:hAnsi="Corbel" w:cs="Arial"/>
                <w:lang w:eastAsia="en-AU"/>
              </w:rPr>
            </w:pPr>
            <w:r w:rsidRPr="003A7206">
              <w:rPr>
                <w:rFonts w:ascii="Corbel" w:eastAsia="Times New Roman" w:hAnsi="Corbel" w:cs="Arial"/>
                <w:lang w:eastAsia="en-AU"/>
              </w:rPr>
              <w:t>NTG</w:t>
            </w:r>
          </w:p>
        </w:tc>
        <w:tc>
          <w:tcPr>
            <w:tcW w:w="635" w:type="pct"/>
            <w:tcBorders>
              <w:top w:val="single" w:sz="8" w:space="0" w:color="316F72"/>
              <w:left w:val="single" w:sz="8" w:space="0" w:color="316F72"/>
              <w:bottom w:val="single" w:sz="4" w:space="0" w:color="auto"/>
              <w:right w:val="single" w:sz="8" w:space="0" w:color="316F72"/>
            </w:tcBorders>
            <w:shd w:val="clear" w:color="auto" w:fill="F2F2F2" w:themeFill="background1" w:themeFillShade="F2"/>
          </w:tcPr>
          <w:p w14:paraId="3461D779" w14:textId="393B8D1C" w:rsidR="00BE5A84" w:rsidRPr="00DA087C" w:rsidRDefault="00BE5A84" w:rsidP="009859AB">
            <w:pPr>
              <w:spacing w:before="120" w:after="120" w:line="260" w:lineRule="exact"/>
              <w:rPr>
                <w:rFonts w:ascii="Corbel" w:eastAsia="Times New Roman" w:hAnsi="Corbel" w:cs="Arial"/>
                <w:b/>
                <w:sz w:val="23"/>
                <w:szCs w:val="23"/>
                <w:lang w:eastAsia="en-AU"/>
              </w:rPr>
            </w:pPr>
          </w:p>
        </w:tc>
        <w:tc>
          <w:tcPr>
            <w:tcW w:w="634" w:type="pct"/>
            <w:tcBorders>
              <w:top w:val="single" w:sz="8" w:space="0" w:color="316F72"/>
              <w:left w:val="single" w:sz="8" w:space="0" w:color="316F72"/>
              <w:bottom w:val="single" w:sz="4" w:space="0" w:color="auto"/>
              <w:right w:val="single" w:sz="8" w:space="0" w:color="316F72"/>
            </w:tcBorders>
            <w:shd w:val="clear" w:color="auto" w:fill="F2F2F2" w:themeFill="background1" w:themeFillShade="F2"/>
          </w:tcPr>
          <w:p w14:paraId="63BA5C9C" w14:textId="10AAE3BB" w:rsidR="00BE5A84" w:rsidRPr="00DA087C" w:rsidRDefault="00BE5A84" w:rsidP="009859AB">
            <w:pPr>
              <w:spacing w:before="120" w:after="120" w:line="260" w:lineRule="exact"/>
              <w:rPr>
                <w:rFonts w:ascii="Corbel" w:eastAsia="Times New Roman" w:hAnsi="Corbel" w:cs="Arial"/>
                <w:b/>
                <w:sz w:val="23"/>
                <w:szCs w:val="23"/>
                <w:lang w:eastAsia="en-AU"/>
              </w:rPr>
            </w:pPr>
            <w:r>
              <w:rPr>
                <w:rFonts w:ascii="Corbel" w:eastAsia="Times New Roman" w:hAnsi="Corbel" w:cs="Arial"/>
                <w:b/>
                <w:sz w:val="23"/>
                <w:szCs w:val="23"/>
                <w:lang w:eastAsia="en-AU"/>
              </w:rPr>
              <w:t>Reform Direction A</w:t>
            </w:r>
          </w:p>
        </w:tc>
      </w:tr>
      <w:tr w:rsidR="00BE5A84" w:rsidRPr="00DA087C" w14:paraId="0B1C8950" w14:textId="4B9CD0C2" w:rsidTr="009859AB">
        <w:trPr>
          <w:cantSplit/>
          <w:trHeight w:val="353"/>
        </w:trPr>
        <w:tc>
          <w:tcPr>
            <w:tcW w:w="3103" w:type="pct"/>
            <w:tcBorders>
              <w:top w:val="single" w:sz="4" w:space="0" w:color="auto"/>
              <w:left w:val="single" w:sz="4" w:space="0" w:color="auto"/>
              <w:bottom w:val="nil"/>
              <w:right w:val="single" w:sz="4" w:space="0" w:color="auto"/>
            </w:tcBorders>
          </w:tcPr>
          <w:p w14:paraId="712DDEFD" w14:textId="0D3CD2E4" w:rsidR="00BE5A84" w:rsidRPr="003A7206"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t xml:space="preserve">Mobile and embedded trainers working with approximately 15 very remote schools in </w:t>
            </w:r>
            <w:proofErr w:type="gramStart"/>
            <w:r w:rsidRPr="003A7206">
              <w:rPr>
                <w:rFonts w:ascii="Calibri" w:eastAsia="Calibri" w:hAnsi="Calibri" w:cs="Calibri"/>
              </w:rPr>
              <w:t>2018</w:t>
            </w:r>
            <w:proofErr w:type="gramEnd"/>
          </w:p>
          <w:p w14:paraId="1C3A12AB" w14:textId="6959CFF4" w:rsidR="00BE5A84" w:rsidRPr="003A7206"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t>Up to 225 students are engaged in accredited training</w:t>
            </w:r>
          </w:p>
        </w:tc>
        <w:tc>
          <w:tcPr>
            <w:tcW w:w="628" w:type="pct"/>
            <w:tcBorders>
              <w:top w:val="single" w:sz="4" w:space="0" w:color="auto"/>
              <w:left w:val="single" w:sz="4" w:space="0" w:color="auto"/>
              <w:bottom w:val="nil"/>
              <w:right w:val="single" w:sz="4" w:space="0" w:color="auto"/>
            </w:tcBorders>
          </w:tcPr>
          <w:p w14:paraId="3CF2D8B6" w14:textId="358BC125" w:rsidR="00BE5A84" w:rsidRPr="003A7206" w:rsidRDefault="00BE5A84" w:rsidP="009859AB">
            <w:pPr>
              <w:spacing w:before="120" w:after="120" w:line="260" w:lineRule="exact"/>
              <w:rPr>
                <w:rFonts w:ascii="Corbel" w:eastAsia="Times New Roman" w:hAnsi="Corbel" w:cs="Arial"/>
                <w:lang w:eastAsia="en-AU"/>
              </w:rPr>
            </w:pPr>
          </w:p>
        </w:tc>
        <w:tc>
          <w:tcPr>
            <w:tcW w:w="635" w:type="pct"/>
            <w:tcBorders>
              <w:top w:val="single" w:sz="4" w:space="0" w:color="auto"/>
              <w:left w:val="single" w:sz="4" w:space="0" w:color="auto"/>
              <w:bottom w:val="nil"/>
              <w:right w:val="single" w:sz="4" w:space="0" w:color="auto"/>
            </w:tcBorders>
          </w:tcPr>
          <w:p w14:paraId="5C61D62B" w14:textId="6468E567" w:rsidR="00BE5A84" w:rsidRPr="00DA087C" w:rsidRDefault="00BE5A84" w:rsidP="009859AB">
            <w:pPr>
              <w:spacing w:before="120" w:after="120" w:line="260" w:lineRule="exact"/>
              <w:rPr>
                <w:rFonts w:ascii="Corbel" w:eastAsia="Times New Roman" w:hAnsi="Corbel" w:cs="Arial"/>
                <w:b/>
                <w:sz w:val="23"/>
                <w:szCs w:val="23"/>
                <w:lang w:eastAsia="en-AU"/>
              </w:rPr>
            </w:pPr>
            <w:r w:rsidRPr="003A7206">
              <w:rPr>
                <w:rFonts w:ascii="Corbel" w:eastAsia="Times New Roman" w:hAnsi="Corbel" w:cs="Arial"/>
                <w:sz w:val="23"/>
                <w:szCs w:val="23"/>
                <w:lang w:eastAsia="en-AU"/>
              </w:rPr>
              <w:t>2018</w:t>
            </w:r>
          </w:p>
        </w:tc>
        <w:tc>
          <w:tcPr>
            <w:tcW w:w="634" w:type="pct"/>
            <w:tcBorders>
              <w:top w:val="single" w:sz="4" w:space="0" w:color="auto"/>
              <w:left w:val="single" w:sz="4" w:space="0" w:color="auto"/>
              <w:bottom w:val="nil"/>
              <w:right w:val="single" w:sz="4" w:space="0" w:color="auto"/>
            </w:tcBorders>
          </w:tcPr>
          <w:p w14:paraId="0FB78278" w14:textId="27358785" w:rsidR="00BE5A84" w:rsidRDefault="00BE5A84" w:rsidP="009859AB">
            <w:pPr>
              <w:spacing w:before="120" w:after="120" w:line="260" w:lineRule="exact"/>
              <w:rPr>
                <w:rFonts w:ascii="Corbel" w:eastAsia="Times New Roman" w:hAnsi="Corbel" w:cs="Arial"/>
                <w:b/>
                <w:sz w:val="23"/>
                <w:szCs w:val="23"/>
                <w:lang w:eastAsia="en-AU"/>
              </w:rPr>
            </w:pPr>
          </w:p>
        </w:tc>
      </w:tr>
      <w:tr w:rsidR="00BE5A84" w:rsidRPr="00DA087C" w14:paraId="55C10136" w14:textId="69BCBCFB" w:rsidTr="009859AB">
        <w:trPr>
          <w:cantSplit/>
          <w:trHeight w:val="353"/>
        </w:trPr>
        <w:tc>
          <w:tcPr>
            <w:tcW w:w="3103" w:type="pct"/>
            <w:tcBorders>
              <w:top w:val="nil"/>
              <w:left w:val="single" w:sz="4" w:space="0" w:color="auto"/>
              <w:bottom w:val="nil"/>
              <w:right w:val="single" w:sz="4" w:space="0" w:color="auto"/>
            </w:tcBorders>
          </w:tcPr>
          <w:p w14:paraId="4C373A2B" w14:textId="2AE42236" w:rsidR="00BE5A84" w:rsidRPr="004337E1"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t xml:space="preserve">Up to </w:t>
            </w:r>
            <w:r w:rsidRPr="004337E1">
              <w:rPr>
                <w:rFonts w:ascii="Calibri" w:eastAsia="Calibri" w:hAnsi="Calibri" w:cs="Calibri"/>
              </w:rPr>
              <w:t>250 students</w:t>
            </w:r>
            <w:r w:rsidRPr="003A7206">
              <w:rPr>
                <w:rFonts w:ascii="Calibri" w:eastAsia="Calibri" w:hAnsi="Calibri" w:cs="Calibri"/>
              </w:rPr>
              <w:t xml:space="preserve"> annually, and their communities,</w:t>
            </w:r>
            <w:r w:rsidRPr="004337E1">
              <w:rPr>
                <w:rFonts w:ascii="Calibri" w:eastAsia="Calibri" w:hAnsi="Calibri" w:cs="Calibri"/>
              </w:rPr>
              <w:t xml:space="preserve"> engaged in accredited training</w:t>
            </w:r>
            <w:r w:rsidRPr="003A7206">
              <w:rPr>
                <w:rFonts w:ascii="Calibri" w:eastAsia="Calibri" w:hAnsi="Calibri" w:cs="Calibri"/>
              </w:rPr>
              <w:t xml:space="preserve"> </w:t>
            </w:r>
          </w:p>
        </w:tc>
        <w:tc>
          <w:tcPr>
            <w:tcW w:w="628" w:type="pct"/>
            <w:tcBorders>
              <w:top w:val="nil"/>
              <w:left w:val="single" w:sz="4" w:space="0" w:color="auto"/>
              <w:bottom w:val="nil"/>
              <w:right w:val="single" w:sz="4" w:space="0" w:color="auto"/>
            </w:tcBorders>
          </w:tcPr>
          <w:p w14:paraId="1FC39945" w14:textId="0D013A27" w:rsidR="00BE5A84" w:rsidRPr="003A7206" w:rsidRDefault="00BE5A84" w:rsidP="009859AB">
            <w:pPr>
              <w:spacing w:before="120" w:after="120" w:line="260" w:lineRule="exact"/>
              <w:rPr>
                <w:rFonts w:ascii="Corbel" w:eastAsia="Times New Roman" w:hAnsi="Corbel" w:cs="Arial"/>
                <w:lang w:eastAsia="en-AU"/>
              </w:rPr>
            </w:pPr>
          </w:p>
        </w:tc>
        <w:tc>
          <w:tcPr>
            <w:tcW w:w="635" w:type="pct"/>
            <w:tcBorders>
              <w:top w:val="nil"/>
              <w:left w:val="single" w:sz="4" w:space="0" w:color="auto"/>
              <w:bottom w:val="nil"/>
              <w:right w:val="single" w:sz="4" w:space="0" w:color="auto"/>
            </w:tcBorders>
          </w:tcPr>
          <w:p w14:paraId="407F9123" w14:textId="144F9FFF" w:rsidR="00BE5A84" w:rsidRPr="00DA087C" w:rsidRDefault="00BE5A84" w:rsidP="009859AB">
            <w:pPr>
              <w:spacing w:before="120" w:after="120" w:line="260" w:lineRule="exact"/>
              <w:rPr>
                <w:rFonts w:ascii="Corbel" w:eastAsia="Times New Roman" w:hAnsi="Corbel" w:cs="Arial"/>
                <w:b/>
                <w:sz w:val="23"/>
                <w:szCs w:val="23"/>
                <w:lang w:eastAsia="en-AU"/>
              </w:rPr>
            </w:pPr>
            <w:r w:rsidRPr="003A7206">
              <w:rPr>
                <w:rFonts w:ascii="Corbel" w:eastAsia="Times New Roman" w:hAnsi="Corbel" w:cs="Arial"/>
                <w:sz w:val="23"/>
                <w:szCs w:val="23"/>
                <w:lang w:eastAsia="en-AU"/>
              </w:rPr>
              <w:t>2019-2022</w:t>
            </w:r>
          </w:p>
        </w:tc>
        <w:tc>
          <w:tcPr>
            <w:tcW w:w="634" w:type="pct"/>
            <w:tcBorders>
              <w:top w:val="nil"/>
              <w:left w:val="single" w:sz="4" w:space="0" w:color="auto"/>
              <w:bottom w:val="nil"/>
              <w:right w:val="single" w:sz="4" w:space="0" w:color="auto"/>
            </w:tcBorders>
          </w:tcPr>
          <w:p w14:paraId="0562CB0E" w14:textId="4DB9BE0C" w:rsidR="00BE5A84" w:rsidRDefault="00BE5A84" w:rsidP="009859AB">
            <w:pPr>
              <w:spacing w:before="120" w:after="120" w:line="260" w:lineRule="exact"/>
              <w:rPr>
                <w:rFonts w:ascii="Corbel" w:eastAsia="Times New Roman" w:hAnsi="Corbel" w:cs="Arial"/>
                <w:b/>
                <w:sz w:val="23"/>
                <w:szCs w:val="23"/>
                <w:lang w:eastAsia="en-AU"/>
              </w:rPr>
            </w:pPr>
          </w:p>
        </w:tc>
      </w:tr>
      <w:tr w:rsidR="00BE5A84" w:rsidRPr="00DA087C" w14:paraId="28A7E8B4" w14:textId="45927C69" w:rsidTr="009859AB">
        <w:trPr>
          <w:cantSplit/>
          <w:trHeight w:val="353"/>
        </w:trPr>
        <w:tc>
          <w:tcPr>
            <w:tcW w:w="3103"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04616295" w14:textId="02339E05" w:rsidR="00BE5A84" w:rsidRDefault="00BE5A84" w:rsidP="009859AB">
            <w:pPr>
              <w:spacing w:before="120" w:after="120" w:line="260" w:lineRule="exact"/>
              <w:contextualSpacing/>
              <w:rPr>
                <w:rFonts w:eastAsia="Calibri" w:cs="Times New Roman"/>
                <w:b/>
                <w:color w:val="000000" w:themeColor="text1"/>
              </w:rPr>
            </w:pPr>
            <w:r w:rsidRPr="003A7206">
              <w:rPr>
                <w:rFonts w:eastAsia="Calibri" w:cs="Times New Roman"/>
                <w:b/>
                <w:color w:val="000000" w:themeColor="text1"/>
              </w:rPr>
              <w:t xml:space="preserve">Support teachers through a system of coaching and mentoring to build teacher and school leader capability to ensure students have quality teachers who are proficient in literacy, numeracy and ESL </w:t>
            </w:r>
            <w:proofErr w:type="gramStart"/>
            <w:r w:rsidRPr="003A7206">
              <w:rPr>
                <w:rFonts w:eastAsia="Calibri" w:cs="Times New Roman"/>
                <w:b/>
                <w:color w:val="000000" w:themeColor="text1"/>
              </w:rPr>
              <w:t>pedagogy</w:t>
            </w:r>
            <w:proofErr w:type="gramEnd"/>
          </w:p>
          <w:p w14:paraId="34CE0A41" w14:textId="1141DBFE" w:rsidR="00BE5A84" w:rsidRPr="003A7206" w:rsidRDefault="00BE5A84" w:rsidP="009859AB">
            <w:pPr>
              <w:spacing w:before="120" w:after="120" w:line="260" w:lineRule="exact"/>
              <w:contextualSpacing/>
              <w:rPr>
                <w:rFonts w:eastAsia="Calibri" w:cs="Calibri"/>
                <w:b/>
                <w:color w:val="000000" w:themeColor="text1"/>
              </w:rPr>
            </w:pPr>
          </w:p>
        </w:tc>
        <w:tc>
          <w:tcPr>
            <w:tcW w:w="628"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4242FE91" w14:textId="17D082D5" w:rsidR="00BE5A84" w:rsidRPr="003A7206" w:rsidRDefault="00BE5A84" w:rsidP="009859AB">
            <w:pPr>
              <w:spacing w:before="120" w:after="120" w:line="260" w:lineRule="exact"/>
              <w:rPr>
                <w:rFonts w:ascii="Corbel" w:eastAsia="Times New Roman" w:hAnsi="Corbel" w:cs="Arial"/>
                <w:lang w:eastAsia="en-AU"/>
              </w:rPr>
            </w:pPr>
            <w:r w:rsidRPr="003A7206">
              <w:rPr>
                <w:rFonts w:ascii="Corbel" w:eastAsia="Times New Roman" w:hAnsi="Corbel" w:cs="Arial"/>
                <w:lang w:eastAsia="en-AU"/>
              </w:rPr>
              <w:t>NTG</w:t>
            </w:r>
          </w:p>
        </w:tc>
        <w:tc>
          <w:tcPr>
            <w:tcW w:w="635"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62EBF3C5" w14:textId="3537D1AA" w:rsidR="00BE5A84" w:rsidRPr="00DA087C" w:rsidRDefault="00BE5A84" w:rsidP="009859AB">
            <w:pPr>
              <w:spacing w:before="120" w:after="120" w:line="260" w:lineRule="exact"/>
              <w:rPr>
                <w:rFonts w:ascii="Corbel" w:eastAsia="Times New Roman" w:hAnsi="Corbel" w:cs="Arial"/>
                <w:b/>
                <w:sz w:val="23"/>
                <w:szCs w:val="23"/>
                <w:lang w:eastAsia="en-AU"/>
              </w:rPr>
            </w:pPr>
          </w:p>
        </w:tc>
        <w:tc>
          <w:tcPr>
            <w:tcW w:w="634"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13E452FF" w14:textId="11C4CA53" w:rsidR="00BE5A84" w:rsidRPr="00DA087C" w:rsidRDefault="00BE5A84" w:rsidP="009859AB">
            <w:pPr>
              <w:spacing w:before="120" w:after="120" w:line="260" w:lineRule="exact"/>
              <w:rPr>
                <w:rFonts w:ascii="Corbel" w:eastAsia="Times New Roman" w:hAnsi="Corbel" w:cs="Arial"/>
                <w:b/>
                <w:sz w:val="23"/>
                <w:szCs w:val="23"/>
                <w:lang w:eastAsia="en-AU"/>
              </w:rPr>
            </w:pPr>
            <w:r>
              <w:rPr>
                <w:rFonts w:ascii="Corbel" w:eastAsia="Times New Roman" w:hAnsi="Corbel" w:cs="Arial"/>
                <w:b/>
                <w:sz w:val="23"/>
                <w:szCs w:val="23"/>
                <w:lang w:eastAsia="en-AU"/>
              </w:rPr>
              <w:t>Reform Direction B</w:t>
            </w:r>
          </w:p>
        </w:tc>
      </w:tr>
      <w:tr w:rsidR="00BE5A84" w:rsidRPr="00DA087C" w14:paraId="47DA5000" w14:textId="19A8C411" w:rsidTr="009859AB">
        <w:trPr>
          <w:cantSplit/>
          <w:trHeight w:val="353"/>
        </w:trPr>
        <w:tc>
          <w:tcPr>
            <w:tcW w:w="3103" w:type="pct"/>
            <w:tcBorders>
              <w:top w:val="single" w:sz="4" w:space="0" w:color="auto"/>
              <w:left w:val="single" w:sz="4" w:space="0" w:color="auto"/>
              <w:bottom w:val="nil"/>
              <w:right w:val="single" w:sz="4" w:space="0" w:color="auto"/>
            </w:tcBorders>
          </w:tcPr>
          <w:p w14:paraId="4C156F07" w14:textId="4E0FB3D4" w:rsidR="00BE5A84" w:rsidRPr="003A7206"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t xml:space="preserve">Project governance structure established through the network leaders within Education NT </w:t>
            </w:r>
            <w:r>
              <w:rPr>
                <w:rFonts w:ascii="Calibri" w:eastAsia="Calibri" w:hAnsi="Calibri" w:cs="Calibri"/>
              </w:rPr>
              <w:t xml:space="preserve">Strategy </w:t>
            </w:r>
            <w:r w:rsidRPr="003A7206">
              <w:rPr>
                <w:rFonts w:ascii="Calibri" w:eastAsia="Calibri" w:hAnsi="Calibri" w:cs="Calibri"/>
              </w:rPr>
              <w:t>(coaches work under network leaders to work intensively with focus schools)</w:t>
            </w:r>
          </w:p>
          <w:p w14:paraId="71DC74EA" w14:textId="07A7FBDD" w:rsidR="00BE5A84" w:rsidRPr="003A7206"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t xml:space="preserve">Identify focus schools based on school improvement </w:t>
            </w:r>
            <w:proofErr w:type="gramStart"/>
            <w:r w:rsidRPr="003A7206">
              <w:rPr>
                <w:rFonts w:ascii="Calibri" w:eastAsia="Calibri" w:hAnsi="Calibri" w:cs="Calibri"/>
              </w:rPr>
              <w:t>data</w:t>
            </w:r>
            <w:proofErr w:type="gramEnd"/>
          </w:p>
          <w:p w14:paraId="6CC77841" w14:textId="037730B9" w:rsidR="00BE5A84" w:rsidRPr="003A7206"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t xml:space="preserve">Deliver intensive support to focus schools in 5-week </w:t>
            </w:r>
            <w:proofErr w:type="gramStart"/>
            <w:r w:rsidRPr="003A7206">
              <w:rPr>
                <w:rFonts w:ascii="Calibri" w:eastAsia="Calibri" w:hAnsi="Calibri" w:cs="Calibri"/>
              </w:rPr>
              <w:t>sprints</w:t>
            </w:r>
            <w:proofErr w:type="gramEnd"/>
            <w:r w:rsidRPr="003A7206">
              <w:rPr>
                <w:rFonts w:ascii="Calibri" w:eastAsia="Calibri" w:hAnsi="Calibri" w:cs="Calibri"/>
              </w:rPr>
              <w:t xml:space="preserve"> </w:t>
            </w:r>
          </w:p>
          <w:p w14:paraId="738BD6A9" w14:textId="01C5E186" w:rsidR="00BE5A84" w:rsidRPr="00081917"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t>Evaluate at end of each 5-week sprint – refine strategies where necessary</w:t>
            </w:r>
          </w:p>
        </w:tc>
        <w:tc>
          <w:tcPr>
            <w:tcW w:w="628" w:type="pct"/>
            <w:tcBorders>
              <w:top w:val="single" w:sz="4" w:space="0" w:color="auto"/>
              <w:left w:val="single" w:sz="4" w:space="0" w:color="auto"/>
              <w:bottom w:val="nil"/>
              <w:right w:val="single" w:sz="4" w:space="0" w:color="auto"/>
            </w:tcBorders>
          </w:tcPr>
          <w:p w14:paraId="6D98A12B" w14:textId="1F6982E9" w:rsidR="00BE5A84" w:rsidRPr="003A7206" w:rsidRDefault="00BE5A84" w:rsidP="009859AB">
            <w:pPr>
              <w:spacing w:before="120" w:after="120" w:line="260" w:lineRule="exact"/>
              <w:rPr>
                <w:rFonts w:ascii="Corbel" w:eastAsia="Times New Roman" w:hAnsi="Corbel" w:cs="Arial"/>
                <w:lang w:eastAsia="en-AU"/>
              </w:rPr>
            </w:pPr>
          </w:p>
        </w:tc>
        <w:tc>
          <w:tcPr>
            <w:tcW w:w="635" w:type="pct"/>
            <w:tcBorders>
              <w:top w:val="single" w:sz="4" w:space="0" w:color="auto"/>
              <w:left w:val="single" w:sz="4" w:space="0" w:color="auto"/>
              <w:bottom w:val="nil"/>
              <w:right w:val="single" w:sz="4" w:space="0" w:color="auto"/>
            </w:tcBorders>
          </w:tcPr>
          <w:p w14:paraId="145E21DF" w14:textId="1B944F91" w:rsidR="00BE5A84" w:rsidRPr="003A7206" w:rsidRDefault="00BE5A84" w:rsidP="009859AB">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2018</w:t>
            </w:r>
          </w:p>
          <w:p w14:paraId="2946DB82" w14:textId="23BD2799" w:rsidR="00BE5A84" w:rsidRDefault="00BE5A84" w:rsidP="009859AB">
            <w:pPr>
              <w:spacing w:before="120" w:after="120" w:line="260" w:lineRule="exact"/>
              <w:rPr>
                <w:rFonts w:ascii="Corbel" w:eastAsia="Times New Roman" w:hAnsi="Corbel" w:cs="Arial"/>
                <w:b/>
                <w:sz w:val="23"/>
                <w:szCs w:val="23"/>
                <w:lang w:eastAsia="en-AU"/>
              </w:rPr>
            </w:pPr>
          </w:p>
          <w:p w14:paraId="5997CC1D" w14:textId="2AA4DBB8" w:rsidR="00BE5A84" w:rsidRDefault="00BE5A84" w:rsidP="009859AB">
            <w:pPr>
              <w:spacing w:before="120" w:after="120" w:line="260" w:lineRule="exact"/>
              <w:rPr>
                <w:rFonts w:ascii="Corbel" w:eastAsia="Times New Roman" w:hAnsi="Corbel" w:cs="Arial"/>
                <w:b/>
                <w:sz w:val="23"/>
                <w:szCs w:val="23"/>
                <w:lang w:eastAsia="en-AU"/>
              </w:rPr>
            </w:pPr>
          </w:p>
          <w:p w14:paraId="4FEFE7EB" w14:textId="0D8D4ACE" w:rsidR="00BE5A84" w:rsidRPr="003A7206" w:rsidRDefault="00BE5A84" w:rsidP="009859AB">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2018-2023</w:t>
            </w:r>
          </w:p>
        </w:tc>
        <w:tc>
          <w:tcPr>
            <w:tcW w:w="634" w:type="pct"/>
            <w:tcBorders>
              <w:top w:val="single" w:sz="4" w:space="0" w:color="auto"/>
              <w:left w:val="single" w:sz="4" w:space="0" w:color="auto"/>
              <w:bottom w:val="nil"/>
              <w:right w:val="single" w:sz="4" w:space="0" w:color="auto"/>
            </w:tcBorders>
          </w:tcPr>
          <w:p w14:paraId="110FFD37" w14:textId="007B6A47" w:rsidR="00BE5A84" w:rsidRDefault="00BE5A84" w:rsidP="009859AB">
            <w:pPr>
              <w:spacing w:before="120" w:after="120" w:line="260" w:lineRule="exact"/>
              <w:rPr>
                <w:rFonts w:ascii="Corbel" w:eastAsia="Times New Roman" w:hAnsi="Corbel" w:cs="Arial"/>
                <w:b/>
                <w:sz w:val="23"/>
                <w:szCs w:val="23"/>
                <w:lang w:eastAsia="en-AU"/>
              </w:rPr>
            </w:pPr>
          </w:p>
        </w:tc>
      </w:tr>
      <w:tr w:rsidR="00BE5A84" w:rsidRPr="00DA087C" w14:paraId="31A59ADB" w14:textId="78BDE899" w:rsidTr="009859AB">
        <w:trPr>
          <w:cantSplit/>
          <w:trHeight w:val="353"/>
        </w:trPr>
        <w:tc>
          <w:tcPr>
            <w:tcW w:w="3103"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6F748241" w14:textId="6C72F4C0" w:rsidR="00BE5A84" w:rsidRPr="006F0C28" w:rsidRDefault="00BE5A84" w:rsidP="009859AB">
            <w:pPr>
              <w:spacing w:before="120" w:after="120" w:line="260" w:lineRule="exact"/>
              <w:contextualSpacing/>
              <w:rPr>
                <w:rFonts w:ascii="Calibri" w:eastAsia="Calibri" w:hAnsi="Calibri" w:cs="Calibri"/>
              </w:rPr>
            </w:pPr>
            <w:r w:rsidRPr="003A7206">
              <w:rPr>
                <w:rFonts w:eastAsia="Calibri" w:cs="Times New Roman"/>
                <w:b/>
                <w:color w:val="000000" w:themeColor="text1"/>
              </w:rPr>
              <w:t>Strengthen local governance arrangements in remote and very remote school communities, ensuring decisions are community-led</w:t>
            </w:r>
          </w:p>
        </w:tc>
        <w:tc>
          <w:tcPr>
            <w:tcW w:w="628"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052C9CA8" w14:textId="387B1B6E" w:rsidR="00BE5A84" w:rsidRPr="003A7206" w:rsidRDefault="00BE5A84" w:rsidP="009859AB">
            <w:pPr>
              <w:spacing w:before="120" w:after="120" w:line="260" w:lineRule="exact"/>
              <w:rPr>
                <w:rFonts w:ascii="Corbel" w:eastAsia="Times New Roman" w:hAnsi="Corbel" w:cs="Arial"/>
                <w:lang w:eastAsia="en-AU"/>
              </w:rPr>
            </w:pPr>
            <w:r w:rsidRPr="003A7206">
              <w:rPr>
                <w:rFonts w:ascii="Corbel" w:eastAsia="Times New Roman" w:hAnsi="Corbel" w:cs="Arial"/>
                <w:lang w:eastAsia="en-AU"/>
              </w:rPr>
              <w:t>NTG</w:t>
            </w:r>
          </w:p>
        </w:tc>
        <w:tc>
          <w:tcPr>
            <w:tcW w:w="635"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6B699379" w14:textId="65D82F83" w:rsidR="00BE5A84" w:rsidRPr="00DA087C" w:rsidRDefault="00BE5A84" w:rsidP="009859AB">
            <w:pPr>
              <w:spacing w:before="120" w:after="120" w:line="260" w:lineRule="exact"/>
              <w:rPr>
                <w:rFonts w:ascii="Corbel" w:eastAsia="Times New Roman" w:hAnsi="Corbel" w:cs="Arial"/>
                <w:b/>
                <w:sz w:val="23"/>
                <w:szCs w:val="23"/>
                <w:lang w:eastAsia="en-AU"/>
              </w:rPr>
            </w:pPr>
          </w:p>
        </w:tc>
        <w:tc>
          <w:tcPr>
            <w:tcW w:w="634"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7021FFF0" w14:textId="6EFCF131" w:rsidR="00BE5A84" w:rsidRPr="00DA087C" w:rsidRDefault="00BE5A84" w:rsidP="009859AB">
            <w:pPr>
              <w:spacing w:before="120" w:after="120" w:line="260" w:lineRule="exact"/>
              <w:rPr>
                <w:rFonts w:ascii="Corbel" w:eastAsia="Times New Roman" w:hAnsi="Corbel" w:cs="Arial"/>
                <w:b/>
                <w:sz w:val="23"/>
                <w:szCs w:val="23"/>
                <w:lang w:eastAsia="en-AU"/>
              </w:rPr>
            </w:pPr>
            <w:r w:rsidRPr="00D7520B">
              <w:rPr>
                <w:rFonts w:ascii="Corbel" w:eastAsia="Times New Roman" w:hAnsi="Corbel" w:cs="Arial"/>
                <w:b/>
                <w:sz w:val="23"/>
                <w:szCs w:val="23"/>
                <w:lang w:eastAsia="en-AU"/>
              </w:rPr>
              <w:t>Reform Direction B</w:t>
            </w:r>
          </w:p>
        </w:tc>
      </w:tr>
      <w:tr w:rsidR="00BE5A84" w:rsidRPr="00DA087C" w14:paraId="2F14F72E" w14:textId="0EAEA424" w:rsidTr="009859AB">
        <w:trPr>
          <w:cantSplit/>
          <w:trHeight w:val="353"/>
        </w:trPr>
        <w:tc>
          <w:tcPr>
            <w:tcW w:w="3103" w:type="pct"/>
            <w:tcBorders>
              <w:top w:val="single" w:sz="4" w:space="0" w:color="auto"/>
              <w:left w:val="single" w:sz="4" w:space="0" w:color="auto"/>
              <w:bottom w:val="nil"/>
              <w:right w:val="single" w:sz="4" w:space="0" w:color="auto"/>
            </w:tcBorders>
            <w:shd w:val="clear" w:color="auto" w:fill="auto"/>
          </w:tcPr>
          <w:p w14:paraId="663AFF2A" w14:textId="02DAC753" w:rsidR="00BE5A84" w:rsidRPr="00081917"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t xml:space="preserve">Develop Local </w:t>
            </w:r>
            <w:proofErr w:type="gramStart"/>
            <w:r w:rsidRPr="003A7206">
              <w:rPr>
                <w:rFonts w:ascii="Calibri" w:eastAsia="Calibri" w:hAnsi="Calibri" w:cs="Calibri"/>
              </w:rPr>
              <w:t>Decision Making</w:t>
            </w:r>
            <w:proofErr w:type="gramEnd"/>
            <w:r w:rsidRPr="003A7206">
              <w:rPr>
                <w:rFonts w:ascii="Calibri" w:eastAsia="Calibri" w:hAnsi="Calibri" w:cs="Calibri"/>
              </w:rPr>
              <w:t xml:space="preserve"> assessment continuum reflective of </w:t>
            </w:r>
            <w:r>
              <w:rPr>
                <w:rFonts w:ascii="Calibri" w:eastAsia="Calibri" w:hAnsi="Calibri" w:cs="Calibri"/>
              </w:rPr>
              <w:t>the Northern Territory Government</w:t>
            </w:r>
            <w:r w:rsidRPr="003A7206">
              <w:rPr>
                <w:rFonts w:ascii="Calibri" w:eastAsia="Calibri" w:hAnsi="Calibri" w:cs="Calibri"/>
              </w:rPr>
              <w:t xml:space="preserve"> Influence Model.</w:t>
            </w:r>
          </w:p>
        </w:tc>
        <w:tc>
          <w:tcPr>
            <w:tcW w:w="628" w:type="pct"/>
            <w:tcBorders>
              <w:top w:val="single" w:sz="4" w:space="0" w:color="auto"/>
              <w:left w:val="single" w:sz="4" w:space="0" w:color="auto"/>
              <w:bottom w:val="nil"/>
              <w:right w:val="single" w:sz="4" w:space="0" w:color="auto"/>
            </w:tcBorders>
          </w:tcPr>
          <w:p w14:paraId="3FE9F23F" w14:textId="1E1D6604" w:rsidR="00BE5A84" w:rsidRPr="003A7206" w:rsidRDefault="00BE5A84" w:rsidP="009859AB">
            <w:pPr>
              <w:spacing w:before="120" w:after="120" w:line="260" w:lineRule="exact"/>
              <w:rPr>
                <w:rFonts w:ascii="Corbel" w:eastAsia="Times New Roman" w:hAnsi="Corbel" w:cs="Arial"/>
                <w:lang w:eastAsia="en-AU"/>
              </w:rPr>
            </w:pPr>
          </w:p>
        </w:tc>
        <w:tc>
          <w:tcPr>
            <w:tcW w:w="635" w:type="pct"/>
            <w:tcBorders>
              <w:top w:val="single" w:sz="4" w:space="0" w:color="auto"/>
              <w:left w:val="single" w:sz="4" w:space="0" w:color="auto"/>
              <w:bottom w:val="nil"/>
              <w:right w:val="single" w:sz="4" w:space="0" w:color="auto"/>
            </w:tcBorders>
          </w:tcPr>
          <w:p w14:paraId="51E759A6" w14:textId="5B1ACBDC" w:rsidR="00BE5A84" w:rsidRPr="003A7206" w:rsidRDefault="00BE5A84" w:rsidP="009859AB">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By Dec 2018</w:t>
            </w:r>
          </w:p>
        </w:tc>
        <w:tc>
          <w:tcPr>
            <w:tcW w:w="634" w:type="pct"/>
            <w:tcBorders>
              <w:top w:val="single" w:sz="4" w:space="0" w:color="auto"/>
              <w:left w:val="single" w:sz="4" w:space="0" w:color="auto"/>
              <w:bottom w:val="nil"/>
              <w:right w:val="single" w:sz="4" w:space="0" w:color="auto"/>
            </w:tcBorders>
          </w:tcPr>
          <w:p w14:paraId="1F72F646" w14:textId="2E0B9DBA" w:rsidR="00BE5A84" w:rsidRDefault="00BE5A84" w:rsidP="009859AB">
            <w:pPr>
              <w:spacing w:before="120" w:after="120" w:line="260" w:lineRule="exact"/>
              <w:rPr>
                <w:rFonts w:ascii="Corbel" w:eastAsia="Times New Roman" w:hAnsi="Corbel" w:cs="Arial"/>
                <w:b/>
                <w:sz w:val="23"/>
                <w:szCs w:val="23"/>
                <w:lang w:eastAsia="en-AU"/>
              </w:rPr>
            </w:pPr>
          </w:p>
        </w:tc>
      </w:tr>
      <w:tr w:rsidR="00BE5A84" w:rsidRPr="00DA087C" w14:paraId="71146C8C" w14:textId="3E78FCB6" w:rsidTr="009859AB">
        <w:trPr>
          <w:cantSplit/>
          <w:trHeight w:val="353"/>
        </w:trPr>
        <w:tc>
          <w:tcPr>
            <w:tcW w:w="3103" w:type="pct"/>
            <w:tcBorders>
              <w:top w:val="nil"/>
              <w:left w:val="single" w:sz="4" w:space="0" w:color="auto"/>
              <w:bottom w:val="nil"/>
              <w:right w:val="single" w:sz="4" w:space="0" w:color="auto"/>
            </w:tcBorders>
          </w:tcPr>
          <w:p w14:paraId="6EA24688" w14:textId="78E1FA22" w:rsidR="00BE5A84" w:rsidRPr="00510626"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Pr>
                <w:rFonts w:ascii="Calibri" w:eastAsia="Calibri" w:hAnsi="Calibri" w:cs="Calibri"/>
              </w:rPr>
              <w:lastRenderedPageBreak/>
              <w:t xml:space="preserve">Northern Territory </w:t>
            </w:r>
            <w:r w:rsidRPr="00081917">
              <w:rPr>
                <w:rFonts w:ascii="Calibri" w:eastAsia="Calibri" w:hAnsi="Calibri" w:cs="Calibri"/>
              </w:rPr>
              <w:t>C</w:t>
            </w:r>
            <w:r>
              <w:rPr>
                <w:rFonts w:ascii="Calibri" w:eastAsia="Calibri" w:hAnsi="Calibri" w:cs="Calibri"/>
              </w:rPr>
              <w:t>ouncil of Government School Organisations Incorporated (NT C</w:t>
            </w:r>
            <w:r w:rsidRPr="00081917">
              <w:rPr>
                <w:rFonts w:ascii="Calibri" w:eastAsia="Calibri" w:hAnsi="Calibri" w:cs="Calibri"/>
              </w:rPr>
              <w:t>OGSO</w:t>
            </w:r>
            <w:r>
              <w:rPr>
                <w:rFonts w:ascii="Calibri" w:eastAsia="Calibri" w:hAnsi="Calibri" w:cs="Calibri"/>
              </w:rPr>
              <w:t>)</w:t>
            </w:r>
            <w:r w:rsidRPr="00081917">
              <w:rPr>
                <w:rFonts w:ascii="Calibri" w:eastAsia="Calibri" w:hAnsi="Calibri" w:cs="Calibri"/>
              </w:rPr>
              <w:t xml:space="preserve"> to develop governance training protocols and schedule of visits and workshops in remote and very remote </w:t>
            </w:r>
            <w:r w:rsidRPr="00510626">
              <w:rPr>
                <w:rFonts w:ascii="Calibri" w:eastAsia="Calibri" w:hAnsi="Calibri" w:cs="Calibri"/>
              </w:rPr>
              <w:t>communities.</w:t>
            </w:r>
          </w:p>
        </w:tc>
        <w:tc>
          <w:tcPr>
            <w:tcW w:w="628" w:type="pct"/>
            <w:tcBorders>
              <w:top w:val="nil"/>
              <w:left w:val="single" w:sz="4" w:space="0" w:color="auto"/>
              <w:bottom w:val="nil"/>
              <w:right w:val="single" w:sz="4" w:space="0" w:color="auto"/>
            </w:tcBorders>
          </w:tcPr>
          <w:p w14:paraId="08CE6F91" w14:textId="1045E9E2" w:rsidR="00BE5A84" w:rsidRPr="003A7206" w:rsidRDefault="00BE5A84" w:rsidP="009859AB">
            <w:pPr>
              <w:spacing w:before="120" w:after="120" w:line="260" w:lineRule="exact"/>
              <w:rPr>
                <w:rFonts w:ascii="Corbel" w:eastAsia="Times New Roman" w:hAnsi="Corbel" w:cs="Arial"/>
                <w:lang w:eastAsia="en-AU"/>
              </w:rPr>
            </w:pPr>
          </w:p>
        </w:tc>
        <w:tc>
          <w:tcPr>
            <w:tcW w:w="635" w:type="pct"/>
            <w:tcBorders>
              <w:top w:val="nil"/>
              <w:left w:val="single" w:sz="4" w:space="0" w:color="auto"/>
              <w:bottom w:val="nil"/>
              <w:right w:val="single" w:sz="4" w:space="0" w:color="auto"/>
            </w:tcBorders>
          </w:tcPr>
          <w:p w14:paraId="43D7794A" w14:textId="20629318" w:rsidR="00BE5A84" w:rsidRPr="003A7206" w:rsidRDefault="00BE5A84" w:rsidP="009859AB">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By Dec 2020</w:t>
            </w:r>
          </w:p>
        </w:tc>
        <w:tc>
          <w:tcPr>
            <w:tcW w:w="634" w:type="pct"/>
            <w:tcBorders>
              <w:top w:val="nil"/>
              <w:left w:val="single" w:sz="4" w:space="0" w:color="auto"/>
              <w:bottom w:val="nil"/>
              <w:right w:val="single" w:sz="4" w:space="0" w:color="auto"/>
            </w:tcBorders>
          </w:tcPr>
          <w:p w14:paraId="61CDCEAD" w14:textId="00B1C256" w:rsidR="00BE5A84" w:rsidRDefault="00BE5A84" w:rsidP="009859AB">
            <w:pPr>
              <w:spacing w:before="120" w:after="120" w:line="260" w:lineRule="exact"/>
              <w:rPr>
                <w:rFonts w:ascii="Corbel" w:eastAsia="Times New Roman" w:hAnsi="Corbel" w:cs="Arial"/>
                <w:b/>
                <w:sz w:val="23"/>
                <w:szCs w:val="23"/>
                <w:lang w:eastAsia="en-AU"/>
              </w:rPr>
            </w:pPr>
          </w:p>
        </w:tc>
      </w:tr>
      <w:tr w:rsidR="00BE5A84" w:rsidRPr="00DA087C" w14:paraId="487CA898" w14:textId="4130D4D2" w:rsidTr="009859AB">
        <w:trPr>
          <w:cantSplit/>
          <w:trHeight w:val="353"/>
        </w:trPr>
        <w:tc>
          <w:tcPr>
            <w:tcW w:w="3103" w:type="pct"/>
            <w:tcBorders>
              <w:top w:val="nil"/>
              <w:left w:val="single" w:sz="4" w:space="0" w:color="auto"/>
              <w:bottom w:val="single" w:sz="4" w:space="0" w:color="auto"/>
              <w:right w:val="single" w:sz="4" w:space="0" w:color="auto"/>
            </w:tcBorders>
          </w:tcPr>
          <w:p w14:paraId="15471CAD" w14:textId="0839A6AB" w:rsidR="00BE5A84" w:rsidRPr="00510626"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081917">
              <w:rPr>
                <w:rFonts w:ascii="Calibri" w:eastAsia="Calibri" w:hAnsi="Calibri" w:cs="Calibri"/>
              </w:rPr>
              <w:t>Ongoing engagement with local communities to enhance school engagement and local governance across 50</w:t>
            </w:r>
            <w:r>
              <w:rPr>
                <w:rFonts w:ascii="Calibri" w:eastAsia="Calibri" w:hAnsi="Calibri" w:cs="Calibri"/>
              </w:rPr>
              <w:t xml:space="preserve"> per cent</w:t>
            </w:r>
            <w:r w:rsidRPr="00081917">
              <w:rPr>
                <w:rFonts w:ascii="Calibri" w:eastAsia="Calibri" w:hAnsi="Calibri" w:cs="Calibri"/>
              </w:rPr>
              <w:t xml:space="preserve"> of remote and very remote government schools.</w:t>
            </w:r>
          </w:p>
        </w:tc>
        <w:tc>
          <w:tcPr>
            <w:tcW w:w="628" w:type="pct"/>
            <w:tcBorders>
              <w:top w:val="nil"/>
              <w:left w:val="single" w:sz="4" w:space="0" w:color="auto"/>
              <w:bottom w:val="single" w:sz="4" w:space="0" w:color="auto"/>
              <w:right w:val="single" w:sz="4" w:space="0" w:color="auto"/>
            </w:tcBorders>
          </w:tcPr>
          <w:p w14:paraId="6BB9E253" w14:textId="26BBB65B" w:rsidR="00BE5A84" w:rsidRPr="003A7206" w:rsidRDefault="00BE5A84" w:rsidP="009859AB">
            <w:pPr>
              <w:spacing w:before="120" w:after="120" w:line="260" w:lineRule="exact"/>
              <w:rPr>
                <w:rFonts w:ascii="Corbel" w:eastAsia="Times New Roman" w:hAnsi="Corbel" w:cs="Arial"/>
                <w:lang w:eastAsia="en-AU"/>
              </w:rPr>
            </w:pPr>
          </w:p>
        </w:tc>
        <w:tc>
          <w:tcPr>
            <w:tcW w:w="635" w:type="pct"/>
            <w:tcBorders>
              <w:top w:val="nil"/>
              <w:left w:val="single" w:sz="4" w:space="0" w:color="auto"/>
              <w:bottom w:val="single" w:sz="4" w:space="0" w:color="auto"/>
              <w:right w:val="single" w:sz="4" w:space="0" w:color="auto"/>
            </w:tcBorders>
          </w:tcPr>
          <w:p w14:paraId="32986A82" w14:textId="25CBF6B8" w:rsidR="00BE5A84" w:rsidRPr="003A7206" w:rsidRDefault="00BE5A84" w:rsidP="009859AB">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By Dec 2020</w:t>
            </w:r>
          </w:p>
        </w:tc>
        <w:tc>
          <w:tcPr>
            <w:tcW w:w="634" w:type="pct"/>
            <w:tcBorders>
              <w:top w:val="nil"/>
              <w:left w:val="single" w:sz="4" w:space="0" w:color="auto"/>
              <w:bottom w:val="single" w:sz="4" w:space="0" w:color="auto"/>
              <w:right w:val="single" w:sz="4" w:space="0" w:color="auto"/>
            </w:tcBorders>
          </w:tcPr>
          <w:p w14:paraId="23DE523C" w14:textId="1CC4B3C2" w:rsidR="00BE5A84" w:rsidRDefault="00BE5A84" w:rsidP="009859AB">
            <w:pPr>
              <w:spacing w:before="120" w:after="120" w:line="260" w:lineRule="exact"/>
              <w:rPr>
                <w:rFonts w:ascii="Corbel" w:eastAsia="Times New Roman" w:hAnsi="Corbel" w:cs="Arial"/>
                <w:b/>
                <w:sz w:val="23"/>
                <w:szCs w:val="23"/>
                <w:lang w:eastAsia="en-AU"/>
              </w:rPr>
            </w:pPr>
          </w:p>
        </w:tc>
      </w:tr>
      <w:tr w:rsidR="00BE5A84" w:rsidRPr="00DA087C" w14:paraId="7582B69B" w14:textId="38BA3616" w:rsidTr="009859AB">
        <w:trPr>
          <w:cantSplit/>
          <w:trHeight w:val="353"/>
        </w:trPr>
        <w:tc>
          <w:tcPr>
            <w:tcW w:w="3103"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0BEB21BC" w14:textId="73A8C1A7" w:rsidR="00BE5A84" w:rsidRDefault="00BE5A84" w:rsidP="009859AB">
            <w:pPr>
              <w:spacing w:before="120" w:after="120" w:line="260" w:lineRule="exact"/>
              <w:contextualSpacing/>
              <w:rPr>
                <w:rFonts w:ascii="Calibri" w:eastAsia="Calibri" w:hAnsi="Calibri" w:cs="Calibri"/>
                <w:b/>
              </w:rPr>
            </w:pPr>
            <w:r w:rsidRPr="003A7206">
              <w:rPr>
                <w:rFonts w:ascii="Calibri" w:eastAsia="Calibri" w:hAnsi="Calibri" w:cs="Calibri"/>
                <w:b/>
              </w:rPr>
              <w:t xml:space="preserve">Implement a system wide, data driven, coherent school and system improvement framework. The reforms will drive </w:t>
            </w:r>
            <w:proofErr w:type="spellStart"/>
            <w:r w:rsidRPr="003A7206">
              <w:rPr>
                <w:rFonts w:ascii="Calibri" w:eastAsia="Calibri" w:hAnsi="Calibri" w:cs="Calibri"/>
                <w:b/>
              </w:rPr>
              <w:t>evidence-based</w:t>
            </w:r>
            <w:proofErr w:type="spellEnd"/>
            <w:r w:rsidRPr="003A7206">
              <w:rPr>
                <w:rFonts w:ascii="Calibri" w:eastAsia="Calibri" w:hAnsi="Calibri" w:cs="Calibri"/>
                <w:b/>
              </w:rPr>
              <w:t xml:space="preserve"> strategies that will deliver differentiated support for Territory schools and ensure a focus on continuous school </w:t>
            </w:r>
            <w:proofErr w:type="gramStart"/>
            <w:r w:rsidRPr="003A7206">
              <w:rPr>
                <w:rFonts w:ascii="Calibri" w:eastAsia="Calibri" w:hAnsi="Calibri" w:cs="Calibri"/>
                <w:b/>
              </w:rPr>
              <w:t>improvement</w:t>
            </w:r>
            <w:proofErr w:type="gramEnd"/>
          </w:p>
          <w:p w14:paraId="52E56223" w14:textId="2C1A23B9" w:rsidR="00BE5A84" w:rsidRPr="003A7206" w:rsidRDefault="00BE5A84" w:rsidP="009859AB">
            <w:pPr>
              <w:spacing w:before="120" w:after="120" w:line="260" w:lineRule="exact"/>
              <w:contextualSpacing/>
              <w:rPr>
                <w:rFonts w:ascii="Calibri" w:eastAsia="Calibri" w:hAnsi="Calibri" w:cs="Times New Roman"/>
                <w:b/>
              </w:rPr>
            </w:pPr>
          </w:p>
        </w:tc>
        <w:tc>
          <w:tcPr>
            <w:tcW w:w="628"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0A9A646F" w14:textId="04AD660F" w:rsidR="00BE5A84" w:rsidRPr="003A7206" w:rsidRDefault="00BE5A84" w:rsidP="009859AB">
            <w:pPr>
              <w:spacing w:before="120" w:after="120" w:line="260" w:lineRule="exact"/>
              <w:rPr>
                <w:rFonts w:ascii="Corbel" w:eastAsia="Times New Roman" w:hAnsi="Corbel" w:cs="Arial"/>
                <w:lang w:eastAsia="en-AU"/>
              </w:rPr>
            </w:pPr>
            <w:r w:rsidRPr="003A7206">
              <w:rPr>
                <w:rFonts w:ascii="Corbel" w:eastAsia="Times New Roman" w:hAnsi="Corbel" w:cs="Arial"/>
                <w:lang w:eastAsia="en-AU"/>
              </w:rPr>
              <w:t>NTG</w:t>
            </w:r>
          </w:p>
        </w:tc>
        <w:tc>
          <w:tcPr>
            <w:tcW w:w="635"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07547A01" w14:textId="0B30F072" w:rsidR="00BE5A84" w:rsidRPr="00DA087C" w:rsidRDefault="00BE5A84" w:rsidP="009859AB">
            <w:pPr>
              <w:spacing w:before="120" w:after="120" w:line="260" w:lineRule="exact"/>
              <w:rPr>
                <w:rFonts w:ascii="Corbel" w:eastAsia="Times New Roman" w:hAnsi="Corbel" w:cs="Arial"/>
                <w:b/>
                <w:sz w:val="23"/>
                <w:szCs w:val="23"/>
                <w:lang w:eastAsia="en-AU"/>
              </w:rPr>
            </w:pPr>
          </w:p>
        </w:tc>
        <w:tc>
          <w:tcPr>
            <w:tcW w:w="634"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0959DE5D" w14:textId="1145AAE8" w:rsidR="00BE5A84" w:rsidRPr="00DA087C" w:rsidRDefault="00BE5A84" w:rsidP="009859AB">
            <w:pPr>
              <w:spacing w:before="120" w:after="120" w:line="260" w:lineRule="exact"/>
              <w:rPr>
                <w:rFonts w:ascii="Corbel" w:eastAsia="Times New Roman" w:hAnsi="Corbel" w:cs="Arial"/>
                <w:b/>
                <w:sz w:val="23"/>
                <w:szCs w:val="23"/>
                <w:lang w:eastAsia="en-AU"/>
              </w:rPr>
            </w:pPr>
            <w:r w:rsidRPr="00D7520B">
              <w:rPr>
                <w:rFonts w:ascii="Corbel" w:eastAsia="Times New Roman" w:hAnsi="Corbel" w:cs="Arial"/>
                <w:b/>
                <w:sz w:val="23"/>
                <w:szCs w:val="23"/>
                <w:lang w:eastAsia="en-AU"/>
              </w:rPr>
              <w:t xml:space="preserve">Reform Direction </w:t>
            </w:r>
            <w:r>
              <w:rPr>
                <w:rFonts w:ascii="Corbel" w:eastAsia="Times New Roman" w:hAnsi="Corbel" w:cs="Arial"/>
                <w:b/>
                <w:sz w:val="23"/>
                <w:szCs w:val="23"/>
                <w:lang w:eastAsia="en-AU"/>
              </w:rPr>
              <w:t>C</w:t>
            </w:r>
          </w:p>
        </w:tc>
      </w:tr>
      <w:tr w:rsidR="00BE5A84" w:rsidRPr="00DA087C" w14:paraId="4C9F34BC" w14:textId="10319643" w:rsidTr="009859AB">
        <w:trPr>
          <w:cantSplit/>
          <w:trHeight w:val="353"/>
        </w:trPr>
        <w:tc>
          <w:tcPr>
            <w:tcW w:w="3103" w:type="pct"/>
            <w:tcBorders>
              <w:top w:val="single" w:sz="4" w:space="0" w:color="auto"/>
              <w:left w:val="single" w:sz="4" w:space="0" w:color="auto"/>
              <w:bottom w:val="nil"/>
              <w:right w:val="single" w:sz="4" w:space="0" w:color="auto"/>
            </w:tcBorders>
          </w:tcPr>
          <w:p w14:paraId="6CBBF378" w14:textId="22F3DB8E" w:rsidR="00BE5A84" w:rsidRPr="00DA087C" w:rsidRDefault="00BE5A84" w:rsidP="00BE5A84">
            <w:pPr>
              <w:pStyle w:val="ListParagraph"/>
              <w:numPr>
                <w:ilvl w:val="0"/>
                <w:numId w:val="9"/>
              </w:numPr>
              <w:spacing w:before="120" w:after="120" w:line="260" w:lineRule="exact"/>
              <w:ind w:left="319" w:hanging="285"/>
              <w:rPr>
                <w:rFonts w:ascii="Calibri" w:eastAsia="Calibri" w:hAnsi="Calibri" w:cs="Calibri"/>
              </w:rPr>
            </w:pPr>
            <w:r>
              <w:rPr>
                <w:rFonts w:ascii="Calibri" w:eastAsia="Calibri" w:hAnsi="Calibri" w:cs="Calibri"/>
              </w:rPr>
              <w:t>Establish a School and System Improvement delivery unit to develop and implement a school and system improvement framework</w:t>
            </w:r>
          </w:p>
        </w:tc>
        <w:tc>
          <w:tcPr>
            <w:tcW w:w="628" w:type="pct"/>
            <w:tcBorders>
              <w:top w:val="single" w:sz="4" w:space="0" w:color="auto"/>
              <w:left w:val="single" w:sz="4" w:space="0" w:color="auto"/>
              <w:bottom w:val="nil"/>
              <w:right w:val="single" w:sz="4" w:space="0" w:color="auto"/>
            </w:tcBorders>
          </w:tcPr>
          <w:p w14:paraId="5043CB0F" w14:textId="003A9275" w:rsidR="00BE5A84" w:rsidRPr="003A7206" w:rsidRDefault="00BE5A84" w:rsidP="009859AB">
            <w:pPr>
              <w:spacing w:before="120" w:after="120" w:line="260" w:lineRule="exact"/>
              <w:rPr>
                <w:rFonts w:ascii="Corbel" w:eastAsia="Times New Roman" w:hAnsi="Corbel" w:cs="Arial"/>
                <w:lang w:eastAsia="en-AU"/>
              </w:rPr>
            </w:pPr>
          </w:p>
        </w:tc>
        <w:tc>
          <w:tcPr>
            <w:tcW w:w="635" w:type="pct"/>
            <w:tcBorders>
              <w:top w:val="single" w:sz="4" w:space="0" w:color="auto"/>
              <w:left w:val="single" w:sz="4" w:space="0" w:color="auto"/>
              <w:bottom w:val="nil"/>
              <w:right w:val="single" w:sz="4" w:space="0" w:color="auto"/>
            </w:tcBorders>
          </w:tcPr>
          <w:p w14:paraId="052C8349" w14:textId="4C771731" w:rsidR="00BE5A84" w:rsidRPr="003A7206" w:rsidRDefault="00BE5A84" w:rsidP="009859AB">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Oct 2018</w:t>
            </w:r>
          </w:p>
        </w:tc>
        <w:tc>
          <w:tcPr>
            <w:tcW w:w="634" w:type="pct"/>
            <w:tcBorders>
              <w:top w:val="single" w:sz="4" w:space="0" w:color="auto"/>
              <w:left w:val="single" w:sz="4" w:space="0" w:color="auto"/>
              <w:bottom w:val="nil"/>
              <w:right w:val="single" w:sz="4" w:space="0" w:color="auto"/>
            </w:tcBorders>
          </w:tcPr>
          <w:p w14:paraId="07459315" w14:textId="0FC19303" w:rsidR="00BE5A84" w:rsidRDefault="00BE5A84" w:rsidP="009859AB">
            <w:pPr>
              <w:spacing w:before="120" w:after="120" w:line="260" w:lineRule="exact"/>
              <w:rPr>
                <w:rFonts w:ascii="Corbel" w:eastAsia="Times New Roman" w:hAnsi="Corbel" w:cs="Arial"/>
                <w:b/>
                <w:sz w:val="23"/>
                <w:szCs w:val="23"/>
                <w:lang w:eastAsia="en-AU"/>
              </w:rPr>
            </w:pPr>
          </w:p>
        </w:tc>
      </w:tr>
      <w:tr w:rsidR="00BE5A84" w:rsidRPr="00DA087C" w14:paraId="3EB3B07E" w14:textId="3D28452A" w:rsidTr="009859AB">
        <w:trPr>
          <w:cantSplit/>
          <w:trHeight w:val="353"/>
        </w:trPr>
        <w:tc>
          <w:tcPr>
            <w:tcW w:w="3103" w:type="pct"/>
            <w:tcBorders>
              <w:top w:val="nil"/>
              <w:left w:val="single" w:sz="4" w:space="0" w:color="auto"/>
              <w:bottom w:val="nil"/>
              <w:right w:val="single" w:sz="4" w:space="0" w:color="auto"/>
            </w:tcBorders>
          </w:tcPr>
          <w:p w14:paraId="089CA847" w14:textId="56D59EF4" w:rsidR="00BE5A84" w:rsidRPr="00DA087C" w:rsidRDefault="00BE5A84" w:rsidP="00BE5A84">
            <w:pPr>
              <w:pStyle w:val="ListParagraph"/>
              <w:numPr>
                <w:ilvl w:val="0"/>
                <w:numId w:val="9"/>
              </w:numPr>
              <w:spacing w:before="120" w:after="120" w:line="260" w:lineRule="exact"/>
              <w:ind w:left="319" w:hanging="285"/>
              <w:rPr>
                <w:rFonts w:ascii="Calibri" w:eastAsia="Calibri" w:hAnsi="Calibri" w:cs="Calibri"/>
              </w:rPr>
            </w:pPr>
            <w:r>
              <w:rPr>
                <w:rFonts w:ascii="Calibri" w:eastAsia="Calibri" w:hAnsi="Calibri" w:cs="Calibri"/>
              </w:rPr>
              <w:t>Develop standardised metrics for schools and system performance and improvement</w:t>
            </w:r>
          </w:p>
        </w:tc>
        <w:tc>
          <w:tcPr>
            <w:tcW w:w="628" w:type="pct"/>
            <w:tcBorders>
              <w:top w:val="nil"/>
              <w:left w:val="single" w:sz="4" w:space="0" w:color="auto"/>
              <w:bottom w:val="nil"/>
              <w:right w:val="single" w:sz="4" w:space="0" w:color="auto"/>
            </w:tcBorders>
          </w:tcPr>
          <w:p w14:paraId="6537F28F" w14:textId="5C3FCFE1" w:rsidR="00BE5A84" w:rsidRPr="003A7206" w:rsidRDefault="00BE5A84" w:rsidP="009859AB">
            <w:pPr>
              <w:spacing w:before="120" w:after="120" w:line="260" w:lineRule="exact"/>
              <w:rPr>
                <w:rFonts w:ascii="Corbel" w:eastAsia="Times New Roman" w:hAnsi="Corbel" w:cs="Arial"/>
                <w:lang w:eastAsia="en-AU"/>
              </w:rPr>
            </w:pPr>
          </w:p>
        </w:tc>
        <w:tc>
          <w:tcPr>
            <w:tcW w:w="635" w:type="pct"/>
            <w:tcBorders>
              <w:top w:val="nil"/>
              <w:left w:val="single" w:sz="4" w:space="0" w:color="auto"/>
              <w:bottom w:val="nil"/>
              <w:right w:val="single" w:sz="4" w:space="0" w:color="auto"/>
            </w:tcBorders>
          </w:tcPr>
          <w:p w14:paraId="650B5A13" w14:textId="616BBD52" w:rsidR="00BE5A84" w:rsidRPr="003A7206" w:rsidRDefault="00BE5A84" w:rsidP="009859AB">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2019</w:t>
            </w:r>
          </w:p>
        </w:tc>
        <w:tc>
          <w:tcPr>
            <w:tcW w:w="634" w:type="pct"/>
            <w:tcBorders>
              <w:top w:val="nil"/>
              <w:left w:val="single" w:sz="4" w:space="0" w:color="auto"/>
              <w:bottom w:val="nil"/>
              <w:right w:val="single" w:sz="4" w:space="0" w:color="auto"/>
            </w:tcBorders>
          </w:tcPr>
          <w:p w14:paraId="6DFB9E20" w14:textId="7D4AE460" w:rsidR="00BE5A84" w:rsidRDefault="00BE5A84" w:rsidP="009859AB">
            <w:pPr>
              <w:spacing w:before="120" w:after="120" w:line="260" w:lineRule="exact"/>
              <w:rPr>
                <w:rFonts w:ascii="Corbel" w:eastAsia="Times New Roman" w:hAnsi="Corbel" w:cs="Arial"/>
                <w:b/>
                <w:sz w:val="23"/>
                <w:szCs w:val="23"/>
                <w:lang w:eastAsia="en-AU"/>
              </w:rPr>
            </w:pPr>
          </w:p>
        </w:tc>
      </w:tr>
      <w:tr w:rsidR="00BE5A84" w:rsidRPr="00DA087C" w14:paraId="46AFDBE7" w14:textId="5E44982D" w:rsidTr="009859AB">
        <w:trPr>
          <w:cantSplit/>
          <w:trHeight w:val="353"/>
        </w:trPr>
        <w:tc>
          <w:tcPr>
            <w:tcW w:w="3103" w:type="pct"/>
            <w:tcBorders>
              <w:top w:val="nil"/>
              <w:left w:val="single" w:sz="4" w:space="0" w:color="auto"/>
              <w:bottom w:val="nil"/>
              <w:right w:val="single" w:sz="4" w:space="0" w:color="auto"/>
            </w:tcBorders>
          </w:tcPr>
          <w:p w14:paraId="5996B5EE" w14:textId="02B632E5" w:rsidR="00BE5A84" w:rsidRPr="00DA087C" w:rsidRDefault="00BE5A84" w:rsidP="00BE5A84">
            <w:pPr>
              <w:pStyle w:val="ListParagraph"/>
              <w:numPr>
                <w:ilvl w:val="0"/>
                <w:numId w:val="9"/>
              </w:numPr>
              <w:spacing w:before="120" w:after="120" w:line="260" w:lineRule="exact"/>
              <w:ind w:left="319" w:hanging="285"/>
              <w:rPr>
                <w:rFonts w:ascii="Calibri" w:eastAsia="Calibri" w:hAnsi="Calibri" w:cs="Calibri"/>
              </w:rPr>
            </w:pPr>
            <w:r>
              <w:rPr>
                <w:rFonts w:ascii="Calibri" w:eastAsia="Calibri" w:hAnsi="Calibri" w:cs="Calibri"/>
              </w:rPr>
              <w:t xml:space="preserve">Develop resources identifying </w:t>
            </w:r>
            <w:proofErr w:type="spellStart"/>
            <w:r>
              <w:rPr>
                <w:rFonts w:ascii="Calibri" w:eastAsia="Calibri" w:hAnsi="Calibri" w:cs="Calibri"/>
              </w:rPr>
              <w:t>evidence-based</w:t>
            </w:r>
            <w:proofErr w:type="spellEnd"/>
            <w:r>
              <w:rPr>
                <w:rFonts w:ascii="Calibri" w:eastAsia="Calibri" w:hAnsi="Calibri" w:cs="Calibri"/>
              </w:rPr>
              <w:t xml:space="preserve"> school improvement strategies </w:t>
            </w:r>
          </w:p>
        </w:tc>
        <w:tc>
          <w:tcPr>
            <w:tcW w:w="628" w:type="pct"/>
            <w:tcBorders>
              <w:top w:val="nil"/>
              <w:left w:val="single" w:sz="4" w:space="0" w:color="auto"/>
              <w:bottom w:val="nil"/>
              <w:right w:val="single" w:sz="4" w:space="0" w:color="auto"/>
            </w:tcBorders>
          </w:tcPr>
          <w:p w14:paraId="70DF9E56" w14:textId="22CB3F01" w:rsidR="00BE5A84" w:rsidRPr="003A7206" w:rsidRDefault="00BE5A84" w:rsidP="009859AB">
            <w:pPr>
              <w:spacing w:before="120" w:after="120" w:line="260" w:lineRule="exact"/>
              <w:rPr>
                <w:rFonts w:ascii="Corbel" w:eastAsia="Times New Roman" w:hAnsi="Corbel" w:cs="Arial"/>
                <w:lang w:eastAsia="en-AU"/>
              </w:rPr>
            </w:pPr>
          </w:p>
        </w:tc>
        <w:tc>
          <w:tcPr>
            <w:tcW w:w="635" w:type="pct"/>
            <w:tcBorders>
              <w:top w:val="nil"/>
              <w:left w:val="single" w:sz="4" w:space="0" w:color="auto"/>
              <w:bottom w:val="nil"/>
              <w:right w:val="single" w:sz="4" w:space="0" w:color="auto"/>
            </w:tcBorders>
          </w:tcPr>
          <w:p w14:paraId="3F4F273D" w14:textId="395BB34E" w:rsidR="00BE5A84" w:rsidRPr="003A7206" w:rsidRDefault="00BE5A84" w:rsidP="009859AB">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By Dec 2020</w:t>
            </w:r>
          </w:p>
        </w:tc>
        <w:tc>
          <w:tcPr>
            <w:tcW w:w="634" w:type="pct"/>
            <w:tcBorders>
              <w:top w:val="nil"/>
              <w:left w:val="single" w:sz="4" w:space="0" w:color="auto"/>
              <w:bottom w:val="nil"/>
              <w:right w:val="single" w:sz="4" w:space="0" w:color="auto"/>
            </w:tcBorders>
          </w:tcPr>
          <w:p w14:paraId="44E871BC" w14:textId="0DFA8172" w:rsidR="00BE5A84" w:rsidRDefault="00BE5A84" w:rsidP="009859AB">
            <w:pPr>
              <w:spacing w:before="120" w:after="120" w:line="260" w:lineRule="exact"/>
              <w:rPr>
                <w:rFonts w:ascii="Corbel" w:eastAsia="Times New Roman" w:hAnsi="Corbel" w:cs="Arial"/>
                <w:b/>
                <w:sz w:val="23"/>
                <w:szCs w:val="23"/>
                <w:lang w:eastAsia="en-AU"/>
              </w:rPr>
            </w:pPr>
          </w:p>
        </w:tc>
      </w:tr>
      <w:tr w:rsidR="00BE5A84" w:rsidRPr="00DA087C" w14:paraId="549C1309" w14:textId="15DAD876" w:rsidTr="009859AB">
        <w:trPr>
          <w:cantSplit/>
          <w:trHeight w:val="353"/>
        </w:trPr>
        <w:tc>
          <w:tcPr>
            <w:tcW w:w="3103" w:type="pct"/>
            <w:tcBorders>
              <w:top w:val="nil"/>
              <w:left w:val="single" w:sz="4" w:space="0" w:color="auto"/>
              <w:bottom w:val="single" w:sz="4" w:space="0" w:color="auto"/>
              <w:right w:val="single" w:sz="4" w:space="0" w:color="auto"/>
            </w:tcBorders>
          </w:tcPr>
          <w:p w14:paraId="4426F646" w14:textId="6CFA6EE5" w:rsidR="00BE5A84" w:rsidRDefault="00BE5A84" w:rsidP="00BE5A84">
            <w:pPr>
              <w:pStyle w:val="ListParagraph"/>
              <w:numPr>
                <w:ilvl w:val="0"/>
                <w:numId w:val="9"/>
              </w:numPr>
              <w:spacing w:before="120" w:after="120" w:line="260" w:lineRule="exact"/>
              <w:ind w:left="319" w:hanging="285"/>
              <w:rPr>
                <w:rFonts w:ascii="Calibri" w:eastAsia="Calibri" w:hAnsi="Calibri" w:cs="Calibri"/>
              </w:rPr>
            </w:pPr>
            <w:r>
              <w:rPr>
                <w:rFonts w:ascii="Calibri" w:eastAsia="Calibri" w:hAnsi="Calibri" w:cs="Calibri"/>
              </w:rPr>
              <w:t>Evaluate the school improvement framework</w:t>
            </w:r>
          </w:p>
        </w:tc>
        <w:tc>
          <w:tcPr>
            <w:tcW w:w="628" w:type="pct"/>
            <w:tcBorders>
              <w:top w:val="nil"/>
              <w:left w:val="single" w:sz="4" w:space="0" w:color="auto"/>
              <w:bottom w:val="single" w:sz="4" w:space="0" w:color="auto"/>
              <w:right w:val="single" w:sz="4" w:space="0" w:color="auto"/>
            </w:tcBorders>
          </w:tcPr>
          <w:p w14:paraId="144A5D23" w14:textId="5E7D43F2" w:rsidR="00BE5A84" w:rsidRPr="003A7206" w:rsidRDefault="00BE5A84" w:rsidP="009859AB">
            <w:pPr>
              <w:spacing w:before="120" w:after="120" w:line="260" w:lineRule="exact"/>
              <w:rPr>
                <w:rFonts w:ascii="Corbel" w:eastAsia="Times New Roman" w:hAnsi="Corbel" w:cs="Arial"/>
                <w:lang w:eastAsia="en-AU"/>
              </w:rPr>
            </w:pPr>
          </w:p>
        </w:tc>
        <w:tc>
          <w:tcPr>
            <w:tcW w:w="635" w:type="pct"/>
            <w:tcBorders>
              <w:top w:val="nil"/>
              <w:left w:val="single" w:sz="4" w:space="0" w:color="auto"/>
              <w:bottom w:val="single" w:sz="4" w:space="0" w:color="auto"/>
              <w:right w:val="single" w:sz="4" w:space="0" w:color="auto"/>
            </w:tcBorders>
          </w:tcPr>
          <w:p w14:paraId="65B281B9" w14:textId="709E0512" w:rsidR="00BE5A84" w:rsidRPr="003A7206" w:rsidRDefault="00BE5A84" w:rsidP="009859AB">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2021</w:t>
            </w:r>
          </w:p>
        </w:tc>
        <w:tc>
          <w:tcPr>
            <w:tcW w:w="634" w:type="pct"/>
            <w:tcBorders>
              <w:top w:val="nil"/>
              <w:left w:val="single" w:sz="4" w:space="0" w:color="auto"/>
              <w:bottom w:val="single" w:sz="4" w:space="0" w:color="auto"/>
              <w:right w:val="single" w:sz="4" w:space="0" w:color="auto"/>
            </w:tcBorders>
          </w:tcPr>
          <w:p w14:paraId="738610EB" w14:textId="79358922" w:rsidR="00BE5A84" w:rsidRDefault="00BE5A84" w:rsidP="009859AB">
            <w:pPr>
              <w:spacing w:before="120" w:after="120" w:line="260" w:lineRule="exact"/>
              <w:rPr>
                <w:rFonts w:ascii="Corbel" w:eastAsia="Times New Roman" w:hAnsi="Corbel" w:cs="Arial"/>
                <w:b/>
                <w:sz w:val="23"/>
                <w:szCs w:val="23"/>
                <w:lang w:eastAsia="en-AU"/>
              </w:rPr>
            </w:pPr>
          </w:p>
        </w:tc>
      </w:tr>
      <w:tr w:rsidR="00BE5A84" w:rsidRPr="00DA087C" w14:paraId="6AF10DD7" w14:textId="16DAC313" w:rsidTr="009859AB">
        <w:trPr>
          <w:cantSplit/>
          <w:trHeight w:val="353"/>
        </w:trPr>
        <w:tc>
          <w:tcPr>
            <w:tcW w:w="3103"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31A5DE85" w14:textId="4A848607" w:rsidR="00BE5A84" w:rsidRPr="003A7206" w:rsidRDefault="00BE5A84" w:rsidP="009859AB">
            <w:pPr>
              <w:spacing w:before="120" w:after="120" w:line="260" w:lineRule="exact"/>
              <w:contextualSpacing/>
              <w:rPr>
                <w:rFonts w:ascii="Calibri" w:eastAsia="Calibri" w:hAnsi="Calibri" w:cs="Calibri"/>
                <w:b/>
                <w:color w:val="000000" w:themeColor="text1"/>
              </w:rPr>
            </w:pPr>
            <w:r w:rsidRPr="003A7206">
              <w:rPr>
                <w:rFonts w:ascii="Calibri" w:eastAsia="Calibri" w:hAnsi="Calibri" w:cs="Calibri"/>
                <w:b/>
                <w:color w:val="000000" w:themeColor="text1"/>
              </w:rPr>
              <w:t xml:space="preserve">Assist </w:t>
            </w:r>
            <w:r>
              <w:rPr>
                <w:rFonts w:ascii="Calibri" w:eastAsia="Calibri" w:hAnsi="Calibri" w:cs="Calibri"/>
                <w:b/>
                <w:color w:val="000000" w:themeColor="text1"/>
              </w:rPr>
              <w:t>s</w:t>
            </w:r>
            <w:r w:rsidRPr="003A7206">
              <w:rPr>
                <w:rFonts w:ascii="Calibri" w:eastAsia="Calibri" w:hAnsi="Calibri" w:cs="Calibri"/>
                <w:b/>
                <w:color w:val="000000" w:themeColor="text1"/>
              </w:rPr>
              <w:t xml:space="preserve">chools to improve </w:t>
            </w:r>
            <w:r>
              <w:rPr>
                <w:rFonts w:ascii="Calibri" w:eastAsia="Calibri" w:hAnsi="Calibri" w:cs="Calibri"/>
                <w:b/>
                <w:color w:val="000000" w:themeColor="text1"/>
              </w:rPr>
              <w:t>g</w:t>
            </w:r>
            <w:r w:rsidRPr="003A7206">
              <w:rPr>
                <w:rFonts w:ascii="Calibri" w:eastAsia="Calibri" w:hAnsi="Calibri" w:cs="Calibri"/>
                <w:b/>
                <w:color w:val="000000" w:themeColor="text1"/>
              </w:rPr>
              <w:t xml:space="preserve">overnance and </w:t>
            </w:r>
            <w:r>
              <w:rPr>
                <w:rFonts w:ascii="Calibri" w:eastAsia="Calibri" w:hAnsi="Calibri" w:cs="Calibri"/>
                <w:b/>
                <w:color w:val="000000" w:themeColor="text1"/>
              </w:rPr>
              <w:t>f</w:t>
            </w:r>
            <w:r w:rsidRPr="003A7206">
              <w:rPr>
                <w:rFonts w:ascii="Calibri" w:eastAsia="Calibri" w:hAnsi="Calibri" w:cs="Calibri"/>
                <w:b/>
                <w:color w:val="000000" w:themeColor="text1"/>
              </w:rPr>
              <w:t xml:space="preserve">inancial </w:t>
            </w:r>
            <w:r>
              <w:rPr>
                <w:rFonts w:ascii="Calibri" w:eastAsia="Calibri" w:hAnsi="Calibri" w:cs="Calibri"/>
                <w:b/>
                <w:color w:val="000000" w:themeColor="text1"/>
              </w:rPr>
              <w:t>m</w:t>
            </w:r>
            <w:r w:rsidRPr="003A7206">
              <w:rPr>
                <w:rFonts w:ascii="Calibri" w:eastAsia="Calibri" w:hAnsi="Calibri" w:cs="Calibri"/>
                <w:b/>
                <w:color w:val="000000" w:themeColor="text1"/>
              </w:rPr>
              <w:t xml:space="preserve">anagement practices </w:t>
            </w:r>
          </w:p>
        </w:tc>
        <w:tc>
          <w:tcPr>
            <w:tcW w:w="628"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703C2491" w14:textId="51FF6881" w:rsidR="00BE5A84" w:rsidRPr="003A7206" w:rsidRDefault="00BE5A84" w:rsidP="009859AB">
            <w:pPr>
              <w:spacing w:before="120" w:after="120" w:line="260" w:lineRule="exact"/>
              <w:rPr>
                <w:rFonts w:ascii="Corbel" w:eastAsia="Times New Roman" w:hAnsi="Corbel" w:cs="Arial"/>
                <w:color w:val="000000" w:themeColor="text1"/>
                <w:lang w:eastAsia="en-AU"/>
              </w:rPr>
            </w:pPr>
            <w:r w:rsidRPr="003A7206">
              <w:rPr>
                <w:rFonts w:ascii="Corbel" w:eastAsia="Times New Roman" w:hAnsi="Corbel" w:cs="Arial"/>
                <w:color w:val="000000" w:themeColor="text1"/>
                <w:lang w:eastAsia="en-AU"/>
              </w:rPr>
              <w:t>Independent Schools</w:t>
            </w:r>
          </w:p>
        </w:tc>
        <w:tc>
          <w:tcPr>
            <w:tcW w:w="635"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637805D2" w14:textId="4E59108D" w:rsidR="00BE5A84" w:rsidRPr="00DA087C" w:rsidRDefault="00BE5A84" w:rsidP="009859AB">
            <w:pPr>
              <w:spacing w:before="120" w:after="120" w:line="260" w:lineRule="exact"/>
              <w:rPr>
                <w:rFonts w:ascii="Corbel" w:eastAsia="Times New Roman" w:hAnsi="Corbel" w:cs="Arial"/>
                <w:b/>
                <w:sz w:val="23"/>
                <w:szCs w:val="23"/>
                <w:lang w:eastAsia="en-AU"/>
              </w:rPr>
            </w:pPr>
          </w:p>
        </w:tc>
        <w:tc>
          <w:tcPr>
            <w:tcW w:w="634"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65C89EEE" w14:textId="3901D87B" w:rsidR="00BE5A84" w:rsidRPr="00DA087C" w:rsidRDefault="00BE5A84" w:rsidP="009859AB">
            <w:pPr>
              <w:spacing w:before="120" w:after="120" w:line="260" w:lineRule="exact"/>
              <w:rPr>
                <w:rFonts w:ascii="Corbel" w:eastAsia="Times New Roman" w:hAnsi="Corbel" w:cs="Arial"/>
                <w:b/>
                <w:sz w:val="23"/>
                <w:szCs w:val="23"/>
                <w:lang w:eastAsia="en-AU"/>
              </w:rPr>
            </w:pPr>
            <w:r w:rsidRPr="00D7520B">
              <w:rPr>
                <w:rFonts w:ascii="Corbel" w:eastAsia="Times New Roman" w:hAnsi="Corbel" w:cs="Arial"/>
                <w:b/>
                <w:sz w:val="23"/>
                <w:szCs w:val="23"/>
                <w:lang w:eastAsia="en-AU"/>
              </w:rPr>
              <w:t>Reform Direction B</w:t>
            </w:r>
          </w:p>
        </w:tc>
      </w:tr>
      <w:tr w:rsidR="00BE5A84" w:rsidRPr="00DA087C" w14:paraId="566DDCE2" w14:textId="44FB6DD3" w:rsidTr="009859AB">
        <w:trPr>
          <w:cantSplit/>
          <w:trHeight w:val="353"/>
        </w:trPr>
        <w:tc>
          <w:tcPr>
            <w:tcW w:w="3103" w:type="pct"/>
            <w:tcBorders>
              <w:top w:val="single" w:sz="4" w:space="0" w:color="auto"/>
              <w:left w:val="single" w:sz="4" w:space="0" w:color="auto"/>
              <w:bottom w:val="nil"/>
              <w:right w:val="single" w:sz="4" w:space="0" w:color="auto"/>
            </w:tcBorders>
          </w:tcPr>
          <w:p w14:paraId="66FB56A9" w14:textId="1570551D" w:rsidR="00BE5A84" w:rsidRPr="003A7206" w:rsidRDefault="00BE5A84" w:rsidP="00BE5A84">
            <w:pPr>
              <w:pStyle w:val="ListParagraph"/>
              <w:numPr>
                <w:ilvl w:val="0"/>
                <w:numId w:val="9"/>
              </w:numPr>
              <w:spacing w:before="120" w:after="120" w:line="260" w:lineRule="exact"/>
              <w:ind w:left="319" w:hanging="285"/>
              <w:rPr>
                <w:rFonts w:ascii="Calibri" w:eastAsia="Calibri" w:hAnsi="Calibri" w:cs="Calibri"/>
              </w:rPr>
            </w:pPr>
            <w:r w:rsidRPr="003A7206">
              <w:rPr>
                <w:rFonts w:ascii="Calibri" w:eastAsia="Calibri" w:hAnsi="Calibri" w:cs="Calibri"/>
              </w:rPr>
              <w:t>Provide leadership and school board professional development with an emphasis on roles and responsibilities and how to work effectively together</w:t>
            </w:r>
          </w:p>
        </w:tc>
        <w:tc>
          <w:tcPr>
            <w:tcW w:w="628" w:type="pct"/>
            <w:tcBorders>
              <w:top w:val="single" w:sz="4" w:space="0" w:color="auto"/>
              <w:left w:val="single" w:sz="4" w:space="0" w:color="auto"/>
              <w:bottom w:val="nil"/>
              <w:right w:val="single" w:sz="4" w:space="0" w:color="auto"/>
            </w:tcBorders>
          </w:tcPr>
          <w:p w14:paraId="463F29E8" w14:textId="117E00A5" w:rsidR="00BE5A84" w:rsidRPr="003A7206" w:rsidRDefault="00BE5A84" w:rsidP="009859AB">
            <w:pPr>
              <w:spacing w:before="120" w:after="120" w:line="260" w:lineRule="exact"/>
              <w:rPr>
                <w:rFonts w:ascii="Corbel" w:eastAsia="Times New Roman" w:hAnsi="Corbel" w:cs="Arial"/>
                <w:color w:val="000000" w:themeColor="text1"/>
                <w:lang w:eastAsia="en-AU"/>
              </w:rPr>
            </w:pPr>
          </w:p>
        </w:tc>
        <w:tc>
          <w:tcPr>
            <w:tcW w:w="635" w:type="pct"/>
            <w:tcBorders>
              <w:top w:val="single" w:sz="4" w:space="0" w:color="auto"/>
              <w:left w:val="single" w:sz="4" w:space="0" w:color="auto"/>
              <w:bottom w:val="nil"/>
              <w:right w:val="single" w:sz="4" w:space="0" w:color="auto"/>
            </w:tcBorders>
          </w:tcPr>
          <w:p w14:paraId="0403A540" w14:textId="49FC3A95" w:rsidR="00BE5A84" w:rsidRPr="003A7206" w:rsidRDefault="00BE5A84" w:rsidP="009859AB">
            <w:pPr>
              <w:spacing w:before="120" w:after="120" w:line="260" w:lineRule="exact"/>
              <w:rPr>
                <w:rFonts w:ascii="Corbel" w:eastAsia="Times New Roman" w:hAnsi="Corbel" w:cs="Arial"/>
                <w:sz w:val="23"/>
                <w:szCs w:val="23"/>
                <w:lang w:eastAsia="en-AU"/>
              </w:rPr>
            </w:pPr>
            <w:r w:rsidRPr="000C05DE">
              <w:rPr>
                <w:rFonts w:ascii="Corbel" w:eastAsia="Times New Roman" w:hAnsi="Corbel" w:cs="Arial"/>
                <w:color w:val="000000" w:themeColor="text1"/>
                <w:lang w:eastAsia="en-AU"/>
              </w:rPr>
              <w:t>2018-2023</w:t>
            </w:r>
          </w:p>
        </w:tc>
        <w:tc>
          <w:tcPr>
            <w:tcW w:w="634" w:type="pct"/>
            <w:tcBorders>
              <w:top w:val="single" w:sz="4" w:space="0" w:color="auto"/>
              <w:left w:val="single" w:sz="4" w:space="0" w:color="auto"/>
              <w:bottom w:val="nil"/>
              <w:right w:val="single" w:sz="4" w:space="0" w:color="auto"/>
            </w:tcBorders>
          </w:tcPr>
          <w:p w14:paraId="3B7B4B86" w14:textId="6C6049C8" w:rsidR="00BE5A84" w:rsidRPr="00DA087C" w:rsidRDefault="00BE5A84" w:rsidP="009859AB">
            <w:pPr>
              <w:spacing w:before="120" w:after="120" w:line="260" w:lineRule="exact"/>
              <w:rPr>
                <w:rFonts w:ascii="Corbel" w:eastAsia="Times New Roman" w:hAnsi="Corbel" w:cs="Arial"/>
                <w:b/>
                <w:sz w:val="23"/>
                <w:szCs w:val="23"/>
                <w:lang w:eastAsia="en-AU"/>
              </w:rPr>
            </w:pPr>
          </w:p>
        </w:tc>
      </w:tr>
      <w:tr w:rsidR="00BE5A84" w:rsidRPr="00DA087C" w14:paraId="4B4A5BA7" w14:textId="04629711" w:rsidTr="009859AB">
        <w:trPr>
          <w:cantSplit/>
          <w:trHeight w:val="353"/>
        </w:trPr>
        <w:tc>
          <w:tcPr>
            <w:tcW w:w="3103" w:type="pct"/>
            <w:tcBorders>
              <w:top w:val="nil"/>
              <w:left w:val="single" w:sz="4" w:space="0" w:color="auto"/>
              <w:bottom w:val="single" w:sz="4" w:space="0" w:color="auto"/>
              <w:right w:val="single" w:sz="4" w:space="0" w:color="auto"/>
            </w:tcBorders>
          </w:tcPr>
          <w:p w14:paraId="53A95FD3" w14:textId="2F8025E1" w:rsidR="00BE5A84" w:rsidRPr="003A7206" w:rsidRDefault="00BE5A84" w:rsidP="00BE5A84">
            <w:pPr>
              <w:pStyle w:val="ListParagraph"/>
              <w:numPr>
                <w:ilvl w:val="0"/>
                <w:numId w:val="9"/>
              </w:numPr>
              <w:spacing w:before="120" w:after="120" w:line="260" w:lineRule="exact"/>
              <w:ind w:left="319" w:hanging="285"/>
              <w:rPr>
                <w:rFonts w:ascii="Calibri" w:eastAsia="Calibri" w:hAnsi="Calibri" w:cs="Calibri"/>
              </w:rPr>
            </w:pPr>
            <w:r w:rsidRPr="003A7206">
              <w:rPr>
                <w:rFonts w:ascii="Calibri" w:eastAsia="Calibri" w:hAnsi="Calibri" w:cs="Calibri"/>
              </w:rPr>
              <w:t xml:space="preserve">Provide assistance and training for </w:t>
            </w:r>
            <w:proofErr w:type="gramStart"/>
            <w:r w:rsidRPr="003A7206">
              <w:rPr>
                <w:rFonts w:ascii="Calibri" w:eastAsia="Calibri" w:hAnsi="Calibri" w:cs="Calibri"/>
              </w:rPr>
              <w:t>Independent</w:t>
            </w:r>
            <w:proofErr w:type="gramEnd"/>
            <w:r w:rsidRPr="003A7206">
              <w:rPr>
                <w:rFonts w:ascii="Calibri" w:eastAsia="Calibri" w:hAnsi="Calibri" w:cs="Calibri"/>
              </w:rPr>
              <w:t xml:space="preserve"> schools to improve financial management</w:t>
            </w:r>
          </w:p>
        </w:tc>
        <w:tc>
          <w:tcPr>
            <w:tcW w:w="628" w:type="pct"/>
            <w:tcBorders>
              <w:top w:val="nil"/>
              <w:left w:val="single" w:sz="4" w:space="0" w:color="auto"/>
              <w:bottom w:val="single" w:sz="4" w:space="0" w:color="auto"/>
              <w:right w:val="single" w:sz="4" w:space="0" w:color="auto"/>
            </w:tcBorders>
          </w:tcPr>
          <w:p w14:paraId="3A0FF5F2" w14:textId="6239EF65" w:rsidR="00BE5A84" w:rsidRPr="003A7206" w:rsidRDefault="00BE5A84" w:rsidP="009859AB">
            <w:pPr>
              <w:spacing w:before="120" w:after="120" w:line="260" w:lineRule="exact"/>
              <w:rPr>
                <w:rFonts w:ascii="Corbel" w:eastAsia="Times New Roman" w:hAnsi="Corbel" w:cs="Arial"/>
                <w:color w:val="000000" w:themeColor="text1"/>
                <w:lang w:eastAsia="en-AU"/>
              </w:rPr>
            </w:pPr>
          </w:p>
        </w:tc>
        <w:tc>
          <w:tcPr>
            <w:tcW w:w="635" w:type="pct"/>
            <w:tcBorders>
              <w:top w:val="nil"/>
              <w:left w:val="single" w:sz="4" w:space="0" w:color="auto"/>
              <w:bottom w:val="single" w:sz="4" w:space="0" w:color="auto"/>
              <w:right w:val="single" w:sz="4" w:space="0" w:color="auto"/>
            </w:tcBorders>
          </w:tcPr>
          <w:p w14:paraId="1E0D994A" w14:textId="5349F311" w:rsidR="00BE5A84" w:rsidRPr="00BE77BC" w:rsidRDefault="00BE5A84" w:rsidP="009859AB">
            <w:pPr>
              <w:spacing w:before="120" w:after="120" w:line="260" w:lineRule="exact"/>
              <w:rPr>
                <w:rFonts w:ascii="Corbel" w:eastAsia="Times New Roman" w:hAnsi="Corbel" w:cs="Arial"/>
                <w:b/>
                <w:sz w:val="23"/>
                <w:szCs w:val="23"/>
                <w:lang w:eastAsia="en-AU"/>
              </w:rPr>
            </w:pPr>
            <w:r w:rsidRPr="000C05DE">
              <w:rPr>
                <w:rFonts w:ascii="Corbel" w:eastAsia="Times New Roman" w:hAnsi="Corbel" w:cs="Arial"/>
                <w:color w:val="000000" w:themeColor="text1"/>
                <w:lang w:eastAsia="en-AU"/>
              </w:rPr>
              <w:t>2018-2023</w:t>
            </w:r>
          </w:p>
        </w:tc>
        <w:tc>
          <w:tcPr>
            <w:tcW w:w="634" w:type="pct"/>
            <w:tcBorders>
              <w:top w:val="nil"/>
              <w:left w:val="single" w:sz="4" w:space="0" w:color="auto"/>
              <w:bottom w:val="single" w:sz="4" w:space="0" w:color="auto"/>
              <w:right w:val="single" w:sz="4" w:space="0" w:color="auto"/>
            </w:tcBorders>
          </w:tcPr>
          <w:p w14:paraId="5630AD66" w14:textId="56FEB495" w:rsidR="00BE5A84" w:rsidRPr="00DA087C" w:rsidRDefault="00BE5A84" w:rsidP="009859AB">
            <w:pPr>
              <w:spacing w:before="120" w:after="120" w:line="260" w:lineRule="exact"/>
              <w:rPr>
                <w:rFonts w:ascii="Corbel" w:eastAsia="Times New Roman" w:hAnsi="Corbel" w:cs="Arial"/>
                <w:b/>
                <w:sz w:val="23"/>
                <w:szCs w:val="23"/>
                <w:lang w:eastAsia="en-AU"/>
              </w:rPr>
            </w:pPr>
          </w:p>
        </w:tc>
      </w:tr>
      <w:tr w:rsidR="00BE5A84" w:rsidRPr="00DA087C" w14:paraId="2FC4C0BA" w14:textId="1B16DBA6" w:rsidTr="009859AB">
        <w:trPr>
          <w:cantSplit/>
          <w:trHeight w:val="353"/>
        </w:trPr>
        <w:tc>
          <w:tcPr>
            <w:tcW w:w="3103" w:type="pct"/>
            <w:tcBorders>
              <w:top w:val="nil"/>
              <w:left w:val="single" w:sz="4" w:space="0" w:color="auto"/>
              <w:bottom w:val="single" w:sz="4" w:space="0" w:color="auto"/>
              <w:right w:val="single" w:sz="4" w:space="0" w:color="auto"/>
            </w:tcBorders>
            <w:shd w:val="clear" w:color="auto" w:fill="F2F2F2" w:themeFill="background1" w:themeFillShade="F2"/>
          </w:tcPr>
          <w:p w14:paraId="310A44D2" w14:textId="17B96129" w:rsidR="00BE5A84" w:rsidRPr="003A7206" w:rsidRDefault="00BE5A84" w:rsidP="009859AB">
            <w:pPr>
              <w:spacing w:before="120" w:after="120" w:line="260" w:lineRule="exact"/>
              <w:contextualSpacing/>
              <w:rPr>
                <w:rFonts w:ascii="Calibri" w:eastAsia="Calibri" w:hAnsi="Calibri" w:cs="Calibri"/>
                <w:b/>
                <w:color w:val="000000" w:themeColor="text1"/>
              </w:rPr>
            </w:pPr>
            <w:r w:rsidRPr="003A7206">
              <w:rPr>
                <w:rFonts w:ascii="Calibri" w:eastAsia="Calibri" w:hAnsi="Calibri" w:cs="Calibri"/>
                <w:b/>
                <w:color w:val="000000" w:themeColor="text1"/>
              </w:rPr>
              <w:t>Assist schools to improve governance practices</w:t>
            </w:r>
          </w:p>
        </w:tc>
        <w:tc>
          <w:tcPr>
            <w:tcW w:w="628" w:type="pct"/>
            <w:tcBorders>
              <w:top w:val="nil"/>
              <w:left w:val="single" w:sz="4" w:space="0" w:color="auto"/>
              <w:bottom w:val="single" w:sz="4" w:space="0" w:color="auto"/>
              <w:right w:val="single" w:sz="4" w:space="0" w:color="auto"/>
            </w:tcBorders>
            <w:shd w:val="clear" w:color="auto" w:fill="F2F2F2" w:themeFill="background1" w:themeFillShade="F2"/>
          </w:tcPr>
          <w:p w14:paraId="0AE7014F" w14:textId="1B417743" w:rsidR="00BE5A84" w:rsidRPr="003A7206" w:rsidRDefault="00BE5A84" w:rsidP="009859AB">
            <w:pPr>
              <w:spacing w:before="120" w:after="120" w:line="260" w:lineRule="exact"/>
              <w:rPr>
                <w:rFonts w:ascii="Corbel" w:eastAsia="Times New Roman" w:hAnsi="Corbel" w:cs="Arial"/>
                <w:color w:val="000000" w:themeColor="text1"/>
                <w:lang w:eastAsia="en-AU"/>
              </w:rPr>
            </w:pPr>
            <w:r w:rsidRPr="003A7206">
              <w:rPr>
                <w:rFonts w:ascii="Corbel" w:eastAsia="Times New Roman" w:hAnsi="Corbel" w:cs="Arial"/>
                <w:color w:val="000000" w:themeColor="text1"/>
                <w:lang w:eastAsia="en-AU"/>
              </w:rPr>
              <w:t>Catholic Education</w:t>
            </w:r>
          </w:p>
        </w:tc>
        <w:tc>
          <w:tcPr>
            <w:tcW w:w="635" w:type="pct"/>
            <w:tcBorders>
              <w:top w:val="nil"/>
              <w:left w:val="single" w:sz="4" w:space="0" w:color="auto"/>
              <w:bottom w:val="single" w:sz="4" w:space="0" w:color="auto"/>
              <w:right w:val="single" w:sz="4" w:space="0" w:color="auto"/>
            </w:tcBorders>
            <w:shd w:val="clear" w:color="auto" w:fill="F2F2F2" w:themeFill="background1" w:themeFillShade="F2"/>
          </w:tcPr>
          <w:p w14:paraId="61829076" w14:textId="3988FD3D" w:rsidR="00BE5A84" w:rsidRPr="003A7206" w:rsidRDefault="00BE5A84" w:rsidP="009859AB">
            <w:pPr>
              <w:spacing w:before="120" w:after="120" w:line="260" w:lineRule="exact"/>
              <w:rPr>
                <w:rFonts w:ascii="Corbel" w:eastAsia="Times New Roman" w:hAnsi="Corbel" w:cs="Arial"/>
                <w:b/>
                <w:color w:val="000000" w:themeColor="text1"/>
                <w:sz w:val="23"/>
                <w:szCs w:val="23"/>
                <w:lang w:eastAsia="en-AU"/>
              </w:rPr>
            </w:pPr>
          </w:p>
        </w:tc>
        <w:tc>
          <w:tcPr>
            <w:tcW w:w="634" w:type="pct"/>
            <w:tcBorders>
              <w:top w:val="nil"/>
              <w:left w:val="single" w:sz="4" w:space="0" w:color="auto"/>
              <w:bottom w:val="single" w:sz="4" w:space="0" w:color="auto"/>
              <w:right w:val="single" w:sz="4" w:space="0" w:color="auto"/>
            </w:tcBorders>
            <w:shd w:val="clear" w:color="auto" w:fill="F2F2F2" w:themeFill="background1" w:themeFillShade="F2"/>
          </w:tcPr>
          <w:p w14:paraId="64ECE37B" w14:textId="453B9D85" w:rsidR="00BE5A84" w:rsidRPr="0046447C" w:rsidRDefault="00BE5A84" w:rsidP="009859AB">
            <w:pPr>
              <w:spacing w:before="120" w:after="120" w:line="260" w:lineRule="exact"/>
              <w:rPr>
                <w:rFonts w:ascii="Corbel" w:eastAsia="Times New Roman" w:hAnsi="Corbel" w:cs="Arial"/>
                <w:b/>
                <w:color w:val="000000" w:themeColor="text1"/>
                <w:sz w:val="23"/>
                <w:szCs w:val="23"/>
                <w:lang w:eastAsia="en-AU"/>
              </w:rPr>
            </w:pPr>
            <w:r w:rsidRPr="00D7520B">
              <w:rPr>
                <w:rFonts w:ascii="Corbel" w:eastAsia="Times New Roman" w:hAnsi="Corbel" w:cs="Arial"/>
                <w:b/>
                <w:color w:val="000000" w:themeColor="text1"/>
                <w:sz w:val="23"/>
                <w:szCs w:val="23"/>
                <w:lang w:eastAsia="en-AU"/>
              </w:rPr>
              <w:t>Reform Direction B</w:t>
            </w:r>
          </w:p>
        </w:tc>
      </w:tr>
      <w:tr w:rsidR="00BE5A84" w:rsidRPr="00DA087C" w14:paraId="3259FD75" w14:textId="1993BA47" w:rsidTr="009859AB">
        <w:trPr>
          <w:cantSplit/>
          <w:trHeight w:val="353"/>
        </w:trPr>
        <w:tc>
          <w:tcPr>
            <w:tcW w:w="3103" w:type="pct"/>
            <w:tcBorders>
              <w:top w:val="single" w:sz="4" w:space="0" w:color="auto"/>
              <w:left w:val="single" w:sz="4" w:space="0" w:color="auto"/>
              <w:bottom w:val="nil"/>
              <w:right w:val="single" w:sz="4" w:space="0" w:color="auto"/>
            </w:tcBorders>
          </w:tcPr>
          <w:p w14:paraId="4182CB01" w14:textId="42BA6DC5" w:rsidR="00BE5A84" w:rsidRPr="003A7206"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lastRenderedPageBreak/>
              <w:t>School leader and teacher recruitment and appointment processes reviewed and updated</w:t>
            </w:r>
          </w:p>
        </w:tc>
        <w:tc>
          <w:tcPr>
            <w:tcW w:w="628" w:type="pct"/>
            <w:tcBorders>
              <w:top w:val="single" w:sz="4" w:space="0" w:color="auto"/>
              <w:left w:val="single" w:sz="4" w:space="0" w:color="auto"/>
              <w:bottom w:val="nil"/>
              <w:right w:val="single" w:sz="4" w:space="0" w:color="auto"/>
            </w:tcBorders>
          </w:tcPr>
          <w:p w14:paraId="2BA226A1" w14:textId="0511F004" w:rsidR="00BE5A84" w:rsidRPr="003A7206" w:rsidRDefault="00BE5A84" w:rsidP="009859AB">
            <w:pPr>
              <w:spacing w:before="120" w:after="120" w:line="260" w:lineRule="exact"/>
              <w:rPr>
                <w:rFonts w:ascii="Corbel" w:eastAsia="Times New Roman" w:hAnsi="Corbel" w:cs="Arial"/>
                <w:color w:val="000000" w:themeColor="text1"/>
                <w:lang w:eastAsia="en-AU"/>
              </w:rPr>
            </w:pPr>
          </w:p>
        </w:tc>
        <w:tc>
          <w:tcPr>
            <w:tcW w:w="635" w:type="pct"/>
            <w:tcBorders>
              <w:top w:val="single" w:sz="4" w:space="0" w:color="auto"/>
              <w:left w:val="single" w:sz="4" w:space="0" w:color="auto"/>
              <w:bottom w:val="nil"/>
              <w:right w:val="single" w:sz="4" w:space="0" w:color="auto"/>
            </w:tcBorders>
          </w:tcPr>
          <w:p w14:paraId="722956E6" w14:textId="341F0AC7" w:rsidR="00BE5A84" w:rsidRPr="003A7206" w:rsidRDefault="00BE5A84" w:rsidP="009859AB">
            <w:pPr>
              <w:spacing w:before="120" w:after="120" w:line="260" w:lineRule="exact"/>
              <w:rPr>
                <w:rFonts w:ascii="Corbel" w:eastAsia="Times New Roman" w:hAnsi="Corbel" w:cs="Arial"/>
                <w:b/>
                <w:color w:val="000000" w:themeColor="text1"/>
                <w:sz w:val="23"/>
                <w:szCs w:val="23"/>
                <w:lang w:eastAsia="en-AU"/>
              </w:rPr>
            </w:pPr>
            <w:r w:rsidRPr="003A7206">
              <w:rPr>
                <w:rFonts w:ascii="Corbel" w:eastAsia="Times New Roman" w:hAnsi="Corbel" w:cs="Arial"/>
                <w:color w:val="000000" w:themeColor="text1"/>
                <w:sz w:val="23"/>
                <w:szCs w:val="23"/>
                <w:lang w:eastAsia="en-AU"/>
              </w:rPr>
              <w:t>2018</w:t>
            </w:r>
          </w:p>
        </w:tc>
        <w:tc>
          <w:tcPr>
            <w:tcW w:w="634" w:type="pct"/>
            <w:tcBorders>
              <w:top w:val="single" w:sz="4" w:space="0" w:color="auto"/>
              <w:left w:val="single" w:sz="4" w:space="0" w:color="auto"/>
              <w:bottom w:val="nil"/>
              <w:right w:val="single" w:sz="4" w:space="0" w:color="auto"/>
            </w:tcBorders>
          </w:tcPr>
          <w:p w14:paraId="17AD93B2" w14:textId="25ED3EEC" w:rsidR="00BE5A84" w:rsidRPr="0046447C" w:rsidRDefault="00BE5A84" w:rsidP="009859AB">
            <w:pPr>
              <w:spacing w:before="120" w:after="120" w:line="260" w:lineRule="exact"/>
              <w:rPr>
                <w:rFonts w:ascii="Corbel" w:eastAsia="Times New Roman" w:hAnsi="Corbel" w:cs="Arial"/>
                <w:b/>
                <w:color w:val="000000" w:themeColor="text1"/>
                <w:sz w:val="23"/>
                <w:szCs w:val="23"/>
                <w:lang w:eastAsia="en-AU"/>
              </w:rPr>
            </w:pPr>
          </w:p>
        </w:tc>
      </w:tr>
      <w:tr w:rsidR="00BE5A84" w:rsidRPr="00DA087C" w14:paraId="314EA476" w14:textId="785D5ED8" w:rsidTr="009859AB">
        <w:trPr>
          <w:cantSplit/>
          <w:trHeight w:val="353"/>
        </w:trPr>
        <w:tc>
          <w:tcPr>
            <w:tcW w:w="3103" w:type="pct"/>
            <w:tcBorders>
              <w:top w:val="nil"/>
              <w:left w:val="single" w:sz="4" w:space="0" w:color="auto"/>
              <w:bottom w:val="nil"/>
              <w:right w:val="single" w:sz="4" w:space="0" w:color="auto"/>
            </w:tcBorders>
          </w:tcPr>
          <w:p w14:paraId="1AC61CA5" w14:textId="595CB91A" w:rsidR="00BE5A84" w:rsidRPr="003A7206" w:rsidRDefault="00BE5A84" w:rsidP="00BE5A84">
            <w:pPr>
              <w:pStyle w:val="ListParagraph"/>
              <w:numPr>
                <w:ilvl w:val="0"/>
                <w:numId w:val="9"/>
              </w:numPr>
              <w:spacing w:before="120" w:after="120" w:line="260" w:lineRule="exact"/>
              <w:ind w:left="319" w:hanging="285"/>
              <w:rPr>
                <w:rFonts w:ascii="Calibri" w:eastAsia="Calibri" w:hAnsi="Calibri" w:cs="Calibri"/>
              </w:rPr>
            </w:pPr>
            <w:r w:rsidRPr="003A7206">
              <w:rPr>
                <w:rFonts w:ascii="Calibri" w:eastAsia="Calibri" w:hAnsi="Calibri" w:cs="Calibri"/>
              </w:rPr>
              <w:t xml:space="preserve">Review of operations, </w:t>
            </w:r>
            <w:proofErr w:type="gramStart"/>
            <w:r w:rsidRPr="003A7206">
              <w:rPr>
                <w:rFonts w:ascii="Calibri" w:eastAsia="Calibri" w:hAnsi="Calibri" w:cs="Calibri"/>
              </w:rPr>
              <w:t>personnel</w:t>
            </w:r>
            <w:proofErr w:type="gramEnd"/>
            <w:r w:rsidRPr="003A7206">
              <w:rPr>
                <w:rFonts w:ascii="Calibri" w:eastAsia="Calibri" w:hAnsi="Calibri" w:cs="Calibri"/>
              </w:rPr>
              <w:t xml:space="preserve"> and structures to ensure support for schools is in line with best practice</w:t>
            </w:r>
          </w:p>
        </w:tc>
        <w:tc>
          <w:tcPr>
            <w:tcW w:w="628" w:type="pct"/>
            <w:tcBorders>
              <w:top w:val="nil"/>
              <w:left w:val="single" w:sz="4" w:space="0" w:color="auto"/>
              <w:bottom w:val="nil"/>
              <w:right w:val="single" w:sz="4" w:space="0" w:color="auto"/>
            </w:tcBorders>
          </w:tcPr>
          <w:p w14:paraId="0DE4B5B7" w14:textId="5535FE8C" w:rsidR="00BE5A84" w:rsidRPr="003A7206" w:rsidRDefault="00BE5A84" w:rsidP="009859AB">
            <w:pPr>
              <w:spacing w:before="120" w:after="120" w:line="260" w:lineRule="exact"/>
              <w:rPr>
                <w:rFonts w:ascii="Corbel" w:eastAsia="Times New Roman" w:hAnsi="Corbel" w:cs="Arial"/>
                <w:color w:val="000000" w:themeColor="text1"/>
                <w:lang w:eastAsia="en-AU"/>
              </w:rPr>
            </w:pPr>
          </w:p>
        </w:tc>
        <w:tc>
          <w:tcPr>
            <w:tcW w:w="635" w:type="pct"/>
            <w:tcBorders>
              <w:top w:val="nil"/>
              <w:left w:val="single" w:sz="4" w:space="0" w:color="auto"/>
              <w:bottom w:val="nil"/>
              <w:right w:val="single" w:sz="4" w:space="0" w:color="auto"/>
            </w:tcBorders>
          </w:tcPr>
          <w:p w14:paraId="16858733" w14:textId="45B0EA36" w:rsidR="00BE5A84" w:rsidRPr="003A7206" w:rsidRDefault="00BE5A84" w:rsidP="009859AB">
            <w:pPr>
              <w:spacing w:before="120" w:after="120" w:line="260" w:lineRule="exact"/>
              <w:rPr>
                <w:rFonts w:ascii="Corbel" w:eastAsia="Times New Roman" w:hAnsi="Corbel" w:cs="Arial"/>
                <w:color w:val="000000" w:themeColor="text1"/>
                <w:sz w:val="23"/>
                <w:szCs w:val="23"/>
                <w:lang w:eastAsia="en-AU"/>
              </w:rPr>
            </w:pPr>
            <w:r w:rsidRPr="003A7206">
              <w:rPr>
                <w:rFonts w:ascii="Corbel" w:eastAsia="Times New Roman" w:hAnsi="Corbel" w:cs="Arial"/>
                <w:color w:val="000000" w:themeColor="text1"/>
                <w:sz w:val="23"/>
                <w:szCs w:val="23"/>
                <w:lang w:eastAsia="en-AU"/>
              </w:rPr>
              <w:t>2018</w:t>
            </w:r>
          </w:p>
        </w:tc>
        <w:tc>
          <w:tcPr>
            <w:tcW w:w="634" w:type="pct"/>
            <w:tcBorders>
              <w:top w:val="nil"/>
              <w:left w:val="single" w:sz="4" w:space="0" w:color="auto"/>
              <w:bottom w:val="nil"/>
              <w:right w:val="single" w:sz="4" w:space="0" w:color="auto"/>
            </w:tcBorders>
          </w:tcPr>
          <w:p w14:paraId="66204FF1" w14:textId="2F15F4CE" w:rsidR="00BE5A84" w:rsidRPr="0046447C" w:rsidRDefault="00BE5A84" w:rsidP="009859AB">
            <w:pPr>
              <w:spacing w:before="120" w:after="120" w:line="260" w:lineRule="exact"/>
              <w:rPr>
                <w:rFonts w:ascii="Corbel" w:eastAsia="Times New Roman" w:hAnsi="Corbel" w:cs="Arial"/>
                <w:b/>
                <w:color w:val="000000" w:themeColor="text1"/>
                <w:sz w:val="23"/>
                <w:szCs w:val="23"/>
                <w:lang w:eastAsia="en-AU"/>
              </w:rPr>
            </w:pPr>
          </w:p>
        </w:tc>
      </w:tr>
      <w:tr w:rsidR="00BE5A84" w:rsidRPr="00DA087C" w14:paraId="2F68C582" w14:textId="4C256E2A" w:rsidTr="009859AB">
        <w:trPr>
          <w:cantSplit/>
          <w:trHeight w:val="353"/>
        </w:trPr>
        <w:tc>
          <w:tcPr>
            <w:tcW w:w="3103" w:type="pct"/>
            <w:tcBorders>
              <w:top w:val="nil"/>
              <w:left w:val="single" w:sz="4" w:space="0" w:color="auto"/>
              <w:bottom w:val="nil"/>
              <w:right w:val="single" w:sz="4" w:space="0" w:color="auto"/>
            </w:tcBorders>
          </w:tcPr>
          <w:p w14:paraId="01F2DBE5" w14:textId="489B089C" w:rsidR="00BE5A84" w:rsidRPr="003A7206" w:rsidRDefault="00BE5A84" w:rsidP="00BE5A84">
            <w:pPr>
              <w:pStyle w:val="ListParagraph"/>
              <w:numPr>
                <w:ilvl w:val="0"/>
                <w:numId w:val="9"/>
              </w:numPr>
              <w:spacing w:before="120" w:after="120" w:line="260" w:lineRule="exact"/>
              <w:ind w:left="319" w:hanging="285"/>
              <w:rPr>
                <w:rFonts w:ascii="Calibri" w:eastAsia="Calibri" w:hAnsi="Calibri" w:cs="Calibri"/>
              </w:rPr>
            </w:pPr>
            <w:r w:rsidRPr="003A7206">
              <w:rPr>
                <w:rFonts w:ascii="Calibri" w:eastAsia="Calibri" w:hAnsi="Calibri" w:cs="Calibri"/>
              </w:rPr>
              <w:t xml:space="preserve">Review and refocus the CENT School Improvement and Renewal Framework to ensure an ongoing, rigorous approach to school self-assessment and review </w:t>
            </w:r>
          </w:p>
        </w:tc>
        <w:tc>
          <w:tcPr>
            <w:tcW w:w="628" w:type="pct"/>
            <w:tcBorders>
              <w:top w:val="nil"/>
              <w:left w:val="single" w:sz="4" w:space="0" w:color="auto"/>
              <w:bottom w:val="nil"/>
              <w:right w:val="single" w:sz="4" w:space="0" w:color="auto"/>
            </w:tcBorders>
          </w:tcPr>
          <w:p w14:paraId="2DBF0D7D" w14:textId="7EA628BA" w:rsidR="00BE5A84" w:rsidRPr="003A7206" w:rsidRDefault="00BE5A84" w:rsidP="009859AB">
            <w:pPr>
              <w:spacing w:before="120" w:after="120" w:line="260" w:lineRule="exact"/>
              <w:rPr>
                <w:rFonts w:ascii="Corbel" w:eastAsia="Times New Roman" w:hAnsi="Corbel" w:cs="Arial"/>
                <w:color w:val="000000" w:themeColor="text1"/>
                <w:lang w:eastAsia="en-AU"/>
              </w:rPr>
            </w:pPr>
          </w:p>
        </w:tc>
        <w:tc>
          <w:tcPr>
            <w:tcW w:w="635" w:type="pct"/>
            <w:tcBorders>
              <w:top w:val="nil"/>
              <w:left w:val="single" w:sz="4" w:space="0" w:color="auto"/>
              <w:bottom w:val="nil"/>
              <w:right w:val="single" w:sz="4" w:space="0" w:color="auto"/>
            </w:tcBorders>
          </w:tcPr>
          <w:p w14:paraId="59DEC491" w14:textId="7D51B1BA" w:rsidR="00BE5A84" w:rsidRPr="003A7206" w:rsidRDefault="00BE5A84" w:rsidP="009859AB">
            <w:pPr>
              <w:spacing w:before="120" w:after="120" w:line="260" w:lineRule="exact"/>
              <w:rPr>
                <w:rFonts w:ascii="Corbel" w:eastAsia="Times New Roman" w:hAnsi="Corbel" w:cs="Arial"/>
                <w:color w:val="000000" w:themeColor="text1"/>
                <w:sz w:val="23"/>
                <w:szCs w:val="23"/>
                <w:lang w:eastAsia="en-AU"/>
              </w:rPr>
            </w:pPr>
            <w:r w:rsidRPr="003A7206">
              <w:rPr>
                <w:rFonts w:ascii="Corbel" w:eastAsia="Times New Roman" w:hAnsi="Corbel" w:cs="Arial"/>
                <w:color w:val="000000" w:themeColor="text1"/>
                <w:sz w:val="23"/>
                <w:szCs w:val="23"/>
                <w:lang w:eastAsia="en-AU"/>
              </w:rPr>
              <w:t>2019</w:t>
            </w:r>
          </w:p>
        </w:tc>
        <w:tc>
          <w:tcPr>
            <w:tcW w:w="634" w:type="pct"/>
            <w:tcBorders>
              <w:top w:val="nil"/>
              <w:left w:val="single" w:sz="4" w:space="0" w:color="auto"/>
              <w:bottom w:val="nil"/>
              <w:right w:val="single" w:sz="4" w:space="0" w:color="auto"/>
            </w:tcBorders>
          </w:tcPr>
          <w:p w14:paraId="6B62F1B3" w14:textId="421C20DC" w:rsidR="00BE5A84" w:rsidRPr="0046447C" w:rsidRDefault="00BE5A84" w:rsidP="009859AB">
            <w:pPr>
              <w:spacing w:before="120" w:after="120" w:line="260" w:lineRule="exact"/>
              <w:rPr>
                <w:rFonts w:ascii="Corbel" w:eastAsia="Times New Roman" w:hAnsi="Corbel" w:cs="Arial"/>
                <w:b/>
                <w:color w:val="000000" w:themeColor="text1"/>
                <w:sz w:val="23"/>
                <w:szCs w:val="23"/>
                <w:lang w:eastAsia="en-AU"/>
              </w:rPr>
            </w:pPr>
          </w:p>
        </w:tc>
      </w:tr>
      <w:tr w:rsidR="00BE5A84" w:rsidRPr="00DA087C" w14:paraId="2DFCB2EA" w14:textId="23F0DF0B" w:rsidTr="009859AB">
        <w:trPr>
          <w:cantSplit/>
          <w:trHeight w:val="547"/>
        </w:trPr>
        <w:tc>
          <w:tcPr>
            <w:tcW w:w="3103" w:type="pct"/>
            <w:tcBorders>
              <w:top w:val="nil"/>
              <w:left w:val="single" w:sz="4" w:space="0" w:color="auto"/>
              <w:bottom w:val="nil"/>
              <w:right w:val="single" w:sz="4" w:space="0" w:color="auto"/>
            </w:tcBorders>
          </w:tcPr>
          <w:p w14:paraId="5FB63639" w14:textId="5D32C2AD" w:rsidR="00BE5A84" w:rsidRPr="003A7206" w:rsidRDefault="00BE5A84" w:rsidP="00BE5A84">
            <w:pPr>
              <w:pStyle w:val="ListParagraph"/>
              <w:numPr>
                <w:ilvl w:val="0"/>
                <w:numId w:val="9"/>
              </w:numPr>
              <w:spacing w:before="120" w:after="120" w:line="260" w:lineRule="exact"/>
              <w:ind w:left="319" w:hanging="285"/>
              <w:rPr>
                <w:rFonts w:ascii="Calibri" w:eastAsia="Calibri" w:hAnsi="Calibri" w:cs="Calibri"/>
              </w:rPr>
            </w:pPr>
            <w:r w:rsidRPr="003A7206">
              <w:rPr>
                <w:rFonts w:ascii="Calibri" w:eastAsia="Calibri" w:hAnsi="Calibri" w:cs="Calibri"/>
              </w:rPr>
              <w:t xml:space="preserve">School Improvement Assessment, External Validation and Registration Renewal processes completed for all schools </w:t>
            </w:r>
          </w:p>
        </w:tc>
        <w:tc>
          <w:tcPr>
            <w:tcW w:w="628" w:type="pct"/>
            <w:tcBorders>
              <w:top w:val="nil"/>
              <w:left w:val="single" w:sz="4" w:space="0" w:color="auto"/>
              <w:bottom w:val="nil"/>
              <w:right w:val="single" w:sz="4" w:space="0" w:color="auto"/>
            </w:tcBorders>
          </w:tcPr>
          <w:p w14:paraId="02F2C34E" w14:textId="7F63422F" w:rsidR="00BE5A84" w:rsidRPr="003A7206" w:rsidRDefault="00BE5A84" w:rsidP="009859AB">
            <w:pPr>
              <w:spacing w:before="120" w:after="120" w:line="260" w:lineRule="exact"/>
              <w:rPr>
                <w:rFonts w:ascii="Corbel" w:eastAsia="Times New Roman" w:hAnsi="Corbel" w:cs="Arial"/>
                <w:color w:val="000000" w:themeColor="text1"/>
                <w:lang w:eastAsia="en-AU"/>
              </w:rPr>
            </w:pPr>
          </w:p>
        </w:tc>
        <w:tc>
          <w:tcPr>
            <w:tcW w:w="635" w:type="pct"/>
            <w:tcBorders>
              <w:top w:val="nil"/>
              <w:left w:val="single" w:sz="4" w:space="0" w:color="auto"/>
              <w:bottom w:val="nil"/>
              <w:right w:val="single" w:sz="4" w:space="0" w:color="auto"/>
            </w:tcBorders>
          </w:tcPr>
          <w:p w14:paraId="3C7BB9C1" w14:textId="72548D06" w:rsidR="00BE5A84" w:rsidRPr="003A7206" w:rsidRDefault="00BE5A84" w:rsidP="009859AB">
            <w:pPr>
              <w:spacing w:before="120" w:after="120" w:line="260" w:lineRule="exact"/>
              <w:rPr>
                <w:rFonts w:ascii="Corbel" w:eastAsia="Times New Roman" w:hAnsi="Corbel" w:cs="Arial"/>
                <w:color w:val="000000" w:themeColor="text1"/>
                <w:sz w:val="23"/>
                <w:szCs w:val="23"/>
                <w:lang w:eastAsia="en-AU"/>
              </w:rPr>
            </w:pPr>
            <w:r w:rsidRPr="003A7206">
              <w:rPr>
                <w:rFonts w:ascii="Corbel" w:eastAsia="Times New Roman" w:hAnsi="Corbel" w:cs="Arial"/>
                <w:color w:val="000000" w:themeColor="text1"/>
                <w:sz w:val="23"/>
                <w:szCs w:val="23"/>
                <w:lang w:eastAsia="en-AU"/>
              </w:rPr>
              <w:t>2019-2023</w:t>
            </w:r>
          </w:p>
          <w:p w14:paraId="040DAA3F" w14:textId="5E8095B2" w:rsidR="00BE5A84" w:rsidRPr="003A7206" w:rsidRDefault="00BE5A84" w:rsidP="009859AB">
            <w:pPr>
              <w:spacing w:before="120" w:after="120" w:line="260" w:lineRule="exact"/>
              <w:rPr>
                <w:rFonts w:ascii="Corbel" w:eastAsia="Times New Roman" w:hAnsi="Corbel" w:cs="Arial"/>
                <w:color w:val="000000" w:themeColor="text1"/>
                <w:sz w:val="23"/>
                <w:szCs w:val="23"/>
                <w:lang w:eastAsia="en-AU"/>
              </w:rPr>
            </w:pPr>
            <w:r w:rsidRPr="003A7206">
              <w:rPr>
                <w:rFonts w:ascii="Corbel" w:eastAsia="Times New Roman" w:hAnsi="Corbel" w:cs="Arial"/>
                <w:color w:val="000000" w:themeColor="text1"/>
                <w:sz w:val="23"/>
                <w:szCs w:val="23"/>
                <w:lang w:eastAsia="en-AU"/>
              </w:rPr>
              <w:t>2019-2023</w:t>
            </w:r>
          </w:p>
        </w:tc>
        <w:tc>
          <w:tcPr>
            <w:tcW w:w="634" w:type="pct"/>
            <w:tcBorders>
              <w:top w:val="nil"/>
              <w:left w:val="single" w:sz="4" w:space="0" w:color="auto"/>
              <w:bottom w:val="nil"/>
              <w:right w:val="single" w:sz="4" w:space="0" w:color="auto"/>
            </w:tcBorders>
          </w:tcPr>
          <w:p w14:paraId="680A4E5D" w14:textId="05FBB239" w:rsidR="00BE5A84" w:rsidRPr="0046447C" w:rsidRDefault="00BE5A84" w:rsidP="009859AB">
            <w:pPr>
              <w:spacing w:before="120" w:after="120" w:line="260" w:lineRule="exact"/>
              <w:rPr>
                <w:rFonts w:ascii="Corbel" w:eastAsia="Times New Roman" w:hAnsi="Corbel" w:cs="Arial"/>
                <w:b/>
                <w:color w:val="000000" w:themeColor="text1"/>
                <w:sz w:val="23"/>
                <w:szCs w:val="23"/>
                <w:lang w:eastAsia="en-AU"/>
              </w:rPr>
            </w:pPr>
          </w:p>
        </w:tc>
      </w:tr>
      <w:tr w:rsidR="00BE5A84" w:rsidRPr="00DA087C" w14:paraId="49D8DE3A" w14:textId="5AF9CA4A" w:rsidTr="009859AB">
        <w:trPr>
          <w:cantSplit/>
          <w:trHeight w:val="728"/>
        </w:trPr>
        <w:tc>
          <w:tcPr>
            <w:tcW w:w="3103" w:type="pct"/>
            <w:tcBorders>
              <w:top w:val="nil"/>
              <w:left w:val="single" w:sz="4" w:space="0" w:color="auto"/>
              <w:bottom w:val="single" w:sz="4" w:space="0" w:color="auto"/>
              <w:right w:val="single" w:sz="4" w:space="0" w:color="auto"/>
            </w:tcBorders>
          </w:tcPr>
          <w:p w14:paraId="7E9F683A" w14:textId="01E8161F" w:rsidR="00BE5A84" w:rsidRPr="004337E1" w:rsidRDefault="00BE5A84" w:rsidP="00BE5A84">
            <w:pPr>
              <w:pStyle w:val="ListParagraph"/>
              <w:numPr>
                <w:ilvl w:val="0"/>
                <w:numId w:val="9"/>
              </w:numPr>
              <w:spacing w:before="120" w:after="120" w:line="260" w:lineRule="exact"/>
              <w:ind w:left="319" w:hanging="285"/>
              <w:rPr>
                <w:rFonts w:ascii="Calibri" w:eastAsia="Calibri" w:hAnsi="Calibri" w:cs="Calibri"/>
              </w:rPr>
            </w:pPr>
            <w:r>
              <w:rPr>
                <w:rFonts w:ascii="Calibri" w:eastAsia="Calibri" w:hAnsi="Calibri" w:cs="Calibri"/>
              </w:rPr>
              <w:t>Professional development programs and appraisal processes implemented for middle and senior school and system leaders.</w:t>
            </w:r>
          </w:p>
        </w:tc>
        <w:tc>
          <w:tcPr>
            <w:tcW w:w="628" w:type="pct"/>
            <w:tcBorders>
              <w:top w:val="nil"/>
              <w:left w:val="single" w:sz="4" w:space="0" w:color="auto"/>
              <w:bottom w:val="single" w:sz="4" w:space="0" w:color="auto"/>
              <w:right w:val="single" w:sz="4" w:space="0" w:color="auto"/>
            </w:tcBorders>
          </w:tcPr>
          <w:p w14:paraId="19219836" w14:textId="3FA543C8" w:rsidR="00BE5A84" w:rsidRPr="006F0C28" w:rsidRDefault="00BE5A84" w:rsidP="009859AB">
            <w:pPr>
              <w:spacing w:before="120" w:after="120" w:line="260" w:lineRule="exact"/>
              <w:rPr>
                <w:rFonts w:ascii="Corbel" w:eastAsia="Times New Roman" w:hAnsi="Corbel" w:cs="Arial"/>
                <w:color w:val="000000" w:themeColor="text1"/>
                <w:lang w:eastAsia="en-AU"/>
              </w:rPr>
            </w:pPr>
          </w:p>
        </w:tc>
        <w:tc>
          <w:tcPr>
            <w:tcW w:w="635" w:type="pct"/>
            <w:tcBorders>
              <w:top w:val="nil"/>
              <w:left w:val="single" w:sz="4" w:space="0" w:color="auto"/>
              <w:bottom w:val="single" w:sz="4" w:space="0" w:color="auto"/>
              <w:right w:val="single" w:sz="4" w:space="0" w:color="auto"/>
            </w:tcBorders>
          </w:tcPr>
          <w:p w14:paraId="296FEF7D" w14:textId="4226230E" w:rsidR="00BE5A84" w:rsidRPr="000C05DE" w:rsidRDefault="00BE5A84" w:rsidP="009859AB">
            <w:pPr>
              <w:spacing w:before="120" w:after="120" w:line="260" w:lineRule="exact"/>
              <w:rPr>
                <w:rFonts w:ascii="Corbel" w:eastAsia="Times New Roman" w:hAnsi="Corbel" w:cs="Arial"/>
                <w:color w:val="000000" w:themeColor="text1"/>
                <w:sz w:val="23"/>
                <w:szCs w:val="23"/>
                <w:lang w:eastAsia="en-AU"/>
              </w:rPr>
            </w:pPr>
          </w:p>
        </w:tc>
        <w:tc>
          <w:tcPr>
            <w:tcW w:w="634" w:type="pct"/>
            <w:tcBorders>
              <w:top w:val="nil"/>
              <w:left w:val="single" w:sz="4" w:space="0" w:color="auto"/>
              <w:bottom w:val="single" w:sz="4" w:space="0" w:color="auto"/>
              <w:right w:val="single" w:sz="4" w:space="0" w:color="auto"/>
            </w:tcBorders>
          </w:tcPr>
          <w:p w14:paraId="7194DBDC" w14:textId="4C1BA0EF" w:rsidR="00BE5A84" w:rsidRPr="0046447C" w:rsidRDefault="00BE5A84" w:rsidP="009859AB">
            <w:pPr>
              <w:spacing w:before="120" w:after="120" w:line="260" w:lineRule="exact"/>
              <w:rPr>
                <w:rFonts w:ascii="Corbel" w:eastAsia="Times New Roman" w:hAnsi="Corbel" w:cs="Arial"/>
                <w:b/>
                <w:color w:val="000000" w:themeColor="text1"/>
                <w:sz w:val="23"/>
                <w:szCs w:val="23"/>
                <w:lang w:eastAsia="en-AU"/>
              </w:rPr>
            </w:pPr>
          </w:p>
        </w:tc>
      </w:tr>
    </w:tbl>
    <w:p w14:paraId="769D0D3C" w14:textId="3BD24E14" w:rsidR="00BE5A84" w:rsidRDefault="00BE5A84" w:rsidP="00BE5A84">
      <w:pPr>
        <w:spacing w:before="240" w:after="240" w:line="260" w:lineRule="exact"/>
        <w:ind w:left="567"/>
        <w:jc w:val="both"/>
        <w:rPr>
          <w:rFonts w:ascii="Corbel" w:eastAsia="Times New Roman" w:hAnsi="Corbel" w:cs="Calibri"/>
          <w:color w:val="000000"/>
          <w:sz w:val="23"/>
          <w:szCs w:val="23"/>
          <w:lang w:eastAsia="en-AU"/>
        </w:rPr>
        <w:sectPr w:rsidR="00BE5A84" w:rsidSect="00BE5A84">
          <w:pgSz w:w="16838" w:h="11906" w:orient="landscape"/>
          <w:pgMar w:top="1440" w:right="1440" w:bottom="1440" w:left="1440" w:header="708" w:footer="708" w:gutter="0"/>
          <w:cols w:space="708"/>
          <w:docGrid w:linePitch="360"/>
        </w:sectPr>
      </w:pPr>
    </w:p>
    <w:p w14:paraId="334F8D9E" w14:textId="35036FE8" w:rsidR="00BE5A84" w:rsidRDefault="00BE5A84" w:rsidP="00BE5A84">
      <w:pPr>
        <w:spacing w:after="240" w:line="260" w:lineRule="exact"/>
        <w:rPr>
          <w:rFonts w:ascii="Corbel" w:eastAsia="Times New Roman" w:hAnsi="Corbel" w:cs="Corbel"/>
          <w:b/>
          <w:color w:val="316F72"/>
          <w:sz w:val="32"/>
          <w:szCs w:val="23"/>
          <w:lang w:eastAsia="en-AU"/>
        </w:rPr>
      </w:pPr>
      <w:r>
        <w:rPr>
          <w:rFonts w:ascii="Corbel" w:eastAsia="Times New Roman" w:hAnsi="Corbel" w:cs="Corbel"/>
          <w:b/>
          <w:color w:val="316F72"/>
          <w:sz w:val="32"/>
          <w:szCs w:val="23"/>
          <w:lang w:eastAsia="en-AU"/>
        </w:rPr>
        <w:lastRenderedPageBreak/>
        <w:t>Part 2 — NORTHERN TERRITORY FUNDING CONTRIBUTIONS</w:t>
      </w:r>
    </w:p>
    <w:p w14:paraId="04C3125E" w14:textId="5DCC3213" w:rsidR="00BE5A84" w:rsidRDefault="00BE5A84" w:rsidP="00BE5A84">
      <w:pPr>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 xml:space="preserve">Required funding </w:t>
      </w:r>
      <w:proofErr w:type="gramStart"/>
      <w:r>
        <w:rPr>
          <w:rFonts w:ascii="Corbel" w:eastAsia="Times New Roman" w:hAnsi="Corbel" w:cs="Corbel"/>
          <w:b/>
          <w:bCs/>
          <w:color w:val="316F72"/>
          <w:sz w:val="28"/>
          <w:szCs w:val="28"/>
          <w:lang w:eastAsia="en-AU"/>
        </w:rPr>
        <w:t>contributions</w:t>
      </w:r>
      <w:proofErr w:type="gramEnd"/>
    </w:p>
    <w:p w14:paraId="2D011B17" w14:textId="796C2C59"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Under section 22A of the Act, the Northern Territory must meet its funding contributions for the government and non-government sectors as a condition of receiving Commonwealth funding.</w:t>
      </w:r>
    </w:p>
    <w:p w14:paraId="181338C0" w14:textId="4564F8FD"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funding contributions for the government and non-government sectors in 2017 (also known as the 2017 starting share) will be set out in the Regulation and will determine the default requirement if this bilateral agreement is terminated by either party.</w:t>
      </w:r>
    </w:p>
    <w:p w14:paraId="54968DEF" w14:textId="297ACF1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4182BC9">
        <w:rPr>
          <w:rFonts w:ascii="Corbel" w:eastAsia="Times New Roman" w:hAnsi="Corbel" w:cs="Calibri"/>
          <w:color w:val="000000" w:themeColor="text1"/>
          <w:sz w:val="23"/>
          <w:szCs w:val="23"/>
          <w:lang w:eastAsia="en-AU"/>
        </w:rPr>
        <w:t>The Northern Territory Government is committed to increasing investment in government and non-government schools. Under the agreement, on a per student basis, Northern Territory funding for government schools is expected to grow by over 30 per cent from $14 595 in 2017 to an estimated $19 339 in 2023. This equates to an average annual growth rate of 4.8 per cent over the next six years and is well above the rate of growth in the SRS and more than double the rate of growth required to maintain funding in real terms over the 2017 to 202</w:t>
      </w:r>
      <w:r w:rsidR="002B165A" w:rsidRPr="04182BC9">
        <w:rPr>
          <w:rFonts w:ascii="Corbel" w:eastAsia="Times New Roman" w:hAnsi="Corbel" w:cs="Calibri"/>
          <w:color w:val="000000" w:themeColor="text1"/>
          <w:sz w:val="23"/>
          <w:szCs w:val="23"/>
          <w:lang w:eastAsia="en-AU"/>
        </w:rPr>
        <w:t>4</w:t>
      </w:r>
      <w:r w:rsidRPr="04182BC9">
        <w:rPr>
          <w:rFonts w:ascii="Corbel" w:eastAsia="Times New Roman" w:hAnsi="Corbel" w:cs="Calibri"/>
          <w:color w:val="000000" w:themeColor="text1"/>
          <w:sz w:val="23"/>
          <w:szCs w:val="23"/>
          <w:lang w:eastAsia="en-AU"/>
        </w:rPr>
        <w:t xml:space="preserve"> period.  </w:t>
      </w:r>
    </w:p>
    <w:p w14:paraId="70F07302" w14:textId="38433980" w:rsidR="00BE5A84" w:rsidRPr="00681DBF" w:rsidRDefault="00681DBF" w:rsidP="00681DBF">
      <w:pPr>
        <w:tabs>
          <w:tab w:val="left" w:pos="13041"/>
        </w:tabs>
        <w:spacing w:before="180" w:after="120" w:line="240" w:lineRule="auto"/>
        <w:outlineLvl w:val="1"/>
        <w:rPr>
          <w:rFonts w:ascii="Corbel" w:eastAsia="Times New Roman" w:hAnsi="Corbel" w:cs="Corbel"/>
          <w:b/>
          <w:bCs/>
          <w:color w:val="806000"/>
          <w:sz w:val="28"/>
          <w:szCs w:val="28"/>
          <w:lang w:eastAsia="en-AU"/>
        </w:rPr>
      </w:pPr>
      <w:r w:rsidRPr="00681DBF">
        <w:rPr>
          <w:rFonts w:ascii="Corbel" w:eastAsia="Times New Roman" w:hAnsi="Corbel" w:cs="Corbel"/>
          <w:b/>
          <w:bCs/>
          <w:color w:val="806000"/>
          <w:sz w:val="28"/>
          <w:szCs w:val="28"/>
          <w:lang w:eastAsia="en-AU"/>
        </w:rPr>
        <w:t>Table 2</w:t>
      </w:r>
      <w:r w:rsidR="00BE5A84" w:rsidRPr="00681DBF">
        <w:rPr>
          <w:rFonts w:ascii="Corbel" w:eastAsia="Times New Roman" w:hAnsi="Corbel" w:cs="Corbel"/>
          <w:b/>
          <w:bCs/>
          <w:color w:val="806000"/>
          <w:sz w:val="28"/>
          <w:szCs w:val="28"/>
          <w:lang w:eastAsia="en-AU"/>
        </w:rPr>
        <w:t>: Estimate of Northern Territory per student funding and growth, government schools</w:t>
      </w:r>
    </w:p>
    <w:tbl>
      <w:tblPr>
        <w:tblStyle w:val="TableGrid"/>
        <w:tblW w:w="828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5"/>
        <w:gridCol w:w="995"/>
        <w:gridCol w:w="994"/>
        <w:gridCol w:w="1002"/>
        <w:gridCol w:w="1000"/>
        <w:gridCol w:w="986"/>
        <w:gridCol w:w="998"/>
        <w:gridCol w:w="994"/>
      </w:tblGrid>
      <w:tr w:rsidR="00F972E4" w:rsidRPr="00336400" w14:paraId="58F1B5B3" w14:textId="4C3C6462" w:rsidTr="37E9F5FF">
        <w:trPr>
          <w:trHeight w:val="676"/>
        </w:trPr>
        <w:tc>
          <w:tcPr>
            <w:tcW w:w="1315" w:type="dxa"/>
            <w:shd w:val="clear" w:color="auto" w:fill="316F72"/>
            <w:vAlign w:val="center"/>
          </w:tcPr>
          <w:p w14:paraId="54CD245A" w14:textId="0601C596" w:rsidR="005B299A" w:rsidRPr="00336400" w:rsidRDefault="005B299A" w:rsidP="009859AB">
            <w:pPr>
              <w:spacing w:before="120"/>
              <w:contextualSpacing/>
              <w:jc w:val="center"/>
              <w:rPr>
                <w:rFonts w:ascii="Corbel" w:eastAsia="Times New Roman" w:hAnsi="Corbel" w:cs="Corbel"/>
                <w:b/>
                <w:color w:val="FFFFFF"/>
                <w:spacing w:val="20"/>
                <w:sz w:val="24"/>
                <w:szCs w:val="24"/>
                <w:lang w:eastAsia="en-AU"/>
              </w:rPr>
            </w:pPr>
          </w:p>
        </w:tc>
        <w:tc>
          <w:tcPr>
            <w:tcW w:w="995" w:type="dxa"/>
            <w:shd w:val="clear" w:color="auto" w:fill="316F72"/>
            <w:vAlign w:val="center"/>
            <w:hideMark/>
          </w:tcPr>
          <w:p w14:paraId="7CFB5A06" w14:textId="2F25F128" w:rsidR="005B299A" w:rsidRPr="00336400" w:rsidRDefault="005B299A" w:rsidP="009859AB">
            <w:pPr>
              <w:spacing w:before="120"/>
              <w:contextualSpacing/>
              <w:jc w:val="center"/>
              <w:rPr>
                <w:rFonts w:ascii="Corbel" w:eastAsia="Times New Roman" w:hAnsi="Corbel" w:cs="Corbel"/>
                <w:b/>
                <w:color w:val="FFFFFF"/>
                <w:spacing w:val="20"/>
                <w:sz w:val="24"/>
                <w:szCs w:val="24"/>
                <w:lang w:eastAsia="en-AU"/>
              </w:rPr>
            </w:pPr>
            <w:r w:rsidRPr="00336400">
              <w:rPr>
                <w:rFonts w:ascii="Corbel" w:hAnsi="Corbel"/>
                <w:b/>
                <w:color w:val="FFFFFF"/>
                <w:spacing w:val="20"/>
                <w:sz w:val="24"/>
                <w:szCs w:val="24"/>
              </w:rPr>
              <w:t>2017</w:t>
            </w:r>
          </w:p>
        </w:tc>
        <w:tc>
          <w:tcPr>
            <w:tcW w:w="994" w:type="dxa"/>
            <w:shd w:val="clear" w:color="auto" w:fill="316F72"/>
            <w:vAlign w:val="center"/>
            <w:hideMark/>
          </w:tcPr>
          <w:p w14:paraId="17754A79" w14:textId="126A6E51" w:rsidR="005B299A" w:rsidRPr="00336400" w:rsidRDefault="005B299A" w:rsidP="009859AB">
            <w:pPr>
              <w:spacing w:before="120"/>
              <w:contextualSpacing/>
              <w:jc w:val="center"/>
              <w:rPr>
                <w:rFonts w:ascii="Corbel" w:eastAsia="Times New Roman" w:hAnsi="Corbel" w:cs="Corbel"/>
                <w:b/>
                <w:color w:val="FFFFFF"/>
                <w:spacing w:val="20"/>
                <w:sz w:val="24"/>
                <w:szCs w:val="24"/>
                <w:lang w:eastAsia="en-AU"/>
              </w:rPr>
            </w:pPr>
            <w:r w:rsidRPr="00336400">
              <w:rPr>
                <w:rFonts w:ascii="Corbel" w:hAnsi="Corbel"/>
                <w:b/>
                <w:color w:val="FFFFFF"/>
                <w:spacing w:val="20"/>
                <w:sz w:val="24"/>
                <w:szCs w:val="24"/>
              </w:rPr>
              <w:t>2018</w:t>
            </w:r>
          </w:p>
        </w:tc>
        <w:tc>
          <w:tcPr>
            <w:tcW w:w="1002" w:type="dxa"/>
            <w:shd w:val="clear" w:color="auto" w:fill="316F72"/>
            <w:vAlign w:val="center"/>
            <w:hideMark/>
          </w:tcPr>
          <w:p w14:paraId="112EA8C5" w14:textId="40F2C6BB" w:rsidR="005B299A" w:rsidRPr="00336400" w:rsidRDefault="005B299A" w:rsidP="009859AB">
            <w:pPr>
              <w:spacing w:before="120"/>
              <w:contextualSpacing/>
              <w:jc w:val="center"/>
              <w:rPr>
                <w:rFonts w:ascii="Corbel" w:eastAsia="Times New Roman" w:hAnsi="Corbel" w:cs="Corbel"/>
                <w:b/>
                <w:color w:val="FFFFFF"/>
                <w:spacing w:val="20"/>
                <w:sz w:val="24"/>
                <w:szCs w:val="24"/>
                <w:lang w:eastAsia="en-AU"/>
              </w:rPr>
            </w:pPr>
            <w:r w:rsidRPr="00336400">
              <w:rPr>
                <w:rFonts w:ascii="Corbel" w:hAnsi="Corbel"/>
                <w:b/>
                <w:color w:val="FFFFFF"/>
                <w:spacing w:val="20"/>
                <w:sz w:val="24"/>
                <w:szCs w:val="24"/>
              </w:rPr>
              <w:t>2019</w:t>
            </w:r>
          </w:p>
        </w:tc>
        <w:tc>
          <w:tcPr>
            <w:tcW w:w="1000" w:type="dxa"/>
            <w:shd w:val="clear" w:color="auto" w:fill="316F72"/>
            <w:vAlign w:val="center"/>
            <w:hideMark/>
          </w:tcPr>
          <w:p w14:paraId="42B71CCD" w14:textId="010DFDE8" w:rsidR="005B299A" w:rsidRPr="00336400" w:rsidRDefault="005B299A" w:rsidP="009859AB">
            <w:pPr>
              <w:spacing w:before="120"/>
              <w:contextualSpacing/>
              <w:jc w:val="center"/>
              <w:rPr>
                <w:rFonts w:ascii="Corbel" w:eastAsia="Times New Roman" w:hAnsi="Corbel" w:cs="Corbel"/>
                <w:b/>
                <w:color w:val="FFFFFF"/>
                <w:spacing w:val="20"/>
                <w:sz w:val="24"/>
                <w:szCs w:val="24"/>
                <w:lang w:eastAsia="en-AU"/>
              </w:rPr>
            </w:pPr>
            <w:r w:rsidRPr="00336400">
              <w:rPr>
                <w:rFonts w:ascii="Corbel" w:hAnsi="Corbel"/>
                <w:b/>
                <w:color w:val="FFFFFF"/>
                <w:spacing w:val="20"/>
                <w:sz w:val="24"/>
                <w:szCs w:val="24"/>
              </w:rPr>
              <w:t>2020</w:t>
            </w:r>
          </w:p>
        </w:tc>
        <w:tc>
          <w:tcPr>
            <w:tcW w:w="986" w:type="dxa"/>
            <w:shd w:val="clear" w:color="auto" w:fill="316F72"/>
            <w:vAlign w:val="center"/>
            <w:hideMark/>
          </w:tcPr>
          <w:p w14:paraId="1897C7B7" w14:textId="6ECBC732" w:rsidR="005B299A" w:rsidRPr="00336400" w:rsidRDefault="005B299A" w:rsidP="009859AB">
            <w:pPr>
              <w:spacing w:before="120"/>
              <w:contextualSpacing/>
              <w:jc w:val="center"/>
              <w:rPr>
                <w:rFonts w:ascii="Corbel" w:eastAsia="Times New Roman" w:hAnsi="Corbel" w:cs="Corbel"/>
                <w:b/>
                <w:color w:val="FFFFFF"/>
                <w:spacing w:val="20"/>
                <w:sz w:val="24"/>
                <w:szCs w:val="24"/>
                <w:lang w:eastAsia="en-AU"/>
              </w:rPr>
            </w:pPr>
            <w:r w:rsidRPr="00336400">
              <w:rPr>
                <w:rFonts w:ascii="Corbel" w:hAnsi="Corbel"/>
                <w:b/>
                <w:color w:val="FFFFFF"/>
                <w:spacing w:val="20"/>
                <w:sz w:val="24"/>
                <w:szCs w:val="24"/>
              </w:rPr>
              <w:t>2021</w:t>
            </w:r>
          </w:p>
        </w:tc>
        <w:tc>
          <w:tcPr>
            <w:tcW w:w="998" w:type="dxa"/>
            <w:shd w:val="clear" w:color="auto" w:fill="316F72"/>
            <w:vAlign w:val="center"/>
            <w:hideMark/>
          </w:tcPr>
          <w:p w14:paraId="1FBE425F" w14:textId="61B704A0" w:rsidR="005B299A" w:rsidRPr="00336400" w:rsidRDefault="005B299A" w:rsidP="009859AB">
            <w:pPr>
              <w:spacing w:before="120"/>
              <w:contextualSpacing/>
              <w:jc w:val="center"/>
              <w:rPr>
                <w:rFonts w:ascii="Corbel" w:eastAsia="Times New Roman" w:hAnsi="Corbel" w:cs="Corbel"/>
                <w:b/>
                <w:color w:val="FFFFFF"/>
                <w:spacing w:val="20"/>
                <w:sz w:val="24"/>
                <w:szCs w:val="24"/>
                <w:lang w:eastAsia="en-AU"/>
              </w:rPr>
            </w:pPr>
            <w:r w:rsidRPr="00336400">
              <w:rPr>
                <w:rFonts w:ascii="Corbel" w:hAnsi="Corbel"/>
                <w:b/>
                <w:color w:val="FFFFFF"/>
                <w:spacing w:val="20"/>
                <w:sz w:val="24"/>
                <w:szCs w:val="24"/>
              </w:rPr>
              <w:t>2022</w:t>
            </w:r>
          </w:p>
        </w:tc>
        <w:tc>
          <w:tcPr>
            <w:tcW w:w="994" w:type="dxa"/>
            <w:shd w:val="clear" w:color="auto" w:fill="316F72"/>
            <w:vAlign w:val="center"/>
            <w:hideMark/>
          </w:tcPr>
          <w:p w14:paraId="73F56A6F" w14:textId="422E7908" w:rsidR="005B299A" w:rsidRPr="00336400" w:rsidRDefault="005B299A" w:rsidP="009859AB">
            <w:pPr>
              <w:spacing w:before="120"/>
              <w:contextualSpacing/>
              <w:jc w:val="center"/>
              <w:rPr>
                <w:rFonts w:ascii="Corbel" w:eastAsia="Times New Roman" w:hAnsi="Corbel" w:cs="Corbel"/>
                <w:b/>
                <w:color w:val="FFFFFF"/>
                <w:spacing w:val="20"/>
                <w:sz w:val="24"/>
                <w:szCs w:val="24"/>
                <w:lang w:eastAsia="en-AU"/>
              </w:rPr>
            </w:pPr>
            <w:r w:rsidRPr="00336400">
              <w:rPr>
                <w:rFonts w:ascii="Corbel" w:hAnsi="Corbel"/>
                <w:b/>
                <w:color w:val="FFFFFF"/>
                <w:spacing w:val="20"/>
                <w:sz w:val="24"/>
                <w:szCs w:val="24"/>
              </w:rPr>
              <w:t>2023</w:t>
            </w:r>
          </w:p>
        </w:tc>
      </w:tr>
      <w:tr w:rsidR="005B299A" w:rsidRPr="006D59AE" w14:paraId="47290704" w14:textId="21CAB40C" w:rsidTr="37E9F5FF">
        <w:trPr>
          <w:trHeight w:val="300"/>
        </w:trPr>
        <w:tc>
          <w:tcPr>
            <w:tcW w:w="1315" w:type="dxa"/>
            <w:hideMark/>
          </w:tcPr>
          <w:p w14:paraId="08E5450A" w14:textId="17D5882C" w:rsidR="005B299A" w:rsidRPr="006D59AE" w:rsidRDefault="005B299A" w:rsidP="009859AB">
            <w:pPr>
              <w:spacing w:after="240" w:line="260" w:lineRule="exact"/>
              <w:jc w:val="both"/>
              <w:rPr>
                <w:rFonts w:ascii="Corbel" w:eastAsia="Times New Roman" w:hAnsi="Corbel" w:cs="Calibri"/>
                <w:color w:val="000000"/>
                <w:lang w:eastAsia="en-AU"/>
              </w:rPr>
            </w:pPr>
            <w:r w:rsidRPr="006D59AE">
              <w:rPr>
                <w:rFonts w:ascii="Corbel" w:hAnsi="Corbel"/>
                <w:color w:val="404040" w:themeColor="text1" w:themeTint="BF"/>
              </w:rPr>
              <w:t>$ per student</w:t>
            </w:r>
          </w:p>
        </w:tc>
        <w:tc>
          <w:tcPr>
            <w:tcW w:w="995" w:type="dxa"/>
            <w:vAlign w:val="bottom"/>
            <w:hideMark/>
          </w:tcPr>
          <w:p w14:paraId="1F59042D" w14:textId="2657993E" w:rsidR="005B299A" w:rsidRPr="006D59AE" w:rsidRDefault="005B299A" w:rsidP="009859AB">
            <w:pPr>
              <w:spacing w:after="240" w:line="260" w:lineRule="exact"/>
              <w:jc w:val="center"/>
              <w:rPr>
                <w:rFonts w:ascii="Corbel" w:hAnsi="Corbel"/>
                <w:color w:val="404040" w:themeColor="text1" w:themeTint="BF"/>
              </w:rPr>
            </w:pPr>
            <w:r w:rsidRPr="006D59AE">
              <w:rPr>
                <w:rFonts w:ascii="Corbel" w:hAnsi="Corbel"/>
                <w:color w:val="404040" w:themeColor="text1" w:themeTint="BF"/>
              </w:rPr>
              <w:t xml:space="preserve">                                14,595 </w:t>
            </w:r>
          </w:p>
        </w:tc>
        <w:tc>
          <w:tcPr>
            <w:tcW w:w="994" w:type="dxa"/>
            <w:vAlign w:val="bottom"/>
            <w:hideMark/>
          </w:tcPr>
          <w:p w14:paraId="4C3C4589" w14:textId="2688157F" w:rsidR="005B299A" w:rsidRPr="006D59AE" w:rsidRDefault="005B299A" w:rsidP="009859AB">
            <w:pPr>
              <w:spacing w:after="240" w:line="260" w:lineRule="exact"/>
              <w:jc w:val="center"/>
              <w:rPr>
                <w:rFonts w:ascii="Corbel" w:hAnsi="Corbel"/>
                <w:color w:val="404040" w:themeColor="text1" w:themeTint="BF"/>
              </w:rPr>
            </w:pPr>
            <w:r w:rsidRPr="006D59AE">
              <w:rPr>
                <w:rFonts w:ascii="Corbel" w:hAnsi="Corbel"/>
                <w:color w:val="404040" w:themeColor="text1" w:themeTint="BF"/>
              </w:rPr>
              <w:t xml:space="preserve">                   15,329 </w:t>
            </w:r>
          </w:p>
        </w:tc>
        <w:tc>
          <w:tcPr>
            <w:tcW w:w="1002" w:type="dxa"/>
            <w:vAlign w:val="bottom"/>
            <w:hideMark/>
          </w:tcPr>
          <w:p w14:paraId="6580C3B8" w14:textId="133351C1" w:rsidR="005B299A" w:rsidRPr="006D59AE" w:rsidRDefault="005B299A" w:rsidP="009859AB">
            <w:pPr>
              <w:spacing w:after="240" w:line="260" w:lineRule="exact"/>
              <w:jc w:val="center"/>
              <w:rPr>
                <w:rFonts w:ascii="Corbel" w:hAnsi="Corbel"/>
                <w:color w:val="404040" w:themeColor="text1" w:themeTint="BF"/>
              </w:rPr>
            </w:pPr>
            <w:r w:rsidRPr="006D59AE">
              <w:rPr>
                <w:rFonts w:ascii="Corbel" w:hAnsi="Corbel"/>
                <w:color w:val="404040" w:themeColor="text1" w:themeTint="BF"/>
              </w:rPr>
              <w:t xml:space="preserve">                   16,096 </w:t>
            </w:r>
          </w:p>
        </w:tc>
        <w:tc>
          <w:tcPr>
            <w:tcW w:w="1000" w:type="dxa"/>
            <w:vAlign w:val="bottom"/>
            <w:hideMark/>
          </w:tcPr>
          <w:p w14:paraId="4C373B7B" w14:textId="0FC5228F" w:rsidR="005B299A" w:rsidRPr="006D59AE" w:rsidRDefault="005B299A" w:rsidP="009859AB">
            <w:pPr>
              <w:spacing w:after="240" w:line="260" w:lineRule="exact"/>
              <w:jc w:val="center"/>
              <w:rPr>
                <w:rFonts w:ascii="Corbel" w:hAnsi="Corbel"/>
                <w:color w:val="404040" w:themeColor="text1" w:themeTint="BF"/>
              </w:rPr>
            </w:pPr>
            <w:r w:rsidRPr="006D59AE">
              <w:rPr>
                <w:rFonts w:ascii="Corbel" w:hAnsi="Corbel"/>
                <w:color w:val="404040" w:themeColor="text1" w:themeTint="BF"/>
              </w:rPr>
              <w:t xml:space="preserve">                   16,959 </w:t>
            </w:r>
          </w:p>
        </w:tc>
        <w:tc>
          <w:tcPr>
            <w:tcW w:w="986" w:type="dxa"/>
            <w:vAlign w:val="bottom"/>
            <w:hideMark/>
          </w:tcPr>
          <w:p w14:paraId="5C19846B" w14:textId="53F6F77D" w:rsidR="005B299A" w:rsidRPr="006D59AE" w:rsidRDefault="005B299A" w:rsidP="009859AB">
            <w:pPr>
              <w:spacing w:after="240" w:line="260" w:lineRule="exact"/>
              <w:jc w:val="center"/>
              <w:rPr>
                <w:rFonts w:ascii="Corbel" w:hAnsi="Corbel"/>
                <w:color w:val="404040" w:themeColor="text1" w:themeTint="BF"/>
              </w:rPr>
            </w:pPr>
            <w:r w:rsidRPr="006D59AE">
              <w:rPr>
                <w:rFonts w:ascii="Corbel" w:hAnsi="Corbel"/>
                <w:color w:val="404040" w:themeColor="text1" w:themeTint="BF"/>
              </w:rPr>
              <w:t xml:space="preserve">                   17,813 </w:t>
            </w:r>
          </w:p>
        </w:tc>
        <w:tc>
          <w:tcPr>
            <w:tcW w:w="998" w:type="dxa"/>
            <w:vAlign w:val="bottom"/>
            <w:hideMark/>
          </w:tcPr>
          <w:p w14:paraId="634D26E6" w14:textId="325D5CFD" w:rsidR="005B299A" w:rsidRPr="006D59AE" w:rsidRDefault="005B299A" w:rsidP="009859AB">
            <w:pPr>
              <w:spacing w:after="240" w:line="260" w:lineRule="exact"/>
              <w:jc w:val="center"/>
              <w:rPr>
                <w:rFonts w:ascii="Corbel" w:hAnsi="Corbel"/>
                <w:color w:val="404040" w:themeColor="text1" w:themeTint="BF"/>
              </w:rPr>
            </w:pPr>
            <w:r w:rsidRPr="006D59AE">
              <w:rPr>
                <w:rFonts w:ascii="Corbel" w:hAnsi="Corbel"/>
                <w:color w:val="404040" w:themeColor="text1" w:themeTint="BF"/>
              </w:rPr>
              <w:t xml:space="preserve">                   18,560 </w:t>
            </w:r>
          </w:p>
        </w:tc>
        <w:tc>
          <w:tcPr>
            <w:tcW w:w="994" w:type="dxa"/>
            <w:vAlign w:val="bottom"/>
            <w:hideMark/>
          </w:tcPr>
          <w:p w14:paraId="1D9EE16F" w14:textId="208978A6" w:rsidR="005B299A" w:rsidRPr="006D59AE" w:rsidRDefault="005B299A" w:rsidP="009859AB">
            <w:pPr>
              <w:spacing w:after="240" w:line="260" w:lineRule="exact"/>
              <w:jc w:val="center"/>
              <w:rPr>
                <w:rFonts w:ascii="Corbel" w:hAnsi="Corbel"/>
                <w:color w:val="404040" w:themeColor="text1" w:themeTint="BF"/>
              </w:rPr>
            </w:pPr>
            <w:r w:rsidRPr="006D59AE">
              <w:rPr>
                <w:rFonts w:ascii="Corbel" w:hAnsi="Corbel"/>
                <w:color w:val="404040" w:themeColor="text1" w:themeTint="BF"/>
              </w:rPr>
              <w:t xml:space="preserve">                   19,339 </w:t>
            </w:r>
          </w:p>
        </w:tc>
      </w:tr>
      <w:tr w:rsidR="005B299A" w:rsidRPr="006D59AE" w14:paraId="1C3F10C1" w14:textId="524FC378" w:rsidTr="37E9F5FF">
        <w:trPr>
          <w:trHeight w:val="300"/>
        </w:trPr>
        <w:tc>
          <w:tcPr>
            <w:tcW w:w="1315" w:type="dxa"/>
            <w:hideMark/>
          </w:tcPr>
          <w:p w14:paraId="2B77F16C" w14:textId="15896A0D" w:rsidR="005B299A" w:rsidRPr="006D59AE" w:rsidRDefault="005B299A" w:rsidP="009859AB">
            <w:pPr>
              <w:spacing w:after="240" w:line="260" w:lineRule="exact"/>
              <w:jc w:val="both"/>
              <w:rPr>
                <w:rFonts w:ascii="Corbel" w:eastAsia="Times New Roman" w:hAnsi="Corbel" w:cs="Calibri"/>
                <w:color w:val="000000"/>
                <w:lang w:eastAsia="en-AU"/>
              </w:rPr>
            </w:pPr>
            <w:r w:rsidRPr="006D59AE">
              <w:rPr>
                <w:rFonts w:ascii="Corbel" w:hAnsi="Corbel"/>
                <w:color w:val="404040" w:themeColor="text1" w:themeTint="BF"/>
              </w:rPr>
              <w:t>Growth</w:t>
            </w:r>
          </w:p>
        </w:tc>
        <w:tc>
          <w:tcPr>
            <w:tcW w:w="995" w:type="dxa"/>
            <w:vAlign w:val="center"/>
          </w:tcPr>
          <w:p w14:paraId="1231BE67" w14:textId="53B62101" w:rsidR="005B299A" w:rsidRPr="006D59AE" w:rsidRDefault="005B299A" w:rsidP="009859AB">
            <w:pPr>
              <w:spacing w:after="240" w:line="260" w:lineRule="exact"/>
              <w:jc w:val="center"/>
              <w:rPr>
                <w:rFonts w:ascii="Corbel" w:hAnsi="Corbel"/>
                <w:color w:val="404040" w:themeColor="text1" w:themeTint="BF"/>
              </w:rPr>
            </w:pPr>
          </w:p>
        </w:tc>
        <w:tc>
          <w:tcPr>
            <w:tcW w:w="994" w:type="dxa"/>
            <w:vAlign w:val="bottom"/>
            <w:hideMark/>
          </w:tcPr>
          <w:p w14:paraId="7A74D0C9" w14:textId="2E2D0E6A" w:rsidR="005B299A" w:rsidRPr="006D59AE" w:rsidRDefault="005B299A" w:rsidP="009859AB">
            <w:pPr>
              <w:spacing w:after="240" w:line="260" w:lineRule="exact"/>
              <w:jc w:val="center"/>
              <w:rPr>
                <w:rFonts w:ascii="Corbel" w:hAnsi="Corbel"/>
                <w:color w:val="404040" w:themeColor="text1" w:themeTint="BF"/>
              </w:rPr>
            </w:pPr>
            <w:r w:rsidRPr="006D59AE">
              <w:rPr>
                <w:rFonts w:ascii="Corbel" w:hAnsi="Corbel"/>
                <w:color w:val="404040" w:themeColor="text1" w:themeTint="BF"/>
              </w:rPr>
              <w:t>5.03%</w:t>
            </w:r>
          </w:p>
        </w:tc>
        <w:tc>
          <w:tcPr>
            <w:tcW w:w="1002" w:type="dxa"/>
            <w:vAlign w:val="bottom"/>
            <w:hideMark/>
          </w:tcPr>
          <w:p w14:paraId="7519D9BC" w14:textId="2DC6E1EA" w:rsidR="005B299A" w:rsidRPr="006D59AE" w:rsidRDefault="005B299A" w:rsidP="009859AB">
            <w:pPr>
              <w:spacing w:after="240" w:line="260" w:lineRule="exact"/>
              <w:jc w:val="center"/>
              <w:rPr>
                <w:rFonts w:ascii="Corbel" w:hAnsi="Corbel"/>
                <w:color w:val="404040" w:themeColor="text1" w:themeTint="BF"/>
              </w:rPr>
            </w:pPr>
            <w:r w:rsidRPr="006D59AE">
              <w:rPr>
                <w:rFonts w:ascii="Corbel" w:hAnsi="Corbel"/>
                <w:color w:val="404040" w:themeColor="text1" w:themeTint="BF"/>
              </w:rPr>
              <w:t>5.01%</w:t>
            </w:r>
          </w:p>
        </w:tc>
        <w:tc>
          <w:tcPr>
            <w:tcW w:w="1000" w:type="dxa"/>
            <w:vAlign w:val="bottom"/>
            <w:hideMark/>
          </w:tcPr>
          <w:p w14:paraId="4BF8B7E5" w14:textId="37FD5666" w:rsidR="005B299A" w:rsidRPr="006D59AE" w:rsidRDefault="005B299A" w:rsidP="009859AB">
            <w:pPr>
              <w:spacing w:after="240" w:line="260" w:lineRule="exact"/>
              <w:jc w:val="center"/>
              <w:rPr>
                <w:rFonts w:ascii="Corbel" w:hAnsi="Corbel"/>
                <w:color w:val="404040" w:themeColor="text1" w:themeTint="BF"/>
              </w:rPr>
            </w:pPr>
            <w:r w:rsidRPr="006D59AE">
              <w:rPr>
                <w:rFonts w:ascii="Corbel" w:hAnsi="Corbel"/>
                <w:color w:val="404040" w:themeColor="text1" w:themeTint="BF"/>
              </w:rPr>
              <w:t>5.36%</w:t>
            </w:r>
          </w:p>
        </w:tc>
        <w:tc>
          <w:tcPr>
            <w:tcW w:w="986" w:type="dxa"/>
            <w:vAlign w:val="bottom"/>
            <w:hideMark/>
          </w:tcPr>
          <w:p w14:paraId="756B912F" w14:textId="4969E7E8" w:rsidR="005B299A" w:rsidRPr="006D59AE" w:rsidRDefault="005B299A" w:rsidP="009859AB">
            <w:pPr>
              <w:spacing w:after="240" w:line="260" w:lineRule="exact"/>
              <w:jc w:val="center"/>
              <w:rPr>
                <w:rFonts w:ascii="Corbel" w:hAnsi="Corbel"/>
                <w:color w:val="404040" w:themeColor="text1" w:themeTint="BF"/>
              </w:rPr>
            </w:pPr>
            <w:r w:rsidRPr="006D59AE">
              <w:rPr>
                <w:rFonts w:ascii="Corbel" w:hAnsi="Corbel"/>
                <w:color w:val="404040" w:themeColor="text1" w:themeTint="BF"/>
              </w:rPr>
              <w:t>5.03%</w:t>
            </w:r>
          </w:p>
        </w:tc>
        <w:tc>
          <w:tcPr>
            <w:tcW w:w="998" w:type="dxa"/>
            <w:vAlign w:val="bottom"/>
            <w:hideMark/>
          </w:tcPr>
          <w:p w14:paraId="2CB7E112" w14:textId="3A88D02A" w:rsidR="005B299A" w:rsidRPr="006D59AE" w:rsidRDefault="005B299A" w:rsidP="009859AB">
            <w:pPr>
              <w:spacing w:after="240" w:line="260" w:lineRule="exact"/>
              <w:jc w:val="center"/>
              <w:rPr>
                <w:rFonts w:ascii="Corbel" w:hAnsi="Corbel"/>
                <w:color w:val="404040" w:themeColor="text1" w:themeTint="BF"/>
              </w:rPr>
            </w:pPr>
            <w:r w:rsidRPr="006D59AE">
              <w:rPr>
                <w:rFonts w:ascii="Corbel" w:hAnsi="Corbel"/>
                <w:color w:val="404040" w:themeColor="text1" w:themeTint="BF"/>
              </w:rPr>
              <w:t>4.19%</w:t>
            </w:r>
          </w:p>
        </w:tc>
        <w:tc>
          <w:tcPr>
            <w:tcW w:w="994" w:type="dxa"/>
            <w:vAlign w:val="bottom"/>
            <w:hideMark/>
          </w:tcPr>
          <w:p w14:paraId="763EBEC3" w14:textId="70BA8386" w:rsidR="005B299A" w:rsidRPr="006D59AE" w:rsidRDefault="005B299A" w:rsidP="009859AB">
            <w:pPr>
              <w:spacing w:after="240" w:line="260" w:lineRule="exact"/>
              <w:jc w:val="center"/>
              <w:rPr>
                <w:rFonts w:ascii="Corbel" w:hAnsi="Corbel"/>
                <w:color w:val="404040" w:themeColor="text1" w:themeTint="BF"/>
              </w:rPr>
            </w:pPr>
            <w:r w:rsidRPr="006D59AE">
              <w:rPr>
                <w:rFonts w:ascii="Corbel" w:hAnsi="Corbel"/>
                <w:color w:val="404040" w:themeColor="text1" w:themeTint="BF"/>
              </w:rPr>
              <w:t>4.20%</w:t>
            </w:r>
          </w:p>
        </w:tc>
      </w:tr>
    </w:tbl>
    <w:p w14:paraId="36FEB5B0" w14:textId="590AA191" w:rsidR="00BE5A84" w:rsidRDefault="00BE5A84" w:rsidP="00BE5A84">
      <w:pPr>
        <w:spacing w:after="240" w:line="260" w:lineRule="exact"/>
        <w:ind w:left="-76"/>
        <w:jc w:val="both"/>
        <w:rPr>
          <w:rFonts w:ascii="Corbel" w:eastAsia="Times New Roman" w:hAnsi="Corbel" w:cs="Calibri"/>
          <w:color w:val="000000"/>
          <w:sz w:val="23"/>
          <w:szCs w:val="23"/>
          <w:lang w:eastAsia="en-AU"/>
        </w:rPr>
      </w:pPr>
    </w:p>
    <w:p w14:paraId="6A3090E1" w14:textId="67677766"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4182BC9">
        <w:rPr>
          <w:rFonts w:ascii="Corbel" w:eastAsia="Times New Roman" w:hAnsi="Corbel" w:cs="Calibri"/>
          <w:color w:val="000000" w:themeColor="text1"/>
          <w:sz w:val="23"/>
          <w:szCs w:val="23"/>
          <w:lang w:eastAsia="en-AU"/>
        </w:rPr>
        <w:t>Further, the Northern Territory funding commitment under this agreement is to increase the Northern Territory’s funding share of the SRS for government schools by 4.6 percentage points from the 2017 starting share to 202</w:t>
      </w:r>
      <w:r w:rsidR="000E7293" w:rsidRPr="04182BC9">
        <w:rPr>
          <w:rFonts w:ascii="Corbel" w:eastAsia="Times New Roman" w:hAnsi="Corbel" w:cs="Calibri"/>
          <w:color w:val="000000" w:themeColor="text1"/>
          <w:sz w:val="23"/>
          <w:szCs w:val="23"/>
          <w:lang w:eastAsia="en-AU"/>
        </w:rPr>
        <w:t>4</w:t>
      </w:r>
      <w:r w:rsidRPr="04182BC9">
        <w:rPr>
          <w:rFonts w:ascii="Corbel" w:eastAsia="Times New Roman" w:hAnsi="Corbel" w:cs="Calibri"/>
          <w:color w:val="000000" w:themeColor="text1"/>
          <w:sz w:val="23"/>
          <w:szCs w:val="23"/>
          <w:lang w:eastAsia="en-AU"/>
        </w:rPr>
        <w:t xml:space="preserve">.  </w:t>
      </w:r>
    </w:p>
    <w:p w14:paraId="24E18A68" w14:textId="059B9781"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In relation to non-government schools, the Northern Territory has committed to maintaining its funding share of the SRS under this agreement. This will mean that Northern Territory funding for non-government schools will grow in line with the SRS, growing in real terms over the next six years. This is in addition to the higher rate of funding that non-government schools in the Northern Territory will receive from the Commonwealth Government under the Quality Schools reform.   </w:t>
      </w:r>
    </w:p>
    <w:p w14:paraId="0186D1CF" w14:textId="4B965B5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Northern Territory’s SRS per student is substantially higher than all other jurisdictions due to the disproportionate number of disadvantaged students and schools in the Northern Territory and the above average loadings these students and schools attract in the SRS. As such, the Northern Territory is required to make a higher effort relative to other jurisdictions to reach the same SRS target. </w:t>
      </w:r>
    </w:p>
    <w:p w14:paraId="54FDC471" w14:textId="23873A14"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Based on 2017 estimates, the SRS per government student in the Northern Territory is about $26 800. The Northern Territory’s starting share of the SRS for government schools for 2017 is 54.4 per cent or $14 595 per government student. The Northern Territory’s starting share for government schools is about 90 per cent of the average SRS for </w:t>
      </w:r>
      <w:r>
        <w:rPr>
          <w:rFonts w:ascii="Corbel" w:eastAsia="Times New Roman" w:hAnsi="Corbel" w:cs="Calibri"/>
          <w:color w:val="000000"/>
          <w:sz w:val="23"/>
          <w:szCs w:val="23"/>
          <w:lang w:eastAsia="en-AU"/>
        </w:rPr>
        <w:lastRenderedPageBreak/>
        <w:t>government schools for all States and territories which stands at $16 000 per government student. Similarly, the Commonwealth Government provides about $6400 per government student in the Northern Territory, or about 40 per cent of the national SRS per government student rate.</w:t>
      </w:r>
    </w:p>
    <w:p w14:paraId="44393EBD" w14:textId="4769A620"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2017 starting shares for the Northern Territory for government and non-government sectors are:</w:t>
      </w:r>
    </w:p>
    <w:p w14:paraId="47E0E990" w14:textId="19F837ED" w:rsidR="00BE5A84" w:rsidRDefault="00BE5A84" w:rsidP="00BE5A84">
      <w:pPr>
        <w:numPr>
          <w:ilvl w:val="0"/>
          <w:numId w:val="10"/>
        </w:numPr>
        <w:spacing w:after="240" w:line="260" w:lineRule="exact"/>
        <w:ind w:left="992" w:hanging="35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54.4 per cent for the government sector</w:t>
      </w:r>
      <w:r>
        <w:rPr>
          <w:rFonts w:ascii="Corbel" w:eastAsia="Times New Roman" w:hAnsi="Corbel" w:cs="Calibri"/>
          <w:color w:val="000000"/>
          <w:sz w:val="23"/>
          <w:szCs w:val="23"/>
          <w:lang w:eastAsia="en-AU"/>
        </w:rPr>
        <w:tab/>
      </w:r>
    </w:p>
    <w:p w14:paraId="48AA4652" w14:textId="54B31C04" w:rsidR="00BE5A84" w:rsidRDefault="00BE5A84" w:rsidP="00BE5A84">
      <w:pPr>
        <w:numPr>
          <w:ilvl w:val="0"/>
          <w:numId w:val="10"/>
        </w:numPr>
        <w:spacing w:after="240" w:line="260" w:lineRule="exact"/>
        <w:ind w:left="993"/>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 15.09 per cent for the non-government sector</w:t>
      </w:r>
    </w:p>
    <w:p w14:paraId="632F04B9" w14:textId="075C804A"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4182BC9">
        <w:rPr>
          <w:rFonts w:ascii="Corbel" w:eastAsia="Times New Roman" w:hAnsi="Corbel" w:cs="Calibri"/>
          <w:color w:val="000000" w:themeColor="text1"/>
          <w:sz w:val="23"/>
          <w:szCs w:val="23"/>
          <w:lang w:eastAsia="en-AU"/>
        </w:rPr>
        <w:t>The Northern Territory’s funding contributions for the government and non-government sectors agreed in this bilateral agreement are outlined in the table below for each year from 2018 to 202</w:t>
      </w:r>
      <w:r w:rsidR="009859AB" w:rsidRPr="04182BC9">
        <w:rPr>
          <w:rFonts w:ascii="Corbel" w:eastAsia="Times New Roman" w:hAnsi="Corbel" w:cs="Calibri"/>
          <w:color w:val="000000" w:themeColor="text1"/>
          <w:sz w:val="23"/>
          <w:szCs w:val="23"/>
          <w:lang w:eastAsia="en-AU"/>
        </w:rPr>
        <w:t>4</w:t>
      </w:r>
      <w:r w:rsidRPr="04182BC9">
        <w:rPr>
          <w:rFonts w:ascii="Corbel" w:eastAsia="Times New Roman" w:hAnsi="Corbel" w:cs="Calibri"/>
          <w:color w:val="000000" w:themeColor="text1"/>
          <w:sz w:val="23"/>
          <w:szCs w:val="23"/>
          <w:lang w:eastAsia="en-AU"/>
        </w:rPr>
        <w:t>. The minimum funding contributions are expressed as a percentage of the Schooling Resource Standard (SRS) as defined in Part 3 of the Act.</w:t>
      </w:r>
    </w:p>
    <w:p w14:paraId="4AC90E5E" w14:textId="02B25082" w:rsidR="00681DBF" w:rsidRPr="00681DBF" w:rsidRDefault="00681DBF" w:rsidP="00681DBF">
      <w:pPr>
        <w:tabs>
          <w:tab w:val="left" w:pos="13041"/>
        </w:tabs>
        <w:spacing w:before="180" w:after="120" w:line="240" w:lineRule="auto"/>
        <w:outlineLvl w:val="1"/>
        <w:rPr>
          <w:rFonts w:ascii="Corbel" w:eastAsia="Times New Roman" w:hAnsi="Corbel" w:cs="Corbel"/>
          <w:b/>
          <w:bCs/>
          <w:color w:val="806000"/>
          <w:sz w:val="28"/>
          <w:szCs w:val="28"/>
          <w:lang w:eastAsia="en-AU"/>
        </w:rPr>
      </w:pPr>
      <w:r w:rsidRPr="04182BC9">
        <w:rPr>
          <w:rFonts w:ascii="Corbel" w:eastAsia="Times New Roman" w:hAnsi="Corbel" w:cs="Corbel"/>
          <w:b/>
          <w:bCs/>
          <w:color w:val="806000" w:themeColor="accent4" w:themeShade="80"/>
          <w:sz w:val="28"/>
          <w:szCs w:val="28"/>
          <w:lang w:eastAsia="en-AU"/>
        </w:rPr>
        <w:t>Table 3: Northern Territory funding contributions from 2018 to 202</w:t>
      </w:r>
      <w:r w:rsidR="009859AB" w:rsidRPr="04182BC9">
        <w:rPr>
          <w:rFonts w:ascii="Corbel" w:eastAsia="Times New Roman" w:hAnsi="Corbel" w:cs="Corbel"/>
          <w:b/>
          <w:bCs/>
          <w:color w:val="806000" w:themeColor="accent4" w:themeShade="80"/>
          <w:sz w:val="28"/>
          <w:szCs w:val="28"/>
          <w:lang w:eastAsia="en-AU"/>
        </w:rPr>
        <w:t>4</w:t>
      </w:r>
    </w:p>
    <w:tbl>
      <w:tblPr>
        <w:tblStyle w:val="TableGrid1"/>
        <w:tblW w:w="5000" w:type="pct"/>
        <w:tblCellMar>
          <w:top w:w="57" w:type="dxa"/>
          <w:left w:w="57" w:type="dxa"/>
          <w:bottom w:w="57" w:type="dxa"/>
          <w:right w:w="57" w:type="dxa"/>
        </w:tblCellMar>
        <w:tblLook w:val="04A0" w:firstRow="1" w:lastRow="0" w:firstColumn="1" w:lastColumn="0" w:noHBand="0" w:noVBand="1"/>
      </w:tblPr>
      <w:tblGrid>
        <w:gridCol w:w="1418"/>
        <w:gridCol w:w="1089"/>
        <w:gridCol w:w="1089"/>
        <w:gridCol w:w="1089"/>
        <w:gridCol w:w="1089"/>
        <w:gridCol w:w="1090"/>
        <w:gridCol w:w="1081"/>
        <w:gridCol w:w="1081"/>
      </w:tblGrid>
      <w:tr w:rsidR="00E029D3" w14:paraId="0BB4E5BB" w14:textId="797CC9AA" w:rsidTr="00E12D4F">
        <w:trPr>
          <w:trHeight w:val="539"/>
          <w:tblHeader/>
        </w:trPr>
        <w:tc>
          <w:tcPr>
            <w:tcW w:w="786" w:type="pct"/>
            <w:shd w:val="clear" w:color="auto" w:fill="316F72"/>
            <w:vAlign w:val="center"/>
            <w:hideMark/>
          </w:tcPr>
          <w:p w14:paraId="5EBD55C8" w14:textId="540A67DF" w:rsidR="00E12D4F" w:rsidRDefault="00E12D4F" w:rsidP="009859AB">
            <w:pPr>
              <w:spacing w:before="120"/>
              <w:contextualSpacing/>
              <w:jc w:val="center"/>
              <w:rPr>
                <w:color w:val="FFFFFF"/>
                <w:spacing w:val="20"/>
                <w:sz w:val="24"/>
                <w:szCs w:val="24"/>
              </w:rPr>
            </w:pPr>
            <w:r w:rsidRPr="00336400">
              <w:rPr>
                <w:b/>
                <w:color w:val="FFFFFF"/>
                <w:spacing w:val="20"/>
                <w:sz w:val="24"/>
                <w:szCs w:val="24"/>
              </w:rPr>
              <w:t>Sector</w:t>
            </w:r>
          </w:p>
        </w:tc>
        <w:tc>
          <w:tcPr>
            <w:tcW w:w="603" w:type="pct"/>
            <w:shd w:val="clear" w:color="auto" w:fill="316F72"/>
            <w:vAlign w:val="center"/>
            <w:hideMark/>
          </w:tcPr>
          <w:p w14:paraId="46C0E60D" w14:textId="5F74AB65" w:rsidR="00E12D4F" w:rsidRDefault="00E12D4F" w:rsidP="009859AB">
            <w:pPr>
              <w:spacing w:before="120"/>
              <w:contextualSpacing/>
              <w:jc w:val="center"/>
              <w:rPr>
                <w:b/>
                <w:color w:val="FFFFFF"/>
                <w:spacing w:val="20"/>
                <w:sz w:val="24"/>
                <w:szCs w:val="24"/>
              </w:rPr>
            </w:pPr>
            <w:r>
              <w:rPr>
                <w:b/>
                <w:color w:val="FFFFFF"/>
                <w:spacing w:val="20"/>
                <w:sz w:val="24"/>
                <w:szCs w:val="24"/>
              </w:rPr>
              <w:t>2018</w:t>
            </w:r>
          </w:p>
        </w:tc>
        <w:tc>
          <w:tcPr>
            <w:tcW w:w="603" w:type="pct"/>
            <w:shd w:val="clear" w:color="auto" w:fill="316F72"/>
            <w:vAlign w:val="center"/>
            <w:hideMark/>
          </w:tcPr>
          <w:p w14:paraId="41419408" w14:textId="498C540A" w:rsidR="00E12D4F" w:rsidRDefault="00E12D4F" w:rsidP="009859AB">
            <w:pPr>
              <w:spacing w:before="120"/>
              <w:contextualSpacing/>
              <w:jc w:val="center"/>
              <w:rPr>
                <w:b/>
                <w:color w:val="FFFFFF"/>
                <w:spacing w:val="20"/>
                <w:sz w:val="24"/>
                <w:szCs w:val="24"/>
              </w:rPr>
            </w:pPr>
            <w:r>
              <w:rPr>
                <w:b/>
                <w:color w:val="FFFFFF"/>
                <w:spacing w:val="20"/>
                <w:sz w:val="24"/>
                <w:szCs w:val="24"/>
              </w:rPr>
              <w:t>2019</w:t>
            </w:r>
          </w:p>
        </w:tc>
        <w:tc>
          <w:tcPr>
            <w:tcW w:w="603" w:type="pct"/>
            <w:shd w:val="clear" w:color="auto" w:fill="316F72"/>
            <w:vAlign w:val="center"/>
            <w:hideMark/>
          </w:tcPr>
          <w:p w14:paraId="77F781D2" w14:textId="14478D72" w:rsidR="00E12D4F" w:rsidRDefault="00E12D4F" w:rsidP="009859AB">
            <w:pPr>
              <w:spacing w:before="120"/>
              <w:contextualSpacing/>
              <w:jc w:val="center"/>
              <w:rPr>
                <w:b/>
                <w:color w:val="FFFFFF"/>
                <w:spacing w:val="20"/>
                <w:sz w:val="24"/>
                <w:szCs w:val="24"/>
              </w:rPr>
            </w:pPr>
            <w:r>
              <w:rPr>
                <w:b/>
                <w:color w:val="FFFFFF"/>
                <w:spacing w:val="20"/>
                <w:sz w:val="24"/>
                <w:szCs w:val="24"/>
              </w:rPr>
              <w:t>2020</w:t>
            </w:r>
          </w:p>
        </w:tc>
        <w:tc>
          <w:tcPr>
            <w:tcW w:w="603" w:type="pct"/>
            <w:shd w:val="clear" w:color="auto" w:fill="316F72"/>
            <w:vAlign w:val="center"/>
            <w:hideMark/>
          </w:tcPr>
          <w:p w14:paraId="6EC9CF6B" w14:textId="52B25C9A" w:rsidR="00E12D4F" w:rsidRDefault="00E12D4F" w:rsidP="009859AB">
            <w:pPr>
              <w:spacing w:before="120"/>
              <w:contextualSpacing/>
              <w:jc w:val="center"/>
              <w:rPr>
                <w:b/>
                <w:color w:val="FFFFFF"/>
                <w:spacing w:val="20"/>
                <w:sz w:val="24"/>
                <w:szCs w:val="24"/>
              </w:rPr>
            </w:pPr>
            <w:r>
              <w:rPr>
                <w:b/>
                <w:color w:val="FFFFFF"/>
                <w:spacing w:val="20"/>
                <w:sz w:val="24"/>
                <w:szCs w:val="24"/>
              </w:rPr>
              <w:t>2021</w:t>
            </w:r>
          </w:p>
        </w:tc>
        <w:tc>
          <w:tcPr>
            <w:tcW w:w="604" w:type="pct"/>
            <w:shd w:val="clear" w:color="auto" w:fill="316F72"/>
            <w:vAlign w:val="center"/>
            <w:hideMark/>
          </w:tcPr>
          <w:p w14:paraId="78066D58" w14:textId="0F9DE031" w:rsidR="00E12D4F" w:rsidRDefault="00E12D4F" w:rsidP="009859AB">
            <w:pPr>
              <w:spacing w:before="120"/>
              <w:contextualSpacing/>
              <w:jc w:val="center"/>
              <w:rPr>
                <w:b/>
                <w:color w:val="FFFFFF"/>
                <w:spacing w:val="20"/>
                <w:sz w:val="24"/>
                <w:szCs w:val="24"/>
              </w:rPr>
            </w:pPr>
            <w:r>
              <w:rPr>
                <w:b/>
                <w:color w:val="FFFFFF"/>
                <w:spacing w:val="20"/>
                <w:sz w:val="24"/>
                <w:szCs w:val="24"/>
              </w:rPr>
              <w:t>2022</w:t>
            </w:r>
          </w:p>
        </w:tc>
        <w:tc>
          <w:tcPr>
            <w:tcW w:w="599" w:type="pct"/>
            <w:shd w:val="clear" w:color="auto" w:fill="316F72"/>
            <w:vAlign w:val="center"/>
            <w:hideMark/>
          </w:tcPr>
          <w:p w14:paraId="1C623E38" w14:textId="5B64DF54" w:rsidR="00E12D4F" w:rsidRDefault="00E12D4F" w:rsidP="009859AB">
            <w:pPr>
              <w:spacing w:before="120"/>
              <w:contextualSpacing/>
              <w:jc w:val="center"/>
              <w:rPr>
                <w:b/>
                <w:color w:val="FFFFFF"/>
                <w:spacing w:val="20"/>
                <w:sz w:val="24"/>
                <w:szCs w:val="24"/>
              </w:rPr>
            </w:pPr>
            <w:r>
              <w:rPr>
                <w:b/>
                <w:color w:val="FFFFFF"/>
                <w:spacing w:val="20"/>
                <w:sz w:val="24"/>
                <w:szCs w:val="24"/>
              </w:rPr>
              <w:t>2023</w:t>
            </w:r>
          </w:p>
        </w:tc>
        <w:tc>
          <w:tcPr>
            <w:tcW w:w="599" w:type="pct"/>
            <w:shd w:val="clear" w:color="auto" w:fill="316F72"/>
          </w:tcPr>
          <w:p w14:paraId="6E237358" w14:textId="55DF7AF4" w:rsidR="00E12D4F" w:rsidRDefault="00E12D4F" w:rsidP="009859AB">
            <w:pPr>
              <w:spacing w:before="120"/>
              <w:contextualSpacing/>
              <w:jc w:val="center"/>
              <w:rPr>
                <w:b/>
                <w:color w:val="FFFFFF"/>
                <w:spacing w:val="20"/>
                <w:sz w:val="24"/>
                <w:szCs w:val="24"/>
              </w:rPr>
            </w:pPr>
            <w:r>
              <w:rPr>
                <w:b/>
                <w:color w:val="FFFFFF"/>
                <w:spacing w:val="20"/>
                <w:sz w:val="24"/>
                <w:szCs w:val="24"/>
              </w:rPr>
              <w:t>2024</w:t>
            </w:r>
          </w:p>
        </w:tc>
      </w:tr>
      <w:tr w:rsidR="00E12D4F" w14:paraId="5793F1F5" w14:textId="7241167E" w:rsidTr="00346687">
        <w:trPr>
          <w:trHeight w:val="359"/>
        </w:trPr>
        <w:tc>
          <w:tcPr>
            <w:tcW w:w="786" w:type="pct"/>
            <w:hideMark/>
          </w:tcPr>
          <w:p w14:paraId="7548B8C9" w14:textId="2719255B" w:rsidR="00E12D4F" w:rsidRDefault="00E12D4F" w:rsidP="009859AB">
            <w:pPr>
              <w:rPr>
                <w:color w:val="000000"/>
                <w:sz w:val="23"/>
                <w:szCs w:val="23"/>
              </w:rPr>
            </w:pPr>
            <w:r>
              <w:rPr>
                <w:color w:val="000000"/>
                <w:sz w:val="23"/>
                <w:szCs w:val="23"/>
              </w:rPr>
              <w:t>Government</w:t>
            </w:r>
          </w:p>
        </w:tc>
        <w:tc>
          <w:tcPr>
            <w:tcW w:w="603" w:type="pct"/>
            <w:vAlign w:val="center"/>
            <w:hideMark/>
          </w:tcPr>
          <w:p w14:paraId="60FFF1AB" w14:textId="3F0090D7" w:rsidR="00E12D4F" w:rsidRDefault="00E12D4F" w:rsidP="009859AB">
            <w:pPr>
              <w:jc w:val="center"/>
              <w:rPr>
                <w:color w:val="000000"/>
                <w:sz w:val="23"/>
                <w:szCs w:val="23"/>
              </w:rPr>
            </w:pPr>
            <w:r>
              <w:rPr>
                <w:color w:val="000000"/>
                <w:sz w:val="23"/>
                <w:szCs w:val="23"/>
              </w:rPr>
              <w:t>55.20%</w:t>
            </w:r>
          </w:p>
        </w:tc>
        <w:tc>
          <w:tcPr>
            <w:tcW w:w="603" w:type="pct"/>
            <w:vAlign w:val="center"/>
            <w:hideMark/>
          </w:tcPr>
          <w:p w14:paraId="7E80B645" w14:textId="7D922A2D" w:rsidR="00E12D4F" w:rsidRDefault="00E12D4F" w:rsidP="009859AB">
            <w:pPr>
              <w:jc w:val="center"/>
              <w:rPr>
                <w:color w:val="000000"/>
                <w:sz w:val="23"/>
                <w:szCs w:val="23"/>
              </w:rPr>
            </w:pPr>
            <w:r>
              <w:rPr>
                <w:color w:val="000000"/>
                <w:sz w:val="23"/>
                <w:szCs w:val="23"/>
              </w:rPr>
              <w:t>56.00%</w:t>
            </w:r>
          </w:p>
        </w:tc>
        <w:tc>
          <w:tcPr>
            <w:tcW w:w="603" w:type="pct"/>
            <w:vAlign w:val="center"/>
            <w:hideMark/>
          </w:tcPr>
          <w:p w14:paraId="6521F0E0" w14:textId="364F92A8" w:rsidR="00E12D4F" w:rsidRDefault="00E12D4F" w:rsidP="009859AB">
            <w:pPr>
              <w:jc w:val="center"/>
              <w:rPr>
                <w:color w:val="000000"/>
                <w:sz w:val="23"/>
                <w:szCs w:val="23"/>
              </w:rPr>
            </w:pPr>
            <w:r>
              <w:rPr>
                <w:color w:val="000000"/>
                <w:sz w:val="23"/>
                <w:szCs w:val="23"/>
              </w:rPr>
              <w:t>57.00%</w:t>
            </w:r>
          </w:p>
        </w:tc>
        <w:tc>
          <w:tcPr>
            <w:tcW w:w="603" w:type="pct"/>
            <w:vAlign w:val="center"/>
            <w:hideMark/>
          </w:tcPr>
          <w:p w14:paraId="4E049BDE" w14:textId="6E540A9D" w:rsidR="00E12D4F" w:rsidRDefault="00E12D4F" w:rsidP="009859AB">
            <w:pPr>
              <w:jc w:val="center"/>
              <w:rPr>
                <w:color w:val="000000"/>
                <w:sz w:val="23"/>
                <w:szCs w:val="23"/>
              </w:rPr>
            </w:pPr>
            <w:r>
              <w:rPr>
                <w:color w:val="000000"/>
                <w:sz w:val="23"/>
                <w:szCs w:val="23"/>
              </w:rPr>
              <w:t>58.00%</w:t>
            </w:r>
          </w:p>
        </w:tc>
        <w:tc>
          <w:tcPr>
            <w:tcW w:w="604" w:type="pct"/>
            <w:vAlign w:val="center"/>
            <w:hideMark/>
          </w:tcPr>
          <w:p w14:paraId="266AE5CD" w14:textId="008FCB47" w:rsidR="00E12D4F" w:rsidRDefault="00E12D4F" w:rsidP="009859AB">
            <w:pPr>
              <w:jc w:val="center"/>
              <w:rPr>
                <w:color w:val="000000"/>
                <w:sz w:val="23"/>
                <w:szCs w:val="23"/>
              </w:rPr>
            </w:pPr>
            <w:r>
              <w:rPr>
                <w:color w:val="000000"/>
                <w:sz w:val="23"/>
                <w:szCs w:val="23"/>
              </w:rPr>
              <w:t>58.50%</w:t>
            </w:r>
          </w:p>
        </w:tc>
        <w:tc>
          <w:tcPr>
            <w:tcW w:w="599" w:type="pct"/>
            <w:vAlign w:val="center"/>
            <w:hideMark/>
          </w:tcPr>
          <w:p w14:paraId="3D50D363" w14:textId="7A3DEFD8" w:rsidR="00E12D4F" w:rsidRDefault="00E12D4F" w:rsidP="009859AB">
            <w:pPr>
              <w:jc w:val="center"/>
              <w:rPr>
                <w:color w:val="000000"/>
                <w:sz w:val="23"/>
                <w:szCs w:val="23"/>
              </w:rPr>
            </w:pPr>
            <w:r>
              <w:rPr>
                <w:color w:val="000000"/>
                <w:sz w:val="23"/>
                <w:szCs w:val="23"/>
              </w:rPr>
              <w:t>59.00%</w:t>
            </w:r>
          </w:p>
        </w:tc>
        <w:tc>
          <w:tcPr>
            <w:tcW w:w="599" w:type="pct"/>
          </w:tcPr>
          <w:p w14:paraId="44CFFA38" w14:textId="3D3D4306" w:rsidR="00E12D4F" w:rsidRDefault="00923951" w:rsidP="009859AB">
            <w:pPr>
              <w:jc w:val="center"/>
              <w:rPr>
                <w:color w:val="000000"/>
                <w:sz w:val="23"/>
                <w:szCs w:val="23"/>
              </w:rPr>
            </w:pPr>
            <w:r>
              <w:rPr>
                <w:color w:val="000000"/>
                <w:sz w:val="23"/>
                <w:szCs w:val="23"/>
              </w:rPr>
              <w:t>59.00%</w:t>
            </w:r>
          </w:p>
        </w:tc>
      </w:tr>
      <w:tr w:rsidR="00E12D4F" w14:paraId="08469A9B" w14:textId="33D8CB6F" w:rsidTr="00346687">
        <w:trPr>
          <w:trHeight w:val="359"/>
        </w:trPr>
        <w:tc>
          <w:tcPr>
            <w:tcW w:w="786" w:type="pct"/>
            <w:hideMark/>
          </w:tcPr>
          <w:p w14:paraId="230B085A" w14:textId="5ABC6BA3" w:rsidR="00E12D4F" w:rsidRDefault="00E12D4F" w:rsidP="009859AB">
            <w:pPr>
              <w:rPr>
                <w:color w:val="000000"/>
                <w:sz w:val="23"/>
                <w:szCs w:val="23"/>
              </w:rPr>
            </w:pPr>
            <w:r>
              <w:rPr>
                <w:color w:val="000000"/>
                <w:sz w:val="23"/>
                <w:szCs w:val="23"/>
              </w:rPr>
              <w:t>Non-government</w:t>
            </w:r>
          </w:p>
        </w:tc>
        <w:tc>
          <w:tcPr>
            <w:tcW w:w="603" w:type="pct"/>
            <w:vAlign w:val="center"/>
            <w:hideMark/>
          </w:tcPr>
          <w:p w14:paraId="291D4D96" w14:textId="32BBA317" w:rsidR="00E12D4F" w:rsidRDefault="00E12D4F" w:rsidP="009859AB">
            <w:pPr>
              <w:jc w:val="center"/>
              <w:rPr>
                <w:color w:val="000000"/>
                <w:sz w:val="23"/>
                <w:szCs w:val="23"/>
              </w:rPr>
            </w:pPr>
            <w:r>
              <w:rPr>
                <w:color w:val="000000"/>
                <w:sz w:val="23"/>
                <w:szCs w:val="23"/>
              </w:rPr>
              <w:t>15.09%</w:t>
            </w:r>
          </w:p>
        </w:tc>
        <w:tc>
          <w:tcPr>
            <w:tcW w:w="603" w:type="pct"/>
            <w:vAlign w:val="center"/>
            <w:hideMark/>
          </w:tcPr>
          <w:p w14:paraId="05609157" w14:textId="518AEE05" w:rsidR="00E12D4F" w:rsidRDefault="00E12D4F" w:rsidP="009859AB">
            <w:pPr>
              <w:jc w:val="center"/>
              <w:rPr>
                <w:color w:val="000000"/>
                <w:sz w:val="23"/>
                <w:szCs w:val="23"/>
              </w:rPr>
            </w:pPr>
            <w:r>
              <w:rPr>
                <w:color w:val="000000"/>
                <w:sz w:val="23"/>
                <w:szCs w:val="23"/>
              </w:rPr>
              <w:t>15.09%</w:t>
            </w:r>
          </w:p>
        </w:tc>
        <w:tc>
          <w:tcPr>
            <w:tcW w:w="603" w:type="pct"/>
            <w:vAlign w:val="center"/>
            <w:hideMark/>
          </w:tcPr>
          <w:p w14:paraId="641D88FD" w14:textId="20ADEE24" w:rsidR="00E12D4F" w:rsidRDefault="00E12D4F" w:rsidP="009859AB">
            <w:pPr>
              <w:jc w:val="center"/>
              <w:rPr>
                <w:color w:val="000000"/>
                <w:sz w:val="23"/>
                <w:szCs w:val="23"/>
              </w:rPr>
            </w:pPr>
            <w:r>
              <w:rPr>
                <w:color w:val="000000"/>
                <w:sz w:val="23"/>
                <w:szCs w:val="23"/>
              </w:rPr>
              <w:t>15.09%</w:t>
            </w:r>
          </w:p>
        </w:tc>
        <w:tc>
          <w:tcPr>
            <w:tcW w:w="603" w:type="pct"/>
            <w:vAlign w:val="center"/>
            <w:hideMark/>
          </w:tcPr>
          <w:p w14:paraId="6EF1BE04" w14:textId="461CF1A4" w:rsidR="00E12D4F" w:rsidRDefault="00E12D4F" w:rsidP="009859AB">
            <w:pPr>
              <w:jc w:val="center"/>
              <w:rPr>
                <w:color w:val="000000"/>
                <w:sz w:val="23"/>
                <w:szCs w:val="23"/>
              </w:rPr>
            </w:pPr>
            <w:r>
              <w:rPr>
                <w:color w:val="000000"/>
                <w:sz w:val="23"/>
                <w:szCs w:val="23"/>
              </w:rPr>
              <w:t>15.09%</w:t>
            </w:r>
          </w:p>
        </w:tc>
        <w:tc>
          <w:tcPr>
            <w:tcW w:w="604" w:type="pct"/>
            <w:vAlign w:val="center"/>
            <w:hideMark/>
          </w:tcPr>
          <w:p w14:paraId="39F009C1" w14:textId="41C5B2CF" w:rsidR="00E12D4F" w:rsidRDefault="00E12D4F" w:rsidP="009859AB">
            <w:pPr>
              <w:jc w:val="center"/>
              <w:rPr>
                <w:color w:val="000000"/>
                <w:sz w:val="23"/>
                <w:szCs w:val="23"/>
              </w:rPr>
            </w:pPr>
            <w:r>
              <w:rPr>
                <w:color w:val="000000"/>
                <w:sz w:val="23"/>
                <w:szCs w:val="23"/>
              </w:rPr>
              <w:t>15.09%</w:t>
            </w:r>
          </w:p>
        </w:tc>
        <w:tc>
          <w:tcPr>
            <w:tcW w:w="599" w:type="pct"/>
            <w:vAlign w:val="center"/>
            <w:hideMark/>
          </w:tcPr>
          <w:p w14:paraId="18FC5B23" w14:textId="617F100A" w:rsidR="00E12D4F" w:rsidRDefault="00E12D4F" w:rsidP="009859AB">
            <w:pPr>
              <w:jc w:val="center"/>
              <w:rPr>
                <w:color w:val="000000"/>
                <w:sz w:val="23"/>
                <w:szCs w:val="23"/>
              </w:rPr>
            </w:pPr>
            <w:r>
              <w:rPr>
                <w:color w:val="000000"/>
                <w:sz w:val="23"/>
                <w:szCs w:val="23"/>
              </w:rPr>
              <w:t>15.09%</w:t>
            </w:r>
          </w:p>
        </w:tc>
        <w:tc>
          <w:tcPr>
            <w:tcW w:w="599" w:type="pct"/>
          </w:tcPr>
          <w:p w14:paraId="303BDF80" w14:textId="5E386072" w:rsidR="00E12D4F" w:rsidRDefault="00923951" w:rsidP="009859AB">
            <w:pPr>
              <w:jc w:val="center"/>
              <w:rPr>
                <w:color w:val="000000"/>
                <w:sz w:val="23"/>
                <w:szCs w:val="23"/>
              </w:rPr>
            </w:pPr>
            <w:r>
              <w:rPr>
                <w:color w:val="000000"/>
                <w:sz w:val="23"/>
                <w:szCs w:val="23"/>
              </w:rPr>
              <w:t>15.o9%</w:t>
            </w:r>
          </w:p>
        </w:tc>
      </w:tr>
    </w:tbl>
    <w:p w14:paraId="00998CBE" w14:textId="0A8A2B7D"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funding contributions outlined above have been agreed based on the following rationale:</w:t>
      </w:r>
    </w:p>
    <w:p w14:paraId="3323DB06" w14:textId="08163BF5" w:rsidR="00BE5A84" w:rsidRDefault="00BE5A84" w:rsidP="00BE5A84">
      <w:pPr>
        <w:numPr>
          <w:ilvl w:val="0"/>
          <w:numId w:val="11"/>
        </w:numPr>
        <w:spacing w:before="240" w:after="240" w:line="260" w:lineRule="exact"/>
        <w:ind w:left="993"/>
        <w:jc w:val="both"/>
        <w:rPr>
          <w:rFonts w:ascii="Corbel" w:eastAsia="Times New Roman" w:hAnsi="Corbel" w:cs="Calibri"/>
          <w:sz w:val="23"/>
          <w:szCs w:val="23"/>
          <w:lang w:eastAsia="en-AU"/>
        </w:rPr>
      </w:pPr>
      <w:r>
        <w:rPr>
          <w:rFonts w:ascii="Corbel" w:eastAsia="Times New Roman" w:hAnsi="Corbel" w:cs="Calibri"/>
          <w:sz w:val="23"/>
          <w:szCs w:val="23"/>
          <w:lang w:eastAsia="en-AU"/>
        </w:rPr>
        <w:t>The Northern Territory’s funding commitments under this agreement should be considered in the context of the current subdued economic and fiscal conditions and the higher funding effort the Northern Territory makes on a funding per student basis relative to other jurisdictions.</w:t>
      </w:r>
    </w:p>
    <w:p w14:paraId="07CB393A" w14:textId="1811A988" w:rsidR="00BE5A84" w:rsidRDefault="00BE5A84" w:rsidP="00BE5A84">
      <w:pPr>
        <w:numPr>
          <w:ilvl w:val="0"/>
          <w:numId w:val="11"/>
        </w:numPr>
        <w:spacing w:before="240" w:after="240" w:line="260" w:lineRule="exact"/>
        <w:ind w:left="993"/>
        <w:jc w:val="both"/>
        <w:rPr>
          <w:rFonts w:ascii="Corbel" w:eastAsia="Times New Roman" w:hAnsi="Corbel" w:cs="Calibri"/>
          <w:sz w:val="23"/>
          <w:szCs w:val="23"/>
          <w:lang w:eastAsia="en-AU"/>
        </w:rPr>
      </w:pPr>
      <w:r>
        <w:rPr>
          <w:rFonts w:ascii="Corbel" w:eastAsia="Times New Roman" w:hAnsi="Corbel" w:cs="Calibri"/>
          <w:sz w:val="23"/>
          <w:szCs w:val="23"/>
          <w:lang w:eastAsia="en-AU"/>
        </w:rPr>
        <w:t xml:space="preserve">The Northern Territory’s funding targets are ambitious in the context of the Northern Territory’s current fiscal and economic environment, with conditions expected to remain subdued and below trend over the medium term. </w:t>
      </w:r>
    </w:p>
    <w:p w14:paraId="737743D6" w14:textId="2A491B8E" w:rsidR="00BE5A84" w:rsidRDefault="00BE5A84" w:rsidP="00BE5A84">
      <w:pPr>
        <w:numPr>
          <w:ilvl w:val="0"/>
          <w:numId w:val="11"/>
        </w:numPr>
        <w:spacing w:before="240" w:after="240" w:line="260" w:lineRule="exact"/>
        <w:ind w:left="993"/>
        <w:jc w:val="both"/>
        <w:rPr>
          <w:rFonts w:ascii="Corbel" w:eastAsia="Times New Roman" w:hAnsi="Corbel" w:cs="Calibri"/>
          <w:sz w:val="23"/>
          <w:szCs w:val="23"/>
          <w:lang w:eastAsia="en-AU"/>
        </w:rPr>
      </w:pPr>
      <w:r>
        <w:rPr>
          <w:rFonts w:ascii="Corbel" w:eastAsia="Times New Roman" w:hAnsi="Corbel" w:cs="Calibri"/>
          <w:sz w:val="23"/>
          <w:szCs w:val="23"/>
          <w:lang w:eastAsia="en-AU"/>
        </w:rPr>
        <w:t xml:space="preserve">All key Northern Territory economic indicators are forecast to remain subdued or in some cases decline in the next couple of years, before gradually strengthening over the outlook period, but generally remaining below long-term trend.    </w:t>
      </w:r>
    </w:p>
    <w:p w14:paraId="3E86660F" w14:textId="382FF392" w:rsidR="00BE5A84" w:rsidRDefault="00BE5A84" w:rsidP="00BE5A84">
      <w:pPr>
        <w:numPr>
          <w:ilvl w:val="0"/>
          <w:numId w:val="11"/>
        </w:numPr>
        <w:spacing w:before="240" w:after="240" w:line="260" w:lineRule="exact"/>
        <w:ind w:left="993"/>
        <w:jc w:val="both"/>
        <w:rPr>
          <w:rFonts w:ascii="Corbel" w:eastAsia="Times New Roman" w:hAnsi="Corbel" w:cs="Calibri"/>
          <w:sz w:val="23"/>
          <w:szCs w:val="23"/>
          <w:lang w:eastAsia="en-AU"/>
        </w:rPr>
      </w:pPr>
      <w:r>
        <w:rPr>
          <w:rFonts w:ascii="Corbel" w:eastAsia="Times New Roman" w:hAnsi="Corbel" w:cs="Calibri"/>
          <w:sz w:val="23"/>
          <w:szCs w:val="23"/>
          <w:lang w:eastAsia="en-AU"/>
        </w:rPr>
        <w:t xml:space="preserve">The Northern Territory’s fiscal position has been significantly influenced by lower GST revenue and ongoing demand pressures for government services, particularly in the areas of health, welfare, </w:t>
      </w:r>
      <w:proofErr w:type="gramStart"/>
      <w:r>
        <w:rPr>
          <w:rFonts w:ascii="Corbel" w:eastAsia="Times New Roman" w:hAnsi="Corbel" w:cs="Calibri"/>
          <w:sz w:val="23"/>
          <w:szCs w:val="23"/>
          <w:lang w:eastAsia="en-AU"/>
        </w:rPr>
        <w:t>housing</w:t>
      </w:r>
      <w:proofErr w:type="gramEnd"/>
      <w:r>
        <w:rPr>
          <w:rFonts w:ascii="Corbel" w:eastAsia="Times New Roman" w:hAnsi="Corbel" w:cs="Calibri"/>
          <w:sz w:val="23"/>
          <w:szCs w:val="23"/>
          <w:lang w:eastAsia="en-AU"/>
        </w:rPr>
        <w:t xml:space="preserve"> and community safety. The Northern Territory Government has set a short-term target of maintaining an improving operating position over the budget cycle by ensuring growth in general government operating expenses is declining in real terms. However, in the absence of a recovery in GST revenue or other Commonwealth revenue, large fiscal deficits are likely to continue in the medium term. </w:t>
      </w:r>
    </w:p>
    <w:p w14:paraId="1C187AAD" w14:textId="085E9EE2" w:rsidR="00BE5A84" w:rsidRDefault="00BE5A84" w:rsidP="00BE5A84">
      <w:pPr>
        <w:numPr>
          <w:ilvl w:val="0"/>
          <w:numId w:val="11"/>
        </w:numPr>
        <w:spacing w:before="240" w:after="240" w:line="260" w:lineRule="exact"/>
        <w:ind w:left="993"/>
        <w:jc w:val="both"/>
        <w:rPr>
          <w:rFonts w:ascii="Corbel" w:eastAsia="Times New Roman" w:hAnsi="Corbel" w:cs="Calibri"/>
          <w:sz w:val="23"/>
          <w:szCs w:val="23"/>
          <w:lang w:eastAsia="en-AU"/>
        </w:rPr>
      </w:pPr>
      <w:r>
        <w:rPr>
          <w:rFonts w:ascii="Corbel" w:eastAsia="Times New Roman" w:hAnsi="Corbel" w:cs="Calibri"/>
          <w:sz w:val="23"/>
          <w:szCs w:val="23"/>
          <w:lang w:eastAsia="en-AU"/>
        </w:rPr>
        <w:lastRenderedPageBreak/>
        <w:t xml:space="preserve">The Northern Territory’s funding contribution against the SRS does not include the substantial investment the Northern Territory Government has allocated in the areas of remote community housing, and child and welfare safety. While these investments are outside the scope of the SRS, these investments will have significant positive impact on education outcomes of children in the Northern Territory. </w:t>
      </w:r>
    </w:p>
    <w:p w14:paraId="6C5C3B6C" w14:textId="770E709E"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If the reported contribution for a state or territory for a year falls short of meeting the required contribution for a sector by an immaterial amount, this will not be considered non-compliant with section 22A of the Act. </w:t>
      </w:r>
      <w:r w:rsidRPr="008E3455">
        <w:rPr>
          <w:rFonts w:ascii="Corbel" w:eastAsia="Times New Roman" w:hAnsi="Corbel" w:cs="Calibri"/>
          <w:color w:val="000000"/>
          <w:sz w:val="23"/>
          <w:szCs w:val="23"/>
          <w:lang w:eastAsia="en-AU"/>
        </w:rPr>
        <w:t xml:space="preserve">An immaterial amount is less than or equal to 0.6 per cent of the total SRS for the sector, or another immaterial amount agreed by the </w:t>
      </w:r>
      <w:proofErr w:type="gramStart"/>
      <w:r w:rsidRPr="008E3455">
        <w:rPr>
          <w:rFonts w:ascii="Corbel" w:eastAsia="Times New Roman" w:hAnsi="Corbel" w:cs="Calibri"/>
          <w:color w:val="000000"/>
          <w:sz w:val="23"/>
          <w:szCs w:val="23"/>
          <w:lang w:eastAsia="en-AU"/>
        </w:rPr>
        <w:t>Commonwealth Minister</w:t>
      </w:r>
      <w:proofErr w:type="gramEnd"/>
      <w:r w:rsidRPr="008E3455">
        <w:rPr>
          <w:rFonts w:ascii="Corbel" w:eastAsia="Times New Roman" w:hAnsi="Corbel" w:cs="Calibri"/>
          <w:color w:val="000000"/>
          <w:sz w:val="23"/>
          <w:szCs w:val="23"/>
          <w:lang w:eastAsia="en-AU"/>
        </w:rPr>
        <w:t xml:space="preserve"> for Education for a year, which accounts for the timing constraint of state budget processes being finalised in advance of the year and the required contribution for the year being finalised at the end of the year following the annual School Census.</w:t>
      </w:r>
    </w:p>
    <w:p w14:paraId="34FB1ED6" w14:textId="1D3F84B5"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8E3455">
        <w:rPr>
          <w:rFonts w:ascii="Corbel" w:eastAsia="Times New Roman" w:hAnsi="Corbel" w:cs="Calibri"/>
          <w:color w:val="000000"/>
          <w:sz w:val="23"/>
          <w:szCs w:val="23"/>
          <w:lang w:eastAsia="en-AU"/>
        </w:rPr>
        <w:t xml:space="preserve">In assessing compliance with this agreement, the National School Resourcing Board (the Board) will </w:t>
      </w:r>
      <w:proofErr w:type="gramStart"/>
      <w:r w:rsidRPr="008E3455">
        <w:rPr>
          <w:rFonts w:ascii="Corbel" w:eastAsia="Times New Roman" w:hAnsi="Corbel" w:cs="Calibri"/>
          <w:color w:val="000000"/>
          <w:sz w:val="23"/>
          <w:szCs w:val="23"/>
          <w:lang w:eastAsia="en-AU"/>
        </w:rPr>
        <w:t>take into account</w:t>
      </w:r>
      <w:proofErr w:type="gramEnd"/>
      <w:r w:rsidRPr="008E3455">
        <w:rPr>
          <w:rFonts w:ascii="Corbel" w:eastAsia="Times New Roman" w:hAnsi="Corbel" w:cs="Calibri"/>
          <w:color w:val="000000"/>
          <w:sz w:val="23"/>
          <w:szCs w:val="23"/>
          <w:lang w:eastAsia="en-AU"/>
        </w:rPr>
        <w:t xml:space="preserve"> mitigating factors that have contributed to non-compliance. This may include, but is not be limited to, fluctuations from year-to-year in funding which could be assessed through, for example, the application of a three year rolling average if funding has fallen below the required amount, unintended and unforeseeable budget pressures in the state budget process, financial accounting impacts (e.g. actuarial assessments and timing of expenditures due to reporting dates), and other unforeseeable circumstances (e.g. such as natural disasters).</w:t>
      </w:r>
    </w:p>
    <w:p w14:paraId="782C57CA" w14:textId="12DBC42B"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Consistent with clause 61 of the National School Reform Agreement and in the event of a change to the SRS that has a consequential impact on state contribution requirements, the Parties can agree to amend the contribution shares set out in clause 43 above, to ensure that the Northern Territory’s funding contribution amount is not impacted. The amended amount should represent the funding calculated as if the SRS settings are applied that were in operation at the time the agreement commenced.</w:t>
      </w:r>
      <w:r>
        <w:rPr>
          <w:rFonts w:ascii="Corbel" w:hAnsi="Corbel"/>
          <w:color w:val="000000"/>
          <w:sz w:val="23"/>
          <w:szCs w:val="23"/>
          <w:lang w:eastAsia="en-AU"/>
        </w:rPr>
        <w:t xml:space="preserve"> The Commonwealth will facilitate this process by continuing to provide data required to enable the Northern Territory to calculate the amount</w:t>
      </w:r>
      <w:r>
        <w:rPr>
          <w:rFonts w:ascii="Corbel" w:eastAsia="Times New Roman" w:hAnsi="Corbel" w:cs="Calibri"/>
          <w:color w:val="000000"/>
          <w:sz w:val="23"/>
          <w:szCs w:val="23"/>
          <w:lang w:eastAsia="en-AU"/>
        </w:rPr>
        <w:t xml:space="preserve"> of its contribution on an unchanged basis.  </w:t>
      </w:r>
    </w:p>
    <w:p w14:paraId="6D61B590" w14:textId="1598452B" w:rsidR="00BE5A84" w:rsidRDefault="00BE5A84" w:rsidP="00BE5A84">
      <w:pPr>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Measurement of contributions</w:t>
      </w:r>
    </w:p>
    <w:p w14:paraId="56C1803E" w14:textId="0E3B1C19"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proofErr w:type="gramStart"/>
      <w:r>
        <w:rPr>
          <w:rFonts w:ascii="Corbel" w:eastAsia="Times New Roman" w:hAnsi="Corbel" w:cs="Calibri"/>
          <w:color w:val="000000"/>
          <w:sz w:val="23"/>
          <w:szCs w:val="23"/>
          <w:lang w:eastAsia="en-AU"/>
        </w:rPr>
        <w:t>For the purpose of</w:t>
      </w:r>
      <w:proofErr w:type="gramEnd"/>
      <w:r>
        <w:rPr>
          <w:rFonts w:ascii="Corbel" w:eastAsia="Times New Roman" w:hAnsi="Corbel" w:cs="Calibri"/>
          <w:color w:val="000000"/>
          <w:sz w:val="23"/>
          <w:szCs w:val="23"/>
          <w:lang w:eastAsia="en-AU"/>
        </w:rPr>
        <w:t xml:space="preserve"> this Schedule, Parties have agreed the costs that are measured towards the Northern Territory’s funding contribution requirements.</w:t>
      </w:r>
    </w:p>
    <w:p w14:paraId="72B2C59F" w14:textId="59796C14"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Consistent with the calculation of the SRS, the Northern Territory’s funding contributions will be measured according to the ACARA financial data reporting methodology for state Net Recurrent Income Per Student (NRIPS) for school years Year 1 minus 1 to Year 12, excluding funding for full </w:t>
      </w:r>
      <w:proofErr w:type="gramStart"/>
      <w:r>
        <w:rPr>
          <w:rFonts w:ascii="Corbel" w:eastAsia="Times New Roman" w:hAnsi="Corbel" w:cs="Calibri"/>
          <w:color w:val="000000"/>
          <w:sz w:val="23"/>
          <w:szCs w:val="23"/>
          <w:lang w:eastAsia="en-AU"/>
        </w:rPr>
        <w:t>fee paying</w:t>
      </w:r>
      <w:proofErr w:type="gramEnd"/>
      <w:r>
        <w:rPr>
          <w:rFonts w:ascii="Corbel" w:eastAsia="Times New Roman" w:hAnsi="Corbel" w:cs="Calibri"/>
          <w:color w:val="000000"/>
          <w:sz w:val="23"/>
          <w:szCs w:val="23"/>
          <w:lang w:eastAsia="en-AU"/>
        </w:rPr>
        <w:t xml:space="preserve"> overseas students, along with the following additional funding types: </w:t>
      </w:r>
    </w:p>
    <w:p w14:paraId="031DF974" w14:textId="35272EA4" w:rsidR="00BE5A84" w:rsidRDefault="00BE5A84" w:rsidP="00BE5A84">
      <w:pPr>
        <w:pStyle w:val="ListParagraph"/>
        <w:numPr>
          <w:ilvl w:val="1"/>
          <w:numId w:val="12"/>
        </w:numPr>
        <w:spacing w:before="240" w:after="240" w:line="260" w:lineRule="exact"/>
        <w:ind w:left="851"/>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up to 4 per cent of the total SRS for government sector each year for depreciation, direct school transport, and early childhood.</w:t>
      </w:r>
    </w:p>
    <w:p w14:paraId="76965816" w14:textId="359718A4" w:rsidR="00BE5A84" w:rsidRPr="006D59AE" w:rsidRDefault="00BE5A84" w:rsidP="00BE5A84">
      <w:pPr>
        <w:spacing w:before="240" w:after="240" w:line="260" w:lineRule="exact"/>
        <w:ind w:left="567"/>
        <w:jc w:val="both"/>
        <w:rPr>
          <w:rFonts w:ascii="Corbel" w:eastAsia="Times New Roman" w:hAnsi="Corbel" w:cs="Calibri"/>
          <w:color w:val="000000"/>
          <w:sz w:val="23"/>
          <w:szCs w:val="23"/>
          <w:lang w:eastAsia="en-AU"/>
        </w:rPr>
      </w:pPr>
      <w:r w:rsidRPr="006D59AE">
        <w:rPr>
          <w:rFonts w:ascii="Corbel" w:eastAsia="Times New Roman" w:hAnsi="Corbel" w:cs="Calibri"/>
          <w:color w:val="000000"/>
          <w:sz w:val="23"/>
          <w:szCs w:val="23"/>
          <w:lang w:eastAsia="en-AU"/>
        </w:rPr>
        <w:t>Note if the Northern Territory reports a lower proportion of the SRS than the 4 per cent cap for a year, the Northern Territory cannot subsequently increase the expenditure reported to a higher proportion of the SRS</w:t>
      </w:r>
      <w:r>
        <w:rPr>
          <w:rFonts w:ascii="Corbel" w:eastAsia="Times New Roman" w:hAnsi="Corbel" w:cs="Calibri"/>
          <w:color w:val="000000"/>
          <w:sz w:val="23"/>
          <w:szCs w:val="23"/>
          <w:lang w:eastAsia="en-AU"/>
        </w:rPr>
        <w:t>.</w:t>
      </w:r>
    </w:p>
    <w:p w14:paraId="131C59C2" w14:textId="5337B070" w:rsidR="00BE5A84" w:rsidRDefault="00BE5A84" w:rsidP="00BE5A84">
      <w:pPr>
        <w:pStyle w:val="ListParagraph"/>
        <w:numPr>
          <w:ilvl w:val="1"/>
          <w:numId w:val="12"/>
        </w:numPr>
        <w:spacing w:before="240" w:after="240" w:line="260" w:lineRule="exact"/>
        <w:ind w:left="993"/>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All funding for the reform measures outlined in Part 1 of this bilateral reform agreement and the national policy initiatives outlined in the National School Reform Agreement (</w:t>
      </w:r>
      <w:proofErr w:type="gramStart"/>
      <w:r>
        <w:rPr>
          <w:rFonts w:ascii="Corbel" w:eastAsia="Times New Roman" w:hAnsi="Corbel" w:cs="Calibri"/>
          <w:color w:val="000000"/>
          <w:sz w:val="23"/>
          <w:szCs w:val="23"/>
          <w:lang w:eastAsia="en-AU"/>
        </w:rPr>
        <w:t>with the exception of</w:t>
      </w:r>
      <w:proofErr w:type="gramEnd"/>
      <w:r>
        <w:rPr>
          <w:rFonts w:ascii="Corbel" w:eastAsia="Times New Roman" w:hAnsi="Corbel" w:cs="Calibri"/>
          <w:color w:val="000000"/>
          <w:sz w:val="23"/>
          <w:szCs w:val="23"/>
          <w:lang w:eastAsia="en-AU"/>
        </w:rPr>
        <w:t xml:space="preserve"> any capital funding). </w:t>
      </w:r>
    </w:p>
    <w:p w14:paraId="302207FA" w14:textId="56E55EEC" w:rsidR="00BE5A84" w:rsidRDefault="00BE5A84" w:rsidP="00BE5A84">
      <w:pPr>
        <w:keepNext/>
        <w:keepLines/>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lastRenderedPageBreak/>
        <w:t>Annual reporting to the Commonwealth</w:t>
      </w:r>
    </w:p>
    <w:p w14:paraId="2BEF388E" w14:textId="55E90699" w:rsidR="00BE5A84" w:rsidRDefault="00BE5A84" w:rsidP="00BE5A84">
      <w:pPr>
        <w:keepNext/>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following clauses set out the annual reporting arrangements for the Northern Territory for a year (Year T).</w:t>
      </w:r>
    </w:p>
    <w:p w14:paraId="1163003C" w14:textId="1C5066CC"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Commonwealth will provide all states and territories with a Funding Estimation Tool in January Year T+1 prior to the state or territory’s annual report with the final SRS data for Year T for the purpose of the Board’s review of section 22A of the Act.</w:t>
      </w:r>
    </w:p>
    <w:p w14:paraId="05741F8D" w14:textId="62F6932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Chief Executive of the Northern Territory Department of Education must provide an annual report to the Secretary of the Department of Education and Training for each year of the agreement.</w:t>
      </w:r>
    </w:p>
    <w:p w14:paraId="2FE10CF0" w14:textId="277A58D1"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annual report for a year (Year T) must be provided no later than 31 October Year T+1 (</w:t>
      </w:r>
      <w:proofErr w:type="gramStart"/>
      <w:r>
        <w:rPr>
          <w:rFonts w:ascii="Corbel" w:eastAsia="Times New Roman" w:hAnsi="Corbel" w:cs="Calibri"/>
          <w:color w:val="000000"/>
          <w:sz w:val="23"/>
          <w:szCs w:val="23"/>
          <w:lang w:eastAsia="en-AU"/>
        </w:rPr>
        <w:t>i.e.</w:t>
      </w:r>
      <w:proofErr w:type="gramEnd"/>
      <w:r>
        <w:rPr>
          <w:rFonts w:ascii="Corbel" w:eastAsia="Times New Roman" w:hAnsi="Corbel" w:cs="Calibri"/>
          <w:color w:val="000000"/>
          <w:sz w:val="23"/>
          <w:szCs w:val="23"/>
          <w:lang w:eastAsia="en-AU"/>
        </w:rPr>
        <w:t xml:space="preserve"> 31 October of the following year).</w:t>
      </w:r>
    </w:p>
    <w:p w14:paraId="02B72315" w14:textId="7EBF347D" w:rsidR="00BE5A84" w:rsidRDefault="00BE5A84" w:rsidP="00BE5A84">
      <w:pPr>
        <w:numPr>
          <w:ilvl w:val="0"/>
          <w:numId w:val="1"/>
        </w:numPr>
        <w:spacing w:after="240" w:line="260" w:lineRule="exact"/>
        <w:ind w:left="567" w:hanging="567"/>
        <w:contextualSpacing/>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annual report must set out the following:</w:t>
      </w:r>
    </w:p>
    <w:p w14:paraId="3B587A11" w14:textId="15A11F6A" w:rsidR="00BE5A84" w:rsidRDefault="00BE5A84" w:rsidP="00BE5A84">
      <w:pPr>
        <w:pStyle w:val="ListParagraph"/>
        <w:numPr>
          <w:ilvl w:val="0"/>
          <w:numId w:val="13"/>
        </w:numPr>
        <w:spacing w:after="240" w:line="260" w:lineRule="exact"/>
        <w:ind w:left="992"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total amount of funding provided by the Northern Territory for government schools in the Northern Territory for Year T as measured in line with clause 49 </w:t>
      </w:r>
      <w:proofErr w:type="gramStart"/>
      <w:r>
        <w:rPr>
          <w:rFonts w:ascii="Corbel" w:eastAsia="Times New Roman" w:hAnsi="Corbel" w:cs="Calibri"/>
          <w:color w:val="000000"/>
          <w:sz w:val="23"/>
          <w:szCs w:val="23"/>
          <w:lang w:eastAsia="en-AU"/>
        </w:rPr>
        <w:t>above</w:t>
      </w:r>
      <w:proofErr w:type="gramEnd"/>
    </w:p>
    <w:p w14:paraId="143A1B9D" w14:textId="7A228E03" w:rsidR="00BE5A84" w:rsidRDefault="00BE5A84" w:rsidP="00BE5A84">
      <w:pPr>
        <w:pStyle w:val="ListParagraph"/>
        <w:numPr>
          <w:ilvl w:val="0"/>
          <w:numId w:val="13"/>
        </w:numPr>
        <w:spacing w:after="240" w:line="260" w:lineRule="exact"/>
        <w:ind w:left="992"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total amount of funding provided by the Northern Territory for non-government schools in the Northern Territory for Year T as measured in line with clause 49 </w:t>
      </w:r>
      <w:proofErr w:type="gramStart"/>
      <w:r>
        <w:rPr>
          <w:rFonts w:ascii="Corbel" w:eastAsia="Times New Roman" w:hAnsi="Corbel" w:cs="Calibri"/>
          <w:color w:val="000000"/>
          <w:sz w:val="23"/>
          <w:szCs w:val="23"/>
          <w:lang w:eastAsia="en-AU"/>
        </w:rPr>
        <w:t>above</w:t>
      </w:r>
      <w:proofErr w:type="gramEnd"/>
    </w:p>
    <w:p w14:paraId="42AA7353" w14:textId="44979B83" w:rsidR="00BE5A84" w:rsidRDefault="00BE5A84" w:rsidP="00BE5A84">
      <w:pPr>
        <w:pStyle w:val="ListParagraph"/>
        <w:numPr>
          <w:ilvl w:val="0"/>
          <w:numId w:val="13"/>
        </w:numPr>
        <w:spacing w:before="240" w:after="240" w:line="260" w:lineRule="exact"/>
        <w:ind w:left="993"/>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total full time equivalent enrolments for Year T relating to the funding amounts above.</w:t>
      </w:r>
    </w:p>
    <w:p w14:paraId="3E7FEC35" w14:textId="4DD01ACA"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annual report must also specify the amount for each adjustment set out in clause 49 of this bilateral agreement as well as the amount for funding consistent with the specified NRIPS methodology.</w:t>
      </w:r>
    </w:p>
    <w:p w14:paraId="0A571767" w14:textId="0382774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Each amount included in the report must have been:</w:t>
      </w:r>
    </w:p>
    <w:p w14:paraId="353781CD" w14:textId="2C6E94E5" w:rsidR="00BE5A84" w:rsidRDefault="00BE5A84" w:rsidP="00BE5A84">
      <w:pPr>
        <w:pStyle w:val="ListParagraph"/>
        <w:numPr>
          <w:ilvl w:val="0"/>
          <w:numId w:val="14"/>
        </w:numPr>
        <w:spacing w:after="240" w:line="260" w:lineRule="exact"/>
        <w:ind w:left="992"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spent by the Northern Territory Government for schools (including centralised funds expended by the department for schools and funds allocated for schools that are not spent within Year T but are spent within remainder of the financial year or subsequent years by schools) or approved authorities or</w:t>
      </w:r>
    </w:p>
    <w:p w14:paraId="51796B62" w14:textId="6A759C6F" w:rsidR="00BE5A84" w:rsidRDefault="00BE5A84" w:rsidP="00BE5A84">
      <w:pPr>
        <w:pStyle w:val="ListParagraph"/>
        <w:numPr>
          <w:ilvl w:val="0"/>
          <w:numId w:val="14"/>
        </w:numPr>
        <w:spacing w:after="240" w:line="260" w:lineRule="exact"/>
        <w:ind w:left="992"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spent by schools or approved authorities for Year T and</w:t>
      </w:r>
    </w:p>
    <w:p w14:paraId="1DE0A873" w14:textId="272CDCF8" w:rsidR="00BE5A84" w:rsidRDefault="00BE5A84" w:rsidP="00BE5A84">
      <w:pPr>
        <w:pStyle w:val="ListParagraph"/>
        <w:numPr>
          <w:ilvl w:val="0"/>
          <w:numId w:val="14"/>
        </w:numPr>
        <w:spacing w:before="240" w:after="240" w:line="260" w:lineRule="exact"/>
        <w:ind w:left="993"/>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not counted towards another reporting year for the purposes of this agreement.</w:t>
      </w:r>
    </w:p>
    <w:p w14:paraId="17214892" w14:textId="6C44A313" w:rsidR="00BE5A84" w:rsidRDefault="00BE5A84" w:rsidP="00BE5A84">
      <w:pPr>
        <w:spacing w:before="240" w:after="240" w:line="260" w:lineRule="exact"/>
        <w:ind w:left="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Note this does not prevent the Northern Territory also including budgeted amounts in its report.</w:t>
      </w:r>
    </w:p>
    <w:p w14:paraId="7FABBA80" w14:textId="11109DED"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Each amount included in the report must be net of any Australian Government funding. </w:t>
      </w:r>
    </w:p>
    <w:p w14:paraId="2C635CBB" w14:textId="130EFDF1"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For each amount, except items listed in clause 59 below, the report must include evidence that the amount has been certified and is consistent with the agreed methodology in clause 49 of this bilateral agreement by either:</w:t>
      </w:r>
    </w:p>
    <w:p w14:paraId="751A3A2C" w14:textId="07D5D3C4" w:rsidR="00BE5A84" w:rsidRDefault="00BE5A84" w:rsidP="00BE5A84">
      <w:pPr>
        <w:pStyle w:val="ListParagraph"/>
        <w:numPr>
          <w:ilvl w:val="0"/>
          <w:numId w:val="15"/>
        </w:numPr>
        <w:spacing w:after="240" w:line="260" w:lineRule="exact"/>
        <w:ind w:left="992"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Auditor-General of the Northern Territory or</w:t>
      </w:r>
    </w:p>
    <w:p w14:paraId="0D6462D6" w14:textId="2AD04259" w:rsidR="00BE5A84" w:rsidRDefault="00BE5A84" w:rsidP="00BE5A84">
      <w:pPr>
        <w:pStyle w:val="ListParagraph"/>
        <w:numPr>
          <w:ilvl w:val="0"/>
          <w:numId w:val="15"/>
        </w:numPr>
        <w:spacing w:after="240" w:line="260" w:lineRule="exact"/>
        <w:ind w:left="992"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an independent qualified accountant or </w:t>
      </w:r>
    </w:p>
    <w:p w14:paraId="2EE413BF" w14:textId="6FB8D0E6" w:rsidR="00BE5A84" w:rsidRDefault="00BE5A84" w:rsidP="00BE5A84">
      <w:pPr>
        <w:pStyle w:val="ListParagraph"/>
        <w:numPr>
          <w:ilvl w:val="0"/>
          <w:numId w:val="15"/>
        </w:numPr>
        <w:spacing w:after="240" w:line="260" w:lineRule="exact"/>
        <w:ind w:left="992"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lastRenderedPageBreak/>
        <w:t>an independent qualified accountant engaged by ACARA for NRIPS funding or</w:t>
      </w:r>
    </w:p>
    <w:p w14:paraId="685F4C3B" w14:textId="7FED0637" w:rsidR="00BE5A84" w:rsidRDefault="00BE5A84" w:rsidP="00BE5A84">
      <w:pPr>
        <w:pStyle w:val="ListParagraph"/>
        <w:numPr>
          <w:ilvl w:val="0"/>
          <w:numId w:val="15"/>
        </w:numPr>
        <w:spacing w:before="240" w:after="240" w:line="260" w:lineRule="exact"/>
        <w:ind w:left="993"/>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Chief Executive of the Northern Territory Department of Education, but only up to 0.1 per cent of the SRS for the Northern Territory for all reported funding.</w:t>
      </w:r>
    </w:p>
    <w:p w14:paraId="18AA6FEB" w14:textId="6AC0A6F2" w:rsidR="00BE5A84" w:rsidRPr="001C045C" w:rsidRDefault="00BE5A84" w:rsidP="00BE5A84">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For the </w:t>
      </w:r>
      <w:r>
        <w:rPr>
          <w:rFonts w:ascii="Corbel" w:eastAsia="Times New Roman" w:hAnsi="Corbel" w:cs="Calibri"/>
          <w:color w:val="000000"/>
          <w:sz w:val="23"/>
          <w:szCs w:val="23"/>
          <w:lang w:eastAsia="en-AU"/>
        </w:rPr>
        <w:t>items listed below</w:t>
      </w:r>
      <w:r w:rsidRPr="001C045C">
        <w:rPr>
          <w:rFonts w:ascii="Corbel" w:eastAsia="Times New Roman" w:hAnsi="Corbel" w:cs="Calibri"/>
          <w:color w:val="000000"/>
          <w:sz w:val="23"/>
          <w:szCs w:val="23"/>
          <w:lang w:eastAsia="en-AU"/>
        </w:rPr>
        <w:t xml:space="preserve">, </w:t>
      </w:r>
      <w:r>
        <w:rPr>
          <w:rFonts w:ascii="Corbel" w:eastAsia="Times New Roman" w:hAnsi="Corbel" w:cs="Calibri"/>
          <w:color w:val="000000"/>
          <w:sz w:val="23"/>
          <w:szCs w:val="23"/>
          <w:lang w:eastAsia="en-AU"/>
        </w:rPr>
        <w:t>the amounts must be certif</w:t>
      </w:r>
      <w:r w:rsidR="008023A1">
        <w:rPr>
          <w:rFonts w:ascii="Corbel" w:eastAsia="Times New Roman" w:hAnsi="Corbel" w:cs="Calibri"/>
          <w:color w:val="000000"/>
          <w:sz w:val="23"/>
          <w:szCs w:val="23"/>
          <w:lang w:eastAsia="en-AU"/>
        </w:rPr>
        <w:t>ied in accordance with clause 58</w:t>
      </w:r>
      <w:r>
        <w:rPr>
          <w:rFonts w:ascii="Corbel" w:eastAsia="Times New Roman" w:hAnsi="Corbel" w:cs="Calibri"/>
          <w:color w:val="000000"/>
          <w:sz w:val="23"/>
          <w:szCs w:val="23"/>
          <w:lang w:eastAsia="en-AU"/>
        </w:rPr>
        <w:t xml:space="preserve"> above however </w:t>
      </w:r>
      <w:r w:rsidRPr="001C045C">
        <w:rPr>
          <w:rFonts w:ascii="Corbel" w:eastAsia="Times New Roman" w:hAnsi="Corbel" w:cs="Calibri"/>
          <w:color w:val="000000"/>
          <w:sz w:val="23"/>
          <w:szCs w:val="23"/>
          <w:lang w:eastAsia="en-AU"/>
        </w:rPr>
        <w:t xml:space="preserve">it is agreed that evidence of certification will be provided after the annual report </w:t>
      </w:r>
      <w:r w:rsidRPr="009172B3">
        <w:rPr>
          <w:rFonts w:ascii="Corbel" w:hAnsi="Corbel"/>
          <w:color w:val="000000"/>
          <w:sz w:val="23"/>
          <w:szCs w:val="23"/>
          <w:lang w:eastAsia="en-AU"/>
        </w:rPr>
        <w:t>but</w:t>
      </w:r>
      <w:r w:rsidRPr="001C045C">
        <w:rPr>
          <w:rFonts w:ascii="Corbel" w:eastAsia="Times New Roman" w:hAnsi="Corbel" w:cs="Calibri"/>
          <w:color w:val="000000"/>
          <w:sz w:val="23"/>
          <w:szCs w:val="23"/>
          <w:lang w:eastAsia="en-AU"/>
        </w:rPr>
        <w:t xml:space="preserve"> no later than 31 January Year T+2:</w:t>
      </w:r>
    </w:p>
    <w:p w14:paraId="65C28868" w14:textId="7CF67CD1" w:rsidR="00BE5A84" w:rsidRPr="00401E94" w:rsidRDefault="00BE5A84" w:rsidP="00BE5A84">
      <w:pPr>
        <w:keepNext/>
        <w:keepLines/>
        <w:numPr>
          <w:ilvl w:val="0"/>
          <w:numId w:val="16"/>
        </w:numPr>
        <w:spacing w:after="240" w:line="260" w:lineRule="exact"/>
        <w:ind w:left="924" w:hanging="357"/>
        <w:jc w:val="both"/>
        <w:rPr>
          <w:rFonts w:ascii="Corbel" w:eastAsia="Times New Roman" w:hAnsi="Corbel" w:cs="Calibri"/>
          <w:color w:val="000000"/>
          <w:sz w:val="23"/>
          <w:szCs w:val="23"/>
          <w:lang w:eastAsia="en-AU"/>
        </w:rPr>
      </w:pPr>
      <w:r w:rsidRPr="00401E94">
        <w:rPr>
          <w:rFonts w:ascii="Corbel" w:eastAsia="Times New Roman" w:hAnsi="Corbel" w:cs="Calibri"/>
          <w:color w:val="000000"/>
          <w:sz w:val="23"/>
          <w:szCs w:val="23"/>
          <w:lang w:eastAsia="en-AU"/>
        </w:rPr>
        <w:t xml:space="preserve">This clause relates to items where the State or Territory has provided evidence the amount does not typically have a material change once audited – </w:t>
      </w:r>
      <w:proofErr w:type="gramStart"/>
      <w:r w:rsidRPr="00401E94">
        <w:rPr>
          <w:rFonts w:ascii="Corbel" w:eastAsia="Times New Roman" w:hAnsi="Corbel" w:cs="Calibri"/>
          <w:color w:val="000000"/>
          <w:sz w:val="23"/>
          <w:szCs w:val="23"/>
          <w:lang w:eastAsia="en-AU"/>
        </w:rPr>
        <w:t>i.e.</w:t>
      </w:r>
      <w:proofErr w:type="gramEnd"/>
      <w:r w:rsidRPr="00401E94">
        <w:rPr>
          <w:rFonts w:ascii="Corbel" w:eastAsia="Times New Roman" w:hAnsi="Corbel" w:cs="Calibri"/>
          <w:color w:val="000000"/>
          <w:sz w:val="23"/>
          <w:szCs w:val="23"/>
          <w:lang w:eastAsia="en-AU"/>
        </w:rPr>
        <w:t xml:space="preserve"> NRIPS data and will be enacted as required. </w:t>
      </w:r>
    </w:p>
    <w:p w14:paraId="52781D71" w14:textId="01E9E682"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annual report may also provide an explanation and supporting evidence for the National School Resourcing Board’s (the Board) consideration of any shortfall between the total amount reported for Year T and the agreed funding contributions for Year T in clause 56 of this bilateral agreement.</w:t>
      </w:r>
    </w:p>
    <w:p w14:paraId="0DD3C9CD" w14:textId="787C4D1A"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Commonwealth will provide the Northern Territory’s annual report to the Board for assessment of the Northern Territory’s compliance for Year T with section 22A of the Act, including any funding requirements specified in this bilateral agreement.</w:t>
      </w:r>
    </w:p>
    <w:p w14:paraId="398B77DC" w14:textId="592D2EEE"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Commonwealth may request additional information from the Northern Territory on behalf of the Board and this information should be provided by the Northern Territory allowing no less than 21 days to respond. If the states do not provide information or advice in this timeframe, the Board will make an assessment based on the information and evidence available.</w:t>
      </w:r>
    </w:p>
    <w:p w14:paraId="6DD15D5B" w14:textId="1537B0FD"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Northern Territory will have an opportunity to provide further information for the Board’s consideration following their receipt of the Board’s draft findings.</w:t>
      </w:r>
    </w:p>
    <w:p w14:paraId="40620264" w14:textId="4228E8DA" w:rsidR="009E3CF4" w:rsidRDefault="00BE5A84" w:rsidP="009E3CF4">
      <w:pPr>
        <w:numPr>
          <w:ilvl w:val="0"/>
          <w:numId w:val="1"/>
        </w:numPr>
        <w:spacing w:before="240" w:after="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Northern Territory will also report annually on its use of additional funding provided under subsection 69</w:t>
      </w:r>
      <w:proofErr w:type="gramStart"/>
      <w:r>
        <w:rPr>
          <w:rFonts w:ascii="Corbel" w:eastAsia="Times New Roman" w:hAnsi="Corbel" w:cs="Calibri"/>
          <w:color w:val="000000"/>
          <w:sz w:val="23"/>
          <w:szCs w:val="23"/>
          <w:lang w:eastAsia="en-AU"/>
        </w:rPr>
        <w:t>B(</w:t>
      </w:r>
      <w:proofErr w:type="gramEnd"/>
      <w:r>
        <w:rPr>
          <w:rFonts w:ascii="Corbel" w:eastAsia="Times New Roman" w:hAnsi="Corbel" w:cs="Calibri"/>
          <w:color w:val="000000"/>
          <w:sz w:val="23"/>
          <w:szCs w:val="23"/>
          <w:lang w:eastAsia="en-AU"/>
        </w:rPr>
        <w:t>1) of the Act through existing mechanisms for reporting.</w:t>
      </w:r>
    </w:p>
    <w:p w14:paraId="30D7AA69" w14:textId="3679C8D7" w:rsidR="009E3CF4" w:rsidRDefault="009E3CF4" w:rsidP="004D332D">
      <w:pPr>
        <w:spacing w:after="0" w:line="260" w:lineRule="exact"/>
        <w:jc w:val="both"/>
        <w:rPr>
          <w:rFonts w:ascii="Corbel" w:eastAsia="Times New Roman" w:hAnsi="Corbel" w:cs="Calibri"/>
          <w:color w:val="000000"/>
          <w:sz w:val="23"/>
          <w:szCs w:val="23"/>
          <w:lang w:eastAsia="en-AU"/>
        </w:rPr>
      </w:pPr>
    </w:p>
    <w:p w14:paraId="7196D064" w14:textId="791AAB2E" w:rsidR="00681DBF" w:rsidRDefault="00681DBF" w:rsidP="004D332D">
      <w:pPr>
        <w:spacing w:after="0" w:line="260" w:lineRule="exact"/>
        <w:jc w:val="both"/>
        <w:rPr>
          <w:rFonts w:ascii="Corbel" w:eastAsia="Times New Roman" w:hAnsi="Corbel" w:cs="Calibri"/>
          <w:color w:val="000000"/>
          <w:sz w:val="23"/>
          <w:szCs w:val="23"/>
          <w:lang w:eastAsia="en-AU"/>
        </w:rPr>
      </w:pPr>
    </w:p>
    <w:p w14:paraId="19BC645A" w14:textId="4076B97F" w:rsidR="009E3CF4" w:rsidRPr="009E3CF4" w:rsidRDefault="009E3CF4" w:rsidP="009E3CF4">
      <w:pPr>
        <w:keepNext/>
        <w:keepLines/>
        <w:spacing w:before="180" w:after="120" w:line="240" w:lineRule="auto"/>
        <w:outlineLvl w:val="1"/>
        <w:rPr>
          <w:rFonts w:ascii="Corbel" w:eastAsia="Times New Roman" w:hAnsi="Corbel" w:cs="Corbel"/>
          <w:b/>
          <w:bCs/>
          <w:color w:val="316F72"/>
          <w:sz w:val="28"/>
          <w:szCs w:val="28"/>
          <w:lang w:eastAsia="en-AU"/>
        </w:rPr>
      </w:pPr>
      <w:r w:rsidRPr="009E3CF4">
        <w:rPr>
          <w:rFonts w:ascii="Corbel" w:eastAsia="Times New Roman" w:hAnsi="Corbel" w:cs="Corbel"/>
          <w:b/>
          <w:bCs/>
          <w:color w:val="316F72"/>
          <w:sz w:val="28"/>
          <w:szCs w:val="28"/>
          <w:lang w:eastAsia="en-AU"/>
        </w:rPr>
        <w:t>SIGNATURES</w:t>
      </w:r>
    </w:p>
    <w:p w14:paraId="6BD18F9B" w14:textId="2E0EBC16" w:rsidR="009859AB" w:rsidRDefault="009C165D">
      <w:r w:rsidRPr="009C165D">
        <w:drawing>
          <wp:inline distT="0" distB="0" distL="0" distR="0" wp14:anchorId="06525763" wp14:editId="69A04580">
            <wp:extent cx="6346563" cy="2409825"/>
            <wp:effectExtent l="0" t="0" r="0" b="0"/>
            <wp:docPr id="1343225456" name="Picture 1" descr="Signed for and on behalf of the Commonwealth of Australia by the Honourable Jason Clare MP, Minister for Education on 16 November 2023.&#10;Signed for and on behalf of the Northern Territory by the Honourable Eva Lawler MLA, Minister for Education on 27 Novem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225456" name="Picture 1" descr="Signed for and on behalf of the Commonwealth of Australia by the Honourable Jason Clare MP, Minister for Education on 16 November 2023.&#10;Signed for and on behalf of the Northern Territory by the Honourable Eva Lawler MLA, Minister for Education on 27 November 2023."/>
                    <pic:cNvPicPr/>
                  </pic:nvPicPr>
                  <pic:blipFill>
                    <a:blip r:embed="rId15"/>
                    <a:stretch>
                      <a:fillRect/>
                    </a:stretch>
                  </pic:blipFill>
                  <pic:spPr>
                    <a:xfrm>
                      <a:off x="0" y="0"/>
                      <a:ext cx="6348474" cy="2410551"/>
                    </a:xfrm>
                    <a:prstGeom prst="rect">
                      <a:avLst/>
                    </a:prstGeom>
                  </pic:spPr>
                </pic:pic>
              </a:graphicData>
            </a:graphic>
          </wp:inline>
        </w:drawing>
      </w:r>
    </w:p>
    <w:p w14:paraId="7F98A2A9" w14:textId="3E15AD08" w:rsidR="0DF77A42" w:rsidRDefault="0DF77A42" w:rsidP="008308BE">
      <w:pPr>
        <w:ind w:left="5040" w:hanging="5040"/>
        <w:jc w:val="both"/>
        <w:rPr>
          <w:rFonts w:ascii="Calibri" w:eastAsia="Calibri" w:hAnsi="Calibri" w:cs="Calibri"/>
        </w:rPr>
      </w:pPr>
    </w:p>
    <w:sectPr w:rsidR="0DF77A42" w:rsidSect="00BE5A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4F15" w14:textId="77777777" w:rsidR="00C5219E" w:rsidRDefault="00C5219E" w:rsidP="00BE5A84">
      <w:pPr>
        <w:spacing w:after="0" w:line="240" w:lineRule="auto"/>
      </w:pPr>
      <w:r>
        <w:separator/>
      </w:r>
    </w:p>
  </w:endnote>
  <w:endnote w:type="continuationSeparator" w:id="0">
    <w:p w14:paraId="4F6FBA92" w14:textId="77777777" w:rsidR="00C5219E" w:rsidRDefault="00C5219E" w:rsidP="00BE5A84">
      <w:pPr>
        <w:spacing w:after="0" w:line="240" w:lineRule="auto"/>
      </w:pPr>
      <w:r>
        <w:continuationSeparator/>
      </w:r>
    </w:p>
  </w:endnote>
  <w:endnote w:type="continuationNotice" w:id="1">
    <w:p w14:paraId="4141F097" w14:textId="77777777" w:rsidR="00C5219E" w:rsidRDefault="00C52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B3DE" w14:textId="50610028" w:rsidR="00166D39" w:rsidRDefault="00000000">
    <w:pPr>
      <w:pStyle w:val="Footer"/>
      <w:jc w:val="right"/>
    </w:pPr>
    <w:sdt>
      <w:sdtPr>
        <w:id w:val="-482552191"/>
        <w:docPartObj>
          <w:docPartGallery w:val="Page Numbers (Bottom of Page)"/>
          <w:docPartUnique/>
        </w:docPartObj>
      </w:sdtPr>
      <w:sdtContent>
        <w:sdt>
          <w:sdtPr>
            <w:id w:val="-1769616900"/>
            <w:docPartObj>
              <w:docPartGallery w:val="Page Numbers (Top of Page)"/>
              <w:docPartUnique/>
            </w:docPartObj>
          </w:sdtPr>
          <w:sdtContent>
            <w:r w:rsidR="00166D39">
              <w:t xml:space="preserve">Page </w:t>
            </w:r>
            <w:r w:rsidR="00166D39">
              <w:rPr>
                <w:b/>
                <w:bCs/>
                <w:sz w:val="24"/>
                <w:szCs w:val="24"/>
              </w:rPr>
              <w:fldChar w:fldCharType="begin"/>
            </w:r>
            <w:r w:rsidR="00166D39">
              <w:rPr>
                <w:b/>
                <w:bCs/>
              </w:rPr>
              <w:instrText xml:space="preserve"> PAGE </w:instrText>
            </w:r>
            <w:r w:rsidR="00166D39">
              <w:rPr>
                <w:b/>
                <w:bCs/>
                <w:sz w:val="24"/>
                <w:szCs w:val="24"/>
              </w:rPr>
              <w:fldChar w:fldCharType="separate"/>
            </w:r>
            <w:r w:rsidR="00A46FCD">
              <w:rPr>
                <w:b/>
                <w:bCs/>
                <w:noProof/>
              </w:rPr>
              <w:t>16</w:t>
            </w:r>
            <w:r w:rsidR="00166D39">
              <w:rPr>
                <w:b/>
                <w:bCs/>
                <w:sz w:val="24"/>
                <w:szCs w:val="24"/>
              </w:rPr>
              <w:fldChar w:fldCharType="end"/>
            </w:r>
            <w:r w:rsidR="00166D39">
              <w:t xml:space="preserve"> of </w:t>
            </w:r>
            <w:r w:rsidR="00166D39">
              <w:rPr>
                <w:b/>
                <w:bCs/>
                <w:sz w:val="24"/>
                <w:szCs w:val="24"/>
              </w:rPr>
              <w:fldChar w:fldCharType="begin"/>
            </w:r>
            <w:r w:rsidR="00166D39">
              <w:rPr>
                <w:b/>
                <w:bCs/>
              </w:rPr>
              <w:instrText xml:space="preserve"> NUMPAGES  </w:instrText>
            </w:r>
            <w:r w:rsidR="00166D39">
              <w:rPr>
                <w:b/>
                <w:bCs/>
                <w:sz w:val="24"/>
                <w:szCs w:val="24"/>
              </w:rPr>
              <w:fldChar w:fldCharType="separate"/>
            </w:r>
            <w:r w:rsidR="00A46FCD">
              <w:rPr>
                <w:b/>
                <w:bCs/>
                <w:noProof/>
              </w:rPr>
              <w:t>16</w:t>
            </w:r>
            <w:r w:rsidR="00166D39">
              <w:rPr>
                <w:b/>
                <w:bCs/>
                <w:sz w:val="24"/>
                <w:szCs w:val="24"/>
              </w:rPr>
              <w:fldChar w:fldCharType="end"/>
            </w:r>
          </w:sdtContent>
        </w:sdt>
      </w:sdtContent>
    </w:sdt>
  </w:p>
  <w:p w14:paraId="238601FE" w14:textId="77777777" w:rsidR="00166D39" w:rsidRDefault="0016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9417" w14:textId="77777777" w:rsidR="00C5219E" w:rsidRDefault="00C5219E" w:rsidP="00BE5A84">
      <w:pPr>
        <w:spacing w:after="0" w:line="240" w:lineRule="auto"/>
      </w:pPr>
      <w:r>
        <w:separator/>
      </w:r>
    </w:p>
  </w:footnote>
  <w:footnote w:type="continuationSeparator" w:id="0">
    <w:p w14:paraId="791991DE" w14:textId="77777777" w:rsidR="00C5219E" w:rsidRDefault="00C5219E" w:rsidP="00BE5A84">
      <w:pPr>
        <w:spacing w:after="0" w:line="240" w:lineRule="auto"/>
      </w:pPr>
      <w:r>
        <w:continuationSeparator/>
      </w:r>
    </w:p>
  </w:footnote>
  <w:footnote w:type="continuationNotice" w:id="1">
    <w:p w14:paraId="79AD728C" w14:textId="77777777" w:rsidR="00C5219E" w:rsidRDefault="00C521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D60F" w14:textId="77B65476" w:rsidR="004537B6" w:rsidRDefault="00453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9B91" w14:textId="28D33D7C" w:rsidR="00E12D4F" w:rsidRDefault="00E12D4F">
    <w:pPr>
      <w:pStyle w:val="Header"/>
    </w:pPr>
    <w:r>
      <w:rPr>
        <w:noProof/>
      </w:rPr>
      <mc:AlternateContent>
        <mc:Choice Requires="wps">
          <w:drawing>
            <wp:anchor distT="0" distB="0" distL="114300" distR="114300" simplePos="0" relativeHeight="251658240" behindDoc="0" locked="0" layoutInCell="0" allowOverlap="1" wp14:anchorId="1CA42CD0" wp14:editId="162DEE9E">
              <wp:simplePos x="0" y="0"/>
              <wp:positionH relativeFrom="page">
                <wp:align>center</wp:align>
              </wp:positionH>
              <wp:positionV relativeFrom="page">
                <wp:align>top</wp:align>
              </wp:positionV>
              <wp:extent cx="7772400" cy="442595"/>
              <wp:effectExtent l="0" t="0" r="0" b="14605"/>
              <wp:wrapNone/>
              <wp:docPr id="3" name="Text Box 3" descr="{&quot;HashCode&quot;:22260039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B8E165" w14:textId="40C616A1" w:rsidR="00E12D4F" w:rsidRPr="00AC7294" w:rsidRDefault="00E12D4F" w:rsidP="00AC7294">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CA42CD0" id="_x0000_t202" coordsize="21600,21600" o:spt="202" path="m,l,21600r21600,l21600,xe">
              <v:stroke joinstyle="miter"/>
              <v:path gradientshapeok="t" o:connecttype="rect"/>
            </v:shapetype>
            <v:shape id="Text Box 3" o:spid="_x0000_s1026" type="#_x0000_t202" alt="{&quot;HashCode&quot;:222600398,&quot;Height&quot;:9999999.0,&quot;Width&quot;:9999999.0,&quot;Placement&quot;:&quot;Header&quot;,&quot;Index&quot;:&quot;Primary&quot;,&quot;Section&quot;:1,&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4EB8E165" w14:textId="40C616A1" w:rsidR="00E12D4F" w:rsidRPr="00AC7294" w:rsidRDefault="00E12D4F" w:rsidP="00AC7294">
                    <w:pPr>
                      <w:spacing w:after="0"/>
                      <w:jc w:val="center"/>
                      <w:rPr>
                        <w:rFonts w:ascii="Arial" w:hAnsi="Arial" w:cs="Arial"/>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F8D2" w14:textId="344FE2A3" w:rsidR="004537B6" w:rsidRDefault="00453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736"/>
    <w:multiLevelType w:val="hybridMultilevel"/>
    <w:tmpl w:val="4D0048D8"/>
    <w:lvl w:ilvl="0" w:tplc="AC107398">
      <w:start w:val="1"/>
      <w:numFmt w:val="lowerLetter"/>
      <w:lvlText w:val="%1."/>
      <w:lvlJc w:val="left"/>
      <w:pPr>
        <w:ind w:left="644" w:hanging="360"/>
      </w:pPr>
    </w:lvl>
    <w:lvl w:ilvl="1" w:tplc="0C090019">
      <w:start w:val="1"/>
      <w:numFmt w:val="lowerLetter"/>
      <w:lvlText w:val="%2."/>
      <w:lvlJc w:val="left"/>
      <w:pPr>
        <w:ind w:left="644" w:hanging="360"/>
      </w:pPr>
    </w:lvl>
    <w:lvl w:ilvl="2" w:tplc="0C09001B" w:tentative="1">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1" w15:restartNumberingAfterBreak="0">
    <w:nsid w:val="056D6953"/>
    <w:multiLevelType w:val="hybridMultilevel"/>
    <w:tmpl w:val="36969134"/>
    <w:lvl w:ilvl="0" w:tplc="AC107398">
      <w:start w:val="1"/>
      <w:numFmt w:val="lowerLetter"/>
      <w:lvlText w:val="%1."/>
      <w:lvlJc w:val="left"/>
      <w:pPr>
        <w:ind w:left="1440" w:hanging="360"/>
      </w:pPr>
    </w:lvl>
    <w:lvl w:ilvl="1" w:tplc="93E063E2">
      <w:start w:val="1"/>
      <w:numFmt w:val="lowerLetter"/>
      <w:lvlText w:val="%2."/>
      <w:lvlJc w:val="left"/>
      <w:pPr>
        <w:ind w:left="1440" w:hanging="360"/>
      </w:pPr>
      <w:rPr>
        <w:rFonts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F72704"/>
    <w:multiLevelType w:val="hybridMultilevel"/>
    <w:tmpl w:val="EC70216E"/>
    <w:lvl w:ilvl="0" w:tplc="93E063E2">
      <w:start w:val="1"/>
      <w:numFmt w:val="lowerLetter"/>
      <w:lvlText w:val="%1."/>
      <w:lvlJc w:val="left"/>
      <w:pPr>
        <w:ind w:left="-207" w:hanging="360"/>
      </w:pPr>
      <w:rPr>
        <w:rFonts w:hint="default"/>
        <w:color w:val="auto"/>
      </w:rPr>
    </w:lvl>
    <w:lvl w:ilvl="1" w:tplc="0872630C">
      <w:start w:val="1"/>
      <w:numFmt w:val="lowerLetter"/>
      <w:lvlText w:val="%2."/>
      <w:lvlJc w:val="left"/>
      <w:pPr>
        <w:ind w:left="513" w:hanging="360"/>
      </w:pPr>
    </w:lvl>
    <w:lvl w:ilvl="2" w:tplc="281ADBC8" w:tentative="1">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3" w15:restartNumberingAfterBreak="0">
    <w:nsid w:val="17A67EFC"/>
    <w:multiLevelType w:val="hybridMultilevel"/>
    <w:tmpl w:val="B28427E2"/>
    <w:lvl w:ilvl="0" w:tplc="93E063E2">
      <w:start w:val="1"/>
      <w:numFmt w:val="lowerLetter"/>
      <w:lvlText w:val="%1."/>
      <w:lvlJc w:val="left"/>
      <w:pPr>
        <w:ind w:left="-207" w:hanging="360"/>
      </w:pPr>
      <w:rPr>
        <w:rFonts w:hint="default"/>
        <w:color w:val="auto"/>
      </w:rPr>
    </w:lvl>
    <w:lvl w:ilvl="1" w:tplc="0872630C">
      <w:start w:val="1"/>
      <w:numFmt w:val="lowerLetter"/>
      <w:lvlText w:val="%2."/>
      <w:lvlJc w:val="left"/>
      <w:pPr>
        <w:ind w:left="513" w:hanging="360"/>
      </w:pPr>
    </w:lvl>
    <w:lvl w:ilvl="2" w:tplc="281ADBC8" w:tentative="1">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4" w15:restartNumberingAfterBreak="0">
    <w:nsid w:val="21C70996"/>
    <w:multiLevelType w:val="hybridMultilevel"/>
    <w:tmpl w:val="85FC7726"/>
    <w:lvl w:ilvl="0" w:tplc="0C090019">
      <w:start w:val="1"/>
      <w:numFmt w:val="lowerLetter"/>
      <w:lvlText w:val="%1."/>
      <w:lvlJc w:val="left"/>
      <w:pPr>
        <w:ind w:left="-207" w:hanging="360"/>
      </w:pPr>
      <w:rPr>
        <w:rFonts w:hint="default"/>
        <w:color w:val="auto"/>
      </w:rPr>
    </w:lvl>
    <w:lvl w:ilvl="1" w:tplc="0872630C">
      <w:start w:val="1"/>
      <w:numFmt w:val="lowerLetter"/>
      <w:lvlText w:val="%2."/>
      <w:lvlJc w:val="left"/>
      <w:pPr>
        <w:ind w:left="513" w:hanging="360"/>
      </w:pPr>
    </w:lvl>
    <w:lvl w:ilvl="2" w:tplc="281ADBC8" w:tentative="1">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5" w15:restartNumberingAfterBreak="0">
    <w:nsid w:val="25932D84"/>
    <w:multiLevelType w:val="hybridMultilevel"/>
    <w:tmpl w:val="C1A805A4"/>
    <w:lvl w:ilvl="0" w:tplc="93E063E2">
      <w:start w:val="1"/>
      <w:numFmt w:val="lowerLetter"/>
      <w:lvlText w:val="%1."/>
      <w:lvlJc w:val="left"/>
      <w:pPr>
        <w:ind w:left="644" w:hanging="360"/>
      </w:pPr>
      <w:rPr>
        <w:rFonts w:hint="default"/>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299F6502"/>
    <w:multiLevelType w:val="hybridMultilevel"/>
    <w:tmpl w:val="B7D62390"/>
    <w:lvl w:ilvl="0" w:tplc="93E063E2">
      <w:start w:val="1"/>
      <w:numFmt w:val="lowerLetter"/>
      <w:lvlText w:val="%1."/>
      <w:lvlJc w:val="left"/>
      <w:pPr>
        <w:ind w:left="644" w:hanging="360"/>
      </w:pPr>
      <w:rPr>
        <w:rFonts w:hint="default"/>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3020019F"/>
    <w:multiLevelType w:val="hybridMultilevel"/>
    <w:tmpl w:val="1D860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B3806C0"/>
    <w:multiLevelType w:val="hybridMultilevel"/>
    <w:tmpl w:val="38D84644"/>
    <w:lvl w:ilvl="0" w:tplc="93E063E2">
      <w:start w:val="1"/>
      <w:numFmt w:val="lowerLetter"/>
      <w:lvlText w:val="%1."/>
      <w:lvlJc w:val="left"/>
      <w:pPr>
        <w:ind w:left="-207" w:hanging="360"/>
      </w:pPr>
      <w:rPr>
        <w:rFonts w:hint="default"/>
        <w:color w:val="auto"/>
      </w:rPr>
    </w:lvl>
    <w:lvl w:ilvl="1" w:tplc="0872630C">
      <w:start w:val="1"/>
      <w:numFmt w:val="lowerLetter"/>
      <w:lvlText w:val="%2."/>
      <w:lvlJc w:val="left"/>
      <w:pPr>
        <w:ind w:left="513" w:hanging="360"/>
      </w:pPr>
    </w:lvl>
    <w:lvl w:ilvl="2" w:tplc="281ADBC8" w:tentative="1">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9" w15:restartNumberingAfterBreak="0">
    <w:nsid w:val="460B5D5D"/>
    <w:multiLevelType w:val="hybridMultilevel"/>
    <w:tmpl w:val="16425C20"/>
    <w:lvl w:ilvl="0" w:tplc="9A7E3E8C">
      <w:start w:val="1"/>
      <w:numFmt w:val="lowerLetter"/>
      <w:lvlText w:val="%1."/>
      <w:lvlJc w:val="left"/>
      <w:pPr>
        <w:ind w:left="144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C53D1F"/>
    <w:multiLevelType w:val="hybridMultilevel"/>
    <w:tmpl w:val="6382C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B82740"/>
    <w:multiLevelType w:val="hybridMultilevel"/>
    <w:tmpl w:val="E9C0FC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30B1D3C"/>
    <w:multiLevelType w:val="hybridMultilevel"/>
    <w:tmpl w:val="84426502"/>
    <w:lvl w:ilvl="0" w:tplc="93E063E2">
      <w:start w:val="1"/>
      <w:numFmt w:val="lowerLetter"/>
      <w:lvlText w:val="%1."/>
      <w:lvlJc w:val="left"/>
      <w:pPr>
        <w:ind w:left="644" w:hanging="360"/>
      </w:pPr>
      <w:rPr>
        <w:rFonts w:hint="default"/>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53CD19D0"/>
    <w:multiLevelType w:val="hybridMultilevel"/>
    <w:tmpl w:val="4D0048D8"/>
    <w:lvl w:ilvl="0" w:tplc="AC107398">
      <w:start w:val="1"/>
      <w:numFmt w:val="lowerLetter"/>
      <w:lvlText w:val="%1."/>
      <w:lvlJc w:val="left"/>
      <w:pPr>
        <w:ind w:left="644" w:hanging="360"/>
      </w:pPr>
    </w:lvl>
    <w:lvl w:ilvl="1" w:tplc="0C090019" w:tentative="1">
      <w:start w:val="1"/>
      <w:numFmt w:val="lowerLetter"/>
      <w:lvlText w:val="%2."/>
      <w:lvlJc w:val="left"/>
      <w:pPr>
        <w:ind w:left="644" w:hanging="360"/>
      </w:pPr>
    </w:lvl>
    <w:lvl w:ilvl="2" w:tplc="0C09001B" w:tentative="1">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14" w15:restartNumberingAfterBreak="0">
    <w:nsid w:val="5928284D"/>
    <w:multiLevelType w:val="hybridMultilevel"/>
    <w:tmpl w:val="FAAE71F0"/>
    <w:lvl w:ilvl="0" w:tplc="D97C20C0">
      <w:start w:val="1"/>
      <w:numFmt w:val="decimal"/>
      <w:lvlText w:val="%1."/>
      <w:lvlJc w:val="left"/>
      <w:pPr>
        <w:ind w:left="-207" w:hanging="360"/>
      </w:pPr>
      <w:rPr>
        <w:rFonts w:hint="default"/>
        <w:color w:val="auto"/>
      </w:rPr>
    </w:lvl>
    <w:lvl w:ilvl="1" w:tplc="0872630C">
      <w:start w:val="1"/>
      <w:numFmt w:val="lowerLetter"/>
      <w:lvlText w:val="%2."/>
      <w:lvlJc w:val="left"/>
      <w:pPr>
        <w:ind w:left="513" w:hanging="360"/>
      </w:pPr>
    </w:lvl>
    <w:lvl w:ilvl="2" w:tplc="281ADBC8" w:tentative="1">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15" w15:restartNumberingAfterBreak="0">
    <w:nsid w:val="617A4B38"/>
    <w:multiLevelType w:val="hybridMultilevel"/>
    <w:tmpl w:val="D8BAFEFA"/>
    <w:lvl w:ilvl="0" w:tplc="93E063E2">
      <w:start w:val="1"/>
      <w:numFmt w:val="lowerLetter"/>
      <w:lvlText w:val="%1."/>
      <w:lvlJc w:val="left"/>
      <w:pPr>
        <w:ind w:left="-207" w:hanging="360"/>
      </w:pPr>
      <w:rPr>
        <w:rFonts w:hint="default"/>
        <w:color w:val="auto"/>
      </w:rPr>
    </w:lvl>
    <w:lvl w:ilvl="1" w:tplc="0872630C">
      <w:start w:val="1"/>
      <w:numFmt w:val="lowerLetter"/>
      <w:lvlText w:val="%2."/>
      <w:lvlJc w:val="left"/>
      <w:pPr>
        <w:ind w:left="513" w:hanging="360"/>
      </w:pPr>
    </w:lvl>
    <w:lvl w:ilvl="2" w:tplc="281ADBC8" w:tentative="1">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16" w15:restartNumberingAfterBreak="0">
    <w:nsid w:val="6F893B83"/>
    <w:multiLevelType w:val="hybridMultilevel"/>
    <w:tmpl w:val="85FC7726"/>
    <w:lvl w:ilvl="0" w:tplc="0C090019">
      <w:start w:val="1"/>
      <w:numFmt w:val="lowerLetter"/>
      <w:lvlText w:val="%1."/>
      <w:lvlJc w:val="left"/>
      <w:pPr>
        <w:ind w:left="-207" w:hanging="360"/>
      </w:pPr>
      <w:rPr>
        <w:rFonts w:hint="default"/>
        <w:color w:val="auto"/>
      </w:rPr>
    </w:lvl>
    <w:lvl w:ilvl="1" w:tplc="0872630C">
      <w:start w:val="1"/>
      <w:numFmt w:val="lowerLetter"/>
      <w:lvlText w:val="%2."/>
      <w:lvlJc w:val="left"/>
      <w:pPr>
        <w:ind w:left="513" w:hanging="360"/>
      </w:pPr>
    </w:lvl>
    <w:lvl w:ilvl="2" w:tplc="281ADBC8" w:tentative="1">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17" w15:restartNumberingAfterBreak="0">
    <w:nsid w:val="71117569"/>
    <w:multiLevelType w:val="hybridMultilevel"/>
    <w:tmpl w:val="206AFE5C"/>
    <w:lvl w:ilvl="0" w:tplc="0C090001">
      <w:start w:val="1"/>
      <w:numFmt w:val="bullet"/>
      <w:lvlText w:val=""/>
      <w:lvlJc w:val="left"/>
      <w:pPr>
        <w:ind w:left="1122" w:hanging="360"/>
      </w:pPr>
      <w:rPr>
        <w:rFonts w:ascii="Symbol" w:hAnsi="Symbol" w:hint="default"/>
      </w:rPr>
    </w:lvl>
    <w:lvl w:ilvl="1" w:tplc="0C090003" w:tentative="1">
      <w:start w:val="1"/>
      <w:numFmt w:val="bullet"/>
      <w:lvlText w:val="o"/>
      <w:lvlJc w:val="left"/>
      <w:pPr>
        <w:ind w:left="1842" w:hanging="360"/>
      </w:pPr>
      <w:rPr>
        <w:rFonts w:ascii="Courier New" w:hAnsi="Courier New" w:cs="Courier New" w:hint="default"/>
      </w:rPr>
    </w:lvl>
    <w:lvl w:ilvl="2" w:tplc="0C090005" w:tentative="1">
      <w:start w:val="1"/>
      <w:numFmt w:val="bullet"/>
      <w:lvlText w:val=""/>
      <w:lvlJc w:val="left"/>
      <w:pPr>
        <w:ind w:left="2562" w:hanging="360"/>
      </w:pPr>
      <w:rPr>
        <w:rFonts w:ascii="Wingdings" w:hAnsi="Wingdings" w:hint="default"/>
      </w:rPr>
    </w:lvl>
    <w:lvl w:ilvl="3" w:tplc="0C090001" w:tentative="1">
      <w:start w:val="1"/>
      <w:numFmt w:val="bullet"/>
      <w:lvlText w:val=""/>
      <w:lvlJc w:val="left"/>
      <w:pPr>
        <w:ind w:left="3282" w:hanging="360"/>
      </w:pPr>
      <w:rPr>
        <w:rFonts w:ascii="Symbol" w:hAnsi="Symbol" w:hint="default"/>
      </w:rPr>
    </w:lvl>
    <w:lvl w:ilvl="4" w:tplc="0C090003" w:tentative="1">
      <w:start w:val="1"/>
      <w:numFmt w:val="bullet"/>
      <w:lvlText w:val="o"/>
      <w:lvlJc w:val="left"/>
      <w:pPr>
        <w:ind w:left="4002" w:hanging="360"/>
      </w:pPr>
      <w:rPr>
        <w:rFonts w:ascii="Courier New" w:hAnsi="Courier New" w:cs="Courier New" w:hint="default"/>
      </w:rPr>
    </w:lvl>
    <w:lvl w:ilvl="5" w:tplc="0C090005" w:tentative="1">
      <w:start w:val="1"/>
      <w:numFmt w:val="bullet"/>
      <w:lvlText w:val=""/>
      <w:lvlJc w:val="left"/>
      <w:pPr>
        <w:ind w:left="4722" w:hanging="360"/>
      </w:pPr>
      <w:rPr>
        <w:rFonts w:ascii="Wingdings" w:hAnsi="Wingdings" w:hint="default"/>
      </w:rPr>
    </w:lvl>
    <w:lvl w:ilvl="6" w:tplc="0C090001" w:tentative="1">
      <w:start w:val="1"/>
      <w:numFmt w:val="bullet"/>
      <w:lvlText w:val=""/>
      <w:lvlJc w:val="left"/>
      <w:pPr>
        <w:ind w:left="5442" w:hanging="360"/>
      </w:pPr>
      <w:rPr>
        <w:rFonts w:ascii="Symbol" w:hAnsi="Symbol" w:hint="default"/>
      </w:rPr>
    </w:lvl>
    <w:lvl w:ilvl="7" w:tplc="0C090003" w:tentative="1">
      <w:start w:val="1"/>
      <w:numFmt w:val="bullet"/>
      <w:lvlText w:val="o"/>
      <w:lvlJc w:val="left"/>
      <w:pPr>
        <w:ind w:left="6162" w:hanging="360"/>
      </w:pPr>
      <w:rPr>
        <w:rFonts w:ascii="Courier New" w:hAnsi="Courier New" w:cs="Courier New" w:hint="default"/>
      </w:rPr>
    </w:lvl>
    <w:lvl w:ilvl="8" w:tplc="0C090005" w:tentative="1">
      <w:start w:val="1"/>
      <w:numFmt w:val="bullet"/>
      <w:lvlText w:val=""/>
      <w:lvlJc w:val="left"/>
      <w:pPr>
        <w:ind w:left="6882" w:hanging="360"/>
      </w:pPr>
      <w:rPr>
        <w:rFonts w:ascii="Wingdings" w:hAnsi="Wingdings" w:hint="default"/>
      </w:rPr>
    </w:lvl>
  </w:abstractNum>
  <w:abstractNum w:abstractNumId="18" w15:restartNumberingAfterBreak="0">
    <w:nsid w:val="754E14EE"/>
    <w:multiLevelType w:val="hybridMultilevel"/>
    <w:tmpl w:val="F9F4C298"/>
    <w:lvl w:ilvl="0" w:tplc="AC107398">
      <w:start w:val="1"/>
      <w:numFmt w:val="lowerLetter"/>
      <w:lvlText w:val="%1."/>
      <w:lvlJc w:val="left"/>
      <w:pPr>
        <w:ind w:left="1440" w:hanging="360"/>
      </w:pPr>
    </w:lvl>
    <w:lvl w:ilvl="1" w:tplc="B1C456C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4F5631"/>
    <w:multiLevelType w:val="hybridMultilevel"/>
    <w:tmpl w:val="B24C7974"/>
    <w:lvl w:ilvl="0" w:tplc="DCBA678C">
      <w:start w:val="1"/>
      <w:numFmt w:val="bullet"/>
      <w:lvlText w:val=""/>
      <w:lvlJc w:val="left"/>
      <w:pPr>
        <w:ind w:left="1020" w:hanging="360"/>
      </w:pPr>
      <w:rPr>
        <w:rFonts w:ascii="Symbol" w:hAnsi="Symbol"/>
      </w:rPr>
    </w:lvl>
    <w:lvl w:ilvl="1" w:tplc="D8EC8974">
      <w:start w:val="1"/>
      <w:numFmt w:val="bullet"/>
      <w:lvlText w:val=""/>
      <w:lvlJc w:val="left"/>
      <w:pPr>
        <w:ind w:left="1020" w:hanging="360"/>
      </w:pPr>
      <w:rPr>
        <w:rFonts w:ascii="Symbol" w:hAnsi="Symbol"/>
      </w:rPr>
    </w:lvl>
    <w:lvl w:ilvl="2" w:tplc="C4767040">
      <w:start w:val="1"/>
      <w:numFmt w:val="bullet"/>
      <w:lvlText w:val=""/>
      <w:lvlJc w:val="left"/>
      <w:pPr>
        <w:ind w:left="1020" w:hanging="360"/>
      </w:pPr>
      <w:rPr>
        <w:rFonts w:ascii="Symbol" w:hAnsi="Symbol"/>
      </w:rPr>
    </w:lvl>
    <w:lvl w:ilvl="3" w:tplc="BAAA918E">
      <w:start w:val="1"/>
      <w:numFmt w:val="bullet"/>
      <w:lvlText w:val=""/>
      <w:lvlJc w:val="left"/>
      <w:pPr>
        <w:ind w:left="1020" w:hanging="360"/>
      </w:pPr>
      <w:rPr>
        <w:rFonts w:ascii="Symbol" w:hAnsi="Symbol"/>
      </w:rPr>
    </w:lvl>
    <w:lvl w:ilvl="4" w:tplc="743EC786">
      <w:start w:val="1"/>
      <w:numFmt w:val="bullet"/>
      <w:lvlText w:val=""/>
      <w:lvlJc w:val="left"/>
      <w:pPr>
        <w:ind w:left="1020" w:hanging="360"/>
      </w:pPr>
      <w:rPr>
        <w:rFonts w:ascii="Symbol" w:hAnsi="Symbol"/>
      </w:rPr>
    </w:lvl>
    <w:lvl w:ilvl="5" w:tplc="E8C46B38">
      <w:start w:val="1"/>
      <w:numFmt w:val="bullet"/>
      <w:lvlText w:val=""/>
      <w:lvlJc w:val="left"/>
      <w:pPr>
        <w:ind w:left="1020" w:hanging="360"/>
      </w:pPr>
      <w:rPr>
        <w:rFonts w:ascii="Symbol" w:hAnsi="Symbol"/>
      </w:rPr>
    </w:lvl>
    <w:lvl w:ilvl="6" w:tplc="D1847544">
      <w:start w:val="1"/>
      <w:numFmt w:val="bullet"/>
      <w:lvlText w:val=""/>
      <w:lvlJc w:val="left"/>
      <w:pPr>
        <w:ind w:left="1020" w:hanging="360"/>
      </w:pPr>
      <w:rPr>
        <w:rFonts w:ascii="Symbol" w:hAnsi="Symbol"/>
      </w:rPr>
    </w:lvl>
    <w:lvl w:ilvl="7" w:tplc="50044414">
      <w:start w:val="1"/>
      <w:numFmt w:val="bullet"/>
      <w:lvlText w:val=""/>
      <w:lvlJc w:val="left"/>
      <w:pPr>
        <w:ind w:left="1020" w:hanging="360"/>
      </w:pPr>
      <w:rPr>
        <w:rFonts w:ascii="Symbol" w:hAnsi="Symbol"/>
      </w:rPr>
    </w:lvl>
    <w:lvl w:ilvl="8" w:tplc="39EA3908">
      <w:start w:val="1"/>
      <w:numFmt w:val="bullet"/>
      <w:lvlText w:val=""/>
      <w:lvlJc w:val="left"/>
      <w:pPr>
        <w:ind w:left="1020" w:hanging="360"/>
      </w:pPr>
      <w:rPr>
        <w:rFonts w:ascii="Symbol" w:hAnsi="Symbol"/>
      </w:rPr>
    </w:lvl>
  </w:abstractNum>
  <w:num w:numId="1" w16cid:durableId="935134031">
    <w:abstractNumId w:val="14"/>
  </w:num>
  <w:num w:numId="2" w16cid:durableId="1669751776">
    <w:abstractNumId w:val="16"/>
  </w:num>
  <w:num w:numId="3" w16cid:durableId="1909798799">
    <w:abstractNumId w:val="15"/>
  </w:num>
  <w:num w:numId="4" w16cid:durableId="1482456810">
    <w:abstractNumId w:val="4"/>
  </w:num>
  <w:num w:numId="5" w16cid:durableId="1251234247">
    <w:abstractNumId w:val="2"/>
  </w:num>
  <w:num w:numId="6" w16cid:durableId="2045709248">
    <w:abstractNumId w:val="3"/>
  </w:num>
  <w:num w:numId="7" w16cid:durableId="1358041293">
    <w:abstractNumId w:val="8"/>
  </w:num>
  <w:num w:numId="8" w16cid:durableId="671641396">
    <w:abstractNumId w:val="0"/>
  </w:num>
  <w:num w:numId="9" w16cid:durableId="652217831">
    <w:abstractNumId w:val="17"/>
  </w:num>
  <w:num w:numId="10" w16cid:durableId="17841055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76061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4269118">
    <w:abstractNumId w:val="1"/>
  </w:num>
  <w:num w:numId="13" w16cid:durableId="98914941">
    <w:abstractNumId w:val="6"/>
  </w:num>
  <w:num w:numId="14" w16cid:durableId="2065912407">
    <w:abstractNumId w:val="5"/>
  </w:num>
  <w:num w:numId="15" w16cid:durableId="1469471414">
    <w:abstractNumId w:val="12"/>
  </w:num>
  <w:num w:numId="16" w16cid:durableId="1658729191">
    <w:abstractNumId w:val="9"/>
  </w:num>
  <w:num w:numId="17" w16cid:durableId="1378236159">
    <w:abstractNumId w:val="7"/>
  </w:num>
  <w:num w:numId="18" w16cid:durableId="151339741">
    <w:abstractNumId w:val="11"/>
  </w:num>
  <w:num w:numId="19" w16cid:durableId="1425765897">
    <w:abstractNumId w:val="19"/>
  </w:num>
  <w:num w:numId="20" w16cid:durableId="14972646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BF"/>
    <w:rsid w:val="00000B1F"/>
    <w:rsid w:val="00014394"/>
    <w:rsid w:val="00036269"/>
    <w:rsid w:val="0004031F"/>
    <w:rsid w:val="00050422"/>
    <w:rsid w:val="00081146"/>
    <w:rsid w:val="000812C9"/>
    <w:rsid w:val="000920B7"/>
    <w:rsid w:val="000E7293"/>
    <w:rsid w:val="001134E9"/>
    <w:rsid w:val="001525CB"/>
    <w:rsid w:val="00154E14"/>
    <w:rsid w:val="00166D39"/>
    <w:rsid w:val="001C19DE"/>
    <w:rsid w:val="001E7C2F"/>
    <w:rsid w:val="002110AF"/>
    <w:rsid w:val="002251BF"/>
    <w:rsid w:val="00236340"/>
    <w:rsid w:val="00274B42"/>
    <w:rsid w:val="002820FB"/>
    <w:rsid w:val="002B165A"/>
    <w:rsid w:val="002C64A1"/>
    <w:rsid w:val="002D5A04"/>
    <w:rsid w:val="00312C23"/>
    <w:rsid w:val="00341869"/>
    <w:rsid w:val="003444EF"/>
    <w:rsid w:val="00346687"/>
    <w:rsid w:val="003A03FD"/>
    <w:rsid w:val="003A44DC"/>
    <w:rsid w:val="003A581E"/>
    <w:rsid w:val="00414379"/>
    <w:rsid w:val="004222B6"/>
    <w:rsid w:val="004537B6"/>
    <w:rsid w:val="004B439B"/>
    <w:rsid w:val="004B5F9F"/>
    <w:rsid w:val="004C2CB5"/>
    <w:rsid w:val="004D332D"/>
    <w:rsid w:val="004F7C91"/>
    <w:rsid w:val="00527049"/>
    <w:rsid w:val="0056141C"/>
    <w:rsid w:val="00572A30"/>
    <w:rsid w:val="005746FE"/>
    <w:rsid w:val="005B299A"/>
    <w:rsid w:val="005B30D5"/>
    <w:rsid w:val="005C5B54"/>
    <w:rsid w:val="005F1064"/>
    <w:rsid w:val="00612812"/>
    <w:rsid w:val="0064773C"/>
    <w:rsid w:val="00681DBF"/>
    <w:rsid w:val="00683A9A"/>
    <w:rsid w:val="006970AC"/>
    <w:rsid w:val="00794DD7"/>
    <w:rsid w:val="007A339E"/>
    <w:rsid w:val="007C2DB0"/>
    <w:rsid w:val="007F4FFA"/>
    <w:rsid w:val="008023A1"/>
    <w:rsid w:val="00814805"/>
    <w:rsid w:val="008308BE"/>
    <w:rsid w:val="0084272D"/>
    <w:rsid w:val="00855590"/>
    <w:rsid w:val="008E5BBA"/>
    <w:rsid w:val="00923951"/>
    <w:rsid w:val="009276B5"/>
    <w:rsid w:val="00936BF3"/>
    <w:rsid w:val="009452DE"/>
    <w:rsid w:val="00976C69"/>
    <w:rsid w:val="009859AB"/>
    <w:rsid w:val="009859F5"/>
    <w:rsid w:val="00994679"/>
    <w:rsid w:val="009B278E"/>
    <w:rsid w:val="009C165D"/>
    <w:rsid w:val="009E3CF4"/>
    <w:rsid w:val="00A46FCD"/>
    <w:rsid w:val="00A4761E"/>
    <w:rsid w:val="00A536A0"/>
    <w:rsid w:val="00AC1AAE"/>
    <w:rsid w:val="00AC7294"/>
    <w:rsid w:val="00B0092A"/>
    <w:rsid w:val="00B718E9"/>
    <w:rsid w:val="00B73323"/>
    <w:rsid w:val="00B8B789"/>
    <w:rsid w:val="00BE31D4"/>
    <w:rsid w:val="00BE448E"/>
    <w:rsid w:val="00BE5A84"/>
    <w:rsid w:val="00C32E53"/>
    <w:rsid w:val="00C33BFD"/>
    <w:rsid w:val="00C51F00"/>
    <w:rsid w:val="00C5219E"/>
    <w:rsid w:val="00C962FB"/>
    <w:rsid w:val="00D11FF2"/>
    <w:rsid w:val="00D31598"/>
    <w:rsid w:val="00D34BDC"/>
    <w:rsid w:val="00D425FF"/>
    <w:rsid w:val="00D6521A"/>
    <w:rsid w:val="00DF11C9"/>
    <w:rsid w:val="00E029D3"/>
    <w:rsid w:val="00E11AA3"/>
    <w:rsid w:val="00E12D4F"/>
    <w:rsid w:val="00E22327"/>
    <w:rsid w:val="00E245CD"/>
    <w:rsid w:val="00E873A0"/>
    <w:rsid w:val="00E90672"/>
    <w:rsid w:val="00EA6D95"/>
    <w:rsid w:val="00ED0A2A"/>
    <w:rsid w:val="00EF7829"/>
    <w:rsid w:val="00F972E4"/>
    <w:rsid w:val="00FB0E12"/>
    <w:rsid w:val="00FC083C"/>
    <w:rsid w:val="00FD5D23"/>
    <w:rsid w:val="04182BC9"/>
    <w:rsid w:val="07DCE13B"/>
    <w:rsid w:val="0DF77A42"/>
    <w:rsid w:val="0ED7998F"/>
    <w:rsid w:val="1889D79C"/>
    <w:rsid w:val="1D0CC6A0"/>
    <w:rsid w:val="27F23F0B"/>
    <w:rsid w:val="2D14CA8D"/>
    <w:rsid w:val="37E9F5FF"/>
    <w:rsid w:val="418046C5"/>
    <w:rsid w:val="4594B5C2"/>
    <w:rsid w:val="57C8B86E"/>
    <w:rsid w:val="6AC0D19C"/>
    <w:rsid w:val="6B870884"/>
    <w:rsid w:val="714AA12C"/>
    <w:rsid w:val="71BBD4E5"/>
    <w:rsid w:val="7634409A"/>
    <w:rsid w:val="76EAEB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06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1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BE5A84"/>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BE5A84"/>
  </w:style>
  <w:style w:type="table" w:styleId="TableGrid">
    <w:name w:val="Table Grid"/>
    <w:basedOn w:val="TableNormal"/>
    <w:uiPriority w:val="59"/>
    <w:rsid w:val="00BE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E5A84"/>
    <w:pPr>
      <w:spacing w:after="240" w:line="260" w:lineRule="exact"/>
    </w:pPr>
    <w:rPr>
      <w:rFonts w:ascii="Corbel" w:eastAsia="Times New Roman" w:hAnsi="Corbel" w:cs="Corbel"/>
      <w:sz w:val="20"/>
      <w:szCs w:val="20"/>
      <w:lang w:eastAsia="en-AU"/>
    </w:rPr>
    <w:tblPr/>
    <w:trPr>
      <w:cantSplit/>
    </w:trPr>
  </w:style>
  <w:style w:type="paragraph" w:styleId="Header">
    <w:name w:val="header"/>
    <w:basedOn w:val="Normal"/>
    <w:link w:val="HeaderChar"/>
    <w:uiPriority w:val="99"/>
    <w:unhideWhenUsed/>
    <w:rsid w:val="00166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D39"/>
  </w:style>
  <w:style w:type="paragraph" w:styleId="Footer">
    <w:name w:val="footer"/>
    <w:basedOn w:val="Normal"/>
    <w:link w:val="FooterChar"/>
    <w:uiPriority w:val="99"/>
    <w:unhideWhenUsed/>
    <w:rsid w:val="00166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D39"/>
  </w:style>
  <w:style w:type="paragraph" w:styleId="BalloonText">
    <w:name w:val="Balloon Text"/>
    <w:basedOn w:val="Normal"/>
    <w:link w:val="BalloonTextChar"/>
    <w:uiPriority w:val="99"/>
    <w:semiHidden/>
    <w:unhideWhenUsed/>
    <w:rsid w:val="004F7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C91"/>
    <w:rPr>
      <w:rFonts w:ascii="Segoe UI" w:hAnsi="Segoe UI" w:cs="Segoe UI"/>
      <w:sz w:val="18"/>
      <w:szCs w:val="18"/>
    </w:rPr>
  </w:style>
  <w:style w:type="character" w:styleId="CommentReference">
    <w:name w:val="annotation reference"/>
    <w:basedOn w:val="DefaultParagraphFont"/>
    <w:uiPriority w:val="99"/>
    <w:semiHidden/>
    <w:unhideWhenUsed/>
    <w:rsid w:val="005B299A"/>
    <w:rPr>
      <w:sz w:val="16"/>
      <w:szCs w:val="16"/>
    </w:rPr>
  </w:style>
  <w:style w:type="paragraph" w:styleId="CommentText">
    <w:name w:val="annotation text"/>
    <w:basedOn w:val="Normal"/>
    <w:link w:val="CommentTextChar"/>
    <w:uiPriority w:val="99"/>
    <w:unhideWhenUsed/>
    <w:rsid w:val="005B299A"/>
    <w:pPr>
      <w:spacing w:line="240" w:lineRule="auto"/>
    </w:pPr>
    <w:rPr>
      <w:sz w:val="20"/>
      <w:szCs w:val="20"/>
    </w:rPr>
  </w:style>
  <w:style w:type="character" w:customStyle="1" w:styleId="CommentTextChar">
    <w:name w:val="Comment Text Char"/>
    <w:basedOn w:val="DefaultParagraphFont"/>
    <w:link w:val="CommentText"/>
    <w:uiPriority w:val="99"/>
    <w:rsid w:val="005B299A"/>
    <w:rPr>
      <w:sz w:val="20"/>
      <w:szCs w:val="20"/>
    </w:rPr>
  </w:style>
  <w:style w:type="paragraph" w:styleId="CommentSubject">
    <w:name w:val="annotation subject"/>
    <w:basedOn w:val="CommentText"/>
    <w:next w:val="CommentText"/>
    <w:link w:val="CommentSubjectChar"/>
    <w:uiPriority w:val="99"/>
    <w:semiHidden/>
    <w:unhideWhenUsed/>
    <w:rsid w:val="005B299A"/>
    <w:rPr>
      <w:b/>
      <w:bCs/>
    </w:rPr>
  </w:style>
  <w:style w:type="character" w:customStyle="1" w:styleId="CommentSubjectChar">
    <w:name w:val="Comment Subject Char"/>
    <w:basedOn w:val="CommentTextChar"/>
    <w:link w:val="CommentSubject"/>
    <w:uiPriority w:val="99"/>
    <w:semiHidden/>
    <w:rsid w:val="005B299A"/>
    <w:rPr>
      <w:b/>
      <w:bCs/>
      <w:sz w:val="20"/>
      <w:szCs w:val="20"/>
    </w:rPr>
  </w:style>
  <w:style w:type="paragraph" w:styleId="FootnoteText">
    <w:name w:val="footnote text"/>
    <w:basedOn w:val="Normal"/>
    <w:link w:val="FootnoteTextChar"/>
    <w:uiPriority w:val="99"/>
    <w:semiHidden/>
    <w:unhideWhenUsed/>
    <w:rsid w:val="00BE44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448E"/>
    <w:rPr>
      <w:sz w:val="20"/>
      <w:szCs w:val="20"/>
    </w:rPr>
  </w:style>
  <w:style w:type="character" w:styleId="FootnoteReference">
    <w:name w:val="footnote reference"/>
    <w:basedOn w:val="DefaultParagraphFont"/>
    <w:uiPriority w:val="99"/>
    <w:semiHidden/>
    <w:unhideWhenUsed/>
    <w:rsid w:val="00BE448E"/>
    <w:rPr>
      <w:vertAlign w:val="superscript"/>
    </w:rPr>
  </w:style>
  <w:style w:type="paragraph" w:styleId="Revision">
    <w:name w:val="Revision"/>
    <w:hidden/>
    <w:uiPriority w:val="99"/>
    <w:semiHidden/>
    <w:rsid w:val="00D425FF"/>
    <w:pPr>
      <w:spacing w:after="0" w:line="240" w:lineRule="auto"/>
    </w:pPr>
  </w:style>
  <w:style w:type="character" w:styleId="Hyperlink">
    <w:name w:val="Hyperlink"/>
    <w:basedOn w:val="DefaultParagraphFont"/>
    <w:uiPriority w:val="99"/>
    <w:semiHidden/>
    <w:unhideWhenUsed/>
    <w:rsid w:val="00236340"/>
    <w:rPr>
      <w:color w:val="0563C1"/>
      <w:u w:val="single"/>
    </w:rPr>
  </w:style>
  <w:style w:type="paragraph" w:customStyle="1" w:styleId="paragraph">
    <w:name w:val="paragraph"/>
    <w:basedOn w:val="Normal"/>
    <w:rsid w:val="0008114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98452">
      <w:bodyDiv w:val="1"/>
      <w:marLeft w:val="0"/>
      <w:marRight w:val="0"/>
      <w:marTop w:val="0"/>
      <w:marBottom w:val="0"/>
      <w:divBdr>
        <w:top w:val="none" w:sz="0" w:space="0" w:color="auto"/>
        <w:left w:val="none" w:sz="0" w:space="0" w:color="auto"/>
        <w:bottom w:val="none" w:sz="0" w:space="0" w:color="auto"/>
        <w:right w:val="none" w:sz="0" w:space="0" w:color="auto"/>
      </w:divBdr>
    </w:div>
    <w:div w:id="532697632">
      <w:bodyDiv w:val="1"/>
      <w:marLeft w:val="0"/>
      <w:marRight w:val="0"/>
      <w:marTop w:val="0"/>
      <w:marBottom w:val="0"/>
      <w:divBdr>
        <w:top w:val="none" w:sz="0" w:space="0" w:color="auto"/>
        <w:left w:val="none" w:sz="0" w:space="0" w:color="auto"/>
        <w:bottom w:val="none" w:sz="0" w:space="0" w:color="auto"/>
        <w:right w:val="none" w:sz="0" w:space="0" w:color="auto"/>
      </w:divBdr>
    </w:div>
    <w:div w:id="897862278">
      <w:bodyDiv w:val="1"/>
      <w:marLeft w:val="0"/>
      <w:marRight w:val="0"/>
      <w:marTop w:val="0"/>
      <w:marBottom w:val="0"/>
      <w:divBdr>
        <w:top w:val="none" w:sz="0" w:space="0" w:color="auto"/>
        <w:left w:val="none" w:sz="0" w:space="0" w:color="auto"/>
        <w:bottom w:val="none" w:sz="0" w:space="0" w:color="auto"/>
        <w:right w:val="none" w:sz="0" w:space="0" w:color="auto"/>
      </w:divBdr>
    </w:div>
    <w:div w:id="2060736648">
      <w:bodyDiv w:val="1"/>
      <w:marLeft w:val="0"/>
      <w:marRight w:val="0"/>
      <w:marTop w:val="0"/>
      <w:marBottom w:val="0"/>
      <w:divBdr>
        <w:top w:val="none" w:sz="0" w:space="0" w:color="auto"/>
        <w:left w:val="none" w:sz="0" w:space="0" w:color="auto"/>
        <w:bottom w:val="none" w:sz="0" w:space="0" w:color="auto"/>
        <w:right w:val="none" w:sz="0" w:space="0" w:color="auto"/>
      </w:divBdr>
    </w:div>
    <w:div w:id="20825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7" ma:contentTypeDescription="Create a new document." ma:contentTypeScope="" ma:versionID="697f645dda01638c97dc33206f579587">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1c2bd343e0413973ace75ef15abc8604"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lcf76f155ced4ddcb4097134ff3c332f xmlns="54a7c1f1-3f47-4901-9ebc-438e2774b79c">
      <Terms xmlns="http://schemas.microsoft.com/office/infopath/2007/PartnerControls"/>
    </lcf76f155ced4ddcb4097134ff3c332f>
    <TaxCatchAll xmlns="9031a7a0-0ac0-494a-9b88-767ee5490bc0" xsi:nil="true"/>
    <Dateandtime xmlns="54a7c1f1-3f47-4901-9ebc-438e2774b79c" xsi:nil="true"/>
  </documentManagement>
</p:properties>
</file>

<file path=customXml/itemProps1.xml><?xml version="1.0" encoding="utf-8"?>
<ds:datastoreItem xmlns:ds="http://schemas.openxmlformats.org/officeDocument/2006/customXml" ds:itemID="{0BB481CF-DBF5-4D0E-B887-21D4B4A88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43C13-089D-44B9-88A0-0E21CC1DC5AF}">
  <ds:schemaRefs>
    <ds:schemaRef ds:uri="http://schemas.openxmlformats.org/officeDocument/2006/bibliography"/>
  </ds:schemaRefs>
</ds:datastoreItem>
</file>

<file path=customXml/itemProps3.xml><?xml version="1.0" encoding="utf-8"?>
<ds:datastoreItem xmlns:ds="http://schemas.openxmlformats.org/officeDocument/2006/customXml" ds:itemID="{859490D6-76C9-4641-83DC-95A5832EF64E}">
  <ds:schemaRefs>
    <ds:schemaRef ds:uri="http://schemas.microsoft.com/sharepoint/v3/contenttype/forms"/>
  </ds:schemaRefs>
</ds:datastoreItem>
</file>

<file path=customXml/itemProps4.xml><?xml version="1.0" encoding="utf-8"?>
<ds:datastoreItem xmlns:ds="http://schemas.openxmlformats.org/officeDocument/2006/customXml" ds:itemID="{D06125CF-09F1-42E7-B196-BA55F52A826C}">
  <ds:schemaRefs>
    <ds:schemaRef ds:uri="http://schemas.microsoft.com/office/2006/metadata/properties"/>
    <ds:schemaRef ds:uri="http://schemas.microsoft.com/office/infopath/2007/PartnerControls"/>
    <ds:schemaRef ds:uri="54a7c1f1-3f47-4901-9ebc-438e2774b79c"/>
    <ds:schemaRef ds:uri="9031a7a0-0ac0-494a-9b88-767ee5490bc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5107</Words>
  <Characters>29115</Characters>
  <Application>Microsoft Office Word</Application>
  <DocSecurity>0</DocSecurity>
  <Lines>242</Lines>
  <Paragraphs>68</Paragraphs>
  <ScaleCrop>false</ScaleCrop>
  <Company/>
  <LinksUpToDate>false</LinksUpToDate>
  <CharactersWithSpaces>34154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2023-07-25T21:48:00Z</dcterms:created>
  <dcterms:modified xsi:type="dcterms:W3CDTF">2023-12-11T22:55:00Z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2e48c-f0e0-48fb-b5c1-02479cac7f09_ContentBits">
    <vt:lpwstr>3</vt:lpwstr>
  </property>
  <property fmtid="{D5CDD505-2E9C-101B-9397-08002B2CF9AE}" pid="3" name="MSIP_Label_1112e48c-f0e0-48fb-b5c1-02479cac7f09_SetDate">
    <vt:lpwstr>2023-02-08T03:03:49Z</vt:lpwstr>
  </property>
  <property fmtid="{D5CDD505-2E9C-101B-9397-08002B2CF9AE}" pid="4" name="MSIP_Label_1112e48c-f0e0-48fb-b5c1-02479cac7f09_Name">
    <vt:lpwstr>b3bff2a6679e</vt:lpwstr>
  </property>
  <property fmtid="{D5CDD505-2E9C-101B-9397-08002B2CF9AE}" pid="5" name="MediaServiceImageTags">
    <vt:lpwstr/>
  </property>
  <property fmtid="{D5CDD505-2E9C-101B-9397-08002B2CF9AE}" pid="6" name="ContentTypeId">
    <vt:lpwstr>0x0101008B9FFAAC2203D942B1D4C76771736A48</vt:lpwstr>
  </property>
  <property fmtid="{D5CDD505-2E9C-101B-9397-08002B2CF9AE}" pid="7" name="MSIP_Label_1112e48c-f0e0-48fb-b5c1-02479cac7f09_SiteId">
    <vt:lpwstr>dd0cfd15-4558-4b12-8bad-ea26984fc417</vt:lpwstr>
  </property>
  <property fmtid="{D5CDD505-2E9C-101B-9397-08002B2CF9AE}" pid="8" name="MSIP_Label_1112e48c-f0e0-48fb-b5c1-02479cac7f09_Method">
    <vt:lpwstr>Privileged</vt:lpwstr>
  </property>
  <property fmtid="{D5CDD505-2E9C-101B-9397-08002B2CF9AE}" pid="9" name="MSIP_Label_1112e48c-f0e0-48fb-b5c1-02479cac7f09_Enabled">
    <vt:lpwstr>true</vt:lpwstr>
  </property>
  <property fmtid="{D5CDD505-2E9C-101B-9397-08002B2CF9AE}" pid="10" name="MSIP_Label_1112e48c-f0e0-48fb-b5c1-02479cac7f09_ActionId">
    <vt:lpwstr>d9bfb8de-5c97-4888-9056-ebb55e238804</vt:lpwstr>
  </property>
</Properties>
</file>