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D81" w:rsidRDefault="00842D81" w:rsidP="00C52050">
      <w:pPr>
        <w:pStyle w:val="FormTitle"/>
        <w:rPr>
          <w:rFonts w:ascii="Helvetica" w:hAnsi="Helvetica" w:cs="Helvetica"/>
        </w:rPr>
      </w:pPr>
    </w:p>
    <w:p w:rsidR="00842D81" w:rsidRDefault="00842D81" w:rsidP="00C52050">
      <w:pPr>
        <w:pStyle w:val="FormTitle"/>
        <w:rPr>
          <w:rFonts w:ascii="Helvetica" w:hAnsi="Helvetica" w:cs="Helvetica"/>
        </w:rPr>
      </w:pPr>
    </w:p>
    <w:p w:rsidR="00842D81" w:rsidRDefault="00842D81" w:rsidP="00C52050">
      <w:pPr>
        <w:pStyle w:val="FormTitle"/>
        <w:rPr>
          <w:rFonts w:ascii="Helvetica" w:hAnsi="Helvetica" w:cs="Helvetica"/>
        </w:rPr>
      </w:pPr>
    </w:p>
    <w:p w:rsidR="00842D81" w:rsidRDefault="00842D81" w:rsidP="00C52050">
      <w:pPr>
        <w:pStyle w:val="FormTitle"/>
        <w:rPr>
          <w:rFonts w:ascii="Helvetica" w:hAnsi="Helvetica" w:cs="Helvetica"/>
        </w:rPr>
      </w:pPr>
    </w:p>
    <w:p w:rsidR="00E11B8C" w:rsidRPr="00235A56" w:rsidRDefault="00842D81" w:rsidP="00C52050">
      <w:pPr>
        <w:pStyle w:val="FormTitle"/>
        <w:rPr>
          <w:rFonts w:ascii="Helvetica" w:hAnsi="Helvetica" w:cs="Helvetica"/>
        </w:rPr>
      </w:pPr>
      <w:r>
        <w:rPr>
          <w:rFonts w:ascii="Helvetica" w:hAnsi="Helvetica" w:cs="Helvetica"/>
          <w:noProof/>
          <w:sz w:val="22"/>
          <w:szCs w:val="22"/>
          <w:lang w:eastAsia="en-AU"/>
        </w:rPr>
        <w:drawing>
          <wp:anchor distT="0" distB="0" distL="114300" distR="114300" simplePos="0" relativeHeight="251658240" behindDoc="1" locked="0" layoutInCell="1" allowOverlap="1" wp14:anchorId="7FA1F47A" wp14:editId="15EB7EE2">
            <wp:simplePos x="0" y="0"/>
            <wp:positionH relativeFrom="column">
              <wp:posOffset>4355465</wp:posOffset>
            </wp:positionH>
            <wp:positionV relativeFrom="page">
              <wp:posOffset>522605</wp:posOffset>
            </wp:positionV>
            <wp:extent cx="1565352" cy="156535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5352" cy="15653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1B8C" w:rsidRPr="00235A56">
        <w:rPr>
          <w:rFonts w:ascii="Helvetica" w:hAnsi="Helvetica" w:cs="Helvetica"/>
        </w:rPr>
        <w:t>Scoping study to inform the</w:t>
      </w:r>
      <w:r w:rsidR="00E11B8C" w:rsidRPr="00235A56">
        <w:rPr>
          <w:rFonts w:ascii="Helvetica" w:hAnsi="Helvetica" w:cs="Helvetica"/>
        </w:rPr>
        <w:br/>
        <w:t>Review of the Higher Education Provider Category Standards</w:t>
      </w:r>
    </w:p>
    <w:p w:rsidR="001E5D18" w:rsidRPr="00235A56" w:rsidRDefault="001E5D18">
      <w:pPr>
        <w:spacing w:after="0"/>
        <w:jc w:val="left"/>
        <w:rPr>
          <w:rFonts w:ascii="Helvetica" w:eastAsiaTheme="majorEastAsia" w:hAnsi="Helvetica" w:cs="Helvetica"/>
          <w:color w:val="2F5496" w:themeColor="accent1" w:themeShade="BF"/>
          <w:sz w:val="22"/>
          <w:szCs w:val="22"/>
        </w:rPr>
      </w:pPr>
    </w:p>
    <w:p w:rsidR="009C2562" w:rsidRPr="00235A56" w:rsidRDefault="009C2562">
      <w:pPr>
        <w:spacing w:after="0"/>
        <w:jc w:val="left"/>
        <w:rPr>
          <w:rFonts w:ascii="Helvetica" w:hAnsi="Helvetica" w:cs="Helvetica"/>
          <w:sz w:val="22"/>
          <w:szCs w:val="22"/>
        </w:rPr>
      </w:pPr>
    </w:p>
    <w:p w:rsidR="009C2562" w:rsidRPr="00235A56" w:rsidRDefault="009C2562">
      <w:pPr>
        <w:spacing w:after="0"/>
        <w:jc w:val="left"/>
        <w:rPr>
          <w:rFonts w:ascii="Helvetica" w:hAnsi="Helvetica" w:cs="Helvetica"/>
          <w:sz w:val="22"/>
          <w:szCs w:val="22"/>
        </w:rPr>
      </w:pPr>
    </w:p>
    <w:p w:rsidR="009C2562" w:rsidRPr="00235A56" w:rsidRDefault="009C2562">
      <w:pPr>
        <w:spacing w:after="0"/>
        <w:jc w:val="left"/>
        <w:rPr>
          <w:rFonts w:ascii="Helvetica" w:hAnsi="Helvetica" w:cs="Helvetica"/>
          <w:sz w:val="22"/>
          <w:szCs w:val="22"/>
        </w:rPr>
      </w:pPr>
    </w:p>
    <w:p w:rsidR="009C2562" w:rsidRPr="00235A56" w:rsidRDefault="009C2562">
      <w:pPr>
        <w:spacing w:after="0"/>
        <w:jc w:val="left"/>
        <w:rPr>
          <w:rFonts w:ascii="Helvetica" w:hAnsi="Helvetica" w:cs="Helvetica"/>
          <w:sz w:val="22"/>
          <w:szCs w:val="22"/>
        </w:rPr>
      </w:pPr>
    </w:p>
    <w:p w:rsidR="009C2562" w:rsidRPr="00235A56" w:rsidRDefault="009C2562">
      <w:pPr>
        <w:spacing w:after="0"/>
        <w:jc w:val="left"/>
        <w:rPr>
          <w:rFonts w:ascii="Helvetica" w:hAnsi="Helvetica" w:cs="Helvetica"/>
          <w:sz w:val="22"/>
          <w:szCs w:val="22"/>
        </w:rPr>
      </w:pPr>
    </w:p>
    <w:p w:rsidR="009C2562" w:rsidRPr="00235A56" w:rsidRDefault="009C2562">
      <w:pPr>
        <w:spacing w:after="0"/>
        <w:jc w:val="left"/>
        <w:rPr>
          <w:rFonts w:ascii="Helvetica" w:hAnsi="Helvetica" w:cs="Helvetica"/>
          <w:sz w:val="22"/>
          <w:szCs w:val="22"/>
        </w:rPr>
      </w:pPr>
    </w:p>
    <w:p w:rsidR="009C2562" w:rsidRPr="00235A56" w:rsidRDefault="009C2562">
      <w:pPr>
        <w:spacing w:after="0"/>
        <w:jc w:val="left"/>
        <w:rPr>
          <w:rFonts w:ascii="Helvetica" w:hAnsi="Helvetica" w:cs="Helvetica"/>
          <w:sz w:val="22"/>
          <w:szCs w:val="22"/>
        </w:rPr>
      </w:pPr>
    </w:p>
    <w:p w:rsidR="009C2562" w:rsidRPr="00235A56" w:rsidRDefault="009C2562">
      <w:pPr>
        <w:spacing w:after="0"/>
        <w:jc w:val="left"/>
        <w:rPr>
          <w:rFonts w:ascii="Helvetica" w:hAnsi="Helvetica" w:cs="Helvetica"/>
          <w:sz w:val="22"/>
          <w:szCs w:val="22"/>
        </w:rPr>
      </w:pPr>
    </w:p>
    <w:p w:rsidR="009C2562" w:rsidRPr="00235A56" w:rsidRDefault="009C2562">
      <w:pPr>
        <w:spacing w:after="0"/>
        <w:jc w:val="left"/>
        <w:rPr>
          <w:rFonts w:ascii="Helvetica" w:hAnsi="Helvetica" w:cs="Helvetica"/>
          <w:sz w:val="22"/>
          <w:szCs w:val="22"/>
        </w:rPr>
      </w:pPr>
    </w:p>
    <w:p w:rsidR="009C2562" w:rsidRPr="00235A56" w:rsidRDefault="009C2562">
      <w:pPr>
        <w:spacing w:after="0"/>
        <w:jc w:val="left"/>
        <w:rPr>
          <w:rFonts w:ascii="Helvetica" w:hAnsi="Helvetica" w:cs="Helvetica"/>
          <w:sz w:val="22"/>
          <w:szCs w:val="22"/>
        </w:rPr>
      </w:pPr>
    </w:p>
    <w:p w:rsidR="009C2562" w:rsidRPr="00235A56" w:rsidRDefault="009C2562">
      <w:pPr>
        <w:spacing w:after="0"/>
        <w:jc w:val="left"/>
        <w:rPr>
          <w:rFonts w:ascii="Helvetica" w:hAnsi="Helvetica" w:cs="Helvetica"/>
          <w:sz w:val="22"/>
          <w:szCs w:val="22"/>
        </w:rPr>
      </w:pPr>
    </w:p>
    <w:p w:rsidR="009C2562" w:rsidRPr="00235A56" w:rsidRDefault="009C2562">
      <w:pPr>
        <w:spacing w:after="0"/>
        <w:jc w:val="left"/>
        <w:rPr>
          <w:rFonts w:ascii="Helvetica" w:hAnsi="Helvetica" w:cs="Helvetica"/>
          <w:sz w:val="22"/>
          <w:szCs w:val="22"/>
        </w:rPr>
      </w:pPr>
    </w:p>
    <w:p w:rsidR="009C2562" w:rsidRPr="00235A56" w:rsidRDefault="009C2562">
      <w:pPr>
        <w:spacing w:after="0"/>
        <w:jc w:val="left"/>
        <w:rPr>
          <w:rFonts w:ascii="Helvetica" w:hAnsi="Helvetica" w:cs="Helvetica"/>
          <w:sz w:val="22"/>
          <w:szCs w:val="22"/>
        </w:rPr>
      </w:pPr>
    </w:p>
    <w:p w:rsidR="009C2562" w:rsidRPr="00235A56" w:rsidRDefault="009C2562">
      <w:pPr>
        <w:spacing w:after="0"/>
        <w:jc w:val="left"/>
        <w:rPr>
          <w:rFonts w:ascii="Helvetica" w:hAnsi="Helvetica" w:cs="Helvetica"/>
          <w:sz w:val="22"/>
          <w:szCs w:val="22"/>
        </w:rPr>
      </w:pPr>
    </w:p>
    <w:p w:rsidR="009C2562" w:rsidRPr="00235A56" w:rsidRDefault="009C2562">
      <w:pPr>
        <w:spacing w:after="0"/>
        <w:jc w:val="left"/>
        <w:rPr>
          <w:rFonts w:ascii="Helvetica" w:hAnsi="Helvetica" w:cs="Helvetica"/>
          <w:sz w:val="22"/>
          <w:szCs w:val="22"/>
        </w:rPr>
      </w:pPr>
    </w:p>
    <w:p w:rsidR="009C2562" w:rsidRPr="00235A56" w:rsidRDefault="009C2562">
      <w:pPr>
        <w:spacing w:after="0"/>
        <w:jc w:val="left"/>
        <w:rPr>
          <w:rFonts w:ascii="Helvetica" w:hAnsi="Helvetica" w:cs="Helvetica"/>
          <w:sz w:val="22"/>
          <w:szCs w:val="22"/>
        </w:rPr>
      </w:pPr>
    </w:p>
    <w:p w:rsidR="009C2562" w:rsidRPr="00235A56" w:rsidRDefault="009C2562">
      <w:pPr>
        <w:spacing w:after="0"/>
        <w:jc w:val="left"/>
        <w:rPr>
          <w:rFonts w:ascii="Helvetica" w:hAnsi="Helvetica" w:cs="Helvetica"/>
          <w:sz w:val="22"/>
          <w:szCs w:val="22"/>
        </w:rPr>
      </w:pPr>
    </w:p>
    <w:p w:rsidR="009C2562" w:rsidRPr="00235A56" w:rsidRDefault="009C2562">
      <w:pPr>
        <w:spacing w:after="0"/>
        <w:jc w:val="left"/>
        <w:rPr>
          <w:rFonts w:ascii="Helvetica" w:hAnsi="Helvetica" w:cs="Helvetica"/>
          <w:sz w:val="22"/>
          <w:szCs w:val="22"/>
        </w:rPr>
      </w:pPr>
    </w:p>
    <w:p w:rsidR="009C2562" w:rsidRPr="00235A56" w:rsidRDefault="009C2562">
      <w:pPr>
        <w:spacing w:after="0"/>
        <w:jc w:val="left"/>
        <w:rPr>
          <w:rFonts w:ascii="Helvetica" w:hAnsi="Helvetica" w:cs="Helvetica"/>
          <w:sz w:val="22"/>
          <w:szCs w:val="22"/>
        </w:rPr>
      </w:pPr>
    </w:p>
    <w:p w:rsidR="009C2562" w:rsidRPr="00235A56" w:rsidRDefault="009C2562">
      <w:pPr>
        <w:spacing w:after="0"/>
        <w:jc w:val="left"/>
        <w:rPr>
          <w:rFonts w:ascii="Helvetica" w:hAnsi="Helvetica" w:cs="Helvetica"/>
          <w:sz w:val="22"/>
          <w:szCs w:val="22"/>
        </w:rPr>
      </w:pPr>
    </w:p>
    <w:p w:rsidR="009C2562" w:rsidRPr="00235A56" w:rsidRDefault="009C2562">
      <w:pPr>
        <w:spacing w:after="0"/>
        <w:jc w:val="left"/>
        <w:rPr>
          <w:rFonts w:ascii="Helvetica" w:hAnsi="Helvetica" w:cs="Helvetica"/>
          <w:sz w:val="22"/>
          <w:szCs w:val="22"/>
        </w:rPr>
      </w:pPr>
    </w:p>
    <w:p w:rsidR="009C2562" w:rsidRPr="00235A56" w:rsidRDefault="009C2562">
      <w:pPr>
        <w:spacing w:after="0"/>
        <w:jc w:val="left"/>
        <w:rPr>
          <w:rFonts w:ascii="Helvetica" w:hAnsi="Helvetica" w:cs="Helvetica"/>
          <w:sz w:val="22"/>
          <w:szCs w:val="22"/>
        </w:rPr>
      </w:pPr>
    </w:p>
    <w:p w:rsidR="003258EC" w:rsidRPr="00235A56" w:rsidRDefault="001A2C4B">
      <w:pPr>
        <w:spacing w:after="0"/>
        <w:jc w:val="left"/>
        <w:rPr>
          <w:rFonts w:ascii="Helvetica" w:hAnsi="Helvetica" w:cs="Helvetica"/>
          <w:sz w:val="28"/>
          <w:szCs w:val="28"/>
        </w:rPr>
      </w:pPr>
      <w:bookmarkStart w:id="0" w:name="_Hlk531334832"/>
      <w:bookmarkEnd w:id="0"/>
      <w:r w:rsidRPr="00235A56">
        <w:rPr>
          <w:rFonts w:ascii="Helvetica" w:hAnsi="Helvetica" w:cs="Helvetica"/>
          <w:sz w:val="28"/>
          <w:szCs w:val="28"/>
        </w:rPr>
        <w:t>Dr Gwilym Croucher</w:t>
      </w:r>
    </w:p>
    <w:p w:rsidR="001A2C4B" w:rsidRPr="00235A56" w:rsidRDefault="001A2C4B">
      <w:pPr>
        <w:spacing w:after="0"/>
        <w:jc w:val="left"/>
        <w:rPr>
          <w:rFonts w:ascii="Helvetica" w:hAnsi="Helvetica" w:cs="Helvetica"/>
          <w:sz w:val="28"/>
          <w:szCs w:val="28"/>
        </w:rPr>
      </w:pPr>
      <w:r w:rsidRPr="00235A56">
        <w:rPr>
          <w:rFonts w:ascii="Helvetica" w:hAnsi="Helvetica" w:cs="Helvetica"/>
          <w:sz w:val="28"/>
          <w:szCs w:val="28"/>
        </w:rPr>
        <w:t>Professor Leo Goedegebuure</w:t>
      </w:r>
    </w:p>
    <w:p w:rsidR="001A2C4B" w:rsidRPr="00235A56" w:rsidRDefault="001A2C4B">
      <w:pPr>
        <w:spacing w:after="0"/>
        <w:jc w:val="left"/>
        <w:rPr>
          <w:rFonts w:ascii="Helvetica" w:eastAsiaTheme="majorEastAsia" w:hAnsi="Helvetica" w:cs="Helvetica"/>
          <w:sz w:val="28"/>
          <w:szCs w:val="28"/>
        </w:rPr>
      </w:pPr>
      <w:r w:rsidRPr="00235A56">
        <w:rPr>
          <w:rFonts w:ascii="Helvetica" w:eastAsiaTheme="majorEastAsia" w:hAnsi="Helvetica" w:cs="Helvetica"/>
          <w:sz w:val="28"/>
          <w:szCs w:val="28"/>
        </w:rPr>
        <w:t>Professor Richard James</w:t>
      </w:r>
    </w:p>
    <w:p w:rsidR="00DE0390" w:rsidRPr="00235A56" w:rsidRDefault="00DE0390">
      <w:pPr>
        <w:spacing w:after="0"/>
        <w:jc w:val="left"/>
        <w:rPr>
          <w:rFonts w:ascii="Helvetica" w:eastAsiaTheme="majorEastAsia" w:hAnsi="Helvetica" w:cs="Helvetica"/>
          <w:sz w:val="28"/>
          <w:szCs w:val="28"/>
        </w:rPr>
      </w:pPr>
      <w:r w:rsidRPr="00235A56">
        <w:rPr>
          <w:rFonts w:ascii="Helvetica" w:eastAsiaTheme="majorEastAsia" w:hAnsi="Helvetica" w:cs="Helvetica"/>
          <w:sz w:val="28"/>
          <w:szCs w:val="28"/>
        </w:rPr>
        <w:t>Asma Ahsan</w:t>
      </w:r>
    </w:p>
    <w:p w:rsidR="00534A27" w:rsidRDefault="00534A27" w:rsidP="001A2C4B">
      <w:pPr>
        <w:spacing w:after="0"/>
        <w:jc w:val="left"/>
        <w:rPr>
          <w:rFonts w:ascii="Helvetica" w:hAnsi="Helvetica" w:cs="Helvetica"/>
        </w:rPr>
      </w:pPr>
    </w:p>
    <w:p w:rsidR="00463C45" w:rsidRDefault="006B43A9" w:rsidP="001A2C4B">
      <w:pPr>
        <w:spacing w:after="0"/>
        <w:jc w:val="left"/>
        <w:rPr>
          <w:rFonts w:ascii="Helvetica" w:hAnsi="Helvetica" w:cs="Helvetica"/>
        </w:rPr>
      </w:pPr>
      <w:r>
        <w:rPr>
          <w:rFonts w:ascii="Helvetica" w:hAnsi="Helvetica" w:cs="Helvetica"/>
        </w:rPr>
        <w:t>L</w:t>
      </w:r>
      <w:r w:rsidR="006579F4">
        <w:rPr>
          <w:rFonts w:ascii="Helvetica" w:hAnsi="Helvetica" w:cs="Helvetica"/>
        </w:rPr>
        <w:t>H Martin Institute</w:t>
      </w:r>
      <w:r>
        <w:rPr>
          <w:rFonts w:ascii="Helvetica" w:hAnsi="Helvetica" w:cs="Helvetica"/>
        </w:rPr>
        <w:t xml:space="preserve"> </w:t>
      </w:r>
      <w:r w:rsidR="006579F4">
        <w:rPr>
          <w:rFonts w:ascii="Helvetica" w:hAnsi="Helvetica" w:cs="Helvetica"/>
        </w:rPr>
        <w:t xml:space="preserve">and </w:t>
      </w:r>
    </w:p>
    <w:p w:rsidR="006579F4" w:rsidRPr="00235A56" w:rsidRDefault="006579F4" w:rsidP="001A2C4B">
      <w:pPr>
        <w:spacing w:after="0"/>
        <w:jc w:val="left"/>
        <w:rPr>
          <w:rFonts w:ascii="Helvetica" w:hAnsi="Helvetica" w:cs="Helvetica"/>
        </w:rPr>
      </w:pPr>
      <w:r>
        <w:rPr>
          <w:rFonts w:ascii="Helvetica" w:hAnsi="Helvetica" w:cs="Helvetica"/>
        </w:rPr>
        <w:t>Melbourne Centre for the Study of Higher Education</w:t>
      </w:r>
    </w:p>
    <w:p w:rsidR="001A2C4B" w:rsidRPr="00235A56" w:rsidRDefault="001A2C4B" w:rsidP="001A2C4B">
      <w:pPr>
        <w:spacing w:after="0"/>
        <w:jc w:val="left"/>
        <w:rPr>
          <w:rFonts w:ascii="Helvetica" w:hAnsi="Helvetica" w:cs="Helvetica"/>
        </w:rPr>
      </w:pPr>
      <w:r w:rsidRPr="00235A56">
        <w:rPr>
          <w:rFonts w:ascii="Helvetica" w:hAnsi="Helvetica" w:cs="Helvetica"/>
        </w:rPr>
        <w:t>University of Melbourne</w:t>
      </w:r>
      <w:r w:rsidR="00E06FB2" w:rsidRPr="00235A56">
        <w:rPr>
          <w:rFonts w:ascii="Helvetica" w:hAnsi="Helvetica" w:cs="Helvetica"/>
        </w:rPr>
        <w:t>, August 2018</w:t>
      </w:r>
    </w:p>
    <w:p w:rsidR="00A239B2" w:rsidRDefault="00A239B2">
      <w:pPr>
        <w:spacing w:after="0"/>
        <w:jc w:val="left"/>
        <w:rPr>
          <w:rFonts w:ascii="Helvetica" w:hAnsi="Helvetica" w:cs="Helvetica"/>
          <w:sz w:val="28"/>
          <w:szCs w:val="28"/>
        </w:rPr>
      </w:pPr>
      <w:r>
        <w:rPr>
          <w:rFonts w:ascii="Helvetica" w:hAnsi="Helvetica" w:cs="Helvetica"/>
          <w:sz w:val="28"/>
          <w:szCs w:val="28"/>
        </w:rPr>
        <w:br w:type="page"/>
      </w:r>
    </w:p>
    <w:p w:rsidR="00A239B2" w:rsidRPr="00CD3344" w:rsidRDefault="00A239B2" w:rsidP="00A239B2">
      <w:pPr>
        <w:tabs>
          <w:tab w:val="left" w:pos="5130"/>
        </w:tabs>
        <w:spacing w:after="0"/>
        <w:rPr>
          <w:rFonts w:cstheme="minorHAnsi"/>
          <w:b/>
        </w:rPr>
      </w:pPr>
      <w:r>
        <w:rPr>
          <w:rFonts w:cstheme="minorHAnsi"/>
          <w:b/>
        </w:rPr>
        <w:lastRenderedPageBreak/>
        <w:t>Scoping study</w:t>
      </w:r>
    </w:p>
    <w:p w:rsidR="00A239B2" w:rsidRPr="00CD3344" w:rsidRDefault="00A239B2" w:rsidP="00A239B2">
      <w:pPr>
        <w:pStyle w:val="NormalWeb"/>
        <w:keepNext/>
        <w:rPr>
          <w:rFonts w:asciiTheme="minorHAnsi" w:hAnsiTheme="minorHAnsi" w:cstheme="minorHAnsi"/>
        </w:rPr>
      </w:pPr>
      <w:r w:rsidRPr="00CD3344">
        <w:rPr>
          <w:rFonts w:asciiTheme="minorHAnsi" w:hAnsiTheme="minorHAnsi" w:cstheme="minorHAnsi"/>
          <w:color w:val="000000"/>
        </w:rPr>
        <w:t xml:space="preserve">© Commonwealth of Australia </w:t>
      </w:r>
      <w:r w:rsidRPr="00CD3344">
        <w:rPr>
          <w:rFonts w:asciiTheme="minorHAnsi" w:hAnsiTheme="minorHAnsi" w:cstheme="minorHAnsi"/>
        </w:rPr>
        <w:t>2018</w:t>
      </w:r>
    </w:p>
    <w:p w:rsidR="00A239B2" w:rsidRPr="007F7F41" w:rsidRDefault="00A239B2" w:rsidP="00A239B2">
      <w:pPr>
        <w:pStyle w:val="NormalWeb"/>
        <w:keepNext/>
        <w:rPr>
          <w:rFonts w:asciiTheme="minorHAnsi" w:hAnsiTheme="minorHAnsi" w:cstheme="minorHAnsi"/>
          <w:lang w:eastAsia="en-AU"/>
        </w:rPr>
      </w:pPr>
      <w:r w:rsidRPr="007F7F41">
        <w:rPr>
          <w:rFonts w:asciiTheme="minorHAnsi" w:hAnsiTheme="minorHAnsi" w:cstheme="minorHAnsi"/>
          <w:b/>
        </w:rPr>
        <w:t xml:space="preserve">ISBN </w:t>
      </w:r>
      <w:r w:rsidR="007F7F41" w:rsidRPr="007F7F41">
        <w:rPr>
          <w:rFonts w:asciiTheme="minorHAnsi" w:hAnsiTheme="minorHAnsi" w:cstheme="minorHAnsi"/>
          <w:color w:val="000000"/>
        </w:rPr>
        <w:t>978-1-76051-610</w:t>
      </w:r>
      <w:r w:rsidRPr="007F7F41">
        <w:rPr>
          <w:rFonts w:asciiTheme="minorHAnsi" w:hAnsiTheme="minorHAnsi" w:cstheme="minorHAnsi"/>
          <w:color w:val="000000"/>
        </w:rPr>
        <w:t>-</w:t>
      </w:r>
      <w:r w:rsidR="007F7F41" w:rsidRPr="007F7F41">
        <w:rPr>
          <w:rFonts w:asciiTheme="minorHAnsi" w:hAnsiTheme="minorHAnsi" w:cstheme="minorHAnsi"/>
          <w:color w:val="000000"/>
        </w:rPr>
        <w:t>9</w:t>
      </w:r>
      <w:r w:rsidRPr="007F7F41">
        <w:rPr>
          <w:rFonts w:asciiTheme="minorHAnsi" w:hAnsiTheme="minorHAnsi" w:cstheme="minorHAnsi"/>
          <w:color w:val="000000"/>
        </w:rPr>
        <w:t xml:space="preserve"> (PDF)</w:t>
      </w:r>
    </w:p>
    <w:p w:rsidR="00A239B2" w:rsidRPr="00CD3344" w:rsidRDefault="00A239B2" w:rsidP="00A239B2">
      <w:pPr>
        <w:pStyle w:val="NormalWeb"/>
        <w:keepNext/>
        <w:rPr>
          <w:rFonts w:asciiTheme="minorHAnsi" w:hAnsiTheme="minorHAnsi" w:cstheme="minorHAnsi"/>
          <w:color w:val="000000"/>
        </w:rPr>
      </w:pPr>
      <w:r w:rsidRPr="007F7F41">
        <w:rPr>
          <w:rFonts w:asciiTheme="minorHAnsi" w:hAnsiTheme="minorHAnsi" w:cstheme="minorHAnsi"/>
          <w:b/>
        </w:rPr>
        <w:t xml:space="preserve">ISBN </w:t>
      </w:r>
      <w:r w:rsidR="007F7F41" w:rsidRPr="007F7F41">
        <w:rPr>
          <w:rFonts w:asciiTheme="minorHAnsi" w:hAnsiTheme="minorHAnsi" w:cstheme="minorHAnsi"/>
          <w:color w:val="000000"/>
        </w:rPr>
        <w:t>978-1-76051-611</w:t>
      </w:r>
      <w:r w:rsidRPr="007F7F41">
        <w:rPr>
          <w:rFonts w:asciiTheme="minorHAnsi" w:hAnsiTheme="minorHAnsi" w:cstheme="minorHAnsi"/>
          <w:color w:val="000000"/>
        </w:rPr>
        <w:t>-</w:t>
      </w:r>
      <w:r w:rsidR="007F7F41" w:rsidRPr="007F7F41">
        <w:rPr>
          <w:rFonts w:asciiTheme="minorHAnsi" w:hAnsiTheme="minorHAnsi" w:cstheme="minorHAnsi"/>
          <w:color w:val="000000"/>
        </w:rPr>
        <w:t>6</w:t>
      </w:r>
      <w:r w:rsidRPr="007F7F41">
        <w:rPr>
          <w:rFonts w:asciiTheme="minorHAnsi" w:hAnsiTheme="minorHAnsi" w:cstheme="minorHAnsi"/>
          <w:color w:val="000000"/>
        </w:rPr>
        <w:t xml:space="preserve"> (DOCX)</w:t>
      </w:r>
    </w:p>
    <w:p w:rsidR="00A239B2" w:rsidRPr="00CD3344" w:rsidRDefault="00A239B2" w:rsidP="00A239B2">
      <w:pPr>
        <w:pStyle w:val="numberedpara"/>
        <w:keepNext/>
        <w:numPr>
          <w:ilvl w:val="0"/>
          <w:numId w:val="0"/>
        </w:numPr>
        <w:tabs>
          <w:tab w:val="left" w:pos="720"/>
        </w:tabs>
        <w:jc w:val="both"/>
        <w:rPr>
          <w:rFonts w:asciiTheme="minorHAnsi" w:hAnsiTheme="minorHAnsi" w:cstheme="minorHAnsi"/>
        </w:rPr>
      </w:pPr>
      <w:r w:rsidRPr="00CD3344">
        <w:rPr>
          <w:rFonts w:asciiTheme="minorHAnsi" w:hAnsiTheme="minorHAnsi" w:cstheme="minorHAnsi"/>
          <w:noProof/>
        </w:rPr>
        <w:drawing>
          <wp:inline distT="0" distB="0" distL="0" distR="0" wp14:anchorId="1E55234D" wp14:editId="43380994">
            <wp:extent cx="847725" cy="285750"/>
            <wp:effectExtent l="0" t="0" r="9525" b="0"/>
            <wp:docPr id="6" name="Picture 6" descr="cid:image003.jpg@01D31CB3.AC4B5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31CB3.AC4B5C2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847725" cy="285750"/>
                    </a:xfrm>
                    <a:prstGeom prst="rect">
                      <a:avLst/>
                    </a:prstGeom>
                    <a:noFill/>
                    <a:ln>
                      <a:noFill/>
                    </a:ln>
                  </pic:spPr>
                </pic:pic>
              </a:graphicData>
            </a:graphic>
          </wp:inline>
        </w:drawing>
      </w:r>
    </w:p>
    <w:p w:rsidR="00A239B2" w:rsidRPr="00CD3344" w:rsidRDefault="00A239B2" w:rsidP="00A239B2">
      <w:pPr>
        <w:spacing w:after="0"/>
        <w:rPr>
          <w:rFonts w:cstheme="minorHAnsi"/>
        </w:rPr>
      </w:pPr>
    </w:p>
    <w:p w:rsidR="00A239B2" w:rsidRPr="00CD3344" w:rsidRDefault="00A239B2" w:rsidP="00A239B2">
      <w:pPr>
        <w:spacing w:after="0"/>
        <w:rPr>
          <w:rFonts w:cstheme="minorHAnsi"/>
          <w:color w:val="000000"/>
        </w:rPr>
      </w:pPr>
      <w:r w:rsidRPr="00CD3344">
        <w:rPr>
          <w:rFonts w:cstheme="minorHAnsi"/>
        </w:rPr>
        <w:t xml:space="preserve">Any material protected by a trademark and where otherwise noted all material presented in this document is provided under a Creative Commons Attribution 4.0 International licence. </w:t>
      </w:r>
    </w:p>
    <w:p w:rsidR="00A239B2" w:rsidRPr="00CD3344" w:rsidRDefault="00A239B2" w:rsidP="00A239B2">
      <w:pPr>
        <w:spacing w:after="0"/>
        <w:rPr>
          <w:rFonts w:cstheme="minorHAnsi"/>
        </w:rPr>
      </w:pPr>
      <w:r w:rsidRPr="00CD3344">
        <w:rPr>
          <w:rFonts w:cstheme="minorHAnsi"/>
        </w:rPr>
        <w:t>The details of the relevant licence conditions are available on the Creative Commons website (</w:t>
      </w:r>
      <w:hyperlink r:id="rId11" w:tooltip="web link to creative commons licencing conditions" w:history="1">
        <w:r w:rsidRPr="00CD3344">
          <w:rPr>
            <w:rStyle w:val="Hyperlink"/>
            <w:rFonts w:cstheme="minorHAnsi"/>
          </w:rPr>
          <w:t>https://creativecommons.org/licenses/by/4.0/</w:t>
        </w:r>
      </w:hyperlink>
      <w:r w:rsidRPr="00CD3344">
        <w:rPr>
          <w:rFonts w:cstheme="minorHAnsi"/>
        </w:rPr>
        <w:t>) as is the full legal code (</w:t>
      </w:r>
      <w:hyperlink r:id="rId12" w:tooltip="web link to creative commons legal code" w:history="1">
        <w:r w:rsidRPr="00CD3344">
          <w:rPr>
            <w:rStyle w:val="Hyperlink"/>
            <w:rFonts w:cstheme="minorHAnsi"/>
          </w:rPr>
          <w:t>https://creativecommons.org/licenses/by/4.0/legalcode</w:t>
        </w:r>
      </w:hyperlink>
      <w:r w:rsidRPr="00CD3344">
        <w:rPr>
          <w:rFonts w:cstheme="minorHAnsi"/>
        </w:rPr>
        <w:t>)</w:t>
      </w:r>
    </w:p>
    <w:p w:rsidR="00A239B2" w:rsidRPr="00CD3344" w:rsidRDefault="00A239B2" w:rsidP="00A239B2">
      <w:pPr>
        <w:spacing w:after="0"/>
        <w:rPr>
          <w:rFonts w:cstheme="minorHAnsi"/>
        </w:rPr>
      </w:pPr>
    </w:p>
    <w:p w:rsidR="00A239B2" w:rsidRPr="00CD3344" w:rsidRDefault="00A239B2" w:rsidP="00A239B2">
      <w:pPr>
        <w:spacing w:after="0"/>
        <w:rPr>
          <w:rFonts w:cstheme="minorHAnsi"/>
        </w:rPr>
      </w:pPr>
      <w:r w:rsidRPr="00CD3344">
        <w:rPr>
          <w:rFonts w:cstheme="minorHAnsi"/>
        </w:rPr>
        <w:t>As far as practicable, material for which the copyright is owned by a third party will be clearly labelled. All reasonable efforts have been made to ensure that this material has been reproduced in this document with the full consent of the copyright owners.</w:t>
      </w:r>
    </w:p>
    <w:p w:rsidR="00A239B2" w:rsidRPr="00CD3344" w:rsidRDefault="00A239B2" w:rsidP="00A239B2">
      <w:pPr>
        <w:spacing w:after="0"/>
        <w:rPr>
          <w:rFonts w:cstheme="minorHAnsi"/>
        </w:rPr>
      </w:pPr>
    </w:p>
    <w:p w:rsidR="00A239B2" w:rsidRPr="00CD3344" w:rsidRDefault="00A239B2" w:rsidP="00A239B2">
      <w:pPr>
        <w:spacing w:after="0"/>
        <w:rPr>
          <w:rFonts w:cstheme="minorHAnsi"/>
        </w:rPr>
      </w:pPr>
      <w:r w:rsidRPr="00CD3344">
        <w:rPr>
          <w:rFonts w:cstheme="minorHAnsi"/>
        </w:rPr>
        <w:t>Copyright requests and enquiries concerning further authorisation should be addressed to:</w:t>
      </w:r>
    </w:p>
    <w:p w:rsidR="00A239B2" w:rsidRPr="00CD3344" w:rsidRDefault="00A239B2" w:rsidP="00A239B2">
      <w:pPr>
        <w:spacing w:after="0"/>
        <w:ind w:left="720"/>
        <w:rPr>
          <w:rFonts w:cstheme="minorHAnsi"/>
          <w:color w:val="000000"/>
        </w:rPr>
      </w:pPr>
      <w:r w:rsidRPr="00CD3344">
        <w:rPr>
          <w:rFonts w:cstheme="minorHAnsi"/>
          <w:lang w:eastAsia="en-AU"/>
        </w:rPr>
        <w:t xml:space="preserve">The Copyright Officer, Department of Education and Training, Location code C50MA10 </w:t>
      </w:r>
      <w:r w:rsidRPr="00CD3344">
        <w:rPr>
          <w:rFonts w:cstheme="minorHAnsi"/>
          <w:lang w:eastAsia="en-AU"/>
        </w:rPr>
        <w:br/>
        <w:t xml:space="preserve">GPO Box 9880 Canberra ACT 2601 or emailed to </w:t>
      </w:r>
      <w:hyperlink r:id="rId13" w:history="1">
        <w:r w:rsidRPr="00CD3344">
          <w:rPr>
            <w:rStyle w:val="Hyperlink"/>
            <w:rFonts w:cstheme="minorHAnsi"/>
          </w:rPr>
          <w:t>copyright@education.gov.au</w:t>
        </w:r>
      </w:hyperlink>
      <w:r w:rsidRPr="00CD3344">
        <w:rPr>
          <w:rFonts w:cstheme="minorHAnsi"/>
          <w:color w:val="000000"/>
        </w:rPr>
        <w:t>.</w:t>
      </w:r>
    </w:p>
    <w:p w:rsidR="00A239B2" w:rsidRPr="00CD3344" w:rsidRDefault="00A239B2" w:rsidP="00A239B2">
      <w:pPr>
        <w:spacing w:after="0"/>
        <w:rPr>
          <w:rFonts w:cstheme="minorHAnsi"/>
          <w:color w:val="000000"/>
        </w:rPr>
      </w:pPr>
    </w:p>
    <w:p w:rsidR="00A239B2" w:rsidRDefault="00A239B2" w:rsidP="00A239B2">
      <w:pPr>
        <w:spacing w:after="0"/>
        <w:rPr>
          <w:rFonts w:cstheme="minorHAnsi"/>
          <w:lang w:eastAsia="en-AU"/>
        </w:rPr>
      </w:pPr>
      <w:r w:rsidRPr="00CD3344">
        <w:rPr>
          <w:rFonts w:cstheme="minorHAnsi"/>
          <w:color w:val="000000"/>
        </w:rPr>
        <w:t>Where a</w:t>
      </w:r>
      <w:bookmarkStart w:id="1" w:name="_GoBack"/>
      <w:bookmarkEnd w:id="1"/>
      <w:r w:rsidRPr="00CD3344">
        <w:rPr>
          <w:rFonts w:cstheme="minorHAnsi"/>
          <w:color w:val="000000"/>
        </w:rPr>
        <w:t xml:space="preserve"> copyright owner other than the Commonwealth is identified with respect to this material, please contact that third party copyright owner directly to seek permission.</w:t>
      </w:r>
    </w:p>
    <w:p w:rsidR="00A239B2" w:rsidRPr="005C1600" w:rsidRDefault="00A239B2" w:rsidP="00A239B2">
      <w:pPr>
        <w:spacing w:after="0"/>
        <w:rPr>
          <w:rFonts w:cstheme="minorHAnsi"/>
          <w:lang w:eastAsia="en-AU"/>
        </w:rPr>
      </w:pPr>
    </w:p>
    <w:p w:rsidR="00A239B2" w:rsidRPr="00CD3344" w:rsidRDefault="00A239B2" w:rsidP="00A239B2">
      <w:pPr>
        <w:spacing w:after="0"/>
        <w:rPr>
          <w:rFonts w:cstheme="minorHAnsi"/>
          <w:b/>
          <w:lang w:eastAsia="en-AU"/>
        </w:rPr>
      </w:pPr>
      <w:r w:rsidRPr="00CD3344">
        <w:rPr>
          <w:rFonts w:cstheme="minorHAnsi"/>
          <w:b/>
          <w:lang w:eastAsia="en-AU"/>
        </w:rPr>
        <w:t>Disclaimer</w:t>
      </w:r>
    </w:p>
    <w:p w:rsidR="00A239B2" w:rsidRDefault="00A239B2" w:rsidP="00A239B2">
      <w:pPr>
        <w:spacing w:after="0"/>
        <w:rPr>
          <w:lang w:eastAsia="en-AU"/>
        </w:rPr>
      </w:pPr>
      <w:r>
        <w:rPr>
          <w:lang w:eastAsia="en-AU"/>
        </w:rPr>
        <w:t>This</w:t>
      </w:r>
      <w:r w:rsidRPr="00CD3344">
        <w:rPr>
          <w:lang w:eastAsia="en-AU"/>
        </w:rPr>
        <w:t xml:space="preserve"> </w:t>
      </w:r>
      <w:r>
        <w:rPr>
          <w:lang w:eastAsia="en-AU"/>
        </w:rPr>
        <w:t>scoping study</w:t>
      </w:r>
      <w:r w:rsidRPr="00CD3344">
        <w:rPr>
          <w:lang w:eastAsia="en-AU"/>
        </w:rPr>
        <w:t xml:space="preserve"> does not necessarily reflect the views of the Australian Government.</w:t>
      </w:r>
    </w:p>
    <w:p w:rsidR="00A239B2" w:rsidRPr="00CD3344" w:rsidRDefault="00A239B2" w:rsidP="00A239B2">
      <w:pPr>
        <w:spacing w:after="0"/>
        <w:rPr>
          <w:lang w:eastAsia="en-AU"/>
        </w:rPr>
      </w:pPr>
    </w:p>
    <w:p w:rsidR="00A239B2" w:rsidRDefault="00A239B2" w:rsidP="00A239B2">
      <w:pPr>
        <w:spacing w:after="0"/>
      </w:pPr>
      <w:r w:rsidRPr="00CD3344">
        <w:t xml:space="preserve">This document must be attributed as the </w:t>
      </w:r>
      <w:r>
        <w:rPr>
          <w:i/>
        </w:rPr>
        <w:t>Scoping study to inform the Review of the Higher Education Provider Category Standards</w:t>
      </w:r>
      <w:r w:rsidRPr="00CD3344">
        <w:t>.</w:t>
      </w:r>
    </w:p>
    <w:p w:rsidR="00A239B2" w:rsidRPr="00CD3344" w:rsidRDefault="00A239B2" w:rsidP="00A239B2">
      <w:pPr>
        <w:spacing w:after="0"/>
      </w:pPr>
    </w:p>
    <w:p w:rsidR="00235A56" w:rsidRDefault="00235A56">
      <w:pPr>
        <w:spacing w:after="0"/>
        <w:jc w:val="left"/>
        <w:rPr>
          <w:rFonts w:ascii="Helvetica" w:eastAsiaTheme="majorEastAsia" w:hAnsi="Helvetica" w:cs="Helvetica"/>
          <w:color w:val="2F5496" w:themeColor="accent1" w:themeShade="BF"/>
          <w:sz w:val="28"/>
          <w:szCs w:val="28"/>
        </w:rPr>
      </w:pPr>
      <w:r>
        <w:rPr>
          <w:rFonts w:ascii="Helvetica" w:hAnsi="Helvetica" w:cs="Helvetica"/>
          <w:sz w:val="28"/>
          <w:szCs w:val="28"/>
        </w:rPr>
        <w:br w:type="page"/>
      </w:r>
    </w:p>
    <w:p w:rsidR="00B835F2" w:rsidRPr="00235A56" w:rsidRDefault="00B835F2" w:rsidP="00F72CF2">
      <w:pPr>
        <w:pStyle w:val="Heading1"/>
        <w:rPr>
          <w:rFonts w:ascii="Helvetica" w:hAnsi="Helvetica" w:cs="Helvetica"/>
          <w:sz w:val="28"/>
          <w:szCs w:val="28"/>
        </w:rPr>
      </w:pPr>
      <w:r w:rsidRPr="00235A56">
        <w:rPr>
          <w:rFonts w:ascii="Helvetica" w:hAnsi="Helvetica" w:cs="Helvetica"/>
          <w:sz w:val="28"/>
          <w:szCs w:val="28"/>
        </w:rPr>
        <w:lastRenderedPageBreak/>
        <w:t xml:space="preserve">Preamble </w:t>
      </w:r>
    </w:p>
    <w:p w:rsidR="009A22BC" w:rsidRPr="00235A56" w:rsidRDefault="009A22BC" w:rsidP="00E367D3">
      <w:pPr>
        <w:rPr>
          <w:rFonts w:ascii="Helvetica" w:hAnsi="Helvetica" w:cs="Helvetica"/>
          <w:sz w:val="22"/>
          <w:szCs w:val="22"/>
        </w:rPr>
      </w:pPr>
      <w:r w:rsidRPr="00235A56">
        <w:rPr>
          <w:rFonts w:ascii="Helvetica" w:hAnsi="Helvetica" w:cs="Helvetica"/>
          <w:sz w:val="22"/>
          <w:szCs w:val="22"/>
        </w:rPr>
        <w:t xml:space="preserve">In line with the </w:t>
      </w:r>
      <w:r w:rsidR="00E06FB2" w:rsidRPr="00235A56">
        <w:rPr>
          <w:rFonts w:ascii="Helvetica" w:hAnsi="Helvetica" w:cs="Helvetica"/>
          <w:sz w:val="22"/>
          <w:szCs w:val="22"/>
        </w:rPr>
        <w:t xml:space="preserve">specified </w:t>
      </w:r>
      <w:r w:rsidRPr="00235A56">
        <w:rPr>
          <w:rFonts w:ascii="Helvetica" w:hAnsi="Helvetica" w:cs="Helvetica"/>
          <w:sz w:val="22"/>
          <w:szCs w:val="22"/>
        </w:rPr>
        <w:t xml:space="preserve">terms of reference </w:t>
      </w:r>
      <w:r w:rsidR="00E06FB2" w:rsidRPr="00235A56">
        <w:rPr>
          <w:rFonts w:ascii="Helvetica" w:hAnsi="Helvetica" w:cs="Helvetica"/>
          <w:sz w:val="22"/>
          <w:szCs w:val="22"/>
        </w:rPr>
        <w:t>for the project</w:t>
      </w:r>
      <w:r w:rsidRPr="00235A56">
        <w:rPr>
          <w:rFonts w:ascii="Helvetica" w:hAnsi="Helvetica" w:cs="Helvetica"/>
          <w:sz w:val="22"/>
          <w:szCs w:val="22"/>
        </w:rPr>
        <w:t xml:space="preserve">, this </w:t>
      </w:r>
      <w:r w:rsidR="00757D5D" w:rsidRPr="00235A56">
        <w:rPr>
          <w:rFonts w:ascii="Helvetica" w:hAnsi="Helvetica" w:cs="Helvetica"/>
          <w:sz w:val="22"/>
          <w:szCs w:val="22"/>
        </w:rPr>
        <w:t>study</w:t>
      </w:r>
      <w:r w:rsidRPr="00235A56">
        <w:rPr>
          <w:rFonts w:ascii="Helvetica" w:hAnsi="Helvetica" w:cs="Helvetica"/>
          <w:sz w:val="22"/>
          <w:szCs w:val="22"/>
        </w:rPr>
        <w:t xml:space="preserve"> scope</w:t>
      </w:r>
      <w:r w:rsidR="00757D5D" w:rsidRPr="00235A56">
        <w:rPr>
          <w:rFonts w:ascii="Helvetica" w:hAnsi="Helvetica" w:cs="Helvetica"/>
          <w:sz w:val="22"/>
          <w:szCs w:val="22"/>
        </w:rPr>
        <w:t>s</w:t>
      </w:r>
      <w:r w:rsidRPr="00235A56">
        <w:rPr>
          <w:rFonts w:ascii="Helvetica" w:hAnsi="Helvetica" w:cs="Helvetica"/>
          <w:sz w:val="22"/>
          <w:szCs w:val="22"/>
        </w:rPr>
        <w:t xml:space="preserve"> issues and considerations to inform the review of the Provider Category Standards (PCS), with a particular focus on building system quality, diversity, flexibility and ‘future proofing’.</w:t>
      </w:r>
    </w:p>
    <w:p w:rsidR="00B7266A" w:rsidRPr="00235A56" w:rsidRDefault="00757D5D" w:rsidP="00E367D3">
      <w:pPr>
        <w:rPr>
          <w:rFonts w:ascii="Helvetica" w:hAnsi="Helvetica" w:cs="Helvetica"/>
          <w:sz w:val="22"/>
          <w:szCs w:val="22"/>
        </w:rPr>
      </w:pPr>
      <w:r w:rsidRPr="00235A56">
        <w:rPr>
          <w:rFonts w:ascii="Helvetica" w:hAnsi="Helvetica" w:cs="Helvetica"/>
          <w:sz w:val="22"/>
          <w:szCs w:val="22"/>
        </w:rPr>
        <w:t>A</w:t>
      </w:r>
      <w:r w:rsidR="009A22BC" w:rsidRPr="00235A56">
        <w:rPr>
          <w:rFonts w:ascii="Helvetica" w:hAnsi="Helvetica" w:cs="Helvetica"/>
          <w:sz w:val="22"/>
          <w:szCs w:val="22"/>
        </w:rPr>
        <w:t xml:space="preserve"> taxonomy of issues and considerations </w:t>
      </w:r>
      <w:r w:rsidRPr="00235A56">
        <w:rPr>
          <w:rFonts w:ascii="Helvetica" w:hAnsi="Helvetica" w:cs="Helvetica"/>
          <w:sz w:val="22"/>
          <w:szCs w:val="22"/>
        </w:rPr>
        <w:t xml:space="preserve">is developed </w:t>
      </w:r>
      <w:r w:rsidR="009A22BC" w:rsidRPr="00235A56">
        <w:rPr>
          <w:rFonts w:ascii="Helvetica" w:hAnsi="Helvetica" w:cs="Helvetica"/>
          <w:sz w:val="22"/>
          <w:szCs w:val="22"/>
        </w:rPr>
        <w:t>which are mapped against stakeholders</w:t>
      </w:r>
      <w:r w:rsidRPr="00235A56">
        <w:rPr>
          <w:rFonts w:ascii="Helvetica" w:hAnsi="Helvetica" w:cs="Helvetica"/>
          <w:sz w:val="22"/>
          <w:szCs w:val="22"/>
        </w:rPr>
        <w:t>’ perceptions and perceived needs.</w:t>
      </w:r>
      <w:r w:rsidR="009A22BC" w:rsidRPr="00235A56">
        <w:rPr>
          <w:rFonts w:ascii="Helvetica" w:hAnsi="Helvetica" w:cs="Helvetica"/>
          <w:sz w:val="22"/>
          <w:szCs w:val="22"/>
        </w:rPr>
        <w:t xml:space="preserve"> </w:t>
      </w:r>
      <w:r w:rsidRPr="00235A56">
        <w:rPr>
          <w:rFonts w:ascii="Helvetica" w:hAnsi="Helvetica" w:cs="Helvetica"/>
          <w:sz w:val="22"/>
          <w:szCs w:val="22"/>
        </w:rPr>
        <w:t>T</w:t>
      </w:r>
      <w:r w:rsidR="009A22BC" w:rsidRPr="00235A56">
        <w:rPr>
          <w:rFonts w:ascii="Helvetica" w:hAnsi="Helvetica" w:cs="Helvetica"/>
          <w:sz w:val="22"/>
          <w:szCs w:val="22"/>
        </w:rPr>
        <w:t xml:space="preserve">his </w:t>
      </w:r>
      <w:r w:rsidRPr="00235A56">
        <w:rPr>
          <w:rFonts w:ascii="Helvetica" w:hAnsi="Helvetica" w:cs="Helvetica"/>
          <w:sz w:val="22"/>
          <w:szCs w:val="22"/>
        </w:rPr>
        <w:t xml:space="preserve">mapping </w:t>
      </w:r>
      <w:r w:rsidR="009A22BC" w:rsidRPr="00235A56">
        <w:rPr>
          <w:rFonts w:ascii="Helvetica" w:hAnsi="Helvetica" w:cs="Helvetica"/>
          <w:sz w:val="22"/>
          <w:szCs w:val="22"/>
        </w:rPr>
        <w:t>establishes a framework for prioritising analysis of the issues and considerations</w:t>
      </w:r>
      <w:r w:rsidR="00B7266A" w:rsidRPr="00235A56">
        <w:rPr>
          <w:rFonts w:ascii="Helvetica" w:hAnsi="Helvetica" w:cs="Helvetica"/>
          <w:sz w:val="22"/>
          <w:szCs w:val="22"/>
        </w:rPr>
        <w:t>. Th</w:t>
      </w:r>
      <w:r w:rsidRPr="00235A56">
        <w:rPr>
          <w:rFonts w:ascii="Helvetica" w:hAnsi="Helvetica" w:cs="Helvetica"/>
          <w:sz w:val="22"/>
          <w:szCs w:val="22"/>
        </w:rPr>
        <w:t>e</w:t>
      </w:r>
      <w:r w:rsidR="00B7266A" w:rsidRPr="00235A56">
        <w:rPr>
          <w:rFonts w:ascii="Helvetica" w:hAnsi="Helvetica" w:cs="Helvetica"/>
          <w:sz w:val="22"/>
          <w:szCs w:val="22"/>
        </w:rPr>
        <w:t xml:space="preserve"> scoping study identifies a number of technical and other issues, ranging from administrative burden of duplication of requirements, to progression pathways and the time it takes to transition from one category to another, to broader issues about the role of the PCS in the future in supporting system innovation and diversity.</w:t>
      </w:r>
    </w:p>
    <w:p w:rsidR="009A22BC" w:rsidRPr="00235A56" w:rsidRDefault="00757D5D" w:rsidP="00E367D3">
      <w:pPr>
        <w:rPr>
          <w:rFonts w:ascii="Helvetica" w:hAnsi="Helvetica" w:cs="Helvetica"/>
          <w:sz w:val="22"/>
          <w:szCs w:val="22"/>
        </w:rPr>
      </w:pPr>
      <w:r w:rsidRPr="00235A56">
        <w:rPr>
          <w:rFonts w:ascii="Helvetica" w:hAnsi="Helvetica" w:cs="Helvetica"/>
          <w:sz w:val="22"/>
          <w:szCs w:val="22"/>
        </w:rPr>
        <w:t>Based on</w:t>
      </w:r>
      <w:r w:rsidR="009A22BC" w:rsidRPr="00235A56">
        <w:rPr>
          <w:rFonts w:ascii="Helvetica" w:hAnsi="Helvetica" w:cs="Helvetica"/>
          <w:sz w:val="22"/>
          <w:szCs w:val="22"/>
        </w:rPr>
        <w:t xml:space="preserve"> this </w:t>
      </w:r>
      <w:r w:rsidR="00B7266A" w:rsidRPr="00235A56">
        <w:rPr>
          <w:rFonts w:ascii="Helvetica" w:hAnsi="Helvetica" w:cs="Helvetica"/>
          <w:sz w:val="22"/>
          <w:szCs w:val="22"/>
        </w:rPr>
        <w:t>analysis,</w:t>
      </w:r>
      <w:r w:rsidR="009A22BC" w:rsidRPr="00235A56">
        <w:rPr>
          <w:rFonts w:ascii="Helvetica" w:hAnsi="Helvetica" w:cs="Helvetica"/>
          <w:sz w:val="22"/>
          <w:szCs w:val="22"/>
        </w:rPr>
        <w:t xml:space="preserve"> it proposes a sequence to any modification to the PCS flowing from the review.</w:t>
      </w:r>
      <w:r w:rsidR="00B7266A" w:rsidRPr="00235A56">
        <w:rPr>
          <w:rFonts w:ascii="Helvetica" w:hAnsi="Helvetica" w:cs="Helvetica"/>
          <w:sz w:val="22"/>
          <w:szCs w:val="22"/>
        </w:rPr>
        <w:t xml:space="preserve"> A review could be undertaken in two phases. The first </w:t>
      </w:r>
      <w:r w:rsidRPr="00235A56">
        <w:rPr>
          <w:rFonts w:ascii="Helvetica" w:hAnsi="Helvetica" w:cs="Helvetica"/>
          <w:sz w:val="22"/>
          <w:szCs w:val="22"/>
        </w:rPr>
        <w:t xml:space="preserve">phase </w:t>
      </w:r>
      <w:r w:rsidR="00B7266A" w:rsidRPr="00235A56">
        <w:rPr>
          <w:rFonts w:ascii="Helvetica" w:hAnsi="Helvetica" w:cs="Helvetica"/>
          <w:sz w:val="22"/>
          <w:szCs w:val="22"/>
        </w:rPr>
        <w:t>would review technical issues and inconsistencies with the current PCS</w:t>
      </w:r>
      <w:r w:rsidRPr="00235A56">
        <w:rPr>
          <w:rFonts w:ascii="Helvetica" w:hAnsi="Helvetica" w:cs="Helvetica"/>
          <w:sz w:val="22"/>
          <w:szCs w:val="22"/>
        </w:rPr>
        <w:t>.</w:t>
      </w:r>
      <w:r w:rsidR="00B7266A" w:rsidRPr="00235A56">
        <w:rPr>
          <w:rFonts w:ascii="Helvetica" w:hAnsi="Helvetica" w:cs="Helvetica"/>
          <w:sz w:val="22"/>
          <w:szCs w:val="22"/>
        </w:rPr>
        <w:t xml:space="preserve"> </w:t>
      </w:r>
      <w:r w:rsidRPr="00235A56">
        <w:rPr>
          <w:rFonts w:ascii="Helvetica" w:hAnsi="Helvetica" w:cs="Helvetica"/>
          <w:sz w:val="22"/>
          <w:szCs w:val="22"/>
        </w:rPr>
        <w:t>T</w:t>
      </w:r>
      <w:r w:rsidR="00B7266A" w:rsidRPr="00235A56">
        <w:rPr>
          <w:rFonts w:ascii="Helvetica" w:hAnsi="Helvetica" w:cs="Helvetica"/>
          <w:sz w:val="22"/>
          <w:szCs w:val="22"/>
        </w:rPr>
        <w:t xml:space="preserve">he second </w:t>
      </w:r>
      <w:r w:rsidRPr="00235A56">
        <w:rPr>
          <w:rFonts w:ascii="Helvetica" w:hAnsi="Helvetica" w:cs="Helvetica"/>
          <w:sz w:val="22"/>
          <w:szCs w:val="22"/>
        </w:rPr>
        <w:t xml:space="preserve">phase </w:t>
      </w:r>
      <w:r w:rsidR="00B7266A" w:rsidRPr="00235A56">
        <w:rPr>
          <w:rFonts w:ascii="Helvetica" w:hAnsi="Helvetica" w:cs="Helvetica"/>
          <w:sz w:val="22"/>
          <w:szCs w:val="22"/>
        </w:rPr>
        <w:t>would review the future role of the PCS in relation to system architecture.</w:t>
      </w:r>
    </w:p>
    <w:p w:rsidR="009F45A2" w:rsidRPr="00235A56" w:rsidRDefault="007F1A58" w:rsidP="00E367D3">
      <w:pPr>
        <w:rPr>
          <w:rFonts w:ascii="Helvetica" w:hAnsi="Helvetica" w:cs="Helvetica"/>
          <w:sz w:val="22"/>
          <w:szCs w:val="22"/>
        </w:rPr>
      </w:pPr>
      <w:r w:rsidRPr="00235A56">
        <w:rPr>
          <w:rFonts w:ascii="Helvetica" w:hAnsi="Helvetica" w:cs="Helvetica"/>
          <w:sz w:val="22"/>
          <w:szCs w:val="22"/>
        </w:rPr>
        <w:t xml:space="preserve">31 </w:t>
      </w:r>
      <w:r w:rsidR="009F45A2" w:rsidRPr="00235A56">
        <w:rPr>
          <w:rFonts w:ascii="Helvetica" w:hAnsi="Helvetica" w:cs="Helvetica"/>
          <w:sz w:val="22"/>
          <w:szCs w:val="22"/>
        </w:rPr>
        <w:t>August 2018</w:t>
      </w:r>
    </w:p>
    <w:p w:rsidR="001E5D18" w:rsidRPr="00235A56" w:rsidRDefault="001E5D18">
      <w:pPr>
        <w:spacing w:after="0"/>
        <w:jc w:val="left"/>
        <w:rPr>
          <w:rFonts w:ascii="Helvetica" w:eastAsiaTheme="majorEastAsia" w:hAnsi="Helvetica" w:cs="Helvetica"/>
          <w:color w:val="2F5496" w:themeColor="accent1" w:themeShade="BF"/>
          <w:sz w:val="22"/>
          <w:szCs w:val="22"/>
        </w:rPr>
      </w:pPr>
      <w:r w:rsidRPr="00235A56">
        <w:rPr>
          <w:rFonts w:ascii="Helvetica" w:hAnsi="Helvetica" w:cs="Helvetica"/>
          <w:sz w:val="22"/>
          <w:szCs w:val="22"/>
        </w:rPr>
        <w:br w:type="page"/>
      </w:r>
    </w:p>
    <w:p w:rsidR="00B835F2" w:rsidRPr="00235A56" w:rsidRDefault="00B835F2" w:rsidP="00F72CF2">
      <w:pPr>
        <w:pStyle w:val="Heading1"/>
        <w:rPr>
          <w:rFonts w:ascii="Helvetica" w:hAnsi="Helvetica" w:cs="Helvetica"/>
          <w:sz w:val="28"/>
          <w:szCs w:val="28"/>
        </w:rPr>
      </w:pPr>
      <w:r w:rsidRPr="00235A56">
        <w:rPr>
          <w:rFonts w:ascii="Helvetica" w:hAnsi="Helvetica" w:cs="Helvetica"/>
          <w:sz w:val="28"/>
          <w:szCs w:val="28"/>
        </w:rPr>
        <w:lastRenderedPageBreak/>
        <w:t>Introduction</w:t>
      </w:r>
    </w:p>
    <w:p w:rsidR="00B835F2" w:rsidRPr="00235A56" w:rsidRDefault="00B835F2" w:rsidP="00E367D3">
      <w:pPr>
        <w:rPr>
          <w:rFonts w:ascii="Helvetica" w:hAnsi="Helvetica" w:cs="Helvetica"/>
          <w:sz w:val="22"/>
          <w:szCs w:val="22"/>
        </w:rPr>
      </w:pPr>
      <w:r w:rsidRPr="00235A56">
        <w:rPr>
          <w:rFonts w:ascii="Helvetica" w:hAnsi="Helvetica" w:cs="Helvetica"/>
          <w:sz w:val="22"/>
          <w:szCs w:val="22"/>
        </w:rPr>
        <w:t xml:space="preserve">Post-secondary education institutions worldwide are facing an interrelated set of pressures driving system change and requiring adaptation. Economic globalisation, the transition from industrial to knowledge-based economies, and the rapid evolution of information and communication technologies, including the advent of micro-credentials and the rapidly changing world of work, are now affecting core aspects of higher education organisations and their operations. This turbulent environment has significant implications for how higher education providers are regulated in their local jurisdictions, of which one aspect is how different higher education systems categorise their providers. As higher education provision rapidly evolves around the world, there is a need for examination of the utility and flexibility of </w:t>
      </w:r>
      <w:r w:rsidR="00AC3E46" w:rsidRPr="00235A56">
        <w:rPr>
          <w:rFonts w:ascii="Helvetica" w:hAnsi="Helvetica" w:cs="Helvetica"/>
          <w:sz w:val="22"/>
          <w:szCs w:val="22"/>
        </w:rPr>
        <w:t xml:space="preserve">the </w:t>
      </w:r>
      <w:r w:rsidRPr="00235A56">
        <w:rPr>
          <w:rFonts w:ascii="Helvetica" w:hAnsi="Helvetica" w:cs="Helvetica"/>
          <w:sz w:val="22"/>
          <w:szCs w:val="22"/>
        </w:rPr>
        <w:t>current schema for categorisation, especially where it is part of the regulatory and governance architecture.</w:t>
      </w:r>
    </w:p>
    <w:p w:rsidR="00B835F2" w:rsidRPr="00235A56" w:rsidRDefault="00B835F2" w:rsidP="00E367D3">
      <w:pPr>
        <w:rPr>
          <w:rFonts w:ascii="Helvetica" w:hAnsi="Helvetica" w:cs="Helvetica"/>
          <w:sz w:val="22"/>
          <w:szCs w:val="22"/>
        </w:rPr>
      </w:pPr>
      <w:r w:rsidRPr="00235A56">
        <w:rPr>
          <w:rFonts w:ascii="Helvetica" w:hAnsi="Helvetica" w:cs="Helvetica"/>
          <w:sz w:val="22"/>
          <w:szCs w:val="22"/>
        </w:rPr>
        <w:t>In Australia the provider category standards (PCS) were established in 2011 and share much with the 1995 National Protocols for Higher Education Approval Processes as their antecedent. Since their introduction</w:t>
      </w:r>
      <w:r w:rsidR="00216AEE" w:rsidRPr="00235A56">
        <w:rPr>
          <w:rFonts w:ascii="Helvetica" w:hAnsi="Helvetica" w:cs="Helvetica"/>
          <w:sz w:val="22"/>
          <w:szCs w:val="22"/>
        </w:rPr>
        <w:t>,</w:t>
      </w:r>
      <w:r w:rsidRPr="00235A56">
        <w:rPr>
          <w:rFonts w:ascii="Helvetica" w:hAnsi="Helvetica" w:cs="Helvetica"/>
          <w:sz w:val="22"/>
          <w:szCs w:val="22"/>
        </w:rPr>
        <w:t xml:space="preserve"> they have at times been criticised for being too restrictive. As a core element of the Australian higher education architecture</w:t>
      </w:r>
      <w:r w:rsidR="00216AEE" w:rsidRPr="00235A56">
        <w:rPr>
          <w:rFonts w:ascii="Helvetica" w:hAnsi="Helvetica" w:cs="Helvetica"/>
          <w:sz w:val="22"/>
          <w:szCs w:val="22"/>
        </w:rPr>
        <w:t>,</w:t>
      </w:r>
      <w:r w:rsidRPr="00235A56">
        <w:rPr>
          <w:rFonts w:ascii="Helvetica" w:hAnsi="Helvetica" w:cs="Helvetica"/>
          <w:sz w:val="22"/>
          <w:szCs w:val="22"/>
        </w:rPr>
        <w:t xml:space="preserve"> it has been considered timely to assess whether the PCS are demonstrably effective. This includes questions over whether or not they are having unintended impacts on the operation and behaviour of current and potential providers, are providing the necessary transparency on provider activity, and are having reputational and other impacts, including whether they are enhancing or restricting system flexibility, as well as institutional innovation and diversity. In preparation of the actual review of the PCS to be undertaken over the coming months, a scoping study has been commissioned to set the stage for the review.</w:t>
      </w:r>
    </w:p>
    <w:p w:rsidR="00B835F2" w:rsidRPr="00235A56" w:rsidRDefault="00B835F2" w:rsidP="00E367D3">
      <w:pPr>
        <w:rPr>
          <w:rFonts w:ascii="Helvetica" w:hAnsi="Helvetica" w:cs="Helvetica"/>
          <w:sz w:val="22"/>
          <w:szCs w:val="22"/>
        </w:rPr>
      </w:pPr>
      <w:r w:rsidRPr="00235A56">
        <w:rPr>
          <w:rFonts w:ascii="Helvetica" w:hAnsi="Helvetica" w:cs="Helvetica"/>
          <w:sz w:val="22"/>
          <w:szCs w:val="22"/>
        </w:rPr>
        <w:t xml:space="preserve">The scoping study is aimed at identifying key issues and considerations regarding the current operation of the PCS, mapping these against the needs of stakeholders for which they are especially relevant. To achieve this, the scoping study employs a multidimensional approach, combining current research on the categorisation of higher education providers and evidence from a scan of international practices, with data from a targeted round of consultation. </w:t>
      </w:r>
      <w:r w:rsidR="0071619E" w:rsidRPr="00235A56">
        <w:rPr>
          <w:rFonts w:ascii="Helvetica" w:hAnsi="Helvetica" w:cs="Helvetica"/>
          <w:sz w:val="22"/>
          <w:szCs w:val="22"/>
        </w:rPr>
        <w:t>C</w:t>
      </w:r>
      <w:r w:rsidRPr="00235A56">
        <w:rPr>
          <w:rFonts w:ascii="Helvetica" w:hAnsi="Helvetica" w:cs="Helvetica"/>
          <w:sz w:val="22"/>
          <w:szCs w:val="22"/>
        </w:rPr>
        <w:t>onsultations were conducted with selected stakeholders including industry peak bodies, regulators and higher education provider representative organisations using a common set of questions (see Appendix 10.2). The responses from the consultation process and insights from the international scan and literature review were used to establish a framework for the analysis of the key issues and considerations pertaining to the upcoming review of the PCS. Based on these,</w:t>
      </w:r>
      <w:r w:rsidR="00DF7848" w:rsidRPr="00235A56">
        <w:rPr>
          <w:rFonts w:ascii="Helvetica" w:hAnsi="Helvetica" w:cs="Helvetica"/>
          <w:sz w:val="22"/>
          <w:szCs w:val="22"/>
        </w:rPr>
        <w:t xml:space="preserve"> </w:t>
      </w:r>
      <w:r w:rsidRPr="00235A56">
        <w:rPr>
          <w:rFonts w:ascii="Helvetica" w:hAnsi="Helvetica" w:cs="Helvetica"/>
          <w:sz w:val="22"/>
          <w:szCs w:val="22"/>
        </w:rPr>
        <w:t>suggestions are provided to the HESP for a possible methodology for the review and its potential outcomes (see Appendix 10.1 for the methodology of this scoping paper).</w:t>
      </w:r>
    </w:p>
    <w:p w:rsidR="00B835F2" w:rsidRPr="00235A56" w:rsidRDefault="00477B7C" w:rsidP="00A8769F">
      <w:pPr>
        <w:pStyle w:val="Heading2"/>
        <w:rPr>
          <w:rFonts w:ascii="Helvetica" w:hAnsi="Helvetica" w:cs="Helvetica"/>
          <w:sz w:val="24"/>
          <w:szCs w:val="24"/>
        </w:rPr>
      </w:pPr>
      <w:r w:rsidRPr="00235A56">
        <w:rPr>
          <w:rFonts w:ascii="Helvetica" w:hAnsi="Helvetica" w:cs="Helvetica"/>
          <w:sz w:val="24"/>
          <w:szCs w:val="24"/>
        </w:rPr>
        <w:t xml:space="preserve">2.1. </w:t>
      </w:r>
      <w:r w:rsidR="00B835F2" w:rsidRPr="00235A56">
        <w:rPr>
          <w:rFonts w:ascii="Helvetica" w:hAnsi="Helvetica" w:cs="Helvetica"/>
          <w:sz w:val="24"/>
          <w:szCs w:val="24"/>
        </w:rPr>
        <w:t>The current Provider Category Standards</w:t>
      </w:r>
    </w:p>
    <w:p w:rsidR="00B835F2" w:rsidRPr="00235A56" w:rsidRDefault="00B835F2" w:rsidP="00E367D3">
      <w:pPr>
        <w:rPr>
          <w:rFonts w:ascii="Helvetica" w:hAnsi="Helvetica" w:cs="Helvetica"/>
          <w:sz w:val="22"/>
          <w:szCs w:val="22"/>
        </w:rPr>
      </w:pPr>
      <w:r w:rsidRPr="00235A56">
        <w:rPr>
          <w:rFonts w:ascii="Helvetica" w:hAnsi="Helvetica" w:cs="Helvetica"/>
          <w:sz w:val="22"/>
          <w:szCs w:val="22"/>
        </w:rPr>
        <w:t xml:space="preserve">This section briefly outlines the current Provider Category Standards. In Australia the Higher Education Standards Framework </w:t>
      </w:r>
      <w:r w:rsidR="00216AEE" w:rsidRPr="00235A56">
        <w:rPr>
          <w:rFonts w:ascii="Helvetica" w:hAnsi="Helvetica" w:cs="Helvetica"/>
          <w:sz w:val="22"/>
          <w:szCs w:val="22"/>
        </w:rPr>
        <w:t xml:space="preserve">(HESF) </w:t>
      </w:r>
      <w:r w:rsidRPr="00235A56">
        <w:rPr>
          <w:rFonts w:ascii="Helvetica" w:hAnsi="Helvetica" w:cs="Helvetica"/>
          <w:sz w:val="22"/>
          <w:szCs w:val="22"/>
        </w:rPr>
        <w:t>regulates the use of “university” as denominator for a higher education institution and sets out the expectations for providers across six categories:</w:t>
      </w:r>
    </w:p>
    <w:p w:rsidR="00B835F2" w:rsidRPr="00235A56" w:rsidRDefault="00B835F2" w:rsidP="00E367D3">
      <w:pPr>
        <w:pStyle w:val="ListParagraph"/>
        <w:numPr>
          <w:ilvl w:val="0"/>
          <w:numId w:val="2"/>
        </w:numPr>
        <w:rPr>
          <w:rFonts w:ascii="Helvetica" w:hAnsi="Helvetica" w:cs="Helvetica"/>
          <w:szCs w:val="21"/>
        </w:rPr>
      </w:pPr>
      <w:r w:rsidRPr="00235A56">
        <w:rPr>
          <w:rFonts w:ascii="Helvetica" w:hAnsi="Helvetica" w:cs="Helvetica"/>
          <w:szCs w:val="21"/>
        </w:rPr>
        <w:t>Australian University</w:t>
      </w:r>
    </w:p>
    <w:p w:rsidR="00B835F2" w:rsidRPr="00235A56" w:rsidRDefault="00B835F2" w:rsidP="00E367D3">
      <w:pPr>
        <w:pStyle w:val="ListParagraph"/>
        <w:numPr>
          <w:ilvl w:val="0"/>
          <w:numId w:val="2"/>
        </w:numPr>
        <w:rPr>
          <w:rFonts w:ascii="Helvetica" w:hAnsi="Helvetica" w:cs="Helvetica"/>
          <w:szCs w:val="21"/>
        </w:rPr>
      </w:pPr>
      <w:r w:rsidRPr="00235A56">
        <w:rPr>
          <w:rFonts w:ascii="Helvetica" w:hAnsi="Helvetica" w:cs="Helvetica"/>
          <w:szCs w:val="21"/>
        </w:rPr>
        <w:t>Australian University of Specialisation</w:t>
      </w:r>
    </w:p>
    <w:p w:rsidR="00B835F2" w:rsidRPr="00235A56" w:rsidRDefault="00B835F2" w:rsidP="00E367D3">
      <w:pPr>
        <w:pStyle w:val="ListParagraph"/>
        <w:numPr>
          <w:ilvl w:val="0"/>
          <w:numId w:val="2"/>
        </w:numPr>
        <w:rPr>
          <w:rFonts w:ascii="Helvetica" w:hAnsi="Helvetica" w:cs="Helvetica"/>
          <w:szCs w:val="21"/>
        </w:rPr>
      </w:pPr>
      <w:r w:rsidRPr="00235A56">
        <w:rPr>
          <w:rFonts w:ascii="Helvetica" w:hAnsi="Helvetica" w:cs="Helvetica"/>
          <w:szCs w:val="21"/>
        </w:rPr>
        <w:t>Australian University College</w:t>
      </w:r>
    </w:p>
    <w:p w:rsidR="00B835F2" w:rsidRPr="00235A56" w:rsidRDefault="00B835F2" w:rsidP="00E367D3">
      <w:pPr>
        <w:pStyle w:val="ListParagraph"/>
        <w:numPr>
          <w:ilvl w:val="0"/>
          <w:numId w:val="2"/>
        </w:numPr>
        <w:rPr>
          <w:rFonts w:ascii="Helvetica" w:hAnsi="Helvetica" w:cs="Helvetica"/>
          <w:szCs w:val="21"/>
        </w:rPr>
      </w:pPr>
      <w:r w:rsidRPr="00235A56">
        <w:rPr>
          <w:rFonts w:ascii="Helvetica" w:hAnsi="Helvetica" w:cs="Helvetica"/>
          <w:szCs w:val="21"/>
        </w:rPr>
        <w:t>Overseas University</w:t>
      </w:r>
    </w:p>
    <w:p w:rsidR="00B835F2" w:rsidRPr="00235A56" w:rsidRDefault="00B835F2" w:rsidP="00E367D3">
      <w:pPr>
        <w:pStyle w:val="ListParagraph"/>
        <w:numPr>
          <w:ilvl w:val="0"/>
          <w:numId w:val="2"/>
        </w:numPr>
        <w:rPr>
          <w:rFonts w:ascii="Helvetica" w:hAnsi="Helvetica" w:cs="Helvetica"/>
          <w:szCs w:val="21"/>
        </w:rPr>
      </w:pPr>
      <w:r w:rsidRPr="00235A56">
        <w:rPr>
          <w:rFonts w:ascii="Helvetica" w:hAnsi="Helvetica" w:cs="Helvetica"/>
          <w:szCs w:val="21"/>
        </w:rPr>
        <w:t>Overseas University of Specialisation</w:t>
      </w:r>
    </w:p>
    <w:p w:rsidR="00B835F2" w:rsidRPr="00235A56" w:rsidRDefault="00B835F2" w:rsidP="00E367D3">
      <w:pPr>
        <w:pStyle w:val="ListParagraph"/>
        <w:numPr>
          <w:ilvl w:val="0"/>
          <w:numId w:val="2"/>
        </w:numPr>
        <w:rPr>
          <w:rFonts w:ascii="Helvetica" w:hAnsi="Helvetica" w:cs="Helvetica"/>
          <w:szCs w:val="21"/>
        </w:rPr>
      </w:pPr>
      <w:r w:rsidRPr="00235A56">
        <w:rPr>
          <w:rFonts w:ascii="Helvetica" w:hAnsi="Helvetica" w:cs="Helvetica"/>
          <w:szCs w:val="21"/>
        </w:rPr>
        <w:t>Higher Education Provider</w:t>
      </w:r>
    </w:p>
    <w:p w:rsidR="00B835F2" w:rsidRPr="00235A56" w:rsidRDefault="00B835F2" w:rsidP="00E367D3">
      <w:pPr>
        <w:rPr>
          <w:rFonts w:ascii="Helvetica" w:hAnsi="Helvetica" w:cs="Helvetica"/>
          <w:sz w:val="22"/>
          <w:szCs w:val="22"/>
        </w:rPr>
      </w:pPr>
      <w:r w:rsidRPr="00235A56">
        <w:rPr>
          <w:rFonts w:ascii="Helvetica" w:hAnsi="Helvetica" w:cs="Helvetica"/>
          <w:sz w:val="22"/>
          <w:szCs w:val="22"/>
        </w:rPr>
        <w:lastRenderedPageBreak/>
        <w:t xml:space="preserve">The title of university is restricted to providers who offer self-accredited Australian higher education awards at undergraduate and postgraduate level, and demonstrate commitment to scholarship and community engagement, good practices in teaching and adherence to quality assurance standards. </w:t>
      </w:r>
    </w:p>
    <w:p w:rsidR="00B835F2" w:rsidRPr="00235A56" w:rsidRDefault="00B835F2" w:rsidP="00E367D3">
      <w:pPr>
        <w:rPr>
          <w:rFonts w:ascii="Helvetica" w:hAnsi="Helvetica" w:cs="Helvetica"/>
          <w:sz w:val="22"/>
          <w:szCs w:val="22"/>
        </w:rPr>
      </w:pPr>
      <w:r w:rsidRPr="00235A56">
        <w:rPr>
          <w:rFonts w:ascii="Helvetica" w:hAnsi="Helvetica" w:cs="Helvetica"/>
          <w:sz w:val="22"/>
          <w:szCs w:val="22"/>
        </w:rPr>
        <w:t>Institutions within the “Australian University” category must be comprehensive, offering higher education awards within at a least three broad fields of study, as well as conducting research within these fields. Institutions registered under the “Australian University of Specialisation” category must fulfil the same requirements as universities, but only need to offer awards and conduct research within one or two broad fields. “Australian University College” is a provisional category for institutions with realistic plans to meet the criteria of the “Australian University” or “Australian University of Specialisation” category within five years. The “Overseas University” and “Overseas University of Specialisation” categories refer to universities registered overseas and offering overseas higher education awards within Australia. They are expected to be registered overseas and meet the equivalent criteria of the Australian categories in their home countries (acceptable to TEQSA).</w:t>
      </w:r>
    </w:p>
    <w:p w:rsidR="00B835F2" w:rsidRPr="00235A56" w:rsidRDefault="00B835F2" w:rsidP="00E367D3">
      <w:pPr>
        <w:rPr>
          <w:rFonts w:ascii="Helvetica" w:hAnsi="Helvetica" w:cs="Helvetica"/>
          <w:sz w:val="22"/>
          <w:szCs w:val="22"/>
        </w:rPr>
      </w:pPr>
      <w:r w:rsidRPr="00235A56">
        <w:rPr>
          <w:rFonts w:ascii="Helvetica" w:hAnsi="Helvetica" w:cs="Helvetica"/>
          <w:sz w:val="22"/>
          <w:szCs w:val="22"/>
        </w:rPr>
        <w:t>In 2018 there were 40 institutions registered as “Australian Universities”, including the 37 public universities, two private not-for-profit universities (Bond University and University of Notre Dame) and Torrens University Australia. Torrens University is a for-profit university, part of Laureate International Universities and owned by Laureate Education. It enrolled its first students in 2014 and as of 2018 has over 5,000 students. The University of Divinity is the only institution registered under the “Australian University of Specialisation” category, having met the requirements in 2012 and subsequently changing its name from the Melbourne College of Divinity. Currently there are no institutions registered within the “Australian University College” category. Two foreign university branches (Carnegie Mellon University and University College London, although the latter no longer has a dedicated campus in Australia) are registered under the “Overseas University” category. There are no institutions registered under the “Overseas University of Specialisation” category.</w:t>
      </w:r>
    </w:p>
    <w:p w:rsidR="00B835F2" w:rsidRPr="00235A56" w:rsidRDefault="00B835F2" w:rsidP="00E367D3">
      <w:pPr>
        <w:rPr>
          <w:rFonts w:ascii="Helvetica" w:hAnsi="Helvetica" w:cs="Helvetica"/>
          <w:sz w:val="22"/>
          <w:szCs w:val="22"/>
        </w:rPr>
      </w:pPr>
      <w:r w:rsidRPr="00235A56">
        <w:rPr>
          <w:rFonts w:ascii="Helvetica" w:hAnsi="Helvetica" w:cs="Helvetica"/>
          <w:sz w:val="22"/>
          <w:szCs w:val="22"/>
        </w:rPr>
        <w:t xml:space="preserve">The “Higher Education Provider” category is for institutions (Australian or overseas) offering at least one accredited higher education award in Australia. Higher Education Providers must meet the Threshold Standards for registration, course accreditation, and qualification standards. These institutions are generally not self-accrediting and do not need to be engaged in research within their fields of teaching, but are expected to support free intellectual inquiry, scholarship within their teaching areas and engage with advanced knowledge and inquiry. As of 2017 there were 133 institutions registered under the “Higher Education Provider” category (or 127 institutions if one excludes institutions registered multiple times across different states and territories). These non-university providers of higher education include public and private providers, as well as for-profit colleges owned by public universities. </w:t>
      </w:r>
    </w:p>
    <w:p w:rsidR="00AC3E46" w:rsidRPr="00235A56" w:rsidRDefault="00477B7C" w:rsidP="00A8769F">
      <w:pPr>
        <w:pStyle w:val="Heading2"/>
        <w:rPr>
          <w:rFonts w:ascii="Helvetica" w:hAnsi="Helvetica" w:cs="Helvetica"/>
          <w:sz w:val="24"/>
          <w:szCs w:val="24"/>
        </w:rPr>
      </w:pPr>
      <w:r w:rsidRPr="00235A56">
        <w:rPr>
          <w:rFonts w:ascii="Helvetica" w:hAnsi="Helvetica" w:cs="Helvetica"/>
          <w:sz w:val="24"/>
          <w:szCs w:val="24"/>
        </w:rPr>
        <w:t xml:space="preserve">2.2. </w:t>
      </w:r>
      <w:r w:rsidR="00AC3E46" w:rsidRPr="00235A56">
        <w:rPr>
          <w:rFonts w:ascii="Helvetica" w:hAnsi="Helvetica" w:cs="Helvetica"/>
          <w:sz w:val="24"/>
          <w:szCs w:val="24"/>
        </w:rPr>
        <w:t xml:space="preserve">The label “university” </w:t>
      </w:r>
    </w:p>
    <w:p w:rsidR="00AC3E46" w:rsidRPr="00235A56" w:rsidRDefault="00AC3E46" w:rsidP="00E367D3">
      <w:pPr>
        <w:rPr>
          <w:rFonts w:ascii="Helvetica" w:eastAsia="Times New Roman" w:hAnsi="Helvetica" w:cs="Helvetica"/>
          <w:color w:val="343536"/>
          <w:sz w:val="22"/>
          <w:szCs w:val="22"/>
          <w:shd w:val="clear" w:color="auto" w:fill="FFFFFF"/>
        </w:rPr>
      </w:pPr>
      <w:r w:rsidRPr="00235A56">
        <w:rPr>
          <w:rFonts w:ascii="Helvetica" w:hAnsi="Helvetica" w:cs="Helvetica"/>
          <w:sz w:val="22"/>
          <w:szCs w:val="22"/>
        </w:rPr>
        <w:t xml:space="preserve">The label “university” has common origins in the Latin word </w:t>
      </w:r>
      <w:r w:rsidRPr="00235A56">
        <w:rPr>
          <w:rFonts w:ascii="Helvetica" w:hAnsi="Helvetica" w:cs="Helvetica"/>
          <w:i/>
          <w:sz w:val="22"/>
          <w:szCs w:val="22"/>
        </w:rPr>
        <w:t>universitas</w:t>
      </w:r>
      <w:r w:rsidRPr="00235A56">
        <w:rPr>
          <w:rFonts w:ascii="Helvetica" w:hAnsi="Helvetica" w:cs="Helvetica"/>
          <w:sz w:val="22"/>
          <w:szCs w:val="22"/>
        </w:rPr>
        <w:t xml:space="preserve"> and evolved in Europe from the Middle Ages to have a meaning more recognisable in the present day. Despite the European antecedence of the word university, academies in many countries, such as in China, were similar institut</w:t>
      </w:r>
      <w:r w:rsidR="0016639B" w:rsidRPr="00235A56">
        <w:rPr>
          <w:rFonts w:ascii="Helvetica" w:hAnsi="Helvetica" w:cs="Helvetica"/>
          <w:sz w:val="22"/>
          <w:szCs w:val="22"/>
        </w:rPr>
        <w:t>ions to the early universities.</w:t>
      </w:r>
      <w:r w:rsidRPr="00235A56">
        <w:rPr>
          <w:rFonts w:ascii="Helvetica" w:hAnsi="Helvetica" w:cs="Helvetica"/>
          <w:sz w:val="22"/>
          <w:szCs w:val="22"/>
        </w:rPr>
        <w:t xml:space="preserve"> They focused on the transmission of knowledge and the training of various classes of knowledge workers, such as priests. In England the universities were</w:t>
      </w:r>
      <w:r w:rsidR="00FA714C" w:rsidRPr="00235A56">
        <w:rPr>
          <w:rFonts w:ascii="Helvetica" w:hAnsi="Helvetica" w:cs="Helvetica"/>
          <w:sz w:val="22"/>
          <w:szCs w:val="22"/>
        </w:rPr>
        <w:t xml:space="preserve"> also</w:t>
      </w:r>
      <w:r w:rsidRPr="00235A56">
        <w:rPr>
          <w:rFonts w:ascii="Helvetica" w:hAnsi="Helvetica" w:cs="Helvetica"/>
          <w:sz w:val="22"/>
          <w:szCs w:val="22"/>
        </w:rPr>
        <w:t xml:space="preserve"> long finishing schools for children of the aristocratic class. By the nineteenth century the term started to take on many of its modern connotations, not least through the influence of people like Cardinal Newman and his </w:t>
      </w:r>
      <w:r w:rsidRPr="00235A56">
        <w:rPr>
          <w:rFonts w:ascii="Helvetica" w:hAnsi="Helvetica" w:cs="Helvetica"/>
          <w:i/>
          <w:iCs/>
          <w:sz w:val="22"/>
          <w:szCs w:val="22"/>
        </w:rPr>
        <w:t>The Idea of the University</w:t>
      </w:r>
      <w:r w:rsidRPr="00235A56">
        <w:rPr>
          <w:rFonts w:ascii="Helvetica" w:hAnsi="Helvetica" w:cs="Helvetica"/>
          <w:sz w:val="22"/>
          <w:szCs w:val="22"/>
        </w:rPr>
        <w:t xml:space="preserve"> from 1852 (Newman</w:t>
      </w:r>
      <w:r w:rsidR="00DE0139" w:rsidRPr="00235A56">
        <w:rPr>
          <w:rFonts w:ascii="Helvetica" w:hAnsi="Helvetica" w:cs="Helvetica"/>
          <w:sz w:val="22"/>
          <w:szCs w:val="22"/>
        </w:rPr>
        <w:t>,</w:t>
      </w:r>
      <w:r w:rsidR="0016639B" w:rsidRPr="00235A56">
        <w:rPr>
          <w:rFonts w:ascii="Helvetica" w:hAnsi="Helvetica" w:cs="Helvetica"/>
          <w:sz w:val="22"/>
          <w:szCs w:val="22"/>
        </w:rPr>
        <w:t xml:space="preserve"> </w:t>
      </w:r>
      <w:r w:rsidRPr="00235A56">
        <w:rPr>
          <w:rFonts w:ascii="Helvetica" w:hAnsi="Helvetica" w:cs="Helvetica"/>
          <w:sz w:val="22"/>
          <w:szCs w:val="22"/>
        </w:rPr>
        <w:t>1852). The contemporary notion of a university owes much to the Humboldtian idea of the university, which helped build German universities into institutions that stressed the creation of knowledge alongside its transmission.</w:t>
      </w:r>
      <w:r w:rsidRPr="00235A56">
        <w:rPr>
          <w:rFonts w:ascii="Helvetica" w:eastAsia="Times New Roman" w:hAnsi="Helvetica" w:cs="Helvetica"/>
          <w:color w:val="343536"/>
          <w:sz w:val="22"/>
          <w:szCs w:val="22"/>
          <w:shd w:val="clear" w:color="auto" w:fill="FFFFFF"/>
        </w:rPr>
        <w:t xml:space="preserve"> </w:t>
      </w:r>
    </w:p>
    <w:p w:rsidR="00AC3E46" w:rsidRPr="00235A56" w:rsidRDefault="00AC3E46" w:rsidP="00E367D3">
      <w:pPr>
        <w:rPr>
          <w:rFonts w:ascii="Helvetica" w:hAnsi="Helvetica" w:cs="Helvetica"/>
          <w:sz w:val="22"/>
          <w:szCs w:val="22"/>
        </w:rPr>
      </w:pPr>
      <w:r w:rsidRPr="00235A56">
        <w:rPr>
          <w:rFonts w:ascii="Helvetica" w:hAnsi="Helvetica" w:cs="Helvetica"/>
          <w:sz w:val="22"/>
          <w:szCs w:val="22"/>
          <w:shd w:val="clear" w:color="auto" w:fill="FFFFFF"/>
        </w:rPr>
        <w:lastRenderedPageBreak/>
        <w:t xml:space="preserve">The label </w:t>
      </w:r>
      <w:r w:rsidR="00CF6776" w:rsidRPr="00235A56">
        <w:rPr>
          <w:rFonts w:ascii="Helvetica" w:hAnsi="Helvetica" w:cs="Helvetica"/>
          <w:sz w:val="22"/>
          <w:szCs w:val="22"/>
          <w:shd w:val="clear" w:color="auto" w:fill="FFFFFF"/>
        </w:rPr>
        <w:t>‘</w:t>
      </w:r>
      <w:r w:rsidRPr="00235A56">
        <w:rPr>
          <w:rFonts w:ascii="Helvetica" w:hAnsi="Helvetica" w:cs="Helvetica"/>
          <w:sz w:val="22"/>
          <w:szCs w:val="22"/>
          <w:shd w:val="clear" w:color="auto" w:fill="FFFFFF"/>
        </w:rPr>
        <w:t>university</w:t>
      </w:r>
      <w:r w:rsidR="00CF6776" w:rsidRPr="00235A56">
        <w:rPr>
          <w:rFonts w:ascii="Helvetica" w:hAnsi="Helvetica" w:cs="Helvetica"/>
          <w:sz w:val="22"/>
          <w:szCs w:val="22"/>
          <w:shd w:val="clear" w:color="auto" w:fill="FFFFFF"/>
        </w:rPr>
        <w:t>’</w:t>
      </w:r>
      <w:r w:rsidRPr="00235A56">
        <w:rPr>
          <w:rFonts w:ascii="Helvetica" w:hAnsi="Helvetica" w:cs="Helvetica"/>
          <w:sz w:val="22"/>
          <w:szCs w:val="22"/>
          <w:shd w:val="clear" w:color="auto" w:fill="FFFFFF"/>
        </w:rPr>
        <w:t xml:space="preserve"> is currently used in different countries in similar but often distinct ways.</w:t>
      </w:r>
      <w:r w:rsidR="00DF7848" w:rsidRPr="00235A56">
        <w:rPr>
          <w:rFonts w:ascii="Helvetica" w:hAnsi="Helvetica" w:cs="Helvetica"/>
          <w:sz w:val="22"/>
          <w:szCs w:val="22"/>
          <w:shd w:val="clear" w:color="auto" w:fill="FFFFFF"/>
        </w:rPr>
        <w:t xml:space="preserve"> </w:t>
      </w:r>
      <w:r w:rsidRPr="00235A56">
        <w:rPr>
          <w:rFonts w:ascii="Helvetica" w:hAnsi="Helvetica" w:cs="Helvetica"/>
          <w:sz w:val="22"/>
          <w:szCs w:val="22"/>
          <w:shd w:val="clear" w:color="auto" w:fill="FFFFFF"/>
        </w:rPr>
        <w:t xml:space="preserve">Although the generation and transmission of knowledge is common to the concept, this is interpreted differently </w:t>
      </w:r>
      <w:r w:rsidR="009309E7" w:rsidRPr="00235A56">
        <w:rPr>
          <w:rFonts w:ascii="Helvetica" w:hAnsi="Helvetica" w:cs="Helvetica"/>
          <w:sz w:val="22"/>
          <w:szCs w:val="22"/>
          <w:shd w:val="clear" w:color="auto" w:fill="FFFFFF"/>
        </w:rPr>
        <w:t>depending on local context.</w:t>
      </w:r>
      <w:r w:rsidRPr="00235A56">
        <w:rPr>
          <w:rFonts w:ascii="Helvetica" w:hAnsi="Helvetica" w:cs="Helvetica"/>
          <w:sz w:val="22"/>
          <w:szCs w:val="22"/>
          <w:shd w:val="clear" w:color="auto" w:fill="FFFFFF"/>
        </w:rPr>
        <w:t xml:space="preserve"> </w:t>
      </w:r>
      <w:r w:rsidR="009309E7" w:rsidRPr="00235A56">
        <w:rPr>
          <w:rFonts w:ascii="Helvetica" w:hAnsi="Helvetica" w:cs="Helvetica"/>
          <w:sz w:val="22"/>
          <w:szCs w:val="22"/>
          <w:shd w:val="clear" w:color="auto" w:fill="FFFFFF"/>
        </w:rPr>
        <w:t xml:space="preserve">Importantly, it </w:t>
      </w:r>
      <w:r w:rsidRPr="00235A56">
        <w:rPr>
          <w:rFonts w:ascii="Helvetica" w:hAnsi="Helvetica" w:cs="Helvetica"/>
          <w:sz w:val="22"/>
          <w:szCs w:val="22"/>
          <w:shd w:val="clear" w:color="auto" w:fill="FFFFFF"/>
        </w:rPr>
        <w:t xml:space="preserve">is not always a title given to the premier teaching and research institution, such as ETH Zurich, the Swiss Federal Institute of Technology in Zurich. In particular, the prominence of research varies, and many </w:t>
      </w:r>
      <w:r w:rsidR="009309E7" w:rsidRPr="00235A56">
        <w:rPr>
          <w:rFonts w:ascii="Helvetica" w:hAnsi="Helvetica" w:cs="Helvetica"/>
          <w:sz w:val="22"/>
          <w:szCs w:val="22"/>
          <w:shd w:val="clear" w:color="auto" w:fill="FFFFFF"/>
        </w:rPr>
        <w:t xml:space="preserve">high quality and well known international </w:t>
      </w:r>
      <w:r w:rsidRPr="00235A56">
        <w:rPr>
          <w:rFonts w:ascii="Helvetica" w:hAnsi="Helvetica" w:cs="Helvetica"/>
          <w:sz w:val="22"/>
          <w:szCs w:val="22"/>
          <w:shd w:val="clear" w:color="auto" w:fill="FFFFFF"/>
        </w:rPr>
        <w:t>universities have relatively modest research programs. In some national systems the leading research institutions are very distinct from the universities, such as Germany’s Max Planck and Fraunhofer Institutes. More common but by no means universal is that universities are institutions of doctoral training, especially since the German universities popularised the PhD degree in the late ninetieth century.</w:t>
      </w:r>
    </w:p>
    <w:p w:rsidR="00AC3E46" w:rsidRPr="00235A56" w:rsidRDefault="00AC3E46" w:rsidP="00E367D3">
      <w:pPr>
        <w:rPr>
          <w:rFonts w:ascii="Helvetica" w:hAnsi="Helvetica" w:cs="Helvetica"/>
          <w:sz w:val="22"/>
          <w:szCs w:val="22"/>
        </w:rPr>
      </w:pPr>
      <w:r w:rsidRPr="00235A56">
        <w:rPr>
          <w:rFonts w:ascii="Helvetica" w:hAnsi="Helvetica" w:cs="Helvetica"/>
          <w:sz w:val="22"/>
          <w:szCs w:val="22"/>
        </w:rPr>
        <w:t>Use of the term in the Australian context owes much to the link that the six pre-</w:t>
      </w:r>
      <w:r w:rsidR="009309E7" w:rsidRPr="00235A56">
        <w:rPr>
          <w:rFonts w:ascii="Helvetica" w:hAnsi="Helvetica" w:cs="Helvetica"/>
          <w:sz w:val="22"/>
          <w:szCs w:val="22"/>
        </w:rPr>
        <w:t xml:space="preserve">Second </w:t>
      </w:r>
      <w:r w:rsidRPr="00235A56">
        <w:rPr>
          <w:rFonts w:ascii="Helvetica" w:hAnsi="Helvetica" w:cs="Helvetica"/>
          <w:sz w:val="22"/>
          <w:szCs w:val="22"/>
        </w:rPr>
        <w:t xml:space="preserve">World War universities </w:t>
      </w:r>
      <w:r w:rsidR="009309E7" w:rsidRPr="00235A56">
        <w:rPr>
          <w:rFonts w:ascii="Helvetica" w:hAnsi="Helvetica" w:cs="Helvetica"/>
          <w:sz w:val="22"/>
          <w:szCs w:val="22"/>
        </w:rPr>
        <w:t>had to UK universities.</w:t>
      </w:r>
      <w:r w:rsidR="00DF7848" w:rsidRPr="00235A56">
        <w:rPr>
          <w:rFonts w:ascii="Helvetica" w:hAnsi="Helvetica" w:cs="Helvetica"/>
          <w:sz w:val="22"/>
          <w:szCs w:val="22"/>
        </w:rPr>
        <w:t xml:space="preserve"> </w:t>
      </w:r>
      <w:r w:rsidR="00F37EA7" w:rsidRPr="00235A56">
        <w:rPr>
          <w:rFonts w:ascii="Helvetica" w:hAnsi="Helvetica" w:cs="Helvetica"/>
          <w:sz w:val="22"/>
          <w:szCs w:val="22"/>
        </w:rPr>
        <w:t>Nonetheless</w:t>
      </w:r>
      <w:r w:rsidR="009309E7" w:rsidRPr="00235A56">
        <w:rPr>
          <w:rFonts w:ascii="Helvetica" w:hAnsi="Helvetica" w:cs="Helvetica"/>
          <w:sz w:val="22"/>
          <w:szCs w:val="22"/>
        </w:rPr>
        <w:t xml:space="preserve">, it </w:t>
      </w:r>
      <w:r w:rsidR="00F37EA7" w:rsidRPr="00235A56">
        <w:rPr>
          <w:rFonts w:ascii="Helvetica" w:hAnsi="Helvetica" w:cs="Helvetica"/>
          <w:sz w:val="22"/>
          <w:szCs w:val="22"/>
        </w:rPr>
        <w:t xml:space="preserve">also has evolved in line with the </w:t>
      </w:r>
      <w:r w:rsidRPr="00235A56">
        <w:rPr>
          <w:rFonts w:ascii="Helvetica" w:hAnsi="Helvetica" w:cs="Helvetica"/>
          <w:sz w:val="22"/>
          <w:szCs w:val="22"/>
        </w:rPr>
        <w:t xml:space="preserve">changing use of the label around the world as it developed over the nineteenth and twentieth century. Research became a more prominent part of the activity of universities from the 1930s in Australia, but it still remained modest until well into the 1950 and 1960s. The first Australian based PhD was not undertaken until the late 1940s at the University of Melbourne, despite </w:t>
      </w:r>
      <w:r w:rsidR="00F37EA7" w:rsidRPr="00235A56">
        <w:rPr>
          <w:rFonts w:ascii="Helvetica" w:hAnsi="Helvetica" w:cs="Helvetica"/>
          <w:sz w:val="22"/>
          <w:szCs w:val="22"/>
        </w:rPr>
        <w:t xml:space="preserve">by then </w:t>
      </w:r>
      <w:r w:rsidRPr="00235A56">
        <w:rPr>
          <w:rFonts w:ascii="Helvetica" w:hAnsi="Helvetica" w:cs="Helvetica"/>
          <w:sz w:val="22"/>
          <w:szCs w:val="22"/>
        </w:rPr>
        <w:t>being common in other countries. When the term</w:t>
      </w:r>
      <w:r w:rsidR="0071619E" w:rsidRPr="00235A56">
        <w:rPr>
          <w:rFonts w:ascii="Helvetica" w:hAnsi="Helvetica" w:cs="Helvetica"/>
          <w:sz w:val="22"/>
          <w:szCs w:val="22"/>
        </w:rPr>
        <w:t xml:space="preserve"> university</w:t>
      </w:r>
      <w:r w:rsidRPr="00235A56">
        <w:rPr>
          <w:rFonts w:ascii="Helvetica" w:hAnsi="Helvetica" w:cs="Helvetica"/>
          <w:sz w:val="22"/>
          <w:szCs w:val="22"/>
        </w:rPr>
        <w:t xml:space="preserve"> is used in Australia now</w:t>
      </w:r>
      <w:r w:rsidR="0050328B" w:rsidRPr="00235A56">
        <w:rPr>
          <w:rFonts w:ascii="Helvetica" w:hAnsi="Helvetica" w:cs="Helvetica"/>
          <w:sz w:val="22"/>
          <w:szCs w:val="22"/>
        </w:rPr>
        <w:t>,</w:t>
      </w:r>
      <w:r w:rsidRPr="00235A56">
        <w:rPr>
          <w:rFonts w:ascii="Helvetica" w:hAnsi="Helvetica" w:cs="Helvetica"/>
          <w:sz w:val="22"/>
          <w:szCs w:val="22"/>
        </w:rPr>
        <w:t xml:space="preserve"> it owes much to an identity that was developed in the </w:t>
      </w:r>
      <w:r w:rsidR="00F37EA7" w:rsidRPr="00235A56">
        <w:rPr>
          <w:rFonts w:ascii="Helvetica" w:hAnsi="Helvetica" w:cs="Helvetica"/>
          <w:sz w:val="22"/>
          <w:szCs w:val="22"/>
        </w:rPr>
        <w:t xml:space="preserve">original </w:t>
      </w:r>
      <w:r w:rsidRPr="00235A56">
        <w:rPr>
          <w:rFonts w:ascii="Helvetica" w:hAnsi="Helvetica" w:cs="Helvetica"/>
          <w:sz w:val="22"/>
          <w:szCs w:val="22"/>
        </w:rPr>
        <w:t xml:space="preserve">state-based universities, that instruction (and research where it occurred) should cover the breadth of the local labour market and industry requirements. Attempts have been made periodically to establish prominent but mission focused universities, such as the short-lived UNSW University of Technology which almost immediately gained a law faculty on founding and then became UNSW. Following several similar attempts </w:t>
      </w:r>
      <w:r w:rsidR="00F37EA7" w:rsidRPr="00235A56">
        <w:rPr>
          <w:rFonts w:ascii="Helvetica" w:hAnsi="Helvetica" w:cs="Helvetica"/>
          <w:sz w:val="22"/>
          <w:szCs w:val="22"/>
        </w:rPr>
        <w:t xml:space="preserve">to the creation of a technical university </w:t>
      </w:r>
      <w:r w:rsidRPr="00235A56">
        <w:rPr>
          <w:rFonts w:ascii="Helvetica" w:hAnsi="Helvetica" w:cs="Helvetica"/>
          <w:sz w:val="22"/>
          <w:szCs w:val="22"/>
        </w:rPr>
        <w:t>at seeking mission focus, institutions have adopted a common model emphasising a comprehensive offering. Now all but a couple of Australian universities have law faculties</w:t>
      </w:r>
      <w:r w:rsidR="00F37EA7" w:rsidRPr="00235A56">
        <w:rPr>
          <w:rFonts w:ascii="Helvetica" w:hAnsi="Helvetica" w:cs="Helvetica"/>
          <w:sz w:val="22"/>
          <w:szCs w:val="22"/>
        </w:rPr>
        <w:t>, and all teach subjects in legal studies</w:t>
      </w:r>
      <w:r w:rsidRPr="00235A56">
        <w:rPr>
          <w:rFonts w:ascii="Helvetica" w:hAnsi="Helvetica" w:cs="Helvetica"/>
          <w:sz w:val="22"/>
          <w:szCs w:val="22"/>
        </w:rPr>
        <w:t>.</w:t>
      </w:r>
    </w:p>
    <w:p w:rsidR="00631025" w:rsidRPr="00235A56" w:rsidRDefault="00631025" w:rsidP="00E367D3">
      <w:pPr>
        <w:rPr>
          <w:rFonts w:ascii="Helvetica" w:eastAsiaTheme="majorEastAsia" w:hAnsi="Helvetica" w:cs="Helvetica"/>
          <w:color w:val="2F5496" w:themeColor="accent1" w:themeShade="BF"/>
          <w:sz w:val="22"/>
          <w:szCs w:val="22"/>
        </w:rPr>
      </w:pPr>
      <w:r w:rsidRPr="00235A56">
        <w:rPr>
          <w:rFonts w:ascii="Helvetica" w:hAnsi="Helvetica" w:cs="Helvetica"/>
          <w:sz w:val="22"/>
          <w:szCs w:val="22"/>
        </w:rPr>
        <w:br w:type="page"/>
      </w:r>
    </w:p>
    <w:p w:rsidR="00B835F2" w:rsidRPr="00235A56" w:rsidRDefault="00B835F2" w:rsidP="00F72CF2">
      <w:pPr>
        <w:pStyle w:val="Heading1"/>
        <w:rPr>
          <w:rFonts w:ascii="Helvetica" w:hAnsi="Helvetica" w:cs="Helvetica"/>
          <w:sz w:val="28"/>
          <w:szCs w:val="28"/>
        </w:rPr>
      </w:pPr>
      <w:r w:rsidRPr="00235A56">
        <w:rPr>
          <w:rFonts w:ascii="Helvetica" w:hAnsi="Helvetica" w:cs="Helvetica"/>
          <w:sz w:val="28"/>
          <w:szCs w:val="28"/>
        </w:rPr>
        <w:lastRenderedPageBreak/>
        <w:t>Insights from research on higher education categorisation</w:t>
      </w:r>
    </w:p>
    <w:p w:rsidR="00A8769F" w:rsidRPr="00235A56" w:rsidRDefault="00B835F2" w:rsidP="00A8769F">
      <w:pPr>
        <w:rPr>
          <w:rFonts w:ascii="Helvetica" w:hAnsi="Helvetica" w:cs="Helvetica"/>
          <w:sz w:val="22"/>
          <w:szCs w:val="22"/>
        </w:rPr>
      </w:pPr>
      <w:r w:rsidRPr="00235A56">
        <w:rPr>
          <w:rFonts w:ascii="Helvetica" w:hAnsi="Helvetica" w:cs="Helvetica"/>
          <w:sz w:val="22"/>
          <w:szCs w:val="22"/>
        </w:rPr>
        <w:t>This section reviews current research on categorisation in higher education, summarising their rationales, the importance they have in fostering system diversity, the approaches adopted to undertaking categorisation, and the potential risks that categorisation can have in driving unintended consequences for students, institutions and systems.</w:t>
      </w:r>
    </w:p>
    <w:p w:rsidR="00B835F2" w:rsidRPr="00235A56" w:rsidRDefault="00A8769F" w:rsidP="00A8769F">
      <w:pPr>
        <w:pStyle w:val="Heading2"/>
        <w:rPr>
          <w:rFonts w:ascii="Helvetica" w:hAnsi="Helvetica" w:cs="Helvetica"/>
          <w:sz w:val="24"/>
          <w:szCs w:val="24"/>
        </w:rPr>
      </w:pPr>
      <w:r w:rsidRPr="00235A56">
        <w:rPr>
          <w:rFonts w:ascii="Helvetica" w:hAnsi="Helvetica" w:cs="Helvetica"/>
          <w:sz w:val="24"/>
          <w:szCs w:val="24"/>
        </w:rPr>
        <w:t xml:space="preserve">3.1. </w:t>
      </w:r>
      <w:r w:rsidR="00B835F2" w:rsidRPr="00235A56">
        <w:rPr>
          <w:rFonts w:ascii="Helvetica" w:hAnsi="Helvetica" w:cs="Helvetica"/>
          <w:sz w:val="24"/>
          <w:szCs w:val="24"/>
        </w:rPr>
        <w:t>Rationales for the categorisation of higher education providers</w:t>
      </w:r>
    </w:p>
    <w:p w:rsidR="00B835F2" w:rsidRPr="00235A56" w:rsidRDefault="00B835F2" w:rsidP="00E367D3">
      <w:pPr>
        <w:rPr>
          <w:rFonts w:ascii="Helvetica" w:hAnsi="Helvetica" w:cs="Helvetica"/>
          <w:sz w:val="22"/>
          <w:szCs w:val="22"/>
        </w:rPr>
      </w:pPr>
      <w:r w:rsidRPr="00235A56">
        <w:rPr>
          <w:rFonts w:ascii="Helvetica" w:hAnsi="Helvetica" w:cs="Helvetica"/>
          <w:sz w:val="22"/>
          <w:szCs w:val="22"/>
        </w:rPr>
        <w:t xml:space="preserve">Categorisation of higher education providers can serve to meet the needs of diverse stakeholders, providing a </w:t>
      </w:r>
      <w:r w:rsidR="0050328B" w:rsidRPr="00235A56">
        <w:rPr>
          <w:rFonts w:ascii="Helvetica" w:hAnsi="Helvetica" w:cs="Helvetica"/>
          <w:sz w:val="22"/>
          <w:szCs w:val="22"/>
        </w:rPr>
        <w:t>‘</w:t>
      </w:r>
      <w:r w:rsidRPr="00235A56">
        <w:rPr>
          <w:rFonts w:ascii="Helvetica" w:hAnsi="Helvetica" w:cs="Helvetica"/>
          <w:sz w:val="22"/>
          <w:szCs w:val="22"/>
        </w:rPr>
        <w:t>basis of shared understanding</w:t>
      </w:r>
      <w:r w:rsidR="0050328B" w:rsidRPr="00235A56">
        <w:rPr>
          <w:rFonts w:ascii="Helvetica" w:hAnsi="Helvetica" w:cs="Helvetica"/>
          <w:sz w:val="22"/>
          <w:szCs w:val="22"/>
        </w:rPr>
        <w:t>’ (McCormick</w:t>
      </w:r>
      <w:r w:rsidR="00DE0139" w:rsidRPr="00235A56">
        <w:rPr>
          <w:rFonts w:ascii="Helvetica" w:hAnsi="Helvetica" w:cs="Helvetica"/>
          <w:sz w:val="22"/>
          <w:szCs w:val="22"/>
        </w:rPr>
        <w:t>,</w:t>
      </w:r>
      <w:r w:rsidR="0050328B" w:rsidRPr="00235A56">
        <w:rPr>
          <w:rFonts w:ascii="Helvetica" w:hAnsi="Helvetica" w:cs="Helvetica"/>
          <w:sz w:val="22"/>
          <w:szCs w:val="22"/>
        </w:rPr>
        <w:t xml:space="preserve"> 2000; Ziegele</w:t>
      </w:r>
      <w:r w:rsidR="00DE0139" w:rsidRPr="00235A56">
        <w:rPr>
          <w:rFonts w:ascii="Helvetica" w:hAnsi="Helvetica" w:cs="Helvetica"/>
          <w:sz w:val="22"/>
          <w:szCs w:val="22"/>
        </w:rPr>
        <w:t>,</w:t>
      </w:r>
      <w:r w:rsidR="0050328B" w:rsidRPr="00235A56">
        <w:rPr>
          <w:rFonts w:ascii="Helvetica" w:hAnsi="Helvetica" w:cs="Helvetica"/>
          <w:sz w:val="22"/>
          <w:szCs w:val="22"/>
        </w:rPr>
        <w:t xml:space="preserve"> 2013)</w:t>
      </w:r>
      <w:r w:rsidRPr="00235A56">
        <w:rPr>
          <w:rFonts w:ascii="Helvetica" w:hAnsi="Helvetica" w:cs="Helvetica"/>
          <w:sz w:val="22"/>
          <w:szCs w:val="22"/>
        </w:rPr>
        <w:t xml:space="preserve"> and, as in Australia, can be part of the regulatory architecture. Over the last half century higher education in many countries has evolved through increases in the number and variety of non-university, non-traditional or private providers. The ensuing complexity has been at times addressed by developing clear classifications of the type of providers, resulting in an information function that allows for meaningful comparisons between institutions (Ziegele</w:t>
      </w:r>
      <w:r w:rsidR="00DE0139" w:rsidRPr="00235A56">
        <w:rPr>
          <w:rFonts w:ascii="Helvetica" w:hAnsi="Helvetica" w:cs="Helvetica"/>
          <w:sz w:val="22"/>
          <w:szCs w:val="22"/>
        </w:rPr>
        <w:t>,</w:t>
      </w:r>
      <w:r w:rsidRPr="00235A56">
        <w:rPr>
          <w:rFonts w:ascii="Helvetica" w:hAnsi="Helvetica" w:cs="Helvetica"/>
          <w:sz w:val="22"/>
          <w:szCs w:val="22"/>
        </w:rPr>
        <w:t xml:space="preserve"> 2013). Categorisation provides a common language for cataloguing distinct providers of higher education. This is particularly so in the case of the USA where the Carnegie Classification (see further under 4.1) and its categories have become a lexicon in the higher education language. The ongoing impact of the classification is evident. For example, although the top category for doctoral granting universities (R1) was formally removed from the classification for two decades, the higher education community continued to use it as a descriptor. This eventually led the developers to reintroduce it as a measure of research activity (Altbacth</w:t>
      </w:r>
      <w:r w:rsidR="00DE0139" w:rsidRPr="00235A56">
        <w:rPr>
          <w:rFonts w:ascii="Helvetica" w:hAnsi="Helvetica" w:cs="Helvetica"/>
          <w:sz w:val="22"/>
          <w:szCs w:val="22"/>
        </w:rPr>
        <w:t>,</w:t>
      </w:r>
      <w:r w:rsidRPr="00235A56">
        <w:rPr>
          <w:rFonts w:ascii="Helvetica" w:hAnsi="Helvetica" w:cs="Helvetica"/>
          <w:sz w:val="22"/>
          <w:szCs w:val="22"/>
        </w:rPr>
        <w:t>2015; Borden</w:t>
      </w:r>
      <w:r w:rsidR="00975163" w:rsidRPr="00235A56">
        <w:rPr>
          <w:rFonts w:ascii="Helvetica" w:hAnsi="Helvetica" w:cs="Helvetica"/>
          <w:sz w:val="22"/>
          <w:szCs w:val="22"/>
        </w:rPr>
        <w:t xml:space="preserve"> et al</w:t>
      </w:r>
      <w:r w:rsidR="00DE0139" w:rsidRPr="00235A56">
        <w:rPr>
          <w:rFonts w:ascii="Helvetica" w:hAnsi="Helvetica" w:cs="Helvetica"/>
          <w:sz w:val="22"/>
          <w:szCs w:val="22"/>
        </w:rPr>
        <w:t>,</w:t>
      </w:r>
      <w:r w:rsidRPr="00235A56">
        <w:rPr>
          <w:rFonts w:ascii="Helvetica" w:hAnsi="Helvetica" w:cs="Helvetica"/>
          <w:sz w:val="22"/>
          <w:szCs w:val="22"/>
        </w:rPr>
        <w:t xml:space="preserve"> 2018).</w:t>
      </w:r>
    </w:p>
    <w:p w:rsidR="004643EB" w:rsidRPr="00235A56" w:rsidRDefault="00B835F2" w:rsidP="00E367D3">
      <w:pPr>
        <w:rPr>
          <w:rFonts w:ascii="Helvetica" w:hAnsi="Helvetica" w:cs="Helvetica"/>
          <w:sz w:val="22"/>
          <w:szCs w:val="22"/>
        </w:rPr>
      </w:pPr>
      <w:r w:rsidRPr="00235A56">
        <w:rPr>
          <w:rFonts w:ascii="Helvetica" w:hAnsi="Helvetica" w:cs="Helvetica"/>
          <w:sz w:val="22"/>
          <w:szCs w:val="22"/>
        </w:rPr>
        <w:t>Effective classification has been shown to facilitate understanding and strengthening of diversity within higher education systems, which is widely considered by experts to be desirable. Van Vught (2008) highlights several arguments in favour of what Birnbaum (1983) calls external diversity (differences between higher education institutions) and more specifically systemic diversity (differences in type, size and control of institutions within a system). A diverse higher education system better meets the needs of students from a range of educational backgrounds and academic achievement, while also being suited to advancing social mobility by ensuring there are different points of entry into the higher education system. Diversity can increase the overall effectiveness of the system by allowing providers to focus their efforts within a set boundary on their mission – for example, an institution focused on education in a particular discipline area at postgraduate level – while allowing them to innovate. Providers may observe the outcomes of innovation by other providers, without taking the risk of implementing such innovation themselves. To reap full benefits of diversity within a higher education system, a transparency tool is needed to describe it (Van Vught et al</w:t>
      </w:r>
      <w:r w:rsidR="00DE0139" w:rsidRPr="00235A56">
        <w:rPr>
          <w:rFonts w:ascii="Helvetica" w:hAnsi="Helvetica" w:cs="Helvetica"/>
          <w:sz w:val="22"/>
          <w:szCs w:val="22"/>
        </w:rPr>
        <w:t>,</w:t>
      </w:r>
      <w:r w:rsidRPr="00235A56">
        <w:rPr>
          <w:rFonts w:ascii="Helvetica" w:hAnsi="Helvetica" w:cs="Helvetica"/>
          <w:sz w:val="22"/>
          <w:szCs w:val="22"/>
        </w:rPr>
        <w:t xml:space="preserve"> 2010). Conceptually, classifications provide a snapshot of diversity in a higher education system (making it transparent) and by doing so promote diversity and its desired effects (Ziegele</w:t>
      </w:r>
      <w:r w:rsidR="00DE0139" w:rsidRPr="00235A56">
        <w:rPr>
          <w:rFonts w:ascii="Helvetica" w:hAnsi="Helvetica" w:cs="Helvetica"/>
          <w:sz w:val="22"/>
          <w:szCs w:val="22"/>
        </w:rPr>
        <w:t>,</w:t>
      </w:r>
      <w:r w:rsidRPr="00235A56">
        <w:rPr>
          <w:rFonts w:ascii="Helvetica" w:hAnsi="Helvetica" w:cs="Helvetica"/>
          <w:sz w:val="22"/>
          <w:szCs w:val="22"/>
        </w:rPr>
        <w:t xml:space="preserve"> 2013). However, this assumes that the classification tool is sufficiently fine-grained to adequately represent diversity across the full spectrum of higher education providers, as will be discussed in the next section. </w:t>
      </w:r>
      <w:bookmarkStart w:id="2" w:name="_Hlk520857978"/>
    </w:p>
    <w:p w:rsidR="00B835F2" w:rsidRPr="00235A56" w:rsidRDefault="00A8769F" w:rsidP="00A8769F">
      <w:pPr>
        <w:pStyle w:val="Heading2"/>
        <w:rPr>
          <w:rFonts w:ascii="Helvetica" w:hAnsi="Helvetica" w:cs="Helvetica"/>
          <w:sz w:val="24"/>
          <w:szCs w:val="24"/>
        </w:rPr>
      </w:pPr>
      <w:r w:rsidRPr="00235A56">
        <w:rPr>
          <w:rFonts w:ascii="Helvetica" w:hAnsi="Helvetica" w:cs="Helvetica"/>
          <w:sz w:val="24"/>
          <w:szCs w:val="24"/>
        </w:rPr>
        <w:t xml:space="preserve">3.2. </w:t>
      </w:r>
      <w:r w:rsidR="00B835F2" w:rsidRPr="00235A56">
        <w:rPr>
          <w:rFonts w:ascii="Helvetica" w:hAnsi="Helvetica" w:cs="Helvetica"/>
          <w:sz w:val="24"/>
          <w:szCs w:val="24"/>
        </w:rPr>
        <w:t>Approaches to categorisation in higher education</w:t>
      </w:r>
    </w:p>
    <w:p w:rsidR="00B835F2" w:rsidRPr="00235A56" w:rsidRDefault="00B835F2" w:rsidP="00E367D3">
      <w:pPr>
        <w:rPr>
          <w:rFonts w:ascii="Helvetica" w:hAnsi="Helvetica" w:cs="Helvetica"/>
          <w:sz w:val="22"/>
          <w:szCs w:val="22"/>
        </w:rPr>
      </w:pPr>
      <w:r w:rsidRPr="00235A56">
        <w:rPr>
          <w:rFonts w:ascii="Helvetica" w:hAnsi="Helvetica" w:cs="Helvetica"/>
          <w:sz w:val="22"/>
          <w:szCs w:val="22"/>
        </w:rPr>
        <w:t>A key issue in the development of categorisation is the selection of the approach to classification. Bailey (1994) identifies two approaches: idiographic (</w:t>
      </w:r>
      <w:r w:rsidRPr="00235A56">
        <w:rPr>
          <w:rFonts w:ascii="Helvetica" w:hAnsi="Helvetica" w:cs="Helvetica"/>
          <w:i/>
          <w:sz w:val="22"/>
          <w:szCs w:val="22"/>
        </w:rPr>
        <w:t>a priori</w:t>
      </w:r>
      <w:r w:rsidRPr="00235A56">
        <w:rPr>
          <w:rFonts w:ascii="Helvetica" w:hAnsi="Helvetica" w:cs="Helvetica"/>
          <w:sz w:val="22"/>
          <w:szCs w:val="22"/>
        </w:rPr>
        <w:t>) and nomothetic (</w:t>
      </w:r>
      <w:r w:rsidRPr="00235A56">
        <w:rPr>
          <w:rFonts w:ascii="Helvetica" w:hAnsi="Helvetica" w:cs="Helvetica"/>
          <w:i/>
          <w:sz w:val="22"/>
          <w:szCs w:val="22"/>
        </w:rPr>
        <w:t>a posteriori</w:t>
      </w:r>
      <w:r w:rsidRPr="00235A56">
        <w:rPr>
          <w:rFonts w:ascii="Helvetica" w:hAnsi="Helvetica" w:cs="Helvetica"/>
          <w:sz w:val="22"/>
          <w:szCs w:val="22"/>
        </w:rPr>
        <w:t>) (McCormick &amp; Borden</w:t>
      </w:r>
      <w:r w:rsidR="00DE0139" w:rsidRPr="00235A56">
        <w:rPr>
          <w:rFonts w:ascii="Helvetica" w:hAnsi="Helvetica" w:cs="Helvetica"/>
          <w:sz w:val="22"/>
          <w:szCs w:val="22"/>
        </w:rPr>
        <w:t>,</w:t>
      </w:r>
      <w:r w:rsidRPr="00235A56">
        <w:rPr>
          <w:rFonts w:ascii="Helvetica" w:hAnsi="Helvetica" w:cs="Helvetica"/>
          <w:sz w:val="22"/>
          <w:szCs w:val="22"/>
        </w:rPr>
        <w:t xml:space="preserve"> 2017). The </w:t>
      </w:r>
      <w:r w:rsidRPr="00235A56">
        <w:rPr>
          <w:rFonts w:ascii="Helvetica" w:hAnsi="Helvetica" w:cs="Helvetica"/>
          <w:i/>
          <w:sz w:val="22"/>
          <w:szCs w:val="22"/>
        </w:rPr>
        <w:t>a priori</w:t>
      </w:r>
      <w:r w:rsidRPr="00235A56">
        <w:rPr>
          <w:rFonts w:ascii="Helvetica" w:hAnsi="Helvetica" w:cs="Helvetica"/>
          <w:sz w:val="22"/>
          <w:szCs w:val="22"/>
        </w:rPr>
        <w:t xml:space="preserve"> approach to categorisation involves expert judgement on the formation of categories and, although simpler, may be influenced by long standing perceptions of differences between institutions. A drawback of this approach is that it may be inadequate for identifying new or emerg</w:t>
      </w:r>
      <w:r w:rsidR="00B95983" w:rsidRPr="00235A56">
        <w:rPr>
          <w:rFonts w:ascii="Helvetica" w:hAnsi="Helvetica" w:cs="Helvetica"/>
          <w:sz w:val="22"/>
          <w:szCs w:val="22"/>
        </w:rPr>
        <w:t>ing</w:t>
      </w:r>
      <w:r w:rsidRPr="00235A56">
        <w:rPr>
          <w:rFonts w:ascii="Helvetica" w:hAnsi="Helvetica" w:cs="Helvetica"/>
          <w:sz w:val="22"/>
          <w:szCs w:val="22"/>
        </w:rPr>
        <w:t xml:space="preserve"> organizational types (Ruef &amp; Nag</w:t>
      </w:r>
      <w:r w:rsidR="00DE0139" w:rsidRPr="00235A56">
        <w:rPr>
          <w:rFonts w:ascii="Helvetica" w:hAnsi="Helvetica" w:cs="Helvetica"/>
          <w:sz w:val="22"/>
          <w:szCs w:val="22"/>
        </w:rPr>
        <w:t>,</w:t>
      </w:r>
      <w:r w:rsidRPr="00235A56">
        <w:rPr>
          <w:rFonts w:ascii="Helvetica" w:hAnsi="Helvetica" w:cs="Helvetica"/>
          <w:sz w:val="22"/>
          <w:szCs w:val="22"/>
        </w:rPr>
        <w:t xml:space="preserve"> 2015 in Borden</w:t>
      </w:r>
      <w:r w:rsidR="00644CBE" w:rsidRPr="00235A56">
        <w:rPr>
          <w:rFonts w:ascii="Helvetica" w:hAnsi="Helvetica" w:cs="Helvetica"/>
          <w:sz w:val="22"/>
          <w:szCs w:val="22"/>
        </w:rPr>
        <w:t xml:space="preserve"> et al</w:t>
      </w:r>
      <w:r w:rsidR="00DE0139" w:rsidRPr="00235A56">
        <w:rPr>
          <w:rFonts w:ascii="Helvetica" w:hAnsi="Helvetica" w:cs="Helvetica"/>
          <w:sz w:val="22"/>
          <w:szCs w:val="22"/>
        </w:rPr>
        <w:t>,</w:t>
      </w:r>
      <w:r w:rsidRPr="00235A56">
        <w:rPr>
          <w:rFonts w:ascii="Helvetica" w:hAnsi="Helvetica" w:cs="Helvetica"/>
          <w:sz w:val="22"/>
          <w:szCs w:val="22"/>
        </w:rPr>
        <w:t xml:space="preserve"> 2018). Nomothetic approaches (</w:t>
      </w:r>
      <w:r w:rsidRPr="00235A56">
        <w:rPr>
          <w:rFonts w:ascii="Helvetica" w:hAnsi="Helvetica" w:cs="Helvetica"/>
          <w:i/>
          <w:sz w:val="22"/>
          <w:szCs w:val="22"/>
        </w:rPr>
        <w:t>a posteriori</w:t>
      </w:r>
      <w:r w:rsidRPr="00235A56">
        <w:rPr>
          <w:rFonts w:ascii="Helvetica" w:hAnsi="Helvetica" w:cs="Helvetica"/>
          <w:sz w:val="22"/>
          <w:szCs w:val="22"/>
        </w:rPr>
        <w:t xml:space="preserve">) use statistical techniques to group institutions into clusters. A limitation in this approach is that the data set required for </w:t>
      </w:r>
      <w:r w:rsidRPr="00235A56">
        <w:rPr>
          <w:rFonts w:ascii="Helvetica" w:hAnsi="Helvetica" w:cs="Helvetica"/>
          <w:sz w:val="22"/>
          <w:szCs w:val="22"/>
        </w:rPr>
        <w:lastRenderedPageBreak/>
        <w:t>this, by definition consists of common data elements for all institutions, which may lead to oversimplification in the selection of attributes informing categorisation (McCormick</w:t>
      </w:r>
      <w:r w:rsidR="00DE0139" w:rsidRPr="00235A56">
        <w:rPr>
          <w:rFonts w:ascii="Helvetica" w:hAnsi="Helvetica" w:cs="Helvetica"/>
          <w:sz w:val="22"/>
          <w:szCs w:val="22"/>
        </w:rPr>
        <w:t>,</w:t>
      </w:r>
      <w:r w:rsidRPr="00235A56">
        <w:rPr>
          <w:rFonts w:ascii="Helvetica" w:hAnsi="Helvetica" w:cs="Helvetica"/>
          <w:sz w:val="22"/>
          <w:szCs w:val="22"/>
        </w:rPr>
        <w:t xml:space="preserve"> 2013). That said, nomothetic approaches are considered more appropriate for pure research whereas idiographic approaches are more appropriate for an applied setting,</w:t>
      </w:r>
      <w:r w:rsidR="0093235B" w:rsidRPr="00235A56">
        <w:rPr>
          <w:rFonts w:ascii="Helvetica" w:hAnsi="Helvetica" w:cs="Helvetica"/>
          <w:sz w:val="22"/>
          <w:szCs w:val="22"/>
        </w:rPr>
        <w:t xml:space="preserve"> (McCormick</w:t>
      </w:r>
      <w:r w:rsidR="00DE0139" w:rsidRPr="00235A56">
        <w:rPr>
          <w:rFonts w:ascii="Helvetica" w:hAnsi="Helvetica" w:cs="Helvetica"/>
          <w:sz w:val="22"/>
          <w:szCs w:val="22"/>
        </w:rPr>
        <w:t>,</w:t>
      </w:r>
      <w:r w:rsidR="0093235B" w:rsidRPr="00235A56">
        <w:rPr>
          <w:rFonts w:ascii="Helvetica" w:hAnsi="Helvetica" w:cs="Helvetica"/>
          <w:sz w:val="22"/>
          <w:szCs w:val="22"/>
        </w:rPr>
        <w:t xml:space="preserve"> 2013)</w:t>
      </w:r>
      <w:r w:rsidRPr="00235A56">
        <w:rPr>
          <w:rFonts w:ascii="Helvetica" w:hAnsi="Helvetica" w:cs="Helvetica"/>
          <w:sz w:val="22"/>
          <w:szCs w:val="22"/>
        </w:rPr>
        <w:t xml:space="preserve"> such as regulation. As a regulatory instrument the PCS have an idiographic basis, and so are subject to the limitations this brings in terms of representing genuine diversity and difference in the system.</w:t>
      </w:r>
    </w:p>
    <w:p w:rsidR="00B835F2" w:rsidRPr="00235A56" w:rsidRDefault="00B835F2" w:rsidP="00E367D3">
      <w:pPr>
        <w:rPr>
          <w:rFonts w:ascii="Helvetica" w:hAnsi="Helvetica" w:cs="Helvetica"/>
          <w:sz w:val="22"/>
          <w:szCs w:val="22"/>
        </w:rPr>
      </w:pPr>
      <w:r w:rsidRPr="00235A56">
        <w:rPr>
          <w:rFonts w:ascii="Helvetica" w:hAnsi="Helvetica" w:cs="Helvetica"/>
          <w:sz w:val="22"/>
          <w:szCs w:val="22"/>
        </w:rPr>
        <w:t xml:space="preserve">Higher education classification categories can be used as a regulatory tool by government. Different categories of providers may have different sets of regulations depending upon factors such as risk. This is exemplified by the use of the Register of Higher Education Providers currently being updated under the UK Office for Students (OfS), the new market regulator for higher education in England (see further under 4.2). Each category contained in the Register has a different set of benefits and conditions attached to it. That said, unlike the higher education provider categories in Australia, the two categories “Approved” and “Approved fee cap” in England are not based on the delineating provider activity. </w:t>
      </w:r>
    </w:p>
    <w:p w:rsidR="00B835F2" w:rsidRPr="00235A56" w:rsidRDefault="00A8769F" w:rsidP="00A8769F">
      <w:pPr>
        <w:pStyle w:val="Heading2"/>
        <w:rPr>
          <w:rFonts w:ascii="Helvetica" w:hAnsi="Helvetica" w:cs="Helvetica"/>
          <w:sz w:val="24"/>
          <w:szCs w:val="24"/>
        </w:rPr>
      </w:pPr>
      <w:r w:rsidRPr="00235A56">
        <w:rPr>
          <w:rFonts w:ascii="Helvetica" w:hAnsi="Helvetica" w:cs="Helvetica"/>
          <w:sz w:val="24"/>
          <w:szCs w:val="24"/>
        </w:rPr>
        <w:t xml:space="preserve">3.3. </w:t>
      </w:r>
      <w:r w:rsidR="00B835F2" w:rsidRPr="00235A56">
        <w:rPr>
          <w:rFonts w:ascii="Helvetica" w:hAnsi="Helvetica" w:cs="Helvetica"/>
          <w:sz w:val="24"/>
          <w:szCs w:val="24"/>
        </w:rPr>
        <w:t>The risk of categorisation driving positional ranking</w:t>
      </w:r>
    </w:p>
    <w:p w:rsidR="00B835F2" w:rsidRPr="00235A56" w:rsidRDefault="00B835F2" w:rsidP="00E367D3">
      <w:pPr>
        <w:rPr>
          <w:rFonts w:ascii="Helvetica" w:hAnsi="Helvetica" w:cs="Helvetica"/>
          <w:sz w:val="22"/>
          <w:szCs w:val="22"/>
        </w:rPr>
      </w:pPr>
      <w:r w:rsidRPr="00235A56">
        <w:rPr>
          <w:rFonts w:ascii="Helvetica" w:hAnsi="Helvetica" w:cs="Helvetica"/>
          <w:sz w:val="22"/>
          <w:szCs w:val="22"/>
        </w:rPr>
        <w:t>Categorisation schemes, whether formally part of regulation or not, can fall prey to becoming inadvertent tools for positional ranking, especially when they are seen to reflect vertical as opposed to horizontal diversity. Vertical diversity refers to differences between institutions in terms of ‘prestige, reputation and performance’ (Ziegele</w:t>
      </w:r>
      <w:r w:rsidR="00DE0139" w:rsidRPr="00235A56">
        <w:rPr>
          <w:rFonts w:ascii="Helvetica" w:hAnsi="Helvetica" w:cs="Helvetica"/>
          <w:sz w:val="22"/>
          <w:szCs w:val="22"/>
        </w:rPr>
        <w:t>,</w:t>
      </w:r>
      <w:r w:rsidRPr="00235A56">
        <w:rPr>
          <w:rFonts w:ascii="Helvetica" w:hAnsi="Helvetica" w:cs="Helvetica"/>
          <w:sz w:val="22"/>
          <w:szCs w:val="22"/>
        </w:rPr>
        <w:t>2013</w:t>
      </w:r>
      <w:r w:rsidR="00DE0139" w:rsidRPr="00235A56">
        <w:rPr>
          <w:rFonts w:ascii="Helvetica" w:hAnsi="Helvetica" w:cs="Helvetica"/>
          <w:sz w:val="22"/>
          <w:szCs w:val="22"/>
        </w:rPr>
        <w:t>, p.</w:t>
      </w:r>
      <w:r w:rsidR="00FB78D6" w:rsidRPr="00235A56">
        <w:rPr>
          <w:rFonts w:ascii="Helvetica" w:hAnsi="Helvetica" w:cs="Helvetica"/>
          <w:sz w:val="22"/>
          <w:szCs w:val="22"/>
        </w:rPr>
        <w:t>77</w:t>
      </w:r>
      <w:r w:rsidRPr="00235A56">
        <w:rPr>
          <w:rFonts w:ascii="Helvetica" w:hAnsi="Helvetica" w:cs="Helvetica"/>
          <w:sz w:val="22"/>
          <w:szCs w:val="22"/>
        </w:rPr>
        <w:t xml:space="preserve">) whereas horizontal diversity refers to difference in </w:t>
      </w:r>
      <w:r w:rsidR="00987F52" w:rsidRPr="00235A56">
        <w:rPr>
          <w:rFonts w:ascii="Helvetica" w:hAnsi="Helvetica" w:cs="Helvetica"/>
          <w:sz w:val="22"/>
          <w:szCs w:val="22"/>
        </w:rPr>
        <w:t>‘</w:t>
      </w:r>
      <w:r w:rsidRPr="00235A56">
        <w:rPr>
          <w:rFonts w:ascii="Helvetica" w:hAnsi="Helvetica" w:cs="Helvetica"/>
          <w:sz w:val="22"/>
          <w:szCs w:val="22"/>
        </w:rPr>
        <w:t>institutional mission, governance and organization culture</w:t>
      </w:r>
      <w:r w:rsidR="00987F52" w:rsidRPr="00235A56">
        <w:rPr>
          <w:rFonts w:ascii="Helvetica" w:hAnsi="Helvetica" w:cs="Helvetica"/>
          <w:sz w:val="22"/>
          <w:szCs w:val="22"/>
        </w:rPr>
        <w:t>’</w:t>
      </w:r>
      <w:r w:rsidRPr="00235A56">
        <w:rPr>
          <w:rFonts w:ascii="Helvetica" w:hAnsi="Helvetica" w:cs="Helvetica"/>
          <w:sz w:val="22"/>
          <w:szCs w:val="22"/>
        </w:rPr>
        <w:t xml:space="preserve"> (Marginson</w:t>
      </w:r>
      <w:r w:rsidR="00893898" w:rsidRPr="00235A56">
        <w:rPr>
          <w:rFonts w:ascii="Helvetica" w:hAnsi="Helvetica" w:cs="Helvetica"/>
          <w:sz w:val="22"/>
          <w:szCs w:val="22"/>
        </w:rPr>
        <w:t>,</w:t>
      </w:r>
      <w:r w:rsidRPr="00235A56">
        <w:rPr>
          <w:rFonts w:ascii="Helvetica" w:hAnsi="Helvetica" w:cs="Helvetica"/>
          <w:sz w:val="22"/>
          <w:szCs w:val="22"/>
        </w:rPr>
        <w:t xml:space="preserve"> 2018</w:t>
      </w:r>
      <w:r w:rsidR="00C631E5" w:rsidRPr="00235A56">
        <w:rPr>
          <w:rFonts w:ascii="Helvetica" w:hAnsi="Helvetica" w:cs="Helvetica"/>
          <w:sz w:val="22"/>
          <w:szCs w:val="22"/>
        </w:rPr>
        <w:t xml:space="preserve">, </w:t>
      </w:r>
      <w:r w:rsidR="00DE0139" w:rsidRPr="00235A56">
        <w:rPr>
          <w:rFonts w:ascii="Helvetica" w:hAnsi="Helvetica" w:cs="Helvetica"/>
          <w:sz w:val="22"/>
          <w:szCs w:val="22"/>
        </w:rPr>
        <w:t>p.</w:t>
      </w:r>
      <w:r w:rsidR="00987F52" w:rsidRPr="00235A56">
        <w:rPr>
          <w:rFonts w:ascii="Helvetica" w:hAnsi="Helvetica" w:cs="Helvetica"/>
          <w:sz w:val="22"/>
          <w:szCs w:val="22"/>
        </w:rPr>
        <w:t>1</w:t>
      </w:r>
      <w:r w:rsidRPr="00235A56">
        <w:rPr>
          <w:rFonts w:ascii="Helvetica" w:hAnsi="Helvetica" w:cs="Helvetica"/>
          <w:sz w:val="22"/>
          <w:szCs w:val="22"/>
        </w:rPr>
        <w:t>). This problem is compounded by the use of numerics, as in the case of R1, R2 and R3 categories in Carnegie. Critics of the Carnegie Classification argue that the categories have taken on ‘the practical meaning of ladder of prestige’ (Brewer, Gates, &amp; Goldman</w:t>
      </w:r>
      <w:r w:rsidR="00DE0139" w:rsidRPr="00235A56">
        <w:rPr>
          <w:rFonts w:ascii="Helvetica" w:hAnsi="Helvetica" w:cs="Helvetica"/>
          <w:sz w:val="22"/>
          <w:szCs w:val="22"/>
        </w:rPr>
        <w:t>,</w:t>
      </w:r>
      <w:r w:rsidRPr="00235A56">
        <w:rPr>
          <w:rFonts w:ascii="Helvetica" w:hAnsi="Helvetica" w:cs="Helvetica"/>
          <w:sz w:val="22"/>
          <w:szCs w:val="22"/>
        </w:rPr>
        <w:t xml:space="preserve"> 2004 in Zhao</w:t>
      </w:r>
      <w:r w:rsidR="00DE0139" w:rsidRPr="00235A56">
        <w:rPr>
          <w:rFonts w:ascii="Helvetica" w:hAnsi="Helvetica" w:cs="Helvetica"/>
          <w:sz w:val="22"/>
          <w:szCs w:val="22"/>
        </w:rPr>
        <w:t>,</w:t>
      </w:r>
      <w:r w:rsidRPr="00235A56">
        <w:rPr>
          <w:rFonts w:ascii="Helvetica" w:hAnsi="Helvetica" w:cs="Helvetica"/>
          <w:sz w:val="22"/>
          <w:szCs w:val="22"/>
        </w:rPr>
        <w:t xml:space="preserve"> 2011).</w:t>
      </w:r>
    </w:p>
    <w:p w:rsidR="00B835F2" w:rsidRPr="00235A56" w:rsidRDefault="00B835F2" w:rsidP="00E367D3">
      <w:pPr>
        <w:rPr>
          <w:rFonts w:ascii="Helvetica" w:eastAsiaTheme="majorEastAsia" w:hAnsi="Helvetica" w:cs="Helvetica"/>
          <w:color w:val="2F5496" w:themeColor="accent1" w:themeShade="BF"/>
          <w:sz w:val="22"/>
          <w:szCs w:val="22"/>
        </w:rPr>
      </w:pPr>
      <w:r w:rsidRPr="00235A56">
        <w:rPr>
          <w:rFonts w:ascii="Helvetica" w:hAnsi="Helvetica" w:cs="Helvetica"/>
          <w:sz w:val="22"/>
          <w:szCs w:val="22"/>
        </w:rPr>
        <w:t>As classification is seen to reflect vertical diversity, it can lead to what has been called ‘academic drift’ (Neave</w:t>
      </w:r>
      <w:r w:rsidR="00DE0139" w:rsidRPr="00235A56">
        <w:rPr>
          <w:rFonts w:ascii="Helvetica" w:hAnsi="Helvetica" w:cs="Helvetica"/>
          <w:sz w:val="22"/>
          <w:szCs w:val="22"/>
        </w:rPr>
        <w:t>,</w:t>
      </w:r>
      <w:r w:rsidRPr="00235A56">
        <w:rPr>
          <w:rFonts w:ascii="Helvetica" w:hAnsi="Helvetica" w:cs="Helvetica"/>
          <w:sz w:val="22"/>
          <w:szCs w:val="22"/>
        </w:rPr>
        <w:t xml:space="preserve"> 1979) and drive memetic forms of institutional isomorphism (DiMaggio </w:t>
      </w:r>
      <w:r w:rsidR="00C143A5" w:rsidRPr="00235A56">
        <w:rPr>
          <w:rFonts w:ascii="Helvetica" w:hAnsi="Helvetica" w:cs="Helvetica"/>
          <w:sz w:val="22"/>
          <w:szCs w:val="22"/>
        </w:rPr>
        <w:t>&amp;</w:t>
      </w:r>
      <w:r w:rsidRPr="00235A56">
        <w:rPr>
          <w:rFonts w:ascii="Helvetica" w:hAnsi="Helvetica" w:cs="Helvetica"/>
          <w:sz w:val="22"/>
          <w:szCs w:val="22"/>
        </w:rPr>
        <w:t xml:space="preserve"> Powell</w:t>
      </w:r>
      <w:r w:rsidR="00DE0139" w:rsidRPr="00235A56">
        <w:rPr>
          <w:rFonts w:ascii="Helvetica" w:hAnsi="Helvetica" w:cs="Helvetica"/>
          <w:sz w:val="22"/>
          <w:szCs w:val="22"/>
        </w:rPr>
        <w:t>,</w:t>
      </w:r>
      <w:r w:rsidRPr="00235A56">
        <w:rPr>
          <w:rFonts w:ascii="Helvetica" w:hAnsi="Helvetica" w:cs="Helvetica"/>
          <w:sz w:val="22"/>
          <w:szCs w:val="22"/>
        </w:rPr>
        <w:t xml:space="preserve"> 1983; Croucher </w:t>
      </w:r>
      <w:r w:rsidR="00C143A5" w:rsidRPr="00235A56">
        <w:rPr>
          <w:rFonts w:ascii="Helvetica" w:hAnsi="Helvetica" w:cs="Helvetica"/>
          <w:sz w:val="22"/>
          <w:szCs w:val="22"/>
        </w:rPr>
        <w:t>&amp;</w:t>
      </w:r>
      <w:r w:rsidRPr="00235A56">
        <w:rPr>
          <w:rFonts w:ascii="Helvetica" w:hAnsi="Helvetica" w:cs="Helvetica"/>
          <w:sz w:val="22"/>
          <w:szCs w:val="22"/>
        </w:rPr>
        <w:t xml:space="preserve"> Woelert</w:t>
      </w:r>
      <w:r w:rsidR="00DE0139" w:rsidRPr="00235A56">
        <w:rPr>
          <w:rFonts w:ascii="Helvetica" w:hAnsi="Helvetica" w:cs="Helvetica"/>
          <w:sz w:val="22"/>
          <w:szCs w:val="22"/>
        </w:rPr>
        <w:t>,</w:t>
      </w:r>
      <w:r w:rsidR="00C631E5" w:rsidRPr="00235A56">
        <w:rPr>
          <w:rFonts w:ascii="Helvetica" w:hAnsi="Helvetica" w:cs="Helvetica"/>
          <w:sz w:val="22"/>
          <w:szCs w:val="22"/>
        </w:rPr>
        <w:t xml:space="preserve"> </w:t>
      </w:r>
      <w:r w:rsidRPr="00235A56">
        <w:rPr>
          <w:rFonts w:ascii="Helvetica" w:hAnsi="Helvetica" w:cs="Helvetica"/>
          <w:sz w:val="22"/>
          <w:szCs w:val="22"/>
        </w:rPr>
        <w:t>2018). Institutions classified in the non-university category may begin to emulate universities and teaching-based universities may begin to emulate research-intensive universities considered to be more prestigious. This trend has long been highlighted in the academic literature (Riesman</w:t>
      </w:r>
      <w:r w:rsidR="00DE0139" w:rsidRPr="00235A56">
        <w:rPr>
          <w:rFonts w:ascii="Helvetica" w:hAnsi="Helvetica" w:cs="Helvetica"/>
          <w:sz w:val="22"/>
          <w:szCs w:val="22"/>
        </w:rPr>
        <w:t>,</w:t>
      </w:r>
      <w:r w:rsidRPr="00235A56">
        <w:rPr>
          <w:rFonts w:ascii="Helvetica" w:hAnsi="Helvetica" w:cs="Helvetica"/>
          <w:sz w:val="22"/>
          <w:szCs w:val="22"/>
        </w:rPr>
        <w:t xml:space="preserve"> 195</w:t>
      </w:r>
      <w:r w:rsidR="00B6773B" w:rsidRPr="00235A56">
        <w:rPr>
          <w:rFonts w:ascii="Helvetica" w:hAnsi="Helvetica" w:cs="Helvetica"/>
          <w:sz w:val="22"/>
          <w:szCs w:val="22"/>
        </w:rPr>
        <w:t>6</w:t>
      </w:r>
      <w:r w:rsidRPr="00235A56">
        <w:rPr>
          <w:rFonts w:ascii="Helvetica" w:hAnsi="Helvetica" w:cs="Helvetica"/>
          <w:sz w:val="22"/>
          <w:szCs w:val="22"/>
        </w:rPr>
        <w:t>; Neave</w:t>
      </w:r>
      <w:r w:rsidR="00DE0139" w:rsidRPr="00235A56">
        <w:rPr>
          <w:rFonts w:ascii="Helvetica" w:hAnsi="Helvetica" w:cs="Helvetica"/>
          <w:sz w:val="22"/>
          <w:szCs w:val="22"/>
        </w:rPr>
        <w:t>,</w:t>
      </w:r>
      <w:r w:rsidRPr="00235A56">
        <w:rPr>
          <w:rFonts w:ascii="Helvetica" w:hAnsi="Helvetica" w:cs="Helvetica"/>
          <w:sz w:val="22"/>
          <w:szCs w:val="22"/>
        </w:rPr>
        <w:t xml:space="preserve"> 1979) and has been evident in the UK and Australia with the eventual demise of the binary divide (Croucher </w:t>
      </w:r>
      <w:r w:rsidR="00C631E5" w:rsidRPr="00235A56">
        <w:rPr>
          <w:rFonts w:ascii="Helvetica" w:hAnsi="Helvetica" w:cs="Helvetica"/>
          <w:sz w:val="22"/>
          <w:szCs w:val="22"/>
        </w:rPr>
        <w:t>&amp;</w:t>
      </w:r>
      <w:r w:rsidRPr="00235A56">
        <w:rPr>
          <w:rFonts w:ascii="Helvetica" w:hAnsi="Helvetica" w:cs="Helvetica"/>
          <w:sz w:val="22"/>
          <w:szCs w:val="22"/>
        </w:rPr>
        <w:t xml:space="preserve"> Woelert</w:t>
      </w:r>
      <w:r w:rsidR="00C631E5" w:rsidRPr="00235A56">
        <w:rPr>
          <w:rFonts w:ascii="Helvetica" w:hAnsi="Helvetica" w:cs="Helvetica"/>
          <w:sz w:val="22"/>
          <w:szCs w:val="22"/>
        </w:rPr>
        <w:t xml:space="preserve"> </w:t>
      </w:r>
      <w:r w:rsidR="006A21C9" w:rsidRPr="00235A56">
        <w:rPr>
          <w:rFonts w:ascii="Helvetica" w:hAnsi="Helvetica" w:cs="Helvetica"/>
          <w:sz w:val="22"/>
          <w:szCs w:val="22"/>
        </w:rPr>
        <w:t>,</w:t>
      </w:r>
      <w:r w:rsidRPr="00235A56">
        <w:rPr>
          <w:rFonts w:ascii="Helvetica" w:hAnsi="Helvetica" w:cs="Helvetica"/>
          <w:sz w:val="22"/>
          <w:szCs w:val="22"/>
        </w:rPr>
        <w:t>2016), and in the US through the continued race to attain the R1 classification under the Carnegie classification.</w:t>
      </w:r>
      <w:bookmarkEnd w:id="2"/>
      <w:r w:rsidRPr="00235A56">
        <w:rPr>
          <w:rFonts w:ascii="Helvetica" w:hAnsi="Helvetica" w:cs="Helvetica"/>
          <w:sz w:val="22"/>
          <w:szCs w:val="22"/>
        </w:rPr>
        <w:br w:type="page"/>
      </w:r>
    </w:p>
    <w:p w:rsidR="00B835F2" w:rsidRPr="00235A56" w:rsidRDefault="00B835F2" w:rsidP="00F72CF2">
      <w:pPr>
        <w:pStyle w:val="Heading1"/>
        <w:rPr>
          <w:rFonts w:ascii="Helvetica" w:hAnsi="Helvetica" w:cs="Helvetica"/>
          <w:sz w:val="28"/>
          <w:szCs w:val="28"/>
        </w:rPr>
      </w:pPr>
      <w:r w:rsidRPr="00235A56">
        <w:rPr>
          <w:rFonts w:ascii="Helvetica" w:hAnsi="Helvetica" w:cs="Helvetica"/>
          <w:sz w:val="28"/>
          <w:szCs w:val="28"/>
        </w:rPr>
        <w:lastRenderedPageBreak/>
        <w:t>International categorisation practices</w:t>
      </w:r>
    </w:p>
    <w:p w:rsidR="00B835F2" w:rsidRPr="00235A56" w:rsidRDefault="00B835F2" w:rsidP="00E367D3">
      <w:pPr>
        <w:rPr>
          <w:rFonts w:ascii="Helvetica" w:hAnsi="Helvetica" w:cs="Helvetica"/>
          <w:sz w:val="22"/>
          <w:szCs w:val="22"/>
        </w:rPr>
      </w:pPr>
      <w:r w:rsidRPr="00235A56">
        <w:rPr>
          <w:rFonts w:ascii="Helvetica" w:hAnsi="Helvetica" w:cs="Helvetica"/>
          <w:sz w:val="22"/>
          <w:szCs w:val="22"/>
        </w:rPr>
        <w:t>Different higher education systems worldwide employ distinct schemes for categorising providers, either directly as part of the regulation and governance of the system, such as in Australia and the UK, or as prominent schemes that are widely reported and used by higher education providers, such as the Carnegie Classification in the US. This section sets out some examples of categorisation practices in different jurisdictions.</w:t>
      </w:r>
    </w:p>
    <w:p w:rsidR="00B835F2" w:rsidRPr="00235A56" w:rsidRDefault="00A8769F" w:rsidP="00A8769F">
      <w:pPr>
        <w:pStyle w:val="Heading2"/>
        <w:rPr>
          <w:rFonts w:ascii="Helvetica" w:hAnsi="Helvetica" w:cs="Helvetica"/>
          <w:sz w:val="24"/>
          <w:szCs w:val="24"/>
        </w:rPr>
      </w:pPr>
      <w:r w:rsidRPr="00235A56">
        <w:rPr>
          <w:rFonts w:ascii="Helvetica" w:hAnsi="Helvetica" w:cs="Helvetica"/>
          <w:sz w:val="24"/>
          <w:szCs w:val="24"/>
        </w:rPr>
        <w:t xml:space="preserve">4.1. </w:t>
      </w:r>
      <w:r w:rsidR="00B835F2" w:rsidRPr="00235A56">
        <w:rPr>
          <w:rFonts w:ascii="Helvetica" w:hAnsi="Helvetica" w:cs="Helvetica"/>
          <w:sz w:val="24"/>
          <w:szCs w:val="24"/>
        </w:rPr>
        <w:t>USA: Carnegie Classification of Institutions of Higher Education (CCIHE)</w:t>
      </w:r>
    </w:p>
    <w:p w:rsidR="00B835F2" w:rsidRPr="00235A56" w:rsidRDefault="00B835F2" w:rsidP="00E367D3">
      <w:pPr>
        <w:rPr>
          <w:rFonts w:ascii="Helvetica" w:hAnsi="Helvetica" w:cs="Helvetica"/>
          <w:sz w:val="22"/>
          <w:szCs w:val="22"/>
        </w:rPr>
      </w:pPr>
      <w:r w:rsidRPr="00235A56">
        <w:rPr>
          <w:rFonts w:ascii="Helvetica" w:hAnsi="Helvetica" w:cs="Helvetica"/>
          <w:sz w:val="22"/>
          <w:szCs w:val="22"/>
        </w:rPr>
        <w:t xml:space="preserve">The USA has a long history of the use of classification of its higher education system. The Carnegie Classification of Institutions of Higher Education was developed in 1973 to serve as an analytical tool in the research efforts of Carnegie Commission of Higher Education. Over the years the classification has been updated several times (every five years), most recently in 2015 to reflect the changes in of higher education providers in USA (see Appendix 10.3 for a detailed overview). The basic CCIHE categories of higher education providers are 1) Doctoral Universities 2) Masters Colleges and Universities 3) Baccalaureate Colleges 4) Baccalaureate and Associate Colleges 5) Associate’s Colleges 6) Special Focus Institutions and 7) Tribal Colleges. Each category is divided into subcategories based on one of the following criteria: level of research activity, program size, disciplinary focus, dominant type of student and transferability. </w:t>
      </w:r>
    </w:p>
    <w:p w:rsidR="00B835F2" w:rsidRPr="00235A56" w:rsidRDefault="00B835F2" w:rsidP="00E367D3">
      <w:pPr>
        <w:rPr>
          <w:rFonts w:ascii="Helvetica" w:hAnsi="Helvetica" w:cs="Helvetica"/>
          <w:sz w:val="22"/>
          <w:szCs w:val="22"/>
        </w:rPr>
      </w:pPr>
      <w:r w:rsidRPr="00235A56">
        <w:rPr>
          <w:rFonts w:ascii="Helvetica" w:hAnsi="Helvetica" w:cs="Helvetica"/>
          <w:sz w:val="22"/>
          <w:szCs w:val="22"/>
        </w:rPr>
        <w:t xml:space="preserve">The CCIHE is primarily a classification tool and does not have any regulatory purpose nor is it intended to reflect the quality of institutions. It is used by </w:t>
      </w:r>
      <w:r w:rsidRPr="00235A56">
        <w:rPr>
          <w:rFonts w:ascii="Helvetica" w:hAnsi="Helvetica" w:cs="Helvetica"/>
          <w:i/>
          <w:sz w:val="22"/>
          <w:szCs w:val="22"/>
        </w:rPr>
        <w:t xml:space="preserve">US News and World </w:t>
      </w:r>
      <w:r w:rsidR="00BF4B06" w:rsidRPr="00235A56">
        <w:rPr>
          <w:rFonts w:ascii="Helvetica" w:hAnsi="Helvetica" w:cs="Helvetica"/>
          <w:i/>
          <w:sz w:val="22"/>
          <w:szCs w:val="22"/>
        </w:rPr>
        <w:t>R</w:t>
      </w:r>
      <w:r w:rsidRPr="00235A56">
        <w:rPr>
          <w:rFonts w:ascii="Helvetica" w:hAnsi="Helvetica" w:cs="Helvetica"/>
          <w:i/>
          <w:sz w:val="22"/>
          <w:szCs w:val="22"/>
        </w:rPr>
        <w:t>eport</w:t>
      </w:r>
      <w:r w:rsidRPr="00235A56">
        <w:rPr>
          <w:rFonts w:ascii="Helvetica" w:hAnsi="Helvetica" w:cs="Helvetica"/>
          <w:sz w:val="22"/>
          <w:szCs w:val="22"/>
        </w:rPr>
        <w:t xml:space="preserve"> as the basis for their annual rankings of higher education providers, a highly influential ranking that has long been important to US higher education. Given its relative simplicity and widespread use, it has become the ‘basis of shared understanding’ (McCormick</w:t>
      </w:r>
      <w:r w:rsidR="006A21C9" w:rsidRPr="00235A56">
        <w:rPr>
          <w:rFonts w:ascii="Helvetica" w:hAnsi="Helvetica" w:cs="Helvetica"/>
          <w:sz w:val="22"/>
          <w:szCs w:val="22"/>
        </w:rPr>
        <w:t>,</w:t>
      </w:r>
      <w:r w:rsidRPr="00235A56">
        <w:rPr>
          <w:rFonts w:ascii="Helvetica" w:hAnsi="Helvetica" w:cs="Helvetica"/>
          <w:sz w:val="22"/>
          <w:szCs w:val="22"/>
        </w:rPr>
        <w:t xml:space="preserve"> 2000) of higher education institutions and their mission in the US. Although several other classifications have been offered, none have been able to supersede the dominance of CCIHE (Borden</w:t>
      </w:r>
      <w:r w:rsidR="00975163" w:rsidRPr="00235A56">
        <w:rPr>
          <w:rFonts w:ascii="Helvetica" w:hAnsi="Helvetica" w:cs="Helvetica"/>
          <w:sz w:val="22"/>
          <w:szCs w:val="22"/>
        </w:rPr>
        <w:t xml:space="preserve"> et </w:t>
      </w:r>
      <w:r w:rsidR="00347B75" w:rsidRPr="00235A56">
        <w:rPr>
          <w:rFonts w:ascii="Helvetica" w:hAnsi="Helvetica" w:cs="Helvetica"/>
          <w:sz w:val="22"/>
          <w:szCs w:val="22"/>
        </w:rPr>
        <w:t>al,</w:t>
      </w:r>
      <w:r w:rsidRPr="00235A56">
        <w:rPr>
          <w:rFonts w:ascii="Helvetica" w:hAnsi="Helvetica" w:cs="Helvetica"/>
          <w:sz w:val="22"/>
          <w:szCs w:val="22"/>
        </w:rPr>
        <w:t xml:space="preserve"> 2018). Nevertheless, the CCIHE is also struggling to keep pace with the changes taking place across the post-secondary landscape in the USA. This has been one of the reasons to transfer it from the Carnegie Foundation to the Indiana University Center for Postsecondary Research.</w:t>
      </w:r>
    </w:p>
    <w:p w:rsidR="00B835F2" w:rsidRPr="00235A56" w:rsidRDefault="00A8769F" w:rsidP="00A8769F">
      <w:pPr>
        <w:pStyle w:val="Heading2"/>
        <w:rPr>
          <w:rFonts w:ascii="Helvetica" w:hAnsi="Helvetica" w:cs="Helvetica"/>
          <w:sz w:val="24"/>
          <w:szCs w:val="24"/>
        </w:rPr>
      </w:pPr>
      <w:r w:rsidRPr="00235A56">
        <w:rPr>
          <w:rFonts w:ascii="Helvetica" w:hAnsi="Helvetica" w:cs="Helvetica"/>
          <w:sz w:val="24"/>
          <w:szCs w:val="24"/>
        </w:rPr>
        <w:t xml:space="preserve">4.2. </w:t>
      </w:r>
      <w:r w:rsidR="00B835F2" w:rsidRPr="00235A56">
        <w:rPr>
          <w:rFonts w:ascii="Helvetica" w:hAnsi="Helvetica" w:cs="Helvetica"/>
          <w:sz w:val="24"/>
          <w:szCs w:val="24"/>
        </w:rPr>
        <w:t>England: Office of Student’s Register of Higher Education Providers</w:t>
      </w:r>
    </w:p>
    <w:p w:rsidR="00B835F2" w:rsidRPr="00235A56" w:rsidRDefault="00B835F2" w:rsidP="00E367D3">
      <w:pPr>
        <w:rPr>
          <w:rFonts w:ascii="Helvetica" w:hAnsi="Helvetica" w:cs="Helvetica"/>
          <w:sz w:val="22"/>
          <w:szCs w:val="22"/>
        </w:rPr>
      </w:pPr>
      <w:r w:rsidRPr="00235A56">
        <w:rPr>
          <w:rFonts w:ascii="Helvetica" w:hAnsi="Helvetica" w:cs="Helvetica"/>
          <w:sz w:val="22"/>
          <w:szCs w:val="22"/>
        </w:rPr>
        <w:t>Higher Education providers in England had been registered since 2014 with the Higher Education Funding Council (HEFCE) through The Register of Higher Education Providers. The Register served primarily as a regulatory tool, as it not only listed the higher education providers in England but also provided information on the powers these institutions had (for e.g. degree granting powers) and the standards they had to adhere to in order to retain them (HEFCE</w:t>
      </w:r>
      <w:r w:rsidR="00245430" w:rsidRPr="00235A56">
        <w:rPr>
          <w:rFonts w:ascii="Helvetica" w:hAnsi="Helvetica" w:cs="Helvetica"/>
          <w:sz w:val="22"/>
          <w:szCs w:val="22"/>
        </w:rPr>
        <w:t>,</w:t>
      </w:r>
      <w:r w:rsidRPr="00235A56">
        <w:rPr>
          <w:rFonts w:ascii="Helvetica" w:hAnsi="Helvetica" w:cs="Helvetica"/>
          <w:sz w:val="22"/>
          <w:szCs w:val="22"/>
        </w:rPr>
        <w:t>2015).</w:t>
      </w:r>
    </w:p>
    <w:p w:rsidR="00B835F2" w:rsidRPr="00235A56" w:rsidRDefault="00B835F2" w:rsidP="00E367D3">
      <w:pPr>
        <w:rPr>
          <w:rFonts w:ascii="Helvetica" w:hAnsi="Helvetica" w:cs="Helvetica"/>
          <w:sz w:val="22"/>
          <w:szCs w:val="22"/>
        </w:rPr>
      </w:pPr>
      <w:r w:rsidRPr="00235A56">
        <w:rPr>
          <w:rFonts w:ascii="Helvetica" w:hAnsi="Helvetica" w:cs="Helvetica"/>
          <w:sz w:val="22"/>
          <w:szCs w:val="22"/>
        </w:rPr>
        <w:t xml:space="preserve">The 2016 </w:t>
      </w:r>
      <w:r w:rsidRPr="00235A56">
        <w:rPr>
          <w:rFonts w:ascii="Helvetica" w:hAnsi="Helvetica" w:cs="Helvetica"/>
          <w:i/>
          <w:iCs/>
          <w:sz w:val="22"/>
          <w:szCs w:val="22"/>
        </w:rPr>
        <w:t>White Paper - Success as a Knowledge Economy</w:t>
      </w:r>
      <w:r w:rsidR="00B91355" w:rsidRPr="00235A56">
        <w:rPr>
          <w:rFonts w:ascii="Helvetica" w:hAnsi="Helvetica" w:cs="Helvetica"/>
          <w:iCs/>
          <w:sz w:val="22"/>
          <w:szCs w:val="22"/>
        </w:rPr>
        <w:t xml:space="preserve"> (DBIS</w:t>
      </w:r>
      <w:r w:rsidR="00245430" w:rsidRPr="00235A56">
        <w:rPr>
          <w:rFonts w:ascii="Helvetica" w:hAnsi="Helvetica" w:cs="Helvetica"/>
          <w:iCs/>
          <w:sz w:val="22"/>
          <w:szCs w:val="22"/>
        </w:rPr>
        <w:t>,</w:t>
      </w:r>
      <w:r w:rsidR="00B91355" w:rsidRPr="00235A56">
        <w:rPr>
          <w:rFonts w:ascii="Helvetica" w:hAnsi="Helvetica" w:cs="Helvetica"/>
          <w:iCs/>
          <w:sz w:val="22"/>
          <w:szCs w:val="22"/>
        </w:rPr>
        <w:t xml:space="preserve"> 2016)</w:t>
      </w:r>
      <w:r w:rsidRPr="00235A56">
        <w:rPr>
          <w:rFonts w:ascii="Helvetica" w:hAnsi="Helvetica" w:cs="Helvetica"/>
          <w:i/>
          <w:iCs/>
          <w:sz w:val="22"/>
          <w:szCs w:val="22"/>
        </w:rPr>
        <w:t xml:space="preserve"> </w:t>
      </w:r>
      <w:r w:rsidRPr="00235A56">
        <w:rPr>
          <w:rFonts w:ascii="Helvetica" w:hAnsi="Helvetica" w:cs="Helvetica"/>
          <w:sz w:val="22"/>
          <w:szCs w:val="22"/>
        </w:rPr>
        <w:t xml:space="preserve">announced that HEFCE was to be replaced by a single market regulator, the Office for Students (OfS). It also proposed three categories for higher education provider registration within the OfS Register. The first of these was the “Basic” registration category which would only provide official provider recognition from the OfS. The “Approved” category would grant providers access to the student support system without eligibility to apply for grants and no fee cap obligations on student support access. However, this category did allow eligibility to apply for both Tier 4 sponsorship licence (a requirement for a provider to enrol students from outside the European Economic Area) and degree awarding powers/university title. The “Approved Fee Cap” category would allow for the access to public grant funding in return for a fee cap on student support access, eligibility to apply for Tier 4 sponsorship licence and degree awarding powers/university title. Concerns were raised in the UK over the proposal of the basic category which had minimal regulatory requirements, proportionate to financial benefit that the </w:t>
      </w:r>
      <w:r w:rsidRPr="00235A56">
        <w:rPr>
          <w:rFonts w:ascii="Helvetica" w:hAnsi="Helvetica" w:cs="Helvetica"/>
          <w:sz w:val="22"/>
          <w:szCs w:val="22"/>
        </w:rPr>
        <w:lastRenderedPageBreak/>
        <w:t>providers would receive</w:t>
      </w:r>
      <w:r w:rsidR="006B1C6C" w:rsidRPr="00235A56">
        <w:rPr>
          <w:rFonts w:ascii="Helvetica" w:hAnsi="Helvetica" w:cs="Helvetica"/>
          <w:sz w:val="22"/>
          <w:szCs w:val="22"/>
        </w:rPr>
        <w:t xml:space="preserve"> (DfE</w:t>
      </w:r>
      <w:r w:rsidR="00DD4E86" w:rsidRPr="00235A56">
        <w:rPr>
          <w:rFonts w:ascii="Helvetica" w:hAnsi="Helvetica" w:cs="Helvetica"/>
          <w:sz w:val="22"/>
          <w:szCs w:val="22"/>
        </w:rPr>
        <w:t>: 2017)</w:t>
      </w:r>
      <w:r w:rsidRPr="00235A56">
        <w:rPr>
          <w:rFonts w:ascii="Helvetica" w:hAnsi="Helvetica" w:cs="Helvetica"/>
          <w:sz w:val="22"/>
          <w:szCs w:val="22"/>
        </w:rPr>
        <w:t>. The key criticism against the proposed “basic” category was that it did not require higher education providers to undergo stringent quality and risk tests and still allowed an official status.</w:t>
      </w:r>
    </w:p>
    <w:p w:rsidR="00B835F2" w:rsidRPr="00235A56" w:rsidRDefault="00B835F2" w:rsidP="00E367D3">
      <w:pPr>
        <w:rPr>
          <w:rFonts w:ascii="Helvetica" w:hAnsi="Helvetica" w:cs="Helvetica"/>
          <w:sz w:val="22"/>
          <w:szCs w:val="22"/>
        </w:rPr>
      </w:pPr>
      <w:r w:rsidRPr="00235A56">
        <w:rPr>
          <w:rFonts w:ascii="Helvetica" w:hAnsi="Helvetica" w:cs="Helvetica"/>
          <w:sz w:val="22"/>
          <w:szCs w:val="22"/>
        </w:rPr>
        <w:t xml:space="preserve">The OfS published </w:t>
      </w:r>
      <w:r w:rsidRPr="00235A56">
        <w:rPr>
          <w:rFonts w:ascii="Helvetica" w:hAnsi="Helvetica" w:cs="Helvetica"/>
          <w:i/>
          <w:iCs/>
          <w:sz w:val="22"/>
          <w:szCs w:val="22"/>
        </w:rPr>
        <w:t>Securing Student Success: Regulatory framework for higher education in England</w:t>
      </w:r>
      <w:r w:rsidR="00B91355" w:rsidRPr="00235A56">
        <w:rPr>
          <w:rFonts w:ascii="Helvetica" w:hAnsi="Helvetica" w:cs="Helvetica"/>
          <w:iCs/>
          <w:sz w:val="22"/>
          <w:szCs w:val="22"/>
        </w:rPr>
        <w:t xml:space="preserve"> (OfS</w:t>
      </w:r>
      <w:r w:rsidR="00245430" w:rsidRPr="00235A56">
        <w:rPr>
          <w:rFonts w:ascii="Helvetica" w:hAnsi="Helvetica" w:cs="Helvetica"/>
          <w:iCs/>
          <w:sz w:val="22"/>
          <w:szCs w:val="22"/>
        </w:rPr>
        <w:t>,</w:t>
      </w:r>
      <w:r w:rsidR="00B91355" w:rsidRPr="00235A56">
        <w:rPr>
          <w:rFonts w:ascii="Helvetica" w:hAnsi="Helvetica" w:cs="Helvetica"/>
          <w:iCs/>
          <w:sz w:val="22"/>
          <w:szCs w:val="22"/>
        </w:rPr>
        <w:t xml:space="preserve"> 2018</w:t>
      </w:r>
      <w:r w:rsidR="00644CBE" w:rsidRPr="00235A56">
        <w:rPr>
          <w:rFonts w:ascii="Helvetica" w:hAnsi="Helvetica" w:cs="Helvetica"/>
          <w:iCs/>
          <w:sz w:val="22"/>
          <w:szCs w:val="22"/>
        </w:rPr>
        <w:t>a</w:t>
      </w:r>
      <w:r w:rsidR="00B91355" w:rsidRPr="00235A56">
        <w:rPr>
          <w:rFonts w:ascii="Helvetica" w:hAnsi="Helvetica" w:cs="Helvetica"/>
          <w:iCs/>
          <w:sz w:val="22"/>
          <w:szCs w:val="22"/>
        </w:rPr>
        <w:t>)</w:t>
      </w:r>
      <w:r w:rsidRPr="00235A56">
        <w:rPr>
          <w:rFonts w:ascii="Helvetica" w:hAnsi="Helvetica" w:cs="Helvetica"/>
          <w:i/>
          <w:iCs/>
          <w:sz w:val="22"/>
          <w:szCs w:val="22"/>
        </w:rPr>
        <w:t xml:space="preserve"> </w:t>
      </w:r>
      <w:r w:rsidRPr="00235A56">
        <w:rPr>
          <w:rFonts w:ascii="Helvetica" w:hAnsi="Helvetica" w:cs="Helvetica"/>
          <w:sz w:val="22"/>
          <w:szCs w:val="22"/>
        </w:rPr>
        <w:t>in February 2018</w:t>
      </w:r>
      <w:r w:rsidR="00BF4B06" w:rsidRPr="00235A56">
        <w:rPr>
          <w:rFonts w:ascii="Helvetica" w:hAnsi="Helvetica" w:cs="Helvetica"/>
          <w:sz w:val="22"/>
          <w:szCs w:val="22"/>
        </w:rPr>
        <w:t xml:space="preserve"> which describes the new regulatory framework in England</w:t>
      </w:r>
      <w:r w:rsidRPr="00235A56">
        <w:rPr>
          <w:rFonts w:ascii="Helvetica" w:hAnsi="Helvetica" w:cs="Helvetica"/>
          <w:sz w:val="22"/>
          <w:szCs w:val="22"/>
        </w:rPr>
        <w:t>. As of April 2018, universities in England can apply for registration in the Office of Students Register as either “Approved’ or “Approved (fee cap)”. Approved category providers do not have access to public grant funding from OfS or Research England and each has a different set of initial and ongoing conditions for providers to retain their status on the Register (see Appendix 10.4 for a more detailed overview).</w:t>
      </w:r>
    </w:p>
    <w:p w:rsidR="00B835F2" w:rsidRPr="00235A56" w:rsidRDefault="00A8769F" w:rsidP="00A8769F">
      <w:pPr>
        <w:pStyle w:val="Heading2"/>
        <w:rPr>
          <w:rFonts w:ascii="Helvetica" w:hAnsi="Helvetica" w:cs="Helvetica"/>
          <w:sz w:val="24"/>
          <w:szCs w:val="24"/>
        </w:rPr>
      </w:pPr>
      <w:r w:rsidRPr="00235A56">
        <w:rPr>
          <w:rFonts w:ascii="Helvetica" w:hAnsi="Helvetica" w:cs="Helvetica"/>
          <w:sz w:val="24"/>
          <w:szCs w:val="24"/>
        </w:rPr>
        <w:t xml:space="preserve">4.3. </w:t>
      </w:r>
      <w:r w:rsidR="00B835F2" w:rsidRPr="00235A56">
        <w:rPr>
          <w:rFonts w:ascii="Helvetica" w:hAnsi="Helvetica" w:cs="Helvetica"/>
          <w:sz w:val="24"/>
          <w:szCs w:val="24"/>
        </w:rPr>
        <w:t>European Union: U-Map and U Multi-rank</w:t>
      </w:r>
    </w:p>
    <w:p w:rsidR="00B835F2" w:rsidRPr="00235A56" w:rsidRDefault="00B835F2" w:rsidP="00E367D3">
      <w:pPr>
        <w:rPr>
          <w:rFonts w:ascii="Helvetica" w:hAnsi="Helvetica" w:cs="Helvetica"/>
          <w:sz w:val="22"/>
          <w:szCs w:val="22"/>
        </w:rPr>
      </w:pPr>
      <w:r w:rsidRPr="00235A56">
        <w:rPr>
          <w:rFonts w:ascii="Helvetica" w:hAnsi="Helvetica" w:cs="Helvetica"/>
          <w:sz w:val="22"/>
          <w:szCs w:val="22"/>
        </w:rPr>
        <w:t>In Europe, the categorisation of higher education providers was not a major concern until policies at the supranational EU level resulted in changes to national structures, increasing the complexity of provider missions (Zi</w:t>
      </w:r>
      <w:r w:rsidR="00DE0390" w:rsidRPr="00235A56">
        <w:rPr>
          <w:rFonts w:ascii="Helvetica" w:hAnsi="Helvetica" w:cs="Helvetica"/>
          <w:sz w:val="22"/>
          <w:szCs w:val="22"/>
        </w:rPr>
        <w:t>e</w:t>
      </w:r>
      <w:r w:rsidRPr="00235A56">
        <w:rPr>
          <w:rFonts w:ascii="Helvetica" w:hAnsi="Helvetica" w:cs="Helvetica"/>
          <w:sz w:val="22"/>
          <w:szCs w:val="22"/>
        </w:rPr>
        <w:t>g</w:t>
      </w:r>
      <w:r w:rsidR="00DE0390" w:rsidRPr="00235A56">
        <w:rPr>
          <w:rFonts w:ascii="Helvetica" w:hAnsi="Helvetica" w:cs="Helvetica"/>
          <w:sz w:val="22"/>
          <w:szCs w:val="22"/>
        </w:rPr>
        <w:t>e</w:t>
      </w:r>
      <w:r w:rsidRPr="00235A56">
        <w:rPr>
          <w:rFonts w:ascii="Helvetica" w:hAnsi="Helvetica" w:cs="Helvetica"/>
          <w:sz w:val="22"/>
          <w:szCs w:val="22"/>
        </w:rPr>
        <w:t>le</w:t>
      </w:r>
      <w:r w:rsidR="006A21C9" w:rsidRPr="00235A56">
        <w:rPr>
          <w:rFonts w:ascii="Helvetica" w:hAnsi="Helvetica" w:cs="Helvetica"/>
          <w:sz w:val="22"/>
          <w:szCs w:val="22"/>
        </w:rPr>
        <w:t>,</w:t>
      </w:r>
      <w:r w:rsidRPr="00235A56">
        <w:rPr>
          <w:rFonts w:ascii="Helvetica" w:hAnsi="Helvetica" w:cs="Helvetica"/>
          <w:sz w:val="22"/>
          <w:szCs w:val="22"/>
        </w:rPr>
        <w:t xml:space="preserve"> 2013). The official rationale for a categorisation of European higher education providers was to enhance transparency and understand fully the diversity of European higher education. U-Map was developed as a </w:t>
      </w:r>
      <w:r w:rsidRPr="00235A56">
        <w:rPr>
          <w:rFonts w:ascii="Helvetica" w:hAnsi="Helvetica" w:cs="Helvetica"/>
          <w:bCs/>
          <w:sz w:val="22"/>
          <w:szCs w:val="22"/>
        </w:rPr>
        <w:t xml:space="preserve">transparency tool </w:t>
      </w:r>
      <w:r w:rsidRPr="00235A56">
        <w:rPr>
          <w:rFonts w:ascii="Helvetica" w:hAnsi="Helvetica" w:cs="Helvetica"/>
          <w:sz w:val="22"/>
          <w:szCs w:val="22"/>
        </w:rPr>
        <w:t>to map the higher education providers in the EU but without assigning them fixed categories. The developers adopted a nomothetic (a posteriori) approach to classification. The users of the classification can define their own categories based on the elements of the multi-dimensional categorisation (Zi</w:t>
      </w:r>
      <w:r w:rsidR="00DE0390" w:rsidRPr="00235A56">
        <w:rPr>
          <w:rFonts w:ascii="Helvetica" w:hAnsi="Helvetica" w:cs="Helvetica"/>
          <w:sz w:val="22"/>
          <w:szCs w:val="22"/>
        </w:rPr>
        <w:t>e</w:t>
      </w:r>
      <w:r w:rsidRPr="00235A56">
        <w:rPr>
          <w:rFonts w:ascii="Helvetica" w:hAnsi="Helvetica" w:cs="Helvetica"/>
          <w:sz w:val="22"/>
          <w:szCs w:val="22"/>
        </w:rPr>
        <w:t>g</w:t>
      </w:r>
      <w:r w:rsidR="00DE0390" w:rsidRPr="00235A56">
        <w:rPr>
          <w:rFonts w:ascii="Helvetica" w:hAnsi="Helvetica" w:cs="Helvetica"/>
          <w:sz w:val="22"/>
          <w:szCs w:val="22"/>
        </w:rPr>
        <w:t>e</w:t>
      </w:r>
      <w:r w:rsidRPr="00235A56">
        <w:rPr>
          <w:rFonts w:ascii="Helvetica" w:hAnsi="Helvetica" w:cs="Helvetica"/>
          <w:sz w:val="22"/>
          <w:szCs w:val="22"/>
        </w:rPr>
        <w:t>le</w:t>
      </w:r>
      <w:r w:rsidR="006A21C9" w:rsidRPr="00235A56">
        <w:rPr>
          <w:rFonts w:ascii="Helvetica" w:hAnsi="Helvetica" w:cs="Helvetica"/>
          <w:sz w:val="22"/>
          <w:szCs w:val="22"/>
        </w:rPr>
        <w:t>,</w:t>
      </w:r>
      <w:r w:rsidRPr="00235A56">
        <w:rPr>
          <w:rFonts w:ascii="Helvetica" w:hAnsi="Helvetica" w:cs="Helvetica"/>
          <w:sz w:val="22"/>
          <w:szCs w:val="22"/>
        </w:rPr>
        <w:t xml:space="preserve"> 2013). The six dimensions are: Teaching and Learning, Student Profile, Res</w:t>
      </w:r>
      <w:r w:rsidR="00C342D3" w:rsidRPr="00235A56">
        <w:rPr>
          <w:rFonts w:ascii="Helvetica" w:hAnsi="Helvetica" w:cs="Helvetica"/>
          <w:sz w:val="22"/>
          <w:szCs w:val="22"/>
        </w:rPr>
        <w:t>earch I</w:t>
      </w:r>
      <w:r w:rsidRPr="00235A56">
        <w:rPr>
          <w:rFonts w:ascii="Helvetica" w:hAnsi="Helvetica" w:cs="Helvetica"/>
          <w:sz w:val="22"/>
          <w:szCs w:val="22"/>
        </w:rPr>
        <w:t>nvolvement, Regional Engagement, Involvement in Knowledge Exchange and International Orientation. Provider profiles are graphically represented in so-called sunburst charts.</w:t>
      </w:r>
    </w:p>
    <w:p w:rsidR="00B835F2" w:rsidRPr="00235A56" w:rsidRDefault="00B835F2" w:rsidP="00E367D3">
      <w:pPr>
        <w:rPr>
          <w:rFonts w:ascii="Helvetica" w:hAnsi="Helvetica" w:cs="Helvetica"/>
          <w:sz w:val="22"/>
          <w:szCs w:val="22"/>
        </w:rPr>
      </w:pPr>
      <w:r w:rsidRPr="00235A56">
        <w:rPr>
          <w:rFonts w:ascii="Helvetica" w:hAnsi="Helvetica" w:cs="Helvetica"/>
          <w:sz w:val="22"/>
          <w:szCs w:val="22"/>
        </w:rPr>
        <w:t>A related project is U Multi-rank which adopts a ‘multidimensional, user-driven approach to international ranking of higher education institutions’ (U-Multirank</w:t>
      </w:r>
      <w:r w:rsidR="006A21C9" w:rsidRPr="00235A56">
        <w:rPr>
          <w:rFonts w:ascii="Helvetica" w:hAnsi="Helvetica" w:cs="Helvetica"/>
          <w:sz w:val="22"/>
          <w:szCs w:val="22"/>
        </w:rPr>
        <w:t>,</w:t>
      </w:r>
      <w:r w:rsidRPr="00235A56">
        <w:rPr>
          <w:rFonts w:ascii="Helvetica" w:hAnsi="Helvetica" w:cs="Helvetica"/>
          <w:sz w:val="22"/>
          <w:szCs w:val="22"/>
        </w:rPr>
        <w:t xml:space="preserve"> 2018</w:t>
      </w:r>
      <w:r w:rsidR="00975163" w:rsidRPr="00235A56">
        <w:rPr>
          <w:rFonts w:ascii="Helvetica" w:hAnsi="Helvetica" w:cs="Helvetica"/>
          <w:sz w:val="22"/>
          <w:szCs w:val="22"/>
        </w:rPr>
        <w:t>a</w:t>
      </w:r>
      <w:r w:rsidRPr="00235A56">
        <w:rPr>
          <w:rFonts w:ascii="Helvetica" w:hAnsi="Helvetica" w:cs="Helvetica"/>
          <w:sz w:val="22"/>
          <w:szCs w:val="22"/>
        </w:rPr>
        <w:t>). It adds on the performance aspect to the U-Map project (Jongbloed &amp; Kaiser</w:t>
      </w:r>
      <w:r w:rsidR="006A21C9" w:rsidRPr="00235A56">
        <w:rPr>
          <w:rFonts w:ascii="Helvetica" w:hAnsi="Helvetica" w:cs="Helvetica"/>
          <w:sz w:val="22"/>
          <w:szCs w:val="22"/>
        </w:rPr>
        <w:t>,</w:t>
      </w:r>
      <w:r w:rsidRPr="00235A56">
        <w:rPr>
          <w:rFonts w:ascii="Helvetica" w:hAnsi="Helvetica" w:cs="Helvetica"/>
          <w:sz w:val="22"/>
          <w:szCs w:val="22"/>
        </w:rPr>
        <w:t xml:space="preserve"> 2011) and allows stakeholders to compare institutional performance in the areas of 1) teaching and learning 2) research 3) knowledge transfer 4) international orientation and 5) regional engagement. Whilst being promoted as a further transparency tool to enhance informed student choice, the underlying motivation for U Multi-rank has been to provide a European alternative to the dominant Anglo-Saxon rankings favouring the English-speaking countries. Originally focusing exclusively on traditional universities U Multi-rank is expanding to include universities of applied science. For further details, see Appendix 10.5. </w:t>
      </w:r>
    </w:p>
    <w:p w:rsidR="00B835F2" w:rsidRPr="00235A56" w:rsidRDefault="00A8769F" w:rsidP="00A8769F">
      <w:pPr>
        <w:pStyle w:val="Heading2"/>
        <w:rPr>
          <w:rFonts w:ascii="Helvetica" w:hAnsi="Helvetica" w:cs="Helvetica"/>
          <w:sz w:val="24"/>
          <w:szCs w:val="24"/>
        </w:rPr>
      </w:pPr>
      <w:r w:rsidRPr="00235A56">
        <w:rPr>
          <w:rFonts w:ascii="Helvetica" w:hAnsi="Helvetica" w:cs="Helvetica"/>
          <w:sz w:val="24"/>
          <w:szCs w:val="24"/>
        </w:rPr>
        <w:t xml:space="preserve">4.4. </w:t>
      </w:r>
      <w:r w:rsidR="00B835F2" w:rsidRPr="00235A56">
        <w:rPr>
          <w:rFonts w:ascii="Helvetica" w:hAnsi="Helvetica" w:cs="Helvetica"/>
          <w:sz w:val="24"/>
          <w:szCs w:val="24"/>
        </w:rPr>
        <w:t>China: Project 211, 985 and Double First Class</w:t>
      </w:r>
    </w:p>
    <w:p w:rsidR="00B835F2" w:rsidRPr="00235A56" w:rsidRDefault="00B835F2" w:rsidP="00E367D3">
      <w:pPr>
        <w:rPr>
          <w:rFonts w:ascii="Helvetica" w:hAnsi="Helvetica" w:cs="Helvetica"/>
          <w:sz w:val="22"/>
          <w:szCs w:val="22"/>
        </w:rPr>
      </w:pPr>
      <w:r w:rsidRPr="00235A56">
        <w:rPr>
          <w:rFonts w:ascii="Helvetica" w:hAnsi="Helvetica" w:cs="Helvetica"/>
          <w:sz w:val="22"/>
          <w:szCs w:val="22"/>
        </w:rPr>
        <w:t>Higher education providers in China are mainly differentiated by government financial policy (Ca</w:t>
      </w:r>
      <w:r w:rsidR="00644CBE" w:rsidRPr="00235A56">
        <w:rPr>
          <w:rFonts w:ascii="Helvetica" w:hAnsi="Helvetica" w:cs="Helvetica"/>
          <w:sz w:val="22"/>
          <w:szCs w:val="22"/>
        </w:rPr>
        <w:t>i</w:t>
      </w:r>
      <w:r w:rsidRPr="00235A56">
        <w:rPr>
          <w:rFonts w:ascii="Helvetica" w:hAnsi="Helvetica" w:cs="Helvetica"/>
          <w:sz w:val="22"/>
          <w:szCs w:val="22"/>
        </w:rPr>
        <w:t xml:space="preserve"> Liu</w:t>
      </w:r>
      <w:r w:rsidR="006A21C9" w:rsidRPr="00235A56">
        <w:rPr>
          <w:rFonts w:ascii="Helvetica" w:hAnsi="Helvetica" w:cs="Helvetica"/>
          <w:sz w:val="22"/>
          <w:szCs w:val="22"/>
        </w:rPr>
        <w:t>,</w:t>
      </w:r>
      <w:r w:rsidRPr="00235A56">
        <w:rPr>
          <w:rFonts w:ascii="Helvetica" w:hAnsi="Helvetica" w:cs="Helvetica"/>
          <w:sz w:val="22"/>
          <w:szCs w:val="22"/>
        </w:rPr>
        <w:t xml:space="preserve"> 2007). The earliest example of this is the ‘National Key Universities’ status given to six universities in 1954 which received preferential financial treatment (Ca</w:t>
      </w:r>
      <w:r w:rsidR="00644CBE" w:rsidRPr="00235A56">
        <w:rPr>
          <w:rFonts w:ascii="Helvetica" w:hAnsi="Helvetica" w:cs="Helvetica"/>
          <w:sz w:val="22"/>
          <w:szCs w:val="22"/>
        </w:rPr>
        <w:t>i</w:t>
      </w:r>
      <w:r w:rsidRPr="00235A56">
        <w:rPr>
          <w:rFonts w:ascii="Helvetica" w:hAnsi="Helvetica" w:cs="Helvetica"/>
          <w:sz w:val="22"/>
          <w:szCs w:val="22"/>
        </w:rPr>
        <w:t xml:space="preserve"> Liu</w:t>
      </w:r>
      <w:r w:rsidR="006A21C9" w:rsidRPr="00235A56">
        <w:rPr>
          <w:rFonts w:ascii="Helvetica" w:hAnsi="Helvetica" w:cs="Helvetica"/>
          <w:sz w:val="22"/>
          <w:szCs w:val="22"/>
        </w:rPr>
        <w:t>,</w:t>
      </w:r>
      <w:r w:rsidRPr="00235A56">
        <w:rPr>
          <w:rFonts w:ascii="Helvetica" w:hAnsi="Helvetica" w:cs="Helvetica"/>
          <w:sz w:val="22"/>
          <w:szCs w:val="22"/>
        </w:rPr>
        <w:t xml:space="preserve"> 2007). Over the years, the number of institutions classified as National Key Universities increased, with nearly a 100 by 1980’s. In 1995, the Project 211 was announced which ‘aimed at strengthening about 100 institutions of higher education and key disciplinary areas as a national priority for the 21st century’ (Yiming</w:t>
      </w:r>
      <w:r w:rsidR="006A21C9" w:rsidRPr="00235A56">
        <w:rPr>
          <w:rFonts w:ascii="Helvetica" w:hAnsi="Helvetica" w:cs="Helvetica"/>
          <w:sz w:val="22"/>
          <w:szCs w:val="22"/>
        </w:rPr>
        <w:t>,</w:t>
      </w:r>
      <w:r w:rsidRPr="00235A56">
        <w:rPr>
          <w:rFonts w:ascii="Helvetica" w:hAnsi="Helvetica" w:cs="Helvetica"/>
          <w:sz w:val="22"/>
          <w:szCs w:val="22"/>
        </w:rPr>
        <w:t xml:space="preserve"> 2011). This was followed by the launch Project 985 in 1998, which was aimed at supporting a few universities which would attain a world-class, research-intensive universities in the near future. This list started with nine higher education institutions but was later expanded to 39.</w:t>
      </w:r>
    </w:p>
    <w:p w:rsidR="00B835F2" w:rsidRPr="00235A56" w:rsidRDefault="00B835F2" w:rsidP="00E367D3">
      <w:pPr>
        <w:rPr>
          <w:rFonts w:ascii="Helvetica" w:hAnsi="Helvetica" w:cs="Helvetica"/>
          <w:sz w:val="22"/>
          <w:szCs w:val="22"/>
        </w:rPr>
      </w:pPr>
      <w:r w:rsidRPr="00235A56">
        <w:rPr>
          <w:rFonts w:ascii="Helvetica" w:hAnsi="Helvetica" w:cs="Helvetica"/>
          <w:sz w:val="22"/>
          <w:szCs w:val="22"/>
        </w:rPr>
        <w:t>The two projects increased research capacity and contributed to a rise of Chinese universities in global rankings (Li</w:t>
      </w:r>
      <w:r w:rsidR="006A21C9" w:rsidRPr="00235A56">
        <w:rPr>
          <w:rFonts w:ascii="Helvetica" w:hAnsi="Helvetica" w:cs="Helvetica"/>
          <w:sz w:val="22"/>
          <w:szCs w:val="22"/>
        </w:rPr>
        <w:t>,</w:t>
      </w:r>
      <w:r w:rsidRPr="00235A56">
        <w:rPr>
          <w:rFonts w:ascii="Helvetica" w:hAnsi="Helvetica" w:cs="Helvetica"/>
          <w:sz w:val="22"/>
          <w:szCs w:val="22"/>
        </w:rPr>
        <w:t xml:space="preserve"> 2018). In 2015, a new funding initiative commonly known as the ‘Double First Class’ Project was announced, replacing Project 211 and Project 985. This is aimed at creating 42 world-class universities by 2050. This Project has two streams 1) World Class </w:t>
      </w:r>
      <w:r w:rsidRPr="00235A56">
        <w:rPr>
          <w:rFonts w:ascii="Helvetica" w:hAnsi="Helvetica" w:cs="Helvetica"/>
          <w:sz w:val="22"/>
          <w:szCs w:val="22"/>
        </w:rPr>
        <w:lastRenderedPageBreak/>
        <w:t xml:space="preserve">Universities which has a total of 42 institutions 2) World Class Disciplines which has a total of 95 institutions. </w:t>
      </w:r>
    </w:p>
    <w:p w:rsidR="00B835F2" w:rsidRPr="00235A56" w:rsidRDefault="00B835F2" w:rsidP="00E367D3">
      <w:pPr>
        <w:rPr>
          <w:rFonts w:ascii="Helvetica" w:hAnsi="Helvetica" w:cs="Helvetica"/>
          <w:sz w:val="22"/>
          <w:szCs w:val="22"/>
        </w:rPr>
      </w:pPr>
      <w:r w:rsidRPr="00235A56">
        <w:rPr>
          <w:rFonts w:ascii="Helvetica" w:hAnsi="Helvetica" w:cs="Helvetica"/>
          <w:sz w:val="22"/>
          <w:szCs w:val="22"/>
        </w:rPr>
        <w:t>Institutions are also differentiated based on academic policies and the most significant of these is the Graduate School Policy (Cai Liu</w:t>
      </w:r>
      <w:r w:rsidR="006A21C9" w:rsidRPr="00235A56">
        <w:rPr>
          <w:rFonts w:ascii="Helvetica" w:hAnsi="Helvetica" w:cs="Helvetica"/>
          <w:sz w:val="22"/>
          <w:szCs w:val="22"/>
        </w:rPr>
        <w:t>,</w:t>
      </w:r>
      <w:r w:rsidRPr="00235A56">
        <w:rPr>
          <w:rFonts w:ascii="Helvetica" w:hAnsi="Helvetica" w:cs="Helvetica"/>
          <w:sz w:val="22"/>
          <w:szCs w:val="22"/>
        </w:rPr>
        <w:t xml:space="preserve"> 2007). Only universities with a large number of graduate students and a diverse range of graduate programs of high quality can gain approval for a Graduate School status which adds further prestige. While many classifications have been offered for Chinese Higher Education Providers, some based on Carnegie criteria (Cai Liu</w:t>
      </w:r>
      <w:r w:rsidR="006A21C9" w:rsidRPr="00235A56">
        <w:rPr>
          <w:rFonts w:ascii="Helvetica" w:hAnsi="Helvetica" w:cs="Helvetica"/>
          <w:sz w:val="22"/>
          <w:szCs w:val="22"/>
        </w:rPr>
        <w:t>,</w:t>
      </w:r>
      <w:r w:rsidRPr="00235A56">
        <w:rPr>
          <w:rFonts w:ascii="Helvetica" w:hAnsi="Helvetica" w:cs="Helvetica"/>
          <w:sz w:val="22"/>
          <w:szCs w:val="22"/>
        </w:rPr>
        <w:t xml:space="preserve"> 2005), none have been applied in practice (Cai Liu</w:t>
      </w:r>
      <w:r w:rsidR="006A21C9" w:rsidRPr="00235A56">
        <w:rPr>
          <w:rFonts w:ascii="Helvetica" w:hAnsi="Helvetica" w:cs="Helvetica"/>
          <w:sz w:val="22"/>
          <w:szCs w:val="22"/>
        </w:rPr>
        <w:t>,</w:t>
      </w:r>
      <w:r w:rsidRPr="00235A56">
        <w:rPr>
          <w:rFonts w:ascii="Helvetica" w:hAnsi="Helvetica" w:cs="Helvetica"/>
          <w:sz w:val="22"/>
          <w:szCs w:val="22"/>
        </w:rPr>
        <w:t xml:space="preserve"> 2007). </w:t>
      </w:r>
    </w:p>
    <w:p w:rsidR="00B835F2" w:rsidRPr="00235A56" w:rsidRDefault="00A8769F" w:rsidP="00A8769F">
      <w:pPr>
        <w:pStyle w:val="Heading2"/>
        <w:rPr>
          <w:rFonts w:ascii="Helvetica" w:hAnsi="Helvetica" w:cs="Helvetica"/>
          <w:sz w:val="24"/>
          <w:szCs w:val="24"/>
        </w:rPr>
      </w:pPr>
      <w:r w:rsidRPr="00235A56">
        <w:rPr>
          <w:rFonts w:ascii="Helvetica" w:hAnsi="Helvetica" w:cs="Helvetica"/>
          <w:sz w:val="24"/>
          <w:szCs w:val="24"/>
        </w:rPr>
        <w:t xml:space="preserve">4.5. </w:t>
      </w:r>
      <w:r w:rsidR="00B835F2" w:rsidRPr="00235A56">
        <w:rPr>
          <w:rFonts w:ascii="Helvetica" w:hAnsi="Helvetica" w:cs="Helvetica"/>
          <w:sz w:val="24"/>
          <w:szCs w:val="24"/>
        </w:rPr>
        <w:t xml:space="preserve">Canada: Ontario’s </w:t>
      </w:r>
      <w:r w:rsidR="008714DB" w:rsidRPr="00235A56">
        <w:rPr>
          <w:rFonts w:ascii="Helvetica" w:hAnsi="Helvetica" w:cs="Helvetica"/>
          <w:sz w:val="24"/>
          <w:szCs w:val="24"/>
        </w:rPr>
        <w:t>Institutional Differentiation Policy</w:t>
      </w:r>
    </w:p>
    <w:p w:rsidR="00B835F2" w:rsidRPr="00235A56" w:rsidRDefault="00B835F2" w:rsidP="00E367D3">
      <w:pPr>
        <w:rPr>
          <w:rFonts w:ascii="Helvetica" w:hAnsi="Helvetica" w:cs="Helvetica"/>
          <w:sz w:val="22"/>
          <w:szCs w:val="22"/>
        </w:rPr>
      </w:pPr>
      <w:r w:rsidRPr="00235A56">
        <w:rPr>
          <w:rFonts w:ascii="Helvetica" w:hAnsi="Helvetica" w:cs="Helvetica"/>
          <w:sz w:val="22"/>
          <w:szCs w:val="22"/>
        </w:rPr>
        <w:t xml:space="preserve">Unlike Australia and the UK, the Ontario higher education system in Canada has maintained its binary divide which comprises both universities and Colleges of Arts and Applied Technology (CAAT) (established in 1965). Over the years, the CAATs have also begun to offer degrees, blurring the boundaries between the two sectors. In 2013, the Ontario government adopted the </w:t>
      </w:r>
      <w:r w:rsidRPr="00235A56">
        <w:rPr>
          <w:rFonts w:ascii="Helvetica" w:hAnsi="Helvetica" w:cs="Helvetica"/>
          <w:i/>
          <w:sz w:val="22"/>
          <w:szCs w:val="22"/>
        </w:rPr>
        <w:t xml:space="preserve">Differentiation Policy Framework for Postsecondary Institutions </w:t>
      </w:r>
      <w:r w:rsidRPr="00235A56">
        <w:rPr>
          <w:rFonts w:ascii="Helvetica" w:hAnsi="Helvetica" w:cs="Helvetica"/>
          <w:sz w:val="22"/>
          <w:szCs w:val="22"/>
        </w:rPr>
        <w:t>(MTCU</w:t>
      </w:r>
      <w:r w:rsidR="00245430" w:rsidRPr="00235A56">
        <w:rPr>
          <w:rFonts w:ascii="Helvetica" w:hAnsi="Helvetica" w:cs="Helvetica"/>
          <w:sz w:val="22"/>
          <w:szCs w:val="22"/>
        </w:rPr>
        <w:t>,</w:t>
      </w:r>
      <w:r w:rsidRPr="00235A56">
        <w:rPr>
          <w:rFonts w:ascii="Helvetica" w:hAnsi="Helvetica" w:cs="Helvetica"/>
          <w:sz w:val="22"/>
          <w:szCs w:val="22"/>
        </w:rPr>
        <w:t xml:space="preserve"> 2013). The aim of this policy initiative was to use institutional differentiation as a lever for supporting student success and access, increase global competitiveness, build on existing strengths of institutions and maintaining efficiency and sustainability of the Ontario higher education system. </w:t>
      </w:r>
    </w:p>
    <w:p w:rsidR="00B835F2" w:rsidRPr="00235A56" w:rsidRDefault="00B835F2" w:rsidP="00E367D3">
      <w:pPr>
        <w:rPr>
          <w:rFonts w:ascii="Helvetica" w:hAnsi="Helvetica" w:cs="Helvetica"/>
          <w:sz w:val="22"/>
          <w:szCs w:val="22"/>
        </w:rPr>
      </w:pPr>
      <w:r w:rsidRPr="00235A56">
        <w:rPr>
          <w:rFonts w:ascii="Helvetica" w:hAnsi="Helvetica" w:cs="Helvetica"/>
          <w:sz w:val="22"/>
          <w:szCs w:val="22"/>
        </w:rPr>
        <w:t xml:space="preserve">As part of this initiative, each </w:t>
      </w:r>
      <w:r w:rsidR="00201F4C" w:rsidRPr="00235A56">
        <w:rPr>
          <w:rFonts w:ascii="Helvetica" w:hAnsi="Helvetica" w:cs="Helvetica"/>
          <w:sz w:val="22"/>
          <w:szCs w:val="22"/>
        </w:rPr>
        <w:t xml:space="preserve">publicly funded </w:t>
      </w:r>
      <w:r w:rsidRPr="00235A56">
        <w:rPr>
          <w:rFonts w:ascii="Helvetica" w:hAnsi="Helvetica" w:cs="Helvetica"/>
          <w:sz w:val="22"/>
          <w:szCs w:val="22"/>
        </w:rPr>
        <w:t>higher education provider signed a Strategic Mandate Agreement (SMA) with the Ontario government detailing the role an institution will play in the higher education system. The following metrics were applied in the first SMA, based on the differentiation framework: 1) Jobs Innovation and Economic Development 2) Teaching and Learning 3) Student Population 4) Research and Graduate Education 5) Program Offerings and 6) Institutional Collaboration to Support Student Mobility. In the first phase the SMA was signed for the years 2014 to 2017.</w:t>
      </w:r>
    </w:p>
    <w:p w:rsidR="00B835F2" w:rsidRPr="00235A56" w:rsidRDefault="00B835F2" w:rsidP="00E367D3">
      <w:pPr>
        <w:rPr>
          <w:rFonts w:ascii="Helvetica" w:hAnsi="Helvetica" w:cs="Helvetica"/>
          <w:sz w:val="22"/>
          <w:szCs w:val="22"/>
        </w:rPr>
      </w:pPr>
      <w:r w:rsidRPr="00235A56">
        <w:rPr>
          <w:rFonts w:ascii="Helvetica" w:hAnsi="Helvetica" w:cs="Helvetica"/>
          <w:sz w:val="22"/>
          <w:szCs w:val="22"/>
        </w:rPr>
        <w:t>The second phase of SMA has been signed for the years 2017-2020 and the metrics have been revised. The new metrics categories are 1) student experience 2) innovation in teaching and learning excellence 3) access and equity 4) research excellence an impact and 5) innovation, economic development and community engagement. In the next phase 2020-2023, a new funding model will be applied in the province, with institutions being funded based on their performance on the key metrics in SMA. Earlier in 2018, a consultation was undertaken seeking input from stakeholders on refinement of the SMA metrics and the development of the new funding mechanism linked to SMA targets (MAESD</w:t>
      </w:r>
      <w:r w:rsidR="00245430" w:rsidRPr="00235A56">
        <w:rPr>
          <w:rFonts w:ascii="Helvetica" w:hAnsi="Helvetica" w:cs="Helvetica"/>
          <w:sz w:val="22"/>
          <w:szCs w:val="22"/>
        </w:rPr>
        <w:t>,</w:t>
      </w:r>
      <w:r w:rsidRPr="00235A56">
        <w:rPr>
          <w:rFonts w:ascii="Helvetica" w:hAnsi="Helvetica" w:cs="Helvetica"/>
          <w:sz w:val="22"/>
          <w:szCs w:val="22"/>
        </w:rPr>
        <w:t xml:space="preserve"> 2018). </w:t>
      </w:r>
    </w:p>
    <w:p w:rsidR="00B835F2" w:rsidRPr="00235A56" w:rsidRDefault="00A8769F" w:rsidP="00A8769F">
      <w:pPr>
        <w:pStyle w:val="Heading2"/>
        <w:rPr>
          <w:rFonts w:ascii="Helvetica" w:hAnsi="Helvetica" w:cs="Helvetica"/>
          <w:sz w:val="24"/>
          <w:szCs w:val="24"/>
        </w:rPr>
      </w:pPr>
      <w:r w:rsidRPr="00235A56">
        <w:rPr>
          <w:rFonts w:ascii="Helvetica" w:hAnsi="Helvetica" w:cs="Helvetica"/>
          <w:sz w:val="24"/>
          <w:szCs w:val="24"/>
        </w:rPr>
        <w:t xml:space="preserve">4.6. </w:t>
      </w:r>
      <w:r w:rsidR="00B835F2" w:rsidRPr="00235A56">
        <w:rPr>
          <w:rFonts w:ascii="Helvetica" w:hAnsi="Helvetica" w:cs="Helvetica"/>
          <w:sz w:val="24"/>
          <w:szCs w:val="24"/>
        </w:rPr>
        <w:t>Germany:</w:t>
      </w:r>
      <w:r w:rsidR="00647C42" w:rsidRPr="00235A56">
        <w:rPr>
          <w:rFonts w:ascii="Helvetica" w:hAnsi="Helvetica" w:cs="Helvetica"/>
          <w:sz w:val="24"/>
          <w:szCs w:val="24"/>
        </w:rPr>
        <w:t xml:space="preserve"> </w:t>
      </w:r>
      <w:r w:rsidR="00DE7D49" w:rsidRPr="00235A56">
        <w:rPr>
          <w:rFonts w:ascii="Helvetica" w:hAnsi="Helvetica" w:cs="Helvetica"/>
          <w:sz w:val="24"/>
          <w:szCs w:val="24"/>
        </w:rPr>
        <w:t>From Excellence Initiative to Excellence Strategy</w:t>
      </w:r>
    </w:p>
    <w:p w:rsidR="00C32C1E" w:rsidRPr="00235A56" w:rsidRDefault="00C32C1E" w:rsidP="00E367D3">
      <w:pPr>
        <w:rPr>
          <w:rFonts w:ascii="Helvetica" w:hAnsi="Helvetica" w:cs="Helvetica"/>
          <w:sz w:val="22"/>
          <w:szCs w:val="22"/>
        </w:rPr>
      </w:pPr>
      <w:r w:rsidRPr="00235A56">
        <w:rPr>
          <w:rFonts w:ascii="Helvetica" w:hAnsi="Helvetica" w:cs="Helvetica"/>
          <w:sz w:val="22"/>
          <w:szCs w:val="22"/>
        </w:rPr>
        <w:t xml:space="preserve">Similar to Canada, Germany too has maintained its binary divide in the higher education sector which emerged with the establishment of </w:t>
      </w:r>
      <w:r w:rsidRPr="00235A56">
        <w:rPr>
          <w:rFonts w:ascii="Helvetica" w:hAnsi="Helvetica" w:cs="Helvetica"/>
          <w:i/>
          <w:sz w:val="22"/>
          <w:szCs w:val="22"/>
        </w:rPr>
        <w:t>universities of applied sciences</w:t>
      </w:r>
      <w:r w:rsidRPr="00235A56">
        <w:rPr>
          <w:rFonts w:ascii="Helvetica" w:hAnsi="Helvetica" w:cs="Helvetica"/>
          <w:sz w:val="22"/>
          <w:szCs w:val="22"/>
        </w:rPr>
        <w:t xml:space="preserve"> in early 1970’s. It now has three types of higher education providers; the traditional </w:t>
      </w:r>
      <w:r w:rsidRPr="00235A56">
        <w:rPr>
          <w:rFonts w:ascii="Helvetica" w:hAnsi="Helvetica" w:cs="Helvetica"/>
          <w:i/>
          <w:sz w:val="22"/>
          <w:szCs w:val="22"/>
        </w:rPr>
        <w:t>universities (</w:t>
      </w:r>
      <w:r w:rsidRPr="00235A56">
        <w:rPr>
          <w:rFonts w:ascii="Helvetica" w:hAnsi="Helvetica" w:cs="Helvetica"/>
          <w:sz w:val="22"/>
          <w:szCs w:val="22"/>
        </w:rPr>
        <w:t xml:space="preserve">only universities can confer doctoral awards), the vocationally oriented </w:t>
      </w:r>
      <w:r w:rsidRPr="00235A56">
        <w:rPr>
          <w:rFonts w:ascii="Helvetica" w:hAnsi="Helvetica" w:cs="Helvetica"/>
          <w:i/>
          <w:sz w:val="22"/>
          <w:szCs w:val="22"/>
        </w:rPr>
        <w:t>universities of applied sciences</w:t>
      </w:r>
      <w:r w:rsidRPr="00235A56">
        <w:rPr>
          <w:rFonts w:ascii="Helvetica" w:hAnsi="Helvetica" w:cs="Helvetica"/>
          <w:sz w:val="22"/>
          <w:szCs w:val="22"/>
        </w:rPr>
        <w:t xml:space="preserve"> and the </w:t>
      </w:r>
      <w:r w:rsidRPr="00235A56">
        <w:rPr>
          <w:rFonts w:ascii="Helvetica" w:hAnsi="Helvetica" w:cs="Helvetica"/>
          <w:i/>
          <w:sz w:val="22"/>
          <w:szCs w:val="22"/>
        </w:rPr>
        <w:t xml:space="preserve">colleges of art, film and music. </w:t>
      </w:r>
      <w:r w:rsidRPr="00235A56">
        <w:rPr>
          <w:rFonts w:ascii="Helvetica" w:hAnsi="Helvetica" w:cs="Helvetica"/>
          <w:sz w:val="22"/>
          <w:szCs w:val="22"/>
        </w:rPr>
        <w:t>In Germany, ‘there is no binding definition in terms of content’ for the three types of higher education providers, as well as ‘no material definition of a higher education institution’ (Wissenschaftstrat</w:t>
      </w:r>
      <w:r w:rsidR="006A21C9" w:rsidRPr="00235A56">
        <w:rPr>
          <w:rFonts w:ascii="Helvetica" w:hAnsi="Helvetica" w:cs="Helvetica"/>
          <w:sz w:val="22"/>
          <w:szCs w:val="22"/>
        </w:rPr>
        <w:t>,</w:t>
      </w:r>
      <w:r w:rsidRPr="00235A56">
        <w:rPr>
          <w:rFonts w:ascii="Helvetica" w:hAnsi="Helvetica" w:cs="Helvetica"/>
          <w:sz w:val="22"/>
          <w:szCs w:val="22"/>
        </w:rPr>
        <w:t xml:space="preserve"> 2010</w:t>
      </w:r>
      <w:r w:rsidR="006A21C9" w:rsidRPr="00235A56">
        <w:rPr>
          <w:rFonts w:ascii="Helvetica" w:hAnsi="Helvetica" w:cs="Helvetica"/>
          <w:sz w:val="22"/>
          <w:szCs w:val="22"/>
        </w:rPr>
        <w:t>,</w:t>
      </w:r>
      <w:r w:rsidRPr="00235A56">
        <w:rPr>
          <w:rFonts w:ascii="Helvetica" w:hAnsi="Helvetica" w:cs="Helvetica"/>
          <w:sz w:val="22"/>
          <w:szCs w:val="22"/>
        </w:rPr>
        <w:t xml:space="preserve"> </w:t>
      </w:r>
      <w:r w:rsidR="006A21C9" w:rsidRPr="00235A56">
        <w:rPr>
          <w:rFonts w:ascii="Helvetica" w:hAnsi="Helvetica" w:cs="Helvetica"/>
          <w:sz w:val="22"/>
          <w:szCs w:val="22"/>
        </w:rPr>
        <w:t>p.</w:t>
      </w:r>
      <w:r w:rsidRPr="00235A56">
        <w:rPr>
          <w:rFonts w:ascii="Helvetica" w:hAnsi="Helvetica" w:cs="Helvetica"/>
          <w:sz w:val="22"/>
          <w:szCs w:val="22"/>
        </w:rPr>
        <w:t>34). Higher education providers are either state-maintained (receiving public funding by the state), or state-recognized.</w:t>
      </w:r>
    </w:p>
    <w:p w:rsidR="00C32C1E" w:rsidRPr="00235A56" w:rsidRDefault="00C32C1E" w:rsidP="00E367D3">
      <w:pPr>
        <w:rPr>
          <w:rFonts w:ascii="Helvetica" w:hAnsi="Helvetica" w:cs="Helvetica"/>
          <w:sz w:val="22"/>
          <w:szCs w:val="22"/>
        </w:rPr>
      </w:pPr>
      <w:r w:rsidRPr="00235A56">
        <w:rPr>
          <w:rFonts w:ascii="Helvetica" w:hAnsi="Helvetica" w:cs="Helvetica"/>
          <w:sz w:val="22"/>
          <w:szCs w:val="22"/>
        </w:rPr>
        <w:t>In 1976, the Higher Education Framework Act (</w:t>
      </w:r>
      <w:r w:rsidRPr="00235A56">
        <w:rPr>
          <w:rFonts w:ascii="Helvetica" w:hAnsi="Helvetica" w:cs="Helvetica"/>
          <w:i/>
          <w:sz w:val="22"/>
          <w:szCs w:val="22"/>
        </w:rPr>
        <w:t>Hochschulrahmengesetz -HRG)</w:t>
      </w:r>
      <w:r w:rsidRPr="00235A56">
        <w:rPr>
          <w:rFonts w:ascii="Helvetica" w:hAnsi="Helvetica" w:cs="Helvetica"/>
          <w:sz w:val="22"/>
          <w:szCs w:val="22"/>
        </w:rPr>
        <w:t xml:space="preserve"> was introduced to harmonize the federally structured German higher education system (Huther</w:t>
      </w:r>
      <w:r w:rsidR="00460B89" w:rsidRPr="00235A56">
        <w:rPr>
          <w:rFonts w:ascii="Helvetica" w:hAnsi="Helvetica" w:cs="Helvetica"/>
          <w:sz w:val="22"/>
          <w:szCs w:val="22"/>
        </w:rPr>
        <w:t xml:space="preserve"> </w:t>
      </w:r>
      <w:r w:rsidRPr="00235A56">
        <w:rPr>
          <w:rFonts w:ascii="Helvetica" w:hAnsi="Helvetica" w:cs="Helvetica"/>
          <w:sz w:val="22"/>
          <w:szCs w:val="22"/>
        </w:rPr>
        <w:t>&amp;</w:t>
      </w:r>
      <w:r w:rsidR="007C07D4" w:rsidRPr="00235A56">
        <w:rPr>
          <w:rFonts w:ascii="Helvetica" w:hAnsi="Helvetica" w:cs="Helvetica"/>
          <w:sz w:val="22"/>
          <w:szCs w:val="22"/>
        </w:rPr>
        <w:t xml:space="preserve"> </w:t>
      </w:r>
      <w:r w:rsidRPr="00235A56">
        <w:rPr>
          <w:rFonts w:ascii="Helvetica" w:hAnsi="Helvetica" w:cs="Helvetica"/>
          <w:sz w:val="22"/>
          <w:szCs w:val="22"/>
        </w:rPr>
        <w:t>Krucken</w:t>
      </w:r>
      <w:r w:rsidR="006A21C9" w:rsidRPr="00235A56">
        <w:rPr>
          <w:rFonts w:ascii="Helvetica" w:hAnsi="Helvetica" w:cs="Helvetica"/>
          <w:sz w:val="22"/>
          <w:szCs w:val="22"/>
        </w:rPr>
        <w:t>,</w:t>
      </w:r>
      <w:r w:rsidRPr="00235A56">
        <w:rPr>
          <w:rFonts w:ascii="Helvetica" w:hAnsi="Helvetica" w:cs="Helvetica"/>
          <w:sz w:val="22"/>
          <w:szCs w:val="22"/>
        </w:rPr>
        <w:t xml:space="preserve"> 2018).</w:t>
      </w:r>
      <w:r w:rsidR="00DF7848" w:rsidRPr="00235A56">
        <w:rPr>
          <w:rFonts w:ascii="Helvetica" w:hAnsi="Helvetica" w:cs="Helvetica"/>
          <w:sz w:val="22"/>
          <w:szCs w:val="22"/>
        </w:rPr>
        <w:t xml:space="preserve"> </w:t>
      </w:r>
      <w:r w:rsidRPr="00235A56">
        <w:rPr>
          <w:rFonts w:ascii="Helvetica" w:hAnsi="Helvetica" w:cs="Helvetica"/>
          <w:sz w:val="22"/>
          <w:szCs w:val="22"/>
        </w:rPr>
        <w:t>The states had powers to legislate on higher education, but within the parameters provided by the HRG (Pritchard</w:t>
      </w:r>
      <w:r w:rsidR="006A21C9" w:rsidRPr="00235A56">
        <w:rPr>
          <w:rFonts w:ascii="Helvetica" w:hAnsi="Helvetica" w:cs="Helvetica"/>
          <w:sz w:val="22"/>
          <w:szCs w:val="22"/>
        </w:rPr>
        <w:t>,</w:t>
      </w:r>
      <w:r w:rsidRPr="00235A56">
        <w:rPr>
          <w:rFonts w:ascii="Helvetica" w:hAnsi="Helvetica" w:cs="Helvetica"/>
          <w:sz w:val="22"/>
          <w:szCs w:val="22"/>
        </w:rPr>
        <w:t xml:space="preserve"> 2006). These powers included the authority to define tasks of different institution types (Teichler</w:t>
      </w:r>
      <w:r w:rsidR="006A21C9" w:rsidRPr="00235A56">
        <w:rPr>
          <w:rFonts w:ascii="Helvetica" w:hAnsi="Helvetica" w:cs="Helvetica"/>
          <w:sz w:val="22"/>
          <w:szCs w:val="22"/>
        </w:rPr>
        <w:t>,</w:t>
      </w:r>
      <w:r w:rsidRPr="00235A56">
        <w:rPr>
          <w:rFonts w:ascii="Helvetica" w:hAnsi="Helvetica" w:cs="Helvetica"/>
          <w:sz w:val="22"/>
          <w:szCs w:val="22"/>
        </w:rPr>
        <w:t xml:space="preserve"> 1996).</w:t>
      </w:r>
      <w:r w:rsidR="00DF7848" w:rsidRPr="00235A56">
        <w:rPr>
          <w:rFonts w:ascii="Helvetica" w:hAnsi="Helvetica" w:cs="Helvetica"/>
          <w:sz w:val="22"/>
          <w:szCs w:val="22"/>
        </w:rPr>
        <w:t xml:space="preserve"> </w:t>
      </w:r>
      <w:r w:rsidRPr="00235A56">
        <w:rPr>
          <w:rFonts w:ascii="Helvetica" w:hAnsi="Helvetica" w:cs="Helvetica"/>
          <w:sz w:val="22"/>
          <w:szCs w:val="22"/>
        </w:rPr>
        <w:t xml:space="preserve">The HRG had since been revised </w:t>
      </w:r>
      <w:r w:rsidRPr="00235A56">
        <w:rPr>
          <w:rFonts w:ascii="Helvetica" w:hAnsi="Helvetica" w:cs="Helvetica"/>
          <w:sz w:val="22"/>
          <w:szCs w:val="22"/>
        </w:rPr>
        <w:lastRenderedPageBreak/>
        <w:t>several times however, after the establishment of the new federal system in 2006, it was abolished. The federal state now only has the power to make legislation on admissions into higher education institutions and degrees from higher education institutions (KMK</w:t>
      </w:r>
      <w:r w:rsidR="006A21C9" w:rsidRPr="00235A56">
        <w:rPr>
          <w:rFonts w:ascii="Helvetica" w:hAnsi="Helvetica" w:cs="Helvetica"/>
          <w:sz w:val="22"/>
          <w:szCs w:val="22"/>
        </w:rPr>
        <w:t>,</w:t>
      </w:r>
      <w:r w:rsidRPr="00235A56">
        <w:rPr>
          <w:rFonts w:ascii="Helvetica" w:hAnsi="Helvetica" w:cs="Helvetica"/>
          <w:sz w:val="22"/>
          <w:szCs w:val="22"/>
        </w:rPr>
        <w:t xml:space="preserve"> 2015). </w:t>
      </w:r>
    </w:p>
    <w:p w:rsidR="00C32C1E" w:rsidRPr="00235A56" w:rsidRDefault="00C32C1E" w:rsidP="00E367D3">
      <w:pPr>
        <w:rPr>
          <w:rFonts w:ascii="Helvetica" w:hAnsi="Helvetica" w:cs="Helvetica"/>
          <w:sz w:val="22"/>
          <w:szCs w:val="22"/>
        </w:rPr>
      </w:pPr>
      <w:r w:rsidRPr="00235A56">
        <w:rPr>
          <w:rFonts w:ascii="Helvetica" w:hAnsi="Helvetica" w:cs="Helvetica"/>
          <w:sz w:val="22"/>
          <w:szCs w:val="22"/>
        </w:rPr>
        <w:t>The most significant structural reform focused on institutional differentiation without doubt has been the Excellence Initiative (EI), initiated in 2005. The EI is aimed at promoting “top-level research and to improve the quality of German universities and research institutions in general, thus making Germany a more attractive research location, making it more internationally competitive and focussing attention on the outstanding achievements of German universities and the German scientific community.” (DFG</w:t>
      </w:r>
      <w:r w:rsidR="006A21C9" w:rsidRPr="00235A56">
        <w:rPr>
          <w:rFonts w:ascii="Helvetica" w:hAnsi="Helvetica" w:cs="Helvetica"/>
          <w:sz w:val="22"/>
          <w:szCs w:val="22"/>
        </w:rPr>
        <w:t>,</w:t>
      </w:r>
      <w:r w:rsidR="00F92578" w:rsidRPr="00235A56">
        <w:rPr>
          <w:rFonts w:ascii="Helvetica" w:hAnsi="Helvetica" w:cs="Helvetica"/>
          <w:sz w:val="22"/>
          <w:szCs w:val="22"/>
        </w:rPr>
        <w:t xml:space="preserve"> 2018</w:t>
      </w:r>
      <w:r w:rsidR="000D0F42" w:rsidRPr="00235A56">
        <w:rPr>
          <w:rFonts w:ascii="Helvetica" w:hAnsi="Helvetica" w:cs="Helvetica"/>
          <w:sz w:val="22"/>
          <w:szCs w:val="22"/>
        </w:rPr>
        <w:t>a</w:t>
      </w:r>
      <w:r w:rsidRPr="00235A56">
        <w:rPr>
          <w:rFonts w:ascii="Helvetica" w:hAnsi="Helvetica" w:cs="Helvetica"/>
          <w:sz w:val="22"/>
          <w:szCs w:val="22"/>
        </w:rPr>
        <w:t xml:space="preserve">). The program has been a joint initiative of Federal and State governments and is coordinated by the German Research Council (DFG) and the Council of Science and Humanities (WR). </w:t>
      </w:r>
    </w:p>
    <w:p w:rsidR="00C32C1E" w:rsidRPr="00235A56" w:rsidRDefault="00C32C1E" w:rsidP="00E367D3">
      <w:pPr>
        <w:rPr>
          <w:rFonts w:ascii="Helvetica" w:hAnsi="Helvetica" w:cs="Helvetica"/>
          <w:sz w:val="22"/>
          <w:szCs w:val="22"/>
        </w:rPr>
      </w:pPr>
      <w:r w:rsidRPr="00235A56">
        <w:rPr>
          <w:rFonts w:ascii="Helvetica" w:hAnsi="Helvetica" w:cs="Helvetica"/>
          <w:sz w:val="22"/>
          <w:szCs w:val="22"/>
        </w:rPr>
        <w:t>The EI has run in two phases: 2005-2012 and 2012-2017. In Phase 1 proposals were developed during 2006-07 and 85 institutions selected and funded for five years across three program lines: graduate schools to train junior researchers (39), clusters of excellence (universities in co-operation with non-university research institutes) to advance basic research (37), and “institutional strategies” through which “entire universities seek to continue positioning themselves in the international domain” (9) (DFG</w:t>
      </w:r>
      <w:r w:rsidR="006A21C9" w:rsidRPr="00235A56">
        <w:rPr>
          <w:rFonts w:ascii="Helvetica" w:hAnsi="Helvetica" w:cs="Helvetica"/>
          <w:sz w:val="22"/>
          <w:szCs w:val="22"/>
        </w:rPr>
        <w:t>,</w:t>
      </w:r>
      <w:r w:rsidR="00C06629" w:rsidRPr="00235A56">
        <w:rPr>
          <w:rFonts w:ascii="Helvetica" w:hAnsi="Helvetica" w:cs="Helvetica"/>
          <w:sz w:val="22"/>
          <w:szCs w:val="22"/>
        </w:rPr>
        <w:t xml:space="preserve"> </w:t>
      </w:r>
      <w:r w:rsidRPr="00235A56">
        <w:rPr>
          <w:rFonts w:ascii="Helvetica" w:hAnsi="Helvetica" w:cs="Helvetica"/>
          <w:sz w:val="22"/>
          <w:szCs w:val="22"/>
        </w:rPr>
        <w:t>2013</w:t>
      </w:r>
      <w:r w:rsidR="006A21C9" w:rsidRPr="00235A56">
        <w:rPr>
          <w:rFonts w:ascii="Helvetica" w:hAnsi="Helvetica" w:cs="Helvetica"/>
          <w:sz w:val="22"/>
          <w:szCs w:val="22"/>
        </w:rPr>
        <w:t>,</w:t>
      </w:r>
      <w:r w:rsidR="00C06629" w:rsidRPr="00235A56">
        <w:rPr>
          <w:rFonts w:ascii="Helvetica" w:hAnsi="Helvetica" w:cs="Helvetica"/>
          <w:sz w:val="22"/>
          <w:szCs w:val="22"/>
        </w:rPr>
        <w:t xml:space="preserve"> </w:t>
      </w:r>
      <w:r w:rsidR="006A21C9" w:rsidRPr="00235A56">
        <w:rPr>
          <w:rFonts w:ascii="Helvetica" w:hAnsi="Helvetica" w:cs="Helvetica"/>
          <w:sz w:val="22"/>
          <w:szCs w:val="22"/>
        </w:rPr>
        <w:t>p.</w:t>
      </w:r>
      <w:r w:rsidR="00F1734C" w:rsidRPr="00235A56">
        <w:rPr>
          <w:rFonts w:ascii="Helvetica" w:hAnsi="Helvetica" w:cs="Helvetica"/>
          <w:sz w:val="22"/>
          <w:szCs w:val="22"/>
        </w:rPr>
        <w:t>15</w:t>
      </w:r>
      <w:r w:rsidRPr="00235A56">
        <w:rPr>
          <w:rFonts w:ascii="Helvetica" w:hAnsi="Helvetica" w:cs="Helvetica"/>
          <w:sz w:val="22"/>
          <w:szCs w:val="22"/>
        </w:rPr>
        <w:t>). Federal and State governments provided a budget of 1.9 billion Euro to fund successful projects until the end of 2012.</w:t>
      </w:r>
      <w:r w:rsidR="00DF7848" w:rsidRPr="00235A56">
        <w:rPr>
          <w:rFonts w:ascii="Helvetica" w:hAnsi="Helvetica" w:cs="Helvetica"/>
          <w:sz w:val="22"/>
          <w:szCs w:val="22"/>
        </w:rPr>
        <w:t xml:space="preserve"> </w:t>
      </w:r>
      <w:r w:rsidRPr="00235A56">
        <w:rPr>
          <w:rFonts w:ascii="Helvetica" w:hAnsi="Helvetica" w:cs="Helvetica"/>
          <w:sz w:val="22"/>
          <w:szCs w:val="22"/>
        </w:rPr>
        <w:t>Phase 2 continued this approach from mid-2009 onwards with selection and funding from 2012 onwards. A total of 45 Graduate Schools were selected (33 continuations, 12 new), 43 Clusters of Excellence (31 continued, 12 new) and 11 institutional strategies (6 continued, 5 new) for a total of 2.4 billion Euros up to end 2017.</w:t>
      </w:r>
    </w:p>
    <w:p w:rsidR="00C32C1E" w:rsidRPr="00235A56" w:rsidRDefault="00C32C1E" w:rsidP="00E367D3">
      <w:pPr>
        <w:rPr>
          <w:rFonts w:ascii="Helvetica" w:hAnsi="Helvetica" w:cs="Helvetica"/>
          <w:sz w:val="22"/>
          <w:szCs w:val="22"/>
        </w:rPr>
      </w:pPr>
      <w:r w:rsidRPr="00235A56">
        <w:rPr>
          <w:rFonts w:ascii="Helvetica" w:hAnsi="Helvetica" w:cs="Helvetica"/>
          <w:sz w:val="22"/>
          <w:szCs w:val="22"/>
        </w:rPr>
        <w:t>Following a formal international expert evaluation of the Excellence Initiative in 2016 (the Imboden Commission) the program was continued as the Excellence Strategy with the aim “strengthen Germany’s position as an outstanding place for research in the long term and further improve its international competitiveness.” (DFG</w:t>
      </w:r>
      <w:r w:rsidR="006A21C9" w:rsidRPr="00235A56">
        <w:rPr>
          <w:rFonts w:ascii="Helvetica" w:hAnsi="Helvetica" w:cs="Helvetica"/>
          <w:sz w:val="22"/>
          <w:szCs w:val="22"/>
        </w:rPr>
        <w:t>,</w:t>
      </w:r>
      <w:r w:rsidR="000D0F42" w:rsidRPr="00235A56">
        <w:rPr>
          <w:rFonts w:ascii="Helvetica" w:hAnsi="Helvetica" w:cs="Helvetica"/>
          <w:sz w:val="22"/>
          <w:szCs w:val="22"/>
        </w:rPr>
        <w:t xml:space="preserve"> 2018b</w:t>
      </w:r>
      <w:r w:rsidRPr="00235A56">
        <w:rPr>
          <w:rFonts w:ascii="Helvetica" w:hAnsi="Helvetica" w:cs="Helvetica"/>
          <w:sz w:val="22"/>
          <w:szCs w:val="22"/>
        </w:rPr>
        <w:t xml:space="preserve">). The Excellence Strategy targets two program lines: clusters of excellence and universities of excellence with selection to be completed in 2018 for a 2019 funding start. Total funding is expected to be around 533 million Euro per annum (385 for Clusters and 148 for Universities). </w:t>
      </w:r>
    </w:p>
    <w:p w:rsidR="00B835F2" w:rsidRPr="00235A56" w:rsidRDefault="00A8769F" w:rsidP="00A8769F">
      <w:pPr>
        <w:pStyle w:val="Heading2"/>
        <w:rPr>
          <w:rFonts w:ascii="Helvetica" w:hAnsi="Helvetica" w:cs="Helvetica"/>
          <w:sz w:val="24"/>
          <w:szCs w:val="24"/>
        </w:rPr>
      </w:pPr>
      <w:r w:rsidRPr="00235A56">
        <w:rPr>
          <w:rFonts w:ascii="Helvetica" w:hAnsi="Helvetica" w:cs="Helvetica"/>
          <w:sz w:val="24"/>
          <w:szCs w:val="24"/>
        </w:rPr>
        <w:t xml:space="preserve">4.7. </w:t>
      </w:r>
      <w:r w:rsidR="00B835F2" w:rsidRPr="00235A56">
        <w:rPr>
          <w:rFonts w:ascii="Helvetica" w:hAnsi="Helvetica" w:cs="Helvetica"/>
          <w:sz w:val="24"/>
          <w:szCs w:val="24"/>
        </w:rPr>
        <w:t>Netherlands:</w:t>
      </w:r>
      <w:r w:rsidR="00DE7D49" w:rsidRPr="00235A56">
        <w:rPr>
          <w:rFonts w:ascii="Helvetica" w:hAnsi="Helvetica" w:cs="Helvetica"/>
          <w:sz w:val="24"/>
          <w:szCs w:val="24"/>
        </w:rPr>
        <w:t xml:space="preserve"> From Performance Agreements to Quality Agreements </w:t>
      </w:r>
    </w:p>
    <w:p w:rsidR="00191224" w:rsidRPr="00235A56" w:rsidRDefault="00DE7D49" w:rsidP="00E367D3">
      <w:pPr>
        <w:rPr>
          <w:rFonts w:ascii="Helvetica" w:hAnsi="Helvetica" w:cs="Helvetica"/>
          <w:sz w:val="22"/>
          <w:szCs w:val="22"/>
        </w:rPr>
      </w:pPr>
      <w:r w:rsidRPr="00235A56">
        <w:rPr>
          <w:rFonts w:ascii="Helvetica" w:hAnsi="Helvetica" w:cs="Helvetica"/>
          <w:sz w:val="22"/>
          <w:szCs w:val="22"/>
        </w:rPr>
        <w:t xml:space="preserve">The Netherlands has a binary tertiary education system consisting of research universities and universities of applied science. </w:t>
      </w:r>
      <w:r w:rsidR="00191224" w:rsidRPr="00235A56">
        <w:rPr>
          <w:rFonts w:ascii="Helvetica" w:hAnsi="Helvetica" w:cs="Helvetica"/>
          <w:sz w:val="22"/>
          <w:szCs w:val="22"/>
        </w:rPr>
        <w:t xml:space="preserve">The research university sector is the smaller of the two, containing 18 universities, including the Open University and four small theological/humanistic universities. The university of applied science </w:t>
      </w:r>
      <w:r w:rsidR="00F246C5" w:rsidRPr="00235A56">
        <w:rPr>
          <w:rFonts w:ascii="Helvetica" w:hAnsi="Helvetica" w:cs="Helvetica"/>
          <w:sz w:val="22"/>
          <w:szCs w:val="22"/>
        </w:rPr>
        <w:t xml:space="preserve">(UAS) </w:t>
      </w:r>
      <w:r w:rsidR="00191224" w:rsidRPr="00235A56">
        <w:rPr>
          <w:rFonts w:ascii="Helvetica" w:hAnsi="Helvetica" w:cs="Helvetica"/>
          <w:sz w:val="22"/>
          <w:szCs w:val="22"/>
        </w:rPr>
        <w:t>sector consists of 36 institutions with a more regional and education focus, although over the last ten years their practice-based research function has evolved with a focus on the SME sector.</w:t>
      </w:r>
    </w:p>
    <w:p w:rsidR="00F246C5" w:rsidRPr="00235A56" w:rsidRDefault="00191224" w:rsidP="00E367D3">
      <w:pPr>
        <w:rPr>
          <w:rFonts w:ascii="Helvetica" w:hAnsi="Helvetica" w:cs="Helvetica"/>
          <w:sz w:val="22"/>
          <w:szCs w:val="22"/>
        </w:rPr>
      </w:pPr>
      <w:r w:rsidRPr="00235A56">
        <w:rPr>
          <w:rFonts w:ascii="Helvetica" w:hAnsi="Helvetica" w:cs="Helvetica"/>
          <w:sz w:val="22"/>
          <w:szCs w:val="22"/>
        </w:rPr>
        <w:t xml:space="preserve">Following a national stock take report of the strengths and weaknesses of the tertiary sector in 2010, a further strengthening of institutional profiles and increased system diversity was promoted through the introduction of performance agreements across both sectors. The basic principle was </w:t>
      </w:r>
      <w:r w:rsidR="00F246C5" w:rsidRPr="00235A56">
        <w:rPr>
          <w:rFonts w:ascii="Helvetica" w:hAnsi="Helvetica" w:cs="Helvetica"/>
          <w:sz w:val="22"/>
          <w:szCs w:val="22"/>
        </w:rPr>
        <w:t>that 7</w:t>
      </w:r>
      <w:r w:rsidR="009239AD" w:rsidRPr="00235A56">
        <w:rPr>
          <w:rFonts w:ascii="Helvetica" w:hAnsi="Helvetica" w:cs="Helvetica"/>
          <w:sz w:val="22"/>
          <w:szCs w:val="22"/>
        </w:rPr>
        <w:t xml:space="preserve"> </w:t>
      </w:r>
      <w:r w:rsidR="00631025" w:rsidRPr="00235A56">
        <w:rPr>
          <w:rFonts w:ascii="Helvetica" w:hAnsi="Helvetica" w:cs="Helvetica"/>
          <w:sz w:val="22"/>
          <w:szCs w:val="22"/>
        </w:rPr>
        <w:t>per cent</w:t>
      </w:r>
      <w:r w:rsidR="00F246C5" w:rsidRPr="00235A56">
        <w:rPr>
          <w:rFonts w:ascii="Helvetica" w:hAnsi="Helvetica" w:cs="Helvetica"/>
          <w:sz w:val="22"/>
          <w:szCs w:val="22"/>
        </w:rPr>
        <w:t xml:space="preserve"> of base public funding (amounting to MEuro 130 for the research universities and MEuro 170 for the UAS sector) was made conditional on achieving an agreed upon set of performance targets. If these targets were not achieved, the government could reduce institutional funding by a discretionary amount of the 7</w:t>
      </w:r>
      <w:r w:rsidR="009239AD" w:rsidRPr="00235A56">
        <w:rPr>
          <w:rFonts w:ascii="Helvetica" w:hAnsi="Helvetica" w:cs="Helvetica"/>
          <w:sz w:val="22"/>
          <w:szCs w:val="22"/>
        </w:rPr>
        <w:t xml:space="preserve"> </w:t>
      </w:r>
      <w:r w:rsidR="00631025" w:rsidRPr="00235A56">
        <w:rPr>
          <w:rFonts w:ascii="Helvetica" w:hAnsi="Helvetica" w:cs="Helvetica"/>
          <w:sz w:val="22"/>
          <w:szCs w:val="22"/>
        </w:rPr>
        <w:t>per cent</w:t>
      </w:r>
      <w:r w:rsidR="00F246C5" w:rsidRPr="00235A56">
        <w:rPr>
          <w:rFonts w:ascii="Helvetica" w:hAnsi="Helvetica" w:cs="Helvetica"/>
          <w:sz w:val="22"/>
          <w:szCs w:val="22"/>
        </w:rPr>
        <w:t>. Performance agreements were effective for the period 2012-2016 and subject to periodical monitoring and end of program full evaluation. A Review Committee was established for monitoring and evaluation purposes, supplemented by an independent expert evaluation.</w:t>
      </w:r>
    </w:p>
    <w:p w:rsidR="00F246C5" w:rsidRPr="00235A56" w:rsidRDefault="00F246C5" w:rsidP="00E367D3">
      <w:pPr>
        <w:rPr>
          <w:rFonts w:ascii="Helvetica" w:hAnsi="Helvetica" w:cs="Helvetica"/>
          <w:sz w:val="22"/>
          <w:szCs w:val="22"/>
        </w:rPr>
      </w:pPr>
      <w:r w:rsidRPr="00235A56">
        <w:rPr>
          <w:rFonts w:ascii="Helvetica" w:hAnsi="Helvetica" w:cs="Helvetica"/>
          <w:sz w:val="22"/>
          <w:szCs w:val="22"/>
        </w:rPr>
        <w:t xml:space="preserve">The focus for the performance agreements was student success and educational quality, for which a set of indicators was agreed upon. Prominent in these were completion rates and </w:t>
      </w:r>
      <w:r w:rsidRPr="00235A56">
        <w:rPr>
          <w:rFonts w:ascii="Helvetica" w:hAnsi="Helvetica" w:cs="Helvetica"/>
          <w:sz w:val="22"/>
          <w:szCs w:val="22"/>
        </w:rPr>
        <w:lastRenderedPageBreak/>
        <w:t xml:space="preserve">dropout rates. Intentions and ambitions regarding institutional profiling and further differentiation were stated in more qualitative terms. </w:t>
      </w:r>
    </w:p>
    <w:p w:rsidR="004755E9" w:rsidRPr="00235A56" w:rsidRDefault="004755E9" w:rsidP="00353191">
      <w:pPr>
        <w:ind w:left="720"/>
        <w:rPr>
          <w:rFonts w:ascii="Helvetica" w:hAnsi="Helvetica" w:cs="Helvetica"/>
          <w:i/>
          <w:sz w:val="22"/>
          <w:szCs w:val="22"/>
        </w:rPr>
      </w:pPr>
      <w:r w:rsidRPr="00235A56">
        <w:rPr>
          <w:rFonts w:ascii="Helvetica" w:hAnsi="Helvetica" w:cs="Helvetica"/>
          <w:i/>
          <w:sz w:val="22"/>
          <w:szCs w:val="22"/>
        </w:rPr>
        <w:t>The Review Committee “concluded that many research universities had achieved substantial</w:t>
      </w:r>
      <w:r w:rsidR="00D5686D" w:rsidRPr="00235A56">
        <w:rPr>
          <w:rFonts w:ascii="Helvetica" w:hAnsi="Helvetica" w:cs="Helvetica"/>
          <w:i/>
          <w:sz w:val="22"/>
          <w:szCs w:val="22"/>
        </w:rPr>
        <w:t xml:space="preserve"> </w:t>
      </w:r>
      <w:r w:rsidRPr="00235A56">
        <w:rPr>
          <w:rFonts w:ascii="Helvetica" w:hAnsi="Helvetica" w:cs="Helvetica"/>
          <w:i/>
          <w:sz w:val="22"/>
          <w:szCs w:val="22"/>
        </w:rPr>
        <w:t>success in reducing dropout and increasing completion rate</w:t>
      </w:r>
      <w:r w:rsidR="00D5686D" w:rsidRPr="00235A56">
        <w:rPr>
          <w:rFonts w:ascii="Helvetica" w:hAnsi="Helvetica" w:cs="Helvetica"/>
          <w:i/>
          <w:sz w:val="22"/>
          <w:szCs w:val="22"/>
        </w:rPr>
        <w:t xml:space="preserve">s. The average completion </w:t>
      </w:r>
      <w:r w:rsidRPr="00235A56">
        <w:rPr>
          <w:rFonts w:ascii="Helvetica" w:hAnsi="Helvetica" w:cs="Helvetica"/>
          <w:i/>
          <w:sz w:val="22"/>
          <w:szCs w:val="22"/>
        </w:rPr>
        <w:t xml:space="preserve">rates in universities had risen from 60 to </w:t>
      </w:r>
      <w:r w:rsidR="00D5686D" w:rsidRPr="00235A56">
        <w:rPr>
          <w:rFonts w:ascii="Helvetica" w:hAnsi="Helvetica" w:cs="Helvetica"/>
          <w:i/>
          <w:sz w:val="22"/>
          <w:szCs w:val="22"/>
        </w:rPr>
        <w:t>74</w:t>
      </w:r>
      <w:r w:rsidR="00975163" w:rsidRPr="00235A56">
        <w:rPr>
          <w:rFonts w:ascii="Helvetica" w:hAnsi="Helvetica" w:cs="Helvetica"/>
          <w:i/>
          <w:sz w:val="22"/>
          <w:szCs w:val="22"/>
        </w:rPr>
        <w:t xml:space="preserve"> </w:t>
      </w:r>
      <w:r w:rsidR="00631025" w:rsidRPr="00235A56">
        <w:rPr>
          <w:rFonts w:ascii="Helvetica" w:hAnsi="Helvetica" w:cs="Helvetica"/>
          <w:i/>
          <w:sz w:val="22"/>
          <w:szCs w:val="22"/>
        </w:rPr>
        <w:t>per cent</w:t>
      </w:r>
      <w:r w:rsidR="00D5686D" w:rsidRPr="00235A56">
        <w:rPr>
          <w:rFonts w:ascii="Helvetica" w:hAnsi="Helvetica" w:cs="Helvetica"/>
          <w:i/>
          <w:sz w:val="22"/>
          <w:szCs w:val="22"/>
        </w:rPr>
        <w:t xml:space="preserve">, and dropout rates declined </w:t>
      </w:r>
      <w:r w:rsidRPr="00235A56">
        <w:rPr>
          <w:rFonts w:ascii="Helvetica" w:hAnsi="Helvetica" w:cs="Helvetica"/>
          <w:i/>
          <w:sz w:val="22"/>
          <w:szCs w:val="22"/>
        </w:rPr>
        <w:t>from 17 to 15</w:t>
      </w:r>
      <w:r w:rsidR="00975163" w:rsidRPr="00235A56">
        <w:rPr>
          <w:rFonts w:ascii="Helvetica" w:hAnsi="Helvetica" w:cs="Helvetica"/>
          <w:i/>
          <w:sz w:val="22"/>
          <w:szCs w:val="22"/>
        </w:rPr>
        <w:t xml:space="preserve"> </w:t>
      </w:r>
      <w:r w:rsidR="00631025" w:rsidRPr="00235A56">
        <w:rPr>
          <w:rFonts w:ascii="Helvetica" w:hAnsi="Helvetica" w:cs="Helvetica"/>
          <w:i/>
          <w:sz w:val="22"/>
          <w:szCs w:val="22"/>
        </w:rPr>
        <w:t>per cent</w:t>
      </w:r>
      <w:r w:rsidRPr="00235A56">
        <w:rPr>
          <w:rFonts w:ascii="Helvetica" w:hAnsi="Helvetica" w:cs="Helvetica"/>
          <w:i/>
          <w:sz w:val="22"/>
          <w:szCs w:val="22"/>
        </w:rPr>
        <w:t>. In professional higher education (i.</w:t>
      </w:r>
      <w:r w:rsidR="00D5686D" w:rsidRPr="00235A56">
        <w:rPr>
          <w:rFonts w:ascii="Helvetica" w:hAnsi="Helvetica" w:cs="Helvetica"/>
          <w:i/>
          <w:sz w:val="22"/>
          <w:szCs w:val="22"/>
        </w:rPr>
        <w:t xml:space="preserve">e. the UASs), major efforts had </w:t>
      </w:r>
      <w:r w:rsidRPr="00235A56">
        <w:rPr>
          <w:rFonts w:ascii="Helvetica" w:hAnsi="Helvetica" w:cs="Helvetica"/>
          <w:i/>
          <w:sz w:val="22"/>
          <w:szCs w:val="22"/>
        </w:rPr>
        <w:t>been undertaken to achieve the targets set in the performance agreement</w:t>
      </w:r>
      <w:r w:rsidR="00D5686D" w:rsidRPr="00235A56">
        <w:rPr>
          <w:rFonts w:ascii="Helvetica" w:hAnsi="Helvetica" w:cs="Helvetica"/>
          <w:i/>
          <w:sz w:val="22"/>
          <w:szCs w:val="22"/>
        </w:rPr>
        <w:t xml:space="preserve">s; </w:t>
      </w:r>
      <w:r w:rsidRPr="00235A56">
        <w:rPr>
          <w:rFonts w:ascii="Helvetica" w:hAnsi="Helvetica" w:cs="Helvetica"/>
          <w:i/>
          <w:sz w:val="22"/>
          <w:szCs w:val="22"/>
        </w:rPr>
        <w:t xml:space="preserve">nonetheless, some of the UASs had failed in their </w:t>
      </w:r>
      <w:r w:rsidR="00D5686D" w:rsidRPr="00235A56">
        <w:rPr>
          <w:rFonts w:ascii="Helvetica" w:hAnsi="Helvetica" w:cs="Helvetica"/>
          <w:i/>
          <w:sz w:val="22"/>
          <w:szCs w:val="22"/>
        </w:rPr>
        <w:t xml:space="preserve">attempts to improve completion. </w:t>
      </w:r>
      <w:r w:rsidRPr="00235A56">
        <w:rPr>
          <w:rFonts w:ascii="Helvetica" w:hAnsi="Helvetica" w:cs="Helvetica"/>
          <w:i/>
          <w:sz w:val="22"/>
          <w:szCs w:val="22"/>
        </w:rPr>
        <w:t>The average completion rate in UASs fell from 70 to 67</w:t>
      </w:r>
      <w:r w:rsidR="00975163" w:rsidRPr="00235A56">
        <w:rPr>
          <w:rFonts w:ascii="Helvetica" w:hAnsi="Helvetica" w:cs="Helvetica"/>
          <w:i/>
          <w:sz w:val="22"/>
          <w:szCs w:val="22"/>
        </w:rPr>
        <w:t xml:space="preserve"> </w:t>
      </w:r>
      <w:r w:rsidR="00631025" w:rsidRPr="00235A56">
        <w:rPr>
          <w:rFonts w:ascii="Helvetica" w:hAnsi="Helvetica" w:cs="Helvetica"/>
          <w:i/>
          <w:sz w:val="22"/>
          <w:szCs w:val="22"/>
        </w:rPr>
        <w:t>per cent</w:t>
      </w:r>
      <w:r w:rsidRPr="00235A56">
        <w:rPr>
          <w:rFonts w:ascii="Helvetica" w:hAnsi="Helvetica" w:cs="Helvetica"/>
          <w:i/>
          <w:sz w:val="22"/>
          <w:szCs w:val="22"/>
        </w:rPr>
        <w:t>. However, dropout was</w:t>
      </w:r>
      <w:r w:rsidR="00D5686D" w:rsidRPr="00235A56">
        <w:rPr>
          <w:rFonts w:ascii="Helvetica" w:hAnsi="Helvetica" w:cs="Helvetica"/>
          <w:i/>
          <w:sz w:val="22"/>
          <w:szCs w:val="22"/>
        </w:rPr>
        <w:t xml:space="preserve"> </w:t>
      </w:r>
      <w:r w:rsidRPr="00235A56">
        <w:rPr>
          <w:rFonts w:ascii="Helvetica" w:hAnsi="Helvetica" w:cs="Helvetica"/>
          <w:i/>
          <w:sz w:val="22"/>
          <w:szCs w:val="22"/>
        </w:rPr>
        <w:t>pushed back slightly, from 27 to 25.6</w:t>
      </w:r>
      <w:r w:rsidR="00975163" w:rsidRPr="00235A56">
        <w:rPr>
          <w:rFonts w:ascii="Helvetica" w:hAnsi="Helvetica" w:cs="Helvetica"/>
          <w:i/>
          <w:sz w:val="22"/>
          <w:szCs w:val="22"/>
        </w:rPr>
        <w:t xml:space="preserve"> </w:t>
      </w:r>
      <w:r w:rsidR="00631025" w:rsidRPr="00235A56">
        <w:rPr>
          <w:rFonts w:ascii="Helvetica" w:hAnsi="Helvetica" w:cs="Helvetica"/>
          <w:i/>
          <w:sz w:val="22"/>
          <w:szCs w:val="22"/>
        </w:rPr>
        <w:t>per cent</w:t>
      </w:r>
      <w:r w:rsidRPr="00235A56">
        <w:rPr>
          <w:rFonts w:ascii="Helvetica" w:hAnsi="Helvetica" w:cs="Helvetica"/>
          <w:i/>
          <w:sz w:val="22"/>
          <w:szCs w:val="22"/>
        </w:rPr>
        <w:t>” (Jongbloed et al., 2018</w:t>
      </w:r>
      <w:r w:rsidR="005977BD" w:rsidRPr="00235A56">
        <w:rPr>
          <w:rFonts w:ascii="Helvetica" w:hAnsi="Helvetica" w:cs="Helvetica"/>
          <w:i/>
          <w:sz w:val="22"/>
          <w:szCs w:val="22"/>
        </w:rPr>
        <w:t>, 678</w:t>
      </w:r>
      <w:r w:rsidRPr="00235A56">
        <w:rPr>
          <w:rFonts w:ascii="Helvetica" w:hAnsi="Helvetica" w:cs="Helvetica"/>
          <w:i/>
          <w:sz w:val="22"/>
          <w:szCs w:val="22"/>
        </w:rPr>
        <w:t>).</w:t>
      </w:r>
    </w:p>
    <w:p w:rsidR="004755E9" w:rsidRPr="00235A56" w:rsidRDefault="004755E9" w:rsidP="00E367D3">
      <w:pPr>
        <w:rPr>
          <w:rFonts w:ascii="Helvetica" w:hAnsi="Helvetica" w:cs="Helvetica"/>
          <w:sz w:val="22"/>
          <w:szCs w:val="22"/>
        </w:rPr>
      </w:pPr>
      <w:r w:rsidRPr="00235A56">
        <w:rPr>
          <w:rFonts w:ascii="Helvetica" w:hAnsi="Helvetica" w:cs="Helvetica"/>
          <w:sz w:val="22"/>
          <w:szCs w:val="22"/>
        </w:rPr>
        <w:t>As a consequence of the outcomes, six UASs were financially penalized, but only to 50</w:t>
      </w:r>
      <w:r w:rsidR="009239AD" w:rsidRPr="00235A56">
        <w:rPr>
          <w:rFonts w:ascii="Helvetica" w:hAnsi="Helvetica" w:cs="Helvetica"/>
          <w:sz w:val="22"/>
          <w:szCs w:val="22"/>
        </w:rPr>
        <w:t xml:space="preserve"> </w:t>
      </w:r>
      <w:r w:rsidR="00631025" w:rsidRPr="00235A56">
        <w:rPr>
          <w:rFonts w:ascii="Helvetica" w:hAnsi="Helvetica" w:cs="Helvetica"/>
          <w:sz w:val="22"/>
          <w:szCs w:val="22"/>
        </w:rPr>
        <w:t>per cent</w:t>
      </w:r>
      <w:r w:rsidRPr="00235A56">
        <w:rPr>
          <w:rFonts w:ascii="Helvetica" w:hAnsi="Helvetica" w:cs="Helvetica"/>
          <w:sz w:val="22"/>
          <w:szCs w:val="22"/>
        </w:rPr>
        <w:t xml:space="preserve"> of the maximum penalty to reflect their improvement efforts (</w:t>
      </w:r>
      <w:r w:rsidR="00F3154E" w:rsidRPr="00235A56">
        <w:rPr>
          <w:rFonts w:ascii="Helvetica" w:hAnsi="Helvetica" w:cs="Helvetica"/>
          <w:sz w:val="22"/>
          <w:szCs w:val="22"/>
        </w:rPr>
        <w:t>Jongbloed et al.</w:t>
      </w:r>
      <w:r w:rsidR="00C06629" w:rsidRPr="00235A56">
        <w:rPr>
          <w:rFonts w:ascii="Helvetica" w:hAnsi="Helvetica" w:cs="Helvetica"/>
          <w:sz w:val="22"/>
          <w:szCs w:val="22"/>
        </w:rPr>
        <w:t xml:space="preserve">, </w:t>
      </w:r>
      <w:r w:rsidR="00F3154E" w:rsidRPr="00235A56">
        <w:rPr>
          <w:rFonts w:ascii="Helvetica" w:hAnsi="Helvetica" w:cs="Helvetica"/>
          <w:sz w:val="22"/>
          <w:szCs w:val="22"/>
        </w:rPr>
        <w:t>2018</w:t>
      </w:r>
      <w:r w:rsidRPr="00235A56">
        <w:rPr>
          <w:rFonts w:ascii="Helvetica" w:hAnsi="Helvetica" w:cs="Helvetica"/>
          <w:sz w:val="22"/>
          <w:szCs w:val="22"/>
        </w:rPr>
        <w:t>). With respect to the objectives of furthering institutional differentiation, the Review Committee concluded that the institutions “had undertaken substantial efforts</w:t>
      </w:r>
      <w:r w:rsidR="00D5686D" w:rsidRPr="00235A56">
        <w:rPr>
          <w:rFonts w:ascii="Helvetica" w:hAnsi="Helvetica" w:cs="Helvetica"/>
          <w:sz w:val="22"/>
          <w:szCs w:val="22"/>
        </w:rPr>
        <w:t xml:space="preserve"> for institutional profiling in </w:t>
      </w:r>
      <w:r w:rsidRPr="00235A56">
        <w:rPr>
          <w:rFonts w:ascii="Helvetica" w:hAnsi="Helvetica" w:cs="Helvetica"/>
          <w:sz w:val="22"/>
          <w:szCs w:val="22"/>
        </w:rPr>
        <w:t>the areas of education, research, and knowledge valo</w:t>
      </w:r>
      <w:r w:rsidR="00D5686D" w:rsidRPr="00235A56">
        <w:rPr>
          <w:rFonts w:ascii="Helvetica" w:hAnsi="Helvetica" w:cs="Helvetica"/>
          <w:sz w:val="22"/>
          <w:szCs w:val="22"/>
        </w:rPr>
        <w:t xml:space="preserve">risation, but that their impact </w:t>
      </w:r>
      <w:r w:rsidRPr="00235A56">
        <w:rPr>
          <w:rFonts w:ascii="Helvetica" w:hAnsi="Helvetica" w:cs="Helvetica"/>
          <w:sz w:val="22"/>
          <w:szCs w:val="22"/>
        </w:rPr>
        <w:t>was not yet visible in terms of its diversity indicators.” (</w:t>
      </w:r>
      <w:r w:rsidR="00F3154E" w:rsidRPr="00235A56">
        <w:rPr>
          <w:rFonts w:ascii="Helvetica" w:hAnsi="Helvetica" w:cs="Helvetica"/>
          <w:sz w:val="22"/>
          <w:szCs w:val="22"/>
        </w:rPr>
        <w:t>Jongbloed et al., 2018</w:t>
      </w:r>
      <w:r w:rsidRPr="00235A56">
        <w:rPr>
          <w:rFonts w:ascii="Helvetica" w:hAnsi="Helvetica" w:cs="Helvetica"/>
          <w:sz w:val="22"/>
          <w:szCs w:val="22"/>
        </w:rPr>
        <w:t>).</w:t>
      </w:r>
    </w:p>
    <w:p w:rsidR="00631025" w:rsidRPr="00235A56" w:rsidRDefault="004755E9" w:rsidP="00E367D3">
      <w:pPr>
        <w:rPr>
          <w:rFonts w:ascii="Helvetica" w:hAnsi="Helvetica" w:cs="Helvetica"/>
          <w:sz w:val="22"/>
          <w:szCs w:val="22"/>
        </w:rPr>
      </w:pPr>
      <w:r w:rsidRPr="00235A56">
        <w:rPr>
          <w:rFonts w:ascii="Helvetica" w:hAnsi="Helvetica" w:cs="Helvetica"/>
          <w:sz w:val="22"/>
          <w:szCs w:val="22"/>
        </w:rPr>
        <w:t>The outcomes of the performance agreements policy initiative were by and large confirmed by the independent end of program evaluation. Despite some critique from the institutions relating to bureaucratic overload and intrusion, the public response has been largely positive. Subsequent political discussions</w:t>
      </w:r>
      <w:r w:rsidR="003A2CEA" w:rsidRPr="00235A56">
        <w:rPr>
          <w:rFonts w:ascii="Helvetica" w:hAnsi="Helvetica" w:cs="Helvetica"/>
          <w:sz w:val="22"/>
          <w:szCs w:val="22"/>
        </w:rPr>
        <w:t>, including with the universities and key industry bodies, reinforced the notion that the focus of quality improvements</w:t>
      </w:r>
      <w:r w:rsidRPr="00235A56">
        <w:rPr>
          <w:rFonts w:ascii="Helvetica" w:hAnsi="Helvetica" w:cs="Helvetica"/>
          <w:sz w:val="22"/>
          <w:szCs w:val="22"/>
        </w:rPr>
        <w:t xml:space="preserve"> </w:t>
      </w:r>
      <w:r w:rsidR="003A2CEA" w:rsidRPr="00235A56">
        <w:rPr>
          <w:rFonts w:ascii="Helvetica" w:hAnsi="Helvetica" w:cs="Helvetica"/>
          <w:sz w:val="22"/>
          <w:szCs w:val="22"/>
        </w:rPr>
        <w:t>was the cornerstone of the initiative, resulting in an agreement to continue the process, relabelled as “Quality Agreements”. These agreements currently are being negotiated.</w:t>
      </w:r>
    </w:p>
    <w:p w:rsidR="00631025" w:rsidRPr="00235A56" w:rsidRDefault="00A8769F" w:rsidP="00A8769F">
      <w:pPr>
        <w:pStyle w:val="Heading2"/>
        <w:rPr>
          <w:rFonts w:ascii="Helvetica" w:hAnsi="Helvetica" w:cs="Helvetica"/>
          <w:sz w:val="24"/>
          <w:szCs w:val="24"/>
        </w:rPr>
      </w:pPr>
      <w:r w:rsidRPr="00235A56">
        <w:rPr>
          <w:rFonts w:ascii="Helvetica" w:hAnsi="Helvetica" w:cs="Helvetica"/>
          <w:sz w:val="24"/>
          <w:szCs w:val="24"/>
        </w:rPr>
        <w:t xml:space="preserve">4.8. </w:t>
      </w:r>
      <w:r w:rsidR="00631025" w:rsidRPr="00235A56">
        <w:rPr>
          <w:rFonts w:ascii="Helvetica" w:hAnsi="Helvetica" w:cs="Helvetica"/>
          <w:sz w:val="24"/>
          <w:szCs w:val="24"/>
        </w:rPr>
        <w:t>Japan</w:t>
      </w:r>
    </w:p>
    <w:p w:rsidR="00631025" w:rsidRPr="00235A56" w:rsidRDefault="00631025" w:rsidP="00E367D3">
      <w:pPr>
        <w:rPr>
          <w:rFonts w:ascii="Helvetica" w:hAnsi="Helvetica" w:cs="Helvetica"/>
          <w:sz w:val="22"/>
          <w:szCs w:val="22"/>
        </w:rPr>
      </w:pPr>
      <w:r w:rsidRPr="00235A56">
        <w:rPr>
          <w:rFonts w:ascii="Helvetica" w:hAnsi="Helvetica" w:cs="Helvetica"/>
          <w:sz w:val="22"/>
          <w:szCs w:val="22"/>
        </w:rPr>
        <w:t>The first universities in Japan were established in between 1868 and 1939 and are often called imperial universities. After the World War II, the university system in Japan was reformed in 1949, moving from a European type to an American type system. Universities were established in every prefecture/state and all national, public and private universities were granted the university status, resulting in the imperial universities losing their special privileged positions as universities (Yonezawa</w:t>
      </w:r>
      <w:r w:rsidR="006A21C9" w:rsidRPr="00235A56">
        <w:rPr>
          <w:rFonts w:ascii="Helvetica" w:hAnsi="Helvetica" w:cs="Helvetica"/>
          <w:sz w:val="22"/>
          <w:szCs w:val="22"/>
        </w:rPr>
        <w:t>,</w:t>
      </w:r>
      <w:r w:rsidRPr="00235A56">
        <w:rPr>
          <w:rFonts w:ascii="Helvetica" w:hAnsi="Helvetica" w:cs="Helvetica"/>
          <w:sz w:val="22"/>
          <w:szCs w:val="22"/>
        </w:rPr>
        <w:t>2007).Meanwhile for those pre-war post-secondary institutions that did not meet minimum government requirements for a university status, a compromise was reached and they were allowed to call themselves ‘junior colleges’ as opposed to ‘senior high schools’. (Kambayashi</w:t>
      </w:r>
      <w:r w:rsidR="006A21C9" w:rsidRPr="00235A56">
        <w:rPr>
          <w:rFonts w:ascii="Helvetica" w:hAnsi="Helvetica" w:cs="Helvetica"/>
          <w:sz w:val="22"/>
          <w:szCs w:val="22"/>
        </w:rPr>
        <w:t>,</w:t>
      </w:r>
      <w:r w:rsidRPr="00235A56">
        <w:rPr>
          <w:rFonts w:ascii="Helvetica" w:hAnsi="Helvetica" w:cs="Helvetica"/>
          <w:sz w:val="22"/>
          <w:szCs w:val="22"/>
        </w:rPr>
        <w:t xml:space="preserve"> 1981). Special training colleges were opened in 1976. At present, there are four types of higher education institutions in Japan: Universities (including those with Graduate Schools), Junior Colleges, Colleges of Technology and specialized training colleges. The institutions can be further categorised as National, Public (prefecture/state) and Private based on their legal status. </w:t>
      </w:r>
    </w:p>
    <w:p w:rsidR="00631025" w:rsidRPr="00235A56" w:rsidRDefault="00631025" w:rsidP="00E367D3">
      <w:pPr>
        <w:rPr>
          <w:rFonts w:ascii="Helvetica" w:hAnsi="Helvetica" w:cs="Helvetica"/>
          <w:sz w:val="22"/>
          <w:szCs w:val="22"/>
        </w:rPr>
      </w:pPr>
      <w:r w:rsidRPr="00235A56">
        <w:rPr>
          <w:rFonts w:ascii="Helvetica" w:hAnsi="Helvetica" w:cs="Helvetica"/>
          <w:sz w:val="22"/>
          <w:szCs w:val="22"/>
        </w:rPr>
        <w:t>The earliest call for an official classification and categorisation of higher education providers in Japan was made in 1971 by an advisory body to the Minister of Education, the Central Council for Education (CCE), which was met with widespread criticism (Kitagawa and Oba</w:t>
      </w:r>
      <w:r w:rsidR="006A21C9" w:rsidRPr="00235A56">
        <w:rPr>
          <w:rFonts w:ascii="Helvetica" w:hAnsi="Helvetica" w:cs="Helvetica"/>
          <w:sz w:val="22"/>
          <w:szCs w:val="22"/>
        </w:rPr>
        <w:t>,</w:t>
      </w:r>
      <w:r w:rsidRPr="00235A56">
        <w:rPr>
          <w:rFonts w:ascii="Helvetica" w:hAnsi="Helvetica" w:cs="Helvetica"/>
          <w:sz w:val="22"/>
          <w:szCs w:val="22"/>
        </w:rPr>
        <w:t xml:space="preserve"> 2010). In 2005, CCE proposed a policy of ‘functional differentiation’. Over the years various government reports have proposed official categorization of Japanese institutions, however to date there is no official classification (Murasawa et al</w:t>
      </w:r>
      <w:r w:rsidR="00C06629" w:rsidRPr="00235A56">
        <w:rPr>
          <w:rFonts w:ascii="Helvetica" w:hAnsi="Helvetica" w:cs="Helvetica"/>
          <w:sz w:val="22"/>
          <w:szCs w:val="22"/>
        </w:rPr>
        <w:t>.</w:t>
      </w:r>
      <w:r w:rsidR="006A21C9" w:rsidRPr="00235A56">
        <w:rPr>
          <w:rFonts w:ascii="Helvetica" w:hAnsi="Helvetica" w:cs="Helvetica"/>
          <w:sz w:val="22"/>
          <w:szCs w:val="22"/>
        </w:rPr>
        <w:t>,</w:t>
      </w:r>
      <w:r w:rsidRPr="00235A56">
        <w:rPr>
          <w:rFonts w:ascii="Helvetica" w:hAnsi="Helvetica" w:cs="Helvetica"/>
          <w:sz w:val="22"/>
          <w:szCs w:val="22"/>
        </w:rPr>
        <w:t xml:space="preserve"> 2014). However, similar to China, Japan has also used a policy of preferential financial treatment to increase competition. For example, the 21</w:t>
      </w:r>
      <w:r w:rsidRPr="00235A56">
        <w:rPr>
          <w:rFonts w:ascii="Helvetica" w:hAnsi="Helvetica" w:cs="Helvetica"/>
          <w:sz w:val="22"/>
          <w:szCs w:val="22"/>
          <w:vertAlign w:val="superscript"/>
        </w:rPr>
        <w:t>st</w:t>
      </w:r>
      <w:r w:rsidR="00393DCC" w:rsidRPr="00235A56">
        <w:rPr>
          <w:rFonts w:ascii="Helvetica" w:hAnsi="Helvetica" w:cs="Helvetica"/>
          <w:sz w:val="22"/>
          <w:szCs w:val="22"/>
        </w:rPr>
        <w:t xml:space="preserve"> COE (Center of Excellence) programme</w:t>
      </w:r>
      <w:r w:rsidRPr="00235A56">
        <w:rPr>
          <w:rFonts w:ascii="Helvetica" w:hAnsi="Helvetica" w:cs="Helvetica"/>
          <w:sz w:val="22"/>
          <w:szCs w:val="22"/>
        </w:rPr>
        <w:t xml:space="preserve"> announced in 2001, aimed at identifying the top 30 universities based on performance and research potential (Kitagawa and Oba</w:t>
      </w:r>
      <w:r w:rsidR="006A21C9" w:rsidRPr="00235A56">
        <w:rPr>
          <w:rFonts w:ascii="Helvetica" w:hAnsi="Helvetica" w:cs="Helvetica"/>
          <w:sz w:val="22"/>
          <w:szCs w:val="22"/>
        </w:rPr>
        <w:t>,</w:t>
      </w:r>
      <w:r w:rsidRPr="00235A56">
        <w:rPr>
          <w:rFonts w:ascii="Helvetica" w:hAnsi="Helvetica" w:cs="Helvetica"/>
          <w:sz w:val="22"/>
          <w:szCs w:val="22"/>
        </w:rPr>
        <w:t xml:space="preserve"> 2010). This program was replaced with the Global COE programme which further concentrated research funding in a smaller number of universities as compared to 21</w:t>
      </w:r>
      <w:r w:rsidRPr="00235A56">
        <w:rPr>
          <w:rFonts w:ascii="Helvetica" w:hAnsi="Helvetica" w:cs="Helvetica"/>
          <w:sz w:val="22"/>
          <w:szCs w:val="22"/>
          <w:vertAlign w:val="superscript"/>
        </w:rPr>
        <w:t>st</w:t>
      </w:r>
      <w:r w:rsidRPr="00235A56">
        <w:rPr>
          <w:rFonts w:ascii="Helvetica" w:hAnsi="Helvetica" w:cs="Helvetica"/>
          <w:sz w:val="22"/>
          <w:szCs w:val="22"/>
        </w:rPr>
        <w:t xml:space="preserve"> COE. (Kitagawa and Oba</w:t>
      </w:r>
      <w:r w:rsidR="006A21C9" w:rsidRPr="00235A56">
        <w:rPr>
          <w:rFonts w:ascii="Helvetica" w:hAnsi="Helvetica" w:cs="Helvetica"/>
          <w:sz w:val="22"/>
          <w:szCs w:val="22"/>
        </w:rPr>
        <w:t>,</w:t>
      </w:r>
      <w:r w:rsidRPr="00235A56">
        <w:rPr>
          <w:rFonts w:ascii="Helvetica" w:hAnsi="Helvetica" w:cs="Helvetica"/>
          <w:sz w:val="22"/>
          <w:szCs w:val="22"/>
        </w:rPr>
        <w:t xml:space="preserve"> 2010).</w:t>
      </w:r>
    </w:p>
    <w:p w:rsidR="00B835F2" w:rsidRPr="00235A56" w:rsidRDefault="00B835F2" w:rsidP="00E367D3">
      <w:pPr>
        <w:rPr>
          <w:rFonts w:ascii="Helvetica" w:hAnsi="Helvetica" w:cs="Helvetica"/>
          <w:sz w:val="22"/>
          <w:szCs w:val="22"/>
        </w:rPr>
      </w:pPr>
    </w:p>
    <w:p w:rsidR="00B835F2" w:rsidRPr="00235A56" w:rsidRDefault="00B835F2" w:rsidP="00F72CF2">
      <w:pPr>
        <w:pStyle w:val="Heading1"/>
        <w:rPr>
          <w:rFonts w:ascii="Helvetica" w:hAnsi="Helvetica" w:cs="Helvetica"/>
          <w:sz w:val="28"/>
          <w:szCs w:val="28"/>
        </w:rPr>
      </w:pPr>
      <w:r w:rsidRPr="00235A56">
        <w:rPr>
          <w:rFonts w:ascii="Helvetica" w:hAnsi="Helvetica" w:cs="Helvetica"/>
          <w:sz w:val="28"/>
          <w:szCs w:val="28"/>
        </w:rPr>
        <w:t xml:space="preserve">Identification of issues with the </w:t>
      </w:r>
      <w:r w:rsidR="00262A4E" w:rsidRPr="00235A56">
        <w:rPr>
          <w:rFonts w:ascii="Helvetica" w:hAnsi="Helvetica" w:cs="Helvetica"/>
          <w:sz w:val="28"/>
          <w:szCs w:val="28"/>
        </w:rPr>
        <w:t>Provider Category Standards</w:t>
      </w:r>
    </w:p>
    <w:p w:rsidR="00B835F2" w:rsidRPr="00235A56" w:rsidRDefault="00B835F2" w:rsidP="00E367D3">
      <w:pPr>
        <w:rPr>
          <w:rFonts w:ascii="Helvetica" w:hAnsi="Helvetica" w:cs="Helvetica"/>
          <w:sz w:val="22"/>
          <w:szCs w:val="22"/>
        </w:rPr>
      </w:pPr>
      <w:r w:rsidRPr="00235A56">
        <w:rPr>
          <w:rFonts w:ascii="Helvetica" w:hAnsi="Helvetica" w:cs="Helvetica"/>
          <w:sz w:val="22"/>
          <w:szCs w:val="22"/>
        </w:rPr>
        <w:t xml:space="preserve">The scan of research and international practice highlights the importance of careful design for categorisation schemes as they have a significant function in providing information to students and communities, as well as a role in supporting institutional differentiation. These functions can be amplified where higher education providers are classified as part of the regulatory regime. How categorisation is undertaken can play a part in incentivising </w:t>
      </w:r>
      <w:r w:rsidR="00490D6D" w:rsidRPr="00235A56">
        <w:rPr>
          <w:rFonts w:ascii="Helvetica" w:hAnsi="Helvetica" w:cs="Helvetica"/>
          <w:sz w:val="22"/>
          <w:szCs w:val="22"/>
        </w:rPr>
        <w:t>greater</w:t>
      </w:r>
      <w:r w:rsidR="00DF7848" w:rsidRPr="00235A56">
        <w:rPr>
          <w:rFonts w:ascii="Helvetica" w:hAnsi="Helvetica" w:cs="Helvetica"/>
          <w:sz w:val="22"/>
          <w:szCs w:val="22"/>
        </w:rPr>
        <w:t xml:space="preserve"> </w:t>
      </w:r>
      <w:r w:rsidRPr="00235A56">
        <w:rPr>
          <w:rFonts w:ascii="Helvetica" w:hAnsi="Helvetica" w:cs="Helvetica"/>
          <w:sz w:val="22"/>
          <w:szCs w:val="22"/>
        </w:rPr>
        <w:t xml:space="preserve">diversity in activity, mission and focus. </w:t>
      </w:r>
    </w:p>
    <w:p w:rsidR="00B835F2" w:rsidRPr="00235A56" w:rsidRDefault="00B835F2" w:rsidP="00E367D3">
      <w:pPr>
        <w:rPr>
          <w:rFonts w:ascii="Helvetica" w:hAnsi="Helvetica" w:cs="Helvetica"/>
          <w:sz w:val="22"/>
          <w:szCs w:val="22"/>
        </w:rPr>
      </w:pPr>
      <w:r w:rsidRPr="00235A56">
        <w:rPr>
          <w:rFonts w:ascii="Helvetica" w:hAnsi="Helvetica" w:cs="Helvetica"/>
          <w:sz w:val="22"/>
          <w:szCs w:val="22"/>
        </w:rPr>
        <w:t>In addition to the research on current international practice, targeted consultation</w:t>
      </w:r>
      <w:r w:rsidR="00393DCC" w:rsidRPr="00235A56">
        <w:rPr>
          <w:rFonts w:ascii="Helvetica" w:hAnsi="Helvetica" w:cs="Helvetica"/>
          <w:sz w:val="22"/>
          <w:szCs w:val="22"/>
        </w:rPr>
        <w:t>s</w:t>
      </w:r>
      <w:r w:rsidRPr="00235A56">
        <w:rPr>
          <w:rFonts w:ascii="Helvetica" w:hAnsi="Helvetica" w:cs="Helvetica"/>
          <w:sz w:val="22"/>
          <w:szCs w:val="22"/>
        </w:rPr>
        <w:t xml:space="preserve"> </w:t>
      </w:r>
      <w:r w:rsidR="0059418E" w:rsidRPr="00235A56">
        <w:rPr>
          <w:rFonts w:ascii="Helvetica" w:hAnsi="Helvetica" w:cs="Helvetica"/>
          <w:sz w:val="22"/>
          <w:szCs w:val="22"/>
        </w:rPr>
        <w:t xml:space="preserve">were </w:t>
      </w:r>
      <w:r w:rsidRPr="00235A56">
        <w:rPr>
          <w:rFonts w:ascii="Helvetica" w:hAnsi="Helvetica" w:cs="Helvetica"/>
          <w:sz w:val="22"/>
          <w:szCs w:val="22"/>
        </w:rPr>
        <w:t>undertaken during July 2018 by the project team that sought to examine the following themes in the Australian context:</w:t>
      </w:r>
    </w:p>
    <w:p w:rsidR="00B835F2" w:rsidRPr="00235A56" w:rsidRDefault="00B835F2" w:rsidP="00E367D3">
      <w:pPr>
        <w:pStyle w:val="ListParagraph"/>
        <w:numPr>
          <w:ilvl w:val="0"/>
          <w:numId w:val="3"/>
        </w:numPr>
        <w:rPr>
          <w:rFonts w:ascii="Helvetica" w:hAnsi="Helvetica" w:cs="Helvetica"/>
        </w:rPr>
      </w:pPr>
      <w:r w:rsidRPr="00235A56">
        <w:rPr>
          <w:rFonts w:ascii="Helvetica" w:hAnsi="Helvetica" w:cs="Helvetica"/>
        </w:rPr>
        <w:t xml:space="preserve">the delineation of universities from non-universities, </w:t>
      </w:r>
    </w:p>
    <w:p w:rsidR="00B835F2" w:rsidRPr="00235A56" w:rsidRDefault="00B835F2" w:rsidP="00E367D3">
      <w:pPr>
        <w:pStyle w:val="ListParagraph"/>
        <w:numPr>
          <w:ilvl w:val="1"/>
          <w:numId w:val="3"/>
        </w:numPr>
        <w:rPr>
          <w:rFonts w:ascii="Helvetica" w:hAnsi="Helvetica" w:cs="Helvetica"/>
        </w:rPr>
      </w:pPr>
      <w:r w:rsidRPr="00235A56">
        <w:rPr>
          <w:rFonts w:ascii="Helvetica" w:hAnsi="Helvetica" w:cs="Helvetica"/>
        </w:rPr>
        <w:t xml:space="preserve">with reference to the obligation of registered higher education providers to continue to meet the Threshold Standards irrespective of their category, </w:t>
      </w:r>
    </w:p>
    <w:p w:rsidR="00B835F2" w:rsidRPr="00235A56" w:rsidRDefault="00B835F2" w:rsidP="00E367D3">
      <w:pPr>
        <w:pStyle w:val="ListParagraph"/>
        <w:numPr>
          <w:ilvl w:val="1"/>
          <w:numId w:val="3"/>
        </w:numPr>
        <w:rPr>
          <w:rFonts w:ascii="Helvetica" w:hAnsi="Helvetica" w:cs="Helvetica"/>
        </w:rPr>
      </w:pPr>
      <w:r w:rsidRPr="00235A56">
        <w:rPr>
          <w:rFonts w:ascii="Helvetica" w:hAnsi="Helvetica" w:cs="Helvetica"/>
        </w:rPr>
        <w:t>and relating to providers seeking authority to self-accredit a course(s) of study they deliver;</w:t>
      </w:r>
    </w:p>
    <w:p w:rsidR="00B835F2" w:rsidRPr="00235A56" w:rsidRDefault="00B835F2" w:rsidP="00E367D3">
      <w:pPr>
        <w:pStyle w:val="ListParagraph"/>
        <w:numPr>
          <w:ilvl w:val="0"/>
          <w:numId w:val="3"/>
        </w:numPr>
        <w:rPr>
          <w:rFonts w:ascii="Helvetica" w:hAnsi="Helvetica" w:cs="Helvetica"/>
        </w:rPr>
      </w:pPr>
      <w:r w:rsidRPr="00235A56">
        <w:rPr>
          <w:rFonts w:ascii="Helvetica" w:hAnsi="Helvetica" w:cs="Helvetica"/>
        </w:rPr>
        <w:t>the relationship of the present categories to other post-secondary education, including vocational educational and training and life-long learning;</w:t>
      </w:r>
    </w:p>
    <w:p w:rsidR="00B835F2" w:rsidRPr="00235A56" w:rsidRDefault="00B835F2" w:rsidP="00E367D3">
      <w:pPr>
        <w:pStyle w:val="ListParagraph"/>
        <w:numPr>
          <w:ilvl w:val="0"/>
          <w:numId w:val="3"/>
        </w:numPr>
        <w:rPr>
          <w:rFonts w:ascii="Helvetica" w:hAnsi="Helvetica" w:cs="Helvetica"/>
        </w:rPr>
      </w:pPr>
      <w:r w:rsidRPr="00235A56">
        <w:rPr>
          <w:rFonts w:ascii="Helvetica" w:hAnsi="Helvetica" w:cs="Helvetica"/>
        </w:rPr>
        <w:t>the definition of an Australian University, the weight given to research in this definition, and how it might be refined, including a further emphasis on the role and nature of applied research;</w:t>
      </w:r>
    </w:p>
    <w:p w:rsidR="00B835F2" w:rsidRPr="00235A56" w:rsidRDefault="00B835F2" w:rsidP="00E367D3">
      <w:pPr>
        <w:pStyle w:val="ListParagraph"/>
        <w:numPr>
          <w:ilvl w:val="0"/>
          <w:numId w:val="3"/>
        </w:numPr>
        <w:rPr>
          <w:rFonts w:ascii="Helvetica" w:hAnsi="Helvetica" w:cs="Helvetica"/>
        </w:rPr>
      </w:pPr>
      <w:r w:rsidRPr="00235A56">
        <w:rPr>
          <w:rFonts w:ascii="Helvetica" w:hAnsi="Helvetica" w:cs="Helvetica"/>
        </w:rPr>
        <w:t>the possibilities for additional categories of higher education providers or further subdivision of the university categories;</w:t>
      </w:r>
    </w:p>
    <w:p w:rsidR="00B835F2" w:rsidRPr="00235A56" w:rsidRDefault="00B835F2" w:rsidP="00E367D3">
      <w:pPr>
        <w:pStyle w:val="ListParagraph"/>
        <w:numPr>
          <w:ilvl w:val="0"/>
          <w:numId w:val="3"/>
        </w:numPr>
        <w:rPr>
          <w:rFonts w:ascii="Helvetica" w:hAnsi="Helvetica" w:cs="Helvetica"/>
        </w:rPr>
      </w:pPr>
      <w:r w:rsidRPr="00235A56">
        <w:rPr>
          <w:rFonts w:ascii="Helvetica" w:hAnsi="Helvetica" w:cs="Helvetica"/>
        </w:rPr>
        <w:t xml:space="preserve">the specification and utility of the Australia University College category as part of the transition process to being categorised as an Australian University; and </w:t>
      </w:r>
    </w:p>
    <w:p w:rsidR="00B835F2" w:rsidRPr="00235A56" w:rsidRDefault="00B835F2" w:rsidP="00E367D3">
      <w:pPr>
        <w:pStyle w:val="ListParagraph"/>
        <w:numPr>
          <w:ilvl w:val="0"/>
          <w:numId w:val="3"/>
        </w:numPr>
        <w:rPr>
          <w:rFonts w:ascii="Helvetica" w:hAnsi="Helvetica" w:cs="Helvetica"/>
        </w:rPr>
      </w:pPr>
      <w:r w:rsidRPr="00235A56">
        <w:rPr>
          <w:rFonts w:ascii="Helvetica" w:hAnsi="Helvetica" w:cs="Helvetica"/>
        </w:rPr>
        <w:t>other possible approaches to the categorisation of higher education providers for regulatory purposes.</w:t>
      </w:r>
    </w:p>
    <w:p w:rsidR="00B835F2" w:rsidRPr="00235A56" w:rsidRDefault="00B835F2" w:rsidP="00E367D3">
      <w:pPr>
        <w:rPr>
          <w:rFonts w:ascii="Helvetica" w:hAnsi="Helvetica" w:cs="Helvetica"/>
          <w:sz w:val="22"/>
          <w:szCs w:val="22"/>
        </w:rPr>
      </w:pPr>
      <w:r w:rsidRPr="00235A56">
        <w:rPr>
          <w:rFonts w:ascii="Helvetica" w:hAnsi="Helvetica" w:cs="Helvetica"/>
          <w:sz w:val="22"/>
          <w:szCs w:val="22"/>
        </w:rPr>
        <w:t>Guided by these themes a number of key issues for the PCS can be identified. The following sections set these out, divided into those issue</w:t>
      </w:r>
      <w:r w:rsidR="0059418E" w:rsidRPr="00235A56">
        <w:rPr>
          <w:rFonts w:ascii="Helvetica" w:hAnsi="Helvetica" w:cs="Helvetica"/>
          <w:sz w:val="22"/>
          <w:szCs w:val="22"/>
        </w:rPr>
        <w:t>s</w:t>
      </w:r>
      <w:r w:rsidRPr="00235A56">
        <w:rPr>
          <w:rFonts w:ascii="Helvetica" w:hAnsi="Helvetica" w:cs="Helvetica"/>
          <w:sz w:val="22"/>
          <w:szCs w:val="22"/>
        </w:rPr>
        <w:t xml:space="preserve"> directly related to their operation as regulation, and a broader set of issues identified through the research literature, the scan of international practice and the results of the consultation.</w:t>
      </w:r>
    </w:p>
    <w:p w:rsidR="00B835F2" w:rsidRPr="00235A56" w:rsidRDefault="00B835F2" w:rsidP="00E367D3">
      <w:pPr>
        <w:rPr>
          <w:rFonts w:ascii="Helvetica" w:hAnsi="Helvetica" w:cs="Helvetica"/>
          <w:sz w:val="22"/>
          <w:szCs w:val="22"/>
        </w:rPr>
      </w:pPr>
      <w:r w:rsidRPr="00235A56">
        <w:rPr>
          <w:rFonts w:ascii="Helvetica" w:hAnsi="Helvetica" w:cs="Helvetica"/>
          <w:sz w:val="22"/>
          <w:szCs w:val="22"/>
        </w:rPr>
        <w:br w:type="page"/>
      </w:r>
    </w:p>
    <w:p w:rsidR="00B835F2" w:rsidRPr="00235A56" w:rsidRDefault="00B835F2" w:rsidP="00F72CF2">
      <w:pPr>
        <w:pStyle w:val="Heading1"/>
        <w:rPr>
          <w:rFonts w:ascii="Helvetica" w:hAnsi="Helvetica" w:cs="Helvetica"/>
          <w:sz w:val="28"/>
          <w:szCs w:val="28"/>
        </w:rPr>
      </w:pPr>
      <w:r w:rsidRPr="00235A56">
        <w:rPr>
          <w:rFonts w:ascii="Helvetica" w:hAnsi="Helvetica" w:cs="Helvetica"/>
          <w:sz w:val="28"/>
          <w:szCs w:val="28"/>
        </w:rPr>
        <w:lastRenderedPageBreak/>
        <w:t xml:space="preserve">Technical issues and inconsistencies </w:t>
      </w:r>
    </w:p>
    <w:p w:rsidR="00B835F2" w:rsidRPr="00235A56" w:rsidRDefault="00B835F2" w:rsidP="00E367D3">
      <w:pPr>
        <w:rPr>
          <w:rFonts w:ascii="Helvetica" w:hAnsi="Helvetica" w:cs="Helvetica"/>
          <w:sz w:val="22"/>
          <w:szCs w:val="22"/>
        </w:rPr>
      </w:pPr>
      <w:r w:rsidRPr="00235A56">
        <w:rPr>
          <w:rFonts w:ascii="Helvetica" w:hAnsi="Helvetica" w:cs="Helvetica"/>
          <w:sz w:val="22"/>
          <w:szCs w:val="22"/>
        </w:rPr>
        <w:t>The PCS appear largely effective as a higher education regulatory instrument in the strict sense. There is the perception by stakeholders that they are</w:t>
      </w:r>
      <w:r w:rsidR="00DF7848" w:rsidRPr="00235A56">
        <w:rPr>
          <w:rFonts w:ascii="Helvetica" w:hAnsi="Helvetica" w:cs="Helvetica"/>
          <w:sz w:val="22"/>
          <w:szCs w:val="22"/>
        </w:rPr>
        <w:t xml:space="preserve"> </w:t>
      </w:r>
      <w:r w:rsidRPr="00235A56">
        <w:rPr>
          <w:rFonts w:ascii="Helvetica" w:hAnsi="Helvetica" w:cs="Helvetica"/>
          <w:sz w:val="22"/>
          <w:szCs w:val="22"/>
        </w:rPr>
        <w:t>operating as intended as a core element of the higher education regulation. However, some stakeholders, including TEQSA, have identified specific issues with their current configuration and operation.</w:t>
      </w:r>
    </w:p>
    <w:p w:rsidR="00B835F2" w:rsidRPr="00235A56" w:rsidRDefault="00A8769F" w:rsidP="00A8769F">
      <w:pPr>
        <w:pStyle w:val="Heading2"/>
        <w:rPr>
          <w:rFonts w:ascii="Helvetica" w:hAnsi="Helvetica" w:cs="Helvetica"/>
          <w:sz w:val="24"/>
          <w:szCs w:val="24"/>
        </w:rPr>
      </w:pPr>
      <w:r w:rsidRPr="00235A56">
        <w:rPr>
          <w:rFonts w:ascii="Helvetica" w:hAnsi="Helvetica" w:cs="Helvetica"/>
          <w:sz w:val="24"/>
          <w:szCs w:val="24"/>
        </w:rPr>
        <w:t xml:space="preserve">6.1. </w:t>
      </w:r>
      <w:r w:rsidR="00B835F2" w:rsidRPr="00235A56">
        <w:rPr>
          <w:rFonts w:ascii="Helvetica" w:hAnsi="Helvetica" w:cs="Helvetica"/>
          <w:sz w:val="24"/>
          <w:szCs w:val="24"/>
        </w:rPr>
        <w:t>University categories</w:t>
      </w:r>
    </w:p>
    <w:p w:rsidR="00B835F2" w:rsidRPr="00235A56" w:rsidRDefault="00B835F2" w:rsidP="00E367D3">
      <w:pPr>
        <w:rPr>
          <w:rFonts w:ascii="Helvetica" w:hAnsi="Helvetica" w:cs="Helvetica"/>
          <w:sz w:val="22"/>
          <w:szCs w:val="22"/>
        </w:rPr>
      </w:pPr>
      <w:r w:rsidRPr="00235A56">
        <w:rPr>
          <w:rFonts w:ascii="Helvetica" w:hAnsi="Helvetica" w:cs="Helvetica"/>
          <w:sz w:val="22"/>
          <w:szCs w:val="22"/>
        </w:rPr>
        <w:t>The PCS means Australia has one of the most detailed definitions of a university as compared to other higher education systems, which is both a strength and weakness of the PCS. It is a particular formulation that in essence delineates universities from other higher education providers by virtue of the research activity that a particular provider must undertake. This does not prohibit other Higher Education Providers undertaking research, but they must still meet the same standards as universities if they do so. Despite the centrality of research to the definition</w:t>
      </w:r>
      <w:r w:rsidR="00E562B9" w:rsidRPr="00235A56">
        <w:rPr>
          <w:rFonts w:ascii="Helvetica" w:hAnsi="Helvetica" w:cs="Helvetica"/>
          <w:sz w:val="22"/>
          <w:szCs w:val="22"/>
        </w:rPr>
        <w:t>,</w:t>
      </w:r>
      <w:r w:rsidRPr="00235A56">
        <w:rPr>
          <w:rFonts w:ascii="Helvetica" w:hAnsi="Helvetica" w:cs="Helvetica"/>
          <w:sz w:val="22"/>
          <w:szCs w:val="22"/>
        </w:rPr>
        <w:t xml:space="preserve"> the HES currently do not provide detailed specifications of its quantity or quality, other than that it “leads to the creation of new knowledge and original creative endeavour at least in those broad fields of study in which Masters Degrees (Research) and Doctoral Degrees (Research) are offered” (</w:t>
      </w:r>
      <w:r w:rsidR="00393DCC" w:rsidRPr="00235A56">
        <w:rPr>
          <w:rFonts w:ascii="Helvetica" w:hAnsi="Helvetica" w:cs="Helvetica"/>
          <w:sz w:val="22"/>
          <w:szCs w:val="22"/>
        </w:rPr>
        <w:t xml:space="preserve">HESF, </w:t>
      </w:r>
      <w:r w:rsidRPr="00235A56">
        <w:rPr>
          <w:rFonts w:ascii="Helvetica" w:hAnsi="Helvetica" w:cs="Helvetica"/>
          <w:sz w:val="22"/>
          <w:szCs w:val="22"/>
        </w:rPr>
        <w:t>HES B1.2.3). While this definition does not appear to present a problem for established providers, TEQSA have identified</w:t>
      </w:r>
      <w:r w:rsidR="00DF7848" w:rsidRPr="00235A56">
        <w:rPr>
          <w:rFonts w:ascii="Helvetica" w:hAnsi="Helvetica" w:cs="Helvetica"/>
          <w:sz w:val="22"/>
          <w:szCs w:val="22"/>
        </w:rPr>
        <w:t xml:space="preserve"> </w:t>
      </w:r>
      <w:r w:rsidR="00CA1457" w:rsidRPr="00235A56">
        <w:rPr>
          <w:rFonts w:ascii="Helvetica" w:hAnsi="Helvetica" w:cs="Helvetica"/>
          <w:sz w:val="22"/>
          <w:szCs w:val="22"/>
        </w:rPr>
        <w:t xml:space="preserve">this as </w:t>
      </w:r>
      <w:r w:rsidRPr="00235A56">
        <w:rPr>
          <w:rFonts w:ascii="Helvetica" w:hAnsi="Helvetica" w:cs="Helvetica"/>
          <w:sz w:val="22"/>
          <w:szCs w:val="22"/>
        </w:rPr>
        <w:t>an important challenge in assessing quality and breadth of research for prospective providers without agreed metrics, principles or processes for guidance to protect the reputation of Australian universities. At root this shows a challenge for the HES and the PCS. On the one hand they need to be specific enough that they can ensure those using the University title are undertaking research</w:t>
      </w:r>
      <w:r w:rsidR="009A22BC" w:rsidRPr="00235A56">
        <w:rPr>
          <w:rFonts w:ascii="Helvetica" w:hAnsi="Helvetica" w:cs="Helvetica"/>
          <w:sz w:val="22"/>
          <w:szCs w:val="22"/>
        </w:rPr>
        <w:t xml:space="preserve"> that </w:t>
      </w:r>
      <w:r w:rsidRPr="00235A56">
        <w:rPr>
          <w:rFonts w:ascii="Helvetica" w:hAnsi="Helvetica" w:cs="Helvetica"/>
          <w:sz w:val="22"/>
          <w:szCs w:val="22"/>
        </w:rPr>
        <w:t>the quality and quantity of which meets the expectations of the national and international academic community</w:t>
      </w:r>
      <w:r w:rsidR="00D56F66" w:rsidRPr="00235A56">
        <w:rPr>
          <w:rFonts w:ascii="Helvetica" w:hAnsi="Helvetica" w:cs="Helvetica"/>
          <w:sz w:val="22"/>
          <w:szCs w:val="22"/>
        </w:rPr>
        <w:t>.</w:t>
      </w:r>
      <w:r w:rsidRPr="00235A56">
        <w:rPr>
          <w:rFonts w:ascii="Helvetica" w:hAnsi="Helvetica" w:cs="Helvetica"/>
          <w:sz w:val="22"/>
          <w:szCs w:val="22"/>
        </w:rPr>
        <w:t xml:space="preserve"> </w:t>
      </w:r>
      <w:r w:rsidR="00D56F66" w:rsidRPr="00235A56">
        <w:rPr>
          <w:rFonts w:ascii="Helvetica" w:hAnsi="Helvetica" w:cs="Helvetica"/>
          <w:sz w:val="22"/>
          <w:szCs w:val="22"/>
        </w:rPr>
        <w:t>O</w:t>
      </w:r>
      <w:r w:rsidRPr="00235A56">
        <w:rPr>
          <w:rFonts w:ascii="Helvetica" w:hAnsi="Helvetica" w:cs="Helvetica"/>
          <w:sz w:val="22"/>
          <w:szCs w:val="22"/>
        </w:rPr>
        <w:t xml:space="preserve">n the other </w:t>
      </w:r>
      <w:r w:rsidR="00A71838" w:rsidRPr="00235A56">
        <w:rPr>
          <w:rFonts w:ascii="Helvetica" w:hAnsi="Helvetica" w:cs="Helvetica"/>
          <w:sz w:val="22"/>
          <w:szCs w:val="22"/>
        </w:rPr>
        <w:t>hand,</w:t>
      </w:r>
      <w:r w:rsidRPr="00235A56">
        <w:rPr>
          <w:rFonts w:ascii="Helvetica" w:hAnsi="Helvetica" w:cs="Helvetica"/>
          <w:sz w:val="22"/>
          <w:szCs w:val="22"/>
        </w:rPr>
        <w:t xml:space="preserve"> they need to be flexible enough to recognise that over the course of time these expectations will necessarily change.</w:t>
      </w:r>
    </w:p>
    <w:p w:rsidR="00B835F2" w:rsidRPr="00235A56" w:rsidRDefault="00B835F2" w:rsidP="00235A56">
      <w:pPr>
        <w:rPr>
          <w:rFonts w:ascii="Helvetica" w:hAnsi="Helvetica" w:cs="Helvetica"/>
          <w:sz w:val="22"/>
          <w:szCs w:val="22"/>
        </w:rPr>
      </w:pPr>
      <w:r w:rsidRPr="00235A56">
        <w:rPr>
          <w:rFonts w:ascii="Helvetica" w:hAnsi="Helvetica" w:cs="Helvetica"/>
          <w:sz w:val="22"/>
          <w:szCs w:val="22"/>
        </w:rPr>
        <w:t>A related issue is that of the required breadth of educational offerings at a university. The university categories require different scopes of delivery of broad fields for undergraduate and postgraduate courses, as well as higher degrees by research. However, the PCS do not specify what the breadth and quantity of courses or subject</w:t>
      </w:r>
      <w:r w:rsidR="00D56F66" w:rsidRPr="00235A56">
        <w:rPr>
          <w:rFonts w:ascii="Helvetica" w:hAnsi="Helvetica" w:cs="Helvetica"/>
          <w:sz w:val="22"/>
          <w:szCs w:val="22"/>
        </w:rPr>
        <w:t>s</w:t>
      </w:r>
      <w:r w:rsidRPr="00235A56">
        <w:rPr>
          <w:rFonts w:ascii="Helvetica" w:hAnsi="Helvetica" w:cs="Helvetica"/>
          <w:sz w:val="22"/>
          <w:szCs w:val="22"/>
        </w:rPr>
        <w:t xml:space="preserve"> actually need to be</w:t>
      </w:r>
      <w:r w:rsidR="00D32AA6" w:rsidRPr="00235A56">
        <w:rPr>
          <w:rFonts w:ascii="Helvetica" w:hAnsi="Helvetica" w:cs="Helvetica"/>
          <w:sz w:val="22"/>
          <w:szCs w:val="22"/>
        </w:rPr>
        <w:t>.</w:t>
      </w:r>
      <w:r w:rsidRPr="00235A56">
        <w:rPr>
          <w:rFonts w:ascii="Helvetica" w:hAnsi="Helvetica" w:cs="Helvetica"/>
          <w:sz w:val="22"/>
          <w:szCs w:val="22"/>
        </w:rPr>
        <w:t xml:space="preserve"> </w:t>
      </w:r>
      <w:r w:rsidR="007942FB" w:rsidRPr="00235A56">
        <w:rPr>
          <w:rFonts w:ascii="Helvetica" w:hAnsi="Helvetica" w:cs="Helvetica"/>
          <w:sz w:val="22"/>
          <w:szCs w:val="22"/>
        </w:rPr>
        <w:t xml:space="preserve"> One consultee </w:t>
      </w:r>
      <w:r w:rsidRPr="00235A56">
        <w:rPr>
          <w:rFonts w:ascii="Helvetica" w:hAnsi="Helvetica" w:cs="Helvetica"/>
          <w:sz w:val="22"/>
          <w:szCs w:val="22"/>
        </w:rPr>
        <w:t>succinctly note</w:t>
      </w:r>
      <w:r w:rsidR="007942FB" w:rsidRPr="00235A56">
        <w:rPr>
          <w:rFonts w:ascii="Helvetica" w:hAnsi="Helvetica" w:cs="Helvetica"/>
          <w:sz w:val="22"/>
          <w:szCs w:val="22"/>
        </w:rPr>
        <w:t>d that on a</w:t>
      </w:r>
      <w:r w:rsidRPr="00235A56">
        <w:rPr>
          <w:rFonts w:ascii="Helvetica" w:hAnsi="Helvetica" w:cs="Helvetica"/>
          <w:sz w:val="22"/>
          <w:szCs w:val="22"/>
        </w:rPr>
        <w:t xml:space="preserve"> narrow</w:t>
      </w:r>
      <w:r w:rsidR="007942FB" w:rsidRPr="00235A56">
        <w:rPr>
          <w:rFonts w:ascii="Helvetica" w:hAnsi="Helvetica" w:cs="Helvetica"/>
          <w:sz w:val="22"/>
          <w:szCs w:val="22"/>
        </w:rPr>
        <w:t xml:space="preserve"> i</w:t>
      </w:r>
      <w:r w:rsidRPr="00235A56">
        <w:rPr>
          <w:rFonts w:ascii="Helvetica" w:hAnsi="Helvetica" w:cs="Helvetica"/>
          <w:sz w:val="22"/>
          <w:szCs w:val="22"/>
        </w:rPr>
        <w:t xml:space="preserve">nterpretation, an Australian University </w:t>
      </w:r>
      <w:r w:rsidR="007942FB" w:rsidRPr="00235A56">
        <w:rPr>
          <w:rFonts w:ascii="Helvetica" w:hAnsi="Helvetica" w:cs="Helvetica"/>
          <w:sz w:val="22"/>
          <w:szCs w:val="22"/>
        </w:rPr>
        <w:t xml:space="preserve">could </w:t>
      </w:r>
      <w:r w:rsidRPr="00235A56">
        <w:rPr>
          <w:rFonts w:ascii="Helvetica" w:hAnsi="Helvetica" w:cs="Helvetica"/>
          <w:sz w:val="22"/>
          <w:szCs w:val="22"/>
        </w:rPr>
        <w:t xml:space="preserve">meet the criterion by offering </w:t>
      </w:r>
      <w:r w:rsidR="007942FB" w:rsidRPr="00235A56">
        <w:rPr>
          <w:rFonts w:ascii="Helvetica" w:hAnsi="Helvetica" w:cs="Helvetica"/>
          <w:sz w:val="22"/>
          <w:szCs w:val="22"/>
        </w:rPr>
        <w:t xml:space="preserve">a single </w:t>
      </w:r>
      <w:r w:rsidRPr="00235A56">
        <w:rPr>
          <w:rFonts w:ascii="Helvetica" w:hAnsi="Helvetica" w:cs="Helvetica"/>
          <w:sz w:val="22"/>
          <w:szCs w:val="22"/>
        </w:rPr>
        <w:t>undergraduate and postgraduate course in each of three field</w:t>
      </w:r>
      <w:r w:rsidR="007942FB" w:rsidRPr="00235A56">
        <w:rPr>
          <w:rFonts w:ascii="Helvetica" w:hAnsi="Helvetica" w:cs="Helvetica"/>
          <w:sz w:val="22"/>
          <w:szCs w:val="22"/>
        </w:rPr>
        <w:t>s.  This, as they rightly pointed out,</w:t>
      </w:r>
      <w:r w:rsidRPr="00235A56">
        <w:rPr>
          <w:rFonts w:ascii="Helvetica" w:hAnsi="Helvetica" w:cs="Helvetica"/>
          <w:sz w:val="22"/>
          <w:szCs w:val="22"/>
        </w:rPr>
        <w:t xml:space="preserve"> would</w:t>
      </w:r>
      <w:r w:rsidR="007942FB" w:rsidRPr="00235A56">
        <w:rPr>
          <w:rFonts w:ascii="Helvetica" w:hAnsi="Helvetica" w:cs="Helvetica"/>
          <w:sz w:val="22"/>
          <w:szCs w:val="22"/>
        </w:rPr>
        <w:t xml:space="preserve"> not</w:t>
      </w:r>
      <w:r w:rsidRPr="00235A56">
        <w:rPr>
          <w:rFonts w:ascii="Helvetica" w:hAnsi="Helvetica" w:cs="Helvetica"/>
          <w:sz w:val="22"/>
          <w:szCs w:val="22"/>
        </w:rPr>
        <w:t xml:space="preserve"> meet the expectations of the academic and general communities for the scope of delivery of universities</w:t>
      </w:r>
      <w:r w:rsidR="007942FB" w:rsidRPr="00235A56">
        <w:rPr>
          <w:rFonts w:ascii="Helvetica" w:hAnsi="Helvetica" w:cs="Helvetica"/>
          <w:sz w:val="22"/>
          <w:szCs w:val="22"/>
        </w:rPr>
        <w:t>.</w:t>
      </w:r>
    </w:p>
    <w:p w:rsidR="00B835F2" w:rsidRPr="00235A56" w:rsidRDefault="00B835F2" w:rsidP="00E367D3">
      <w:pPr>
        <w:rPr>
          <w:rFonts w:ascii="Helvetica" w:hAnsi="Helvetica" w:cs="Helvetica"/>
          <w:sz w:val="22"/>
          <w:szCs w:val="22"/>
        </w:rPr>
      </w:pPr>
      <w:r w:rsidRPr="00235A56">
        <w:rPr>
          <w:rFonts w:ascii="Helvetica" w:hAnsi="Helvetica" w:cs="Helvetica"/>
          <w:sz w:val="22"/>
          <w:szCs w:val="22"/>
        </w:rPr>
        <w:t xml:space="preserve">Australia’s current universities offer a breadth of subjects, so it is unlikely that community expectations are not currently being met in regard to breadth of offerings. However, it is conceivable that a current provider, especially a new one, which was in financial trouble could dramatically reduce </w:t>
      </w:r>
      <w:r w:rsidR="00D56F66" w:rsidRPr="00235A56">
        <w:rPr>
          <w:rFonts w:ascii="Helvetica" w:hAnsi="Helvetica" w:cs="Helvetica"/>
          <w:sz w:val="22"/>
          <w:szCs w:val="22"/>
        </w:rPr>
        <w:t>its</w:t>
      </w:r>
      <w:r w:rsidRPr="00235A56">
        <w:rPr>
          <w:rFonts w:ascii="Helvetica" w:hAnsi="Helvetica" w:cs="Helvetica"/>
          <w:sz w:val="22"/>
          <w:szCs w:val="22"/>
        </w:rPr>
        <w:t xml:space="preserve"> offerings and research activity to meet the minimum required by the category and so fall below a community expectation of their activity. Notwithstanding these caveats, the present definition of an Australian University and Australian University of Specialisation are likely meeting the needs of the current providers in those categories and adequately reflect their activity. </w:t>
      </w:r>
    </w:p>
    <w:p w:rsidR="00B835F2" w:rsidRPr="00235A56" w:rsidRDefault="00B835F2" w:rsidP="00E367D3">
      <w:pPr>
        <w:rPr>
          <w:rFonts w:ascii="Helvetica" w:hAnsi="Helvetica" w:cs="Helvetica"/>
          <w:sz w:val="22"/>
          <w:szCs w:val="22"/>
        </w:rPr>
      </w:pPr>
      <w:r w:rsidRPr="00235A56">
        <w:rPr>
          <w:rFonts w:ascii="Helvetica" w:hAnsi="Helvetica" w:cs="Helvetica"/>
          <w:sz w:val="22"/>
          <w:szCs w:val="22"/>
        </w:rPr>
        <w:t>Where the difficulty in assessing the necessary breadth and quality of teaching and research as required by University categories is a more acute issue</w:t>
      </w:r>
      <w:r w:rsidR="00D56F66" w:rsidRPr="00235A56">
        <w:rPr>
          <w:rFonts w:ascii="Helvetica" w:hAnsi="Helvetica" w:cs="Helvetica"/>
          <w:sz w:val="22"/>
          <w:szCs w:val="22"/>
        </w:rPr>
        <w:t>,</w:t>
      </w:r>
      <w:r w:rsidRPr="00235A56">
        <w:rPr>
          <w:rFonts w:ascii="Helvetica" w:hAnsi="Helvetica" w:cs="Helvetica"/>
          <w:sz w:val="22"/>
          <w:szCs w:val="22"/>
        </w:rPr>
        <w:t xml:space="preserve"> is in its role in the provider life cycle, and the progression of a provider becoming a university. The broader issue is whether the PCS are fit for purpose in </w:t>
      </w:r>
      <w:r w:rsidR="00CA1457" w:rsidRPr="00235A56">
        <w:rPr>
          <w:rFonts w:ascii="Helvetica" w:hAnsi="Helvetica" w:cs="Helvetica"/>
          <w:sz w:val="22"/>
          <w:szCs w:val="22"/>
        </w:rPr>
        <w:t>relation to</w:t>
      </w:r>
      <w:r w:rsidRPr="00235A56">
        <w:rPr>
          <w:rFonts w:ascii="Helvetica" w:hAnsi="Helvetica" w:cs="Helvetica"/>
          <w:sz w:val="22"/>
          <w:szCs w:val="22"/>
        </w:rPr>
        <w:t xml:space="preserve"> self-accrediting </w:t>
      </w:r>
      <w:r w:rsidR="00D56F66" w:rsidRPr="00235A56">
        <w:rPr>
          <w:rFonts w:ascii="Helvetica" w:hAnsi="Helvetica" w:cs="Helvetica"/>
          <w:sz w:val="22"/>
          <w:szCs w:val="22"/>
        </w:rPr>
        <w:t xml:space="preserve">higher education </w:t>
      </w:r>
      <w:r w:rsidRPr="00235A56">
        <w:rPr>
          <w:rFonts w:ascii="Helvetica" w:hAnsi="Helvetica" w:cs="Helvetica"/>
          <w:sz w:val="22"/>
          <w:szCs w:val="22"/>
        </w:rPr>
        <w:t xml:space="preserve">providers wishing to gain university status as elaborated below. </w:t>
      </w:r>
    </w:p>
    <w:p w:rsidR="00B835F2" w:rsidRPr="00235A56" w:rsidRDefault="00A8769F" w:rsidP="00A8769F">
      <w:pPr>
        <w:pStyle w:val="Heading2"/>
        <w:rPr>
          <w:rFonts w:ascii="Helvetica" w:hAnsi="Helvetica" w:cs="Helvetica"/>
          <w:sz w:val="24"/>
          <w:szCs w:val="24"/>
        </w:rPr>
      </w:pPr>
      <w:r w:rsidRPr="00235A56">
        <w:rPr>
          <w:rFonts w:ascii="Helvetica" w:hAnsi="Helvetica" w:cs="Helvetica"/>
          <w:sz w:val="24"/>
          <w:szCs w:val="24"/>
        </w:rPr>
        <w:lastRenderedPageBreak/>
        <w:t xml:space="preserve">6.2. </w:t>
      </w:r>
      <w:r w:rsidR="00B835F2" w:rsidRPr="00235A56">
        <w:rPr>
          <w:rFonts w:ascii="Helvetica" w:hAnsi="Helvetica" w:cs="Helvetica"/>
          <w:sz w:val="24"/>
          <w:szCs w:val="24"/>
        </w:rPr>
        <w:t>Provider progression and the utility of a separate University College category</w:t>
      </w:r>
    </w:p>
    <w:p w:rsidR="00B835F2" w:rsidRPr="00235A56" w:rsidRDefault="00B835F2" w:rsidP="00E367D3">
      <w:pPr>
        <w:rPr>
          <w:rFonts w:ascii="Helvetica" w:hAnsi="Helvetica" w:cs="Helvetica"/>
          <w:color w:val="000000"/>
          <w:sz w:val="22"/>
          <w:szCs w:val="22"/>
        </w:rPr>
      </w:pPr>
      <w:r w:rsidRPr="00235A56">
        <w:rPr>
          <w:rFonts w:ascii="Helvetica" w:hAnsi="Helvetica" w:cs="Helvetica"/>
          <w:sz w:val="22"/>
          <w:szCs w:val="22"/>
        </w:rPr>
        <w:t xml:space="preserve">A central issue with the current scheme of categorisation is around the processes and specifications for provider progression from </w:t>
      </w:r>
      <w:r w:rsidR="00490D6D" w:rsidRPr="00235A56">
        <w:rPr>
          <w:rFonts w:ascii="Helvetica" w:hAnsi="Helvetica" w:cs="Helvetica"/>
          <w:sz w:val="22"/>
          <w:szCs w:val="22"/>
        </w:rPr>
        <w:t xml:space="preserve">Registered Training Organisation (RTO) </w:t>
      </w:r>
      <w:r w:rsidRPr="00235A56">
        <w:rPr>
          <w:rFonts w:ascii="Helvetica" w:hAnsi="Helvetica" w:cs="Helvetica"/>
          <w:sz w:val="22"/>
          <w:szCs w:val="22"/>
        </w:rPr>
        <w:t xml:space="preserve">to </w:t>
      </w:r>
      <w:r w:rsidR="00262544" w:rsidRPr="00235A56">
        <w:rPr>
          <w:rFonts w:ascii="Helvetica" w:hAnsi="Helvetica" w:cs="Helvetica"/>
          <w:sz w:val="22"/>
          <w:szCs w:val="22"/>
        </w:rPr>
        <w:t>Higher Education Provider (</w:t>
      </w:r>
      <w:r w:rsidRPr="00235A56">
        <w:rPr>
          <w:rFonts w:ascii="Helvetica" w:hAnsi="Helvetica" w:cs="Helvetica"/>
          <w:sz w:val="22"/>
          <w:szCs w:val="22"/>
        </w:rPr>
        <w:t>HEP</w:t>
      </w:r>
      <w:r w:rsidR="00262544" w:rsidRPr="00235A56">
        <w:rPr>
          <w:rFonts w:ascii="Helvetica" w:hAnsi="Helvetica" w:cs="Helvetica"/>
          <w:sz w:val="22"/>
          <w:szCs w:val="22"/>
        </w:rPr>
        <w:t>)</w:t>
      </w:r>
      <w:r w:rsidRPr="00235A56">
        <w:rPr>
          <w:rFonts w:ascii="Helvetica" w:hAnsi="Helvetica" w:cs="Helvetica"/>
          <w:sz w:val="22"/>
          <w:szCs w:val="22"/>
        </w:rPr>
        <w:t xml:space="preserve">, or from HEP to Australian University or Australian University of Specialisation. An established HEP that meets the HES </w:t>
      </w:r>
      <w:r w:rsidRPr="00235A56">
        <w:rPr>
          <w:rFonts w:ascii="Helvetica" w:hAnsi="Helvetica" w:cs="Helvetica"/>
          <w:color w:val="000000"/>
          <w:sz w:val="22"/>
          <w:szCs w:val="22"/>
        </w:rPr>
        <w:t xml:space="preserve">can apply for self-accrediting authority through accumulating a history of successful course accreditations, monitoring and reviews, and, once sufficient, apply for a university category. This </w:t>
      </w:r>
      <w:r w:rsidR="007D5E90" w:rsidRPr="00235A56">
        <w:rPr>
          <w:rFonts w:ascii="Helvetica" w:hAnsi="Helvetica" w:cs="Helvetica"/>
          <w:color w:val="000000"/>
          <w:sz w:val="22"/>
          <w:szCs w:val="22"/>
        </w:rPr>
        <w:t>effectively</w:t>
      </w:r>
      <w:r w:rsidRPr="00235A56">
        <w:rPr>
          <w:rFonts w:ascii="Helvetica" w:hAnsi="Helvetica" w:cs="Helvetica"/>
          <w:color w:val="000000"/>
          <w:sz w:val="22"/>
          <w:szCs w:val="22"/>
        </w:rPr>
        <w:t xml:space="preserve"> implies a period of at least 5 years of </w:t>
      </w:r>
      <w:r w:rsidR="00490D6D" w:rsidRPr="00235A56">
        <w:rPr>
          <w:rFonts w:ascii="Helvetica" w:hAnsi="Helvetica" w:cs="Helvetica"/>
          <w:color w:val="000000"/>
          <w:sz w:val="22"/>
          <w:szCs w:val="22"/>
        </w:rPr>
        <w:t>Self Accrediting Authority (</w:t>
      </w:r>
      <w:r w:rsidRPr="00235A56">
        <w:rPr>
          <w:rFonts w:ascii="Helvetica" w:hAnsi="Helvetica" w:cs="Helvetica"/>
          <w:color w:val="000000"/>
          <w:sz w:val="22"/>
          <w:szCs w:val="22"/>
        </w:rPr>
        <w:t>SAA</w:t>
      </w:r>
      <w:r w:rsidR="00490D6D" w:rsidRPr="00235A56">
        <w:rPr>
          <w:rFonts w:ascii="Helvetica" w:hAnsi="Helvetica" w:cs="Helvetica"/>
          <w:color w:val="000000"/>
          <w:sz w:val="22"/>
          <w:szCs w:val="22"/>
        </w:rPr>
        <w:t>)</w:t>
      </w:r>
      <w:r w:rsidRPr="00235A56">
        <w:rPr>
          <w:rFonts w:ascii="Helvetica" w:hAnsi="Helvetica" w:cs="Helvetica"/>
          <w:color w:val="000000"/>
          <w:sz w:val="22"/>
          <w:szCs w:val="22"/>
        </w:rPr>
        <w:t xml:space="preserve"> before applying for the next stage, which is likely to enter the Australian University College category. As a category with fewer requirements than the main universities categories it is framed as a transitionary mechanism. </w:t>
      </w:r>
    </w:p>
    <w:p w:rsidR="00B835F2" w:rsidRPr="00235A56" w:rsidRDefault="00D56F66" w:rsidP="00E367D3">
      <w:pPr>
        <w:rPr>
          <w:rFonts w:ascii="Helvetica" w:hAnsi="Helvetica" w:cs="Helvetica"/>
          <w:color w:val="000000"/>
          <w:sz w:val="22"/>
          <w:szCs w:val="22"/>
        </w:rPr>
      </w:pPr>
      <w:r w:rsidRPr="00235A56">
        <w:rPr>
          <w:rFonts w:ascii="Helvetica" w:hAnsi="Helvetica" w:cs="Helvetica"/>
          <w:sz w:val="22"/>
          <w:szCs w:val="22"/>
        </w:rPr>
        <w:t>However, this mechanism appears deficient because of</w:t>
      </w:r>
      <w:r w:rsidR="00B835F2" w:rsidRPr="00235A56">
        <w:rPr>
          <w:rFonts w:ascii="Helvetica" w:hAnsi="Helvetica" w:cs="Helvetica"/>
          <w:sz w:val="22"/>
          <w:szCs w:val="22"/>
        </w:rPr>
        <w:t xml:space="preserve"> the redundancy and internal contradictions in the College category and in particular how the category is unsuited to its transition function. Only requiring a University College to deliver HDRs in</w:t>
      </w:r>
      <w:r w:rsidR="006579F4">
        <w:rPr>
          <w:rFonts w:ascii="Helvetica" w:hAnsi="Helvetica" w:cs="Helvetica"/>
          <w:sz w:val="22"/>
          <w:szCs w:val="22"/>
        </w:rPr>
        <w:t xml:space="preserve"> a</w:t>
      </w:r>
      <w:r w:rsidR="00B835F2" w:rsidRPr="00235A56">
        <w:rPr>
          <w:rFonts w:ascii="Helvetica" w:hAnsi="Helvetica" w:cs="Helvetica"/>
          <w:sz w:val="22"/>
          <w:szCs w:val="22"/>
        </w:rPr>
        <w:t xml:space="preserve"> single field is unrealistic in practice when viewed as part of the transition process. This is because of the retrospective requirement that the provider already be self-accrediting the HDRs across three fields when they become an Australian University. How a</w:t>
      </w:r>
      <w:r w:rsidRPr="00235A56">
        <w:rPr>
          <w:rFonts w:ascii="Helvetica" w:hAnsi="Helvetica" w:cs="Helvetica"/>
          <w:sz w:val="22"/>
          <w:szCs w:val="22"/>
        </w:rPr>
        <w:t>n</w:t>
      </w:r>
      <w:r w:rsidR="00B835F2" w:rsidRPr="00235A56">
        <w:rPr>
          <w:rFonts w:ascii="Helvetica" w:hAnsi="Helvetica" w:cs="Helvetica"/>
          <w:sz w:val="22"/>
          <w:szCs w:val="22"/>
        </w:rPr>
        <w:t xml:space="preserve"> aspiring provider can meet the requirements between approval and commencement as a university, including the operations requirements under the category criteria to self-accredit, </w:t>
      </w:r>
      <w:r w:rsidR="000E2AC4" w:rsidRPr="00235A56">
        <w:rPr>
          <w:rFonts w:ascii="Helvetica" w:hAnsi="Helvetica" w:cs="Helvetica"/>
          <w:sz w:val="22"/>
          <w:szCs w:val="22"/>
        </w:rPr>
        <w:t>is</w:t>
      </w:r>
      <w:r w:rsidR="00B835F2" w:rsidRPr="00235A56">
        <w:rPr>
          <w:rFonts w:ascii="Helvetica" w:hAnsi="Helvetica" w:cs="Helvetica"/>
          <w:sz w:val="22"/>
          <w:szCs w:val="22"/>
        </w:rPr>
        <w:t xml:space="preserve"> problematic. Moreover, as </w:t>
      </w:r>
      <w:r w:rsidR="007942FB" w:rsidRPr="00235A56">
        <w:rPr>
          <w:rFonts w:ascii="Helvetica" w:hAnsi="Helvetica" w:cs="Helvetica"/>
          <w:sz w:val="22"/>
          <w:szCs w:val="22"/>
        </w:rPr>
        <w:t>one consultee</w:t>
      </w:r>
      <w:r w:rsidR="00B835F2" w:rsidRPr="00235A56">
        <w:rPr>
          <w:rFonts w:ascii="Helvetica" w:hAnsi="Helvetica" w:cs="Helvetica"/>
          <w:sz w:val="22"/>
          <w:szCs w:val="22"/>
        </w:rPr>
        <w:t xml:space="preserve"> note</w:t>
      </w:r>
      <w:r w:rsidR="007942FB" w:rsidRPr="00235A56">
        <w:rPr>
          <w:rFonts w:ascii="Helvetica" w:hAnsi="Helvetica" w:cs="Helvetica"/>
          <w:sz w:val="22"/>
          <w:szCs w:val="22"/>
        </w:rPr>
        <w:t>d,</w:t>
      </w:r>
      <w:r w:rsidR="00B835F2" w:rsidRPr="00235A56">
        <w:rPr>
          <w:rFonts w:ascii="Helvetica" w:hAnsi="Helvetica" w:cs="Helvetica"/>
          <w:sz w:val="22"/>
          <w:szCs w:val="22"/>
        </w:rPr>
        <w:t xml:space="preserve"> the University College Category </w:t>
      </w:r>
      <w:r w:rsidRPr="00235A56">
        <w:rPr>
          <w:rFonts w:ascii="Helvetica" w:hAnsi="Helvetica" w:cs="Helvetica"/>
          <w:sz w:val="22"/>
          <w:szCs w:val="22"/>
        </w:rPr>
        <w:t xml:space="preserve">is </w:t>
      </w:r>
      <w:r w:rsidR="00B835F2" w:rsidRPr="00235A56">
        <w:rPr>
          <w:rFonts w:ascii="Helvetica" w:hAnsi="Helvetica" w:cs="Helvetica"/>
          <w:sz w:val="22"/>
          <w:szCs w:val="22"/>
        </w:rPr>
        <w:t>almost redundant</w:t>
      </w:r>
      <w:r w:rsidR="007942FB" w:rsidRPr="00235A56">
        <w:rPr>
          <w:rFonts w:ascii="Helvetica" w:hAnsi="Helvetica" w:cs="Helvetica"/>
          <w:sz w:val="22"/>
          <w:szCs w:val="22"/>
        </w:rPr>
        <w:t xml:space="preserve"> with its only advantage the</w:t>
      </w:r>
      <w:r w:rsidR="00B835F2" w:rsidRPr="00235A56">
        <w:rPr>
          <w:rFonts w:ascii="Helvetica" w:hAnsi="Helvetica" w:cs="Helvetica"/>
          <w:sz w:val="22"/>
          <w:szCs w:val="22"/>
        </w:rPr>
        <w:t xml:space="preserve"> ability to apply for SAA concurrently</w:t>
      </w:r>
      <w:r w:rsidR="007942FB" w:rsidRPr="00235A56">
        <w:rPr>
          <w:rFonts w:ascii="Helvetica" w:hAnsi="Helvetica" w:cs="Helvetica"/>
          <w:sz w:val="22"/>
          <w:szCs w:val="22"/>
        </w:rPr>
        <w:t>.</w:t>
      </w:r>
    </w:p>
    <w:p w:rsidR="00B835F2" w:rsidRPr="00235A56" w:rsidRDefault="00B835F2" w:rsidP="00E367D3">
      <w:pPr>
        <w:rPr>
          <w:rFonts w:ascii="Helvetica" w:hAnsi="Helvetica" w:cs="Helvetica"/>
          <w:sz w:val="22"/>
          <w:szCs w:val="22"/>
        </w:rPr>
      </w:pPr>
      <w:r w:rsidRPr="00235A56">
        <w:rPr>
          <w:rFonts w:ascii="Helvetica" w:hAnsi="Helvetica" w:cs="Helvetica"/>
          <w:sz w:val="22"/>
          <w:szCs w:val="22"/>
        </w:rPr>
        <w:t xml:space="preserve">There are no providers in </w:t>
      </w:r>
      <w:r w:rsidR="00D56F66" w:rsidRPr="00235A56">
        <w:rPr>
          <w:rFonts w:ascii="Helvetica" w:hAnsi="Helvetica" w:cs="Helvetica"/>
          <w:sz w:val="22"/>
          <w:szCs w:val="22"/>
        </w:rPr>
        <w:t>the</w:t>
      </w:r>
      <w:r w:rsidR="00AE7D89" w:rsidRPr="00235A56">
        <w:rPr>
          <w:rFonts w:ascii="Helvetica" w:hAnsi="Helvetica" w:cs="Helvetica"/>
          <w:sz w:val="22"/>
          <w:szCs w:val="22"/>
        </w:rPr>
        <w:t xml:space="preserve"> University </w:t>
      </w:r>
      <w:r w:rsidRPr="00235A56">
        <w:rPr>
          <w:rFonts w:ascii="Helvetica" w:hAnsi="Helvetica" w:cs="Helvetica"/>
          <w:sz w:val="22"/>
          <w:szCs w:val="22"/>
        </w:rPr>
        <w:t>College category, but th</w:t>
      </w:r>
      <w:r w:rsidR="00D56F66" w:rsidRPr="00235A56">
        <w:rPr>
          <w:rFonts w:ascii="Helvetica" w:hAnsi="Helvetica" w:cs="Helvetica"/>
          <w:sz w:val="22"/>
          <w:szCs w:val="22"/>
        </w:rPr>
        <w:t>is may</w:t>
      </w:r>
      <w:r w:rsidRPr="00235A56">
        <w:rPr>
          <w:rFonts w:ascii="Helvetica" w:hAnsi="Helvetica" w:cs="Helvetica"/>
          <w:sz w:val="22"/>
          <w:szCs w:val="22"/>
        </w:rPr>
        <w:t xml:space="preserve"> potentially</w:t>
      </w:r>
      <w:r w:rsidR="00D56F66" w:rsidRPr="00235A56">
        <w:rPr>
          <w:rFonts w:ascii="Helvetica" w:hAnsi="Helvetica" w:cs="Helvetica"/>
          <w:sz w:val="22"/>
          <w:szCs w:val="22"/>
        </w:rPr>
        <w:t xml:space="preserve"> be</w:t>
      </w:r>
      <w:r w:rsidRPr="00235A56">
        <w:rPr>
          <w:rFonts w:ascii="Helvetica" w:hAnsi="Helvetica" w:cs="Helvetica"/>
          <w:sz w:val="22"/>
          <w:szCs w:val="22"/>
        </w:rPr>
        <w:t xml:space="preserve"> a function of the relative newness of the regulatory regime and its rapid evolution as opposed</w:t>
      </w:r>
      <w:r w:rsidR="00D56F66" w:rsidRPr="00235A56">
        <w:rPr>
          <w:rFonts w:ascii="Helvetica" w:hAnsi="Helvetica" w:cs="Helvetica"/>
          <w:sz w:val="22"/>
          <w:szCs w:val="22"/>
        </w:rPr>
        <w:t xml:space="preserve"> to</w:t>
      </w:r>
      <w:r w:rsidRPr="00235A56">
        <w:rPr>
          <w:rFonts w:ascii="Helvetica" w:hAnsi="Helvetica" w:cs="Helvetica"/>
          <w:sz w:val="22"/>
          <w:szCs w:val="22"/>
        </w:rPr>
        <w:t xml:space="preserve"> a lack of desire by providers to achieve university status. </w:t>
      </w:r>
      <w:r w:rsidR="0067368F" w:rsidRPr="00235A56">
        <w:rPr>
          <w:rFonts w:ascii="Helvetica" w:hAnsi="Helvetica" w:cs="Helvetica"/>
          <w:sz w:val="22"/>
          <w:szCs w:val="22"/>
        </w:rPr>
        <w:t>At present</w:t>
      </w:r>
      <w:r w:rsidRPr="00235A56">
        <w:rPr>
          <w:rFonts w:ascii="Helvetica" w:hAnsi="Helvetica" w:cs="Helvetica"/>
          <w:sz w:val="22"/>
          <w:szCs w:val="22"/>
        </w:rPr>
        <w:t xml:space="preserve"> (2018) </w:t>
      </w:r>
      <w:r w:rsidR="0067368F" w:rsidRPr="00235A56">
        <w:rPr>
          <w:rFonts w:ascii="Helvetica" w:hAnsi="Helvetica" w:cs="Helvetica"/>
          <w:sz w:val="22"/>
          <w:szCs w:val="22"/>
        </w:rPr>
        <w:t xml:space="preserve">there are </w:t>
      </w:r>
      <w:r w:rsidRPr="00235A56">
        <w:rPr>
          <w:rFonts w:ascii="Helvetica" w:hAnsi="Helvetica" w:cs="Helvetica"/>
          <w:sz w:val="22"/>
          <w:szCs w:val="22"/>
        </w:rPr>
        <w:t xml:space="preserve">11 HEPs with SAA and it is conceivable several </w:t>
      </w:r>
      <w:r w:rsidR="00D56F66" w:rsidRPr="00235A56">
        <w:rPr>
          <w:rFonts w:ascii="Helvetica" w:hAnsi="Helvetica" w:cs="Helvetica"/>
          <w:sz w:val="22"/>
          <w:szCs w:val="22"/>
        </w:rPr>
        <w:t>are preparing to</w:t>
      </w:r>
      <w:r w:rsidRPr="00235A56">
        <w:rPr>
          <w:rFonts w:ascii="Helvetica" w:hAnsi="Helvetica" w:cs="Helvetica"/>
          <w:sz w:val="22"/>
          <w:szCs w:val="22"/>
        </w:rPr>
        <w:t xml:space="preserve"> apply despite the high bar that the process involves – virtually becoming a fully formed university overnight. </w:t>
      </w:r>
      <w:r w:rsidR="00D56F66" w:rsidRPr="00235A56">
        <w:rPr>
          <w:rFonts w:ascii="Helvetica" w:hAnsi="Helvetica" w:cs="Helvetica"/>
          <w:sz w:val="22"/>
          <w:szCs w:val="22"/>
        </w:rPr>
        <w:t>Thus, having no provider in this category by itself does not necessarily imply that it is redundant.</w:t>
      </w:r>
    </w:p>
    <w:p w:rsidR="00B835F2" w:rsidRPr="00235A56" w:rsidRDefault="00B835F2" w:rsidP="00E367D3">
      <w:pPr>
        <w:rPr>
          <w:rFonts w:ascii="Helvetica" w:hAnsi="Helvetica" w:cs="Helvetica"/>
          <w:color w:val="000000"/>
          <w:sz w:val="22"/>
          <w:szCs w:val="22"/>
        </w:rPr>
      </w:pPr>
      <w:r w:rsidRPr="00235A56">
        <w:rPr>
          <w:rFonts w:ascii="Helvetica" w:hAnsi="Helvetica" w:cs="Helvetica"/>
          <w:sz w:val="22"/>
          <w:szCs w:val="22"/>
        </w:rPr>
        <w:t>The current process of transition suffers from other contradiction</w:t>
      </w:r>
      <w:r w:rsidR="00D56F66" w:rsidRPr="00235A56">
        <w:rPr>
          <w:rFonts w:ascii="Helvetica" w:hAnsi="Helvetica" w:cs="Helvetica"/>
          <w:sz w:val="22"/>
          <w:szCs w:val="22"/>
        </w:rPr>
        <w:t>s</w:t>
      </w:r>
      <w:r w:rsidRPr="00235A56">
        <w:rPr>
          <w:rFonts w:ascii="Helvetica" w:hAnsi="Helvetica" w:cs="Helvetica"/>
          <w:sz w:val="22"/>
          <w:szCs w:val="22"/>
        </w:rPr>
        <w:t xml:space="preserve"> and suboptimal</w:t>
      </w:r>
      <w:r w:rsidR="0067368F" w:rsidRPr="00235A56">
        <w:rPr>
          <w:rFonts w:ascii="Helvetica" w:hAnsi="Helvetica" w:cs="Helvetica"/>
          <w:sz w:val="22"/>
          <w:szCs w:val="22"/>
        </w:rPr>
        <w:t>ities</w:t>
      </w:r>
      <w:r w:rsidRPr="00235A56">
        <w:rPr>
          <w:rFonts w:ascii="Helvetica" w:hAnsi="Helvetica" w:cs="Helvetica"/>
          <w:sz w:val="22"/>
          <w:szCs w:val="22"/>
        </w:rPr>
        <w:t xml:space="preserve">. Several stakeholders noted that there is a </w:t>
      </w:r>
      <w:r w:rsidR="000E2AC4" w:rsidRPr="00235A56">
        <w:rPr>
          <w:rFonts w:ascii="Helvetica" w:hAnsi="Helvetica" w:cs="Helvetica"/>
          <w:sz w:val="22"/>
          <w:szCs w:val="22"/>
        </w:rPr>
        <w:t>significant</w:t>
      </w:r>
      <w:r w:rsidRPr="00235A56">
        <w:rPr>
          <w:rFonts w:ascii="Helvetica" w:hAnsi="Helvetica" w:cs="Helvetica"/>
          <w:sz w:val="22"/>
          <w:szCs w:val="22"/>
        </w:rPr>
        <w:t xml:space="preserve"> </w:t>
      </w:r>
      <w:r w:rsidR="000E2AC4" w:rsidRPr="00235A56">
        <w:rPr>
          <w:rFonts w:ascii="Helvetica" w:hAnsi="Helvetica" w:cs="Helvetica"/>
          <w:sz w:val="22"/>
          <w:szCs w:val="22"/>
        </w:rPr>
        <w:t>administrative</w:t>
      </w:r>
      <w:r w:rsidRPr="00235A56">
        <w:rPr>
          <w:rFonts w:ascii="Helvetica" w:hAnsi="Helvetica" w:cs="Helvetica"/>
          <w:sz w:val="22"/>
          <w:szCs w:val="22"/>
        </w:rPr>
        <w:t xml:space="preserve"> burden in seeking progression, especially in the duplication of material to be provided to the regulator, such as the same information being required to be submitted multiple times. </w:t>
      </w:r>
      <w:r w:rsidR="00636A25" w:rsidRPr="00235A56">
        <w:rPr>
          <w:rFonts w:ascii="Helvetica" w:hAnsi="Helvetica" w:cs="Helvetica"/>
          <w:sz w:val="22"/>
          <w:szCs w:val="22"/>
        </w:rPr>
        <w:t xml:space="preserve">Other stakeholders noted that an issue revolves around </w:t>
      </w:r>
      <w:r w:rsidR="00490D6D" w:rsidRPr="00235A56">
        <w:rPr>
          <w:rFonts w:ascii="Helvetica" w:hAnsi="Helvetica" w:cs="Helvetica"/>
          <w:sz w:val="22"/>
          <w:szCs w:val="22"/>
        </w:rPr>
        <w:t xml:space="preserve">Internal Quality Assurance </w:t>
      </w:r>
      <w:r w:rsidR="00792E53" w:rsidRPr="00235A56">
        <w:rPr>
          <w:rFonts w:ascii="Helvetica" w:hAnsi="Helvetica" w:cs="Helvetica"/>
          <w:sz w:val="22"/>
          <w:szCs w:val="22"/>
        </w:rPr>
        <w:t>and governance maturity</w:t>
      </w:r>
      <w:r w:rsidR="00636A25" w:rsidRPr="00235A56">
        <w:rPr>
          <w:rFonts w:ascii="Helvetica" w:hAnsi="Helvetica" w:cs="Helvetica"/>
          <w:sz w:val="22"/>
          <w:szCs w:val="22"/>
        </w:rPr>
        <w:t xml:space="preserve"> with regards to the inter-registration audit process where there is not enough review and feedback.</w:t>
      </w:r>
      <w:r w:rsidR="00792E53" w:rsidRPr="00235A56">
        <w:rPr>
          <w:rFonts w:ascii="Helvetica" w:hAnsi="Helvetica" w:cs="Helvetica"/>
          <w:sz w:val="22"/>
          <w:szCs w:val="22"/>
        </w:rPr>
        <w:t xml:space="preserve"> </w:t>
      </w:r>
      <w:r w:rsidRPr="00235A56">
        <w:rPr>
          <w:rFonts w:ascii="Helvetica" w:hAnsi="Helvetica" w:cs="Helvetica"/>
          <w:sz w:val="22"/>
          <w:szCs w:val="22"/>
        </w:rPr>
        <w:t>One key issue is that the length of the process itself can be seen as an inhibitor to innovation.</w:t>
      </w:r>
      <w:r w:rsidR="00DF7848" w:rsidRPr="00235A56">
        <w:rPr>
          <w:rFonts w:ascii="Helvetica" w:hAnsi="Helvetica" w:cs="Helvetica"/>
          <w:sz w:val="22"/>
          <w:szCs w:val="22"/>
        </w:rPr>
        <w:t xml:space="preserve"> </w:t>
      </w:r>
      <w:r w:rsidRPr="00235A56">
        <w:rPr>
          <w:rFonts w:ascii="Helvetica" w:hAnsi="Helvetica" w:cs="Helvetica"/>
          <w:sz w:val="22"/>
          <w:szCs w:val="22"/>
        </w:rPr>
        <w:t xml:space="preserve">The need for track record through the SAA and then through </w:t>
      </w:r>
      <w:r w:rsidR="00AE7D89" w:rsidRPr="00235A56">
        <w:rPr>
          <w:rFonts w:ascii="Helvetica" w:hAnsi="Helvetica" w:cs="Helvetica"/>
          <w:sz w:val="22"/>
          <w:szCs w:val="22"/>
        </w:rPr>
        <w:t>a</w:t>
      </w:r>
      <w:r w:rsidRPr="00235A56">
        <w:rPr>
          <w:rFonts w:ascii="Helvetica" w:hAnsi="Helvetica" w:cs="Helvetica"/>
          <w:sz w:val="22"/>
          <w:szCs w:val="22"/>
        </w:rPr>
        <w:t xml:space="preserve"> </w:t>
      </w:r>
      <w:r w:rsidR="00AE7D89" w:rsidRPr="00235A56">
        <w:rPr>
          <w:rFonts w:ascii="Helvetica" w:hAnsi="Helvetica" w:cs="Helvetica"/>
          <w:sz w:val="22"/>
          <w:szCs w:val="22"/>
        </w:rPr>
        <w:t xml:space="preserve">University </w:t>
      </w:r>
      <w:r w:rsidRPr="00235A56">
        <w:rPr>
          <w:rFonts w:ascii="Helvetica" w:hAnsi="Helvetica" w:cs="Helvetica"/>
          <w:sz w:val="22"/>
          <w:szCs w:val="22"/>
        </w:rPr>
        <w:t xml:space="preserve">College category means that in effect providers can be dissuaded for innovating in course design and research for a decade to ensure the necessary consistency. No such requirements exist once they enter the Australian University or Australian University of Specialisation category. Moreover, there is even the possibility that providers could remain static under the present arrangements for longer. If a provider becomes a University College they are required to plan for the transition to full University status, but this does not mean they ever have to </w:t>
      </w:r>
      <w:r w:rsidR="00D2035F" w:rsidRPr="00235A56">
        <w:rPr>
          <w:rFonts w:ascii="Helvetica" w:hAnsi="Helvetica" w:cs="Helvetica"/>
          <w:sz w:val="22"/>
          <w:szCs w:val="22"/>
        </w:rPr>
        <w:t xml:space="preserve">complete </w:t>
      </w:r>
      <w:r w:rsidRPr="00235A56">
        <w:rPr>
          <w:rFonts w:ascii="Helvetica" w:hAnsi="Helvetica" w:cs="Helvetica"/>
          <w:sz w:val="22"/>
          <w:szCs w:val="22"/>
        </w:rPr>
        <w:t xml:space="preserve">transition. </w:t>
      </w:r>
    </w:p>
    <w:p w:rsidR="00B835F2" w:rsidRPr="00235A56" w:rsidRDefault="00B835F2" w:rsidP="00E367D3">
      <w:pPr>
        <w:rPr>
          <w:rFonts w:ascii="Helvetica" w:hAnsi="Helvetica" w:cs="Helvetica"/>
          <w:sz w:val="22"/>
          <w:szCs w:val="22"/>
        </w:rPr>
      </w:pPr>
      <w:r w:rsidRPr="00235A56">
        <w:rPr>
          <w:rFonts w:ascii="Helvetica" w:hAnsi="Helvetica" w:cs="Helvetica"/>
          <w:sz w:val="22"/>
          <w:szCs w:val="22"/>
        </w:rPr>
        <w:t>This comes to the heart of the public policy problem with the current provider life cycle provisions</w:t>
      </w:r>
      <w:r w:rsidR="00D56F66" w:rsidRPr="00235A56">
        <w:rPr>
          <w:rFonts w:ascii="Helvetica" w:hAnsi="Helvetica" w:cs="Helvetica"/>
          <w:sz w:val="22"/>
          <w:szCs w:val="22"/>
        </w:rPr>
        <w:t>.</w:t>
      </w:r>
      <w:r w:rsidRPr="00235A56">
        <w:rPr>
          <w:rFonts w:ascii="Helvetica" w:hAnsi="Helvetica" w:cs="Helvetica"/>
          <w:sz w:val="22"/>
          <w:szCs w:val="22"/>
        </w:rPr>
        <w:t xml:space="preserve"> </w:t>
      </w:r>
      <w:r w:rsidR="00D56F66" w:rsidRPr="00235A56">
        <w:rPr>
          <w:rFonts w:ascii="Helvetica" w:hAnsi="Helvetica" w:cs="Helvetica"/>
          <w:sz w:val="22"/>
          <w:szCs w:val="22"/>
        </w:rPr>
        <w:t>T</w:t>
      </w:r>
      <w:r w:rsidRPr="00235A56">
        <w:rPr>
          <w:rFonts w:ascii="Helvetica" w:hAnsi="Helvetica" w:cs="Helvetica"/>
          <w:sz w:val="22"/>
          <w:szCs w:val="22"/>
        </w:rPr>
        <w:t>hey do not adequately allow providers to evolve through the categories</w:t>
      </w:r>
      <w:r w:rsidR="00D56F66" w:rsidRPr="00235A56">
        <w:rPr>
          <w:rFonts w:ascii="Helvetica" w:hAnsi="Helvetica" w:cs="Helvetica"/>
          <w:sz w:val="22"/>
          <w:szCs w:val="22"/>
        </w:rPr>
        <w:t>.</w:t>
      </w:r>
      <w:r w:rsidRPr="00235A56">
        <w:rPr>
          <w:rFonts w:ascii="Helvetica" w:hAnsi="Helvetica" w:cs="Helvetica"/>
          <w:sz w:val="22"/>
          <w:szCs w:val="22"/>
        </w:rPr>
        <w:t xml:space="preserve"> </w:t>
      </w:r>
      <w:r w:rsidR="00D56F66" w:rsidRPr="00235A56">
        <w:rPr>
          <w:rFonts w:ascii="Helvetica" w:hAnsi="Helvetica" w:cs="Helvetica"/>
          <w:sz w:val="22"/>
          <w:szCs w:val="22"/>
        </w:rPr>
        <w:t>R</w:t>
      </w:r>
      <w:r w:rsidRPr="00235A56">
        <w:rPr>
          <w:rFonts w:ascii="Helvetica" w:hAnsi="Helvetica" w:cs="Helvetica"/>
          <w:sz w:val="22"/>
          <w:szCs w:val="22"/>
        </w:rPr>
        <w:t>ather</w:t>
      </w:r>
      <w:r w:rsidR="00D56F66" w:rsidRPr="00235A56">
        <w:rPr>
          <w:rFonts w:ascii="Helvetica" w:hAnsi="Helvetica" w:cs="Helvetica"/>
          <w:sz w:val="22"/>
          <w:szCs w:val="22"/>
        </w:rPr>
        <w:t>, it</w:t>
      </w:r>
      <w:r w:rsidRPr="00235A56">
        <w:rPr>
          <w:rFonts w:ascii="Helvetica" w:hAnsi="Helvetica" w:cs="Helvetica"/>
          <w:sz w:val="22"/>
          <w:szCs w:val="22"/>
        </w:rPr>
        <w:t xml:space="preserve"> impli</w:t>
      </w:r>
      <w:r w:rsidR="00D56F66" w:rsidRPr="00235A56">
        <w:rPr>
          <w:rFonts w:ascii="Helvetica" w:hAnsi="Helvetica" w:cs="Helvetica"/>
          <w:sz w:val="22"/>
          <w:szCs w:val="22"/>
        </w:rPr>
        <w:t>es</w:t>
      </w:r>
      <w:r w:rsidRPr="00235A56">
        <w:rPr>
          <w:rFonts w:ascii="Helvetica" w:hAnsi="Helvetica" w:cs="Helvetica"/>
          <w:sz w:val="22"/>
          <w:szCs w:val="22"/>
        </w:rPr>
        <w:t xml:space="preserve"> that they are capable of</w:t>
      </w:r>
      <w:r w:rsidR="00DF7848" w:rsidRPr="00235A56">
        <w:rPr>
          <w:rFonts w:ascii="Helvetica" w:hAnsi="Helvetica" w:cs="Helvetica"/>
          <w:sz w:val="22"/>
          <w:szCs w:val="22"/>
        </w:rPr>
        <w:t xml:space="preserve"> </w:t>
      </w:r>
      <w:r w:rsidRPr="00235A56">
        <w:rPr>
          <w:rFonts w:ascii="Helvetica" w:hAnsi="Helvetica" w:cs="Helvetica"/>
          <w:sz w:val="22"/>
          <w:szCs w:val="22"/>
        </w:rPr>
        <w:t xml:space="preserve">fundamentally changing their character and </w:t>
      </w:r>
      <w:r w:rsidR="000E2AC4" w:rsidRPr="00235A56">
        <w:rPr>
          <w:rFonts w:ascii="Helvetica" w:hAnsi="Helvetica" w:cs="Helvetica"/>
          <w:sz w:val="22"/>
          <w:szCs w:val="22"/>
        </w:rPr>
        <w:t>activity</w:t>
      </w:r>
      <w:r w:rsidRPr="00235A56">
        <w:rPr>
          <w:rFonts w:ascii="Helvetica" w:hAnsi="Helvetica" w:cs="Helvetica"/>
          <w:sz w:val="22"/>
          <w:szCs w:val="22"/>
        </w:rPr>
        <w:t xml:space="preserve"> from one day to the next. Providers can reasonably expect that </w:t>
      </w:r>
      <w:r w:rsidR="00D56F66" w:rsidRPr="00235A56">
        <w:rPr>
          <w:rFonts w:ascii="Helvetica" w:hAnsi="Helvetica" w:cs="Helvetica"/>
          <w:sz w:val="22"/>
          <w:szCs w:val="22"/>
        </w:rPr>
        <w:t xml:space="preserve">gradual or staged </w:t>
      </w:r>
      <w:r w:rsidRPr="00235A56">
        <w:rPr>
          <w:rFonts w:ascii="Helvetica" w:hAnsi="Helvetica" w:cs="Helvetica"/>
          <w:sz w:val="22"/>
          <w:szCs w:val="22"/>
        </w:rPr>
        <w:t xml:space="preserve">processes </w:t>
      </w:r>
      <w:r w:rsidR="00D56F66" w:rsidRPr="00235A56">
        <w:rPr>
          <w:rFonts w:ascii="Helvetica" w:hAnsi="Helvetica" w:cs="Helvetica"/>
          <w:sz w:val="22"/>
          <w:szCs w:val="22"/>
        </w:rPr>
        <w:t>w</w:t>
      </w:r>
      <w:r w:rsidRPr="00235A56">
        <w:rPr>
          <w:rFonts w:ascii="Helvetica" w:hAnsi="Helvetica" w:cs="Helvetica"/>
          <w:sz w:val="22"/>
          <w:szCs w:val="22"/>
        </w:rPr>
        <w:t>ould best enable their transition from one category to another. Where the transition process works to inhibit progression, and hence innovation and diversity across higher education, it is open to the charge that it is not optimal.</w:t>
      </w:r>
    </w:p>
    <w:p w:rsidR="00B835F2" w:rsidRPr="00235A56" w:rsidRDefault="00B835F2" w:rsidP="00E367D3">
      <w:pPr>
        <w:rPr>
          <w:rFonts w:ascii="Helvetica" w:hAnsi="Helvetica" w:cs="Helvetica"/>
          <w:sz w:val="22"/>
          <w:szCs w:val="22"/>
        </w:rPr>
      </w:pPr>
      <w:r w:rsidRPr="00235A56">
        <w:rPr>
          <w:rFonts w:ascii="Helvetica" w:hAnsi="Helvetica" w:cs="Helvetica"/>
          <w:sz w:val="22"/>
          <w:szCs w:val="22"/>
        </w:rPr>
        <w:t xml:space="preserve">For the reasons outlined here the purpose of the category of University College was seen as confusing by stakeholders. </w:t>
      </w:r>
      <w:r w:rsidR="00D56F66" w:rsidRPr="00235A56">
        <w:rPr>
          <w:rFonts w:ascii="Helvetica" w:hAnsi="Helvetica" w:cs="Helvetica"/>
          <w:sz w:val="22"/>
          <w:szCs w:val="22"/>
        </w:rPr>
        <w:t xml:space="preserve">Notwithstanding earlier comments above, </w:t>
      </w:r>
      <w:r w:rsidR="00D2035F" w:rsidRPr="00235A56">
        <w:rPr>
          <w:rFonts w:ascii="Helvetica" w:hAnsi="Helvetica" w:cs="Helvetica"/>
          <w:sz w:val="22"/>
          <w:szCs w:val="22"/>
        </w:rPr>
        <w:t>i</w:t>
      </w:r>
      <w:r w:rsidRPr="00235A56">
        <w:rPr>
          <w:rFonts w:ascii="Helvetica" w:hAnsi="Helvetica" w:cs="Helvetica"/>
          <w:sz w:val="22"/>
          <w:szCs w:val="22"/>
        </w:rPr>
        <w:t xml:space="preserve">t is </w:t>
      </w:r>
      <w:r w:rsidR="00D56F66" w:rsidRPr="00235A56">
        <w:rPr>
          <w:rFonts w:ascii="Helvetica" w:hAnsi="Helvetica" w:cs="Helvetica"/>
          <w:sz w:val="22"/>
          <w:szCs w:val="22"/>
        </w:rPr>
        <w:t>conceivable</w:t>
      </w:r>
      <w:r w:rsidRPr="00235A56">
        <w:rPr>
          <w:rFonts w:ascii="Helvetica" w:hAnsi="Helvetica" w:cs="Helvetica"/>
          <w:sz w:val="22"/>
          <w:szCs w:val="22"/>
        </w:rPr>
        <w:t xml:space="preserve"> the </w:t>
      </w:r>
      <w:r w:rsidRPr="00235A56">
        <w:rPr>
          <w:rFonts w:ascii="Helvetica" w:hAnsi="Helvetica" w:cs="Helvetica"/>
          <w:sz w:val="22"/>
          <w:szCs w:val="22"/>
        </w:rPr>
        <w:lastRenderedPageBreak/>
        <w:t xml:space="preserve">Australian University College category </w:t>
      </w:r>
      <w:r w:rsidR="00D56F66" w:rsidRPr="00235A56">
        <w:rPr>
          <w:rFonts w:ascii="Helvetica" w:hAnsi="Helvetica" w:cs="Helvetica"/>
          <w:sz w:val="22"/>
          <w:szCs w:val="22"/>
        </w:rPr>
        <w:t>may</w:t>
      </w:r>
      <w:r w:rsidRPr="00235A56">
        <w:rPr>
          <w:rFonts w:ascii="Helvetica" w:hAnsi="Helvetica" w:cs="Helvetica"/>
          <w:sz w:val="22"/>
          <w:szCs w:val="22"/>
        </w:rPr>
        <w:t xml:space="preserve"> be removed and replaced with a simplified transitionary process </w:t>
      </w:r>
      <w:r w:rsidR="00D56F66" w:rsidRPr="00235A56">
        <w:rPr>
          <w:rFonts w:ascii="Helvetica" w:hAnsi="Helvetica" w:cs="Helvetica"/>
          <w:sz w:val="22"/>
          <w:szCs w:val="22"/>
        </w:rPr>
        <w:t>that</w:t>
      </w:r>
      <w:r w:rsidRPr="00235A56">
        <w:rPr>
          <w:rFonts w:ascii="Helvetica" w:hAnsi="Helvetica" w:cs="Helvetica"/>
          <w:sz w:val="22"/>
          <w:szCs w:val="22"/>
        </w:rPr>
        <w:t xml:space="preserve"> addresses these inconsistencies and issues.</w:t>
      </w:r>
    </w:p>
    <w:p w:rsidR="00B835F2" w:rsidRPr="00235A56" w:rsidRDefault="00A8769F" w:rsidP="00A8769F">
      <w:pPr>
        <w:pStyle w:val="Heading2"/>
        <w:rPr>
          <w:rFonts w:ascii="Helvetica" w:hAnsi="Helvetica" w:cs="Helvetica"/>
          <w:sz w:val="24"/>
          <w:szCs w:val="24"/>
        </w:rPr>
      </w:pPr>
      <w:r w:rsidRPr="00235A56">
        <w:rPr>
          <w:rFonts w:ascii="Helvetica" w:hAnsi="Helvetica" w:cs="Helvetica"/>
          <w:sz w:val="24"/>
          <w:szCs w:val="24"/>
        </w:rPr>
        <w:t xml:space="preserve">6.3. </w:t>
      </w:r>
      <w:r w:rsidR="00B835F2" w:rsidRPr="00235A56">
        <w:rPr>
          <w:rFonts w:ascii="Helvetica" w:hAnsi="Helvetica" w:cs="Helvetica"/>
          <w:sz w:val="24"/>
          <w:szCs w:val="24"/>
        </w:rPr>
        <w:t xml:space="preserve">Flexibility of the current </w:t>
      </w:r>
      <w:r w:rsidR="00262A4E" w:rsidRPr="00235A56">
        <w:rPr>
          <w:rFonts w:ascii="Helvetica" w:hAnsi="Helvetica" w:cs="Helvetica"/>
          <w:sz w:val="24"/>
          <w:szCs w:val="24"/>
        </w:rPr>
        <w:t xml:space="preserve">Provider Category Standards </w:t>
      </w:r>
      <w:r w:rsidR="00B835F2" w:rsidRPr="00235A56">
        <w:rPr>
          <w:rFonts w:ascii="Helvetica" w:hAnsi="Helvetica" w:cs="Helvetica"/>
          <w:sz w:val="24"/>
          <w:szCs w:val="24"/>
        </w:rPr>
        <w:t>and the utility of new categories</w:t>
      </w:r>
    </w:p>
    <w:p w:rsidR="003617DC" w:rsidRPr="00235A56" w:rsidRDefault="00B835F2" w:rsidP="00E367D3">
      <w:pPr>
        <w:rPr>
          <w:rFonts w:ascii="Helvetica" w:hAnsi="Helvetica" w:cs="Helvetica"/>
          <w:sz w:val="22"/>
          <w:szCs w:val="22"/>
        </w:rPr>
      </w:pPr>
      <w:r w:rsidRPr="00235A56">
        <w:rPr>
          <w:rFonts w:ascii="Helvetica" w:hAnsi="Helvetica" w:cs="Helvetica"/>
          <w:sz w:val="22"/>
          <w:szCs w:val="22"/>
        </w:rPr>
        <w:t>A number of stakeholders raised the prospect of a Teaching Focused category</w:t>
      </w:r>
      <w:r w:rsidR="00DF7848" w:rsidRPr="00235A56">
        <w:rPr>
          <w:rFonts w:ascii="Helvetica" w:hAnsi="Helvetica" w:cs="Helvetica"/>
          <w:sz w:val="22"/>
          <w:szCs w:val="22"/>
        </w:rPr>
        <w:t>.</w:t>
      </w:r>
      <w:r w:rsidRPr="00235A56">
        <w:rPr>
          <w:rFonts w:ascii="Helvetica" w:hAnsi="Helvetica" w:cs="Helvetica"/>
          <w:sz w:val="22"/>
          <w:szCs w:val="22"/>
        </w:rPr>
        <w:t xml:space="preserve"> Under the PCS there appears to be little to no rationale for this. All current universities offer higher degrees and undertake research, and as one consultee noted, any future universities would likely want to offer research higher degrees or aspire to do so. As soon as they did offer HDRs they would be required to provide a research environment and meet the standards for research, so would de facto be an Australian University or Australian University of Specialisation. Scholarship would need to be part of the learning environment of any University category, or the category would lack meaning and it would be difficult to distinguish it from a mature HEP with SAA. Similarly, a category that was focused on providers only offering pathways courses would be problematic under the current PCS. Again, it is not clear how they could be distinguished from other HEPS in regard to the requirements for providers to undertake scholarship. </w:t>
      </w:r>
    </w:p>
    <w:p w:rsidR="00A16A78" w:rsidRPr="00235A56" w:rsidRDefault="00952C2C" w:rsidP="00E367D3">
      <w:pPr>
        <w:rPr>
          <w:rFonts w:ascii="Helvetica" w:hAnsi="Helvetica" w:cs="Helvetica"/>
          <w:sz w:val="22"/>
          <w:szCs w:val="22"/>
        </w:rPr>
      </w:pPr>
      <w:r w:rsidRPr="00235A56">
        <w:rPr>
          <w:rFonts w:ascii="Helvetica" w:hAnsi="Helvetica" w:cs="Helvetica"/>
          <w:sz w:val="22"/>
          <w:szCs w:val="22"/>
        </w:rPr>
        <w:t xml:space="preserve">The chief challenge with establishing any new categories under the current HESP is that it </w:t>
      </w:r>
      <w:r w:rsidR="003617DC" w:rsidRPr="00235A56">
        <w:rPr>
          <w:rFonts w:ascii="Helvetica" w:hAnsi="Helvetica" w:cs="Helvetica"/>
          <w:sz w:val="22"/>
          <w:szCs w:val="22"/>
        </w:rPr>
        <w:t>implies that there is need to delineate certain providers for their activities, yet it is hard to see how this could be done if all are to meet the current HES</w:t>
      </w:r>
      <w:r w:rsidR="007C4C26" w:rsidRPr="00235A56">
        <w:rPr>
          <w:rFonts w:ascii="Helvetica" w:hAnsi="Helvetica" w:cs="Helvetica"/>
          <w:sz w:val="22"/>
          <w:szCs w:val="22"/>
        </w:rPr>
        <w:t xml:space="preserve"> and still be a higher education provider.</w:t>
      </w:r>
      <w:r w:rsidR="00DF7848" w:rsidRPr="00235A56">
        <w:rPr>
          <w:rFonts w:ascii="Helvetica" w:hAnsi="Helvetica" w:cs="Helvetica"/>
          <w:sz w:val="22"/>
          <w:szCs w:val="22"/>
        </w:rPr>
        <w:t xml:space="preserve"> </w:t>
      </w:r>
      <w:r w:rsidR="003617DC" w:rsidRPr="00235A56">
        <w:rPr>
          <w:rFonts w:ascii="Helvetica" w:hAnsi="Helvetica" w:cs="Helvetica"/>
          <w:sz w:val="22"/>
          <w:szCs w:val="22"/>
        </w:rPr>
        <w:t xml:space="preserve">If they do not meet the HES then </w:t>
      </w:r>
      <w:r w:rsidR="000143E6" w:rsidRPr="00235A56">
        <w:rPr>
          <w:rFonts w:ascii="Helvetica" w:hAnsi="Helvetica" w:cs="Helvetica"/>
          <w:sz w:val="22"/>
          <w:szCs w:val="22"/>
        </w:rPr>
        <w:t xml:space="preserve">how </w:t>
      </w:r>
      <w:r w:rsidR="007C4C26" w:rsidRPr="00235A56">
        <w:rPr>
          <w:rFonts w:ascii="Helvetica" w:hAnsi="Helvetica" w:cs="Helvetica"/>
          <w:sz w:val="22"/>
          <w:szCs w:val="22"/>
        </w:rPr>
        <w:t>are they a higher education provider?</w:t>
      </w:r>
      <w:r w:rsidR="003617DC" w:rsidRPr="00235A56">
        <w:rPr>
          <w:rFonts w:ascii="Helvetica" w:hAnsi="Helvetica" w:cs="Helvetica"/>
          <w:sz w:val="22"/>
          <w:szCs w:val="22"/>
        </w:rPr>
        <w:t xml:space="preserve"> </w:t>
      </w:r>
      <w:r w:rsidR="007C4C26" w:rsidRPr="00235A56">
        <w:rPr>
          <w:rFonts w:ascii="Helvetica" w:hAnsi="Helvetica" w:cs="Helvetica"/>
          <w:sz w:val="22"/>
          <w:szCs w:val="22"/>
        </w:rPr>
        <w:t>I</w:t>
      </w:r>
      <w:r w:rsidR="003617DC" w:rsidRPr="00235A56">
        <w:rPr>
          <w:rFonts w:ascii="Helvetica" w:hAnsi="Helvetica" w:cs="Helvetica"/>
          <w:sz w:val="22"/>
          <w:szCs w:val="22"/>
        </w:rPr>
        <w:t>f they meet the research requirements what then makes them different from a university?</w:t>
      </w:r>
    </w:p>
    <w:p w:rsidR="00262544" w:rsidRPr="00235A56" w:rsidRDefault="00262544">
      <w:pPr>
        <w:spacing w:after="0"/>
        <w:jc w:val="left"/>
        <w:rPr>
          <w:rFonts w:ascii="Helvetica" w:eastAsiaTheme="majorEastAsia" w:hAnsi="Helvetica" w:cs="Helvetica"/>
          <w:color w:val="2F5496" w:themeColor="accent1" w:themeShade="BF"/>
          <w:sz w:val="22"/>
          <w:szCs w:val="22"/>
        </w:rPr>
      </w:pPr>
      <w:bookmarkStart w:id="3" w:name="_Toc521506928"/>
      <w:bookmarkStart w:id="4" w:name="_Toc521507386"/>
      <w:bookmarkStart w:id="5" w:name="_Toc521507429"/>
      <w:bookmarkEnd w:id="3"/>
      <w:bookmarkEnd w:id="4"/>
      <w:bookmarkEnd w:id="5"/>
      <w:r w:rsidRPr="00235A56">
        <w:rPr>
          <w:rFonts w:ascii="Helvetica" w:hAnsi="Helvetica" w:cs="Helvetica"/>
          <w:sz w:val="22"/>
          <w:szCs w:val="22"/>
        </w:rPr>
        <w:br w:type="page"/>
      </w:r>
    </w:p>
    <w:p w:rsidR="00B835F2" w:rsidRPr="00235A56" w:rsidRDefault="00B835F2" w:rsidP="00F72CF2">
      <w:pPr>
        <w:pStyle w:val="Heading1"/>
        <w:rPr>
          <w:rFonts w:ascii="Helvetica" w:hAnsi="Helvetica" w:cs="Helvetica"/>
          <w:sz w:val="28"/>
          <w:szCs w:val="28"/>
        </w:rPr>
      </w:pPr>
      <w:r w:rsidRPr="00235A56">
        <w:rPr>
          <w:rFonts w:ascii="Helvetica" w:hAnsi="Helvetica" w:cs="Helvetica"/>
          <w:sz w:val="28"/>
          <w:szCs w:val="28"/>
        </w:rPr>
        <w:lastRenderedPageBreak/>
        <w:t>System architecture issues</w:t>
      </w:r>
    </w:p>
    <w:p w:rsidR="00B835F2" w:rsidRPr="00235A56" w:rsidRDefault="00B835F2" w:rsidP="00E367D3">
      <w:pPr>
        <w:rPr>
          <w:rFonts w:ascii="Helvetica" w:hAnsi="Helvetica" w:cs="Helvetica"/>
          <w:sz w:val="22"/>
          <w:szCs w:val="22"/>
        </w:rPr>
      </w:pPr>
      <w:r w:rsidRPr="00235A56">
        <w:rPr>
          <w:rFonts w:ascii="Helvetica" w:hAnsi="Helvetica" w:cs="Helvetica"/>
          <w:sz w:val="22"/>
          <w:szCs w:val="22"/>
        </w:rPr>
        <w:t xml:space="preserve">A number of issues were identified relating to the operation and effects </w:t>
      </w:r>
      <w:r w:rsidR="00D56F66" w:rsidRPr="00235A56">
        <w:rPr>
          <w:rFonts w:ascii="Helvetica" w:hAnsi="Helvetica" w:cs="Helvetica"/>
          <w:sz w:val="22"/>
          <w:szCs w:val="22"/>
        </w:rPr>
        <w:t xml:space="preserve">of </w:t>
      </w:r>
      <w:r w:rsidRPr="00235A56">
        <w:rPr>
          <w:rFonts w:ascii="Helvetica" w:hAnsi="Helvetica" w:cs="Helvetica"/>
          <w:sz w:val="22"/>
          <w:szCs w:val="22"/>
        </w:rPr>
        <w:t>the PCS as part of broader system architecture beyond their narrow role as part of the regulatory framework.</w:t>
      </w:r>
    </w:p>
    <w:p w:rsidR="00B835F2" w:rsidRPr="00235A56" w:rsidRDefault="00A8769F" w:rsidP="00A8769F">
      <w:pPr>
        <w:pStyle w:val="Heading2"/>
        <w:rPr>
          <w:rFonts w:ascii="Helvetica" w:hAnsi="Helvetica" w:cs="Helvetica"/>
          <w:sz w:val="24"/>
          <w:szCs w:val="24"/>
        </w:rPr>
      </w:pPr>
      <w:r w:rsidRPr="00235A56">
        <w:rPr>
          <w:rFonts w:ascii="Helvetica" w:hAnsi="Helvetica" w:cs="Helvetica"/>
          <w:sz w:val="24"/>
          <w:szCs w:val="24"/>
        </w:rPr>
        <w:t xml:space="preserve">7.1. </w:t>
      </w:r>
      <w:r w:rsidR="00B835F2" w:rsidRPr="00235A56">
        <w:rPr>
          <w:rFonts w:ascii="Helvetica" w:hAnsi="Helvetica" w:cs="Helvetica"/>
          <w:sz w:val="24"/>
          <w:szCs w:val="24"/>
        </w:rPr>
        <w:t>Market signalling and market position</w:t>
      </w:r>
    </w:p>
    <w:p w:rsidR="00B835F2" w:rsidRPr="00235A56" w:rsidRDefault="00B835F2" w:rsidP="00FF1F22">
      <w:pPr>
        <w:rPr>
          <w:rFonts w:ascii="Helvetica" w:hAnsi="Helvetica" w:cs="Helvetica"/>
          <w:sz w:val="22"/>
          <w:szCs w:val="22"/>
        </w:rPr>
      </w:pPr>
      <w:r w:rsidRPr="00235A56">
        <w:rPr>
          <w:rFonts w:ascii="Helvetica" w:hAnsi="Helvetica" w:cs="Helvetica"/>
          <w:sz w:val="22"/>
          <w:szCs w:val="22"/>
        </w:rPr>
        <w:t xml:space="preserve">The PCS through their purpose in protecting the term university, are currently operating as a market signal for provider activity and quality. This is in line with what can be expected </w:t>
      </w:r>
      <w:r w:rsidR="00D2035F" w:rsidRPr="00235A56">
        <w:rPr>
          <w:rFonts w:ascii="Helvetica" w:hAnsi="Helvetica" w:cs="Helvetica"/>
          <w:sz w:val="22"/>
          <w:szCs w:val="22"/>
        </w:rPr>
        <w:t>considering</w:t>
      </w:r>
      <w:r w:rsidRPr="00235A56">
        <w:rPr>
          <w:rFonts w:ascii="Helvetica" w:hAnsi="Helvetica" w:cs="Helvetica"/>
          <w:sz w:val="22"/>
          <w:szCs w:val="22"/>
        </w:rPr>
        <w:t xml:space="preserve"> international experience of categorisation. All stakeholders noted that in protecting the term university, the PCS are seen to generate an important marker for students and industry of the type of activity undertaken. It would be disingenuous to claim that the title university in Australia does not carry significant weight in terms of the expectations of students and community.</w:t>
      </w:r>
      <w:r w:rsidR="00FF1F22" w:rsidRPr="00235A56">
        <w:rPr>
          <w:rFonts w:ascii="Helvetica" w:hAnsi="Helvetica" w:cs="Helvetica"/>
          <w:sz w:val="22"/>
          <w:szCs w:val="22"/>
        </w:rPr>
        <w:t xml:space="preserve"> Indeed, this is the utility of the Overseas University category in ensuring that overseas universities operating in Australia meet community and academic expectations.</w:t>
      </w:r>
      <w:r w:rsidR="00DF7848" w:rsidRPr="00235A56">
        <w:rPr>
          <w:rFonts w:ascii="Helvetica" w:hAnsi="Helvetica" w:cs="Helvetica"/>
          <w:sz w:val="22"/>
          <w:szCs w:val="22"/>
        </w:rPr>
        <w:t xml:space="preserve"> </w:t>
      </w:r>
      <w:r w:rsidR="00FF1F22" w:rsidRPr="00235A56">
        <w:rPr>
          <w:rFonts w:ascii="Helvetica" w:hAnsi="Helvetica" w:cs="Helvetica"/>
          <w:sz w:val="22"/>
          <w:szCs w:val="22"/>
        </w:rPr>
        <w:t>This was a point made by several consultees.</w:t>
      </w:r>
    </w:p>
    <w:p w:rsidR="00B835F2" w:rsidRPr="00235A56" w:rsidRDefault="00B835F2" w:rsidP="00E367D3">
      <w:pPr>
        <w:rPr>
          <w:rFonts w:ascii="Helvetica" w:hAnsi="Helvetica" w:cs="Helvetica"/>
          <w:sz w:val="22"/>
          <w:szCs w:val="22"/>
        </w:rPr>
      </w:pPr>
      <w:r w:rsidRPr="00235A56">
        <w:rPr>
          <w:rFonts w:ascii="Helvetica" w:hAnsi="Helvetica" w:cs="Helvetica"/>
          <w:sz w:val="22"/>
          <w:szCs w:val="22"/>
        </w:rPr>
        <w:t xml:space="preserve">There was concern voiced during consultations that universities perceive the possibility of diminishing their status and reputation through opening up the Australian University category to providers without the same commitment to research as the current providers in the University categories. Several university stakeholders articulated the concern that new entrants could undermine the university label’s credibility and ultimately affect business models in particular with respect to the international market position. </w:t>
      </w:r>
    </w:p>
    <w:p w:rsidR="00B835F2" w:rsidRPr="00235A56" w:rsidRDefault="00B835F2" w:rsidP="00E367D3">
      <w:pPr>
        <w:rPr>
          <w:rFonts w:ascii="Helvetica" w:hAnsi="Helvetica" w:cs="Helvetica"/>
          <w:sz w:val="22"/>
          <w:szCs w:val="22"/>
        </w:rPr>
      </w:pPr>
      <w:r w:rsidRPr="00235A56">
        <w:rPr>
          <w:rFonts w:ascii="Helvetica" w:hAnsi="Helvetica" w:cs="Helvetica"/>
          <w:sz w:val="22"/>
          <w:szCs w:val="22"/>
        </w:rPr>
        <w:t xml:space="preserve">In conveying a market signal and information about providers, the categories are provider-centric not learner-centric, in the sense that the bifurcation between universities and those effectively defined as non-universities can </w:t>
      </w:r>
      <w:r w:rsidR="000E2AC4" w:rsidRPr="00235A56">
        <w:rPr>
          <w:rFonts w:ascii="Helvetica" w:hAnsi="Helvetica" w:cs="Helvetica"/>
          <w:sz w:val="22"/>
          <w:szCs w:val="22"/>
        </w:rPr>
        <w:t>in</w:t>
      </w:r>
      <w:r w:rsidRPr="00235A56">
        <w:rPr>
          <w:rFonts w:ascii="Helvetica" w:hAnsi="Helvetica" w:cs="Helvetica"/>
          <w:sz w:val="22"/>
          <w:szCs w:val="22"/>
        </w:rPr>
        <w:t xml:space="preserve">advertently </w:t>
      </w:r>
      <w:r w:rsidR="000E2AC4" w:rsidRPr="00235A56">
        <w:rPr>
          <w:rFonts w:ascii="Helvetica" w:hAnsi="Helvetica" w:cs="Helvetica"/>
          <w:sz w:val="22"/>
          <w:szCs w:val="22"/>
        </w:rPr>
        <w:t>suggest</w:t>
      </w:r>
      <w:r w:rsidRPr="00235A56">
        <w:rPr>
          <w:rFonts w:ascii="Helvetica" w:hAnsi="Helvetica" w:cs="Helvetica"/>
          <w:sz w:val="22"/>
          <w:szCs w:val="22"/>
        </w:rPr>
        <w:t xml:space="preserve"> a different type of education, despite all providers being subject to the </w:t>
      </w:r>
      <w:r w:rsidR="000143E6" w:rsidRPr="00235A56">
        <w:rPr>
          <w:rFonts w:ascii="Helvetica" w:hAnsi="Helvetica" w:cs="Helvetica"/>
          <w:sz w:val="22"/>
          <w:szCs w:val="22"/>
        </w:rPr>
        <w:t>HES</w:t>
      </w:r>
      <w:r w:rsidRPr="00235A56">
        <w:rPr>
          <w:rFonts w:ascii="Helvetica" w:hAnsi="Helvetica" w:cs="Helvetica"/>
          <w:sz w:val="22"/>
          <w:szCs w:val="22"/>
        </w:rPr>
        <w:t>. Some of the stakeholders consulted saw this as problematic.</w:t>
      </w:r>
    </w:p>
    <w:p w:rsidR="00B835F2" w:rsidRPr="00235A56" w:rsidRDefault="00B835F2" w:rsidP="00E367D3">
      <w:pPr>
        <w:rPr>
          <w:rFonts w:ascii="Helvetica" w:hAnsi="Helvetica" w:cs="Helvetica"/>
          <w:sz w:val="22"/>
          <w:szCs w:val="22"/>
        </w:rPr>
      </w:pPr>
      <w:r w:rsidRPr="00235A56">
        <w:rPr>
          <w:rFonts w:ascii="Helvetica" w:hAnsi="Helvetica" w:cs="Helvetica"/>
          <w:sz w:val="22"/>
          <w:szCs w:val="22"/>
        </w:rPr>
        <w:t>A downside of the categories acting as a market signal is that the PCS are seen by some of the non-university stakeholders to be to be delivering an undue market advantage to providers in the university categories. This fits with research highlighting the potential for categorisation to lead to positional ranking. Nomenclature is not neutral in the sense that status implicitly or explicitly is associated with the title of a provider, and so being in a university category endows a reputational and market advantage. Some stakeholders noted that the PCS are seen to reinforce an arbitrary hierarchy across Australian higher education, as they suggest that advanced knowledge only exists in those institutions classified as universities, which undertake a range of research activities.</w:t>
      </w:r>
    </w:p>
    <w:p w:rsidR="00B835F2" w:rsidRPr="00235A56" w:rsidRDefault="00A8769F" w:rsidP="00A8769F">
      <w:pPr>
        <w:pStyle w:val="Heading2"/>
        <w:rPr>
          <w:rFonts w:ascii="Helvetica" w:hAnsi="Helvetica" w:cs="Helvetica"/>
          <w:sz w:val="24"/>
          <w:szCs w:val="24"/>
        </w:rPr>
      </w:pPr>
      <w:r w:rsidRPr="00235A56">
        <w:rPr>
          <w:rFonts w:ascii="Helvetica" w:hAnsi="Helvetica" w:cs="Helvetica"/>
          <w:sz w:val="24"/>
          <w:szCs w:val="24"/>
        </w:rPr>
        <w:t xml:space="preserve">7.2. </w:t>
      </w:r>
      <w:r w:rsidR="00B835F2" w:rsidRPr="00235A56">
        <w:rPr>
          <w:rFonts w:ascii="Helvetica" w:hAnsi="Helvetica" w:cs="Helvetica"/>
          <w:sz w:val="24"/>
          <w:szCs w:val="24"/>
        </w:rPr>
        <w:t xml:space="preserve">Link to diversity in </w:t>
      </w:r>
      <w:r w:rsidR="000E2AC4" w:rsidRPr="00235A56">
        <w:rPr>
          <w:rFonts w:ascii="Helvetica" w:hAnsi="Helvetica" w:cs="Helvetica"/>
          <w:sz w:val="24"/>
          <w:szCs w:val="24"/>
        </w:rPr>
        <w:t>Australian</w:t>
      </w:r>
      <w:r w:rsidR="00B835F2" w:rsidRPr="00235A56">
        <w:rPr>
          <w:rFonts w:ascii="Helvetica" w:hAnsi="Helvetica" w:cs="Helvetica"/>
          <w:sz w:val="24"/>
          <w:szCs w:val="24"/>
        </w:rPr>
        <w:t xml:space="preserve"> higher education </w:t>
      </w:r>
    </w:p>
    <w:p w:rsidR="00D56F66" w:rsidRPr="00235A56" w:rsidRDefault="00B835F2" w:rsidP="00E367D3">
      <w:pPr>
        <w:rPr>
          <w:rFonts w:ascii="Helvetica" w:hAnsi="Helvetica" w:cs="Helvetica"/>
          <w:sz w:val="22"/>
          <w:szCs w:val="22"/>
        </w:rPr>
      </w:pPr>
      <w:r w:rsidRPr="00235A56">
        <w:rPr>
          <w:rFonts w:ascii="Helvetica" w:hAnsi="Helvetica" w:cs="Helvetica"/>
          <w:sz w:val="22"/>
          <w:szCs w:val="22"/>
        </w:rPr>
        <w:t>TEQSA is charged with encouraging, protecting and enhancing diversity and innovation in higher education in Australia, as articulated as one of the Objects of the Tertiary Education Quality and Standards Agenc</w:t>
      </w:r>
      <w:r w:rsidR="000143E6" w:rsidRPr="00235A56">
        <w:rPr>
          <w:rFonts w:ascii="Helvetica" w:hAnsi="Helvetica" w:cs="Helvetica"/>
          <w:sz w:val="22"/>
          <w:szCs w:val="22"/>
        </w:rPr>
        <w:t>y Act 2011 in section 3(c)(iii) (TEQSA</w:t>
      </w:r>
      <w:r w:rsidR="006A21C9" w:rsidRPr="00235A56">
        <w:rPr>
          <w:rFonts w:ascii="Helvetica" w:hAnsi="Helvetica" w:cs="Helvetica"/>
          <w:sz w:val="22"/>
          <w:szCs w:val="22"/>
        </w:rPr>
        <w:t>,</w:t>
      </w:r>
      <w:r w:rsidR="000143E6" w:rsidRPr="00235A56">
        <w:rPr>
          <w:rFonts w:ascii="Helvetica" w:hAnsi="Helvetica" w:cs="Helvetica"/>
          <w:sz w:val="22"/>
          <w:szCs w:val="22"/>
        </w:rPr>
        <w:t xml:space="preserve"> 2011)</w:t>
      </w:r>
      <w:r w:rsidRPr="00235A56">
        <w:rPr>
          <w:rFonts w:ascii="Helvetica" w:hAnsi="Helvetica" w:cs="Helvetica"/>
          <w:sz w:val="22"/>
          <w:szCs w:val="22"/>
        </w:rPr>
        <w:t xml:space="preserve">. The current PCS create an arbitrary binary between “university” and everything not fitting that category, and while they do not prevent diversity, nor do they support and incentivise diversity, underplaying </w:t>
      </w:r>
      <w:r w:rsidR="00D56F66" w:rsidRPr="00235A56">
        <w:rPr>
          <w:rFonts w:ascii="Helvetica" w:hAnsi="Helvetica" w:cs="Helvetica"/>
          <w:sz w:val="22"/>
          <w:szCs w:val="22"/>
        </w:rPr>
        <w:t>practice-based</w:t>
      </w:r>
      <w:r w:rsidRPr="00235A56">
        <w:rPr>
          <w:rFonts w:ascii="Helvetica" w:hAnsi="Helvetica" w:cs="Helvetica"/>
          <w:sz w:val="22"/>
          <w:szCs w:val="22"/>
        </w:rPr>
        <w:t xml:space="preserve"> learning and industry advancement. Viewed from another stand point, they do </w:t>
      </w:r>
      <w:r w:rsidR="00D56F66" w:rsidRPr="00235A56">
        <w:rPr>
          <w:rFonts w:ascii="Helvetica" w:hAnsi="Helvetica" w:cs="Helvetica"/>
          <w:sz w:val="22"/>
          <w:szCs w:val="22"/>
        </w:rPr>
        <w:t>not reflect the rapidly changing nature of knowledge in the workplace. Increasingly, and certainly with respect to the foreseeable future, higher end vocational jobs require a broader set of skills and capabilities rather than competencies based on past practices.</w:t>
      </w:r>
    </w:p>
    <w:p w:rsidR="00B835F2" w:rsidRPr="00235A56" w:rsidRDefault="00B835F2" w:rsidP="00E367D3">
      <w:pPr>
        <w:rPr>
          <w:rFonts w:ascii="Helvetica" w:hAnsi="Helvetica" w:cs="Helvetica"/>
          <w:sz w:val="22"/>
          <w:szCs w:val="22"/>
        </w:rPr>
      </w:pPr>
      <w:r w:rsidRPr="00235A56">
        <w:rPr>
          <w:rFonts w:ascii="Helvetica" w:hAnsi="Helvetica" w:cs="Helvetica"/>
          <w:sz w:val="22"/>
          <w:szCs w:val="22"/>
        </w:rPr>
        <w:t xml:space="preserve">The basis of the PCS in </w:t>
      </w:r>
      <w:r w:rsidRPr="00235A56">
        <w:rPr>
          <w:rFonts w:ascii="Helvetica" w:hAnsi="Helvetica" w:cs="Helvetica"/>
          <w:i/>
          <w:sz w:val="22"/>
          <w:szCs w:val="22"/>
        </w:rPr>
        <w:t>a priori</w:t>
      </w:r>
      <w:r w:rsidRPr="00235A56">
        <w:rPr>
          <w:rFonts w:ascii="Helvetica" w:hAnsi="Helvetica" w:cs="Helvetica"/>
          <w:sz w:val="22"/>
          <w:szCs w:val="22"/>
        </w:rPr>
        <w:t xml:space="preserve"> categorisation rules does not currently promote useful differentiation between provider missions, in particular for the “non-university” providers. Higher education providers, especially dual sector institutions, find themselves in a complex </w:t>
      </w:r>
      <w:r w:rsidRPr="00235A56">
        <w:rPr>
          <w:rFonts w:ascii="Helvetica" w:hAnsi="Helvetica" w:cs="Helvetica"/>
          <w:sz w:val="22"/>
          <w:szCs w:val="22"/>
        </w:rPr>
        <w:lastRenderedPageBreak/>
        <w:t xml:space="preserve">web of regulation of which the PCS are part. </w:t>
      </w:r>
      <w:r w:rsidRPr="00235A56">
        <w:rPr>
          <w:rFonts w:ascii="Helvetica" w:eastAsia="Times New Roman" w:hAnsi="Helvetica" w:cs="Helvetica"/>
          <w:color w:val="000000"/>
          <w:sz w:val="22"/>
          <w:szCs w:val="22"/>
        </w:rPr>
        <w:t xml:space="preserve">A review of the system architecture more broadly in terms of system diversity and performance, which could examine the utility of vertical diversity, such as in </w:t>
      </w:r>
      <w:r w:rsidR="00D56F66" w:rsidRPr="00235A56">
        <w:rPr>
          <w:rFonts w:ascii="Helvetica" w:eastAsia="Times New Roman" w:hAnsi="Helvetica" w:cs="Helvetica"/>
          <w:color w:val="000000"/>
          <w:sz w:val="22"/>
          <w:szCs w:val="22"/>
        </w:rPr>
        <w:t>China and Germany</w:t>
      </w:r>
      <w:r w:rsidRPr="00235A56">
        <w:rPr>
          <w:rFonts w:ascii="Helvetica" w:eastAsia="Times New Roman" w:hAnsi="Helvetica" w:cs="Helvetica"/>
          <w:color w:val="000000"/>
          <w:sz w:val="22"/>
          <w:szCs w:val="22"/>
        </w:rPr>
        <w:t xml:space="preserve"> or horizontal differentiation </w:t>
      </w:r>
      <w:r w:rsidR="00D56F66" w:rsidRPr="00235A56">
        <w:rPr>
          <w:rFonts w:ascii="Helvetica" w:eastAsia="Times New Roman" w:hAnsi="Helvetica" w:cs="Helvetica"/>
          <w:color w:val="000000"/>
          <w:sz w:val="22"/>
          <w:szCs w:val="22"/>
        </w:rPr>
        <w:t>such as in The Netherlands and Ontario, may be considered if enhancing diversity, quality and innovation is on the agenda</w:t>
      </w:r>
      <w:r w:rsidRPr="00235A56">
        <w:rPr>
          <w:rFonts w:ascii="Helvetica" w:eastAsia="Times New Roman" w:hAnsi="Helvetica" w:cs="Helvetica"/>
          <w:color w:val="000000"/>
          <w:sz w:val="22"/>
          <w:szCs w:val="22"/>
        </w:rPr>
        <w:t>.</w:t>
      </w:r>
    </w:p>
    <w:p w:rsidR="00B835F2" w:rsidRPr="00235A56" w:rsidRDefault="00A8769F" w:rsidP="00A8769F">
      <w:pPr>
        <w:pStyle w:val="Heading2"/>
        <w:rPr>
          <w:rFonts w:ascii="Helvetica" w:hAnsi="Helvetica" w:cs="Helvetica"/>
          <w:sz w:val="24"/>
          <w:szCs w:val="24"/>
        </w:rPr>
      </w:pPr>
      <w:r w:rsidRPr="00235A56">
        <w:rPr>
          <w:rFonts w:ascii="Helvetica" w:hAnsi="Helvetica" w:cs="Helvetica"/>
          <w:sz w:val="24"/>
          <w:szCs w:val="24"/>
        </w:rPr>
        <w:t xml:space="preserve">7.3. </w:t>
      </w:r>
      <w:r w:rsidR="00B835F2" w:rsidRPr="00235A56">
        <w:rPr>
          <w:rFonts w:ascii="Helvetica" w:hAnsi="Helvetica" w:cs="Helvetica"/>
          <w:sz w:val="24"/>
          <w:szCs w:val="24"/>
        </w:rPr>
        <w:t>Unavoidably linked to issues around transparency and funding</w:t>
      </w:r>
    </w:p>
    <w:p w:rsidR="00B835F2" w:rsidRPr="00235A56" w:rsidRDefault="00B835F2" w:rsidP="00E367D3">
      <w:pPr>
        <w:rPr>
          <w:rFonts w:ascii="Helvetica" w:hAnsi="Helvetica" w:cs="Helvetica"/>
          <w:sz w:val="22"/>
          <w:szCs w:val="22"/>
        </w:rPr>
      </w:pPr>
      <w:r w:rsidRPr="00235A56">
        <w:rPr>
          <w:rFonts w:ascii="Helvetica" w:hAnsi="Helvetica" w:cs="Helvetica"/>
          <w:sz w:val="22"/>
          <w:szCs w:val="22"/>
        </w:rPr>
        <w:t xml:space="preserve">The research on international practice suggests that categorisation can affect system transparency. Stakeholders argued for the importance of transparency around provider activity as a key issue for a student-centred system, noting that while the PCS currently do not play a direct role in providing transparency, they could in the context of any change to them. Moreover, some stakeholders noted that while the PCS are neither purposed nor designed as a transparency tool, their breadth does not serve to enhance transparency of provider activity and quality and may obscure it. For example, transparency may become more important for the PCS in relation to inter-institutional ventures, such as joint masters and </w:t>
      </w:r>
      <w:r w:rsidR="00D56F66" w:rsidRPr="00235A56">
        <w:rPr>
          <w:rFonts w:ascii="Helvetica" w:hAnsi="Helvetica" w:cs="Helvetica"/>
          <w:sz w:val="22"/>
          <w:szCs w:val="22"/>
        </w:rPr>
        <w:t xml:space="preserve">other </w:t>
      </w:r>
      <w:r w:rsidRPr="00235A56">
        <w:rPr>
          <w:rFonts w:ascii="Helvetica" w:hAnsi="Helvetica" w:cs="Helvetica"/>
          <w:sz w:val="22"/>
          <w:szCs w:val="22"/>
        </w:rPr>
        <w:t xml:space="preserve">joint </w:t>
      </w:r>
      <w:r w:rsidR="00D56F66" w:rsidRPr="00235A56">
        <w:rPr>
          <w:rFonts w:ascii="Helvetica" w:hAnsi="Helvetica" w:cs="Helvetica"/>
          <w:sz w:val="22"/>
          <w:szCs w:val="22"/>
        </w:rPr>
        <w:t xml:space="preserve">program </w:t>
      </w:r>
      <w:r w:rsidRPr="00235A56">
        <w:rPr>
          <w:rFonts w:ascii="Helvetica" w:hAnsi="Helvetica" w:cs="Helvetica"/>
          <w:sz w:val="22"/>
          <w:szCs w:val="22"/>
        </w:rPr>
        <w:t>provision, with the challenge being how to effectively capture these ventures as part of the PCS.</w:t>
      </w:r>
    </w:p>
    <w:p w:rsidR="00B835F2" w:rsidRPr="00235A56" w:rsidRDefault="00B835F2" w:rsidP="00E367D3">
      <w:pPr>
        <w:rPr>
          <w:rFonts w:ascii="Helvetica" w:hAnsi="Helvetica" w:cs="Helvetica"/>
          <w:sz w:val="22"/>
          <w:szCs w:val="22"/>
        </w:rPr>
      </w:pPr>
      <w:r w:rsidRPr="00235A56">
        <w:rPr>
          <w:rFonts w:ascii="Helvetica" w:hAnsi="Helvetica" w:cs="Helvetica"/>
          <w:sz w:val="22"/>
          <w:szCs w:val="22"/>
        </w:rPr>
        <w:t>While the PCS have no direct relationship to access to Commonwealth government funding for teaching or research, a significant number of stakeholders see them as unavoidably linked to the broader issue of access to public finances. It was noted by stakeholders that it was unlikely that new entrants to the university category would not eventually have access to public funds that the Australian universities currently do, and so any change to the categories could not be undertaken in isolation of the broader context of higher education financing policies. Any category change could influence those providers who can access major programs such as the Commonwealth Grant Scheme or Australian Research Council funding, which likely would not be welcomed by those currently having access to them.</w:t>
      </w:r>
    </w:p>
    <w:p w:rsidR="00B835F2" w:rsidRPr="00235A56" w:rsidRDefault="00B835F2" w:rsidP="00E367D3">
      <w:pPr>
        <w:rPr>
          <w:rFonts w:ascii="Helvetica" w:hAnsi="Helvetica" w:cs="Helvetica"/>
          <w:sz w:val="22"/>
          <w:szCs w:val="22"/>
        </w:rPr>
      </w:pPr>
      <w:r w:rsidRPr="00235A56">
        <w:rPr>
          <w:rFonts w:ascii="Helvetica" w:hAnsi="Helvetica" w:cs="Helvetica"/>
          <w:sz w:val="22"/>
          <w:szCs w:val="22"/>
        </w:rPr>
        <w:t xml:space="preserve">One way to address the perception that the PCS </w:t>
      </w:r>
      <w:r w:rsidR="00D56F66" w:rsidRPr="00235A56">
        <w:rPr>
          <w:rFonts w:ascii="Helvetica" w:hAnsi="Helvetica" w:cs="Helvetica"/>
          <w:sz w:val="22"/>
          <w:szCs w:val="22"/>
        </w:rPr>
        <w:t>is not too well-suited to act as a transparency tool</w:t>
      </w:r>
      <w:r w:rsidRPr="00235A56">
        <w:rPr>
          <w:rFonts w:ascii="Helvetica" w:hAnsi="Helvetica" w:cs="Helvetica"/>
          <w:sz w:val="22"/>
          <w:szCs w:val="22"/>
        </w:rPr>
        <w:t xml:space="preserve"> is to further expand on the </w:t>
      </w:r>
      <w:r w:rsidR="00007838" w:rsidRPr="00235A56">
        <w:rPr>
          <w:rFonts w:ascii="Helvetica" w:hAnsi="Helvetica" w:cs="Helvetica"/>
          <w:sz w:val="22"/>
          <w:szCs w:val="22"/>
        </w:rPr>
        <w:t xml:space="preserve">Quality Indicators for </w:t>
      </w:r>
      <w:r w:rsidR="009829B3" w:rsidRPr="00235A56">
        <w:rPr>
          <w:rFonts w:ascii="Helvetica" w:hAnsi="Helvetica" w:cs="Helvetica"/>
          <w:sz w:val="22"/>
          <w:szCs w:val="22"/>
        </w:rPr>
        <w:t>Learning</w:t>
      </w:r>
      <w:r w:rsidR="00007838" w:rsidRPr="00235A56">
        <w:rPr>
          <w:rFonts w:ascii="Helvetica" w:hAnsi="Helvetica" w:cs="Helvetica"/>
          <w:sz w:val="22"/>
          <w:szCs w:val="22"/>
        </w:rPr>
        <w:t xml:space="preserve"> and Teaching (</w:t>
      </w:r>
      <w:r w:rsidRPr="00235A56">
        <w:rPr>
          <w:rFonts w:ascii="Helvetica" w:hAnsi="Helvetica" w:cs="Helvetica"/>
          <w:sz w:val="22"/>
          <w:szCs w:val="22"/>
        </w:rPr>
        <w:t>QILT</w:t>
      </w:r>
      <w:r w:rsidR="00007838" w:rsidRPr="00235A56">
        <w:rPr>
          <w:rFonts w:ascii="Helvetica" w:hAnsi="Helvetica" w:cs="Helvetica"/>
          <w:sz w:val="22"/>
          <w:szCs w:val="22"/>
        </w:rPr>
        <w:t>)</w:t>
      </w:r>
      <w:r w:rsidRPr="00235A56">
        <w:rPr>
          <w:rFonts w:ascii="Helvetica" w:hAnsi="Helvetica" w:cs="Helvetica"/>
          <w:sz w:val="22"/>
          <w:szCs w:val="22"/>
        </w:rPr>
        <w:t xml:space="preserve"> data to provide students/parents/industry with more transparency on institutional performance, noting that the vast number of HEPs do not feature in QILT.</w:t>
      </w:r>
    </w:p>
    <w:p w:rsidR="00CF6D46" w:rsidRPr="00235A56" w:rsidRDefault="00CF6D46">
      <w:pPr>
        <w:spacing w:after="0"/>
        <w:jc w:val="left"/>
        <w:rPr>
          <w:rFonts w:ascii="Helvetica" w:hAnsi="Helvetica" w:cs="Helvetica"/>
          <w:sz w:val="22"/>
          <w:szCs w:val="22"/>
        </w:rPr>
      </w:pPr>
      <w:r w:rsidRPr="00235A56">
        <w:rPr>
          <w:rFonts w:ascii="Helvetica" w:hAnsi="Helvetica" w:cs="Helvetica"/>
          <w:sz w:val="22"/>
          <w:szCs w:val="22"/>
        </w:rPr>
        <w:br w:type="page"/>
      </w:r>
    </w:p>
    <w:p w:rsidR="00B835F2" w:rsidRPr="00235A56" w:rsidRDefault="00B835F2" w:rsidP="00F72CF2">
      <w:pPr>
        <w:pStyle w:val="Heading1"/>
        <w:rPr>
          <w:rFonts w:ascii="Helvetica" w:hAnsi="Helvetica" w:cs="Helvetica"/>
          <w:sz w:val="28"/>
          <w:szCs w:val="28"/>
        </w:rPr>
      </w:pPr>
      <w:r w:rsidRPr="00235A56">
        <w:rPr>
          <w:rFonts w:ascii="Helvetica" w:hAnsi="Helvetica" w:cs="Helvetica"/>
          <w:sz w:val="28"/>
          <w:szCs w:val="28"/>
        </w:rPr>
        <w:lastRenderedPageBreak/>
        <w:t>Suggestions for the Provider Category Standards Review Methodology</w:t>
      </w:r>
    </w:p>
    <w:p w:rsidR="00B835F2" w:rsidRPr="00235A56" w:rsidRDefault="00B835F2" w:rsidP="00E367D3">
      <w:pPr>
        <w:rPr>
          <w:rFonts w:ascii="Helvetica" w:hAnsi="Helvetica" w:cs="Helvetica"/>
          <w:sz w:val="22"/>
          <w:szCs w:val="22"/>
        </w:rPr>
      </w:pPr>
      <w:r w:rsidRPr="00235A56">
        <w:rPr>
          <w:rFonts w:ascii="Helvetica" w:hAnsi="Helvetica" w:cs="Helvetica"/>
          <w:sz w:val="22"/>
          <w:szCs w:val="22"/>
        </w:rPr>
        <w:t xml:space="preserve">This scoping study has identified </w:t>
      </w:r>
      <w:r w:rsidR="00D2035F" w:rsidRPr="00235A56">
        <w:rPr>
          <w:rFonts w:ascii="Helvetica" w:hAnsi="Helvetica" w:cs="Helvetica"/>
          <w:sz w:val="22"/>
          <w:szCs w:val="22"/>
        </w:rPr>
        <w:t>several</w:t>
      </w:r>
      <w:r w:rsidRPr="00235A56">
        <w:rPr>
          <w:rFonts w:ascii="Helvetica" w:hAnsi="Helvetica" w:cs="Helvetica"/>
          <w:sz w:val="22"/>
          <w:szCs w:val="22"/>
        </w:rPr>
        <w:t xml:space="preserve"> technical and other issues.</w:t>
      </w:r>
      <w:r w:rsidR="00DF7848" w:rsidRPr="00235A56">
        <w:rPr>
          <w:rFonts w:ascii="Helvetica" w:hAnsi="Helvetica" w:cs="Helvetica"/>
          <w:sz w:val="22"/>
          <w:szCs w:val="22"/>
        </w:rPr>
        <w:t xml:space="preserve"> </w:t>
      </w:r>
      <w:r w:rsidRPr="00235A56">
        <w:rPr>
          <w:rFonts w:ascii="Helvetica" w:hAnsi="Helvetica" w:cs="Helvetica"/>
          <w:sz w:val="22"/>
          <w:szCs w:val="22"/>
        </w:rPr>
        <w:t>These range from administrative burden of duplication of requirements, to progression pathway</w:t>
      </w:r>
      <w:r w:rsidR="0036150A" w:rsidRPr="00235A56">
        <w:rPr>
          <w:rFonts w:ascii="Helvetica" w:hAnsi="Helvetica" w:cs="Helvetica"/>
          <w:sz w:val="22"/>
          <w:szCs w:val="22"/>
        </w:rPr>
        <w:t>s</w:t>
      </w:r>
      <w:r w:rsidRPr="00235A56">
        <w:rPr>
          <w:rFonts w:ascii="Helvetica" w:hAnsi="Helvetica" w:cs="Helvetica"/>
          <w:sz w:val="22"/>
          <w:szCs w:val="22"/>
        </w:rPr>
        <w:t xml:space="preserve"> and the time it takes to </w:t>
      </w:r>
      <w:r w:rsidR="00D56F66" w:rsidRPr="00235A56">
        <w:rPr>
          <w:rFonts w:ascii="Helvetica" w:hAnsi="Helvetica" w:cs="Helvetica"/>
          <w:sz w:val="22"/>
          <w:szCs w:val="22"/>
        </w:rPr>
        <w:t>transition</w:t>
      </w:r>
      <w:r w:rsidRPr="00235A56">
        <w:rPr>
          <w:rFonts w:ascii="Helvetica" w:hAnsi="Helvetica" w:cs="Helvetica"/>
          <w:sz w:val="22"/>
          <w:szCs w:val="22"/>
        </w:rPr>
        <w:t xml:space="preserve"> from one </w:t>
      </w:r>
      <w:r w:rsidR="00D56F66" w:rsidRPr="00235A56">
        <w:rPr>
          <w:rFonts w:ascii="Helvetica" w:hAnsi="Helvetica" w:cs="Helvetica"/>
          <w:sz w:val="22"/>
          <w:szCs w:val="22"/>
        </w:rPr>
        <w:t xml:space="preserve">category </w:t>
      </w:r>
      <w:r w:rsidRPr="00235A56">
        <w:rPr>
          <w:rFonts w:ascii="Helvetica" w:hAnsi="Helvetica" w:cs="Helvetica"/>
          <w:sz w:val="22"/>
          <w:szCs w:val="22"/>
        </w:rPr>
        <w:t>to another, to broader issues about the role of the PCS in the future in supporting system innovation and diversity.</w:t>
      </w:r>
      <w:r w:rsidR="005E3899" w:rsidRPr="00235A56">
        <w:rPr>
          <w:rFonts w:ascii="Helvetica" w:hAnsi="Helvetica" w:cs="Helvetica"/>
          <w:sz w:val="22"/>
          <w:szCs w:val="22"/>
        </w:rPr>
        <w:t xml:space="preserve"> </w:t>
      </w:r>
      <w:r w:rsidRPr="00235A56">
        <w:rPr>
          <w:rFonts w:ascii="Helvetica" w:hAnsi="Helvetica" w:cs="Helvetica"/>
          <w:sz w:val="22"/>
          <w:szCs w:val="22"/>
        </w:rPr>
        <w:t>A review could be undertaken in two phases as follows:</w:t>
      </w:r>
    </w:p>
    <w:p w:rsidR="00B835F2" w:rsidRPr="00235A56" w:rsidRDefault="00B835F2" w:rsidP="00E367D3">
      <w:pPr>
        <w:pStyle w:val="ListParagraph"/>
        <w:numPr>
          <w:ilvl w:val="0"/>
          <w:numId w:val="4"/>
        </w:numPr>
        <w:rPr>
          <w:rFonts w:ascii="Helvetica" w:hAnsi="Helvetica" w:cs="Helvetica"/>
        </w:rPr>
      </w:pPr>
      <w:r w:rsidRPr="00235A56">
        <w:rPr>
          <w:rFonts w:ascii="Helvetica" w:hAnsi="Helvetica" w:cs="Helvetica"/>
        </w:rPr>
        <w:t xml:space="preserve">Review technical issues and inconsistencies with the </w:t>
      </w:r>
      <w:r w:rsidR="0036150A" w:rsidRPr="00235A56">
        <w:rPr>
          <w:rFonts w:ascii="Helvetica" w:hAnsi="Helvetica" w:cs="Helvetica"/>
        </w:rPr>
        <w:t xml:space="preserve">current </w:t>
      </w:r>
      <w:r w:rsidRPr="00235A56">
        <w:rPr>
          <w:rFonts w:ascii="Helvetica" w:hAnsi="Helvetica" w:cs="Helvetica"/>
        </w:rPr>
        <w:t>PCS</w:t>
      </w:r>
    </w:p>
    <w:p w:rsidR="00B835F2" w:rsidRPr="00235A56" w:rsidRDefault="00B835F2" w:rsidP="00E367D3">
      <w:pPr>
        <w:pStyle w:val="ListParagraph"/>
        <w:numPr>
          <w:ilvl w:val="0"/>
          <w:numId w:val="4"/>
        </w:numPr>
        <w:rPr>
          <w:rFonts w:ascii="Helvetica" w:hAnsi="Helvetica" w:cs="Helvetica"/>
        </w:rPr>
      </w:pPr>
      <w:r w:rsidRPr="00235A56">
        <w:rPr>
          <w:rFonts w:ascii="Helvetica" w:hAnsi="Helvetica" w:cs="Helvetica"/>
        </w:rPr>
        <w:t xml:space="preserve">Review </w:t>
      </w:r>
      <w:r w:rsidR="0036150A" w:rsidRPr="00235A56">
        <w:rPr>
          <w:rFonts w:ascii="Helvetica" w:hAnsi="Helvetica" w:cs="Helvetica"/>
        </w:rPr>
        <w:t>the future role of the PCS</w:t>
      </w:r>
      <w:r w:rsidRPr="00235A56">
        <w:rPr>
          <w:rFonts w:ascii="Helvetica" w:hAnsi="Helvetica" w:cs="Helvetica"/>
        </w:rPr>
        <w:t xml:space="preserve"> in </w:t>
      </w:r>
      <w:r w:rsidR="00D56F66" w:rsidRPr="00235A56">
        <w:rPr>
          <w:rFonts w:ascii="Helvetica" w:hAnsi="Helvetica" w:cs="Helvetica"/>
        </w:rPr>
        <w:t xml:space="preserve">relation to </w:t>
      </w:r>
      <w:r w:rsidRPr="00235A56">
        <w:rPr>
          <w:rFonts w:ascii="Helvetica" w:hAnsi="Helvetica" w:cs="Helvetica"/>
        </w:rPr>
        <w:t>system architecture</w:t>
      </w:r>
    </w:p>
    <w:p w:rsidR="00471248" w:rsidRPr="00235A56" w:rsidRDefault="00471248" w:rsidP="00471248">
      <w:pPr>
        <w:rPr>
          <w:rFonts w:ascii="Helvetica" w:hAnsi="Helvetica" w:cs="Helvetica"/>
          <w:sz w:val="22"/>
          <w:szCs w:val="22"/>
        </w:rPr>
      </w:pPr>
      <w:r w:rsidRPr="00235A56">
        <w:rPr>
          <w:rFonts w:ascii="Helvetica" w:hAnsi="Helvetica" w:cs="Helvetica"/>
          <w:sz w:val="22"/>
          <w:szCs w:val="22"/>
        </w:rPr>
        <w:t>The logic of splitting the review into two phases recognises that there is varying significance and complexity of many of the issues, especially as they interact with other facets of regulation and system architecture. The interdependence of many of the identified issues adds to their significance and complexity, making it difficult to identify which are the easiest issues to deal with in isolation. For this reason, it is likely that only a limited number of issues can be changed without a comprehensive review of the future purpose of categorisation of higher education providers through the HES. These issues revolve around removing some administrative burden from the process of provider progression, clarifying and supporting TEQSA to resolve some inconsistencies in the current standards, and potentially removing the College categories.</w:t>
      </w:r>
    </w:p>
    <w:p w:rsidR="00B835F2" w:rsidRPr="00235A56" w:rsidRDefault="00B835F2" w:rsidP="0016639B">
      <w:pPr>
        <w:rPr>
          <w:rFonts w:ascii="Helvetica" w:hAnsi="Helvetica" w:cs="Helvetica"/>
          <w:sz w:val="22"/>
          <w:szCs w:val="22"/>
        </w:rPr>
      </w:pPr>
      <w:r w:rsidRPr="00235A56">
        <w:rPr>
          <w:rFonts w:ascii="Helvetica" w:hAnsi="Helvetica" w:cs="Helvetica"/>
          <w:sz w:val="22"/>
          <w:szCs w:val="22"/>
        </w:rPr>
        <w:t xml:space="preserve">Dividing a review into phases allows </w:t>
      </w:r>
      <w:r w:rsidR="00D56F66" w:rsidRPr="00235A56">
        <w:rPr>
          <w:rFonts w:ascii="Helvetica" w:hAnsi="Helvetica" w:cs="Helvetica"/>
          <w:sz w:val="22"/>
          <w:szCs w:val="22"/>
        </w:rPr>
        <w:t xml:space="preserve">for </w:t>
      </w:r>
      <w:r w:rsidR="003B7709" w:rsidRPr="00235A56">
        <w:rPr>
          <w:rFonts w:ascii="Helvetica" w:hAnsi="Helvetica" w:cs="Helvetica"/>
          <w:sz w:val="22"/>
          <w:szCs w:val="22"/>
        </w:rPr>
        <w:t>appraisal</w:t>
      </w:r>
      <w:r w:rsidRPr="00235A56">
        <w:rPr>
          <w:rFonts w:ascii="Helvetica" w:hAnsi="Helvetica" w:cs="Helvetica"/>
          <w:sz w:val="22"/>
          <w:szCs w:val="22"/>
        </w:rPr>
        <w:t xml:space="preserve"> of PCS relative to the likely impact of any change. A first phase could examine technical issues and inconsistencies with the PCS as identified by stakeholders</w:t>
      </w:r>
      <w:r w:rsidR="00A16A78" w:rsidRPr="00235A56">
        <w:rPr>
          <w:rFonts w:ascii="Helvetica" w:hAnsi="Helvetica" w:cs="Helvetica"/>
          <w:sz w:val="22"/>
          <w:szCs w:val="22"/>
        </w:rPr>
        <w:t xml:space="preserve"> and through the work of TEQSA.</w:t>
      </w:r>
      <w:r w:rsidRPr="00235A56">
        <w:rPr>
          <w:rFonts w:ascii="Helvetica" w:hAnsi="Helvetica" w:cs="Helvetica"/>
          <w:sz w:val="22"/>
          <w:szCs w:val="22"/>
        </w:rPr>
        <w:t xml:space="preserve"> This limited initial </w:t>
      </w:r>
      <w:r w:rsidR="0036150A" w:rsidRPr="00235A56">
        <w:rPr>
          <w:rFonts w:ascii="Helvetica" w:hAnsi="Helvetica" w:cs="Helvetica"/>
          <w:sz w:val="22"/>
          <w:szCs w:val="22"/>
        </w:rPr>
        <w:t>phase</w:t>
      </w:r>
      <w:r w:rsidRPr="00235A56">
        <w:rPr>
          <w:rFonts w:ascii="Helvetica" w:hAnsi="Helvetica" w:cs="Helvetica"/>
          <w:sz w:val="22"/>
          <w:szCs w:val="22"/>
        </w:rPr>
        <w:t xml:space="preserve"> would focus on those issues which are related specifically to the operation of the PCS as regulation given their purpose in protecting use of the term university. This would not look at a future</w:t>
      </w:r>
      <w:r w:rsidR="0036150A" w:rsidRPr="00235A56">
        <w:rPr>
          <w:rFonts w:ascii="Helvetica" w:hAnsi="Helvetica" w:cs="Helvetica"/>
          <w:sz w:val="22"/>
          <w:szCs w:val="22"/>
        </w:rPr>
        <w:t xml:space="preserve"> or expanded role for the PCS. </w:t>
      </w:r>
      <w:r w:rsidRPr="00235A56">
        <w:rPr>
          <w:rFonts w:ascii="Helvetica" w:hAnsi="Helvetica" w:cs="Helvetica"/>
          <w:sz w:val="22"/>
          <w:szCs w:val="22"/>
        </w:rPr>
        <w:t xml:space="preserve">While these issues are significant, </w:t>
      </w:r>
      <w:r w:rsidR="00471248" w:rsidRPr="00235A56">
        <w:rPr>
          <w:rFonts w:ascii="Helvetica" w:hAnsi="Helvetica" w:cs="Helvetica"/>
          <w:sz w:val="22"/>
          <w:szCs w:val="22"/>
        </w:rPr>
        <w:t xml:space="preserve">they are the most likely to be able to </w:t>
      </w:r>
      <w:r w:rsidRPr="00235A56">
        <w:rPr>
          <w:rFonts w:ascii="Helvetica" w:hAnsi="Helvetica" w:cs="Helvetica"/>
          <w:sz w:val="22"/>
          <w:szCs w:val="22"/>
        </w:rPr>
        <w:t>be reviewed with minimal disruption to current arrangements</w:t>
      </w:r>
      <w:r w:rsidR="00D56F66" w:rsidRPr="00235A56">
        <w:rPr>
          <w:rFonts w:ascii="Helvetica" w:hAnsi="Helvetica" w:cs="Helvetica"/>
          <w:sz w:val="22"/>
          <w:szCs w:val="22"/>
        </w:rPr>
        <w:t xml:space="preserve"> and</w:t>
      </w:r>
      <w:r w:rsidRPr="00235A56">
        <w:rPr>
          <w:rFonts w:ascii="Helvetica" w:hAnsi="Helvetica" w:cs="Helvetica"/>
          <w:sz w:val="22"/>
          <w:szCs w:val="22"/>
        </w:rPr>
        <w:t xml:space="preserve"> could look at changing the number of categories in the current PCS, potentially removing the </w:t>
      </w:r>
      <w:r w:rsidR="00D56F66" w:rsidRPr="00235A56">
        <w:rPr>
          <w:rFonts w:ascii="Helvetica" w:hAnsi="Helvetica" w:cs="Helvetica"/>
          <w:sz w:val="22"/>
          <w:szCs w:val="22"/>
        </w:rPr>
        <w:t>possibly</w:t>
      </w:r>
      <w:r w:rsidRPr="00235A56">
        <w:rPr>
          <w:rFonts w:ascii="Helvetica" w:hAnsi="Helvetica" w:cs="Helvetica"/>
          <w:sz w:val="22"/>
          <w:szCs w:val="22"/>
        </w:rPr>
        <w:t xml:space="preserve"> redundant College category</w:t>
      </w:r>
      <w:r w:rsidR="008B5A54" w:rsidRPr="00235A56">
        <w:rPr>
          <w:rFonts w:ascii="Helvetica" w:hAnsi="Helvetica" w:cs="Helvetica"/>
          <w:sz w:val="22"/>
          <w:szCs w:val="22"/>
        </w:rPr>
        <w:t xml:space="preserve">, </w:t>
      </w:r>
      <w:r w:rsidR="00DF7848" w:rsidRPr="00235A56">
        <w:rPr>
          <w:rFonts w:ascii="Helvetica" w:hAnsi="Helvetica" w:cs="Helvetica"/>
          <w:sz w:val="22"/>
          <w:szCs w:val="22"/>
        </w:rPr>
        <w:t>considering</w:t>
      </w:r>
      <w:r w:rsidR="008B5A54" w:rsidRPr="00235A56">
        <w:rPr>
          <w:rFonts w:ascii="Helvetica" w:hAnsi="Helvetica" w:cs="Helvetica"/>
          <w:sz w:val="22"/>
          <w:szCs w:val="22"/>
        </w:rPr>
        <w:t xml:space="preserve"> </w:t>
      </w:r>
      <w:r w:rsidR="00237B88" w:rsidRPr="00235A56">
        <w:rPr>
          <w:rFonts w:ascii="Helvetica" w:hAnsi="Helvetica" w:cs="Helvetica"/>
          <w:sz w:val="22"/>
          <w:szCs w:val="22"/>
        </w:rPr>
        <w:t>the “in the queue” phenomenon highlighted earlier</w:t>
      </w:r>
      <w:r w:rsidRPr="00235A56">
        <w:rPr>
          <w:rFonts w:ascii="Helvetica" w:hAnsi="Helvetica" w:cs="Helvetica"/>
          <w:sz w:val="22"/>
          <w:szCs w:val="22"/>
        </w:rPr>
        <w:t>.</w:t>
      </w:r>
    </w:p>
    <w:p w:rsidR="0016639B" w:rsidRPr="00235A56" w:rsidRDefault="008E6234" w:rsidP="00735018">
      <w:pPr>
        <w:rPr>
          <w:rFonts w:ascii="Helvetica" w:hAnsi="Helvetica" w:cs="Helvetica"/>
          <w:sz w:val="22"/>
          <w:szCs w:val="22"/>
        </w:rPr>
      </w:pPr>
      <w:r w:rsidRPr="00235A56">
        <w:rPr>
          <w:rFonts w:ascii="Helvetica" w:hAnsi="Helvetica" w:cs="Helvetica"/>
          <w:sz w:val="22"/>
          <w:szCs w:val="22"/>
        </w:rPr>
        <w:t>Nonetheless</w:t>
      </w:r>
      <w:r w:rsidR="00735018" w:rsidRPr="00235A56">
        <w:rPr>
          <w:rFonts w:ascii="Helvetica" w:hAnsi="Helvetica" w:cs="Helvetica"/>
          <w:sz w:val="22"/>
          <w:szCs w:val="22"/>
        </w:rPr>
        <w:t xml:space="preserve">, it is likely that seeking to resolve </w:t>
      </w:r>
      <w:r w:rsidR="00AF1A94" w:rsidRPr="00235A56">
        <w:rPr>
          <w:rFonts w:ascii="Helvetica" w:hAnsi="Helvetica" w:cs="Helvetica"/>
          <w:sz w:val="22"/>
          <w:szCs w:val="22"/>
        </w:rPr>
        <w:t>only</w:t>
      </w:r>
      <w:r w:rsidR="00735018" w:rsidRPr="00235A56">
        <w:rPr>
          <w:rFonts w:ascii="Helvetica" w:hAnsi="Helvetica" w:cs="Helvetica"/>
          <w:sz w:val="22"/>
          <w:szCs w:val="22"/>
        </w:rPr>
        <w:t xml:space="preserve"> </w:t>
      </w:r>
      <w:r w:rsidR="0016639B" w:rsidRPr="00235A56">
        <w:rPr>
          <w:rFonts w:ascii="Helvetica" w:hAnsi="Helvetica" w:cs="Helvetica"/>
          <w:sz w:val="22"/>
          <w:szCs w:val="22"/>
        </w:rPr>
        <w:t xml:space="preserve">technical issues </w:t>
      </w:r>
      <w:r w:rsidR="00735018" w:rsidRPr="00235A56">
        <w:rPr>
          <w:rFonts w:ascii="Helvetica" w:hAnsi="Helvetica" w:cs="Helvetica"/>
          <w:sz w:val="22"/>
          <w:szCs w:val="22"/>
        </w:rPr>
        <w:t xml:space="preserve">could imply some </w:t>
      </w:r>
      <w:r w:rsidR="0016639B" w:rsidRPr="00235A56">
        <w:rPr>
          <w:rFonts w:ascii="Helvetica" w:hAnsi="Helvetica" w:cs="Helvetica"/>
          <w:sz w:val="22"/>
          <w:szCs w:val="22"/>
        </w:rPr>
        <w:t xml:space="preserve">significant changes for the sector. </w:t>
      </w:r>
      <w:r w:rsidR="00AF1A94" w:rsidRPr="00235A56">
        <w:rPr>
          <w:rFonts w:ascii="Helvetica" w:hAnsi="Helvetica" w:cs="Helvetica"/>
          <w:sz w:val="22"/>
          <w:szCs w:val="22"/>
        </w:rPr>
        <w:t xml:space="preserve">There are </w:t>
      </w:r>
      <w:r w:rsidR="0016639B" w:rsidRPr="00235A56">
        <w:rPr>
          <w:rFonts w:ascii="Helvetica" w:hAnsi="Helvetica" w:cs="Helvetica"/>
          <w:sz w:val="22"/>
          <w:szCs w:val="22"/>
        </w:rPr>
        <w:t xml:space="preserve">some risks concerning progressing technical </w:t>
      </w:r>
      <w:r w:rsidR="005863F5" w:rsidRPr="00235A56">
        <w:rPr>
          <w:rFonts w:ascii="Helvetica" w:hAnsi="Helvetica" w:cs="Helvetica"/>
          <w:sz w:val="22"/>
          <w:szCs w:val="22"/>
        </w:rPr>
        <w:t>questions</w:t>
      </w:r>
      <w:r w:rsidR="00AF1A94" w:rsidRPr="00235A56">
        <w:rPr>
          <w:rFonts w:ascii="Helvetica" w:hAnsi="Helvetica" w:cs="Helvetica"/>
          <w:sz w:val="22"/>
          <w:szCs w:val="22"/>
        </w:rPr>
        <w:t xml:space="preserve">, in that either they cannot be easily resolved without causing unintended consequences, such as inadvertently adding to the complexity for providers seeking to change categories, or they amplify </w:t>
      </w:r>
      <w:r w:rsidR="00B376D6" w:rsidRPr="00235A56">
        <w:rPr>
          <w:rFonts w:ascii="Helvetica" w:hAnsi="Helvetica" w:cs="Helvetica"/>
          <w:sz w:val="22"/>
          <w:szCs w:val="22"/>
        </w:rPr>
        <w:t xml:space="preserve">other problems, such as the perception (rightly or wrongly) that the university category provides an undue market advantage. A case in point is adding a teaching focused university category, for which it is almost </w:t>
      </w:r>
      <w:r w:rsidR="002A08B9" w:rsidRPr="00235A56">
        <w:rPr>
          <w:rFonts w:ascii="Helvetica" w:hAnsi="Helvetica" w:cs="Helvetica"/>
          <w:sz w:val="22"/>
          <w:szCs w:val="22"/>
        </w:rPr>
        <w:t>i</w:t>
      </w:r>
      <w:r w:rsidR="00B376D6" w:rsidRPr="00235A56">
        <w:rPr>
          <w:rFonts w:ascii="Helvetica" w:hAnsi="Helvetica" w:cs="Helvetica"/>
          <w:sz w:val="22"/>
          <w:szCs w:val="22"/>
        </w:rPr>
        <w:t>nconceivable that this could be introduced with</w:t>
      </w:r>
      <w:r w:rsidR="00F01D29" w:rsidRPr="00235A56">
        <w:rPr>
          <w:rFonts w:ascii="Helvetica" w:hAnsi="Helvetica" w:cs="Helvetica"/>
          <w:sz w:val="22"/>
          <w:szCs w:val="22"/>
        </w:rPr>
        <w:t>out</w:t>
      </w:r>
      <w:r w:rsidR="00B376D6" w:rsidRPr="00235A56">
        <w:rPr>
          <w:rFonts w:ascii="Helvetica" w:hAnsi="Helvetica" w:cs="Helvetica"/>
          <w:sz w:val="22"/>
          <w:szCs w:val="22"/>
        </w:rPr>
        <w:t xml:space="preserve"> a </w:t>
      </w:r>
      <w:r w:rsidR="00F01D29" w:rsidRPr="00235A56">
        <w:rPr>
          <w:rFonts w:ascii="Helvetica" w:hAnsi="Helvetica" w:cs="Helvetica"/>
          <w:sz w:val="22"/>
          <w:szCs w:val="22"/>
        </w:rPr>
        <w:t>comprehensive revision of the o</w:t>
      </w:r>
      <w:r w:rsidR="002A08B9" w:rsidRPr="00235A56">
        <w:rPr>
          <w:rFonts w:ascii="Helvetica" w:hAnsi="Helvetica" w:cs="Helvetica"/>
          <w:sz w:val="22"/>
          <w:szCs w:val="22"/>
        </w:rPr>
        <w:t>peration and purpose of the PCS.</w:t>
      </w:r>
    </w:p>
    <w:p w:rsidR="0016639B" w:rsidRPr="00235A56" w:rsidRDefault="00821413" w:rsidP="0016639B">
      <w:pPr>
        <w:rPr>
          <w:rFonts w:ascii="Helvetica" w:hAnsi="Helvetica" w:cs="Helvetica"/>
          <w:sz w:val="22"/>
          <w:szCs w:val="22"/>
        </w:rPr>
      </w:pPr>
      <w:r w:rsidRPr="00235A56">
        <w:rPr>
          <w:rFonts w:ascii="Helvetica" w:hAnsi="Helvetica" w:cs="Helvetica"/>
          <w:sz w:val="22"/>
          <w:szCs w:val="22"/>
        </w:rPr>
        <w:t>The following tables summarise the phase</w:t>
      </w:r>
      <w:r w:rsidR="00237B88" w:rsidRPr="00235A56">
        <w:rPr>
          <w:rFonts w:ascii="Helvetica" w:hAnsi="Helvetica" w:cs="Helvetica"/>
          <w:sz w:val="22"/>
          <w:szCs w:val="22"/>
        </w:rPr>
        <w:t>s</w:t>
      </w:r>
      <w:r w:rsidRPr="00235A56">
        <w:rPr>
          <w:rFonts w:ascii="Helvetica" w:hAnsi="Helvetica" w:cs="Helvetica"/>
          <w:sz w:val="22"/>
          <w:szCs w:val="22"/>
        </w:rPr>
        <w:t>, provide a brief comment and include i</w:t>
      </w:r>
      <w:r w:rsidR="005F0DE1" w:rsidRPr="00235A56">
        <w:rPr>
          <w:rFonts w:ascii="Helvetica" w:hAnsi="Helvetica" w:cs="Helvetica"/>
          <w:sz w:val="22"/>
          <w:szCs w:val="22"/>
        </w:rPr>
        <w:t>ndication of the significance and complexity of any sequenced review and changes.</w:t>
      </w:r>
      <w:r w:rsidR="00DF7848" w:rsidRPr="00235A56">
        <w:rPr>
          <w:rFonts w:ascii="Helvetica" w:hAnsi="Helvetica" w:cs="Helvetica"/>
          <w:sz w:val="22"/>
          <w:szCs w:val="22"/>
        </w:rPr>
        <w:t xml:space="preserve"> </w:t>
      </w:r>
      <w:r w:rsidR="005F0DE1" w:rsidRPr="00235A56">
        <w:rPr>
          <w:rFonts w:ascii="Helvetica" w:hAnsi="Helvetica" w:cs="Helvetica"/>
          <w:sz w:val="22"/>
          <w:szCs w:val="22"/>
        </w:rPr>
        <w:t xml:space="preserve">These are </w:t>
      </w:r>
      <w:r w:rsidR="00CE6218" w:rsidRPr="00235A56">
        <w:rPr>
          <w:rFonts w:ascii="Helvetica" w:hAnsi="Helvetica" w:cs="Helvetica"/>
          <w:sz w:val="22"/>
          <w:szCs w:val="22"/>
        </w:rPr>
        <w:t>intended</w:t>
      </w:r>
      <w:r w:rsidR="005F0DE1" w:rsidRPr="00235A56">
        <w:rPr>
          <w:rFonts w:ascii="Helvetica" w:hAnsi="Helvetica" w:cs="Helvetica"/>
          <w:sz w:val="22"/>
          <w:szCs w:val="22"/>
        </w:rPr>
        <w:t xml:space="preserve"> as broad indicators of the issue through the lens of review</w:t>
      </w:r>
      <w:r w:rsidR="00CE6218" w:rsidRPr="00235A56">
        <w:rPr>
          <w:rFonts w:ascii="Helvetica" w:hAnsi="Helvetica" w:cs="Helvetica"/>
          <w:sz w:val="22"/>
          <w:szCs w:val="22"/>
        </w:rPr>
        <w:t>ing them</w:t>
      </w:r>
      <w:r w:rsidR="005F0DE1" w:rsidRPr="00235A56">
        <w:rPr>
          <w:rFonts w:ascii="Helvetica" w:hAnsi="Helvetica" w:cs="Helvetica"/>
          <w:sz w:val="22"/>
          <w:szCs w:val="22"/>
        </w:rPr>
        <w:t xml:space="preserve">. </w:t>
      </w:r>
      <w:r w:rsidR="00CE6218" w:rsidRPr="00235A56">
        <w:rPr>
          <w:rFonts w:ascii="Helvetica" w:hAnsi="Helvetica" w:cs="Helvetica"/>
          <w:sz w:val="22"/>
          <w:szCs w:val="22"/>
        </w:rPr>
        <w:t>T</w:t>
      </w:r>
      <w:r w:rsidR="005F0DE1" w:rsidRPr="00235A56">
        <w:rPr>
          <w:rFonts w:ascii="Helvetica" w:hAnsi="Helvetica" w:cs="Helvetica"/>
          <w:sz w:val="22"/>
          <w:szCs w:val="22"/>
        </w:rPr>
        <w:t xml:space="preserve">hey are not intended to indicate an absolute assessment of the issue, </w:t>
      </w:r>
      <w:r w:rsidR="00CE6218" w:rsidRPr="00235A56">
        <w:rPr>
          <w:rFonts w:ascii="Helvetica" w:hAnsi="Helvetica" w:cs="Helvetica"/>
          <w:sz w:val="22"/>
          <w:szCs w:val="22"/>
        </w:rPr>
        <w:t xml:space="preserve">as in this sense </w:t>
      </w:r>
      <w:r w:rsidR="005F0DE1" w:rsidRPr="00235A56">
        <w:rPr>
          <w:rFonts w:ascii="Helvetica" w:hAnsi="Helvetica" w:cs="Helvetica"/>
          <w:sz w:val="22"/>
          <w:szCs w:val="22"/>
        </w:rPr>
        <w:t xml:space="preserve">all </w:t>
      </w:r>
      <w:r w:rsidR="00CE6218" w:rsidRPr="00235A56">
        <w:rPr>
          <w:rFonts w:ascii="Helvetica" w:hAnsi="Helvetica" w:cs="Helvetica"/>
          <w:sz w:val="22"/>
          <w:szCs w:val="22"/>
        </w:rPr>
        <w:t xml:space="preserve">are </w:t>
      </w:r>
      <w:r w:rsidR="005F0DE1" w:rsidRPr="00235A56">
        <w:rPr>
          <w:rFonts w:ascii="Helvetica" w:hAnsi="Helvetica" w:cs="Helvetica"/>
          <w:sz w:val="22"/>
          <w:szCs w:val="22"/>
        </w:rPr>
        <w:t>highly signifi</w:t>
      </w:r>
      <w:r w:rsidR="00CE6218" w:rsidRPr="00235A56">
        <w:rPr>
          <w:rFonts w:ascii="Helvetica" w:hAnsi="Helvetica" w:cs="Helvetica"/>
          <w:sz w:val="22"/>
          <w:szCs w:val="22"/>
        </w:rPr>
        <w:t>cant and have great complexity.</w:t>
      </w:r>
    </w:p>
    <w:p w:rsidR="009F45A2" w:rsidRPr="00235A56" w:rsidRDefault="009F45A2">
      <w:pPr>
        <w:spacing w:after="0"/>
        <w:jc w:val="left"/>
        <w:rPr>
          <w:rFonts w:ascii="Helvetica" w:hAnsi="Helvetica" w:cs="Helvetica"/>
          <w:b/>
          <w:i/>
          <w:iCs/>
          <w:color w:val="44546A" w:themeColor="text2"/>
          <w:sz w:val="18"/>
          <w:szCs w:val="16"/>
        </w:rPr>
      </w:pPr>
      <w:r w:rsidRPr="00235A56">
        <w:rPr>
          <w:rFonts w:ascii="Helvetica" w:hAnsi="Helvetica" w:cs="Helvetica"/>
          <w:b/>
          <w:szCs w:val="16"/>
        </w:rPr>
        <w:br w:type="page"/>
      </w:r>
    </w:p>
    <w:p w:rsidR="0014612E" w:rsidRPr="00235A56" w:rsidRDefault="0014612E" w:rsidP="00353191">
      <w:pPr>
        <w:pStyle w:val="Caption"/>
        <w:keepNext/>
        <w:rPr>
          <w:rFonts w:ascii="Helvetica" w:hAnsi="Helvetica" w:cs="Helvetica"/>
          <w:b/>
          <w:szCs w:val="16"/>
        </w:rPr>
      </w:pPr>
      <w:r w:rsidRPr="00235A56">
        <w:rPr>
          <w:rFonts w:ascii="Helvetica" w:hAnsi="Helvetica" w:cs="Helvetica"/>
          <w:b/>
          <w:szCs w:val="16"/>
        </w:rPr>
        <w:lastRenderedPageBreak/>
        <w:t xml:space="preserve">Phase </w:t>
      </w:r>
      <w:r w:rsidRPr="00235A56">
        <w:rPr>
          <w:rFonts w:ascii="Helvetica" w:hAnsi="Helvetica" w:cs="Helvetica"/>
          <w:b/>
          <w:noProof/>
          <w:szCs w:val="16"/>
        </w:rPr>
        <w:t>1</w:t>
      </w:r>
      <w:r w:rsidRPr="00235A56">
        <w:rPr>
          <w:rFonts w:ascii="Helvetica" w:hAnsi="Helvetica" w:cs="Helvetica"/>
          <w:b/>
          <w:szCs w:val="16"/>
        </w:rPr>
        <w:t>:</w:t>
      </w:r>
      <w:r w:rsidR="0024344A" w:rsidRPr="00235A56">
        <w:rPr>
          <w:rFonts w:ascii="Helvetica" w:hAnsi="Helvetica" w:cs="Helvetica"/>
          <w:b/>
          <w:szCs w:val="16"/>
        </w:rPr>
        <w:t xml:space="preserve"> </w:t>
      </w:r>
      <w:r w:rsidRPr="00235A56">
        <w:rPr>
          <w:rFonts w:ascii="Helvetica" w:hAnsi="Helvetica" w:cs="Helvetica"/>
          <w:b/>
          <w:szCs w:val="16"/>
        </w:rPr>
        <w:t>Review</w:t>
      </w:r>
      <w:r w:rsidR="0024344A" w:rsidRPr="00235A56">
        <w:rPr>
          <w:rFonts w:ascii="Helvetica" w:hAnsi="Helvetica" w:cs="Helvetica"/>
          <w:b/>
          <w:szCs w:val="16"/>
        </w:rPr>
        <w:t xml:space="preserve"> of</w:t>
      </w:r>
      <w:r w:rsidRPr="00235A56">
        <w:rPr>
          <w:rFonts w:ascii="Helvetica" w:hAnsi="Helvetica" w:cs="Helvetica"/>
          <w:b/>
          <w:szCs w:val="16"/>
        </w:rPr>
        <w:t xml:space="preserve"> technical issues and inconsistencies with the PCS</w:t>
      </w:r>
    </w:p>
    <w:tbl>
      <w:tblPr>
        <w:tblStyle w:val="TableGrid"/>
        <w:tblW w:w="0" w:type="auto"/>
        <w:tblLook w:val="04A0" w:firstRow="1" w:lastRow="0" w:firstColumn="1" w:lastColumn="0" w:noHBand="0" w:noVBand="1"/>
      </w:tblPr>
      <w:tblGrid>
        <w:gridCol w:w="1594"/>
        <w:gridCol w:w="2229"/>
        <w:gridCol w:w="2497"/>
        <w:gridCol w:w="1395"/>
        <w:gridCol w:w="1295"/>
      </w:tblGrid>
      <w:tr w:rsidR="00AA0051" w:rsidRPr="00235A56" w:rsidTr="00A248CA">
        <w:trPr>
          <w:trHeight w:val="397"/>
          <w:tblHeader/>
        </w:trPr>
        <w:tc>
          <w:tcPr>
            <w:tcW w:w="1594" w:type="dxa"/>
            <w:shd w:val="clear" w:color="auto" w:fill="B4C6E7" w:themeFill="accent1" w:themeFillTint="66"/>
          </w:tcPr>
          <w:p w:rsidR="00AA0051" w:rsidRPr="00235A56" w:rsidRDefault="00AA0051" w:rsidP="002A08B9">
            <w:pPr>
              <w:spacing w:after="0"/>
              <w:rPr>
                <w:rFonts w:ascii="Helvetica" w:hAnsi="Helvetica" w:cs="Helvetica"/>
                <w:b/>
                <w:sz w:val="20"/>
                <w:szCs w:val="20"/>
              </w:rPr>
            </w:pPr>
            <w:r w:rsidRPr="00235A56">
              <w:rPr>
                <w:rFonts w:ascii="Helvetica" w:hAnsi="Helvetica" w:cs="Helvetica"/>
                <w:b/>
                <w:sz w:val="20"/>
                <w:szCs w:val="20"/>
              </w:rPr>
              <w:t>Issue</w:t>
            </w:r>
          </w:p>
        </w:tc>
        <w:tc>
          <w:tcPr>
            <w:tcW w:w="2229" w:type="dxa"/>
            <w:shd w:val="clear" w:color="auto" w:fill="B4C6E7" w:themeFill="accent1" w:themeFillTint="66"/>
          </w:tcPr>
          <w:p w:rsidR="00AA0051" w:rsidRPr="00235A56" w:rsidRDefault="00AA0051" w:rsidP="002A08B9">
            <w:pPr>
              <w:spacing w:after="0"/>
              <w:rPr>
                <w:rFonts w:ascii="Helvetica" w:hAnsi="Helvetica" w:cs="Helvetica"/>
                <w:b/>
                <w:sz w:val="20"/>
                <w:szCs w:val="20"/>
              </w:rPr>
            </w:pPr>
            <w:r w:rsidRPr="00235A56">
              <w:rPr>
                <w:rFonts w:ascii="Helvetica" w:hAnsi="Helvetica" w:cs="Helvetica"/>
                <w:b/>
                <w:sz w:val="20"/>
                <w:szCs w:val="20"/>
              </w:rPr>
              <w:t>Details</w:t>
            </w:r>
          </w:p>
        </w:tc>
        <w:tc>
          <w:tcPr>
            <w:tcW w:w="2497" w:type="dxa"/>
            <w:shd w:val="clear" w:color="auto" w:fill="B4C6E7" w:themeFill="accent1" w:themeFillTint="66"/>
          </w:tcPr>
          <w:p w:rsidR="00AA0051" w:rsidRPr="00235A56" w:rsidRDefault="00AA0051" w:rsidP="002A08B9">
            <w:pPr>
              <w:spacing w:after="0"/>
              <w:rPr>
                <w:rFonts w:ascii="Helvetica" w:hAnsi="Helvetica" w:cs="Helvetica"/>
                <w:b/>
                <w:sz w:val="20"/>
                <w:szCs w:val="20"/>
              </w:rPr>
            </w:pPr>
            <w:r w:rsidRPr="00235A56">
              <w:rPr>
                <w:rFonts w:ascii="Helvetica" w:hAnsi="Helvetica" w:cs="Helvetica"/>
                <w:b/>
                <w:sz w:val="20"/>
                <w:szCs w:val="20"/>
              </w:rPr>
              <w:t>Comments</w:t>
            </w:r>
          </w:p>
        </w:tc>
        <w:tc>
          <w:tcPr>
            <w:tcW w:w="1395" w:type="dxa"/>
            <w:shd w:val="clear" w:color="auto" w:fill="B4C6E7" w:themeFill="accent1" w:themeFillTint="66"/>
          </w:tcPr>
          <w:p w:rsidR="00AA0051" w:rsidRPr="00235A56" w:rsidRDefault="00AA0051" w:rsidP="002A08B9">
            <w:pPr>
              <w:spacing w:after="0"/>
              <w:rPr>
                <w:rFonts w:ascii="Helvetica" w:hAnsi="Helvetica" w:cs="Helvetica"/>
                <w:b/>
                <w:sz w:val="20"/>
                <w:szCs w:val="20"/>
              </w:rPr>
            </w:pPr>
            <w:r w:rsidRPr="00235A56">
              <w:rPr>
                <w:rFonts w:ascii="Helvetica" w:hAnsi="Helvetica" w:cs="Helvetica"/>
                <w:b/>
                <w:sz w:val="20"/>
                <w:szCs w:val="20"/>
              </w:rPr>
              <w:t>Significance</w:t>
            </w:r>
          </w:p>
        </w:tc>
        <w:tc>
          <w:tcPr>
            <w:tcW w:w="1295" w:type="dxa"/>
            <w:shd w:val="clear" w:color="auto" w:fill="B4C6E7" w:themeFill="accent1" w:themeFillTint="66"/>
          </w:tcPr>
          <w:p w:rsidR="00AA0051" w:rsidRPr="00235A56" w:rsidRDefault="00AA0051" w:rsidP="002A08B9">
            <w:pPr>
              <w:spacing w:after="0"/>
              <w:rPr>
                <w:rFonts w:ascii="Helvetica" w:hAnsi="Helvetica" w:cs="Helvetica"/>
                <w:b/>
                <w:sz w:val="20"/>
                <w:szCs w:val="20"/>
              </w:rPr>
            </w:pPr>
            <w:r w:rsidRPr="00235A56">
              <w:rPr>
                <w:rFonts w:ascii="Helvetica" w:hAnsi="Helvetica" w:cs="Helvetica"/>
                <w:b/>
                <w:sz w:val="20"/>
                <w:szCs w:val="20"/>
              </w:rPr>
              <w:t>Complexity</w:t>
            </w:r>
          </w:p>
        </w:tc>
      </w:tr>
      <w:tr w:rsidR="00AA0051" w:rsidRPr="00235A56" w:rsidTr="00C31C10">
        <w:trPr>
          <w:trHeight w:val="397"/>
        </w:trPr>
        <w:tc>
          <w:tcPr>
            <w:tcW w:w="1594" w:type="dxa"/>
          </w:tcPr>
          <w:p w:rsidR="00AA0051" w:rsidRPr="00235A56" w:rsidRDefault="00AA0051" w:rsidP="002A08B9">
            <w:pPr>
              <w:spacing w:after="0"/>
              <w:jc w:val="left"/>
              <w:rPr>
                <w:rFonts w:ascii="Helvetica" w:hAnsi="Helvetica" w:cs="Helvetica"/>
                <w:sz w:val="20"/>
                <w:szCs w:val="20"/>
              </w:rPr>
            </w:pPr>
            <w:r w:rsidRPr="00235A56">
              <w:rPr>
                <w:rFonts w:ascii="Helvetica" w:hAnsi="Helvetica" w:cs="Helvetica"/>
                <w:sz w:val="20"/>
                <w:szCs w:val="20"/>
              </w:rPr>
              <w:t>Administrative burden in the process of provider transition between categories</w:t>
            </w:r>
          </w:p>
        </w:tc>
        <w:tc>
          <w:tcPr>
            <w:tcW w:w="2229" w:type="dxa"/>
          </w:tcPr>
          <w:p w:rsidR="00AA0051" w:rsidRPr="00235A56" w:rsidRDefault="00AA0051" w:rsidP="002A08B9">
            <w:pPr>
              <w:spacing w:after="0"/>
              <w:jc w:val="left"/>
              <w:rPr>
                <w:rFonts w:ascii="Helvetica" w:hAnsi="Helvetica" w:cs="Helvetica"/>
                <w:sz w:val="20"/>
                <w:szCs w:val="20"/>
              </w:rPr>
            </w:pPr>
            <w:r w:rsidRPr="00235A56">
              <w:rPr>
                <w:rFonts w:ascii="Helvetica" w:hAnsi="Helvetica" w:cs="Helvetica"/>
                <w:sz w:val="20"/>
                <w:szCs w:val="20"/>
              </w:rPr>
              <w:t>The process of transition from RTO to HEP and from HEP to a University category is cumbersome for applicants, due to duplication in information submissions required and the time involved.</w:t>
            </w:r>
          </w:p>
        </w:tc>
        <w:tc>
          <w:tcPr>
            <w:tcW w:w="2497" w:type="dxa"/>
          </w:tcPr>
          <w:p w:rsidR="00AA0051" w:rsidRPr="00235A56" w:rsidRDefault="00AA0051" w:rsidP="002A08B9">
            <w:pPr>
              <w:spacing w:after="0"/>
              <w:jc w:val="left"/>
              <w:rPr>
                <w:rFonts w:ascii="Helvetica" w:hAnsi="Helvetica" w:cs="Helvetica"/>
                <w:sz w:val="20"/>
                <w:szCs w:val="20"/>
              </w:rPr>
            </w:pPr>
            <w:r w:rsidRPr="00235A56">
              <w:rPr>
                <w:rFonts w:ascii="Helvetica" w:hAnsi="Helvetica" w:cs="Helvetica"/>
                <w:sz w:val="20"/>
                <w:szCs w:val="20"/>
              </w:rPr>
              <w:t>This particularly affects providers wishing to transition to a University College category. For example, a review might look at a staged process including set hurdles once a provider has signalled an intent to seek registration in a higher category.</w:t>
            </w:r>
          </w:p>
        </w:tc>
        <w:tc>
          <w:tcPr>
            <w:tcW w:w="1395" w:type="dxa"/>
          </w:tcPr>
          <w:p w:rsidR="00AA0051" w:rsidRPr="00235A56" w:rsidRDefault="005F0DE1" w:rsidP="002A08B9">
            <w:pPr>
              <w:spacing w:after="0"/>
              <w:jc w:val="left"/>
              <w:rPr>
                <w:rFonts w:ascii="Helvetica" w:hAnsi="Helvetica" w:cs="Helvetica"/>
                <w:sz w:val="20"/>
                <w:szCs w:val="20"/>
              </w:rPr>
            </w:pPr>
            <w:r w:rsidRPr="00235A56">
              <w:rPr>
                <w:rFonts w:ascii="Helvetica" w:hAnsi="Helvetica" w:cs="Helvetica"/>
                <w:sz w:val="20"/>
                <w:szCs w:val="20"/>
              </w:rPr>
              <w:t>Moderate</w:t>
            </w:r>
          </w:p>
        </w:tc>
        <w:tc>
          <w:tcPr>
            <w:tcW w:w="1295" w:type="dxa"/>
          </w:tcPr>
          <w:p w:rsidR="00AA0051" w:rsidRPr="00235A56" w:rsidRDefault="005F0DE1" w:rsidP="002A08B9">
            <w:pPr>
              <w:spacing w:after="0"/>
              <w:jc w:val="left"/>
              <w:rPr>
                <w:rFonts w:ascii="Helvetica" w:hAnsi="Helvetica" w:cs="Helvetica"/>
                <w:sz w:val="20"/>
                <w:szCs w:val="20"/>
              </w:rPr>
            </w:pPr>
            <w:r w:rsidRPr="00235A56">
              <w:rPr>
                <w:rFonts w:ascii="Helvetica" w:hAnsi="Helvetica" w:cs="Helvetica"/>
                <w:sz w:val="20"/>
                <w:szCs w:val="20"/>
              </w:rPr>
              <w:t>Moderate</w:t>
            </w:r>
          </w:p>
        </w:tc>
      </w:tr>
      <w:tr w:rsidR="00AA0051" w:rsidRPr="00235A56" w:rsidTr="00C31C10">
        <w:trPr>
          <w:trHeight w:val="397"/>
        </w:trPr>
        <w:tc>
          <w:tcPr>
            <w:tcW w:w="1594" w:type="dxa"/>
          </w:tcPr>
          <w:p w:rsidR="00AA0051" w:rsidRPr="00235A56" w:rsidRDefault="00AA0051" w:rsidP="002A08B9">
            <w:pPr>
              <w:spacing w:after="0"/>
              <w:jc w:val="left"/>
              <w:rPr>
                <w:rFonts w:ascii="Helvetica" w:hAnsi="Helvetica" w:cs="Helvetica"/>
                <w:sz w:val="20"/>
                <w:szCs w:val="20"/>
              </w:rPr>
            </w:pPr>
            <w:r w:rsidRPr="00235A56">
              <w:rPr>
                <w:rFonts w:ascii="Helvetica" w:hAnsi="Helvetica" w:cs="Helvetica"/>
                <w:sz w:val="20"/>
                <w:szCs w:val="20"/>
              </w:rPr>
              <w:t>Definition of breadth and quality of scholarship and research in the PCS</w:t>
            </w:r>
          </w:p>
        </w:tc>
        <w:tc>
          <w:tcPr>
            <w:tcW w:w="2229" w:type="dxa"/>
          </w:tcPr>
          <w:p w:rsidR="00AA0051" w:rsidRPr="00235A56" w:rsidRDefault="00AA0051" w:rsidP="002A08B9">
            <w:pPr>
              <w:spacing w:after="0"/>
              <w:jc w:val="left"/>
              <w:rPr>
                <w:rFonts w:ascii="Helvetica" w:hAnsi="Helvetica" w:cs="Helvetica"/>
                <w:sz w:val="20"/>
                <w:szCs w:val="20"/>
              </w:rPr>
            </w:pPr>
            <w:r w:rsidRPr="00235A56">
              <w:rPr>
                <w:rFonts w:ascii="Helvetica" w:hAnsi="Helvetica" w:cs="Helvetica"/>
                <w:sz w:val="20"/>
                <w:szCs w:val="20"/>
              </w:rPr>
              <w:t>There is a need for clarification for TEQSA of the breadth requirements for scholarship and research.</w:t>
            </w:r>
            <w:r w:rsidR="00DF7848" w:rsidRPr="00235A56">
              <w:rPr>
                <w:rFonts w:ascii="Helvetica" w:hAnsi="Helvetica" w:cs="Helvetica"/>
                <w:sz w:val="20"/>
                <w:szCs w:val="20"/>
              </w:rPr>
              <w:t xml:space="preserve"> </w:t>
            </w:r>
          </w:p>
          <w:p w:rsidR="00AA0051" w:rsidRPr="00235A56" w:rsidRDefault="00AA0051" w:rsidP="002A08B9">
            <w:pPr>
              <w:spacing w:after="0"/>
              <w:jc w:val="left"/>
              <w:rPr>
                <w:rFonts w:ascii="Helvetica" w:hAnsi="Helvetica" w:cs="Helvetica"/>
                <w:sz w:val="20"/>
                <w:szCs w:val="20"/>
              </w:rPr>
            </w:pPr>
            <w:r w:rsidRPr="00235A56">
              <w:rPr>
                <w:rFonts w:ascii="Helvetica" w:hAnsi="Helvetica" w:cs="Helvetica"/>
                <w:sz w:val="20"/>
                <w:szCs w:val="20"/>
              </w:rPr>
              <w:t>TEQSA could benefit from additional support to undertake benchmarking against comparable providers registered in university categories regarding breadth and quality.</w:t>
            </w:r>
          </w:p>
        </w:tc>
        <w:tc>
          <w:tcPr>
            <w:tcW w:w="2497" w:type="dxa"/>
          </w:tcPr>
          <w:p w:rsidR="00AA0051" w:rsidRPr="00235A56" w:rsidRDefault="00AA0051" w:rsidP="002A08B9">
            <w:pPr>
              <w:spacing w:after="0"/>
              <w:jc w:val="left"/>
              <w:rPr>
                <w:rFonts w:ascii="Helvetica" w:hAnsi="Helvetica" w:cs="Helvetica"/>
                <w:sz w:val="20"/>
                <w:szCs w:val="20"/>
              </w:rPr>
            </w:pPr>
            <w:r w:rsidRPr="00235A56">
              <w:rPr>
                <w:rFonts w:ascii="Helvetica" w:hAnsi="Helvetica" w:cs="Helvetica"/>
                <w:sz w:val="20"/>
                <w:szCs w:val="20"/>
              </w:rPr>
              <w:t xml:space="preserve">The review could look at how the definition could better be operationalised in relation to current practices across the sector. </w:t>
            </w:r>
          </w:p>
        </w:tc>
        <w:tc>
          <w:tcPr>
            <w:tcW w:w="1395" w:type="dxa"/>
          </w:tcPr>
          <w:p w:rsidR="00AA0051" w:rsidRPr="00235A56" w:rsidRDefault="007C185F" w:rsidP="002A08B9">
            <w:pPr>
              <w:spacing w:after="0"/>
              <w:jc w:val="left"/>
              <w:rPr>
                <w:rFonts w:ascii="Helvetica" w:hAnsi="Helvetica" w:cs="Helvetica"/>
                <w:sz w:val="20"/>
                <w:szCs w:val="20"/>
              </w:rPr>
            </w:pPr>
            <w:r w:rsidRPr="00235A56">
              <w:rPr>
                <w:rFonts w:ascii="Helvetica" w:hAnsi="Helvetica" w:cs="Helvetica"/>
                <w:sz w:val="20"/>
                <w:szCs w:val="20"/>
              </w:rPr>
              <w:t>Moderate</w:t>
            </w:r>
          </w:p>
        </w:tc>
        <w:tc>
          <w:tcPr>
            <w:tcW w:w="1295" w:type="dxa"/>
          </w:tcPr>
          <w:p w:rsidR="00AA0051" w:rsidRPr="00235A56" w:rsidRDefault="007C185F" w:rsidP="002A08B9">
            <w:pPr>
              <w:spacing w:after="0"/>
              <w:jc w:val="left"/>
              <w:rPr>
                <w:rFonts w:ascii="Helvetica" w:hAnsi="Helvetica" w:cs="Helvetica"/>
                <w:sz w:val="20"/>
                <w:szCs w:val="20"/>
              </w:rPr>
            </w:pPr>
            <w:r w:rsidRPr="00235A56">
              <w:rPr>
                <w:rFonts w:ascii="Helvetica" w:hAnsi="Helvetica" w:cs="Helvetica"/>
                <w:sz w:val="20"/>
                <w:szCs w:val="20"/>
              </w:rPr>
              <w:t>High</w:t>
            </w:r>
          </w:p>
        </w:tc>
      </w:tr>
      <w:tr w:rsidR="00AA0051" w:rsidRPr="00235A56" w:rsidTr="00C31C10">
        <w:trPr>
          <w:trHeight w:val="397"/>
        </w:trPr>
        <w:tc>
          <w:tcPr>
            <w:tcW w:w="1594" w:type="dxa"/>
          </w:tcPr>
          <w:p w:rsidR="00AA0051" w:rsidRPr="00235A56" w:rsidRDefault="00AA0051" w:rsidP="002A08B9">
            <w:pPr>
              <w:spacing w:after="0"/>
              <w:jc w:val="left"/>
              <w:rPr>
                <w:rFonts w:ascii="Helvetica" w:hAnsi="Helvetica" w:cs="Helvetica"/>
                <w:sz w:val="20"/>
                <w:szCs w:val="20"/>
              </w:rPr>
            </w:pPr>
            <w:r w:rsidRPr="00235A56">
              <w:rPr>
                <w:rFonts w:ascii="Helvetica" w:hAnsi="Helvetica" w:cs="Helvetica"/>
                <w:sz w:val="20"/>
                <w:szCs w:val="20"/>
              </w:rPr>
              <w:t xml:space="preserve">Redundancy of the Australian University College category </w:t>
            </w:r>
          </w:p>
        </w:tc>
        <w:tc>
          <w:tcPr>
            <w:tcW w:w="2229" w:type="dxa"/>
          </w:tcPr>
          <w:p w:rsidR="00AA0051" w:rsidRPr="00235A56" w:rsidRDefault="00AA0051" w:rsidP="002A08B9">
            <w:pPr>
              <w:spacing w:after="0"/>
              <w:jc w:val="left"/>
              <w:rPr>
                <w:rFonts w:ascii="Helvetica" w:hAnsi="Helvetica" w:cs="Helvetica"/>
                <w:sz w:val="20"/>
                <w:szCs w:val="20"/>
              </w:rPr>
            </w:pPr>
            <w:r w:rsidRPr="00235A56">
              <w:rPr>
                <w:rFonts w:ascii="Helvetica" w:hAnsi="Helvetica" w:cs="Helvetica"/>
                <w:sz w:val="20"/>
                <w:szCs w:val="20"/>
              </w:rPr>
              <w:t>The College category may be redundant, in part because the need for track record means that in effect a provider wishing to transition to a university needs to be already operating as a university to meet the full standards.</w:t>
            </w:r>
          </w:p>
        </w:tc>
        <w:tc>
          <w:tcPr>
            <w:tcW w:w="2497" w:type="dxa"/>
          </w:tcPr>
          <w:p w:rsidR="00AA0051" w:rsidRPr="00235A56" w:rsidRDefault="00AA0051" w:rsidP="002A08B9">
            <w:pPr>
              <w:keepNext/>
              <w:spacing w:after="0"/>
              <w:jc w:val="left"/>
              <w:rPr>
                <w:rFonts w:ascii="Helvetica" w:hAnsi="Helvetica" w:cs="Helvetica"/>
                <w:sz w:val="20"/>
                <w:szCs w:val="20"/>
              </w:rPr>
            </w:pPr>
            <w:r w:rsidRPr="00235A56">
              <w:rPr>
                <w:rFonts w:ascii="Helvetica" w:hAnsi="Helvetica" w:cs="Helvetica"/>
                <w:sz w:val="20"/>
                <w:szCs w:val="20"/>
              </w:rPr>
              <w:t>Care should be taken that a potential removal of this category does not negatively impact on HEPs who are, so to speak, “in the queue”.</w:t>
            </w:r>
          </w:p>
        </w:tc>
        <w:tc>
          <w:tcPr>
            <w:tcW w:w="1395" w:type="dxa"/>
          </w:tcPr>
          <w:p w:rsidR="00AA0051" w:rsidRPr="00235A56" w:rsidRDefault="007C185F" w:rsidP="002A08B9">
            <w:pPr>
              <w:keepNext/>
              <w:spacing w:after="0"/>
              <w:jc w:val="left"/>
              <w:rPr>
                <w:rFonts w:ascii="Helvetica" w:hAnsi="Helvetica" w:cs="Helvetica"/>
                <w:sz w:val="20"/>
                <w:szCs w:val="20"/>
              </w:rPr>
            </w:pPr>
            <w:r w:rsidRPr="00235A56">
              <w:rPr>
                <w:rFonts w:ascii="Helvetica" w:hAnsi="Helvetica" w:cs="Helvetica"/>
                <w:sz w:val="20"/>
                <w:szCs w:val="20"/>
              </w:rPr>
              <w:t>High</w:t>
            </w:r>
          </w:p>
        </w:tc>
        <w:tc>
          <w:tcPr>
            <w:tcW w:w="1295" w:type="dxa"/>
          </w:tcPr>
          <w:p w:rsidR="00AA0051" w:rsidRPr="00235A56" w:rsidRDefault="007C185F" w:rsidP="002A08B9">
            <w:pPr>
              <w:keepNext/>
              <w:spacing w:after="0"/>
              <w:jc w:val="left"/>
              <w:rPr>
                <w:rFonts w:ascii="Helvetica" w:hAnsi="Helvetica" w:cs="Helvetica"/>
                <w:sz w:val="20"/>
                <w:szCs w:val="20"/>
              </w:rPr>
            </w:pPr>
            <w:r w:rsidRPr="00235A56">
              <w:rPr>
                <w:rFonts w:ascii="Helvetica" w:hAnsi="Helvetica" w:cs="Helvetica"/>
                <w:sz w:val="20"/>
                <w:szCs w:val="20"/>
              </w:rPr>
              <w:t>Low</w:t>
            </w:r>
          </w:p>
        </w:tc>
      </w:tr>
    </w:tbl>
    <w:p w:rsidR="00237B88" w:rsidRPr="00235A56" w:rsidRDefault="00237B88" w:rsidP="0024344A">
      <w:pPr>
        <w:rPr>
          <w:rFonts w:ascii="Helvetica" w:hAnsi="Helvetica" w:cs="Helvetica"/>
          <w:sz w:val="22"/>
          <w:szCs w:val="22"/>
        </w:rPr>
      </w:pPr>
    </w:p>
    <w:p w:rsidR="009829B3" w:rsidRPr="00235A56" w:rsidRDefault="00B835F2" w:rsidP="0024344A">
      <w:pPr>
        <w:rPr>
          <w:rFonts w:ascii="Helvetica" w:hAnsi="Helvetica" w:cs="Helvetica"/>
          <w:b/>
          <w:i/>
          <w:iCs/>
          <w:color w:val="44546A" w:themeColor="text2"/>
          <w:sz w:val="22"/>
          <w:szCs w:val="22"/>
        </w:rPr>
      </w:pPr>
      <w:r w:rsidRPr="00235A56">
        <w:rPr>
          <w:rFonts w:ascii="Helvetica" w:hAnsi="Helvetica" w:cs="Helvetica"/>
          <w:sz w:val="22"/>
          <w:szCs w:val="22"/>
        </w:rPr>
        <w:t>A second phase of the review would examine the broader set of issues</w:t>
      </w:r>
      <w:r w:rsidR="0036150A" w:rsidRPr="00235A56">
        <w:rPr>
          <w:rFonts w:ascii="Helvetica" w:hAnsi="Helvetica" w:cs="Helvetica"/>
          <w:sz w:val="22"/>
          <w:szCs w:val="22"/>
        </w:rPr>
        <w:t xml:space="preserve"> and the future of the PCS as part of the </w:t>
      </w:r>
      <w:r w:rsidRPr="00235A56">
        <w:rPr>
          <w:rFonts w:ascii="Helvetica" w:hAnsi="Helvetica" w:cs="Helvetica"/>
          <w:sz w:val="22"/>
          <w:szCs w:val="22"/>
        </w:rPr>
        <w:t>system architecture. These are issues that go to the heart of the role of categorising higher education provider</w:t>
      </w:r>
      <w:r w:rsidR="00D56F66" w:rsidRPr="00235A56">
        <w:rPr>
          <w:rFonts w:ascii="Helvetica" w:hAnsi="Helvetica" w:cs="Helvetica"/>
          <w:sz w:val="22"/>
          <w:szCs w:val="22"/>
        </w:rPr>
        <w:t>s</w:t>
      </w:r>
      <w:r w:rsidRPr="00235A56">
        <w:rPr>
          <w:rFonts w:ascii="Helvetica" w:hAnsi="Helvetica" w:cs="Helvetica"/>
          <w:sz w:val="22"/>
          <w:szCs w:val="22"/>
        </w:rPr>
        <w:t xml:space="preserve"> in the Australian system</w:t>
      </w:r>
      <w:r w:rsidR="00820A06" w:rsidRPr="00235A56">
        <w:rPr>
          <w:rFonts w:ascii="Helvetica" w:hAnsi="Helvetica" w:cs="Helvetica"/>
          <w:sz w:val="22"/>
          <w:szCs w:val="22"/>
        </w:rPr>
        <w:t xml:space="preserve"> in relation to institutional differentiation</w:t>
      </w:r>
      <w:r w:rsidRPr="00235A56">
        <w:rPr>
          <w:rFonts w:ascii="Helvetica" w:hAnsi="Helvetica" w:cs="Helvetica"/>
          <w:sz w:val="22"/>
          <w:szCs w:val="22"/>
        </w:rPr>
        <w:t xml:space="preserve"> and are tied to future system architecture and design</w:t>
      </w:r>
      <w:r w:rsidR="00D56F66" w:rsidRPr="00235A56">
        <w:rPr>
          <w:rFonts w:ascii="Helvetica" w:hAnsi="Helvetica" w:cs="Helvetica"/>
          <w:sz w:val="22"/>
          <w:szCs w:val="22"/>
        </w:rPr>
        <w:t xml:space="preserve"> a</w:t>
      </w:r>
      <w:r w:rsidR="00820A06" w:rsidRPr="00235A56">
        <w:rPr>
          <w:rFonts w:ascii="Helvetica" w:hAnsi="Helvetica" w:cs="Helvetica"/>
          <w:sz w:val="22"/>
          <w:szCs w:val="22"/>
        </w:rPr>
        <w:t>s well as</w:t>
      </w:r>
      <w:r w:rsidR="00D56F66" w:rsidRPr="00235A56">
        <w:rPr>
          <w:rFonts w:ascii="Helvetica" w:hAnsi="Helvetica" w:cs="Helvetica"/>
          <w:sz w:val="22"/>
          <w:szCs w:val="22"/>
        </w:rPr>
        <w:t xml:space="preserve"> system dynamics</w:t>
      </w:r>
      <w:r w:rsidRPr="00235A56">
        <w:rPr>
          <w:rFonts w:ascii="Helvetica" w:hAnsi="Helvetica" w:cs="Helvetica"/>
          <w:sz w:val="22"/>
          <w:szCs w:val="22"/>
        </w:rPr>
        <w:t>.</w:t>
      </w:r>
      <w:r w:rsidR="007D5E90" w:rsidRPr="00235A56">
        <w:rPr>
          <w:rFonts w:ascii="Helvetica" w:hAnsi="Helvetica" w:cs="Helvetica"/>
          <w:sz w:val="22"/>
          <w:szCs w:val="22"/>
        </w:rPr>
        <w:t xml:space="preserve"> Addressing these issues would likely require a significant change to the PCS</w:t>
      </w:r>
      <w:r w:rsidR="00D56F66" w:rsidRPr="00235A56">
        <w:rPr>
          <w:rFonts w:ascii="Helvetica" w:hAnsi="Helvetica" w:cs="Helvetica"/>
          <w:sz w:val="22"/>
          <w:szCs w:val="22"/>
        </w:rPr>
        <w:t xml:space="preserve"> as well as a very different approach to a review</w:t>
      </w:r>
      <w:r w:rsidR="007D5E90" w:rsidRPr="00235A56">
        <w:rPr>
          <w:rFonts w:ascii="Helvetica" w:hAnsi="Helvetica" w:cs="Helvetica"/>
          <w:sz w:val="22"/>
          <w:szCs w:val="22"/>
        </w:rPr>
        <w:t>.</w:t>
      </w:r>
    </w:p>
    <w:p w:rsidR="009F45A2" w:rsidRPr="00235A56" w:rsidRDefault="009F45A2">
      <w:pPr>
        <w:spacing w:after="0"/>
        <w:jc w:val="left"/>
        <w:rPr>
          <w:rFonts w:ascii="Helvetica" w:hAnsi="Helvetica" w:cs="Helvetica"/>
          <w:b/>
          <w:sz w:val="18"/>
          <w:szCs w:val="16"/>
        </w:rPr>
      </w:pPr>
      <w:r w:rsidRPr="00235A56">
        <w:rPr>
          <w:rFonts w:ascii="Helvetica" w:hAnsi="Helvetica" w:cs="Helvetica"/>
          <w:b/>
          <w:sz w:val="18"/>
          <w:szCs w:val="16"/>
        </w:rPr>
        <w:br w:type="page"/>
      </w:r>
    </w:p>
    <w:p w:rsidR="0014612E" w:rsidRPr="00235A56" w:rsidRDefault="0014612E" w:rsidP="008E6234">
      <w:pPr>
        <w:spacing w:after="0"/>
        <w:jc w:val="left"/>
        <w:rPr>
          <w:rFonts w:ascii="Helvetica" w:hAnsi="Helvetica" w:cs="Helvetica"/>
          <w:b/>
          <w:i/>
          <w:sz w:val="18"/>
          <w:szCs w:val="16"/>
        </w:rPr>
      </w:pPr>
      <w:r w:rsidRPr="00235A56">
        <w:rPr>
          <w:rFonts w:ascii="Helvetica" w:hAnsi="Helvetica" w:cs="Helvetica"/>
          <w:b/>
          <w:i/>
          <w:sz w:val="18"/>
          <w:szCs w:val="16"/>
        </w:rPr>
        <w:lastRenderedPageBreak/>
        <w:t xml:space="preserve">Phase </w:t>
      </w:r>
      <w:r w:rsidRPr="00235A56">
        <w:rPr>
          <w:rFonts w:ascii="Helvetica" w:hAnsi="Helvetica" w:cs="Helvetica"/>
          <w:b/>
          <w:i/>
          <w:noProof/>
          <w:sz w:val="18"/>
          <w:szCs w:val="16"/>
        </w:rPr>
        <w:t>2</w:t>
      </w:r>
      <w:r w:rsidRPr="00235A56">
        <w:rPr>
          <w:rFonts w:ascii="Helvetica" w:hAnsi="Helvetica" w:cs="Helvetica"/>
          <w:b/>
          <w:i/>
          <w:sz w:val="18"/>
          <w:szCs w:val="16"/>
        </w:rPr>
        <w:t>: Review the future role of the PCS in system architecture</w:t>
      </w:r>
    </w:p>
    <w:p w:rsidR="00390503" w:rsidRPr="00235A56" w:rsidRDefault="00390503" w:rsidP="008E6234">
      <w:pPr>
        <w:spacing w:after="0"/>
        <w:jc w:val="left"/>
        <w:rPr>
          <w:rFonts w:ascii="Helvetica" w:hAnsi="Helvetica" w:cs="Helvetica"/>
          <w:b/>
          <w:i/>
          <w:sz w:val="18"/>
          <w:szCs w:val="16"/>
        </w:rPr>
      </w:pPr>
    </w:p>
    <w:tbl>
      <w:tblPr>
        <w:tblStyle w:val="TableGrid"/>
        <w:tblW w:w="0" w:type="auto"/>
        <w:tblLayout w:type="fixed"/>
        <w:tblLook w:val="04A0" w:firstRow="1" w:lastRow="0" w:firstColumn="1" w:lastColumn="0" w:noHBand="0" w:noVBand="1"/>
      </w:tblPr>
      <w:tblGrid>
        <w:gridCol w:w="1522"/>
        <w:gridCol w:w="2347"/>
        <w:gridCol w:w="2222"/>
        <w:gridCol w:w="1559"/>
        <w:gridCol w:w="1360"/>
      </w:tblGrid>
      <w:tr w:rsidR="009829B3" w:rsidRPr="00235A56" w:rsidTr="00A248CA">
        <w:trPr>
          <w:trHeight w:val="422"/>
          <w:tblHeader/>
        </w:trPr>
        <w:tc>
          <w:tcPr>
            <w:tcW w:w="1522" w:type="dxa"/>
            <w:shd w:val="clear" w:color="auto" w:fill="B4C6E7" w:themeFill="accent1" w:themeFillTint="66"/>
          </w:tcPr>
          <w:p w:rsidR="007C185F" w:rsidRPr="00235A56" w:rsidRDefault="007C185F" w:rsidP="002A08B9">
            <w:pPr>
              <w:spacing w:after="0"/>
              <w:rPr>
                <w:rFonts w:ascii="Helvetica" w:hAnsi="Helvetica" w:cs="Helvetica"/>
                <w:b/>
                <w:sz w:val="20"/>
                <w:szCs w:val="20"/>
              </w:rPr>
            </w:pPr>
            <w:r w:rsidRPr="00235A56">
              <w:rPr>
                <w:rFonts w:ascii="Helvetica" w:hAnsi="Helvetica" w:cs="Helvetica"/>
                <w:b/>
                <w:sz w:val="20"/>
                <w:szCs w:val="20"/>
              </w:rPr>
              <w:t>Issue</w:t>
            </w:r>
          </w:p>
        </w:tc>
        <w:tc>
          <w:tcPr>
            <w:tcW w:w="2347" w:type="dxa"/>
            <w:shd w:val="clear" w:color="auto" w:fill="B4C6E7" w:themeFill="accent1" w:themeFillTint="66"/>
          </w:tcPr>
          <w:p w:rsidR="007C185F" w:rsidRPr="00235A56" w:rsidRDefault="007C185F" w:rsidP="002A08B9">
            <w:pPr>
              <w:spacing w:after="0"/>
              <w:rPr>
                <w:rFonts w:ascii="Helvetica" w:hAnsi="Helvetica" w:cs="Helvetica"/>
                <w:b/>
                <w:sz w:val="20"/>
                <w:szCs w:val="20"/>
              </w:rPr>
            </w:pPr>
            <w:r w:rsidRPr="00235A56">
              <w:rPr>
                <w:rFonts w:ascii="Helvetica" w:hAnsi="Helvetica" w:cs="Helvetica"/>
                <w:b/>
                <w:sz w:val="20"/>
                <w:szCs w:val="20"/>
              </w:rPr>
              <w:t>Details</w:t>
            </w:r>
          </w:p>
        </w:tc>
        <w:tc>
          <w:tcPr>
            <w:tcW w:w="2222" w:type="dxa"/>
            <w:shd w:val="clear" w:color="auto" w:fill="B4C6E7" w:themeFill="accent1" w:themeFillTint="66"/>
          </w:tcPr>
          <w:p w:rsidR="007C185F" w:rsidRPr="00235A56" w:rsidRDefault="007C185F" w:rsidP="002A08B9">
            <w:pPr>
              <w:spacing w:after="0"/>
              <w:rPr>
                <w:rFonts w:ascii="Helvetica" w:hAnsi="Helvetica" w:cs="Helvetica"/>
                <w:b/>
                <w:sz w:val="20"/>
                <w:szCs w:val="20"/>
              </w:rPr>
            </w:pPr>
            <w:r w:rsidRPr="00235A56">
              <w:rPr>
                <w:rFonts w:ascii="Helvetica" w:hAnsi="Helvetica" w:cs="Helvetica"/>
                <w:b/>
                <w:sz w:val="20"/>
                <w:szCs w:val="20"/>
              </w:rPr>
              <w:t>Comments</w:t>
            </w:r>
          </w:p>
        </w:tc>
        <w:tc>
          <w:tcPr>
            <w:tcW w:w="1559" w:type="dxa"/>
            <w:shd w:val="clear" w:color="auto" w:fill="B4C6E7" w:themeFill="accent1" w:themeFillTint="66"/>
          </w:tcPr>
          <w:p w:rsidR="007C185F" w:rsidRPr="00235A56" w:rsidRDefault="007C185F" w:rsidP="002A08B9">
            <w:pPr>
              <w:spacing w:after="0"/>
              <w:rPr>
                <w:rFonts w:ascii="Helvetica" w:hAnsi="Helvetica" w:cs="Helvetica"/>
                <w:b/>
                <w:sz w:val="20"/>
                <w:szCs w:val="20"/>
              </w:rPr>
            </w:pPr>
            <w:r w:rsidRPr="00235A56">
              <w:rPr>
                <w:rFonts w:ascii="Helvetica" w:hAnsi="Helvetica" w:cs="Helvetica"/>
                <w:b/>
                <w:sz w:val="20"/>
                <w:szCs w:val="20"/>
              </w:rPr>
              <w:t>Significance</w:t>
            </w:r>
          </w:p>
        </w:tc>
        <w:tc>
          <w:tcPr>
            <w:tcW w:w="1360" w:type="dxa"/>
            <w:shd w:val="clear" w:color="auto" w:fill="B4C6E7" w:themeFill="accent1" w:themeFillTint="66"/>
          </w:tcPr>
          <w:p w:rsidR="007C185F" w:rsidRPr="00235A56" w:rsidRDefault="007C185F" w:rsidP="002A08B9">
            <w:pPr>
              <w:spacing w:after="0"/>
              <w:rPr>
                <w:rFonts w:ascii="Helvetica" w:hAnsi="Helvetica" w:cs="Helvetica"/>
                <w:b/>
                <w:sz w:val="20"/>
                <w:szCs w:val="20"/>
              </w:rPr>
            </w:pPr>
            <w:r w:rsidRPr="00235A56">
              <w:rPr>
                <w:rFonts w:ascii="Helvetica" w:hAnsi="Helvetica" w:cs="Helvetica"/>
                <w:b/>
                <w:sz w:val="20"/>
                <w:szCs w:val="20"/>
              </w:rPr>
              <w:t>Complexity</w:t>
            </w:r>
          </w:p>
        </w:tc>
      </w:tr>
      <w:tr w:rsidR="009829B3" w:rsidRPr="00235A56" w:rsidTr="007F2B9B">
        <w:trPr>
          <w:trHeight w:val="1150"/>
        </w:trPr>
        <w:tc>
          <w:tcPr>
            <w:tcW w:w="1522" w:type="dxa"/>
          </w:tcPr>
          <w:p w:rsidR="007C185F" w:rsidRPr="00235A56" w:rsidRDefault="007C185F" w:rsidP="002A08B9">
            <w:pPr>
              <w:spacing w:after="0"/>
              <w:jc w:val="left"/>
              <w:rPr>
                <w:rFonts w:ascii="Helvetica" w:hAnsi="Helvetica" w:cs="Helvetica"/>
                <w:sz w:val="20"/>
                <w:szCs w:val="20"/>
              </w:rPr>
            </w:pPr>
            <w:r w:rsidRPr="00235A56">
              <w:rPr>
                <w:rFonts w:ascii="Helvetica" w:hAnsi="Helvetica" w:cs="Helvetica"/>
                <w:sz w:val="20"/>
                <w:szCs w:val="20"/>
              </w:rPr>
              <w:t>Utility of new categories under the PCS</w:t>
            </w:r>
          </w:p>
        </w:tc>
        <w:tc>
          <w:tcPr>
            <w:tcW w:w="2347" w:type="dxa"/>
          </w:tcPr>
          <w:p w:rsidR="007C185F" w:rsidRPr="00235A56" w:rsidRDefault="007C185F" w:rsidP="002A08B9">
            <w:pPr>
              <w:spacing w:after="0"/>
              <w:jc w:val="left"/>
              <w:rPr>
                <w:rFonts w:ascii="Helvetica" w:hAnsi="Helvetica" w:cs="Helvetica"/>
                <w:sz w:val="20"/>
                <w:szCs w:val="20"/>
              </w:rPr>
            </w:pPr>
            <w:r w:rsidRPr="00235A56">
              <w:rPr>
                <w:rFonts w:ascii="Helvetica" w:hAnsi="Helvetica" w:cs="Helvetica"/>
                <w:sz w:val="20"/>
                <w:szCs w:val="20"/>
              </w:rPr>
              <w:t>There is potential utility of new categories under the PCS, such as for a teaching focused category of university and one for pathways colleges.</w:t>
            </w:r>
          </w:p>
        </w:tc>
        <w:tc>
          <w:tcPr>
            <w:tcW w:w="2222" w:type="dxa"/>
          </w:tcPr>
          <w:p w:rsidR="007C185F" w:rsidRPr="00235A56" w:rsidRDefault="007C185F" w:rsidP="002A08B9">
            <w:pPr>
              <w:spacing w:after="0"/>
              <w:jc w:val="left"/>
              <w:rPr>
                <w:rFonts w:ascii="Helvetica" w:hAnsi="Helvetica" w:cs="Helvetica"/>
                <w:sz w:val="20"/>
                <w:szCs w:val="20"/>
              </w:rPr>
            </w:pPr>
            <w:r w:rsidRPr="00235A56">
              <w:rPr>
                <w:rFonts w:ascii="Helvetica" w:hAnsi="Helvetica" w:cs="Helvetica"/>
                <w:sz w:val="20"/>
                <w:szCs w:val="20"/>
              </w:rPr>
              <w:t xml:space="preserve">It appears from the stakeholder feedback that there is </w:t>
            </w:r>
            <w:r w:rsidRPr="00235A56">
              <w:rPr>
                <w:rFonts w:ascii="Helvetica" w:hAnsi="Helvetica" w:cs="Helvetica"/>
                <w:b/>
                <w:bCs/>
                <w:sz w:val="20"/>
                <w:szCs w:val="20"/>
              </w:rPr>
              <w:t>limited enthusiasm for additional categories</w:t>
            </w:r>
            <w:r w:rsidRPr="00235A56">
              <w:rPr>
                <w:rFonts w:ascii="Helvetica" w:hAnsi="Helvetica" w:cs="Helvetica"/>
                <w:sz w:val="20"/>
                <w:szCs w:val="20"/>
              </w:rPr>
              <w:t>.</w:t>
            </w:r>
            <w:r w:rsidR="009829B3" w:rsidRPr="00235A56">
              <w:rPr>
                <w:rFonts w:ascii="Helvetica" w:hAnsi="Helvetica" w:cs="Helvetica"/>
                <w:sz w:val="20"/>
                <w:szCs w:val="20"/>
              </w:rPr>
              <w:t xml:space="preserve"> </w:t>
            </w:r>
            <w:r w:rsidRPr="00235A56">
              <w:rPr>
                <w:rFonts w:ascii="Helvetica" w:hAnsi="Helvetica" w:cs="Helvetica"/>
                <w:sz w:val="20"/>
                <w:szCs w:val="20"/>
              </w:rPr>
              <w:t>Given the requirements for active scholarship for the university categories, it is hard to see how a new category could operate without major revision to the PCS.</w:t>
            </w:r>
          </w:p>
        </w:tc>
        <w:tc>
          <w:tcPr>
            <w:tcW w:w="1559" w:type="dxa"/>
          </w:tcPr>
          <w:p w:rsidR="007C185F" w:rsidRPr="00235A56" w:rsidRDefault="007C185F" w:rsidP="002A08B9">
            <w:pPr>
              <w:spacing w:after="0"/>
              <w:jc w:val="left"/>
              <w:rPr>
                <w:rFonts w:ascii="Helvetica" w:hAnsi="Helvetica" w:cs="Helvetica"/>
                <w:sz w:val="20"/>
                <w:szCs w:val="20"/>
              </w:rPr>
            </w:pPr>
            <w:r w:rsidRPr="00235A56">
              <w:rPr>
                <w:rFonts w:ascii="Helvetica" w:hAnsi="Helvetica" w:cs="Helvetica"/>
                <w:sz w:val="20"/>
                <w:szCs w:val="20"/>
              </w:rPr>
              <w:t>High</w:t>
            </w:r>
          </w:p>
        </w:tc>
        <w:tc>
          <w:tcPr>
            <w:tcW w:w="1360" w:type="dxa"/>
          </w:tcPr>
          <w:p w:rsidR="007C185F" w:rsidRPr="00235A56" w:rsidRDefault="007C185F" w:rsidP="002A08B9">
            <w:pPr>
              <w:spacing w:after="0"/>
              <w:jc w:val="left"/>
              <w:rPr>
                <w:rFonts w:ascii="Helvetica" w:hAnsi="Helvetica" w:cs="Helvetica"/>
                <w:sz w:val="20"/>
                <w:szCs w:val="20"/>
              </w:rPr>
            </w:pPr>
            <w:r w:rsidRPr="00235A56">
              <w:rPr>
                <w:rFonts w:ascii="Helvetica" w:hAnsi="Helvetica" w:cs="Helvetica"/>
                <w:sz w:val="20"/>
                <w:szCs w:val="20"/>
              </w:rPr>
              <w:t>High</w:t>
            </w:r>
          </w:p>
        </w:tc>
      </w:tr>
      <w:tr w:rsidR="009829B3" w:rsidRPr="00235A56" w:rsidTr="007F2B9B">
        <w:trPr>
          <w:trHeight w:val="1741"/>
        </w:trPr>
        <w:tc>
          <w:tcPr>
            <w:tcW w:w="1522" w:type="dxa"/>
          </w:tcPr>
          <w:p w:rsidR="007C185F" w:rsidRPr="00235A56" w:rsidRDefault="007C185F" w:rsidP="002A08B9">
            <w:pPr>
              <w:spacing w:after="0"/>
              <w:jc w:val="left"/>
              <w:rPr>
                <w:rFonts w:ascii="Helvetica" w:hAnsi="Helvetica" w:cs="Helvetica"/>
                <w:sz w:val="20"/>
                <w:szCs w:val="20"/>
              </w:rPr>
            </w:pPr>
            <w:r w:rsidRPr="00235A56">
              <w:rPr>
                <w:rFonts w:ascii="Helvetica" w:hAnsi="Helvetica" w:cs="Helvetica"/>
                <w:sz w:val="20"/>
                <w:szCs w:val="20"/>
              </w:rPr>
              <w:t>Future fitness for purpose of the PCS given changes in knowledge creation and dissemination</w:t>
            </w:r>
          </w:p>
        </w:tc>
        <w:tc>
          <w:tcPr>
            <w:tcW w:w="2347" w:type="dxa"/>
          </w:tcPr>
          <w:p w:rsidR="007C185F" w:rsidRPr="00235A56" w:rsidRDefault="007C185F" w:rsidP="002A08B9">
            <w:pPr>
              <w:spacing w:after="0"/>
              <w:jc w:val="left"/>
              <w:rPr>
                <w:rFonts w:ascii="Helvetica" w:hAnsi="Helvetica" w:cs="Helvetica"/>
                <w:sz w:val="20"/>
                <w:szCs w:val="20"/>
              </w:rPr>
            </w:pPr>
            <w:r w:rsidRPr="00235A56">
              <w:rPr>
                <w:rFonts w:ascii="Helvetica" w:hAnsi="Helvetica" w:cs="Helvetica"/>
                <w:sz w:val="20"/>
                <w:szCs w:val="20"/>
              </w:rPr>
              <w:t xml:space="preserve">The PCS are not a categorisation scheme which currently promote innovation </w:t>
            </w:r>
            <w:r w:rsidR="009829B3" w:rsidRPr="00235A56">
              <w:rPr>
                <w:rFonts w:ascii="Helvetica" w:hAnsi="Helvetica" w:cs="Helvetica"/>
                <w:sz w:val="20"/>
                <w:szCs w:val="20"/>
              </w:rPr>
              <w:t xml:space="preserve">in </w:t>
            </w:r>
            <w:r w:rsidRPr="00235A56">
              <w:rPr>
                <w:rFonts w:ascii="Helvetica" w:hAnsi="Helvetica" w:cs="Helvetica"/>
                <w:sz w:val="20"/>
                <w:szCs w:val="20"/>
              </w:rPr>
              <w:t xml:space="preserve">higher education. </w:t>
            </w:r>
          </w:p>
        </w:tc>
        <w:tc>
          <w:tcPr>
            <w:tcW w:w="2222" w:type="dxa"/>
          </w:tcPr>
          <w:p w:rsidR="007C185F" w:rsidRPr="00235A56" w:rsidRDefault="007C185F" w:rsidP="002A08B9">
            <w:pPr>
              <w:spacing w:after="0"/>
              <w:jc w:val="left"/>
              <w:rPr>
                <w:rFonts w:ascii="Helvetica" w:hAnsi="Helvetica" w:cs="Helvetica"/>
                <w:sz w:val="20"/>
                <w:szCs w:val="20"/>
              </w:rPr>
            </w:pPr>
            <w:r w:rsidRPr="00235A56">
              <w:rPr>
                <w:rFonts w:ascii="Helvetica" w:hAnsi="Helvetica" w:cs="Helvetica"/>
                <w:sz w:val="20"/>
                <w:szCs w:val="20"/>
              </w:rPr>
              <w:t xml:space="preserve">The review could examine in what way a future categorisation scheme could promote </w:t>
            </w:r>
            <w:r w:rsidRPr="00235A56">
              <w:rPr>
                <w:rFonts w:ascii="Helvetica" w:eastAsia="Times New Roman" w:hAnsi="Helvetica" w:cs="Helvetica"/>
                <w:color w:val="000000"/>
                <w:sz w:val="20"/>
                <w:szCs w:val="20"/>
              </w:rPr>
              <w:t>innovation.</w:t>
            </w:r>
          </w:p>
        </w:tc>
        <w:tc>
          <w:tcPr>
            <w:tcW w:w="1559" w:type="dxa"/>
          </w:tcPr>
          <w:p w:rsidR="007C185F" w:rsidRPr="00235A56" w:rsidRDefault="00855A71" w:rsidP="002A08B9">
            <w:pPr>
              <w:spacing w:after="0"/>
              <w:jc w:val="left"/>
              <w:rPr>
                <w:rFonts w:ascii="Helvetica" w:hAnsi="Helvetica" w:cs="Helvetica"/>
                <w:sz w:val="20"/>
                <w:szCs w:val="20"/>
              </w:rPr>
            </w:pPr>
            <w:r w:rsidRPr="00235A56">
              <w:rPr>
                <w:rFonts w:ascii="Helvetica" w:hAnsi="Helvetica" w:cs="Helvetica"/>
                <w:sz w:val="20"/>
                <w:szCs w:val="20"/>
              </w:rPr>
              <w:t>High</w:t>
            </w:r>
          </w:p>
        </w:tc>
        <w:tc>
          <w:tcPr>
            <w:tcW w:w="1360" w:type="dxa"/>
          </w:tcPr>
          <w:p w:rsidR="007C185F" w:rsidRPr="00235A56" w:rsidRDefault="00855A71" w:rsidP="002A08B9">
            <w:pPr>
              <w:spacing w:after="0"/>
              <w:jc w:val="left"/>
              <w:rPr>
                <w:rFonts w:ascii="Helvetica" w:hAnsi="Helvetica" w:cs="Helvetica"/>
                <w:sz w:val="20"/>
                <w:szCs w:val="20"/>
              </w:rPr>
            </w:pPr>
            <w:r w:rsidRPr="00235A56">
              <w:rPr>
                <w:rFonts w:ascii="Helvetica" w:hAnsi="Helvetica" w:cs="Helvetica"/>
                <w:sz w:val="20"/>
                <w:szCs w:val="20"/>
              </w:rPr>
              <w:t>High</w:t>
            </w:r>
          </w:p>
        </w:tc>
      </w:tr>
      <w:tr w:rsidR="009829B3" w:rsidRPr="00235A56" w:rsidTr="007F2B9B">
        <w:trPr>
          <w:trHeight w:val="1150"/>
        </w:trPr>
        <w:tc>
          <w:tcPr>
            <w:tcW w:w="1522" w:type="dxa"/>
          </w:tcPr>
          <w:p w:rsidR="007C185F" w:rsidRPr="00235A56" w:rsidRDefault="007C185F" w:rsidP="002A08B9">
            <w:pPr>
              <w:spacing w:after="0"/>
              <w:jc w:val="left"/>
              <w:rPr>
                <w:rFonts w:ascii="Helvetica" w:hAnsi="Helvetica" w:cs="Helvetica"/>
                <w:sz w:val="20"/>
                <w:szCs w:val="20"/>
              </w:rPr>
            </w:pPr>
            <w:r w:rsidRPr="00235A56">
              <w:rPr>
                <w:rFonts w:ascii="Helvetica" w:hAnsi="Helvetica" w:cs="Helvetica"/>
                <w:sz w:val="20"/>
                <w:szCs w:val="20"/>
              </w:rPr>
              <w:t>System archi</w:t>
            </w:r>
            <w:r w:rsidR="009829B3" w:rsidRPr="00235A56">
              <w:rPr>
                <w:rFonts w:ascii="Helvetica" w:hAnsi="Helvetica" w:cs="Helvetica"/>
                <w:sz w:val="20"/>
                <w:szCs w:val="20"/>
              </w:rPr>
              <w:t xml:space="preserve">tecture to promote performance and </w:t>
            </w:r>
            <w:r w:rsidRPr="00235A56">
              <w:rPr>
                <w:rFonts w:ascii="Helvetica" w:hAnsi="Helvetica" w:cs="Helvetica"/>
                <w:sz w:val="20"/>
                <w:szCs w:val="20"/>
              </w:rPr>
              <w:t xml:space="preserve">diversity </w:t>
            </w:r>
          </w:p>
        </w:tc>
        <w:tc>
          <w:tcPr>
            <w:tcW w:w="2347" w:type="dxa"/>
          </w:tcPr>
          <w:p w:rsidR="007C185F" w:rsidRPr="00235A56" w:rsidRDefault="007C185F" w:rsidP="002A08B9">
            <w:pPr>
              <w:spacing w:after="0"/>
              <w:jc w:val="left"/>
              <w:rPr>
                <w:rFonts w:ascii="Helvetica" w:hAnsi="Helvetica" w:cs="Helvetica"/>
                <w:sz w:val="20"/>
                <w:szCs w:val="20"/>
              </w:rPr>
            </w:pPr>
            <w:r w:rsidRPr="00235A56">
              <w:rPr>
                <w:rFonts w:ascii="Helvetica" w:hAnsi="Helvetica" w:cs="Helvetica"/>
                <w:sz w:val="20"/>
                <w:szCs w:val="20"/>
              </w:rPr>
              <w:t>Renewed categories could potentially promote either horizontal or vertical differentiation in the system. Or alternatively</w:t>
            </w:r>
            <w:r w:rsidR="00820A06" w:rsidRPr="00235A56">
              <w:rPr>
                <w:rFonts w:ascii="Helvetica" w:hAnsi="Helvetica" w:cs="Helvetica"/>
                <w:sz w:val="20"/>
                <w:szCs w:val="20"/>
              </w:rPr>
              <w:t>,</w:t>
            </w:r>
            <w:r w:rsidRPr="00235A56">
              <w:rPr>
                <w:rFonts w:ascii="Helvetica" w:hAnsi="Helvetica" w:cs="Helvetica"/>
                <w:sz w:val="20"/>
                <w:szCs w:val="20"/>
              </w:rPr>
              <w:t xml:space="preserve"> different policy instruments could be developed and implemented to further institutional diversity, quality and innovation across all providers or a subset of providers.</w:t>
            </w:r>
          </w:p>
        </w:tc>
        <w:tc>
          <w:tcPr>
            <w:tcW w:w="2222" w:type="dxa"/>
          </w:tcPr>
          <w:p w:rsidR="007C185F" w:rsidRPr="00235A56" w:rsidRDefault="007C185F" w:rsidP="002A08B9">
            <w:pPr>
              <w:spacing w:after="0"/>
              <w:jc w:val="left"/>
              <w:rPr>
                <w:rFonts w:ascii="Helvetica" w:hAnsi="Helvetica" w:cs="Helvetica"/>
                <w:sz w:val="20"/>
                <w:szCs w:val="20"/>
              </w:rPr>
            </w:pPr>
            <w:r w:rsidRPr="00235A56">
              <w:rPr>
                <w:rFonts w:ascii="Helvetica" w:hAnsi="Helvetica" w:cs="Helvetica"/>
                <w:sz w:val="20"/>
                <w:szCs w:val="20"/>
              </w:rPr>
              <w:t>A review could draw on the broad range of international practices canvassed for this scoping study and address their suitability or otherwise to the Australian context.</w:t>
            </w:r>
          </w:p>
          <w:p w:rsidR="007C185F" w:rsidRPr="00235A56" w:rsidRDefault="007C185F" w:rsidP="002A08B9">
            <w:pPr>
              <w:keepNext/>
              <w:spacing w:after="0"/>
              <w:jc w:val="left"/>
              <w:rPr>
                <w:rFonts w:ascii="Helvetica" w:hAnsi="Helvetica" w:cs="Helvetica"/>
                <w:sz w:val="20"/>
                <w:szCs w:val="20"/>
              </w:rPr>
            </w:pPr>
            <w:r w:rsidRPr="00235A56">
              <w:rPr>
                <w:rFonts w:ascii="Helvetica" w:hAnsi="Helvetica" w:cs="Helvetica"/>
                <w:sz w:val="20"/>
                <w:szCs w:val="20"/>
              </w:rPr>
              <w:t>It is hard to see how this could be undertaken without also addressing the funding dimension.</w:t>
            </w:r>
          </w:p>
        </w:tc>
        <w:tc>
          <w:tcPr>
            <w:tcW w:w="1559" w:type="dxa"/>
          </w:tcPr>
          <w:p w:rsidR="007C185F" w:rsidRPr="00235A56" w:rsidRDefault="009829B3" w:rsidP="002A08B9">
            <w:pPr>
              <w:spacing w:after="0"/>
              <w:jc w:val="left"/>
              <w:rPr>
                <w:rFonts w:ascii="Helvetica" w:hAnsi="Helvetica" w:cs="Helvetica"/>
                <w:sz w:val="20"/>
                <w:szCs w:val="20"/>
              </w:rPr>
            </w:pPr>
            <w:r w:rsidRPr="00235A56">
              <w:rPr>
                <w:rFonts w:ascii="Helvetica" w:hAnsi="Helvetica" w:cs="Helvetica"/>
                <w:sz w:val="20"/>
                <w:szCs w:val="20"/>
              </w:rPr>
              <w:t>High</w:t>
            </w:r>
          </w:p>
        </w:tc>
        <w:tc>
          <w:tcPr>
            <w:tcW w:w="1360" w:type="dxa"/>
          </w:tcPr>
          <w:p w:rsidR="007C185F" w:rsidRPr="00235A56" w:rsidRDefault="00DF7848" w:rsidP="002A08B9">
            <w:pPr>
              <w:spacing w:after="0"/>
              <w:jc w:val="left"/>
              <w:rPr>
                <w:rFonts w:ascii="Helvetica" w:hAnsi="Helvetica" w:cs="Helvetica"/>
                <w:sz w:val="20"/>
                <w:szCs w:val="20"/>
              </w:rPr>
            </w:pPr>
            <w:r w:rsidRPr="00235A56">
              <w:rPr>
                <w:rFonts w:ascii="Helvetica" w:hAnsi="Helvetica" w:cs="Helvetica"/>
                <w:sz w:val="20"/>
                <w:szCs w:val="20"/>
              </w:rPr>
              <w:t>High</w:t>
            </w:r>
          </w:p>
        </w:tc>
      </w:tr>
      <w:tr w:rsidR="009829B3" w:rsidRPr="00235A56" w:rsidTr="007F2B9B">
        <w:trPr>
          <w:trHeight w:val="1150"/>
        </w:trPr>
        <w:tc>
          <w:tcPr>
            <w:tcW w:w="1522" w:type="dxa"/>
          </w:tcPr>
          <w:p w:rsidR="007C185F" w:rsidRPr="00235A56" w:rsidRDefault="001C52BC" w:rsidP="002A08B9">
            <w:pPr>
              <w:spacing w:after="0"/>
              <w:jc w:val="left"/>
              <w:rPr>
                <w:rFonts w:ascii="Helvetica" w:hAnsi="Helvetica" w:cs="Helvetica"/>
                <w:sz w:val="20"/>
                <w:szCs w:val="20"/>
              </w:rPr>
            </w:pPr>
            <w:r w:rsidRPr="00235A56">
              <w:rPr>
                <w:rFonts w:ascii="Helvetica" w:hAnsi="Helvetica" w:cs="Helvetica"/>
                <w:sz w:val="20"/>
                <w:szCs w:val="20"/>
              </w:rPr>
              <w:t>Market signalling and position</w:t>
            </w:r>
          </w:p>
        </w:tc>
        <w:tc>
          <w:tcPr>
            <w:tcW w:w="2347" w:type="dxa"/>
          </w:tcPr>
          <w:p w:rsidR="007C185F" w:rsidRPr="00235A56" w:rsidRDefault="009829B3" w:rsidP="002A08B9">
            <w:pPr>
              <w:spacing w:after="0"/>
              <w:jc w:val="left"/>
              <w:rPr>
                <w:rFonts w:ascii="Helvetica" w:hAnsi="Helvetica" w:cs="Helvetica"/>
                <w:sz w:val="20"/>
                <w:szCs w:val="20"/>
              </w:rPr>
            </w:pPr>
            <w:r w:rsidRPr="00235A56">
              <w:rPr>
                <w:rFonts w:ascii="Helvetica" w:hAnsi="Helvetica" w:cs="Helvetica"/>
                <w:sz w:val="20"/>
                <w:szCs w:val="20"/>
              </w:rPr>
              <w:t>The PCS through their purpose in protecting the term university, are currently operating as a market signal for provider activity and quality</w:t>
            </w:r>
            <w:r w:rsidR="00820A06" w:rsidRPr="00235A56">
              <w:rPr>
                <w:rFonts w:ascii="Helvetica" w:hAnsi="Helvetica" w:cs="Helvetica"/>
                <w:sz w:val="20"/>
                <w:szCs w:val="20"/>
              </w:rPr>
              <w:t>.</w:t>
            </w:r>
          </w:p>
        </w:tc>
        <w:tc>
          <w:tcPr>
            <w:tcW w:w="2222" w:type="dxa"/>
          </w:tcPr>
          <w:p w:rsidR="007C185F" w:rsidRPr="00235A56" w:rsidRDefault="001C52BC" w:rsidP="002A08B9">
            <w:pPr>
              <w:spacing w:after="0"/>
              <w:jc w:val="left"/>
              <w:rPr>
                <w:rFonts w:ascii="Helvetica" w:hAnsi="Helvetica" w:cs="Helvetica"/>
                <w:sz w:val="20"/>
                <w:szCs w:val="20"/>
              </w:rPr>
            </w:pPr>
            <w:r w:rsidRPr="00235A56">
              <w:rPr>
                <w:rFonts w:ascii="Helvetica" w:hAnsi="Helvetica" w:cs="Helvetica"/>
                <w:sz w:val="20"/>
                <w:szCs w:val="20"/>
              </w:rPr>
              <w:t>A review could examine how categorisation provides signals to the market and positions providers, and whether or not this is compatible with the aims of the categories.</w:t>
            </w:r>
          </w:p>
        </w:tc>
        <w:tc>
          <w:tcPr>
            <w:tcW w:w="1559" w:type="dxa"/>
          </w:tcPr>
          <w:p w:rsidR="007C185F" w:rsidRPr="00235A56" w:rsidRDefault="00855A71" w:rsidP="002A08B9">
            <w:pPr>
              <w:spacing w:after="0"/>
              <w:jc w:val="left"/>
              <w:rPr>
                <w:rFonts w:ascii="Helvetica" w:hAnsi="Helvetica" w:cs="Helvetica"/>
                <w:sz w:val="20"/>
                <w:szCs w:val="20"/>
              </w:rPr>
            </w:pPr>
            <w:r w:rsidRPr="00235A56">
              <w:rPr>
                <w:rFonts w:ascii="Helvetica" w:hAnsi="Helvetica" w:cs="Helvetica"/>
                <w:sz w:val="20"/>
                <w:szCs w:val="20"/>
              </w:rPr>
              <w:t>Moderate</w:t>
            </w:r>
          </w:p>
        </w:tc>
        <w:tc>
          <w:tcPr>
            <w:tcW w:w="1360" w:type="dxa"/>
          </w:tcPr>
          <w:p w:rsidR="007C185F" w:rsidRPr="00235A56" w:rsidRDefault="00855A71" w:rsidP="002A08B9">
            <w:pPr>
              <w:spacing w:after="0"/>
              <w:jc w:val="left"/>
              <w:rPr>
                <w:rFonts w:ascii="Helvetica" w:hAnsi="Helvetica" w:cs="Helvetica"/>
                <w:sz w:val="20"/>
                <w:szCs w:val="20"/>
              </w:rPr>
            </w:pPr>
            <w:r w:rsidRPr="00235A56">
              <w:rPr>
                <w:rFonts w:ascii="Helvetica" w:hAnsi="Helvetica" w:cs="Helvetica"/>
                <w:sz w:val="20"/>
                <w:szCs w:val="20"/>
              </w:rPr>
              <w:t>High</w:t>
            </w:r>
          </w:p>
        </w:tc>
      </w:tr>
      <w:tr w:rsidR="009829B3" w:rsidRPr="00235A56" w:rsidTr="007F2B9B">
        <w:trPr>
          <w:trHeight w:val="1150"/>
        </w:trPr>
        <w:tc>
          <w:tcPr>
            <w:tcW w:w="1522" w:type="dxa"/>
          </w:tcPr>
          <w:p w:rsidR="007C185F" w:rsidRPr="00235A56" w:rsidRDefault="00855A71" w:rsidP="002A08B9">
            <w:pPr>
              <w:spacing w:after="0"/>
              <w:jc w:val="left"/>
              <w:rPr>
                <w:rFonts w:ascii="Helvetica" w:hAnsi="Helvetica" w:cs="Helvetica"/>
                <w:sz w:val="20"/>
                <w:szCs w:val="20"/>
              </w:rPr>
            </w:pPr>
            <w:r w:rsidRPr="00235A56">
              <w:rPr>
                <w:rFonts w:ascii="Helvetica" w:hAnsi="Helvetica" w:cs="Helvetica"/>
                <w:sz w:val="20"/>
                <w:szCs w:val="20"/>
              </w:rPr>
              <w:t>System t</w:t>
            </w:r>
            <w:r w:rsidR="001C52BC" w:rsidRPr="00235A56">
              <w:rPr>
                <w:rFonts w:ascii="Helvetica" w:hAnsi="Helvetica" w:cs="Helvetica"/>
                <w:sz w:val="20"/>
                <w:szCs w:val="20"/>
              </w:rPr>
              <w:t>ransparency</w:t>
            </w:r>
          </w:p>
        </w:tc>
        <w:tc>
          <w:tcPr>
            <w:tcW w:w="2347" w:type="dxa"/>
          </w:tcPr>
          <w:p w:rsidR="007C185F" w:rsidRPr="00235A56" w:rsidRDefault="00855A71" w:rsidP="002A08B9">
            <w:pPr>
              <w:spacing w:after="0"/>
              <w:jc w:val="left"/>
              <w:rPr>
                <w:rFonts w:ascii="Helvetica" w:hAnsi="Helvetica" w:cs="Helvetica"/>
                <w:sz w:val="20"/>
                <w:szCs w:val="20"/>
              </w:rPr>
            </w:pPr>
            <w:r w:rsidRPr="00235A56">
              <w:rPr>
                <w:rFonts w:ascii="Helvetica" w:hAnsi="Helvetica" w:cs="Helvetica"/>
                <w:sz w:val="20"/>
                <w:szCs w:val="20"/>
              </w:rPr>
              <w:t>The research on international practice suggests that categorisation can affect system transparency</w:t>
            </w:r>
            <w:r w:rsidR="00820A06" w:rsidRPr="00235A56">
              <w:rPr>
                <w:rFonts w:ascii="Helvetica" w:hAnsi="Helvetica" w:cs="Helvetica"/>
                <w:sz w:val="20"/>
                <w:szCs w:val="20"/>
              </w:rPr>
              <w:t>.</w:t>
            </w:r>
          </w:p>
        </w:tc>
        <w:tc>
          <w:tcPr>
            <w:tcW w:w="2222" w:type="dxa"/>
          </w:tcPr>
          <w:p w:rsidR="007C185F" w:rsidRPr="00235A56" w:rsidRDefault="00855A71" w:rsidP="002A08B9">
            <w:pPr>
              <w:spacing w:after="0"/>
              <w:jc w:val="left"/>
              <w:rPr>
                <w:rFonts w:ascii="Helvetica" w:hAnsi="Helvetica" w:cs="Helvetica"/>
                <w:sz w:val="20"/>
                <w:szCs w:val="20"/>
              </w:rPr>
            </w:pPr>
            <w:r w:rsidRPr="00235A56">
              <w:rPr>
                <w:rFonts w:ascii="Helvetica" w:hAnsi="Helvetica" w:cs="Helvetica"/>
                <w:sz w:val="20"/>
                <w:szCs w:val="20"/>
              </w:rPr>
              <w:t>A review could examine how categorisation affects systems transparency</w:t>
            </w:r>
            <w:r w:rsidR="00820A06" w:rsidRPr="00235A56">
              <w:rPr>
                <w:rFonts w:ascii="Helvetica" w:hAnsi="Helvetica" w:cs="Helvetica"/>
                <w:sz w:val="20"/>
                <w:szCs w:val="20"/>
              </w:rPr>
              <w:t xml:space="preserve"> and what actions could be taken to improve transparency.</w:t>
            </w:r>
          </w:p>
        </w:tc>
        <w:tc>
          <w:tcPr>
            <w:tcW w:w="1559" w:type="dxa"/>
          </w:tcPr>
          <w:p w:rsidR="007C185F" w:rsidRPr="00235A56" w:rsidRDefault="00855A71" w:rsidP="002A08B9">
            <w:pPr>
              <w:spacing w:after="0"/>
              <w:jc w:val="left"/>
              <w:rPr>
                <w:rFonts w:ascii="Helvetica" w:hAnsi="Helvetica" w:cs="Helvetica"/>
                <w:sz w:val="20"/>
                <w:szCs w:val="20"/>
              </w:rPr>
            </w:pPr>
            <w:r w:rsidRPr="00235A56">
              <w:rPr>
                <w:rFonts w:ascii="Helvetica" w:hAnsi="Helvetica" w:cs="Helvetica"/>
                <w:sz w:val="20"/>
                <w:szCs w:val="20"/>
              </w:rPr>
              <w:t>Moderate</w:t>
            </w:r>
          </w:p>
        </w:tc>
        <w:tc>
          <w:tcPr>
            <w:tcW w:w="1360" w:type="dxa"/>
          </w:tcPr>
          <w:p w:rsidR="007C185F" w:rsidRPr="00235A56" w:rsidRDefault="00855A71" w:rsidP="002A08B9">
            <w:pPr>
              <w:spacing w:after="0"/>
              <w:jc w:val="left"/>
              <w:rPr>
                <w:rFonts w:ascii="Helvetica" w:hAnsi="Helvetica" w:cs="Helvetica"/>
                <w:sz w:val="20"/>
                <w:szCs w:val="20"/>
              </w:rPr>
            </w:pPr>
            <w:r w:rsidRPr="00235A56">
              <w:rPr>
                <w:rFonts w:ascii="Helvetica" w:hAnsi="Helvetica" w:cs="Helvetica"/>
                <w:sz w:val="20"/>
                <w:szCs w:val="20"/>
              </w:rPr>
              <w:t>Moderate</w:t>
            </w:r>
          </w:p>
        </w:tc>
      </w:tr>
    </w:tbl>
    <w:p w:rsidR="0093235B" w:rsidRPr="00235A56" w:rsidRDefault="0093235B" w:rsidP="00953BA2">
      <w:pPr>
        <w:rPr>
          <w:rFonts w:ascii="Helvetica" w:eastAsiaTheme="majorEastAsia" w:hAnsi="Helvetica" w:cs="Helvetica"/>
          <w:color w:val="2F5496" w:themeColor="accent1" w:themeShade="BF"/>
          <w:sz w:val="22"/>
          <w:szCs w:val="22"/>
          <w:highlight w:val="lightGray"/>
        </w:rPr>
      </w:pPr>
    </w:p>
    <w:p w:rsidR="00A95BDC" w:rsidRPr="00235A56" w:rsidRDefault="00B835F2" w:rsidP="00F72CF2">
      <w:pPr>
        <w:pStyle w:val="Heading1"/>
        <w:rPr>
          <w:rFonts w:ascii="Helvetica" w:hAnsi="Helvetica" w:cs="Helvetica"/>
          <w:sz w:val="28"/>
          <w:szCs w:val="28"/>
        </w:rPr>
      </w:pPr>
      <w:r w:rsidRPr="00235A56">
        <w:rPr>
          <w:rFonts w:ascii="Helvetica" w:hAnsi="Helvetica" w:cs="Helvetica"/>
          <w:sz w:val="28"/>
          <w:szCs w:val="28"/>
        </w:rPr>
        <w:lastRenderedPageBreak/>
        <w:t>References</w:t>
      </w:r>
    </w:p>
    <w:p w:rsidR="00B835F2" w:rsidRPr="00235A56" w:rsidRDefault="00B835F2" w:rsidP="00353191">
      <w:pPr>
        <w:pStyle w:val="Biblio"/>
        <w:rPr>
          <w:rFonts w:ascii="Helvetica" w:hAnsi="Helvetica" w:cs="Helvetica"/>
          <w:sz w:val="22"/>
          <w:szCs w:val="22"/>
        </w:rPr>
      </w:pPr>
      <w:r w:rsidRPr="00235A56">
        <w:rPr>
          <w:rFonts w:ascii="Helvetica" w:hAnsi="Helvetica" w:cs="Helvetica"/>
          <w:sz w:val="22"/>
          <w:szCs w:val="22"/>
        </w:rPr>
        <w:t xml:space="preserve">Altbatch, P (2015), The Carnegie Classiﬁcation of American Higher Education: More—and Less—Than Meets the Eye, </w:t>
      </w:r>
      <w:r w:rsidRPr="00235A56">
        <w:rPr>
          <w:rFonts w:ascii="Helvetica" w:hAnsi="Helvetica" w:cs="Helvetica"/>
          <w:i/>
          <w:sz w:val="22"/>
          <w:szCs w:val="22"/>
        </w:rPr>
        <w:t>International Higher Education</w:t>
      </w:r>
      <w:r w:rsidRPr="00235A56">
        <w:rPr>
          <w:rFonts w:ascii="Helvetica" w:hAnsi="Helvetica" w:cs="Helvetica"/>
          <w:sz w:val="22"/>
          <w:szCs w:val="22"/>
        </w:rPr>
        <w:t xml:space="preserve">, Number 80; Spring </w:t>
      </w:r>
      <w:r w:rsidR="00C06629" w:rsidRPr="00235A56">
        <w:rPr>
          <w:rFonts w:ascii="Helvetica" w:hAnsi="Helvetica" w:cs="Helvetica"/>
          <w:sz w:val="22"/>
          <w:szCs w:val="22"/>
        </w:rPr>
        <w:t>2015, Retrieved</w:t>
      </w:r>
      <w:r w:rsidR="000F42B1" w:rsidRPr="00235A56">
        <w:rPr>
          <w:rFonts w:ascii="Helvetica" w:hAnsi="Helvetica" w:cs="Helvetica"/>
          <w:sz w:val="22"/>
          <w:szCs w:val="22"/>
        </w:rPr>
        <w:t xml:space="preserve"> from</w:t>
      </w:r>
    </w:p>
    <w:p w:rsidR="000F42B1" w:rsidRPr="00235A56" w:rsidRDefault="000F42B1" w:rsidP="00C06629">
      <w:pPr>
        <w:pStyle w:val="Biblio"/>
        <w:ind w:left="1440"/>
        <w:rPr>
          <w:rFonts w:ascii="Helvetica" w:hAnsi="Helvetica" w:cs="Helvetica"/>
          <w:sz w:val="22"/>
          <w:szCs w:val="22"/>
        </w:rPr>
      </w:pPr>
      <w:r w:rsidRPr="00235A56">
        <w:rPr>
          <w:rFonts w:ascii="Helvetica" w:hAnsi="Helvetica" w:cs="Helvetica"/>
          <w:sz w:val="22"/>
          <w:szCs w:val="22"/>
        </w:rPr>
        <w:t>https://ejournals.bc.edu/ojs/index.php/ihe/article/viewFile/6153/5391</w:t>
      </w:r>
    </w:p>
    <w:p w:rsidR="00F10228" w:rsidRPr="00235A56" w:rsidRDefault="00F10228" w:rsidP="00353191">
      <w:pPr>
        <w:pStyle w:val="Biblio"/>
        <w:rPr>
          <w:rFonts w:ascii="Helvetica" w:hAnsi="Helvetica" w:cs="Helvetica"/>
          <w:sz w:val="22"/>
          <w:szCs w:val="22"/>
        </w:rPr>
      </w:pPr>
      <w:r w:rsidRPr="00235A56">
        <w:rPr>
          <w:rFonts w:ascii="Helvetica" w:hAnsi="Helvetica" w:cs="Helvetica"/>
          <w:sz w:val="22"/>
          <w:szCs w:val="22"/>
        </w:rPr>
        <w:t>Bartelse, J &amp; Van Vught, F (2009), The European Higher Education Classification: Objectives and Concepts</w:t>
      </w:r>
      <w:r w:rsidR="00A0749A" w:rsidRPr="00235A56">
        <w:rPr>
          <w:rFonts w:ascii="Helvetica" w:hAnsi="Helvetica" w:cs="Helvetica"/>
          <w:sz w:val="22"/>
          <w:szCs w:val="22"/>
        </w:rPr>
        <w:t>.</w:t>
      </w:r>
      <w:r w:rsidRPr="00235A56">
        <w:rPr>
          <w:rFonts w:ascii="Helvetica" w:hAnsi="Helvetica" w:cs="Helvetica"/>
          <w:sz w:val="22"/>
          <w:szCs w:val="22"/>
        </w:rPr>
        <w:t xml:space="preserve"> In Van Vught, F, A (Ed)</w:t>
      </w:r>
      <w:r w:rsidRPr="00235A56">
        <w:rPr>
          <w:rFonts w:ascii="Helvetica" w:hAnsi="Helvetica" w:cs="Helvetica"/>
          <w:i/>
          <w:sz w:val="22"/>
          <w:szCs w:val="22"/>
        </w:rPr>
        <w:t xml:space="preserve"> Mapping the Higher Education Landscape: Towards a European Classification of Higher Education</w:t>
      </w:r>
      <w:r w:rsidR="00E62AD6" w:rsidRPr="00235A56">
        <w:rPr>
          <w:rFonts w:ascii="Helvetica" w:hAnsi="Helvetica" w:cs="Helvetica"/>
          <w:sz w:val="22"/>
          <w:szCs w:val="22"/>
        </w:rPr>
        <w:t xml:space="preserve"> pp.57-70.</w:t>
      </w:r>
      <w:r w:rsidRPr="00235A56">
        <w:rPr>
          <w:rFonts w:ascii="Helvetica" w:hAnsi="Helvetica" w:cs="Helvetica"/>
          <w:i/>
          <w:sz w:val="22"/>
          <w:szCs w:val="22"/>
        </w:rPr>
        <w:t xml:space="preserve"> </w:t>
      </w:r>
      <w:r w:rsidRPr="00235A56">
        <w:rPr>
          <w:rFonts w:ascii="Helvetica" w:hAnsi="Helvetica" w:cs="Helvetica"/>
          <w:sz w:val="22"/>
          <w:szCs w:val="22"/>
        </w:rPr>
        <w:t>Springer</w:t>
      </w:r>
    </w:p>
    <w:p w:rsidR="00B835F2" w:rsidRPr="00235A56" w:rsidRDefault="00B835F2" w:rsidP="00353191">
      <w:pPr>
        <w:pStyle w:val="Biblio"/>
        <w:rPr>
          <w:rFonts w:ascii="Helvetica" w:hAnsi="Helvetica" w:cs="Helvetica"/>
          <w:sz w:val="22"/>
          <w:szCs w:val="22"/>
        </w:rPr>
      </w:pPr>
      <w:r w:rsidRPr="00235A56">
        <w:rPr>
          <w:rFonts w:ascii="Helvetica" w:hAnsi="Helvetica" w:cs="Helvetica"/>
          <w:sz w:val="22"/>
          <w:szCs w:val="22"/>
        </w:rPr>
        <w:t>Borden, V, Coates, H &amp; Bringle, R (2018), Emerging perspectives on measuring and classifying institutional performance</w:t>
      </w:r>
      <w:r w:rsidR="00A0749A" w:rsidRPr="00235A56">
        <w:rPr>
          <w:rFonts w:ascii="Helvetica" w:hAnsi="Helvetica" w:cs="Helvetica"/>
          <w:sz w:val="22"/>
          <w:szCs w:val="22"/>
        </w:rPr>
        <w:t>.</w:t>
      </w:r>
      <w:r w:rsidRPr="00235A56">
        <w:rPr>
          <w:rFonts w:ascii="Helvetica" w:hAnsi="Helvetica" w:cs="Helvetica"/>
          <w:sz w:val="22"/>
          <w:szCs w:val="22"/>
        </w:rPr>
        <w:t xml:space="preserve"> In Hazelkorn, E, Coates, H &amp; McCormick, A.C (Eds), </w:t>
      </w:r>
      <w:r w:rsidRPr="00235A56">
        <w:rPr>
          <w:rFonts w:ascii="Helvetica" w:hAnsi="Helvetica" w:cs="Helvetica"/>
          <w:i/>
          <w:sz w:val="22"/>
          <w:szCs w:val="22"/>
        </w:rPr>
        <w:t>Research Handbook on Quality, Performance and Accountability in Higher Education</w:t>
      </w:r>
      <w:r w:rsidR="00E62AD6" w:rsidRPr="00235A56">
        <w:rPr>
          <w:rFonts w:ascii="Helvetica" w:hAnsi="Helvetica" w:cs="Helvetica"/>
          <w:i/>
          <w:sz w:val="22"/>
          <w:szCs w:val="22"/>
        </w:rPr>
        <w:t xml:space="preserve"> </w:t>
      </w:r>
      <w:r w:rsidR="00E62AD6" w:rsidRPr="00235A56">
        <w:rPr>
          <w:rFonts w:ascii="Helvetica" w:hAnsi="Helvetica" w:cs="Helvetica"/>
          <w:sz w:val="22"/>
          <w:szCs w:val="22"/>
        </w:rPr>
        <w:t>pp</w:t>
      </w:r>
      <w:r w:rsidR="00C06629" w:rsidRPr="00235A56">
        <w:rPr>
          <w:rFonts w:ascii="Helvetica" w:hAnsi="Helvetica" w:cs="Helvetica"/>
          <w:sz w:val="22"/>
          <w:szCs w:val="22"/>
        </w:rPr>
        <w:t>.</w:t>
      </w:r>
      <w:r w:rsidR="00E62AD6" w:rsidRPr="00235A56">
        <w:rPr>
          <w:rFonts w:ascii="Helvetica" w:hAnsi="Helvetica" w:cs="Helvetica"/>
          <w:sz w:val="22"/>
          <w:szCs w:val="22"/>
        </w:rPr>
        <w:t xml:space="preserve"> 189-205</w:t>
      </w:r>
      <w:r w:rsidRPr="00235A56">
        <w:rPr>
          <w:rFonts w:ascii="Helvetica" w:hAnsi="Helvetica" w:cs="Helvetica"/>
          <w:sz w:val="22"/>
          <w:szCs w:val="22"/>
        </w:rPr>
        <w:t>, Edward Elgar Publishing</w:t>
      </w:r>
    </w:p>
    <w:p w:rsidR="00B835F2" w:rsidRPr="00235A56" w:rsidRDefault="00B835F2" w:rsidP="00353191">
      <w:pPr>
        <w:pStyle w:val="Biblio"/>
        <w:rPr>
          <w:rFonts w:ascii="Helvetica" w:hAnsi="Helvetica" w:cs="Helvetica"/>
          <w:sz w:val="22"/>
          <w:szCs w:val="22"/>
        </w:rPr>
      </w:pPr>
      <w:r w:rsidRPr="00235A56">
        <w:rPr>
          <w:rFonts w:ascii="Helvetica" w:hAnsi="Helvetica" w:cs="Helvetica"/>
          <w:sz w:val="22"/>
          <w:szCs w:val="22"/>
        </w:rPr>
        <w:t xml:space="preserve">Birnbaum, R (1983), </w:t>
      </w:r>
      <w:r w:rsidRPr="00235A56">
        <w:rPr>
          <w:rFonts w:ascii="Helvetica" w:hAnsi="Helvetica" w:cs="Helvetica"/>
          <w:i/>
          <w:sz w:val="22"/>
          <w:szCs w:val="22"/>
        </w:rPr>
        <w:t xml:space="preserve">Maintaining Diversity in Higher </w:t>
      </w:r>
      <w:r w:rsidR="00D404CD" w:rsidRPr="00235A56">
        <w:rPr>
          <w:rFonts w:ascii="Helvetica" w:hAnsi="Helvetica" w:cs="Helvetica"/>
          <w:i/>
          <w:sz w:val="22"/>
          <w:szCs w:val="22"/>
        </w:rPr>
        <w:t>E</w:t>
      </w:r>
      <w:r w:rsidRPr="00235A56">
        <w:rPr>
          <w:rFonts w:ascii="Helvetica" w:hAnsi="Helvetica" w:cs="Helvetica"/>
          <w:i/>
          <w:sz w:val="22"/>
          <w:szCs w:val="22"/>
        </w:rPr>
        <w:t>ducation</w:t>
      </w:r>
      <w:r w:rsidR="009000D5" w:rsidRPr="00235A56">
        <w:rPr>
          <w:rFonts w:ascii="Helvetica" w:hAnsi="Helvetica" w:cs="Helvetica"/>
          <w:sz w:val="22"/>
          <w:szCs w:val="22"/>
        </w:rPr>
        <w:t>.</w:t>
      </w:r>
      <w:r w:rsidRPr="00235A56">
        <w:rPr>
          <w:rFonts w:ascii="Helvetica" w:hAnsi="Helvetica" w:cs="Helvetica"/>
          <w:sz w:val="22"/>
          <w:szCs w:val="22"/>
        </w:rPr>
        <w:t xml:space="preserve"> San Francisco, Jossey-Bass</w:t>
      </w:r>
    </w:p>
    <w:p w:rsidR="00F73E56" w:rsidRPr="00235A56" w:rsidRDefault="00B835F2" w:rsidP="007B24C3">
      <w:pPr>
        <w:pStyle w:val="Biblio"/>
        <w:rPr>
          <w:rFonts w:ascii="Helvetica" w:hAnsi="Helvetica" w:cs="Helvetica"/>
          <w:sz w:val="22"/>
          <w:szCs w:val="22"/>
        </w:rPr>
      </w:pPr>
      <w:r w:rsidRPr="00235A56">
        <w:rPr>
          <w:rFonts w:ascii="Helvetica" w:hAnsi="Helvetica" w:cs="Helvetica"/>
          <w:sz w:val="22"/>
          <w:szCs w:val="22"/>
        </w:rPr>
        <w:t>Cai Liu, N (2005), Classification of Chinese Higher Education Institutions,</w:t>
      </w:r>
      <w:r w:rsidR="002E003B" w:rsidRPr="00235A56">
        <w:rPr>
          <w:rFonts w:ascii="Helvetica" w:hAnsi="Helvetica" w:cs="Helvetica"/>
          <w:sz w:val="22"/>
          <w:szCs w:val="22"/>
        </w:rPr>
        <w:t xml:space="preserve"> Retrieved from</w:t>
      </w:r>
      <w:r w:rsidRPr="00235A56">
        <w:rPr>
          <w:rFonts w:ascii="Helvetica" w:hAnsi="Helvetica" w:cs="Helvetica"/>
          <w:sz w:val="22"/>
          <w:szCs w:val="22"/>
        </w:rPr>
        <w:t xml:space="preserve"> </w:t>
      </w:r>
      <w:r w:rsidR="00F73E56" w:rsidRPr="00235A56">
        <w:rPr>
          <w:rFonts w:ascii="Helvetica" w:hAnsi="Helvetica" w:cs="Helvetica"/>
          <w:sz w:val="22"/>
          <w:szCs w:val="22"/>
        </w:rPr>
        <w:t>https://search.oecd.org/education/imhe/37800198.pdf</w:t>
      </w:r>
    </w:p>
    <w:p w:rsidR="00B835F2" w:rsidRPr="00235A56" w:rsidRDefault="00B835F2" w:rsidP="00353191">
      <w:pPr>
        <w:pStyle w:val="Biblio"/>
        <w:rPr>
          <w:rFonts w:ascii="Helvetica" w:hAnsi="Helvetica" w:cs="Helvetica"/>
          <w:sz w:val="22"/>
          <w:szCs w:val="22"/>
        </w:rPr>
      </w:pPr>
      <w:r w:rsidRPr="00235A56">
        <w:rPr>
          <w:rFonts w:ascii="Helvetica" w:hAnsi="Helvetica" w:cs="Helvetica"/>
          <w:sz w:val="22"/>
          <w:szCs w:val="22"/>
        </w:rPr>
        <w:t>Cai Liu</w:t>
      </w:r>
      <w:r w:rsidR="00F73E56" w:rsidRPr="00235A56">
        <w:rPr>
          <w:rFonts w:ascii="Helvetica" w:hAnsi="Helvetica" w:cs="Helvetica"/>
          <w:sz w:val="22"/>
          <w:szCs w:val="22"/>
        </w:rPr>
        <w:t>, N</w:t>
      </w:r>
      <w:r w:rsidRPr="00235A56">
        <w:rPr>
          <w:rFonts w:ascii="Helvetica" w:hAnsi="Helvetica" w:cs="Helvetica"/>
          <w:sz w:val="22"/>
          <w:szCs w:val="22"/>
        </w:rPr>
        <w:t xml:space="preserve"> (2007), Research Universities in China: Differentiation, Classification and Future World Class Status</w:t>
      </w:r>
      <w:r w:rsidR="00A0749A" w:rsidRPr="00235A56">
        <w:rPr>
          <w:rFonts w:ascii="Helvetica" w:hAnsi="Helvetica" w:cs="Helvetica"/>
          <w:sz w:val="22"/>
          <w:szCs w:val="22"/>
        </w:rPr>
        <w:t>.</w:t>
      </w:r>
      <w:r w:rsidRPr="00235A56">
        <w:rPr>
          <w:rFonts w:ascii="Helvetica" w:hAnsi="Helvetica" w:cs="Helvetica"/>
          <w:sz w:val="22"/>
          <w:szCs w:val="22"/>
        </w:rPr>
        <w:t xml:space="preserve"> In Altbatch, P.G </w:t>
      </w:r>
      <w:r w:rsidR="00A0749A" w:rsidRPr="00235A56">
        <w:rPr>
          <w:rFonts w:ascii="Helvetica" w:hAnsi="Helvetica" w:cs="Helvetica"/>
          <w:sz w:val="22"/>
          <w:szCs w:val="22"/>
        </w:rPr>
        <w:t>&amp;</w:t>
      </w:r>
      <w:r w:rsidRPr="00235A56">
        <w:rPr>
          <w:rFonts w:ascii="Helvetica" w:hAnsi="Helvetica" w:cs="Helvetica"/>
          <w:sz w:val="22"/>
          <w:szCs w:val="22"/>
        </w:rPr>
        <w:t xml:space="preserve"> Balan, J (Eds), </w:t>
      </w:r>
      <w:r w:rsidRPr="00235A56">
        <w:rPr>
          <w:rFonts w:ascii="Helvetica" w:hAnsi="Helvetica" w:cs="Helvetica"/>
          <w:i/>
          <w:sz w:val="22"/>
          <w:szCs w:val="22"/>
        </w:rPr>
        <w:t>World Class Worldwide: Transforming Research Universities in Asia and Latin America</w:t>
      </w:r>
      <w:r w:rsidR="00E62AD6" w:rsidRPr="00235A56">
        <w:rPr>
          <w:rFonts w:ascii="Helvetica" w:hAnsi="Helvetica" w:cs="Helvetica"/>
          <w:i/>
          <w:sz w:val="22"/>
          <w:szCs w:val="22"/>
        </w:rPr>
        <w:t xml:space="preserve"> </w:t>
      </w:r>
      <w:r w:rsidR="00E62AD6" w:rsidRPr="00235A56">
        <w:rPr>
          <w:rFonts w:ascii="Helvetica" w:hAnsi="Helvetica" w:cs="Helvetica"/>
          <w:sz w:val="22"/>
          <w:szCs w:val="22"/>
        </w:rPr>
        <w:t>pp</w:t>
      </w:r>
      <w:r w:rsidR="00C06629" w:rsidRPr="00235A56">
        <w:rPr>
          <w:rFonts w:ascii="Helvetica" w:hAnsi="Helvetica" w:cs="Helvetica"/>
          <w:sz w:val="22"/>
          <w:szCs w:val="22"/>
        </w:rPr>
        <w:t>.</w:t>
      </w:r>
      <w:r w:rsidR="00E62AD6" w:rsidRPr="00235A56">
        <w:rPr>
          <w:rFonts w:ascii="Helvetica" w:hAnsi="Helvetica" w:cs="Helvetica"/>
          <w:sz w:val="22"/>
          <w:szCs w:val="22"/>
        </w:rPr>
        <w:t xml:space="preserve"> 54-69</w:t>
      </w:r>
      <w:r w:rsidRPr="00235A56">
        <w:rPr>
          <w:rFonts w:ascii="Helvetica" w:hAnsi="Helvetica" w:cs="Helvetica"/>
          <w:sz w:val="22"/>
          <w:szCs w:val="22"/>
        </w:rPr>
        <w:t>, John Hopkins University Press.</w:t>
      </w:r>
    </w:p>
    <w:p w:rsidR="009A0613" w:rsidRPr="00235A56" w:rsidRDefault="009A0613" w:rsidP="007B24C3">
      <w:pPr>
        <w:pStyle w:val="Biblio"/>
        <w:rPr>
          <w:rFonts w:ascii="Helvetica" w:hAnsi="Helvetica" w:cs="Helvetica"/>
          <w:sz w:val="22"/>
          <w:szCs w:val="22"/>
        </w:rPr>
      </w:pPr>
      <w:r w:rsidRPr="00235A56">
        <w:rPr>
          <w:rFonts w:ascii="Helvetica" w:hAnsi="Helvetica" w:cs="Helvetica"/>
          <w:sz w:val="22"/>
          <w:szCs w:val="22"/>
        </w:rPr>
        <w:t>Carnegie (2016), Summary Tables for Classification</w:t>
      </w:r>
      <w:r w:rsidR="002E003B" w:rsidRPr="00235A56">
        <w:rPr>
          <w:rFonts w:ascii="Helvetica" w:hAnsi="Helvetica" w:cs="Helvetica"/>
          <w:sz w:val="22"/>
          <w:szCs w:val="22"/>
        </w:rPr>
        <w:t>, Retrieved from</w:t>
      </w:r>
      <w:r w:rsidR="007B24C3" w:rsidRPr="00235A56">
        <w:rPr>
          <w:rFonts w:ascii="Helvetica" w:hAnsi="Helvetica" w:cs="Helvetica"/>
          <w:sz w:val="22"/>
          <w:szCs w:val="22"/>
        </w:rPr>
        <w:t xml:space="preserve"> </w:t>
      </w:r>
      <w:r w:rsidRPr="00235A56">
        <w:rPr>
          <w:rFonts w:ascii="Helvetica" w:hAnsi="Helvetica" w:cs="Helvetica"/>
          <w:sz w:val="22"/>
          <w:szCs w:val="22"/>
        </w:rPr>
        <w:t>http://carnegieclassifications.iu.edu/downloads/CCIHE2015-SummaryTables-01Feb16.xlsx</w:t>
      </w:r>
    </w:p>
    <w:p w:rsidR="004B09B4" w:rsidRPr="00235A56" w:rsidRDefault="004B09B4" w:rsidP="007B24C3">
      <w:pPr>
        <w:pStyle w:val="Biblio"/>
        <w:rPr>
          <w:rStyle w:val="Hyperlink"/>
          <w:rFonts w:ascii="Helvetica" w:hAnsi="Helvetica" w:cs="Helvetica"/>
          <w:color w:val="auto"/>
          <w:sz w:val="22"/>
          <w:szCs w:val="22"/>
          <w:u w:val="none"/>
        </w:rPr>
      </w:pPr>
      <w:r w:rsidRPr="00235A56">
        <w:rPr>
          <w:rFonts w:ascii="Helvetica" w:hAnsi="Helvetica" w:cs="Helvetica"/>
          <w:sz w:val="22"/>
          <w:szCs w:val="22"/>
        </w:rPr>
        <w:t>Carnegie (2018), Basic Classification Description</w:t>
      </w:r>
      <w:r w:rsidR="002E003B" w:rsidRPr="00235A56">
        <w:rPr>
          <w:rFonts w:ascii="Helvetica" w:hAnsi="Helvetica" w:cs="Helvetica"/>
          <w:sz w:val="22"/>
          <w:szCs w:val="22"/>
        </w:rPr>
        <w:t>, Retrieved from</w:t>
      </w:r>
      <w:r w:rsidR="007B24C3" w:rsidRPr="00235A56">
        <w:rPr>
          <w:rFonts w:ascii="Helvetica" w:hAnsi="Helvetica" w:cs="Helvetica"/>
          <w:sz w:val="22"/>
          <w:szCs w:val="22"/>
        </w:rPr>
        <w:t xml:space="preserve"> </w:t>
      </w:r>
      <w:r w:rsidRPr="00235A56">
        <w:rPr>
          <w:rStyle w:val="Hyperlink"/>
          <w:rFonts w:ascii="Helvetica" w:hAnsi="Helvetica" w:cs="Helvetica"/>
          <w:color w:val="auto"/>
          <w:sz w:val="22"/>
          <w:szCs w:val="22"/>
          <w:u w:val="none"/>
        </w:rPr>
        <w:t>http://carnegieclassifications.iu.edu/classification_descriptions/basic.php</w:t>
      </w:r>
    </w:p>
    <w:p w:rsidR="00696FCD" w:rsidRPr="00235A56" w:rsidRDefault="00696FCD" w:rsidP="00353191">
      <w:pPr>
        <w:pStyle w:val="Biblio"/>
        <w:rPr>
          <w:rFonts w:ascii="Helvetica" w:hAnsi="Helvetica" w:cs="Helvetica"/>
          <w:sz w:val="28"/>
          <w:szCs w:val="22"/>
        </w:rPr>
      </w:pPr>
      <w:r w:rsidRPr="00235A56">
        <w:rPr>
          <w:rFonts w:ascii="Helvetica" w:hAnsi="Helvetica" w:cs="Helvetica"/>
          <w:sz w:val="22"/>
          <w:szCs w:val="22"/>
        </w:rPr>
        <w:t>CHEPS</w:t>
      </w:r>
      <w:r w:rsidR="009C2562" w:rsidRPr="00235A56">
        <w:rPr>
          <w:rFonts w:ascii="Helvetica" w:hAnsi="Helvetica" w:cs="Helvetica"/>
          <w:sz w:val="22"/>
          <w:szCs w:val="22"/>
        </w:rPr>
        <w:t>-</w:t>
      </w:r>
      <w:r w:rsidR="009C2562" w:rsidRPr="00235A56">
        <w:rPr>
          <w:rFonts w:ascii="Helvetica" w:hAnsi="Helvetica" w:cs="Helvetica"/>
        </w:rPr>
        <w:t xml:space="preserve"> </w:t>
      </w:r>
      <w:r w:rsidR="009C2562" w:rsidRPr="00235A56">
        <w:rPr>
          <w:rFonts w:ascii="Helvetica" w:hAnsi="Helvetica" w:cs="Helvetica"/>
          <w:sz w:val="22"/>
          <w:szCs w:val="22"/>
        </w:rPr>
        <w:t>Center for Higher Education Policy Studies</w:t>
      </w:r>
      <w:r w:rsidRPr="00235A56">
        <w:rPr>
          <w:rFonts w:ascii="Helvetica" w:hAnsi="Helvetica" w:cs="Helvetica"/>
          <w:sz w:val="22"/>
          <w:szCs w:val="22"/>
        </w:rPr>
        <w:t xml:space="preserve"> (2005), Institutional Profiles, towards a typology of higher education institutions in Europe, </w:t>
      </w:r>
      <w:r w:rsidR="002E003B" w:rsidRPr="00235A56">
        <w:rPr>
          <w:rFonts w:ascii="Helvetica" w:hAnsi="Helvetica" w:cs="Helvetica"/>
          <w:sz w:val="22"/>
          <w:szCs w:val="22"/>
        </w:rPr>
        <w:t xml:space="preserve">Retrieved from </w:t>
      </w:r>
      <w:r w:rsidRPr="00235A56">
        <w:rPr>
          <w:rFonts w:ascii="Helvetica" w:hAnsi="Helvetica" w:cs="Helvetica"/>
          <w:sz w:val="22"/>
          <w:szCs w:val="22"/>
        </w:rPr>
        <w:t>https://ris.utwente.nl/ws/portalfiles/portal/5149765/engreport05institutionalprofiles.pdf</w:t>
      </w:r>
    </w:p>
    <w:p w:rsidR="00B835F2" w:rsidRPr="00235A56" w:rsidRDefault="00B835F2" w:rsidP="00353191">
      <w:pPr>
        <w:pStyle w:val="Biblio"/>
        <w:rPr>
          <w:rFonts w:ascii="Helvetica" w:hAnsi="Helvetica" w:cs="Helvetica"/>
          <w:sz w:val="22"/>
          <w:szCs w:val="22"/>
        </w:rPr>
      </w:pPr>
      <w:r w:rsidRPr="00235A56">
        <w:rPr>
          <w:rFonts w:ascii="Helvetica" w:hAnsi="Helvetica" w:cs="Helvetica"/>
          <w:sz w:val="22"/>
          <w:szCs w:val="22"/>
        </w:rPr>
        <w:t xml:space="preserve">Croucher, G &amp; Woelert, P (2016), Institutional Isomorphism and the Creation of The Unified National System of Higher Education in Australia: An Empirical Analysis, </w:t>
      </w:r>
      <w:r w:rsidRPr="00235A56">
        <w:rPr>
          <w:rFonts w:ascii="Helvetica" w:hAnsi="Helvetica" w:cs="Helvetica"/>
          <w:i/>
          <w:sz w:val="22"/>
          <w:szCs w:val="22"/>
        </w:rPr>
        <w:t>Higher Education</w:t>
      </w:r>
      <w:r w:rsidRPr="00235A56">
        <w:rPr>
          <w:rFonts w:ascii="Helvetica" w:hAnsi="Helvetica" w:cs="Helvetica"/>
          <w:sz w:val="22"/>
          <w:szCs w:val="22"/>
        </w:rPr>
        <w:t>, 71</w:t>
      </w:r>
      <w:r w:rsidR="00A0749A" w:rsidRPr="00235A56">
        <w:rPr>
          <w:rFonts w:ascii="Helvetica" w:hAnsi="Helvetica" w:cs="Helvetica"/>
          <w:sz w:val="22"/>
          <w:szCs w:val="22"/>
        </w:rPr>
        <w:t>(</w:t>
      </w:r>
      <w:r w:rsidRPr="00235A56">
        <w:rPr>
          <w:rFonts w:ascii="Helvetica" w:hAnsi="Helvetica" w:cs="Helvetica"/>
          <w:sz w:val="22"/>
          <w:szCs w:val="22"/>
        </w:rPr>
        <w:t>4</w:t>
      </w:r>
      <w:r w:rsidR="00A0749A" w:rsidRPr="00235A56">
        <w:rPr>
          <w:rFonts w:ascii="Helvetica" w:hAnsi="Helvetica" w:cs="Helvetica"/>
          <w:sz w:val="22"/>
          <w:szCs w:val="22"/>
        </w:rPr>
        <w:t>)</w:t>
      </w:r>
      <w:r w:rsidRPr="00235A56">
        <w:rPr>
          <w:rFonts w:ascii="Helvetica" w:hAnsi="Helvetica" w:cs="Helvetica"/>
          <w:sz w:val="22"/>
          <w:szCs w:val="22"/>
        </w:rPr>
        <w:t>,439-453</w:t>
      </w:r>
    </w:p>
    <w:p w:rsidR="00B835F2" w:rsidRPr="00235A56" w:rsidRDefault="00B835F2" w:rsidP="00353191">
      <w:pPr>
        <w:pStyle w:val="Biblio"/>
        <w:rPr>
          <w:rFonts w:ascii="Helvetica" w:hAnsi="Helvetica" w:cs="Helvetica"/>
          <w:sz w:val="22"/>
          <w:szCs w:val="22"/>
        </w:rPr>
      </w:pPr>
      <w:r w:rsidRPr="00235A56">
        <w:rPr>
          <w:rFonts w:ascii="Helvetica" w:hAnsi="Helvetica" w:cs="Helvetica"/>
          <w:sz w:val="22"/>
          <w:szCs w:val="22"/>
        </w:rPr>
        <w:t>Croucher, G &amp; Woelert, P (2018), Institutional Isomorphism</w:t>
      </w:r>
      <w:r w:rsidR="009000D5" w:rsidRPr="00235A56">
        <w:rPr>
          <w:rFonts w:ascii="Helvetica" w:hAnsi="Helvetica" w:cs="Helvetica"/>
          <w:sz w:val="22"/>
          <w:szCs w:val="22"/>
        </w:rPr>
        <w:t>.</w:t>
      </w:r>
      <w:r w:rsidRPr="00235A56">
        <w:rPr>
          <w:rFonts w:ascii="Helvetica" w:hAnsi="Helvetica" w:cs="Helvetica"/>
          <w:sz w:val="22"/>
          <w:szCs w:val="22"/>
        </w:rPr>
        <w:t xml:space="preserve"> </w:t>
      </w:r>
      <w:r w:rsidR="009000D5" w:rsidRPr="00235A56">
        <w:rPr>
          <w:rFonts w:ascii="Helvetica" w:hAnsi="Helvetica" w:cs="Helvetica"/>
          <w:sz w:val="22"/>
          <w:szCs w:val="22"/>
        </w:rPr>
        <w:t>I</w:t>
      </w:r>
      <w:r w:rsidRPr="00235A56">
        <w:rPr>
          <w:rFonts w:ascii="Helvetica" w:hAnsi="Helvetica" w:cs="Helvetica"/>
          <w:sz w:val="22"/>
          <w:szCs w:val="22"/>
        </w:rPr>
        <w:t xml:space="preserve">n </w:t>
      </w:r>
      <w:r w:rsidRPr="00235A56">
        <w:rPr>
          <w:rFonts w:ascii="Helvetica" w:hAnsi="Helvetica" w:cs="Helvetica"/>
          <w:i/>
          <w:sz w:val="22"/>
          <w:szCs w:val="22"/>
        </w:rPr>
        <w:t>Wiley Blackwell Encyclopedia of Sociology</w:t>
      </w:r>
      <w:r w:rsidRPr="00235A56">
        <w:rPr>
          <w:rFonts w:ascii="Helvetica" w:hAnsi="Helvetica" w:cs="Helvetica"/>
          <w:sz w:val="22"/>
          <w:szCs w:val="22"/>
        </w:rPr>
        <w:t xml:space="preserve"> </w:t>
      </w:r>
      <w:r w:rsidR="009000D5" w:rsidRPr="00235A56">
        <w:rPr>
          <w:rFonts w:ascii="Helvetica" w:hAnsi="Helvetica" w:cs="Helvetica"/>
          <w:sz w:val="22"/>
          <w:szCs w:val="22"/>
        </w:rPr>
        <w:t>(</w:t>
      </w:r>
      <w:r w:rsidRPr="00235A56">
        <w:rPr>
          <w:rFonts w:ascii="Helvetica" w:hAnsi="Helvetica" w:cs="Helvetica"/>
          <w:sz w:val="22"/>
          <w:szCs w:val="22"/>
        </w:rPr>
        <w:t>2nd Ed</w:t>
      </w:r>
      <w:r w:rsidR="009000D5" w:rsidRPr="00235A56">
        <w:rPr>
          <w:rFonts w:ascii="Helvetica" w:hAnsi="Helvetica" w:cs="Helvetica"/>
          <w:sz w:val="22"/>
          <w:szCs w:val="22"/>
        </w:rPr>
        <w:t>). Wiley Black Publishing</w:t>
      </w:r>
    </w:p>
    <w:p w:rsidR="001573B6" w:rsidRPr="00235A56" w:rsidRDefault="00270968" w:rsidP="007B24C3">
      <w:pPr>
        <w:pStyle w:val="Biblio"/>
        <w:rPr>
          <w:rFonts w:ascii="Helvetica" w:hAnsi="Helvetica" w:cs="Helvetica"/>
          <w:sz w:val="22"/>
          <w:szCs w:val="22"/>
        </w:rPr>
      </w:pPr>
      <w:r w:rsidRPr="00235A56">
        <w:rPr>
          <w:rFonts w:ascii="Helvetica" w:hAnsi="Helvetica" w:cs="Helvetica"/>
          <w:sz w:val="22"/>
          <w:szCs w:val="22"/>
        </w:rPr>
        <w:t xml:space="preserve">DBIS- </w:t>
      </w:r>
      <w:r w:rsidR="00931863" w:rsidRPr="00235A56">
        <w:rPr>
          <w:rFonts w:ascii="Helvetica" w:hAnsi="Helvetica" w:cs="Helvetica"/>
          <w:sz w:val="22"/>
          <w:szCs w:val="22"/>
        </w:rPr>
        <w:t xml:space="preserve">Department for Business Innovation &amp; </w:t>
      </w:r>
      <w:r w:rsidR="00C06629" w:rsidRPr="00235A56">
        <w:rPr>
          <w:rFonts w:ascii="Helvetica" w:hAnsi="Helvetica" w:cs="Helvetica"/>
          <w:sz w:val="22"/>
          <w:szCs w:val="22"/>
        </w:rPr>
        <w:t>Skills (</w:t>
      </w:r>
      <w:r w:rsidR="00C44B9F" w:rsidRPr="00235A56">
        <w:rPr>
          <w:rFonts w:ascii="Helvetica" w:hAnsi="Helvetica" w:cs="Helvetica"/>
          <w:sz w:val="22"/>
          <w:szCs w:val="22"/>
        </w:rPr>
        <w:t>2011)</w:t>
      </w:r>
      <w:r w:rsidR="00EF7A18" w:rsidRPr="00235A56">
        <w:rPr>
          <w:rFonts w:ascii="Helvetica" w:hAnsi="Helvetica" w:cs="Helvetica"/>
          <w:sz w:val="22"/>
          <w:szCs w:val="22"/>
        </w:rPr>
        <w:t>,</w:t>
      </w:r>
      <w:r w:rsidR="00C44B9F" w:rsidRPr="00235A56">
        <w:rPr>
          <w:rFonts w:ascii="Helvetica" w:hAnsi="Helvetica" w:cs="Helvetica"/>
          <w:sz w:val="22"/>
          <w:szCs w:val="22"/>
        </w:rPr>
        <w:t xml:space="preserve"> </w:t>
      </w:r>
      <w:r w:rsidR="00C44B9F" w:rsidRPr="00235A56">
        <w:rPr>
          <w:rFonts w:ascii="Helvetica" w:hAnsi="Helvetica" w:cs="Helvetica"/>
          <w:i/>
          <w:sz w:val="22"/>
          <w:szCs w:val="22"/>
        </w:rPr>
        <w:t>Students at the Heart of the System</w:t>
      </w:r>
      <w:r w:rsidR="00C44B9F" w:rsidRPr="00235A56">
        <w:rPr>
          <w:rFonts w:ascii="Helvetica" w:hAnsi="Helvetica" w:cs="Helvetica"/>
          <w:sz w:val="22"/>
          <w:szCs w:val="22"/>
        </w:rPr>
        <w:t xml:space="preserve">, </w:t>
      </w:r>
      <w:r w:rsidR="001573B6" w:rsidRPr="00235A56">
        <w:rPr>
          <w:rFonts w:ascii="Helvetica" w:hAnsi="Helvetica" w:cs="Helvetica"/>
          <w:sz w:val="22"/>
          <w:szCs w:val="22"/>
        </w:rPr>
        <w:t>Cm8122</w:t>
      </w:r>
      <w:r w:rsidR="007B24C3" w:rsidRPr="00235A56">
        <w:rPr>
          <w:rFonts w:ascii="Helvetica" w:hAnsi="Helvetica" w:cs="Helvetica"/>
          <w:sz w:val="22"/>
          <w:szCs w:val="22"/>
        </w:rPr>
        <w:t xml:space="preserve"> </w:t>
      </w:r>
      <w:r w:rsidR="00CB1F31" w:rsidRPr="00235A56">
        <w:rPr>
          <w:rFonts w:ascii="Helvetica" w:hAnsi="Helvetica" w:cs="Helvetica"/>
          <w:sz w:val="22"/>
          <w:szCs w:val="22"/>
        </w:rPr>
        <w:t xml:space="preserve">Retrieved from </w:t>
      </w:r>
      <w:r w:rsidR="001573B6" w:rsidRPr="00235A56">
        <w:rPr>
          <w:rFonts w:ascii="Helvetica" w:hAnsi="Helvetica" w:cs="Helvetica"/>
          <w:sz w:val="22"/>
          <w:szCs w:val="22"/>
        </w:rPr>
        <w:t>https://assets.publishing.service.gov.uk/government/uploads/system/uploads/attachment_data/file/31384/11-944-higher-education-students-at-heart-of-system.pdf</w:t>
      </w:r>
    </w:p>
    <w:p w:rsidR="00B835F2" w:rsidRPr="00235A56" w:rsidRDefault="00270968" w:rsidP="00353191">
      <w:pPr>
        <w:pStyle w:val="Biblio"/>
        <w:rPr>
          <w:rFonts w:ascii="Helvetica" w:hAnsi="Helvetica" w:cs="Helvetica"/>
          <w:sz w:val="22"/>
          <w:szCs w:val="22"/>
        </w:rPr>
      </w:pPr>
      <w:r w:rsidRPr="00235A56">
        <w:rPr>
          <w:rFonts w:ascii="Helvetica" w:hAnsi="Helvetica" w:cs="Helvetica"/>
          <w:sz w:val="22"/>
          <w:szCs w:val="22"/>
        </w:rPr>
        <w:t>DBIS-</w:t>
      </w:r>
      <w:r w:rsidR="00CB1F31" w:rsidRPr="00235A56">
        <w:rPr>
          <w:rFonts w:ascii="Helvetica" w:hAnsi="Helvetica" w:cs="Helvetica"/>
          <w:sz w:val="22"/>
          <w:szCs w:val="22"/>
        </w:rPr>
        <w:t>Department for Business Innovation &amp; Skills</w:t>
      </w:r>
      <w:r w:rsidR="00C06629" w:rsidRPr="00235A56">
        <w:rPr>
          <w:rFonts w:ascii="Helvetica" w:hAnsi="Helvetica" w:cs="Helvetica"/>
          <w:sz w:val="22"/>
          <w:szCs w:val="22"/>
        </w:rPr>
        <w:t xml:space="preserve"> </w:t>
      </w:r>
      <w:r w:rsidR="00B835F2" w:rsidRPr="00235A56">
        <w:rPr>
          <w:rFonts w:ascii="Helvetica" w:hAnsi="Helvetica" w:cs="Helvetica"/>
          <w:sz w:val="22"/>
          <w:szCs w:val="22"/>
        </w:rPr>
        <w:t>(2016)</w:t>
      </w:r>
      <w:r w:rsidR="00EF7A18" w:rsidRPr="00235A56">
        <w:rPr>
          <w:rFonts w:ascii="Helvetica" w:hAnsi="Helvetica" w:cs="Helvetica"/>
          <w:sz w:val="22"/>
          <w:szCs w:val="22"/>
        </w:rPr>
        <w:t>,</w:t>
      </w:r>
      <w:r w:rsidR="00B835F2" w:rsidRPr="00235A56">
        <w:rPr>
          <w:rFonts w:ascii="Helvetica" w:hAnsi="Helvetica" w:cs="Helvetica"/>
          <w:sz w:val="22"/>
          <w:szCs w:val="22"/>
        </w:rPr>
        <w:t xml:space="preserve"> </w:t>
      </w:r>
      <w:r w:rsidR="00B835F2" w:rsidRPr="00235A56">
        <w:rPr>
          <w:rFonts w:ascii="Helvetica" w:hAnsi="Helvetica" w:cs="Helvetica"/>
          <w:i/>
          <w:sz w:val="22"/>
          <w:szCs w:val="22"/>
        </w:rPr>
        <w:t>Success as a Knowledge Economy: Teaching Excellence, Social Mobility and Student Choice</w:t>
      </w:r>
      <w:r w:rsidR="00B835F2" w:rsidRPr="00235A56">
        <w:rPr>
          <w:rFonts w:ascii="Helvetica" w:hAnsi="Helvetica" w:cs="Helvetica"/>
          <w:sz w:val="22"/>
          <w:szCs w:val="22"/>
        </w:rPr>
        <w:t xml:space="preserve">, Cm 9258 </w:t>
      </w:r>
      <w:r w:rsidR="00CB1F31" w:rsidRPr="00235A56">
        <w:rPr>
          <w:rFonts w:ascii="Helvetica" w:hAnsi="Helvetica" w:cs="Helvetica"/>
          <w:sz w:val="22"/>
          <w:szCs w:val="22"/>
        </w:rPr>
        <w:t xml:space="preserve">Retrieved from </w:t>
      </w:r>
      <w:r w:rsidR="00E159F2" w:rsidRPr="00235A56">
        <w:rPr>
          <w:rStyle w:val="Hyperlink"/>
          <w:rFonts w:ascii="Helvetica" w:hAnsi="Helvetica" w:cs="Helvetica"/>
          <w:color w:val="auto"/>
          <w:sz w:val="22"/>
          <w:szCs w:val="22"/>
          <w:u w:val="none"/>
        </w:rPr>
        <w:t>https://www.gov.uk/government/uploads/system/uploads/attachment_data/file/523546/bis-16-265-success-as-a-knowledge-economy-web.pdf</w:t>
      </w:r>
    </w:p>
    <w:p w:rsidR="00E159F2" w:rsidRPr="00235A56" w:rsidRDefault="00E159F2" w:rsidP="00353191">
      <w:pPr>
        <w:pStyle w:val="Biblio"/>
        <w:rPr>
          <w:rFonts w:ascii="Helvetica" w:hAnsi="Helvetica" w:cs="Helvetica"/>
          <w:sz w:val="22"/>
          <w:szCs w:val="22"/>
        </w:rPr>
      </w:pPr>
      <w:r w:rsidRPr="00235A56">
        <w:rPr>
          <w:rFonts w:ascii="Helvetica" w:hAnsi="Helvetica" w:cs="Helvetica"/>
          <w:sz w:val="22"/>
          <w:szCs w:val="22"/>
        </w:rPr>
        <w:t xml:space="preserve">DfE-Department for Education (2017), </w:t>
      </w:r>
      <w:r w:rsidRPr="00235A56">
        <w:rPr>
          <w:rFonts w:ascii="Helvetica" w:hAnsi="Helvetica" w:cs="Helvetica"/>
          <w:i/>
          <w:sz w:val="22"/>
          <w:szCs w:val="22"/>
        </w:rPr>
        <w:t>Securing student success: risk-based regulation for teaching excellence, social mobility and informed choice in higher education, Government Consultation on behalf of Office of Students</w:t>
      </w:r>
      <w:r w:rsidRPr="00235A56">
        <w:rPr>
          <w:rFonts w:ascii="Helvetica" w:hAnsi="Helvetica" w:cs="Helvetica"/>
          <w:sz w:val="22"/>
          <w:szCs w:val="22"/>
        </w:rPr>
        <w:t>, Retrieved from</w:t>
      </w:r>
    </w:p>
    <w:p w:rsidR="00E159F2" w:rsidRPr="00235A56" w:rsidRDefault="00E159F2" w:rsidP="00C06629">
      <w:pPr>
        <w:pStyle w:val="Biblio"/>
        <w:ind w:left="1440"/>
        <w:rPr>
          <w:rFonts w:ascii="Helvetica" w:hAnsi="Helvetica" w:cs="Helvetica"/>
          <w:sz w:val="22"/>
          <w:szCs w:val="22"/>
        </w:rPr>
      </w:pPr>
      <w:r w:rsidRPr="00235A56">
        <w:rPr>
          <w:rFonts w:ascii="Helvetica" w:hAnsi="Helvetica" w:cs="Helvetica"/>
          <w:sz w:val="22"/>
          <w:szCs w:val="22"/>
        </w:rPr>
        <w:t>https://consult.education.gov.uk/higher-education/higher-education-regulatory-framework/supporting_documents/HE%20reg%20framework%20condoc%20FINAL%2018%20October%20FINAL%20FINAL.pdf</w:t>
      </w:r>
    </w:p>
    <w:p w:rsidR="00EF7A18" w:rsidRPr="00235A56" w:rsidRDefault="00270968" w:rsidP="00E159F2">
      <w:pPr>
        <w:pStyle w:val="Biblio"/>
        <w:rPr>
          <w:rFonts w:ascii="Helvetica" w:hAnsi="Helvetica" w:cs="Helvetica"/>
          <w:sz w:val="22"/>
          <w:szCs w:val="22"/>
        </w:rPr>
      </w:pPr>
      <w:r w:rsidRPr="00235A56">
        <w:rPr>
          <w:rFonts w:ascii="Helvetica" w:hAnsi="Helvetica" w:cs="Helvetica"/>
          <w:sz w:val="22"/>
          <w:szCs w:val="22"/>
        </w:rPr>
        <w:t>DfE-</w:t>
      </w:r>
      <w:r w:rsidR="00CB1F31" w:rsidRPr="00235A56">
        <w:rPr>
          <w:rFonts w:ascii="Helvetica" w:hAnsi="Helvetica" w:cs="Helvetica"/>
          <w:sz w:val="22"/>
          <w:szCs w:val="22"/>
        </w:rPr>
        <w:t>Department for Education</w:t>
      </w:r>
      <w:r w:rsidR="00EF7A18" w:rsidRPr="00235A56">
        <w:rPr>
          <w:rFonts w:ascii="Helvetica" w:hAnsi="Helvetica" w:cs="Helvetica"/>
          <w:sz w:val="22"/>
          <w:szCs w:val="22"/>
        </w:rPr>
        <w:t xml:space="preserve"> </w:t>
      </w:r>
      <w:r w:rsidR="003A21E7" w:rsidRPr="00235A56">
        <w:rPr>
          <w:rFonts w:ascii="Helvetica" w:hAnsi="Helvetica" w:cs="Helvetica"/>
          <w:sz w:val="22"/>
          <w:szCs w:val="22"/>
        </w:rPr>
        <w:t>(2018)</w:t>
      </w:r>
      <w:r w:rsidR="00EF7A18" w:rsidRPr="00235A56">
        <w:rPr>
          <w:rFonts w:ascii="Helvetica" w:hAnsi="Helvetica" w:cs="Helvetica"/>
          <w:sz w:val="22"/>
          <w:szCs w:val="22"/>
        </w:rPr>
        <w:t>,</w:t>
      </w:r>
      <w:r w:rsidR="003A21E7" w:rsidRPr="00235A56">
        <w:rPr>
          <w:rFonts w:ascii="Helvetica" w:hAnsi="Helvetica" w:cs="Helvetica"/>
          <w:sz w:val="22"/>
          <w:szCs w:val="22"/>
        </w:rPr>
        <w:t xml:space="preserve"> </w:t>
      </w:r>
      <w:r w:rsidR="003A21E7" w:rsidRPr="00235A56">
        <w:rPr>
          <w:rFonts w:ascii="Helvetica" w:hAnsi="Helvetica" w:cs="Helvetica"/>
          <w:i/>
          <w:sz w:val="22"/>
          <w:szCs w:val="22"/>
        </w:rPr>
        <w:t>Securing student success: risk-based regulation for teaching excellence, social mobility and informed choice in higher education, Government consultation response</w:t>
      </w:r>
      <w:r w:rsidR="003A21E7" w:rsidRPr="00235A56">
        <w:rPr>
          <w:rFonts w:ascii="Helvetica" w:hAnsi="Helvetica" w:cs="Helvetica"/>
          <w:sz w:val="22"/>
          <w:szCs w:val="22"/>
        </w:rPr>
        <w:t>, February 2018</w:t>
      </w:r>
      <w:r w:rsidR="00CB1F31" w:rsidRPr="00235A56">
        <w:rPr>
          <w:rFonts w:ascii="Helvetica" w:hAnsi="Helvetica" w:cs="Helvetica"/>
          <w:sz w:val="22"/>
          <w:szCs w:val="22"/>
        </w:rPr>
        <w:t>, Retrieved from</w:t>
      </w:r>
    </w:p>
    <w:p w:rsidR="00E159F2" w:rsidRPr="00235A56" w:rsidRDefault="00EF7A18" w:rsidP="00EF7A18">
      <w:pPr>
        <w:pStyle w:val="Biblio"/>
        <w:ind w:firstLine="0"/>
        <w:rPr>
          <w:rFonts w:ascii="Helvetica" w:hAnsi="Helvetica" w:cs="Helvetica"/>
          <w:sz w:val="22"/>
          <w:szCs w:val="22"/>
        </w:rPr>
      </w:pPr>
      <w:r w:rsidRPr="00235A56">
        <w:rPr>
          <w:rStyle w:val="Hyperlink"/>
          <w:rFonts w:ascii="Helvetica" w:hAnsi="Helvetica" w:cs="Helvetica"/>
          <w:color w:val="auto"/>
          <w:sz w:val="22"/>
          <w:szCs w:val="22"/>
          <w:u w:val="none"/>
        </w:rPr>
        <w:t>https://assets.publishing.service.gov.uk/government/uploads/system/uploads/attachment_data/file/683616/Regulatory_Framework_DfE_government_response.pdf</w:t>
      </w:r>
    </w:p>
    <w:p w:rsidR="004647EB" w:rsidRPr="00235A56" w:rsidRDefault="004647EB" w:rsidP="00353191">
      <w:pPr>
        <w:pStyle w:val="Biblio"/>
        <w:rPr>
          <w:rFonts w:ascii="Helvetica" w:hAnsi="Helvetica" w:cs="Helvetica"/>
          <w:sz w:val="22"/>
          <w:szCs w:val="22"/>
        </w:rPr>
      </w:pPr>
      <w:r w:rsidRPr="00235A56">
        <w:rPr>
          <w:rFonts w:ascii="Helvetica" w:hAnsi="Helvetica" w:cs="Helvetica"/>
          <w:sz w:val="22"/>
          <w:szCs w:val="22"/>
        </w:rPr>
        <w:lastRenderedPageBreak/>
        <w:t>DFG</w:t>
      </w:r>
      <w:r w:rsidR="00270968" w:rsidRPr="00235A56">
        <w:rPr>
          <w:rFonts w:ascii="Helvetica" w:hAnsi="Helvetica" w:cs="Helvetica"/>
          <w:sz w:val="22"/>
          <w:szCs w:val="22"/>
        </w:rPr>
        <w:t>-Deutsche Forschungsgemeinschaft</w:t>
      </w:r>
      <w:r w:rsidRPr="00235A56">
        <w:rPr>
          <w:rFonts w:ascii="Helvetica" w:hAnsi="Helvetica" w:cs="Helvetica"/>
          <w:sz w:val="22"/>
          <w:szCs w:val="22"/>
        </w:rPr>
        <w:t xml:space="preserve"> (2013) Excellence Initiative at a Glance – The Programme by the German Federal and State Governments to Promote Top-level Research at Universities. Bonn: DFG.</w:t>
      </w:r>
    </w:p>
    <w:p w:rsidR="00B47366" w:rsidRPr="00235A56" w:rsidRDefault="00C32C1E" w:rsidP="00B3789E">
      <w:pPr>
        <w:pStyle w:val="Biblio"/>
        <w:rPr>
          <w:rFonts w:ascii="Helvetica" w:hAnsi="Helvetica" w:cs="Helvetica"/>
          <w:sz w:val="22"/>
          <w:szCs w:val="22"/>
        </w:rPr>
      </w:pPr>
      <w:r w:rsidRPr="00235A56">
        <w:rPr>
          <w:rFonts w:ascii="Helvetica" w:hAnsi="Helvetica" w:cs="Helvetica"/>
          <w:sz w:val="22"/>
          <w:szCs w:val="22"/>
        </w:rPr>
        <w:t xml:space="preserve">DFG </w:t>
      </w:r>
      <w:r w:rsidR="00270968" w:rsidRPr="00235A56">
        <w:rPr>
          <w:rFonts w:ascii="Helvetica" w:hAnsi="Helvetica" w:cs="Helvetica"/>
          <w:sz w:val="22"/>
          <w:szCs w:val="22"/>
        </w:rPr>
        <w:t xml:space="preserve">-Deutsche Forschungsgemeinschaft </w:t>
      </w:r>
      <w:r w:rsidR="00B47366" w:rsidRPr="00235A56">
        <w:rPr>
          <w:rFonts w:ascii="Helvetica" w:hAnsi="Helvetica" w:cs="Helvetica"/>
          <w:sz w:val="22"/>
          <w:szCs w:val="22"/>
        </w:rPr>
        <w:t>(2018</w:t>
      </w:r>
      <w:r w:rsidR="000D0F42" w:rsidRPr="00235A56">
        <w:rPr>
          <w:rFonts w:ascii="Helvetica" w:hAnsi="Helvetica" w:cs="Helvetica"/>
          <w:sz w:val="22"/>
          <w:szCs w:val="22"/>
        </w:rPr>
        <w:t>a</w:t>
      </w:r>
      <w:r w:rsidR="00B47366" w:rsidRPr="00235A56">
        <w:rPr>
          <w:rFonts w:ascii="Helvetica" w:hAnsi="Helvetica" w:cs="Helvetica"/>
          <w:sz w:val="22"/>
          <w:szCs w:val="22"/>
        </w:rPr>
        <w:t>),</w:t>
      </w:r>
      <w:r w:rsidRPr="00235A56">
        <w:rPr>
          <w:rFonts w:ascii="Helvetica" w:hAnsi="Helvetica" w:cs="Helvetica"/>
          <w:sz w:val="22"/>
          <w:szCs w:val="22"/>
        </w:rPr>
        <w:t xml:space="preserve"> </w:t>
      </w:r>
      <w:r w:rsidR="000D0F42" w:rsidRPr="00235A56">
        <w:rPr>
          <w:rFonts w:ascii="Helvetica" w:hAnsi="Helvetica" w:cs="Helvetica"/>
          <w:sz w:val="22"/>
          <w:szCs w:val="22"/>
        </w:rPr>
        <w:t>Excellence Initiative (2005-2017)</w:t>
      </w:r>
      <w:r w:rsidR="002E003B" w:rsidRPr="00235A56">
        <w:rPr>
          <w:rFonts w:ascii="Helvetica" w:hAnsi="Helvetica" w:cs="Helvetica"/>
          <w:sz w:val="22"/>
          <w:szCs w:val="22"/>
        </w:rPr>
        <w:t>, Retrieved from</w:t>
      </w:r>
      <w:r w:rsidR="00B47366" w:rsidRPr="00235A56">
        <w:rPr>
          <w:rStyle w:val="Hyperlink"/>
          <w:rFonts w:ascii="Helvetica" w:hAnsi="Helvetica" w:cs="Helvetica"/>
          <w:color w:val="auto"/>
          <w:sz w:val="22"/>
          <w:szCs w:val="22"/>
          <w:u w:val="none"/>
        </w:rPr>
        <w:t>http://www.dfg.de/en/research_funding/programmes/excellence_initiative/index.jsp</w:t>
      </w:r>
      <w:r w:rsidR="00B47366" w:rsidRPr="00235A56">
        <w:rPr>
          <w:rFonts w:ascii="Helvetica" w:hAnsi="Helvetica" w:cs="Helvetica"/>
          <w:sz w:val="22"/>
          <w:szCs w:val="22"/>
        </w:rPr>
        <w:t xml:space="preserve"> </w:t>
      </w:r>
    </w:p>
    <w:p w:rsidR="004647EB" w:rsidRPr="00235A56" w:rsidRDefault="00C32C1E" w:rsidP="00353191">
      <w:pPr>
        <w:pStyle w:val="Biblio"/>
        <w:rPr>
          <w:rFonts w:ascii="Helvetica" w:hAnsi="Helvetica" w:cs="Helvetica"/>
          <w:sz w:val="22"/>
          <w:szCs w:val="22"/>
        </w:rPr>
      </w:pPr>
      <w:r w:rsidRPr="00235A56">
        <w:rPr>
          <w:rFonts w:ascii="Helvetica" w:hAnsi="Helvetica" w:cs="Helvetica"/>
          <w:sz w:val="22"/>
          <w:szCs w:val="22"/>
        </w:rPr>
        <w:t xml:space="preserve">DFG </w:t>
      </w:r>
      <w:r w:rsidR="00270968" w:rsidRPr="00235A56">
        <w:rPr>
          <w:rFonts w:ascii="Helvetica" w:hAnsi="Helvetica" w:cs="Helvetica"/>
          <w:sz w:val="22"/>
          <w:szCs w:val="22"/>
        </w:rPr>
        <w:t xml:space="preserve">-Detusche Forschungsgemeinschaft </w:t>
      </w:r>
      <w:r w:rsidR="00B47366" w:rsidRPr="00235A56">
        <w:rPr>
          <w:rFonts w:ascii="Helvetica" w:hAnsi="Helvetica" w:cs="Helvetica"/>
          <w:sz w:val="22"/>
          <w:szCs w:val="22"/>
        </w:rPr>
        <w:t>(2018</w:t>
      </w:r>
      <w:r w:rsidR="000D0F42" w:rsidRPr="00235A56">
        <w:rPr>
          <w:rFonts w:ascii="Helvetica" w:hAnsi="Helvetica" w:cs="Helvetica"/>
          <w:sz w:val="22"/>
          <w:szCs w:val="22"/>
        </w:rPr>
        <w:t>b</w:t>
      </w:r>
      <w:r w:rsidR="00B47366" w:rsidRPr="00235A56">
        <w:rPr>
          <w:rFonts w:ascii="Helvetica" w:hAnsi="Helvetica" w:cs="Helvetica"/>
          <w:sz w:val="22"/>
          <w:szCs w:val="22"/>
        </w:rPr>
        <w:t xml:space="preserve">), </w:t>
      </w:r>
      <w:r w:rsidR="000D0F42" w:rsidRPr="00235A56">
        <w:rPr>
          <w:rFonts w:ascii="Helvetica" w:hAnsi="Helvetica" w:cs="Helvetica"/>
          <w:sz w:val="22"/>
          <w:szCs w:val="22"/>
        </w:rPr>
        <w:t>Excellence</w:t>
      </w:r>
      <w:r w:rsidR="00D45768" w:rsidRPr="00235A56">
        <w:rPr>
          <w:rFonts w:ascii="Helvetica" w:hAnsi="Helvetica" w:cs="Helvetica"/>
          <w:sz w:val="22"/>
          <w:szCs w:val="22"/>
        </w:rPr>
        <w:t xml:space="preserve"> Strategy</w:t>
      </w:r>
      <w:r w:rsidR="002E003B" w:rsidRPr="00235A56">
        <w:rPr>
          <w:rFonts w:ascii="Helvetica" w:hAnsi="Helvetica" w:cs="Helvetica"/>
          <w:sz w:val="22"/>
          <w:szCs w:val="22"/>
        </w:rPr>
        <w:t>, Retrieved from</w:t>
      </w:r>
      <w:r w:rsidR="00D45768" w:rsidRPr="00235A56">
        <w:rPr>
          <w:rFonts w:ascii="Helvetica" w:hAnsi="Helvetica" w:cs="Helvetica"/>
          <w:sz w:val="22"/>
          <w:szCs w:val="22"/>
        </w:rPr>
        <w:t xml:space="preserve"> </w:t>
      </w:r>
      <w:r w:rsidRPr="00235A56">
        <w:rPr>
          <w:rStyle w:val="Hyperlink"/>
          <w:rFonts w:ascii="Helvetica" w:hAnsi="Helvetica" w:cs="Helvetica"/>
          <w:color w:val="auto"/>
          <w:sz w:val="22"/>
          <w:szCs w:val="22"/>
          <w:u w:val="none"/>
        </w:rPr>
        <w:t>http://www.dfg.de/en/research_funding/programmes/excellence_strategy/index.html</w:t>
      </w:r>
      <w:r w:rsidRPr="00235A56">
        <w:rPr>
          <w:rFonts w:ascii="Helvetica" w:hAnsi="Helvetica" w:cs="Helvetica"/>
          <w:sz w:val="22"/>
          <w:szCs w:val="22"/>
        </w:rPr>
        <w:t xml:space="preserve"> </w:t>
      </w:r>
    </w:p>
    <w:p w:rsidR="00C75C9A" w:rsidRPr="00235A56" w:rsidRDefault="00C75C9A" w:rsidP="00353191">
      <w:pPr>
        <w:pStyle w:val="Biblio"/>
        <w:rPr>
          <w:rFonts w:ascii="Helvetica" w:hAnsi="Helvetica" w:cs="Helvetica"/>
          <w:sz w:val="22"/>
          <w:szCs w:val="22"/>
        </w:rPr>
      </w:pPr>
      <w:r w:rsidRPr="00235A56">
        <w:rPr>
          <w:rFonts w:ascii="Helvetica" w:hAnsi="Helvetica" w:cs="Helvetica"/>
          <w:sz w:val="22"/>
          <w:szCs w:val="22"/>
        </w:rPr>
        <w:t xml:space="preserve">DiMaggio, P.J and Powell, W.W (1983), The iron cage revisited: institutional isomorphism and collective rationality in organizational fields, </w:t>
      </w:r>
      <w:r w:rsidRPr="00235A56">
        <w:rPr>
          <w:rFonts w:ascii="Helvetica" w:hAnsi="Helvetica" w:cs="Helvetica"/>
          <w:i/>
          <w:sz w:val="22"/>
          <w:szCs w:val="22"/>
        </w:rPr>
        <w:t xml:space="preserve">American Sociological Review, </w:t>
      </w:r>
      <w:r w:rsidRPr="00235A56">
        <w:rPr>
          <w:rFonts w:ascii="Helvetica" w:hAnsi="Helvetica" w:cs="Helvetica"/>
          <w:sz w:val="22"/>
          <w:szCs w:val="22"/>
        </w:rPr>
        <w:t>48</w:t>
      </w:r>
      <w:r w:rsidR="00A0749A" w:rsidRPr="00235A56">
        <w:rPr>
          <w:rFonts w:ascii="Helvetica" w:hAnsi="Helvetica" w:cs="Helvetica"/>
          <w:sz w:val="22"/>
          <w:szCs w:val="22"/>
        </w:rPr>
        <w:t>(</w:t>
      </w:r>
      <w:r w:rsidRPr="00235A56">
        <w:rPr>
          <w:rFonts w:ascii="Helvetica" w:hAnsi="Helvetica" w:cs="Helvetica"/>
          <w:sz w:val="22"/>
          <w:szCs w:val="22"/>
        </w:rPr>
        <w:t>2</w:t>
      </w:r>
      <w:r w:rsidR="00A0749A" w:rsidRPr="00235A56">
        <w:rPr>
          <w:rFonts w:ascii="Helvetica" w:hAnsi="Helvetica" w:cs="Helvetica"/>
          <w:sz w:val="22"/>
          <w:szCs w:val="22"/>
        </w:rPr>
        <w:t>),</w:t>
      </w:r>
      <w:r w:rsidRPr="00235A56">
        <w:rPr>
          <w:rFonts w:ascii="Helvetica" w:hAnsi="Helvetica" w:cs="Helvetica"/>
          <w:sz w:val="22"/>
          <w:szCs w:val="22"/>
        </w:rPr>
        <w:t xml:space="preserve"> 147-160</w:t>
      </w:r>
    </w:p>
    <w:p w:rsidR="00AD11DB" w:rsidRPr="00235A56" w:rsidRDefault="00AD11DB" w:rsidP="00353191">
      <w:pPr>
        <w:pStyle w:val="Biblio"/>
        <w:rPr>
          <w:rFonts w:ascii="Helvetica" w:hAnsi="Helvetica" w:cs="Helvetica"/>
          <w:sz w:val="22"/>
          <w:szCs w:val="22"/>
        </w:rPr>
      </w:pPr>
      <w:r w:rsidRPr="00235A56">
        <w:rPr>
          <w:rFonts w:ascii="Helvetica" w:hAnsi="Helvetica" w:cs="Helvetica"/>
          <w:sz w:val="22"/>
          <w:szCs w:val="22"/>
        </w:rPr>
        <w:t xml:space="preserve">Fielden, J </w:t>
      </w:r>
      <w:r w:rsidR="00894C37" w:rsidRPr="00235A56">
        <w:rPr>
          <w:rFonts w:ascii="Helvetica" w:hAnsi="Helvetica" w:cs="Helvetica"/>
          <w:sz w:val="22"/>
          <w:szCs w:val="22"/>
        </w:rPr>
        <w:t xml:space="preserve">&amp; </w:t>
      </w:r>
      <w:r w:rsidRPr="00235A56">
        <w:rPr>
          <w:rFonts w:ascii="Helvetica" w:hAnsi="Helvetica" w:cs="Helvetica"/>
          <w:sz w:val="22"/>
          <w:szCs w:val="22"/>
        </w:rPr>
        <w:t>Middlehurst, R</w:t>
      </w:r>
      <w:r w:rsidR="002E003B" w:rsidRPr="00235A56">
        <w:rPr>
          <w:rFonts w:ascii="Helvetica" w:hAnsi="Helvetica" w:cs="Helvetica"/>
          <w:sz w:val="22"/>
          <w:szCs w:val="22"/>
        </w:rPr>
        <w:t xml:space="preserve"> </w:t>
      </w:r>
      <w:r w:rsidRPr="00235A56">
        <w:rPr>
          <w:rFonts w:ascii="Helvetica" w:hAnsi="Helvetica" w:cs="Helvetica"/>
          <w:sz w:val="22"/>
          <w:szCs w:val="22"/>
        </w:rPr>
        <w:t xml:space="preserve">(2017), </w:t>
      </w:r>
      <w:r w:rsidRPr="00235A56">
        <w:rPr>
          <w:rFonts w:ascii="Helvetica" w:hAnsi="Helvetica" w:cs="Helvetica"/>
          <w:i/>
          <w:sz w:val="22"/>
          <w:szCs w:val="22"/>
        </w:rPr>
        <w:t>Alternative providers of higher education: issues for policymakers</w:t>
      </w:r>
      <w:r w:rsidRPr="00235A56">
        <w:rPr>
          <w:rFonts w:ascii="Helvetica" w:hAnsi="Helvetica" w:cs="Helvetica"/>
          <w:sz w:val="22"/>
          <w:szCs w:val="22"/>
        </w:rPr>
        <w:t xml:space="preserve">, Higher Education Policy Institute Report </w:t>
      </w:r>
      <w:r w:rsidR="000F42B1" w:rsidRPr="00235A56">
        <w:rPr>
          <w:rFonts w:ascii="Helvetica" w:hAnsi="Helvetica" w:cs="Helvetica"/>
          <w:sz w:val="22"/>
          <w:szCs w:val="22"/>
        </w:rPr>
        <w:t>9</w:t>
      </w:r>
      <w:r w:rsidRPr="00235A56">
        <w:rPr>
          <w:rFonts w:ascii="Helvetica" w:hAnsi="Helvetica" w:cs="Helvetica"/>
          <w:sz w:val="22"/>
          <w:szCs w:val="22"/>
        </w:rPr>
        <w:t>0</w:t>
      </w:r>
      <w:r w:rsidR="00EF7A18" w:rsidRPr="00235A56">
        <w:rPr>
          <w:rFonts w:ascii="Helvetica" w:hAnsi="Helvetica" w:cs="Helvetica"/>
          <w:sz w:val="22"/>
          <w:szCs w:val="22"/>
        </w:rPr>
        <w:t xml:space="preserve">, </w:t>
      </w:r>
      <w:r w:rsidR="000F42B1" w:rsidRPr="00235A56">
        <w:rPr>
          <w:rFonts w:ascii="Helvetica" w:hAnsi="Helvetica" w:cs="Helvetica"/>
          <w:sz w:val="22"/>
          <w:szCs w:val="22"/>
        </w:rPr>
        <w:t>Retrieved from</w:t>
      </w:r>
    </w:p>
    <w:p w:rsidR="000F42B1" w:rsidRPr="00235A56" w:rsidRDefault="000F42B1" w:rsidP="00EF7A18">
      <w:pPr>
        <w:pStyle w:val="Biblio"/>
        <w:ind w:left="1440"/>
        <w:rPr>
          <w:rFonts w:ascii="Helvetica" w:hAnsi="Helvetica" w:cs="Helvetica"/>
          <w:sz w:val="22"/>
          <w:szCs w:val="22"/>
        </w:rPr>
      </w:pPr>
      <w:r w:rsidRPr="00235A56">
        <w:rPr>
          <w:rFonts w:ascii="Helvetica" w:hAnsi="Helvetica" w:cs="Helvetica"/>
          <w:sz w:val="22"/>
          <w:szCs w:val="22"/>
        </w:rPr>
        <w:t>https://www.hepi.ac.uk/wp-content/uploads/2017/01/Hepi_The-alternative-providers-of-higher-education-Report-90-04_01_17-Screen2.pdf</w:t>
      </w:r>
    </w:p>
    <w:p w:rsidR="00EF7A18" w:rsidRPr="00235A56" w:rsidRDefault="00FF0DDE" w:rsidP="00B3789E">
      <w:pPr>
        <w:pStyle w:val="Biblio"/>
        <w:ind w:left="1440"/>
        <w:rPr>
          <w:rFonts w:ascii="Helvetica" w:hAnsi="Helvetica" w:cs="Helvetica"/>
          <w:sz w:val="22"/>
          <w:szCs w:val="22"/>
        </w:rPr>
      </w:pPr>
      <w:r w:rsidRPr="00235A56">
        <w:rPr>
          <w:rFonts w:ascii="Helvetica" w:hAnsi="Helvetica" w:cs="Helvetica"/>
          <w:sz w:val="22"/>
          <w:szCs w:val="22"/>
        </w:rPr>
        <w:t>Evans, G</w:t>
      </w:r>
      <w:r w:rsidR="00B3789E" w:rsidRPr="00235A56">
        <w:rPr>
          <w:rFonts w:ascii="Helvetica" w:hAnsi="Helvetica" w:cs="Helvetica"/>
          <w:sz w:val="22"/>
          <w:szCs w:val="22"/>
        </w:rPr>
        <w:t>.</w:t>
      </w:r>
      <w:r w:rsidRPr="00235A56">
        <w:rPr>
          <w:rFonts w:ascii="Helvetica" w:hAnsi="Helvetica" w:cs="Helvetica"/>
          <w:sz w:val="22"/>
          <w:szCs w:val="22"/>
        </w:rPr>
        <w:t xml:space="preserve"> (2018), </w:t>
      </w:r>
      <w:r w:rsidRPr="00235A56">
        <w:rPr>
          <w:rFonts w:ascii="Helvetica" w:hAnsi="Helvetica" w:cs="Helvetica"/>
          <w:i/>
          <w:sz w:val="22"/>
          <w:szCs w:val="22"/>
        </w:rPr>
        <w:t>Has the Office for Students got its thinking straight on governance?</w:t>
      </w:r>
      <w:r w:rsidRPr="00235A56">
        <w:rPr>
          <w:rFonts w:ascii="Helvetica" w:hAnsi="Helvetica" w:cs="Helvetica"/>
          <w:sz w:val="22"/>
          <w:szCs w:val="22"/>
        </w:rPr>
        <w:t xml:space="preserve">WonkHE, Published on 23 May 2018, </w:t>
      </w:r>
      <w:r w:rsidR="002E003B" w:rsidRPr="00235A56">
        <w:rPr>
          <w:rFonts w:ascii="Helvetica" w:hAnsi="Helvetica" w:cs="Helvetica"/>
          <w:sz w:val="22"/>
          <w:szCs w:val="22"/>
        </w:rPr>
        <w:t xml:space="preserve">Retrieved from </w:t>
      </w:r>
    </w:p>
    <w:p w:rsidR="00FF0DDE" w:rsidRPr="00235A56" w:rsidRDefault="00FF0DDE" w:rsidP="00EF7A18">
      <w:pPr>
        <w:pStyle w:val="Biblio"/>
        <w:ind w:firstLine="0"/>
        <w:rPr>
          <w:rFonts w:ascii="Helvetica" w:hAnsi="Helvetica" w:cs="Helvetica"/>
          <w:sz w:val="22"/>
          <w:szCs w:val="22"/>
        </w:rPr>
      </w:pPr>
      <w:r w:rsidRPr="00235A56">
        <w:rPr>
          <w:rFonts w:ascii="Helvetica" w:hAnsi="Helvetica" w:cs="Helvetica"/>
          <w:sz w:val="22"/>
          <w:szCs w:val="22"/>
        </w:rPr>
        <w:t>https://wonkhe.com/blogs/has-the-office-for-students-got-its-thinking-straight-on-governance/</w:t>
      </w:r>
    </w:p>
    <w:p w:rsidR="00D45768" w:rsidRPr="00235A56" w:rsidRDefault="00270968" w:rsidP="00B3789E">
      <w:pPr>
        <w:pStyle w:val="Biblio"/>
        <w:rPr>
          <w:rFonts w:ascii="Helvetica" w:hAnsi="Helvetica" w:cs="Helvetica"/>
          <w:sz w:val="22"/>
          <w:szCs w:val="22"/>
        </w:rPr>
      </w:pPr>
      <w:r w:rsidRPr="00235A56">
        <w:rPr>
          <w:rFonts w:ascii="Helvetica" w:hAnsi="Helvetica" w:cs="Helvetica"/>
          <w:sz w:val="22"/>
          <w:szCs w:val="22"/>
        </w:rPr>
        <w:t xml:space="preserve">HEFCE- </w:t>
      </w:r>
      <w:r w:rsidR="00B835F2" w:rsidRPr="00235A56">
        <w:rPr>
          <w:rFonts w:ascii="Helvetica" w:hAnsi="Helvetica" w:cs="Helvetica"/>
          <w:sz w:val="22"/>
          <w:szCs w:val="22"/>
        </w:rPr>
        <w:t>H</w:t>
      </w:r>
      <w:r w:rsidR="005C0573" w:rsidRPr="00235A56">
        <w:rPr>
          <w:rFonts w:ascii="Helvetica" w:hAnsi="Helvetica" w:cs="Helvetica"/>
          <w:sz w:val="22"/>
          <w:szCs w:val="22"/>
        </w:rPr>
        <w:t xml:space="preserve">igher </w:t>
      </w:r>
      <w:r w:rsidR="00B835F2" w:rsidRPr="00235A56">
        <w:rPr>
          <w:rFonts w:ascii="Helvetica" w:hAnsi="Helvetica" w:cs="Helvetica"/>
          <w:sz w:val="22"/>
          <w:szCs w:val="22"/>
        </w:rPr>
        <w:t>E</w:t>
      </w:r>
      <w:r w:rsidR="005C0573" w:rsidRPr="00235A56">
        <w:rPr>
          <w:rFonts w:ascii="Helvetica" w:hAnsi="Helvetica" w:cs="Helvetica"/>
          <w:sz w:val="22"/>
          <w:szCs w:val="22"/>
        </w:rPr>
        <w:t xml:space="preserve">ducation </w:t>
      </w:r>
      <w:r w:rsidR="00B835F2" w:rsidRPr="00235A56">
        <w:rPr>
          <w:rFonts w:ascii="Helvetica" w:hAnsi="Helvetica" w:cs="Helvetica"/>
          <w:sz w:val="22"/>
          <w:szCs w:val="22"/>
        </w:rPr>
        <w:t>F</w:t>
      </w:r>
      <w:r w:rsidR="005C0573" w:rsidRPr="00235A56">
        <w:rPr>
          <w:rFonts w:ascii="Helvetica" w:hAnsi="Helvetica" w:cs="Helvetica"/>
          <w:sz w:val="22"/>
          <w:szCs w:val="22"/>
        </w:rPr>
        <w:t xml:space="preserve">unding </w:t>
      </w:r>
      <w:r w:rsidR="00B835F2" w:rsidRPr="00235A56">
        <w:rPr>
          <w:rFonts w:ascii="Helvetica" w:hAnsi="Helvetica" w:cs="Helvetica"/>
          <w:sz w:val="22"/>
          <w:szCs w:val="22"/>
        </w:rPr>
        <w:t>C</w:t>
      </w:r>
      <w:r w:rsidR="005C0573" w:rsidRPr="00235A56">
        <w:rPr>
          <w:rFonts w:ascii="Helvetica" w:hAnsi="Helvetica" w:cs="Helvetica"/>
          <w:sz w:val="22"/>
          <w:szCs w:val="22"/>
        </w:rPr>
        <w:t xml:space="preserve">ouncil </w:t>
      </w:r>
      <w:r w:rsidR="00B835F2" w:rsidRPr="00235A56">
        <w:rPr>
          <w:rFonts w:ascii="Helvetica" w:hAnsi="Helvetica" w:cs="Helvetica"/>
          <w:sz w:val="22"/>
          <w:szCs w:val="22"/>
        </w:rPr>
        <w:t>E</w:t>
      </w:r>
      <w:r w:rsidR="005C0573" w:rsidRPr="00235A56">
        <w:rPr>
          <w:rFonts w:ascii="Helvetica" w:hAnsi="Helvetica" w:cs="Helvetica"/>
          <w:sz w:val="22"/>
          <w:szCs w:val="22"/>
        </w:rPr>
        <w:t>ngland</w:t>
      </w:r>
      <w:r w:rsidR="00B835F2" w:rsidRPr="00235A56">
        <w:rPr>
          <w:rFonts w:ascii="Helvetica" w:hAnsi="Helvetica" w:cs="Helvetica"/>
          <w:sz w:val="22"/>
          <w:szCs w:val="22"/>
        </w:rPr>
        <w:t xml:space="preserve"> (2015), </w:t>
      </w:r>
      <w:r w:rsidR="00B835F2" w:rsidRPr="00235A56">
        <w:rPr>
          <w:rFonts w:ascii="Helvetica" w:hAnsi="Helvetica" w:cs="Helvetica"/>
          <w:i/>
          <w:sz w:val="22"/>
          <w:szCs w:val="22"/>
        </w:rPr>
        <w:t>Why do we have a Register of HE providers? What is it for?</w:t>
      </w:r>
      <w:r w:rsidR="00B835F2" w:rsidRPr="00235A56">
        <w:rPr>
          <w:rFonts w:ascii="Helvetica" w:hAnsi="Helvetica" w:cs="Helvetica"/>
          <w:sz w:val="22"/>
          <w:szCs w:val="22"/>
        </w:rPr>
        <w:t>, Published on HEFCE Blog on 2 November 2015,</w:t>
      </w:r>
      <w:r w:rsidR="005C0573" w:rsidRPr="00235A56">
        <w:rPr>
          <w:rFonts w:ascii="Helvetica" w:hAnsi="Helvetica" w:cs="Helvetica"/>
          <w:sz w:val="22"/>
          <w:szCs w:val="22"/>
        </w:rPr>
        <w:t xml:space="preserve"> Retrieved from</w:t>
      </w:r>
      <w:r w:rsidR="00B835F2" w:rsidRPr="00235A56">
        <w:rPr>
          <w:rFonts w:ascii="Helvetica" w:hAnsi="Helvetica" w:cs="Helvetica"/>
          <w:sz w:val="22"/>
          <w:szCs w:val="22"/>
        </w:rPr>
        <w:t xml:space="preserve"> </w:t>
      </w:r>
    </w:p>
    <w:p w:rsidR="00B835F2" w:rsidRPr="00235A56" w:rsidRDefault="00B835F2" w:rsidP="00D45768">
      <w:pPr>
        <w:pStyle w:val="Biblio"/>
        <w:ind w:left="1440"/>
        <w:rPr>
          <w:rStyle w:val="Hyperlink"/>
          <w:rFonts w:ascii="Helvetica" w:hAnsi="Helvetica" w:cs="Helvetica"/>
          <w:color w:val="auto"/>
          <w:sz w:val="22"/>
          <w:szCs w:val="22"/>
          <w:u w:val="none"/>
        </w:rPr>
      </w:pPr>
      <w:r w:rsidRPr="00235A56">
        <w:rPr>
          <w:rStyle w:val="Hyperlink"/>
          <w:rFonts w:ascii="Helvetica" w:hAnsi="Helvetica" w:cs="Helvetica"/>
          <w:color w:val="auto"/>
          <w:sz w:val="22"/>
          <w:szCs w:val="22"/>
          <w:u w:val="none"/>
        </w:rPr>
        <w:t>https://blog.hefce.ac.uk/2015/11/02/why-do-we-have-a-register-of-he-providers-what-is-it-for/</w:t>
      </w:r>
    </w:p>
    <w:p w:rsidR="007B24C3" w:rsidRPr="00235A56" w:rsidRDefault="007B24C3" w:rsidP="00353191">
      <w:pPr>
        <w:pStyle w:val="Biblio"/>
        <w:rPr>
          <w:rFonts w:ascii="Helvetica" w:hAnsi="Helvetica" w:cs="Helvetica"/>
          <w:sz w:val="22"/>
          <w:szCs w:val="22"/>
        </w:rPr>
      </w:pPr>
      <w:r w:rsidRPr="00235A56">
        <w:rPr>
          <w:rFonts w:ascii="Helvetica" w:hAnsi="Helvetica" w:cs="Helvetica"/>
          <w:sz w:val="22"/>
          <w:szCs w:val="22"/>
        </w:rPr>
        <w:t xml:space="preserve">Higher Education Standards Framework (HESF), </w:t>
      </w:r>
      <w:r w:rsidR="002E003B" w:rsidRPr="00235A56">
        <w:rPr>
          <w:rFonts w:ascii="Helvetica" w:hAnsi="Helvetica" w:cs="Helvetica"/>
          <w:sz w:val="22"/>
          <w:szCs w:val="22"/>
        </w:rPr>
        <w:t xml:space="preserve">Retrieved from </w:t>
      </w:r>
      <w:r w:rsidRPr="00235A56">
        <w:rPr>
          <w:rFonts w:ascii="Helvetica" w:hAnsi="Helvetica" w:cs="Helvetica"/>
          <w:sz w:val="22"/>
          <w:szCs w:val="22"/>
        </w:rPr>
        <w:t>https://www.education.gov.au/standards-0</w:t>
      </w:r>
    </w:p>
    <w:p w:rsidR="00FF0DDE" w:rsidRPr="00235A56" w:rsidRDefault="00FF0DDE" w:rsidP="00353191">
      <w:pPr>
        <w:pStyle w:val="Biblio"/>
        <w:rPr>
          <w:rFonts w:ascii="Helvetica" w:hAnsi="Helvetica" w:cs="Helvetica"/>
          <w:sz w:val="22"/>
          <w:szCs w:val="22"/>
        </w:rPr>
      </w:pPr>
      <w:r w:rsidRPr="00235A56">
        <w:rPr>
          <w:rFonts w:ascii="Helvetica" w:hAnsi="Helvetica" w:cs="Helvetica"/>
          <w:sz w:val="22"/>
          <w:szCs w:val="22"/>
        </w:rPr>
        <w:t>Huisman, J &amp; Van Vught, F. A (2009), Diversity in European Higher Education: Historical Trends and Current Policies</w:t>
      </w:r>
      <w:r w:rsidR="00A0749A" w:rsidRPr="00235A56">
        <w:rPr>
          <w:rFonts w:ascii="Helvetica" w:hAnsi="Helvetica" w:cs="Helvetica"/>
          <w:sz w:val="22"/>
          <w:szCs w:val="22"/>
        </w:rPr>
        <w:t>.</w:t>
      </w:r>
      <w:r w:rsidRPr="00235A56">
        <w:rPr>
          <w:rFonts w:ascii="Helvetica" w:hAnsi="Helvetica" w:cs="Helvetica"/>
          <w:sz w:val="22"/>
          <w:szCs w:val="22"/>
        </w:rPr>
        <w:t xml:space="preserve"> </w:t>
      </w:r>
      <w:r w:rsidR="00A0749A" w:rsidRPr="00235A56">
        <w:rPr>
          <w:rFonts w:ascii="Helvetica" w:hAnsi="Helvetica" w:cs="Helvetica"/>
          <w:sz w:val="22"/>
          <w:szCs w:val="22"/>
        </w:rPr>
        <w:t>I</w:t>
      </w:r>
      <w:r w:rsidRPr="00235A56">
        <w:rPr>
          <w:rFonts w:ascii="Helvetica" w:hAnsi="Helvetica" w:cs="Helvetica"/>
          <w:sz w:val="22"/>
          <w:szCs w:val="22"/>
        </w:rPr>
        <w:t>n Van Vught, F, A (Ed)</w:t>
      </w:r>
      <w:r w:rsidRPr="00235A56">
        <w:rPr>
          <w:rFonts w:ascii="Helvetica" w:hAnsi="Helvetica" w:cs="Helvetica"/>
          <w:i/>
          <w:sz w:val="22"/>
          <w:szCs w:val="22"/>
        </w:rPr>
        <w:t xml:space="preserve"> Mapping the Higher Education Landscape: Towards a European Classification of Higher Education</w:t>
      </w:r>
      <w:r w:rsidR="00D2375E" w:rsidRPr="00235A56">
        <w:rPr>
          <w:rFonts w:ascii="Helvetica" w:hAnsi="Helvetica" w:cs="Helvetica"/>
          <w:i/>
          <w:sz w:val="22"/>
          <w:szCs w:val="22"/>
        </w:rPr>
        <w:t xml:space="preserve"> </w:t>
      </w:r>
      <w:r w:rsidR="00D2375E" w:rsidRPr="00235A56">
        <w:rPr>
          <w:rFonts w:ascii="Helvetica" w:hAnsi="Helvetica" w:cs="Helvetica"/>
          <w:sz w:val="22"/>
          <w:szCs w:val="22"/>
        </w:rPr>
        <w:t>pp</w:t>
      </w:r>
      <w:r w:rsidR="00EF7A18" w:rsidRPr="00235A56">
        <w:rPr>
          <w:rFonts w:ascii="Helvetica" w:hAnsi="Helvetica" w:cs="Helvetica"/>
          <w:sz w:val="22"/>
          <w:szCs w:val="22"/>
        </w:rPr>
        <w:t>.</w:t>
      </w:r>
      <w:r w:rsidR="00D2375E" w:rsidRPr="00235A56">
        <w:rPr>
          <w:rFonts w:ascii="Helvetica" w:hAnsi="Helvetica" w:cs="Helvetica"/>
          <w:sz w:val="22"/>
          <w:szCs w:val="22"/>
        </w:rPr>
        <w:t xml:space="preserve"> 17-37</w:t>
      </w:r>
      <w:r w:rsidRPr="00235A56">
        <w:rPr>
          <w:rFonts w:ascii="Helvetica" w:hAnsi="Helvetica" w:cs="Helvetica"/>
          <w:i/>
          <w:sz w:val="22"/>
          <w:szCs w:val="22"/>
        </w:rPr>
        <w:t xml:space="preserve">, </w:t>
      </w:r>
      <w:r w:rsidRPr="00235A56">
        <w:rPr>
          <w:rFonts w:ascii="Helvetica" w:hAnsi="Helvetica" w:cs="Helvetica"/>
          <w:sz w:val="22"/>
          <w:szCs w:val="22"/>
        </w:rPr>
        <w:t>Springer</w:t>
      </w:r>
    </w:p>
    <w:p w:rsidR="00270FC5" w:rsidRPr="00235A56" w:rsidRDefault="00B835F2" w:rsidP="00353191">
      <w:pPr>
        <w:pStyle w:val="Biblio"/>
        <w:rPr>
          <w:rFonts w:ascii="Helvetica" w:hAnsi="Helvetica" w:cs="Helvetica"/>
          <w:sz w:val="22"/>
          <w:szCs w:val="22"/>
        </w:rPr>
      </w:pPr>
      <w:r w:rsidRPr="00235A56">
        <w:rPr>
          <w:rFonts w:ascii="Helvetica" w:hAnsi="Helvetica" w:cs="Helvetica"/>
          <w:sz w:val="22"/>
          <w:szCs w:val="22"/>
        </w:rPr>
        <w:t xml:space="preserve">Jongbloed, B &amp; Kaiser, F (2011) U-Map and U-Multirank: some first results and reflections on two new profiling and ranking tools for higher education institutions, ENID 2011 </w:t>
      </w:r>
      <w:r w:rsidR="00B3789E" w:rsidRPr="00235A56">
        <w:rPr>
          <w:rFonts w:ascii="Helvetica" w:hAnsi="Helvetica" w:cs="Helvetica"/>
          <w:sz w:val="22"/>
          <w:szCs w:val="22"/>
        </w:rPr>
        <w:t>conference, Rome</w:t>
      </w:r>
      <w:r w:rsidRPr="00235A56">
        <w:rPr>
          <w:rFonts w:ascii="Helvetica" w:hAnsi="Helvetica" w:cs="Helvetica"/>
          <w:sz w:val="22"/>
          <w:szCs w:val="22"/>
        </w:rPr>
        <w:t>, Sept</w:t>
      </w:r>
      <w:r w:rsidR="000F42B1" w:rsidRPr="00235A56">
        <w:rPr>
          <w:rFonts w:ascii="Helvetica" w:hAnsi="Helvetica" w:cs="Helvetica"/>
          <w:sz w:val="22"/>
          <w:szCs w:val="22"/>
        </w:rPr>
        <w:t>ember</w:t>
      </w:r>
      <w:r w:rsidRPr="00235A56">
        <w:rPr>
          <w:rFonts w:ascii="Helvetica" w:hAnsi="Helvetica" w:cs="Helvetica"/>
          <w:sz w:val="22"/>
          <w:szCs w:val="22"/>
        </w:rPr>
        <w:t xml:space="preserve"> 2011, </w:t>
      </w:r>
      <w:r w:rsidR="002E003B" w:rsidRPr="00235A56">
        <w:rPr>
          <w:rFonts w:ascii="Helvetica" w:hAnsi="Helvetica" w:cs="Helvetica"/>
          <w:sz w:val="22"/>
          <w:szCs w:val="22"/>
        </w:rPr>
        <w:t>Retrieved from</w:t>
      </w:r>
    </w:p>
    <w:p w:rsidR="00B835F2" w:rsidRPr="00235A56" w:rsidRDefault="00965A77" w:rsidP="002E003B">
      <w:pPr>
        <w:pStyle w:val="Biblio"/>
        <w:ind w:left="1440"/>
        <w:rPr>
          <w:rFonts w:ascii="Helvetica" w:hAnsi="Helvetica" w:cs="Helvetica"/>
          <w:sz w:val="22"/>
          <w:szCs w:val="22"/>
        </w:rPr>
      </w:pPr>
      <w:r w:rsidRPr="00235A56">
        <w:rPr>
          <w:rStyle w:val="Hyperlink"/>
          <w:rFonts w:ascii="Helvetica" w:hAnsi="Helvetica" w:cs="Helvetica"/>
          <w:color w:val="auto"/>
          <w:sz w:val="22"/>
          <w:szCs w:val="22"/>
          <w:u w:val="none"/>
        </w:rPr>
        <w:t>http://www.enid-europe.org/conference/abstract%20pdf/Jongbloed_abstract.pdf</w:t>
      </w:r>
    </w:p>
    <w:p w:rsidR="00965A77" w:rsidRPr="00235A56" w:rsidRDefault="00965A77" w:rsidP="00965A77">
      <w:pPr>
        <w:pStyle w:val="Biblio"/>
        <w:rPr>
          <w:rFonts w:ascii="Helvetica" w:hAnsi="Helvetica" w:cs="Helvetica"/>
          <w:sz w:val="22"/>
          <w:szCs w:val="22"/>
        </w:rPr>
      </w:pPr>
      <w:r w:rsidRPr="00235A56">
        <w:rPr>
          <w:rFonts w:ascii="Helvetica" w:hAnsi="Helvetica" w:cs="Helvetica"/>
          <w:sz w:val="22"/>
          <w:szCs w:val="22"/>
        </w:rPr>
        <w:t xml:space="preserve">Jongbloed, B., Kaiser, F.&amp; Vught, F.A (2013), </w:t>
      </w:r>
      <w:r w:rsidRPr="00235A56">
        <w:rPr>
          <w:rFonts w:ascii="Helvetica" w:hAnsi="Helvetica" w:cs="Helvetica"/>
          <w:i/>
          <w:sz w:val="22"/>
          <w:szCs w:val="22"/>
        </w:rPr>
        <w:t>U-Map and U-Multirank: profiling and ranking tools for higher education institutions</w:t>
      </w:r>
      <w:r w:rsidRPr="00235A56">
        <w:rPr>
          <w:rFonts w:ascii="Helvetica" w:hAnsi="Helvetica" w:cs="Helvetica"/>
          <w:sz w:val="22"/>
          <w:szCs w:val="22"/>
        </w:rPr>
        <w:t>, Paper presented at 35</w:t>
      </w:r>
      <w:r w:rsidRPr="00235A56">
        <w:rPr>
          <w:rFonts w:ascii="Helvetica" w:hAnsi="Helvetica" w:cs="Helvetica"/>
          <w:sz w:val="22"/>
          <w:szCs w:val="22"/>
          <w:vertAlign w:val="superscript"/>
        </w:rPr>
        <w:t>th</w:t>
      </w:r>
      <w:r w:rsidRPr="00235A56">
        <w:rPr>
          <w:rFonts w:ascii="Helvetica" w:hAnsi="Helvetica" w:cs="Helvetica"/>
          <w:sz w:val="22"/>
          <w:szCs w:val="22"/>
        </w:rPr>
        <w:t xml:space="preserve"> EAIR Annual Forum, Rotterdam, Ne</w:t>
      </w:r>
      <w:r w:rsidR="000F42B1" w:rsidRPr="00235A56">
        <w:rPr>
          <w:rFonts w:ascii="Helvetica" w:hAnsi="Helvetica" w:cs="Helvetica"/>
          <w:sz w:val="22"/>
          <w:szCs w:val="22"/>
        </w:rPr>
        <w:t>th</w:t>
      </w:r>
      <w:r w:rsidRPr="00235A56">
        <w:rPr>
          <w:rFonts w:ascii="Helvetica" w:hAnsi="Helvetica" w:cs="Helvetica"/>
          <w:sz w:val="22"/>
          <w:szCs w:val="22"/>
        </w:rPr>
        <w:t>erlands, August 28 to 31, 2013, Retrieved from</w:t>
      </w:r>
    </w:p>
    <w:p w:rsidR="00965A77" w:rsidRPr="00235A56" w:rsidRDefault="00965A77" w:rsidP="00B3789E">
      <w:pPr>
        <w:pStyle w:val="Biblio"/>
        <w:ind w:left="1440"/>
        <w:rPr>
          <w:rFonts w:ascii="Helvetica" w:hAnsi="Helvetica" w:cs="Helvetica"/>
          <w:sz w:val="22"/>
          <w:szCs w:val="22"/>
        </w:rPr>
      </w:pPr>
      <w:r w:rsidRPr="00235A56">
        <w:rPr>
          <w:rFonts w:ascii="Helvetica" w:hAnsi="Helvetica" w:cs="Helvetica"/>
          <w:sz w:val="22"/>
          <w:szCs w:val="22"/>
        </w:rPr>
        <w:t>https://pdfs.semanticscholar.org/b42c/9c196246c92b15533d7a5a2d771c9b7ecc5d.pdf</w:t>
      </w:r>
    </w:p>
    <w:p w:rsidR="008714DB" w:rsidRPr="00235A56" w:rsidRDefault="008714DB" w:rsidP="00353191">
      <w:pPr>
        <w:pStyle w:val="Biblio"/>
        <w:rPr>
          <w:rFonts w:ascii="Helvetica" w:hAnsi="Helvetica" w:cs="Helvetica"/>
          <w:sz w:val="22"/>
          <w:szCs w:val="22"/>
        </w:rPr>
      </w:pPr>
      <w:r w:rsidRPr="00235A56">
        <w:rPr>
          <w:rFonts w:ascii="Helvetica" w:hAnsi="Helvetica" w:cs="Helvetica"/>
          <w:sz w:val="22"/>
          <w:szCs w:val="22"/>
          <w:shd w:val="clear" w:color="auto" w:fill="FFFFFF"/>
        </w:rPr>
        <w:t>Jongbloed, B. W. A., Kaiser, F., van Vught, F. A., &amp; Westerheijd</w:t>
      </w:r>
      <w:r w:rsidR="00DF7848" w:rsidRPr="00235A56">
        <w:rPr>
          <w:rFonts w:ascii="Helvetica" w:hAnsi="Helvetica" w:cs="Helvetica"/>
          <w:sz w:val="22"/>
          <w:szCs w:val="22"/>
          <w:shd w:val="clear" w:color="auto" w:fill="FFFFFF"/>
        </w:rPr>
        <w:t>en, D.</w:t>
      </w:r>
      <w:r w:rsidRPr="00235A56">
        <w:rPr>
          <w:rFonts w:ascii="Helvetica" w:hAnsi="Helvetica" w:cs="Helvetica"/>
          <w:sz w:val="22"/>
          <w:szCs w:val="22"/>
          <w:shd w:val="clear" w:color="auto" w:fill="FFFFFF"/>
        </w:rPr>
        <w:t>F. (2018). Performance agreements in higher education: a new approach to higher education funding. In A. Curaj, L. Deca, &amp; R. Pricopie (Eds.), </w:t>
      </w:r>
      <w:r w:rsidRPr="00235A56">
        <w:rPr>
          <w:rStyle w:val="Emphasis"/>
          <w:rFonts w:ascii="Helvetica" w:hAnsi="Helvetica" w:cs="Helvetica"/>
          <w:sz w:val="22"/>
          <w:szCs w:val="22"/>
          <w:shd w:val="clear" w:color="auto" w:fill="FFFFFF"/>
        </w:rPr>
        <w:t>European higher education area: The impact of past and future policies </w:t>
      </w:r>
      <w:r w:rsidRPr="00235A56">
        <w:rPr>
          <w:rFonts w:ascii="Helvetica" w:hAnsi="Helvetica" w:cs="Helvetica"/>
          <w:sz w:val="22"/>
          <w:szCs w:val="22"/>
          <w:shd w:val="clear" w:color="auto" w:fill="FFFFFF"/>
        </w:rPr>
        <w:t>pp. 671-687. Springer.</w:t>
      </w:r>
    </w:p>
    <w:p w:rsidR="0059418E" w:rsidRPr="00235A56" w:rsidRDefault="0059418E" w:rsidP="00353191">
      <w:pPr>
        <w:pStyle w:val="Biblio"/>
        <w:rPr>
          <w:rFonts w:ascii="Helvetica" w:hAnsi="Helvetica" w:cs="Helvetica"/>
          <w:sz w:val="22"/>
          <w:szCs w:val="22"/>
        </w:rPr>
      </w:pPr>
      <w:r w:rsidRPr="00235A56">
        <w:rPr>
          <w:rFonts w:ascii="Helvetica" w:hAnsi="Helvetica" w:cs="Helvetica"/>
          <w:sz w:val="22"/>
          <w:szCs w:val="22"/>
        </w:rPr>
        <w:t xml:space="preserve">Kambayashi, K (1981), A comparison between junior colleges and special training colleges in Japan, </w:t>
      </w:r>
      <w:r w:rsidRPr="00235A56">
        <w:rPr>
          <w:rFonts w:ascii="Helvetica" w:hAnsi="Helvetica" w:cs="Helvetica"/>
          <w:i/>
          <w:sz w:val="22"/>
          <w:szCs w:val="22"/>
        </w:rPr>
        <w:t xml:space="preserve">Higher Education, </w:t>
      </w:r>
      <w:r w:rsidRPr="00235A56">
        <w:rPr>
          <w:rFonts w:ascii="Helvetica" w:hAnsi="Helvetica" w:cs="Helvetica"/>
          <w:sz w:val="22"/>
          <w:szCs w:val="22"/>
        </w:rPr>
        <w:t>10</w:t>
      </w:r>
      <w:r w:rsidR="00D404CD" w:rsidRPr="00235A56">
        <w:rPr>
          <w:rFonts w:ascii="Helvetica" w:hAnsi="Helvetica" w:cs="Helvetica"/>
          <w:sz w:val="22"/>
          <w:szCs w:val="22"/>
        </w:rPr>
        <w:t>(</w:t>
      </w:r>
      <w:r w:rsidRPr="00235A56">
        <w:rPr>
          <w:rFonts w:ascii="Helvetica" w:hAnsi="Helvetica" w:cs="Helvetica"/>
          <w:sz w:val="22"/>
          <w:szCs w:val="22"/>
        </w:rPr>
        <w:t>4</w:t>
      </w:r>
      <w:r w:rsidR="00D404CD" w:rsidRPr="00235A56">
        <w:rPr>
          <w:rFonts w:ascii="Helvetica" w:hAnsi="Helvetica" w:cs="Helvetica"/>
          <w:sz w:val="22"/>
          <w:szCs w:val="22"/>
        </w:rPr>
        <w:t>),</w:t>
      </w:r>
      <w:r w:rsidRPr="00235A56">
        <w:rPr>
          <w:rFonts w:ascii="Helvetica" w:hAnsi="Helvetica" w:cs="Helvetica"/>
          <w:sz w:val="22"/>
          <w:szCs w:val="22"/>
        </w:rPr>
        <w:t xml:space="preserve"> 473-486</w:t>
      </w:r>
    </w:p>
    <w:p w:rsidR="0059418E" w:rsidRPr="00235A56" w:rsidRDefault="0059418E" w:rsidP="00353191">
      <w:pPr>
        <w:pStyle w:val="Biblio"/>
        <w:rPr>
          <w:rFonts w:ascii="Helvetica" w:hAnsi="Helvetica" w:cs="Helvetica"/>
          <w:sz w:val="22"/>
          <w:szCs w:val="22"/>
        </w:rPr>
      </w:pPr>
      <w:r w:rsidRPr="00235A56">
        <w:rPr>
          <w:rFonts w:ascii="Helvetica" w:hAnsi="Helvetica" w:cs="Helvetica"/>
          <w:sz w:val="22"/>
          <w:szCs w:val="22"/>
        </w:rPr>
        <w:t xml:space="preserve">Kitagawa, F </w:t>
      </w:r>
      <w:r w:rsidR="00894C37" w:rsidRPr="00235A56">
        <w:rPr>
          <w:rFonts w:ascii="Helvetica" w:hAnsi="Helvetica" w:cs="Helvetica"/>
          <w:sz w:val="22"/>
          <w:szCs w:val="22"/>
        </w:rPr>
        <w:t>&amp;</w:t>
      </w:r>
      <w:r w:rsidRPr="00235A56">
        <w:rPr>
          <w:rFonts w:ascii="Helvetica" w:hAnsi="Helvetica" w:cs="Helvetica"/>
          <w:sz w:val="22"/>
          <w:szCs w:val="22"/>
        </w:rPr>
        <w:t xml:space="preserve"> Obe, J (2010), Managing differentiation of higher education system in Japan: connecting excellence and diversity, </w:t>
      </w:r>
      <w:r w:rsidRPr="00235A56">
        <w:rPr>
          <w:rFonts w:ascii="Helvetica" w:hAnsi="Helvetica" w:cs="Helvetica"/>
          <w:i/>
          <w:sz w:val="22"/>
          <w:szCs w:val="22"/>
        </w:rPr>
        <w:t>Higher Education</w:t>
      </w:r>
      <w:r w:rsidRPr="00235A56">
        <w:rPr>
          <w:rFonts w:ascii="Helvetica" w:hAnsi="Helvetica" w:cs="Helvetica"/>
          <w:sz w:val="22"/>
          <w:szCs w:val="22"/>
        </w:rPr>
        <w:t>, 59</w:t>
      </w:r>
      <w:r w:rsidR="00D404CD" w:rsidRPr="00235A56">
        <w:rPr>
          <w:rFonts w:ascii="Helvetica" w:hAnsi="Helvetica" w:cs="Helvetica"/>
          <w:sz w:val="22"/>
          <w:szCs w:val="22"/>
        </w:rPr>
        <w:t>(</w:t>
      </w:r>
      <w:r w:rsidRPr="00235A56">
        <w:rPr>
          <w:rFonts w:ascii="Helvetica" w:hAnsi="Helvetica" w:cs="Helvetica"/>
          <w:sz w:val="22"/>
          <w:szCs w:val="22"/>
        </w:rPr>
        <w:t>4</w:t>
      </w:r>
      <w:r w:rsidR="00D404CD" w:rsidRPr="00235A56">
        <w:rPr>
          <w:rFonts w:ascii="Helvetica" w:hAnsi="Helvetica" w:cs="Helvetica"/>
          <w:sz w:val="22"/>
          <w:szCs w:val="22"/>
        </w:rPr>
        <w:t>),</w:t>
      </w:r>
      <w:r w:rsidRPr="00235A56">
        <w:rPr>
          <w:rFonts w:ascii="Helvetica" w:hAnsi="Helvetica" w:cs="Helvetica"/>
          <w:sz w:val="22"/>
          <w:szCs w:val="22"/>
        </w:rPr>
        <w:t xml:space="preserve"> 507-524</w:t>
      </w:r>
    </w:p>
    <w:p w:rsidR="00F92578" w:rsidRPr="00235A56" w:rsidRDefault="00F92578" w:rsidP="00664BDE">
      <w:pPr>
        <w:pStyle w:val="Biblio"/>
        <w:rPr>
          <w:rStyle w:val="Hyperlink"/>
          <w:rFonts w:ascii="Helvetica" w:hAnsi="Helvetica" w:cs="Helvetica"/>
          <w:color w:val="auto"/>
          <w:sz w:val="22"/>
          <w:szCs w:val="22"/>
          <w:u w:val="none"/>
        </w:rPr>
      </w:pPr>
      <w:r w:rsidRPr="00235A56">
        <w:rPr>
          <w:rFonts w:ascii="Helvetica" w:hAnsi="Helvetica" w:cs="Helvetica"/>
          <w:sz w:val="22"/>
          <w:szCs w:val="22"/>
        </w:rPr>
        <w:t>KMK</w:t>
      </w:r>
      <w:r w:rsidR="00F43D4B" w:rsidRPr="00235A56">
        <w:rPr>
          <w:rFonts w:ascii="Helvetica" w:hAnsi="Helvetica" w:cs="Helvetica"/>
          <w:sz w:val="22"/>
          <w:szCs w:val="22"/>
        </w:rPr>
        <w:t>-Kultusminister Konferenz</w:t>
      </w:r>
      <w:r w:rsidRPr="00235A56">
        <w:rPr>
          <w:rFonts w:ascii="Helvetica" w:hAnsi="Helvetica" w:cs="Helvetica"/>
          <w:sz w:val="22"/>
          <w:szCs w:val="22"/>
        </w:rPr>
        <w:t xml:space="preserve"> (2015), The Education System in the Federal Republic of Germany 2014/2015</w:t>
      </w:r>
      <w:r w:rsidR="002E003B" w:rsidRPr="00235A56">
        <w:rPr>
          <w:rFonts w:ascii="Helvetica" w:hAnsi="Helvetica" w:cs="Helvetica"/>
          <w:sz w:val="22"/>
          <w:szCs w:val="22"/>
        </w:rPr>
        <w:t xml:space="preserve">, Retrieved from, </w:t>
      </w:r>
      <w:r w:rsidR="00664BDE" w:rsidRPr="00235A56">
        <w:rPr>
          <w:rFonts w:ascii="Helvetica" w:hAnsi="Helvetica" w:cs="Helvetica"/>
          <w:sz w:val="22"/>
          <w:szCs w:val="22"/>
        </w:rPr>
        <w:t xml:space="preserve"> </w:t>
      </w:r>
      <w:r w:rsidRPr="00235A56">
        <w:rPr>
          <w:rStyle w:val="Hyperlink"/>
          <w:rFonts w:ascii="Helvetica" w:hAnsi="Helvetica" w:cs="Helvetica"/>
          <w:color w:val="auto"/>
          <w:sz w:val="22"/>
          <w:szCs w:val="22"/>
          <w:u w:val="none"/>
        </w:rPr>
        <w:t>https://www.kmk.org/fileadmin/Dateien/pdf/Eurydice/Bildungswesen-engl-pdfs/tertiary.pdf</w:t>
      </w:r>
    </w:p>
    <w:p w:rsidR="00803942" w:rsidRPr="00235A56" w:rsidRDefault="00803942" w:rsidP="00353191">
      <w:pPr>
        <w:pStyle w:val="Biblio"/>
        <w:rPr>
          <w:rFonts w:ascii="Helvetica" w:hAnsi="Helvetica" w:cs="Helvetica"/>
          <w:sz w:val="22"/>
          <w:szCs w:val="22"/>
        </w:rPr>
      </w:pPr>
      <w:r w:rsidRPr="00235A56">
        <w:rPr>
          <w:rFonts w:ascii="Helvetica" w:hAnsi="Helvetica" w:cs="Helvetica"/>
          <w:sz w:val="22"/>
          <w:szCs w:val="22"/>
        </w:rPr>
        <w:t xml:space="preserve">Lederman, D (2014), Carnegie Classification, Via Indiana, </w:t>
      </w:r>
      <w:r w:rsidRPr="00235A56">
        <w:rPr>
          <w:rFonts w:ascii="Helvetica" w:hAnsi="Helvetica" w:cs="Helvetica"/>
          <w:i/>
          <w:sz w:val="22"/>
          <w:szCs w:val="22"/>
        </w:rPr>
        <w:t>Inside Higher Ed</w:t>
      </w:r>
      <w:r w:rsidRPr="00235A56">
        <w:rPr>
          <w:rFonts w:ascii="Helvetica" w:hAnsi="Helvetica" w:cs="Helvetica"/>
          <w:sz w:val="22"/>
          <w:szCs w:val="22"/>
        </w:rPr>
        <w:t xml:space="preserve">, Published on October 9, 2014, </w:t>
      </w:r>
      <w:r w:rsidR="002E003B" w:rsidRPr="00235A56">
        <w:rPr>
          <w:rFonts w:ascii="Helvetica" w:hAnsi="Helvetica" w:cs="Helvetica"/>
          <w:sz w:val="22"/>
          <w:szCs w:val="22"/>
        </w:rPr>
        <w:t xml:space="preserve">Retrieved from </w:t>
      </w:r>
      <w:r w:rsidRPr="00235A56">
        <w:rPr>
          <w:rFonts w:ascii="Helvetica" w:hAnsi="Helvetica" w:cs="Helvetica"/>
          <w:sz w:val="22"/>
          <w:szCs w:val="22"/>
        </w:rPr>
        <w:lastRenderedPageBreak/>
        <w:t>https://www.insidehighered.com/news/2014/10/09/indiana-lumina-boost-take-over-carnegie-classifications</w:t>
      </w:r>
    </w:p>
    <w:p w:rsidR="00B835F2" w:rsidRPr="00235A56" w:rsidRDefault="00B835F2" w:rsidP="00664BDE">
      <w:pPr>
        <w:pStyle w:val="Biblio"/>
        <w:rPr>
          <w:rFonts w:ascii="Helvetica" w:hAnsi="Helvetica" w:cs="Helvetica"/>
          <w:sz w:val="22"/>
          <w:szCs w:val="22"/>
        </w:rPr>
      </w:pPr>
      <w:r w:rsidRPr="00235A56">
        <w:rPr>
          <w:rFonts w:ascii="Helvetica" w:hAnsi="Helvetica" w:cs="Helvetica"/>
          <w:sz w:val="22"/>
          <w:szCs w:val="22"/>
        </w:rPr>
        <w:t xml:space="preserve">Li, S (2018), From 985 to World Class 2.0: China's Strategic Move, </w:t>
      </w:r>
      <w:r w:rsidRPr="00235A56">
        <w:rPr>
          <w:rFonts w:ascii="Helvetica" w:hAnsi="Helvetica" w:cs="Helvetica"/>
          <w:i/>
          <w:sz w:val="22"/>
          <w:szCs w:val="22"/>
        </w:rPr>
        <w:t>InsideHigherEd</w:t>
      </w:r>
      <w:r w:rsidR="003D783A" w:rsidRPr="00235A56">
        <w:rPr>
          <w:rFonts w:ascii="Helvetica" w:hAnsi="Helvetica" w:cs="Helvetica"/>
          <w:i/>
          <w:sz w:val="22"/>
          <w:szCs w:val="22"/>
        </w:rPr>
        <w:t>,</w:t>
      </w:r>
      <w:r w:rsidRPr="00235A56">
        <w:rPr>
          <w:rFonts w:ascii="Helvetica" w:hAnsi="Helvetica" w:cs="Helvetica"/>
          <w:sz w:val="22"/>
          <w:szCs w:val="22"/>
        </w:rPr>
        <w:t xml:space="preserve"> </w:t>
      </w:r>
      <w:r w:rsidR="003D783A" w:rsidRPr="00235A56">
        <w:rPr>
          <w:rFonts w:ascii="Helvetica" w:hAnsi="Helvetica" w:cs="Helvetica"/>
          <w:sz w:val="22"/>
          <w:szCs w:val="22"/>
        </w:rPr>
        <w:t xml:space="preserve">Published </w:t>
      </w:r>
      <w:r w:rsidRPr="00235A56">
        <w:rPr>
          <w:rFonts w:ascii="Helvetica" w:hAnsi="Helvetica" w:cs="Helvetica"/>
          <w:sz w:val="22"/>
          <w:szCs w:val="22"/>
        </w:rPr>
        <w:t xml:space="preserve">on 7 February 2018, </w:t>
      </w:r>
      <w:r w:rsidR="002E003B" w:rsidRPr="00235A56">
        <w:rPr>
          <w:rFonts w:ascii="Helvetica" w:hAnsi="Helvetica" w:cs="Helvetica"/>
          <w:sz w:val="22"/>
          <w:szCs w:val="22"/>
        </w:rPr>
        <w:t>Retrieved from</w:t>
      </w:r>
      <w:r w:rsidR="00664BDE" w:rsidRPr="00235A56">
        <w:rPr>
          <w:rFonts w:ascii="Helvetica" w:hAnsi="Helvetica" w:cs="Helvetica"/>
          <w:sz w:val="22"/>
          <w:szCs w:val="22"/>
        </w:rPr>
        <w:t xml:space="preserve"> </w:t>
      </w:r>
      <w:r w:rsidR="00951AA5" w:rsidRPr="00235A56">
        <w:rPr>
          <w:rStyle w:val="Hyperlink"/>
          <w:rFonts w:ascii="Helvetica" w:hAnsi="Helvetica" w:cs="Helvetica"/>
          <w:color w:val="auto"/>
          <w:sz w:val="22"/>
          <w:szCs w:val="22"/>
          <w:u w:val="none"/>
        </w:rPr>
        <w:t>https://www.insidehighered.com/blogs/world-view/985-world-class-20-chinas-strategic-move</w:t>
      </w:r>
    </w:p>
    <w:p w:rsidR="00B835F2" w:rsidRPr="00235A56" w:rsidRDefault="00B835F2" w:rsidP="00353191">
      <w:pPr>
        <w:pStyle w:val="Biblio"/>
        <w:rPr>
          <w:rStyle w:val="Hyperlink"/>
          <w:rFonts w:ascii="Helvetica" w:hAnsi="Helvetica" w:cs="Helvetica"/>
          <w:color w:val="auto"/>
          <w:sz w:val="22"/>
          <w:szCs w:val="22"/>
          <w:u w:val="none"/>
        </w:rPr>
      </w:pPr>
      <w:r w:rsidRPr="00235A56">
        <w:rPr>
          <w:rFonts w:ascii="Helvetica" w:hAnsi="Helvetica" w:cs="Helvetica"/>
          <w:sz w:val="22"/>
          <w:szCs w:val="22"/>
        </w:rPr>
        <w:t xml:space="preserve">Marginson, S (2018), Horizontal diversity in higher education system. Does the growth of participation enhance or diminish it?, CGHE Seminar, 6 July 2018, </w:t>
      </w:r>
      <w:r w:rsidR="002E003B" w:rsidRPr="00235A56">
        <w:rPr>
          <w:rFonts w:ascii="Helvetica" w:hAnsi="Helvetica" w:cs="Helvetica"/>
          <w:sz w:val="22"/>
          <w:szCs w:val="22"/>
        </w:rPr>
        <w:t xml:space="preserve">Retrieved from </w:t>
      </w:r>
      <w:r w:rsidR="0059418E" w:rsidRPr="00235A56">
        <w:rPr>
          <w:rStyle w:val="Hyperlink"/>
          <w:rFonts w:ascii="Helvetica" w:hAnsi="Helvetica" w:cs="Helvetica"/>
          <w:color w:val="auto"/>
          <w:sz w:val="22"/>
          <w:szCs w:val="22"/>
          <w:u w:val="none"/>
        </w:rPr>
        <w:t>http://www.researchcghe.org/perch/resources/cghe-6-july-2017-diversity.pdf</w:t>
      </w:r>
    </w:p>
    <w:p w:rsidR="00D45768" w:rsidRPr="00235A56" w:rsidRDefault="00270968" w:rsidP="007B24C3">
      <w:pPr>
        <w:pStyle w:val="Biblio"/>
        <w:rPr>
          <w:rFonts w:ascii="Helvetica" w:hAnsi="Helvetica" w:cs="Helvetica"/>
          <w:sz w:val="22"/>
          <w:szCs w:val="22"/>
        </w:rPr>
      </w:pPr>
      <w:r w:rsidRPr="00235A56">
        <w:rPr>
          <w:rFonts w:ascii="Helvetica" w:hAnsi="Helvetica" w:cs="Helvetica"/>
          <w:sz w:val="22"/>
          <w:szCs w:val="22"/>
        </w:rPr>
        <w:t>MAESD-</w:t>
      </w:r>
      <w:r w:rsidR="0059418E" w:rsidRPr="00235A56">
        <w:rPr>
          <w:rFonts w:ascii="Helvetica" w:hAnsi="Helvetica" w:cs="Helvetica"/>
          <w:sz w:val="22"/>
          <w:szCs w:val="22"/>
        </w:rPr>
        <w:t>M</w:t>
      </w:r>
      <w:r w:rsidR="002A0636" w:rsidRPr="00235A56">
        <w:rPr>
          <w:rFonts w:ascii="Helvetica" w:hAnsi="Helvetica" w:cs="Helvetica"/>
          <w:sz w:val="22"/>
          <w:szCs w:val="22"/>
        </w:rPr>
        <w:t xml:space="preserve">inistry of </w:t>
      </w:r>
      <w:r w:rsidR="0059418E" w:rsidRPr="00235A56">
        <w:rPr>
          <w:rFonts w:ascii="Helvetica" w:hAnsi="Helvetica" w:cs="Helvetica"/>
          <w:sz w:val="22"/>
          <w:szCs w:val="22"/>
        </w:rPr>
        <w:t>A</w:t>
      </w:r>
      <w:r w:rsidR="002A0636" w:rsidRPr="00235A56">
        <w:rPr>
          <w:rFonts w:ascii="Helvetica" w:hAnsi="Helvetica" w:cs="Helvetica"/>
          <w:sz w:val="22"/>
          <w:szCs w:val="22"/>
        </w:rPr>
        <w:t xml:space="preserve">dvanced </w:t>
      </w:r>
      <w:r w:rsidR="00B3789E" w:rsidRPr="00235A56">
        <w:rPr>
          <w:rFonts w:ascii="Helvetica" w:hAnsi="Helvetica" w:cs="Helvetica"/>
          <w:sz w:val="22"/>
          <w:szCs w:val="22"/>
        </w:rPr>
        <w:t>Education, Skills</w:t>
      </w:r>
      <w:r w:rsidR="002A0636" w:rsidRPr="00235A56">
        <w:rPr>
          <w:rFonts w:ascii="Helvetica" w:hAnsi="Helvetica" w:cs="Helvetica"/>
          <w:sz w:val="22"/>
          <w:szCs w:val="22"/>
        </w:rPr>
        <w:t xml:space="preserve"> &amp; </w:t>
      </w:r>
      <w:r w:rsidR="0059418E" w:rsidRPr="00235A56">
        <w:rPr>
          <w:rFonts w:ascii="Helvetica" w:hAnsi="Helvetica" w:cs="Helvetica"/>
          <w:sz w:val="22"/>
          <w:szCs w:val="22"/>
        </w:rPr>
        <w:t>D</w:t>
      </w:r>
      <w:r w:rsidR="002A0636" w:rsidRPr="00235A56">
        <w:rPr>
          <w:rFonts w:ascii="Helvetica" w:hAnsi="Helvetica" w:cs="Helvetica"/>
          <w:sz w:val="22"/>
          <w:szCs w:val="22"/>
        </w:rPr>
        <w:t>evelopment</w:t>
      </w:r>
      <w:r w:rsidR="0059418E" w:rsidRPr="00235A56">
        <w:rPr>
          <w:rFonts w:ascii="Helvetica" w:hAnsi="Helvetica" w:cs="Helvetica"/>
          <w:sz w:val="22"/>
          <w:szCs w:val="22"/>
        </w:rPr>
        <w:t xml:space="preserve"> (2018), </w:t>
      </w:r>
      <w:r w:rsidR="0059418E" w:rsidRPr="00235A56">
        <w:rPr>
          <w:rFonts w:ascii="Helvetica" w:hAnsi="Helvetica" w:cs="Helvetica"/>
          <w:i/>
          <w:sz w:val="22"/>
          <w:szCs w:val="22"/>
        </w:rPr>
        <w:t xml:space="preserve">Transitioning </w:t>
      </w:r>
      <w:r w:rsidR="0014612E" w:rsidRPr="00235A56">
        <w:rPr>
          <w:rFonts w:ascii="Helvetica" w:hAnsi="Helvetica" w:cs="Helvetica"/>
          <w:i/>
          <w:sz w:val="22"/>
          <w:szCs w:val="22"/>
        </w:rPr>
        <w:t>to Strategic</w:t>
      </w:r>
      <w:r w:rsidR="0059418E" w:rsidRPr="00235A56">
        <w:rPr>
          <w:rFonts w:ascii="Helvetica" w:hAnsi="Helvetica" w:cs="Helvetica"/>
          <w:i/>
          <w:sz w:val="22"/>
          <w:szCs w:val="22"/>
        </w:rPr>
        <w:t xml:space="preserve"> Mandate Agreement 3</w:t>
      </w:r>
      <w:r w:rsidR="00DF7848" w:rsidRPr="00235A56">
        <w:rPr>
          <w:rFonts w:ascii="Helvetica" w:hAnsi="Helvetica" w:cs="Helvetica"/>
          <w:i/>
          <w:sz w:val="22"/>
          <w:szCs w:val="22"/>
        </w:rPr>
        <w:t xml:space="preserve"> </w:t>
      </w:r>
      <w:r w:rsidR="0059418E" w:rsidRPr="00235A56">
        <w:rPr>
          <w:rFonts w:ascii="Helvetica" w:hAnsi="Helvetica" w:cs="Helvetica"/>
          <w:i/>
          <w:sz w:val="22"/>
          <w:szCs w:val="22"/>
        </w:rPr>
        <w:t>for On</w:t>
      </w:r>
      <w:r w:rsidR="00353191" w:rsidRPr="00235A56">
        <w:rPr>
          <w:rFonts w:ascii="Helvetica" w:hAnsi="Helvetica" w:cs="Helvetica"/>
          <w:i/>
          <w:sz w:val="22"/>
          <w:szCs w:val="22"/>
        </w:rPr>
        <w:t>tario Universities and Colleges</w:t>
      </w:r>
      <w:r w:rsidR="0059418E" w:rsidRPr="00235A56">
        <w:rPr>
          <w:rFonts w:ascii="Helvetica" w:hAnsi="Helvetica" w:cs="Helvetica"/>
          <w:i/>
          <w:sz w:val="22"/>
          <w:szCs w:val="22"/>
        </w:rPr>
        <w:t>:</w:t>
      </w:r>
      <w:r w:rsidR="00353191" w:rsidRPr="00235A56">
        <w:rPr>
          <w:rFonts w:ascii="Helvetica" w:hAnsi="Helvetica" w:cs="Helvetica"/>
          <w:i/>
          <w:sz w:val="22"/>
          <w:szCs w:val="22"/>
        </w:rPr>
        <w:t xml:space="preserve"> </w:t>
      </w:r>
      <w:r w:rsidR="0059418E" w:rsidRPr="00235A56">
        <w:rPr>
          <w:rFonts w:ascii="Helvetica" w:hAnsi="Helvetica" w:cs="Helvetica"/>
          <w:i/>
          <w:sz w:val="22"/>
          <w:szCs w:val="22"/>
        </w:rPr>
        <w:t>A discussion paper to support consultations with stakeholders in Ontario’s postsecondary system</w:t>
      </w:r>
      <w:r w:rsidR="0059418E" w:rsidRPr="00235A56">
        <w:rPr>
          <w:rFonts w:ascii="Helvetica" w:hAnsi="Helvetica" w:cs="Helvetica"/>
          <w:sz w:val="22"/>
          <w:szCs w:val="22"/>
        </w:rPr>
        <w:t>,</w:t>
      </w:r>
      <w:r w:rsidR="002E003B" w:rsidRPr="00235A56">
        <w:rPr>
          <w:rFonts w:ascii="Helvetica" w:hAnsi="Helvetica" w:cs="Helvetica"/>
          <w:sz w:val="22"/>
          <w:szCs w:val="22"/>
        </w:rPr>
        <w:t xml:space="preserve"> Retrieved from</w:t>
      </w:r>
      <w:r w:rsidR="0059418E" w:rsidRPr="00235A56">
        <w:rPr>
          <w:rFonts w:ascii="Helvetica" w:hAnsi="Helvetica" w:cs="Helvetica"/>
          <w:sz w:val="22"/>
          <w:szCs w:val="22"/>
        </w:rPr>
        <w:t xml:space="preserve"> </w:t>
      </w:r>
    </w:p>
    <w:p w:rsidR="0059418E" w:rsidRPr="00235A56" w:rsidRDefault="0059418E" w:rsidP="00D45768">
      <w:pPr>
        <w:pStyle w:val="Biblio"/>
        <w:ind w:left="1440"/>
        <w:rPr>
          <w:rFonts w:ascii="Helvetica" w:hAnsi="Helvetica" w:cs="Helvetica"/>
          <w:sz w:val="22"/>
          <w:szCs w:val="22"/>
        </w:rPr>
      </w:pPr>
      <w:r w:rsidRPr="00235A56">
        <w:rPr>
          <w:rFonts w:ascii="Helvetica" w:hAnsi="Helvetica" w:cs="Helvetica"/>
          <w:sz w:val="22"/>
          <w:szCs w:val="22"/>
        </w:rPr>
        <w:t>https://opseu.org/sites/default/files/sma-consultation_document-march13-en-final.pdf</w:t>
      </w:r>
    </w:p>
    <w:p w:rsidR="00D45768" w:rsidRPr="00235A56" w:rsidRDefault="00B835F2" w:rsidP="007B24C3">
      <w:pPr>
        <w:pStyle w:val="Biblio"/>
        <w:rPr>
          <w:rStyle w:val="Emphasis"/>
          <w:rFonts w:ascii="Helvetica" w:hAnsi="Helvetica" w:cs="Helvetica"/>
          <w:i w:val="0"/>
          <w:iCs w:val="0"/>
          <w:sz w:val="22"/>
          <w:szCs w:val="22"/>
        </w:rPr>
      </w:pPr>
      <w:r w:rsidRPr="00235A56">
        <w:rPr>
          <w:rFonts w:ascii="Helvetica" w:hAnsi="Helvetica" w:cs="Helvetica"/>
          <w:sz w:val="22"/>
          <w:szCs w:val="22"/>
        </w:rPr>
        <w:t xml:space="preserve">McCormick (2000), </w:t>
      </w:r>
      <w:r w:rsidRPr="00235A56">
        <w:rPr>
          <w:rStyle w:val="h1"/>
          <w:rFonts w:ascii="Helvetica" w:hAnsi="Helvetica" w:cs="Helvetica"/>
          <w:sz w:val="22"/>
          <w:szCs w:val="22"/>
        </w:rPr>
        <w:t>What's Ahead for the Carnegie Classifications?</w:t>
      </w:r>
      <w:r w:rsidRPr="00235A56">
        <w:rPr>
          <w:rFonts w:ascii="Helvetica" w:hAnsi="Helvetica" w:cs="Helvetica"/>
          <w:sz w:val="22"/>
          <w:szCs w:val="22"/>
        </w:rPr>
        <w:t xml:space="preserve"> </w:t>
      </w:r>
      <w:r w:rsidRPr="00235A56">
        <w:rPr>
          <w:rStyle w:val="Emphasis"/>
          <w:rFonts w:ascii="Helvetica" w:hAnsi="Helvetica" w:cs="Helvetica"/>
          <w:iCs w:val="0"/>
          <w:sz w:val="22"/>
          <w:szCs w:val="22"/>
        </w:rPr>
        <w:t>AAHE Bulletin</w:t>
      </w:r>
      <w:r w:rsidR="00D45768" w:rsidRPr="00235A56">
        <w:rPr>
          <w:rStyle w:val="Emphasis"/>
          <w:rFonts w:ascii="Helvetica" w:hAnsi="Helvetica" w:cs="Helvetica"/>
          <w:i w:val="0"/>
          <w:iCs w:val="0"/>
          <w:sz w:val="22"/>
          <w:szCs w:val="22"/>
        </w:rPr>
        <w:t>,</w:t>
      </w:r>
      <w:r w:rsidR="00390503" w:rsidRPr="00235A56">
        <w:rPr>
          <w:rFonts w:ascii="Helvetica" w:hAnsi="Helvetica" w:cs="Helvetica"/>
          <w:sz w:val="22"/>
          <w:szCs w:val="22"/>
        </w:rPr>
        <w:t xml:space="preserve"> January 2000, </w:t>
      </w:r>
      <w:r w:rsidR="00D45768" w:rsidRPr="00235A56">
        <w:rPr>
          <w:rStyle w:val="Emphasis"/>
          <w:rFonts w:ascii="Helvetica" w:hAnsi="Helvetica" w:cs="Helvetica"/>
          <w:i w:val="0"/>
          <w:iCs w:val="0"/>
          <w:sz w:val="22"/>
          <w:szCs w:val="22"/>
        </w:rPr>
        <w:t xml:space="preserve"> Retrieved from</w:t>
      </w:r>
    </w:p>
    <w:p w:rsidR="00B835F2" w:rsidRPr="00235A56" w:rsidRDefault="00B835F2" w:rsidP="00D45768">
      <w:pPr>
        <w:pStyle w:val="Biblio"/>
        <w:ind w:left="1440"/>
        <w:rPr>
          <w:rFonts w:ascii="Helvetica" w:hAnsi="Helvetica" w:cs="Helvetica"/>
          <w:sz w:val="22"/>
          <w:szCs w:val="22"/>
        </w:rPr>
      </w:pPr>
      <w:r w:rsidRPr="00235A56">
        <w:rPr>
          <w:rStyle w:val="Hyperlink"/>
          <w:rFonts w:ascii="Helvetica" w:hAnsi="Helvetica" w:cs="Helvetica"/>
          <w:color w:val="auto"/>
          <w:sz w:val="22"/>
          <w:szCs w:val="22"/>
          <w:u w:val="none"/>
        </w:rPr>
        <w:t>https://www.aahea.org/articles/jan00f1.htm</w:t>
      </w:r>
    </w:p>
    <w:p w:rsidR="00B835F2" w:rsidRPr="00235A56" w:rsidRDefault="00B835F2" w:rsidP="007B24C3">
      <w:pPr>
        <w:pStyle w:val="Biblio"/>
        <w:rPr>
          <w:rFonts w:ascii="Helvetica" w:hAnsi="Helvetica" w:cs="Helvetica"/>
          <w:sz w:val="22"/>
          <w:szCs w:val="22"/>
        </w:rPr>
      </w:pPr>
      <w:r w:rsidRPr="00235A56">
        <w:rPr>
          <w:rFonts w:ascii="Helvetica" w:hAnsi="Helvetica" w:cs="Helvetica"/>
          <w:sz w:val="22"/>
          <w:szCs w:val="22"/>
        </w:rPr>
        <w:t xml:space="preserve">McCormick (2013), Classifying Higher Education Institutions: Lessons from the Carnegie Classification, </w:t>
      </w:r>
      <w:r w:rsidRPr="00235A56">
        <w:rPr>
          <w:rFonts w:ascii="Helvetica" w:hAnsi="Helvetica" w:cs="Helvetica"/>
          <w:i/>
          <w:sz w:val="22"/>
          <w:szCs w:val="22"/>
        </w:rPr>
        <w:t>Pensamiento Educativo. Revista de Investigación Educacional Latinoamericana</w:t>
      </w:r>
      <w:r w:rsidRPr="00235A56">
        <w:rPr>
          <w:rFonts w:ascii="Helvetica" w:hAnsi="Helvetica" w:cs="Helvetica"/>
          <w:sz w:val="22"/>
          <w:szCs w:val="22"/>
        </w:rPr>
        <w:t xml:space="preserve"> </w:t>
      </w:r>
      <w:r w:rsidR="00D404CD" w:rsidRPr="00235A56">
        <w:rPr>
          <w:rFonts w:ascii="Helvetica" w:hAnsi="Helvetica" w:cs="Helvetica"/>
          <w:sz w:val="22"/>
          <w:szCs w:val="22"/>
        </w:rPr>
        <w:t>,</w:t>
      </w:r>
      <w:r w:rsidRPr="00235A56">
        <w:rPr>
          <w:rFonts w:ascii="Helvetica" w:hAnsi="Helvetica" w:cs="Helvetica"/>
          <w:sz w:val="22"/>
          <w:szCs w:val="22"/>
        </w:rPr>
        <w:t>50</w:t>
      </w:r>
      <w:r w:rsidR="00D404CD" w:rsidRPr="00235A56">
        <w:rPr>
          <w:rFonts w:ascii="Helvetica" w:hAnsi="Helvetica" w:cs="Helvetica"/>
          <w:sz w:val="22"/>
          <w:szCs w:val="22"/>
        </w:rPr>
        <w:t>(</w:t>
      </w:r>
      <w:r w:rsidRPr="00235A56">
        <w:rPr>
          <w:rFonts w:ascii="Helvetica" w:hAnsi="Helvetica" w:cs="Helvetica"/>
          <w:sz w:val="22"/>
          <w:szCs w:val="22"/>
        </w:rPr>
        <w:t>1</w:t>
      </w:r>
      <w:r w:rsidR="00D404CD" w:rsidRPr="00235A56">
        <w:rPr>
          <w:rFonts w:ascii="Helvetica" w:hAnsi="Helvetica" w:cs="Helvetica"/>
          <w:sz w:val="22"/>
          <w:szCs w:val="22"/>
        </w:rPr>
        <w:t>),</w:t>
      </w:r>
      <w:r w:rsidRPr="00235A56">
        <w:rPr>
          <w:rFonts w:ascii="Helvetica" w:hAnsi="Helvetica" w:cs="Helvetica"/>
          <w:sz w:val="22"/>
          <w:szCs w:val="22"/>
        </w:rPr>
        <w:t xml:space="preserve"> 65-75, </w:t>
      </w:r>
      <w:r w:rsidR="00595317" w:rsidRPr="00235A56">
        <w:rPr>
          <w:rFonts w:ascii="Helvetica" w:hAnsi="Helvetica" w:cs="Helvetica"/>
          <w:sz w:val="22"/>
          <w:szCs w:val="22"/>
        </w:rPr>
        <w:t xml:space="preserve">Retrieved from </w:t>
      </w:r>
      <w:r w:rsidRPr="00235A56">
        <w:rPr>
          <w:rStyle w:val="Hyperlink"/>
          <w:rFonts w:ascii="Helvetica" w:hAnsi="Helvetica" w:cs="Helvetica"/>
          <w:color w:val="auto"/>
          <w:sz w:val="22"/>
          <w:szCs w:val="22"/>
          <w:u w:val="none"/>
        </w:rPr>
        <w:t>http://pensamientoeducativo.uc.cl/files/journals/2/articles/566/public/566-1475-1-PB.pdf</w:t>
      </w:r>
    </w:p>
    <w:p w:rsidR="00B835F2" w:rsidRPr="00235A56" w:rsidRDefault="00B835F2" w:rsidP="007B24C3">
      <w:pPr>
        <w:pStyle w:val="Biblio"/>
        <w:rPr>
          <w:rFonts w:ascii="Helvetica" w:hAnsi="Helvetica" w:cs="Helvetica"/>
          <w:sz w:val="22"/>
          <w:szCs w:val="22"/>
        </w:rPr>
      </w:pPr>
      <w:r w:rsidRPr="00235A56">
        <w:rPr>
          <w:rFonts w:ascii="Helvetica" w:hAnsi="Helvetica" w:cs="Helvetica"/>
          <w:sz w:val="22"/>
          <w:szCs w:val="22"/>
        </w:rPr>
        <w:t>McCormick, A.C &amp; Borden, V.M (2017), Higher Education Institutions, Types and Classification of</w:t>
      </w:r>
      <w:r w:rsidR="00A0749A" w:rsidRPr="00235A56">
        <w:rPr>
          <w:rFonts w:ascii="Helvetica" w:hAnsi="Helvetica" w:cs="Helvetica"/>
          <w:sz w:val="22"/>
          <w:szCs w:val="22"/>
        </w:rPr>
        <w:t>.</w:t>
      </w:r>
      <w:r w:rsidR="0093235B" w:rsidRPr="00235A56">
        <w:rPr>
          <w:rFonts w:ascii="Helvetica" w:hAnsi="Helvetica" w:cs="Helvetica"/>
          <w:sz w:val="22"/>
          <w:szCs w:val="22"/>
        </w:rPr>
        <w:t xml:space="preserve"> In Shin, C. J </w:t>
      </w:r>
      <w:r w:rsidR="00A0749A" w:rsidRPr="00235A56">
        <w:rPr>
          <w:rFonts w:ascii="Helvetica" w:hAnsi="Helvetica" w:cs="Helvetica"/>
          <w:sz w:val="22"/>
          <w:szCs w:val="22"/>
        </w:rPr>
        <w:t>&amp;</w:t>
      </w:r>
      <w:r w:rsidR="0093235B" w:rsidRPr="00235A56">
        <w:rPr>
          <w:rFonts w:ascii="Helvetica" w:hAnsi="Helvetica" w:cs="Helvetica"/>
          <w:sz w:val="22"/>
          <w:szCs w:val="22"/>
        </w:rPr>
        <w:t xml:space="preserve"> Teixeira, P (Eds) </w:t>
      </w:r>
      <w:r w:rsidR="0093235B" w:rsidRPr="00235A56">
        <w:rPr>
          <w:rFonts w:ascii="Helvetica" w:hAnsi="Helvetica" w:cs="Helvetica"/>
          <w:i/>
          <w:sz w:val="22"/>
          <w:szCs w:val="22"/>
        </w:rPr>
        <w:t>Encyclopedia of International Higher Education Systems and Institutions</w:t>
      </w:r>
      <w:r w:rsidR="0093235B" w:rsidRPr="00235A56">
        <w:rPr>
          <w:rFonts w:ascii="Helvetica" w:hAnsi="Helvetica" w:cs="Helvetica"/>
          <w:sz w:val="22"/>
          <w:szCs w:val="22"/>
        </w:rPr>
        <w:t>, Springer Reference</w:t>
      </w:r>
    </w:p>
    <w:p w:rsidR="009A0613" w:rsidRPr="00235A56" w:rsidRDefault="009A0613" w:rsidP="00664BDE">
      <w:pPr>
        <w:pStyle w:val="Biblio"/>
        <w:rPr>
          <w:rFonts w:ascii="Helvetica" w:hAnsi="Helvetica" w:cs="Helvetica"/>
          <w:sz w:val="22"/>
          <w:szCs w:val="22"/>
        </w:rPr>
      </w:pPr>
      <w:r w:rsidRPr="00235A56">
        <w:rPr>
          <w:rFonts w:ascii="Helvetica" w:hAnsi="Helvetica" w:cs="Helvetica"/>
          <w:sz w:val="22"/>
          <w:szCs w:val="22"/>
        </w:rPr>
        <w:t xml:space="preserve">McCormick, A.C &amp; Zhao, C.M (2005), Rethinking and Reframing the Carnegie Classification, </w:t>
      </w:r>
      <w:r w:rsidRPr="00235A56">
        <w:rPr>
          <w:rFonts w:ascii="Helvetica" w:hAnsi="Helvetica" w:cs="Helvetica"/>
          <w:i/>
          <w:sz w:val="22"/>
          <w:szCs w:val="22"/>
        </w:rPr>
        <w:t>Change</w:t>
      </w:r>
      <w:r w:rsidRPr="00235A56">
        <w:rPr>
          <w:rFonts w:ascii="Helvetica" w:hAnsi="Helvetica" w:cs="Helvetica"/>
          <w:sz w:val="22"/>
          <w:szCs w:val="22"/>
        </w:rPr>
        <w:t>, September/October 2005</w:t>
      </w:r>
      <w:r w:rsidR="00595317" w:rsidRPr="00235A56">
        <w:rPr>
          <w:rFonts w:ascii="Helvetica" w:hAnsi="Helvetica" w:cs="Helvetica"/>
          <w:sz w:val="22"/>
          <w:szCs w:val="22"/>
        </w:rPr>
        <w:t>, Retrieved from</w:t>
      </w:r>
      <w:r w:rsidR="00F57F59" w:rsidRPr="00235A56">
        <w:rPr>
          <w:rFonts w:ascii="Helvetica" w:hAnsi="Helvetica" w:cs="Helvetica"/>
          <w:sz w:val="22"/>
          <w:szCs w:val="22"/>
        </w:rPr>
        <w:t xml:space="preserve"> </w:t>
      </w:r>
      <w:r w:rsidRPr="00235A56">
        <w:rPr>
          <w:rFonts w:ascii="Helvetica" w:hAnsi="Helvetica" w:cs="Helvetica"/>
          <w:sz w:val="22"/>
          <w:szCs w:val="22"/>
        </w:rPr>
        <w:t>http://archive.carnegiefoundation.org/pdfs/elibrary/elibrary_pdf_634.pdf</w:t>
      </w:r>
    </w:p>
    <w:p w:rsidR="00B835F2" w:rsidRPr="00235A56" w:rsidRDefault="00B835F2" w:rsidP="007B24C3">
      <w:pPr>
        <w:pStyle w:val="Biblio"/>
        <w:rPr>
          <w:rFonts w:ascii="Helvetica" w:hAnsi="Helvetica" w:cs="Helvetica"/>
          <w:sz w:val="22"/>
          <w:szCs w:val="22"/>
        </w:rPr>
      </w:pPr>
      <w:r w:rsidRPr="00235A56">
        <w:rPr>
          <w:rFonts w:ascii="Helvetica" w:hAnsi="Helvetica" w:cs="Helvetica"/>
          <w:sz w:val="22"/>
          <w:szCs w:val="22"/>
        </w:rPr>
        <w:t xml:space="preserve">Meek, L, Goedegebuure, L, Kivinen, O &amp; Rinne, R (1996) </w:t>
      </w:r>
      <w:r w:rsidRPr="00235A56">
        <w:rPr>
          <w:rFonts w:ascii="Helvetica" w:hAnsi="Helvetica" w:cs="Helvetica"/>
          <w:i/>
          <w:sz w:val="22"/>
          <w:szCs w:val="22"/>
        </w:rPr>
        <w:t>The Mockers and Mocked: Comparative Perspectives on Diversity, Differentiation and Convergence in Higher Education</w:t>
      </w:r>
      <w:r w:rsidR="009000D5" w:rsidRPr="00235A56">
        <w:rPr>
          <w:rFonts w:ascii="Helvetica" w:hAnsi="Helvetica" w:cs="Helvetica"/>
          <w:sz w:val="22"/>
          <w:szCs w:val="22"/>
        </w:rPr>
        <w:t>.</w:t>
      </w:r>
      <w:r w:rsidRPr="00235A56">
        <w:rPr>
          <w:rFonts w:ascii="Helvetica" w:hAnsi="Helvetica" w:cs="Helvetica"/>
          <w:sz w:val="22"/>
          <w:szCs w:val="22"/>
        </w:rPr>
        <w:t xml:space="preserve"> Pergamon</w:t>
      </w:r>
    </w:p>
    <w:p w:rsidR="00F57F59" w:rsidRPr="00235A56" w:rsidRDefault="008364A0" w:rsidP="007B24C3">
      <w:pPr>
        <w:pStyle w:val="Biblio"/>
        <w:rPr>
          <w:rFonts w:ascii="Helvetica" w:hAnsi="Helvetica" w:cs="Helvetica"/>
          <w:sz w:val="22"/>
          <w:szCs w:val="22"/>
        </w:rPr>
      </w:pPr>
      <w:r w:rsidRPr="00235A56">
        <w:rPr>
          <w:rFonts w:ascii="Helvetica" w:hAnsi="Helvetica" w:cs="Helvetica"/>
          <w:sz w:val="22"/>
          <w:szCs w:val="22"/>
        </w:rPr>
        <w:t>Mendenhall, A (2018), Carnegie Classifications—What’s All the Fuss? Published on May 4, 2018</w:t>
      </w:r>
      <w:r w:rsidR="00595317" w:rsidRPr="00235A56">
        <w:rPr>
          <w:rFonts w:ascii="Helvetica" w:hAnsi="Helvetica" w:cs="Helvetica"/>
          <w:sz w:val="22"/>
          <w:szCs w:val="22"/>
        </w:rPr>
        <w:t xml:space="preserve">, Retrieved from </w:t>
      </w:r>
    </w:p>
    <w:p w:rsidR="008364A0" w:rsidRPr="00235A56" w:rsidRDefault="008364A0" w:rsidP="00F57F59">
      <w:pPr>
        <w:pStyle w:val="Biblio"/>
        <w:ind w:left="1440"/>
        <w:rPr>
          <w:rFonts w:ascii="Helvetica" w:hAnsi="Helvetica" w:cs="Helvetica"/>
          <w:sz w:val="22"/>
          <w:szCs w:val="22"/>
        </w:rPr>
      </w:pPr>
      <w:r w:rsidRPr="00235A56">
        <w:rPr>
          <w:rStyle w:val="Hyperlink"/>
          <w:rFonts w:ascii="Helvetica" w:hAnsi="Helvetica" w:cs="Helvetica"/>
          <w:color w:val="auto"/>
          <w:sz w:val="22"/>
          <w:szCs w:val="22"/>
          <w:u w:val="none"/>
        </w:rPr>
        <w:t>https://www.jamesgmartin.center/2018/05/carnegie-classifications-whats-all-the-fuss/</w:t>
      </w:r>
    </w:p>
    <w:p w:rsidR="00B835F2" w:rsidRPr="00235A56" w:rsidRDefault="00270968" w:rsidP="007B24C3">
      <w:pPr>
        <w:pStyle w:val="Biblio"/>
        <w:rPr>
          <w:rStyle w:val="Hyperlink"/>
          <w:rFonts w:ascii="Helvetica" w:hAnsi="Helvetica" w:cs="Helvetica"/>
          <w:color w:val="auto"/>
          <w:sz w:val="22"/>
          <w:szCs w:val="22"/>
          <w:u w:val="none"/>
        </w:rPr>
      </w:pPr>
      <w:r w:rsidRPr="00235A56">
        <w:rPr>
          <w:rFonts w:ascii="Helvetica" w:hAnsi="Helvetica" w:cs="Helvetica"/>
          <w:sz w:val="22"/>
          <w:szCs w:val="22"/>
        </w:rPr>
        <w:t>MTCU-</w:t>
      </w:r>
      <w:r w:rsidR="00460B89" w:rsidRPr="00235A56">
        <w:rPr>
          <w:rFonts w:ascii="Helvetica" w:hAnsi="Helvetica" w:cs="Helvetica"/>
          <w:sz w:val="22"/>
          <w:szCs w:val="22"/>
        </w:rPr>
        <w:t>M</w:t>
      </w:r>
      <w:r w:rsidR="00595317" w:rsidRPr="00235A56">
        <w:rPr>
          <w:rFonts w:ascii="Helvetica" w:hAnsi="Helvetica" w:cs="Helvetica"/>
          <w:sz w:val="22"/>
          <w:szCs w:val="22"/>
        </w:rPr>
        <w:t xml:space="preserve">inistry of </w:t>
      </w:r>
      <w:r w:rsidR="00B3789E" w:rsidRPr="00235A56">
        <w:rPr>
          <w:rFonts w:ascii="Helvetica" w:hAnsi="Helvetica" w:cs="Helvetica"/>
          <w:sz w:val="22"/>
          <w:szCs w:val="22"/>
        </w:rPr>
        <w:t>Training, Colleges</w:t>
      </w:r>
      <w:r w:rsidR="00595317" w:rsidRPr="00235A56">
        <w:rPr>
          <w:rFonts w:ascii="Helvetica" w:hAnsi="Helvetica" w:cs="Helvetica"/>
          <w:sz w:val="22"/>
          <w:szCs w:val="22"/>
        </w:rPr>
        <w:t xml:space="preserve"> and </w:t>
      </w:r>
      <w:r w:rsidR="00460B89" w:rsidRPr="00235A56">
        <w:rPr>
          <w:rFonts w:ascii="Helvetica" w:hAnsi="Helvetica" w:cs="Helvetica"/>
          <w:sz w:val="22"/>
          <w:szCs w:val="22"/>
        </w:rPr>
        <w:t>U</w:t>
      </w:r>
      <w:r w:rsidR="00595317" w:rsidRPr="00235A56">
        <w:rPr>
          <w:rFonts w:ascii="Helvetica" w:hAnsi="Helvetica" w:cs="Helvetica"/>
          <w:sz w:val="22"/>
          <w:szCs w:val="22"/>
        </w:rPr>
        <w:t xml:space="preserve">niversities </w:t>
      </w:r>
      <w:r w:rsidR="00B835F2" w:rsidRPr="00235A56">
        <w:rPr>
          <w:rFonts w:ascii="Helvetica" w:hAnsi="Helvetica" w:cs="Helvetica"/>
          <w:sz w:val="22"/>
          <w:szCs w:val="22"/>
        </w:rPr>
        <w:t xml:space="preserve">(2013) </w:t>
      </w:r>
      <w:r w:rsidR="00B835F2" w:rsidRPr="00235A56">
        <w:rPr>
          <w:rFonts w:ascii="Helvetica" w:hAnsi="Helvetica" w:cs="Helvetica"/>
          <w:i/>
          <w:sz w:val="22"/>
          <w:szCs w:val="22"/>
        </w:rPr>
        <w:t>Ontario’s</w:t>
      </w:r>
      <w:r w:rsidR="00DF7848" w:rsidRPr="00235A56">
        <w:rPr>
          <w:rFonts w:ascii="Helvetica" w:hAnsi="Helvetica" w:cs="Helvetica"/>
          <w:i/>
          <w:sz w:val="22"/>
          <w:szCs w:val="22"/>
        </w:rPr>
        <w:t xml:space="preserve"> </w:t>
      </w:r>
      <w:r w:rsidR="00B835F2" w:rsidRPr="00235A56">
        <w:rPr>
          <w:rFonts w:ascii="Helvetica" w:hAnsi="Helvetica" w:cs="Helvetica"/>
          <w:i/>
          <w:sz w:val="22"/>
          <w:szCs w:val="22"/>
        </w:rPr>
        <w:t>Differentiation</w:t>
      </w:r>
      <w:r w:rsidR="00DF7848" w:rsidRPr="00235A56">
        <w:rPr>
          <w:rFonts w:ascii="Helvetica" w:hAnsi="Helvetica" w:cs="Helvetica"/>
          <w:i/>
          <w:sz w:val="22"/>
          <w:szCs w:val="22"/>
        </w:rPr>
        <w:t xml:space="preserve"> </w:t>
      </w:r>
      <w:r w:rsidR="00B835F2" w:rsidRPr="00235A56">
        <w:rPr>
          <w:rFonts w:ascii="Helvetica" w:hAnsi="Helvetica" w:cs="Helvetica"/>
          <w:i/>
          <w:sz w:val="22"/>
          <w:szCs w:val="22"/>
        </w:rPr>
        <w:t>Policy Framework for</w:t>
      </w:r>
      <w:r w:rsidR="00DF7848" w:rsidRPr="00235A56">
        <w:rPr>
          <w:rFonts w:ascii="Helvetica" w:hAnsi="Helvetica" w:cs="Helvetica"/>
          <w:i/>
          <w:sz w:val="22"/>
          <w:szCs w:val="22"/>
        </w:rPr>
        <w:t xml:space="preserve"> </w:t>
      </w:r>
      <w:r w:rsidR="00B835F2" w:rsidRPr="00235A56">
        <w:rPr>
          <w:rFonts w:ascii="Helvetica" w:hAnsi="Helvetica" w:cs="Helvetica"/>
          <w:i/>
          <w:sz w:val="22"/>
          <w:szCs w:val="22"/>
        </w:rPr>
        <w:t>Postsecondary</w:t>
      </w:r>
      <w:r w:rsidR="00DF7848" w:rsidRPr="00235A56">
        <w:rPr>
          <w:rFonts w:ascii="Helvetica" w:hAnsi="Helvetica" w:cs="Helvetica"/>
          <w:i/>
          <w:sz w:val="22"/>
          <w:szCs w:val="22"/>
        </w:rPr>
        <w:t xml:space="preserve"> </w:t>
      </w:r>
      <w:r w:rsidR="00B835F2" w:rsidRPr="00235A56">
        <w:rPr>
          <w:rFonts w:ascii="Helvetica" w:hAnsi="Helvetica" w:cs="Helvetica"/>
          <w:i/>
          <w:sz w:val="22"/>
          <w:szCs w:val="22"/>
        </w:rPr>
        <w:t>Education</w:t>
      </w:r>
      <w:r w:rsidR="00B835F2" w:rsidRPr="00235A56">
        <w:rPr>
          <w:rFonts w:ascii="Helvetica" w:hAnsi="Helvetica" w:cs="Helvetica"/>
          <w:sz w:val="22"/>
          <w:szCs w:val="22"/>
        </w:rPr>
        <w:t xml:space="preserve">, </w:t>
      </w:r>
      <w:r w:rsidR="00595317" w:rsidRPr="00235A56">
        <w:rPr>
          <w:rFonts w:ascii="Helvetica" w:hAnsi="Helvetica" w:cs="Helvetica"/>
          <w:sz w:val="22"/>
          <w:szCs w:val="22"/>
        </w:rPr>
        <w:t xml:space="preserve">Retrieved from </w:t>
      </w:r>
      <w:r w:rsidR="00B835F2" w:rsidRPr="00235A56">
        <w:rPr>
          <w:rStyle w:val="Hyperlink"/>
          <w:rFonts w:ascii="Helvetica" w:hAnsi="Helvetica" w:cs="Helvetica"/>
          <w:color w:val="auto"/>
          <w:sz w:val="22"/>
          <w:szCs w:val="22"/>
          <w:u w:val="none"/>
        </w:rPr>
        <w:t>http://www.tcu.gov.on.ca/pepg/publications/PolicyFramework_PostSec.pdf</w:t>
      </w:r>
    </w:p>
    <w:p w:rsidR="0059418E" w:rsidRPr="00235A56" w:rsidRDefault="0059418E" w:rsidP="007B24C3">
      <w:pPr>
        <w:pStyle w:val="Biblio"/>
        <w:rPr>
          <w:rStyle w:val="Hyperlink"/>
          <w:rFonts w:ascii="Helvetica" w:hAnsi="Helvetica" w:cs="Helvetica"/>
          <w:color w:val="auto"/>
          <w:sz w:val="22"/>
          <w:szCs w:val="22"/>
          <w:u w:val="none"/>
        </w:rPr>
      </w:pPr>
      <w:r w:rsidRPr="00235A56">
        <w:rPr>
          <w:rFonts w:ascii="Helvetica" w:hAnsi="Helvetica" w:cs="Helvetica"/>
          <w:sz w:val="22"/>
          <w:szCs w:val="22"/>
        </w:rPr>
        <w:t xml:space="preserve">Murasawa, M, Watanabe, S.N </w:t>
      </w:r>
      <w:r w:rsidR="00894C37" w:rsidRPr="00235A56">
        <w:rPr>
          <w:rFonts w:ascii="Helvetica" w:hAnsi="Helvetica" w:cs="Helvetica"/>
          <w:sz w:val="22"/>
          <w:szCs w:val="22"/>
        </w:rPr>
        <w:t>&amp;</w:t>
      </w:r>
      <w:r w:rsidRPr="00235A56">
        <w:rPr>
          <w:rFonts w:ascii="Helvetica" w:hAnsi="Helvetica" w:cs="Helvetica"/>
          <w:sz w:val="22"/>
          <w:szCs w:val="22"/>
        </w:rPr>
        <w:t xml:space="preserve"> Hata, T (2014), Self-image and Missions of Universities: An Empirical Analysis of Japanese University Executives, Humanities, 3</w:t>
      </w:r>
      <w:r w:rsidR="00D404CD" w:rsidRPr="00235A56">
        <w:rPr>
          <w:rFonts w:ascii="Helvetica" w:hAnsi="Helvetica" w:cs="Helvetica"/>
          <w:sz w:val="22"/>
          <w:szCs w:val="22"/>
        </w:rPr>
        <w:t>,</w:t>
      </w:r>
      <w:r w:rsidRPr="00235A56">
        <w:rPr>
          <w:rFonts w:ascii="Helvetica" w:hAnsi="Helvetica" w:cs="Helvetica"/>
          <w:sz w:val="22"/>
          <w:szCs w:val="22"/>
        </w:rPr>
        <w:t xml:space="preserve"> 210-231</w:t>
      </w:r>
    </w:p>
    <w:p w:rsidR="00987F52" w:rsidRPr="00235A56" w:rsidRDefault="00987F52" w:rsidP="007B24C3">
      <w:pPr>
        <w:pStyle w:val="Biblio"/>
        <w:rPr>
          <w:rStyle w:val="Hyperlink"/>
          <w:rFonts w:ascii="Helvetica" w:hAnsi="Helvetica" w:cs="Helvetica"/>
          <w:color w:val="auto"/>
          <w:sz w:val="22"/>
          <w:szCs w:val="22"/>
          <w:u w:val="none"/>
        </w:rPr>
      </w:pPr>
      <w:r w:rsidRPr="00235A56">
        <w:rPr>
          <w:rStyle w:val="Hyperlink"/>
          <w:rFonts w:ascii="Helvetica" w:hAnsi="Helvetica" w:cs="Helvetica"/>
          <w:color w:val="auto"/>
          <w:sz w:val="22"/>
          <w:szCs w:val="22"/>
          <w:u w:val="none"/>
        </w:rPr>
        <w:t xml:space="preserve">Neave, G (1979), </w:t>
      </w:r>
      <w:r w:rsidR="00C75C9A" w:rsidRPr="00235A56">
        <w:rPr>
          <w:rStyle w:val="Hyperlink"/>
          <w:rFonts w:ascii="Helvetica" w:hAnsi="Helvetica" w:cs="Helvetica"/>
          <w:color w:val="auto"/>
          <w:sz w:val="22"/>
          <w:szCs w:val="22"/>
          <w:u w:val="none"/>
        </w:rPr>
        <w:t xml:space="preserve">Academic Drift: some views from Europe, </w:t>
      </w:r>
      <w:r w:rsidR="00C75C9A" w:rsidRPr="00235A56">
        <w:rPr>
          <w:rStyle w:val="Hyperlink"/>
          <w:rFonts w:ascii="Helvetica" w:hAnsi="Helvetica" w:cs="Helvetica"/>
          <w:i/>
          <w:color w:val="auto"/>
          <w:sz w:val="22"/>
          <w:szCs w:val="22"/>
          <w:u w:val="none"/>
        </w:rPr>
        <w:t>Studies in Higher Education</w:t>
      </w:r>
      <w:r w:rsidR="00C75C9A" w:rsidRPr="00235A56">
        <w:rPr>
          <w:rStyle w:val="Hyperlink"/>
          <w:rFonts w:ascii="Helvetica" w:hAnsi="Helvetica" w:cs="Helvetica"/>
          <w:color w:val="auto"/>
          <w:sz w:val="22"/>
          <w:szCs w:val="22"/>
          <w:u w:val="none"/>
        </w:rPr>
        <w:t>, 4</w:t>
      </w:r>
      <w:r w:rsidR="00D404CD" w:rsidRPr="00235A56">
        <w:rPr>
          <w:rStyle w:val="Hyperlink"/>
          <w:rFonts w:ascii="Helvetica" w:hAnsi="Helvetica" w:cs="Helvetica"/>
          <w:color w:val="auto"/>
          <w:sz w:val="22"/>
          <w:szCs w:val="22"/>
          <w:u w:val="none"/>
        </w:rPr>
        <w:t>(</w:t>
      </w:r>
      <w:r w:rsidR="00C75C9A" w:rsidRPr="00235A56">
        <w:rPr>
          <w:rStyle w:val="Hyperlink"/>
          <w:rFonts w:ascii="Helvetica" w:hAnsi="Helvetica" w:cs="Helvetica"/>
          <w:color w:val="auto"/>
          <w:sz w:val="22"/>
          <w:szCs w:val="22"/>
          <w:u w:val="none"/>
        </w:rPr>
        <w:t>2</w:t>
      </w:r>
      <w:r w:rsidR="00D404CD" w:rsidRPr="00235A56">
        <w:rPr>
          <w:rStyle w:val="Hyperlink"/>
          <w:rFonts w:ascii="Helvetica" w:hAnsi="Helvetica" w:cs="Helvetica"/>
          <w:color w:val="auto"/>
          <w:sz w:val="22"/>
          <w:szCs w:val="22"/>
          <w:u w:val="none"/>
        </w:rPr>
        <w:t>),</w:t>
      </w:r>
      <w:r w:rsidR="00C75C9A" w:rsidRPr="00235A56">
        <w:rPr>
          <w:rStyle w:val="Hyperlink"/>
          <w:rFonts w:ascii="Helvetica" w:hAnsi="Helvetica" w:cs="Helvetica"/>
          <w:color w:val="auto"/>
          <w:sz w:val="22"/>
          <w:szCs w:val="22"/>
          <w:u w:val="none"/>
        </w:rPr>
        <w:t xml:space="preserve"> 143-159</w:t>
      </w:r>
    </w:p>
    <w:p w:rsidR="00FA714C" w:rsidRPr="00235A56" w:rsidRDefault="00FA714C" w:rsidP="007B24C3">
      <w:pPr>
        <w:pStyle w:val="Biblio"/>
        <w:rPr>
          <w:rFonts w:ascii="Helvetica" w:hAnsi="Helvetica" w:cs="Helvetica"/>
          <w:sz w:val="22"/>
          <w:szCs w:val="22"/>
        </w:rPr>
      </w:pPr>
      <w:r w:rsidRPr="00235A56">
        <w:rPr>
          <w:rFonts w:ascii="Helvetica" w:hAnsi="Helvetica" w:cs="Helvetica"/>
          <w:sz w:val="22"/>
          <w:szCs w:val="22"/>
        </w:rPr>
        <w:t xml:space="preserve">Newman, J.H (1852), </w:t>
      </w:r>
      <w:r w:rsidRPr="00235A56">
        <w:rPr>
          <w:rFonts w:ascii="Helvetica" w:hAnsi="Helvetica" w:cs="Helvetica"/>
          <w:i/>
          <w:sz w:val="22"/>
          <w:szCs w:val="22"/>
        </w:rPr>
        <w:t>The Idea of a University</w:t>
      </w:r>
      <w:r w:rsidR="009000D5" w:rsidRPr="00235A56">
        <w:rPr>
          <w:rFonts w:ascii="Helvetica" w:hAnsi="Helvetica" w:cs="Helvetica"/>
          <w:sz w:val="22"/>
          <w:szCs w:val="22"/>
        </w:rPr>
        <w:t>.</w:t>
      </w:r>
      <w:r w:rsidRPr="00235A56">
        <w:rPr>
          <w:rFonts w:ascii="Helvetica" w:hAnsi="Helvetica" w:cs="Helvetica"/>
          <w:sz w:val="22"/>
          <w:szCs w:val="22"/>
        </w:rPr>
        <w:t xml:space="preserve"> </w:t>
      </w:r>
      <w:r w:rsidR="00353191" w:rsidRPr="00235A56">
        <w:rPr>
          <w:rFonts w:ascii="Helvetica" w:hAnsi="Helvetica" w:cs="Helvetica"/>
          <w:sz w:val="22"/>
          <w:szCs w:val="22"/>
        </w:rPr>
        <w:t>University of Notre Dame Press</w:t>
      </w:r>
    </w:p>
    <w:p w:rsidR="00B835F2" w:rsidRPr="00235A56" w:rsidRDefault="00B835F2" w:rsidP="007B24C3">
      <w:pPr>
        <w:pStyle w:val="Biblio"/>
        <w:rPr>
          <w:rFonts w:ascii="Helvetica" w:hAnsi="Helvetica" w:cs="Helvetica"/>
          <w:sz w:val="22"/>
          <w:szCs w:val="22"/>
        </w:rPr>
      </w:pPr>
      <w:r w:rsidRPr="00235A56">
        <w:rPr>
          <w:rFonts w:ascii="Helvetica" w:hAnsi="Helvetica" w:cs="Helvetica"/>
          <w:sz w:val="22"/>
          <w:szCs w:val="22"/>
        </w:rPr>
        <w:t>O</w:t>
      </w:r>
      <w:r w:rsidR="00FF0DDE" w:rsidRPr="00235A56">
        <w:rPr>
          <w:rFonts w:ascii="Helvetica" w:hAnsi="Helvetica" w:cs="Helvetica"/>
          <w:sz w:val="22"/>
          <w:szCs w:val="22"/>
        </w:rPr>
        <w:t>fS</w:t>
      </w:r>
      <w:r w:rsidR="00786BDE" w:rsidRPr="00235A56">
        <w:rPr>
          <w:rFonts w:ascii="Helvetica" w:hAnsi="Helvetica" w:cs="Helvetica"/>
          <w:sz w:val="22"/>
          <w:szCs w:val="22"/>
        </w:rPr>
        <w:t xml:space="preserve">-Office for Students </w:t>
      </w:r>
      <w:r w:rsidRPr="00235A56">
        <w:rPr>
          <w:rFonts w:ascii="Helvetica" w:hAnsi="Helvetica" w:cs="Helvetica"/>
          <w:sz w:val="22"/>
          <w:szCs w:val="22"/>
        </w:rPr>
        <w:t>(2018</w:t>
      </w:r>
      <w:r w:rsidR="005A0529" w:rsidRPr="00235A56">
        <w:rPr>
          <w:rFonts w:ascii="Helvetica" w:hAnsi="Helvetica" w:cs="Helvetica"/>
          <w:sz w:val="22"/>
          <w:szCs w:val="22"/>
        </w:rPr>
        <w:t>a</w:t>
      </w:r>
      <w:r w:rsidRPr="00235A56">
        <w:rPr>
          <w:rFonts w:ascii="Helvetica" w:hAnsi="Helvetica" w:cs="Helvetica"/>
          <w:sz w:val="22"/>
          <w:szCs w:val="22"/>
        </w:rPr>
        <w:t xml:space="preserve">), </w:t>
      </w:r>
      <w:r w:rsidRPr="00235A56">
        <w:rPr>
          <w:rFonts w:ascii="Helvetica" w:hAnsi="Helvetica" w:cs="Helvetica"/>
          <w:i/>
          <w:sz w:val="22"/>
          <w:szCs w:val="22"/>
        </w:rPr>
        <w:t>Securing student success: Regulatory framework for higher education in England</w:t>
      </w:r>
      <w:r w:rsidRPr="00235A56">
        <w:rPr>
          <w:rFonts w:ascii="Helvetica" w:hAnsi="Helvetica" w:cs="Helvetica"/>
          <w:sz w:val="22"/>
          <w:szCs w:val="22"/>
        </w:rPr>
        <w:t xml:space="preserve">, OfS 2018.01, </w:t>
      </w:r>
      <w:r w:rsidR="002E003B" w:rsidRPr="00235A56">
        <w:rPr>
          <w:rFonts w:ascii="Helvetica" w:hAnsi="Helvetica" w:cs="Helvetica"/>
          <w:sz w:val="22"/>
          <w:szCs w:val="22"/>
        </w:rPr>
        <w:t xml:space="preserve">Retrieved from </w:t>
      </w:r>
      <w:r w:rsidR="00B6773B" w:rsidRPr="00235A56">
        <w:rPr>
          <w:rFonts w:ascii="Helvetica" w:hAnsi="Helvetica" w:cs="Helvetica"/>
          <w:sz w:val="22"/>
          <w:szCs w:val="22"/>
        </w:rPr>
        <w:t>https://www.officeforstudents.org.uk/media/1406/ofs2018_01.pdf</w:t>
      </w:r>
    </w:p>
    <w:p w:rsidR="00FF0DDE" w:rsidRPr="00235A56" w:rsidRDefault="00786BDE" w:rsidP="00664BDE">
      <w:pPr>
        <w:pStyle w:val="Biblio"/>
        <w:rPr>
          <w:rFonts w:ascii="Helvetica" w:hAnsi="Helvetica" w:cs="Helvetica"/>
          <w:sz w:val="22"/>
          <w:szCs w:val="22"/>
        </w:rPr>
      </w:pPr>
      <w:r w:rsidRPr="00235A56">
        <w:rPr>
          <w:rFonts w:ascii="Helvetica" w:hAnsi="Helvetica" w:cs="Helvetica"/>
          <w:sz w:val="22"/>
          <w:szCs w:val="22"/>
        </w:rPr>
        <w:t xml:space="preserve">OfS-Office for Students </w:t>
      </w:r>
      <w:r w:rsidR="00FF0DDE" w:rsidRPr="00235A56">
        <w:rPr>
          <w:rFonts w:ascii="Helvetica" w:hAnsi="Helvetica" w:cs="Helvetica"/>
          <w:sz w:val="22"/>
          <w:szCs w:val="22"/>
        </w:rPr>
        <w:t xml:space="preserve">(2018b), </w:t>
      </w:r>
      <w:r w:rsidR="00FF0DDE" w:rsidRPr="00235A56">
        <w:rPr>
          <w:rFonts w:ascii="Helvetica" w:hAnsi="Helvetica" w:cs="Helvetica"/>
          <w:i/>
          <w:sz w:val="22"/>
          <w:szCs w:val="22"/>
        </w:rPr>
        <w:t>Regulatory Advice 8: Guidance for providers about condition of registration F1: transparency information</w:t>
      </w:r>
      <w:r w:rsidR="002E003B" w:rsidRPr="00235A56">
        <w:rPr>
          <w:rFonts w:ascii="Helvetica" w:hAnsi="Helvetica" w:cs="Helvetica"/>
          <w:sz w:val="22"/>
          <w:szCs w:val="22"/>
        </w:rPr>
        <w:t>, Retrieved from</w:t>
      </w:r>
      <w:r w:rsidR="00664BDE" w:rsidRPr="00235A56">
        <w:rPr>
          <w:rFonts w:ascii="Helvetica" w:hAnsi="Helvetica" w:cs="Helvetica"/>
          <w:sz w:val="22"/>
          <w:szCs w:val="22"/>
        </w:rPr>
        <w:t xml:space="preserve"> </w:t>
      </w:r>
      <w:r w:rsidR="00FF0DDE" w:rsidRPr="00235A56">
        <w:rPr>
          <w:rStyle w:val="Hyperlink"/>
          <w:rFonts w:ascii="Helvetica" w:hAnsi="Helvetica" w:cs="Helvetica"/>
          <w:color w:val="auto"/>
          <w:sz w:val="22"/>
          <w:szCs w:val="22"/>
          <w:u w:val="none"/>
        </w:rPr>
        <w:t>https://www.officeforstudents.org.uk/media/1107/ofs2018_08.pdf</w:t>
      </w:r>
    </w:p>
    <w:p w:rsidR="00F92578" w:rsidRPr="00235A56" w:rsidRDefault="00F92578" w:rsidP="007B24C3">
      <w:pPr>
        <w:pStyle w:val="Biblio"/>
        <w:rPr>
          <w:rFonts w:ascii="Helvetica" w:hAnsi="Helvetica" w:cs="Helvetica"/>
          <w:sz w:val="22"/>
          <w:szCs w:val="22"/>
        </w:rPr>
      </w:pPr>
      <w:r w:rsidRPr="00235A56">
        <w:rPr>
          <w:rFonts w:ascii="Helvetica" w:hAnsi="Helvetica" w:cs="Helvetica"/>
          <w:sz w:val="22"/>
          <w:szCs w:val="22"/>
        </w:rPr>
        <w:t xml:space="preserve">Pritchard, R (2006), Trends in the Restructuring of German Universities, </w:t>
      </w:r>
      <w:r w:rsidRPr="00235A56">
        <w:rPr>
          <w:rFonts w:ascii="Helvetica" w:hAnsi="Helvetica" w:cs="Helvetica"/>
          <w:i/>
          <w:sz w:val="22"/>
          <w:szCs w:val="22"/>
        </w:rPr>
        <w:t>Comparative Education Review</w:t>
      </w:r>
      <w:r w:rsidRPr="00235A56">
        <w:rPr>
          <w:rFonts w:ascii="Helvetica" w:hAnsi="Helvetica" w:cs="Helvetica"/>
          <w:sz w:val="22"/>
          <w:szCs w:val="22"/>
        </w:rPr>
        <w:t>, 50</w:t>
      </w:r>
      <w:r w:rsidR="00D404CD" w:rsidRPr="00235A56">
        <w:rPr>
          <w:rFonts w:ascii="Helvetica" w:hAnsi="Helvetica" w:cs="Helvetica"/>
          <w:sz w:val="22"/>
          <w:szCs w:val="22"/>
        </w:rPr>
        <w:t>(</w:t>
      </w:r>
      <w:r w:rsidRPr="00235A56">
        <w:rPr>
          <w:rFonts w:ascii="Helvetica" w:hAnsi="Helvetica" w:cs="Helvetica"/>
          <w:sz w:val="22"/>
          <w:szCs w:val="22"/>
        </w:rPr>
        <w:t>1</w:t>
      </w:r>
      <w:r w:rsidR="00D404CD" w:rsidRPr="00235A56">
        <w:rPr>
          <w:rFonts w:ascii="Helvetica" w:hAnsi="Helvetica" w:cs="Helvetica"/>
          <w:sz w:val="22"/>
          <w:szCs w:val="22"/>
        </w:rPr>
        <w:t>),</w:t>
      </w:r>
      <w:r w:rsidRPr="00235A56">
        <w:rPr>
          <w:rFonts w:ascii="Helvetica" w:hAnsi="Helvetica" w:cs="Helvetica"/>
          <w:sz w:val="22"/>
          <w:szCs w:val="22"/>
        </w:rPr>
        <w:t xml:space="preserve"> 90-112</w:t>
      </w:r>
    </w:p>
    <w:p w:rsidR="00B6773B" w:rsidRPr="00235A56" w:rsidRDefault="00B6773B" w:rsidP="007B24C3">
      <w:pPr>
        <w:pStyle w:val="Biblio"/>
        <w:rPr>
          <w:rFonts w:ascii="Helvetica" w:hAnsi="Helvetica" w:cs="Helvetica"/>
          <w:sz w:val="22"/>
          <w:szCs w:val="22"/>
        </w:rPr>
      </w:pPr>
      <w:r w:rsidRPr="00235A56">
        <w:rPr>
          <w:rFonts w:ascii="Helvetica" w:hAnsi="Helvetica" w:cs="Helvetica"/>
          <w:sz w:val="22"/>
          <w:szCs w:val="22"/>
        </w:rPr>
        <w:t xml:space="preserve">Riesman, D (1956) </w:t>
      </w:r>
      <w:r w:rsidRPr="00235A56">
        <w:rPr>
          <w:rFonts w:ascii="Helvetica" w:hAnsi="Helvetica" w:cs="Helvetica"/>
          <w:i/>
          <w:sz w:val="22"/>
          <w:szCs w:val="22"/>
        </w:rPr>
        <w:t>Constraint and Variety in American Education</w:t>
      </w:r>
      <w:r w:rsidR="009000D5" w:rsidRPr="00235A56">
        <w:rPr>
          <w:rFonts w:ascii="Helvetica" w:hAnsi="Helvetica" w:cs="Helvetica"/>
          <w:sz w:val="22"/>
          <w:szCs w:val="22"/>
        </w:rPr>
        <w:t>.</w:t>
      </w:r>
      <w:r w:rsidRPr="00235A56">
        <w:rPr>
          <w:rFonts w:ascii="Helvetica" w:hAnsi="Helvetica" w:cs="Helvetica"/>
          <w:sz w:val="22"/>
          <w:szCs w:val="22"/>
        </w:rPr>
        <w:t xml:space="preserve"> University of Nebraska Press, Lincoln</w:t>
      </w:r>
    </w:p>
    <w:p w:rsidR="007F2B9B" w:rsidRPr="00235A56" w:rsidRDefault="007F2B9B" w:rsidP="002E003B">
      <w:pPr>
        <w:pStyle w:val="Biblio"/>
        <w:rPr>
          <w:rFonts w:ascii="Helvetica" w:hAnsi="Helvetica" w:cs="Helvetica"/>
          <w:sz w:val="22"/>
          <w:szCs w:val="22"/>
        </w:rPr>
      </w:pPr>
      <w:r w:rsidRPr="00235A56">
        <w:rPr>
          <w:rFonts w:ascii="Helvetica" w:hAnsi="Helvetica" w:cs="Helvetica"/>
          <w:iCs/>
          <w:sz w:val="22"/>
          <w:szCs w:val="22"/>
        </w:rPr>
        <w:t>THE</w:t>
      </w:r>
      <w:r w:rsidR="004A396D" w:rsidRPr="00235A56">
        <w:rPr>
          <w:rFonts w:ascii="Helvetica" w:hAnsi="Helvetica" w:cs="Helvetica"/>
          <w:iCs/>
          <w:sz w:val="22"/>
          <w:szCs w:val="22"/>
        </w:rPr>
        <w:t>-</w:t>
      </w:r>
      <w:r w:rsidRPr="00235A56">
        <w:rPr>
          <w:rFonts w:ascii="Helvetica" w:hAnsi="Helvetica" w:cs="Helvetica"/>
          <w:iCs/>
          <w:sz w:val="22"/>
          <w:szCs w:val="22"/>
        </w:rPr>
        <w:t>Times Higher Education</w:t>
      </w:r>
      <w:r w:rsidR="004A396D" w:rsidRPr="00235A56">
        <w:rPr>
          <w:rFonts w:ascii="Helvetica" w:hAnsi="Helvetica" w:cs="Helvetica"/>
          <w:iCs/>
          <w:sz w:val="22"/>
          <w:szCs w:val="22"/>
        </w:rPr>
        <w:t xml:space="preserve"> (2018a)</w:t>
      </w:r>
      <w:r w:rsidRPr="00235A56">
        <w:rPr>
          <w:rFonts w:ascii="Helvetica" w:hAnsi="Helvetica" w:cs="Helvetica"/>
          <w:iCs/>
          <w:sz w:val="22"/>
          <w:szCs w:val="22"/>
        </w:rPr>
        <w:t>,</w:t>
      </w:r>
      <w:r w:rsidRPr="00235A56">
        <w:rPr>
          <w:rFonts w:ascii="Helvetica" w:hAnsi="Helvetica" w:cs="Helvetica"/>
          <w:sz w:val="22"/>
          <w:szCs w:val="22"/>
        </w:rPr>
        <w:t xml:space="preserve"> </w:t>
      </w:r>
      <w:r w:rsidR="00D404CD" w:rsidRPr="00235A56">
        <w:rPr>
          <w:rFonts w:ascii="Helvetica" w:hAnsi="Helvetica" w:cs="Helvetica"/>
          <w:bCs/>
          <w:sz w:val="22"/>
          <w:szCs w:val="22"/>
        </w:rPr>
        <w:t>Most English providers to be unregulated after OfS rules redrawn</w:t>
      </w:r>
      <w:r w:rsidR="00D404CD" w:rsidRPr="00235A56">
        <w:rPr>
          <w:rFonts w:ascii="Helvetica" w:hAnsi="Helvetica" w:cs="Helvetica"/>
          <w:sz w:val="22"/>
          <w:szCs w:val="22"/>
        </w:rPr>
        <w:t>,</w:t>
      </w:r>
      <w:r w:rsidR="00AE1B52" w:rsidRPr="00235A56">
        <w:rPr>
          <w:rFonts w:ascii="Helvetica" w:hAnsi="Helvetica" w:cs="Helvetica"/>
          <w:iCs/>
          <w:sz w:val="22"/>
          <w:szCs w:val="22"/>
        </w:rPr>
        <w:t xml:space="preserve"> </w:t>
      </w:r>
      <w:r w:rsidR="00AE1B52" w:rsidRPr="00235A56">
        <w:rPr>
          <w:rFonts w:ascii="Helvetica" w:hAnsi="Helvetica" w:cs="Helvetica"/>
          <w:i/>
          <w:iCs/>
          <w:sz w:val="22"/>
          <w:szCs w:val="22"/>
        </w:rPr>
        <w:t>Times Higher Education</w:t>
      </w:r>
      <w:r w:rsidR="00D404CD" w:rsidRPr="00235A56">
        <w:rPr>
          <w:rFonts w:ascii="Helvetica" w:hAnsi="Helvetica" w:cs="Helvetica"/>
          <w:sz w:val="22"/>
          <w:szCs w:val="22"/>
        </w:rPr>
        <w:t xml:space="preserve"> </w:t>
      </w:r>
      <w:r w:rsidRPr="00235A56">
        <w:rPr>
          <w:rFonts w:ascii="Helvetica" w:hAnsi="Helvetica" w:cs="Helvetica"/>
          <w:sz w:val="22"/>
          <w:szCs w:val="22"/>
        </w:rPr>
        <w:t>Published on 2 March 2018</w:t>
      </w:r>
      <w:r w:rsidR="00595317" w:rsidRPr="00235A56">
        <w:rPr>
          <w:rFonts w:ascii="Helvetica" w:hAnsi="Helvetica" w:cs="Helvetica"/>
          <w:sz w:val="22"/>
          <w:szCs w:val="22"/>
        </w:rPr>
        <w:t xml:space="preserve">, Retrieved </w:t>
      </w:r>
      <w:r w:rsidR="00B3789E" w:rsidRPr="00235A56">
        <w:rPr>
          <w:rFonts w:ascii="Helvetica" w:hAnsi="Helvetica" w:cs="Helvetica"/>
          <w:sz w:val="22"/>
          <w:szCs w:val="22"/>
        </w:rPr>
        <w:t xml:space="preserve">from </w:t>
      </w:r>
      <w:r w:rsidR="00B3789E" w:rsidRPr="00235A56">
        <w:rPr>
          <w:rFonts w:ascii="Helvetica" w:hAnsi="Helvetica" w:cs="Helvetica"/>
          <w:sz w:val="22"/>
          <w:szCs w:val="22"/>
        </w:rPr>
        <w:lastRenderedPageBreak/>
        <w:t>https://www.timeshighereducation.com/news/most-english-providers-be-unregulated-after-ofs-rules-redrawn</w:t>
      </w:r>
    </w:p>
    <w:p w:rsidR="006953AA" w:rsidRPr="00235A56" w:rsidRDefault="006953AA" w:rsidP="00664BDE">
      <w:pPr>
        <w:pStyle w:val="Biblio"/>
        <w:rPr>
          <w:rFonts w:ascii="Helvetica" w:hAnsi="Helvetica" w:cs="Helvetica"/>
          <w:sz w:val="22"/>
          <w:szCs w:val="22"/>
        </w:rPr>
      </w:pPr>
      <w:r w:rsidRPr="00235A56">
        <w:rPr>
          <w:rFonts w:ascii="Helvetica" w:hAnsi="Helvetica" w:cs="Helvetica"/>
          <w:sz w:val="22"/>
          <w:szCs w:val="22"/>
        </w:rPr>
        <w:t>THE</w:t>
      </w:r>
      <w:r w:rsidR="004A396D" w:rsidRPr="00235A56">
        <w:rPr>
          <w:rFonts w:ascii="Helvetica" w:hAnsi="Helvetica" w:cs="Helvetica"/>
          <w:sz w:val="22"/>
          <w:szCs w:val="22"/>
        </w:rPr>
        <w:t>-</w:t>
      </w:r>
      <w:r w:rsidR="004A396D" w:rsidRPr="00235A56">
        <w:rPr>
          <w:rFonts w:ascii="Helvetica" w:hAnsi="Helvetica" w:cs="Helvetica"/>
          <w:iCs/>
          <w:sz w:val="22"/>
          <w:szCs w:val="22"/>
        </w:rPr>
        <w:t>Times Higher Education</w:t>
      </w:r>
      <w:r w:rsidRPr="00235A56">
        <w:rPr>
          <w:rFonts w:ascii="Helvetica" w:hAnsi="Helvetica" w:cs="Helvetica"/>
          <w:sz w:val="22"/>
          <w:szCs w:val="22"/>
        </w:rPr>
        <w:t xml:space="preserve"> (2018</w:t>
      </w:r>
      <w:r w:rsidR="004A396D" w:rsidRPr="00235A56">
        <w:rPr>
          <w:rFonts w:ascii="Helvetica" w:hAnsi="Helvetica" w:cs="Helvetica"/>
          <w:sz w:val="22"/>
          <w:szCs w:val="22"/>
        </w:rPr>
        <w:t>b</w:t>
      </w:r>
      <w:r w:rsidRPr="00235A56">
        <w:rPr>
          <w:rFonts w:ascii="Helvetica" w:hAnsi="Helvetica" w:cs="Helvetica"/>
          <w:sz w:val="22"/>
          <w:szCs w:val="22"/>
        </w:rPr>
        <w:t xml:space="preserve">), Oxford and Cambridge singled out on access by new regulator, </w:t>
      </w:r>
      <w:r w:rsidRPr="00235A56">
        <w:rPr>
          <w:rFonts w:ascii="Helvetica" w:hAnsi="Helvetica" w:cs="Helvetica"/>
          <w:i/>
          <w:sz w:val="22"/>
          <w:szCs w:val="22"/>
        </w:rPr>
        <w:t>Times Higher Education</w:t>
      </w:r>
      <w:r w:rsidRPr="00235A56">
        <w:rPr>
          <w:rFonts w:ascii="Helvetica" w:hAnsi="Helvetica" w:cs="Helvetica"/>
          <w:sz w:val="22"/>
          <w:szCs w:val="22"/>
        </w:rPr>
        <w:t>, Published on 19 July 2018</w:t>
      </w:r>
      <w:r w:rsidR="00595317" w:rsidRPr="00235A56">
        <w:rPr>
          <w:rFonts w:ascii="Helvetica" w:hAnsi="Helvetica" w:cs="Helvetica"/>
          <w:sz w:val="22"/>
          <w:szCs w:val="22"/>
        </w:rPr>
        <w:t>, Retrieved from</w:t>
      </w:r>
      <w:r w:rsidRPr="00235A56">
        <w:rPr>
          <w:rFonts w:ascii="Helvetica" w:hAnsi="Helvetica" w:cs="Helvetica"/>
          <w:sz w:val="22"/>
          <w:szCs w:val="22"/>
        </w:rPr>
        <w:t>https://www.timeshighereducation.com/news/oxford-and-cambridge-singled-out-access-new-regulator</w:t>
      </w:r>
    </w:p>
    <w:p w:rsidR="00786BDE" w:rsidRPr="00235A56" w:rsidRDefault="00786BDE" w:rsidP="00786BDE">
      <w:pPr>
        <w:pStyle w:val="Biblio"/>
        <w:rPr>
          <w:rFonts w:ascii="Helvetica" w:hAnsi="Helvetica" w:cs="Helvetica"/>
          <w:iCs/>
          <w:sz w:val="22"/>
          <w:szCs w:val="22"/>
        </w:rPr>
      </w:pPr>
      <w:r w:rsidRPr="00235A56">
        <w:rPr>
          <w:rFonts w:ascii="Helvetica" w:hAnsi="Helvetica" w:cs="Helvetica"/>
          <w:iCs/>
          <w:sz w:val="22"/>
          <w:szCs w:val="22"/>
        </w:rPr>
        <w:t xml:space="preserve">TEQSA-Tertiary Education Quality and Standards Agency Act </w:t>
      </w:r>
      <w:r w:rsidR="00595317" w:rsidRPr="00235A56">
        <w:rPr>
          <w:rFonts w:ascii="Helvetica" w:hAnsi="Helvetica" w:cs="Helvetica"/>
          <w:iCs/>
          <w:sz w:val="22"/>
          <w:szCs w:val="22"/>
        </w:rPr>
        <w:t>(</w:t>
      </w:r>
      <w:r w:rsidRPr="00235A56">
        <w:rPr>
          <w:rFonts w:ascii="Helvetica" w:hAnsi="Helvetica" w:cs="Helvetica"/>
          <w:iCs/>
          <w:sz w:val="22"/>
          <w:szCs w:val="22"/>
        </w:rPr>
        <w:t>2011</w:t>
      </w:r>
      <w:r w:rsidR="00595317" w:rsidRPr="00235A56">
        <w:rPr>
          <w:rFonts w:ascii="Helvetica" w:hAnsi="Helvetica" w:cs="Helvetica"/>
          <w:iCs/>
          <w:sz w:val="22"/>
          <w:szCs w:val="22"/>
        </w:rPr>
        <w:t>)</w:t>
      </w:r>
      <w:r w:rsidRPr="00235A56">
        <w:rPr>
          <w:rFonts w:ascii="Helvetica" w:hAnsi="Helvetica" w:cs="Helvetica"/>
          <w:iCs/>
          <w:sz w:val="22"/>
          <w:szCs w:val="22"/>
        </w:rPr>
        <w:t>, Commonwealth of Australia, 2011.</w:t>
      </w:r>
    </w:p>
    <w:p w:rsidR="00F92578" w:rsidRPr="00235A56" w:rsidRDefault="00F92578" w:rsidP="007B24C3">
      <w:pPr>
        <w:pStyle w:val="Biblio"/>
        <w:rPr>
          <w:rFonts w:ascii="Helvetica" w:hAnsi="Helvetica" w:cs="Helvetica"/>
          <w:sz w:val="22"/>
          <w:szCs w:val="22"/>
        </w:rPr>
      </w:pPr>
      <w:bookmarkStart w:id="6" w:name="_Hlk521675680"/>
      <w:r w:rsidRPr="00235A56">
        <w:rPr>
          <w:rFonts w:ascii="Helvetica" w:hAnsi="Helvetica" w:cs="Helvetica"/>
          <w:sz w:val="22"/>
          <w:szCs w:val="22"/>
        </w:rPr>
        <w:t>Teichler, U (1996). Diversity in higher education in Germany</w:t>
      </w:r>
      <w:r w:rsidR="00A0749A" w:rsidRPr="00235A56">
        <w:rPr>
          <w:rFonts w:ascii="Helvetica" w:hAnsi="Helvetica" w:cs="Helvetica"/>
          <w:sz w:val="22"/>
          <w:szCs w:val="22"/>
        </w:rPr>
        <w:t>.</w:t>
      </w:r>
      <w:r w:rsidRPr="00235A56">
        <w:rPr>
          <w:rFonts w:ascii="Helvetica" w:hAnsi="Helvetica" w:cs="Helvetica"/>
          <w:sz w:val="22"/>
          <w:szCs w:val="22"/>
        </w:rPr>
        <w:t xml:space="preserve"> In Meek, V.L, Goedegebuure, L, Kivinen, O </w:t>
      </w:r>
      <w:r w:rsidR="00894C37" w:rsidRPr="00235A56">
        <w:rPr>
          <w:rFonts w:ascii="Helvetica" w:hAnsi="Helvetica" w:cs="Helvetica"/>
          <w:sz w:val="22"/>
          <w:szCs w:val="22"/>
        </w:rPr>
        <w:t>&amp;</w:t>
      </w:r>
      <w:r w:rsidRPr="00235A56">
        <w:rPr>
          <w:rFonts w:ascii="Helvetica" w:hAnsi="Helvetica" w:cs="Helvetica"/>
          <w:sz w:val="22"/>
          <w:szCs w:val="22"/>
        </w:rPr>
        <w:t xml:space="preserve"> Rinne, R (Eds) </w:t>
      </w:r>
      <w:r w:rsidRPr="00235A56">
        <w:rPr>
          <w:rFonts w:ascii="Helvetica" w:hAnsi="Helvetica" w:cs="Helvetica"/>
          <w:i/>
          <w:sz w:val="22"/>
          <w:szCs w:val="22"/>
        </w:rPr>
        <w:t>The Mockers and Mocked: Comparative Perspectives on Differentiation, Convergence and Diversity in Higher Education</w:t>
      </w:r>
      <w:r w:rsidR="00D2375E" w:rsidRPr="00235A56">
        <w:rPr>
          <w:rFonts w:ascii="Helvetica" w:hAnsi="Helvetica" w:cs="Helvetica"/>
          <w:i/>
          <w:sz w:val="22"/>
          <w:szCs w:val="22"/>
        </w:rPr>
        <w:t xml:space="preserve"> </w:t>
      </w:r>
      <w:r w:rsidR="00D2375E" w:rsidRPr="00235A56">
        <w:rPr>
          <w:rFonts w:ascii="Helvetica" w:hAnsi="Helvetica" w:cs="Helvetica"/>
          <w:sz w:val="22"/>
          <w:szCs w:val="22"/>
        </w:rPr>
        <w:t>pp</w:t>
      </w:r>
      <w:r w:rsidR="00B3789E" w:rsidRPr="00235A56">
        <w:rPr>
          <w:rFonts w:ascii="Helvetica" w:hAnsi="Helvetica" w:cs="Helvetica"/>
          <w:sz w:val="22"/>
          <w:szCs w:val="22"/>
        </w:rPr>
        <w:t>.</w:t>
      </w:r>
      <w:r w:rsidR="00D2375E" w:rsidRPr="00235A56">
        <w:rPr>
          <w:rFonts w:ascii="Helvetica" w:hAnsi="Helvetica" w:cs="Helvetica"/>
          <w:sz w:val="22"/>
          <w:szCs w:val="22"/>
        </w:rPr>
        <w:t xml:space="preserve"> 117-137</w:t>
      </w:r>
      <w:r w:rsidRPr="00235A56">
        <w:rPr>
          <w:rFonts w:ascii="Helvetica" w:hAnsi="Helvetica" w:cs="Helvetica"/>
          <w:sz w:val="22"/>
          <w:szCs w:val="22"/>
        </w:rPr>
        <w:t>, Pergamon</w:t>
      </w:r>
    </w:p>
    <w:bookmarkEnd w:id="6"/>
    <w:p w:rsidR="00D45768" w:rsidRPr="00235A56" w:rsidRDefault="00FF0DDE" w:rsidP="007B24C3">
      <w:pPr>
        <w:pStyle w:val="Biblio"/>
        <w:rPr>
          <w:rFonts w:ascii="Helvetica" w:hAnsi="Helvetica" w:cs="Helvetica"/>
          <w:sz w:val="22"/>
          <w:szCs w:val="22"/>
        </w:rPr>
      </w:pPr>
      <w:r w:rsidRPr="00235A56">
        <w:rPr>
          <w:rFonts w:ascii="Helvetica" w:hAnsi="Helvetica" w:cs="Helvetica"/>
          <w:sz w:val="22"/>
          <w:szCs w:val="22"/>
        </w:rPr>
        <w:t xml:space="preserve">U-Map (2018), About the U-Map Project, </w:t>
      </w:r>
      <w:r w:rsidR="00595317" w:rsidRPr="00235A56">
        <w:rPr>
          <w:rFonts w:ascii="Helvetica" w:hAnsi="Helvetica" w:cs="Helvetica"/>
          <w:sz w:val="22"/>
          <w:szCs w:val="22"/>
        </w:rPr>
        <w:t xml:space="preserve">Retrieved from </w:t>
      </w:r>
    </w:p>
    <w:p w:rsidR="00F92578" w:rsidRPr="00235A56" w:rsidRDefault="00FF0DDE" w:rsidP="00D45768">
      <w:pPr>
        <w:pStyle w:val="Biblio"/>
        <w:ind w:left="1440"/>
        <w:rPr>
          <w:rFonts w:ascii="Helvetica" w:hAnsi="Helvetica" w:cs="Helvetica"/>
          <w:sz w:val="22"/>
          <w:szCs w:val="22"/>
        </w:rPr>
      </w:pPr>
      <w:r w:rsidRPr="00235A56">
        <w:rPr>
          <w:rFonts w:ascii="Helvetica" w:hAnsi="Helvetica" w:cs="Helvetica"/>
          <w:sz w:val="22"/>
          <w:szCs w:val="22"/>
        </w:rPr>
        <w:t>http://www.u-map.eu/about.doc/</w:t>
      </w:r>
    </w:p>
    <w:p w:rsidR="00D45768" w:rsidRPr="00235A56" w:rsidRDefault="00B835F2" w:rsidP="007B24C3">
      <w:pPr>
        <w:pStyle w:val="Biblio"/>
        <w:rPr>
          <w:rFonts w:ascii="Helvetica" w:hAnsi="Helvetica" w:cs="Helvetica"/>
          <w:sz w:val="22"/>
          <w:szCs w:val="22"/>
        </w:rPr>
      </w:pPr>
      <w:r w:rsidRPr="00235A56">
        <w:rPr>
          <w:rFonts w:ascii="Helvetica" w:hAnsi="Helvetica" w:cs="Helvetica"/>
          <w:sz w:val="22"/>
          <w:szCs w:val="22"/>
        </w:rPr>
        <w:t>U-Multirank (2018</w:t>
      </w:r>
      <w:r w:rsidR="00270FC5" w:rsidRPr="00235A56">
        <w:rPr>
          <w:rFonts w:ascii="Helvetica" w:hAnsi="Helvetica" w:cs="Helvetica"/>
          <w:sz w:val="22"/>
          <w:szCs w:val="22"/>
        </w:rPr>
        <w:t>a</w:t>
      </w:r>
      <w:r w:rsidRPr="00235A56">
        <w:rPr>
          <w:rFonts w:ascii="Helvetica" w:hAnsi="Helvetica" w:cs="Helvetica"/>
          <w:sz w:val="22"/>
          <w:szCs w:val="22"/>
        </w:rPr>
        <w:t xml:space="preserve">), The Project, </w:t>
      </w:r>
      <w:r w:rsidR="00595317" w:rsidRPr="00235A56">
        <w:rPr>
          <w:rFonts w:ascii="Helvetica" w:hAnsi="Helvetica" w:cs="Helvetica"/>
          <w:sz w:val="22"/>
          <w:szCs w:val="22"/>
        </w:rPr>
        <w:t xml:space="preserve">Retrieved from </w:t>
      </w:r>
    </w:p>
    <w:p w:rsidR="00B835F2" w:rsidRPr="00235A56" w:rsidRDefault="00B835F2" w:rsidP="00D45768">
      <w:pPr>
        <w:pStyle w:val="Biblio"/>
        <w:ind w:left="1440"/>
        <w:rPr>
          <w:rStyle w:val="Hyperlink"/>
          <w:rFonts w:ascii="Helvetica" w:hAnsi="Helvetica" w:cs="Helvetica"/>
          <w:color w:val="auto"/>
          <w:sz w:val="22"/>
          <w:szCs w:val="22"/>
          <w:u w:val="none"/>
        </w:rPr>
      </w:pPr>
      <w:r w:rsidRPr="00235A56">
        <w:rPr>
          <w:rStyle w:val="Hyperlink"/>
          <w:rFonts w:ascii="Helvetica" w:hAnsi="Helvetica" w:cs="Helvetica"/>
          <w:color w:val="auto"/>
          <w:sz w:val="22"/>
          <w:szCs w:val="22"/>
          <w:u w:val="none"/>
        </w:rPr>
        <w:t>https://www.umultirank.org/about/u-multirank/the-project/</w:t>
      </w:r>
    </w:p>
    <w:p w:rsidR="00D45768" w:rsidRPr="00235A56" w:rsidRDefault="00270FC5" w:rsidP="007B24C3">
      <w:pPr>
        <w:pStyle w:val="Biblio"/>
        <w:rPr>
          <w:rFonts w:ascii="Helvetica" w:hAnsi="Helvetica" w:cs="Helvetica"/>
          <w:sz w:val="22"/>
          <w:szCs w:val="22"/>
        </w:rPr>
      </w:pPr>
      <w:r w:rsidRPr="00235A56">
        <w:rPr>
          <w:rFonts w:ascii="Helvetica" w:hAnsi="Helvetica" w:cs="Helvetica"/>
          <w:sz w:val="22"/>
          <w:szCs w:val="22"/>
        </w:rPr>
        <w:t xml:space="preserve">U-Multirank (2018b), U-Multirank releases fifth annual world rankings of universities, Published on June 05, 2018, </w:t>
      </w:r>
      <w:r w:rsidR="00595317" w:rsidRPr="00235A56">
        <w:rPr>
          <w:rFonts w:ascii="Helvetica" w:hAnsi="Helvetica" w:cs="Helvetica"/>
          <w:sz w:val="22"/>
          <w:szCs w:val="22"/>
        </w:rPr>
        <w:t xml:space="preserve">Retrieved from </w:t>
      </w:r>
    </w:p>
    <w:p w:rsidR="00270FC5" w:rsidRPr="00235A56" w:rsidRDefault="00270FC5" w:rsidP="00D45768">
      <w:pPr>
        <w:pStyle w:val="Biblio"/>
        <w:ind w:left="1440"/>
        <w:rPr>
          <w:rFonts w:ascii="Helvetica" w:hAnsi="Helvetica" w:cs="Helvetica"/>
          <w:sz w:val="22"/>
          <w:szCs w:val="22"/>
        </w:rPr>
      </w:pPr>
      <w:r w:rsidRPr="00235A56">
        <w:rPr>
          <w:rFonts w:ascii="Helvetica" w:hAnsi="Helvetica" w:cs="Helvetica"/>
          <w:sz w:val="22"/>
          <w:szCs w:val="22"/>
        </w:rPr>
        <w:t>https://www.umultirank.org/press-media/press-releases/u-multirank-releases-fifth-annual-world-rankings-of-universities/</w:t>
      </w:r>
    </w:p>
    <w:p w:rsidR="00B835F2" w:rsidRPr="00235A56" w:rsidRDefault="00B835F2" w:rsidP="007B24C3">
      <w:pPr>
        <w:pStyle w:val="Biblio"/>
        <w:rPr>
          <w:rFonts w:ascii="Helvetica" w:hAnsi="Helvetica" w:cs="Helvetica"/>
          <w:sz w:val="22"/>
          <w:szCs w:val="22"/>
        </w:rPr>
      </w:pPr>
      <w:r w:rsidRPr="00235A56">
        <w:rPr>
          <w:rFonts w:ascii="Helvetica" w:hAnsi="Helvetica" w:cs="Helvetica"/>
          <w:sz w:val="22"/>
          <w:szCs w:val="22"/>
        </w:rPr>
        <w:t xml:space="preserve">Van Vught, F (2008), Mission Diversity and Reputation in Higher Education, </w:t>
      </w:r>
      <w:r w:rsidRPr="00235A56">
        <w:rPr>
          <w:rFonts w:ascii="Helvetica" w:hAnsi="Helvetica" w:cs="Helvetica"/>
          <w:i/>
          <w:sz w:val="22"/>
          <w:szCs w:val="22"/>
        </w:rPr>
        <w:t>Higher Education Policy</w:t>
      </w:r>
      <w:r w:rsidRPr="00235A56">
        <w:rPr>
          <w:rFonts w:ascii="Helvetica" w:hAnsi="Helvetica" w:cs="Helvetica"/>
          <w:sz w:val="22"/>
          <w:szCs w:val="22"/>
        </w:rPr>
        <w:t>, 21</w:t>
      </w:r>
      <w:r w:rsidR="00D404CD" w:rsidRPr="00235A56">
        <w:rPr>
          <w:rFonts w:ascii="Helvetica" w:hAnsi="Helvetica" w:cs="Helvetica"/>
          <w:sz w:val="22"/>
          <w:szCs w:val="22"/>
        </w:rPr>
        <w:t>(</w:t>
      </w:r>
      <w:r w:rsidRPr="00235A56">
        <w:rPr>
          <w:rFonts w:ascii="Helvetica" w:hAnsi="Helvetica" w:cs="Helvetica"/>
          <w:sz w:val="22"/>
          <w:szCs w:val="22"/>
        </w:rPr>
        <w:t>2</w:t>
      </w:r>
      <w:r w:rsidR="00D404CD" w:rsidRPr="00235A56">
        <w:rPr>
          <w:rFonts w:ascii="Helvetica" w:hAnsi="Helvetica" w:cs="Helvetica"/>
          <w:sz w:val="22"/>
          <w:szCs w:val="22"/>
        </w:rPr>
        <w:t>),</w:t>
      </w:r>
      <w:r w:rsidRPr="00235A56">
        <w:rPr>
          <w:rFonts w:ascii="Helvetica" w:hAnsi="Helvetica" w:cs="Helvetica"/>
          <w:sz w:val="22"/>
          <w:szCs w:val="22"/>
        </w:rPr>
        <w:t xml:space="preserve"> 151-174</w:t>
      </w:r>
    </w:p>
    <w:p w:rsidR="00B835F2" w:rsidRPr="00235A56" w:rsidRDefault="00B835F2" w:rsidP="007B24C3">
      <w:pPr>
        <w:pStyle w:val="Biblio"/>
        <w:rPr>
          <w:rStyle w:val="Hyperlink"/>
          <w:rFonts w:ascii="Helvetica" w:hAnsi="Helvetica" w:cs="Helvetica"/>
          <w:color w:val="auto"/>
          <w:sz w:val="22"/>
          <w:szCs w:val="22"/>
          <w:u w:val="none"/>
        </w:rPr>
      </w:pPr>
      <w:r w:rsidRPr="00235A56">
        <w:rPr>
          <w:rFonts w:ascii="Helvetica" w:hAnsi="Helvetica" w:cs="Helvetica"/>
          <w:sz w:val="22"/>
          <w:szCs w:val="22"/>
        </w:rPr>
        <w:t xml:space="preserve">Van Vught, F.A., Kaiser, F. File, J.M. Gaethgens, C. Peter, R &amp; Westerheijden, D.F (2010), UMap the European Classification of Higher Education Institutions, </w:t>
      </w:r>
      <w:r w:rsidR="00AE1B52" w:rsidRPr="00235A56">
        <w:rPr>
          <w:rFonts w:ascii="Helvetica" w:hAnsi="Helvetica" w:cs="Helvetica"/>
          <w:sz w:val="22"/>
          <w:szCs w:val="22"/>
        </w:rPr>
        <w:t xml:space="preserve">Retrieved from </w:t>
      </w:r>
      <w:r w:rsidRPr="00235A56">
        <w:rPr>
          <w:rStyle w:val="Hyperlink"/>
          <w:rFonts w:ascii="Helvetica" w:hAnsi="Helvetica" w:cs="Helvetica"/>
          <w:color w:val="auto"/>
          <w:sz w:val="22"/>
          <w:szCs w:val="22"/>
          <w:u w:val="none"/>
        </w:rPr>
        <w:t>http://www.u-map.eu/U-MAP_report.pdf</w:t>
      </w:r>
    </w:p>
    <w:p w:rsidR="00D45768" w:rsidRPr="00235A56" w:rsidRDefault="00460B89" w:rsidP="00664BDE">
      <w:pPr>
        <w:pStyle w:val="Biblio"/>
        <w:rPr>
          <w:rFonts w:ascii="Helvetica" w:hAnsi="Helvetica" w:cs="Helvetica"/>
          <w:sz w:val="22"/>
          <w:szCs w:val="22"/>
        </w:rPr>
      </w:pPr>
      <w:r w:rsidRPr="00235A56">
        <w:rPr>
          <w:rFonts w:ascii="Helvetica" w:hAnsi="Helvetica" w:cs="Helvetica"/>
          <w:sz w:val="22"/>
          <w:szCs w:val="22"/>
        </w:rPr>
        <w:t xml:space="preserve">Wissenschaftstrat (2010), Recommendations on the differentiation of higher education institutions, </w:t>
      </w:r>
      <w:r w:rsidR="00595317" w:rsidRPr="00235A56">
        <w:rPr>
          <w:rFonts w:ascii="Helvetica" w:hAnsi="Helvetica" w:cs="Helvetica"/>
          <w:sz w:val="22"/>
          <w:szCs w:val="22"/>
        </w:rPr>
        <w:t>Retrieved from</w:t>
      </w:r>
      <w:r w:rsidR="00664BDE" w:rsidRPr="00235A56">
        <w:rPr>
          <w:rFonts w:ascii="Helvetica" w:hAnsi="Helvetica" w:cs="Helvetica"/>
          <w:sz w:val="22"/>
          <w:szCs w:val="22"/>
        </w:rPr>
        <w:t xml:space="preserve"> </w:t>
      </w:r>
    </w:p>
    <w:p w:rsidR="00460B89" w:rsidRPr="00235A56" w:rsidRDefault="00460B89" w:rsidP="00D45768">
      <w:pPr>
        <w:pStyle w:val="Biblio"/>
        <w:ind w:left="1440"/>
        <w:rPr>
          <w:rFonts w:ascii="Helvetica" w:hAnsi="Helvetica" w:cs="Helvetica"/>
          <w:sz w:val="22"/>
          <w:szCs w:val="22"/>
        </w:rPr>
      </w:pPr>
      <w:r w:rsidRPr="00235A56">
        <w:rPr>
          <w:rStyle w:val="Hyperlink"/>
          <w:rFonts w:ascii="Helvetica" w:hAnsi="Helvetica" w:cs="Helvetica"/>
          <w:color w:val="auto"/>
          <w:sz w:val="22"/>
          <w:szCs w:val="22"/>
          <w:u w:val="none"/>
        </w:rPr>
        <w:t>https://www.wissenschaftsrat.de/download/archiv/10387-10_engl.pdf</w:t>
      </w:r>
    </w:p>
    <w:p w:rsidR="00951AA5" w:rsidRPr="00235A56" w:rsidRDefault="00B835F2" w:rsidP="00664BDE">
      <w:pPr>
        <w:pStyle w:val="Biblio"/>
        <w:rPr>
          <w:rFonts w:ascii="Helvetica" w:hAnsi="Helvetica" w:cs="Helvetica"/>
          <w:sz w:val="22"/>
          <w:szCs w:val="22"/>
        </w:rPr>
      </w:pPr>
      <w:r w:rsidRPr="00235A56">
        <w:rPr>
          <w:rFonts w:ascii="Helvetica" w:hAnsi="Helvetica" w:cs="Helvetica"/>
          <w:sz w:val="22"/>
          <w:szCs w:val="22"/>
        </w:rPr>
        <w:t>Yiming, Z (</w:t>
      </w:r>
      <w:r w:rsidR="00951AA5" w:rsidRPr="00235A56">
        <w:rPr>
          <w:rFonts w:ascii="Helvetica" w:hAnsi="Helvetica" w:cs="Helvetica"/>
          <w:sz w:val="22"/>
          <w:szCs w:val="22"/>
        </w:rPr>
        <w:t>2011</w:t>
      </w:r>
      <w:r w:rsidRPr="00235A56">
        <w:rPr>
          <w:rFonts w:ascii="Helvetica" w:hAnsi="Helvetica" w:cs="Helvetica"/>
          <w:sz w:val="22"/>
          <w:szCs w:val="22"/>
        </w:rPr>
        <w:t xml:space="preserve">), Project 985 &amp; Project 211: The Innovative Measures in Improving the Quality of Higher Education in China, </w:t>
      </w:r>
      <w:r w:rsidRPr="00235A56">
        <w:rPr>
          <w:rFonts w:ascii="Helvetica" w:hAnsi="Helvetica" w:cs="Helvetica"/>
          <w:i/>
          <w:sz w:val="22"/>
          <w:szCs w:val="22"/>
        </w:rPr>
        <w:t>Quality in Higher Education: Identifying, Developing and Sustaining Best Practices in the APEC Region</w:t>
      </w:r>
      <w:r w:rsidR="00595317" w:rsidRPr="00235A56">
        <w:rPr>
          <w:rFonts w:ascii="Helvetica" w:hAnsi="Helvetica" w:cs="Helvetica"/>
          <w:sz w:val="22"/>
          <w:szCs w:val="22"/>
        </w:rPr>
        <w:t xml:space="preserve">, Retrieved </w:t>
      </w:r>
      <w:r w:rsidR="00B3789E" w:rsidRPr="00235A56">
        <w:rPr>
          <w:rFonts w:ascii="Helvetica" w:hAnsi="Helvetica" w:cs="Helvetica"/>
          <w:sz w:val="22"/>
          <w:szCs w:val="22"/>
        </w:rPr>
        <w:t>from https://www.apec.org/Publications/2011/10/Quality-in-Higher-Education-Identifying-Developing-and-Sustaining-Best-Practices-in-the-APEC-Region</w:t>
      </w:r>
    </w:p>
    <w:p w:rsidR="0059418E" w:rsidRPr="00235A56" w:rsidRDefault="0059418E" w:rsidP="007B24C3">
      <w:pPr>
        <w:pStyle w:val="Biblio"/>
        <w:rPr>
          <w:rFonts w:ascii="Helvetica" w:hAnsi="Helvetica" w:cs="Helvetica"/>
          <w:sz w:val="22"/>
          <w:szCs w:val="22"/>
        </w:rPr>
      </w:pPr>
      <w:r w:rsidRPr="00235A56">
        <w:rPr>
          <w:rFonts w:ascii="Helvetica" w:hAnsi="Helvetica" w:cs="Helvetica"/>
          <w:sz w:val="22"/>
          <w:szCs w:val="22"/>
        </w:rPr>
        <w:t xml:space="preserve">Yonezawa, A (2007) Japanese flagship universities at crossroads, </w:t>
      </w:r>
      <w:r w:rsidRPr="00235A56">
        <w:rPr>
          <w:rFonts w:ascii="Helvetica" w:hAnsi="Helvetica" w:cs="Helvetica"/>
          <w:i/>
          <w:sz w:val="22"/>
          <w:szCs w:val="22"/>
        </w:rPr>
        <w:t>Higher Education</w:t>
      </w:r>
      <w:r w:rsidRPr="00235A56">
        <w:rPr>
          <w:rFonts w:ascii="Helvetica" w:hAnsi="Helvetica" w:cs="Helvetica"/>
          <w:sz w:val="22"/>
          <w:szCs w:val="22"/>
        </w:rPr>
        <w:t>, 54</w:t>
      </w:r>
      <w:r w:rsidR="00D404CD" w:rsidRPr="00235A56">
        <w:rPr>
          <w:rFonts w:ascii="Helvetica" w:hAnsi="Helvetica" w:cs="Helvetica"/>
          <w:sz w:val="22"/>
          <w:szCs w:val="22"/>
        </w:rPr>
        <w:t>(</w:t>
      </w:r>
      <w:r w:rsidRPr="00235A56">
        <w:rPr>
          <w:rFonts w:ascii="Helvetica" w:hAnsi="Helvetica" w:cs="Helvetica"/>
          <w:sz w:val="22"/>
          <w:szCs w:val="22"/>
        </w:rPr>
        <w:t>4</w:t>
      </w:r>
      <w:r w:rsidR="00D404CD" w:rsidRPr="00235A56">
        <w:rPr>
          <w:rFonts w:ascii="Helvetica" w:hAnsi="Helvetica" w:cs="Helvetica"/>
          <w:sz w:val="22"/>
          <w:szCs w:val="22"/>
        </w:rPr>
        <w:t>),</w:t>
      </w:r>
      <w:r w:rsidRPr="00235A56">
        <w:rPr>
          <w:rFonts w:ascii="Helvetica" w:hAnsi="Helvetica" w:cs="Helvetica"/>
          <w:sz w:val="22"/>
          <w:szCs w:val="22"/>
        </w:rPr>
        <w:t xml:space="preserve"> 483-499</w:t>
      </w:r>
    </w:p>
    <w:p w:rsidR="00B835F2" w:rsidRPr="00235A56" w:rsidRDefault="00B835F2" w:rsidP="007B24C3">
      <w:pPr>
        <w:pStyle w:val="Biblio"/>
        <w:rPr>
          <w:rFonts w:ascii="Helvetica" w:hAnsi="Helvetica" w:cs="Helvetica"/>
          <w:sz w:val="22"/>
          <w:szCs w:val="22"/>
        </w:rPr>
      </w:pPr>
      <w:r w:rsidRPr="00235A56">
        <w:rPr>
          <w:rFonts w:ascii="Helvetica" w:hAnsi="Helvetica" w:cs="Helvetica"/>
          <w:sz w:val="22"/>
          <w:szCs w:val="22"/>
        </w:rPr>
        <w:t>Zhao</w:t>
      </w:r>
      <w:r w:rsidR="009A0613" w:rsidRPr="00235A56">
        <w:rPr>
          <w:rFonts w:ascii="Helvetica" w:hAnsi="Helvetica" w:cs="Helvetica"/>
          <w:sz w:val="22"/>
          <w:szCs w:val="22"/>
        </w:rPr>
        <w:t>, C.M</w:t>
      </w:r>
      <w:r w:rsidRPr="00235A56">
        <w:rPr>
          <w:rFonts w:ascii="Helvetica" w:hAnsi="Helvetica" w:cs="Helvetica"/>
          <w:sz w:val="22"/>
          <w:szCs w:val="22"/>
        </w:rPr>
        <w:t xml:space="preserve"> (2011), The Carnegie Classifications: A Brief Introduction, Paper Prepared for the Unicamp Journal on Higher Education</w:t>
      </w:r>
      <w:r w:rsidR="002E003B" w:rsidRPr="00235A56">
        <w:rPr>
          <w:rFonts w:ascii="Helvetica" w:hAnsi="Helvetica" w:cs="Helvetica"/>
          <w:sz w:val="22"/>
          <w:szCs w:val="22"/>
        </w:rPr>
        <w:t>, Retrieved from</w:t>
      </w:r>
      <w:r w:rsidR="008445C2" w:rsidRPr="00235A56">
        <w:rPr>
          <w:rFonts w:ascii="Helvetica" w:hAnsi="Helvetica" w:cs="Helvetica"/>
          <w:sz w:val="22"/>
          <w:szCs w:val="22"/>
        </w:rPr>
        <w:t xml:space="preserve"> </w:t>
      </w:r>
      <w:r w:rsidRPr="00235A56">
        <w:rPr>
          <w:rStyle w:val="Hyperlink"/>
          <w:rFonts w:ascii="Helvetica" w:hAnsi="Helvetica" w:cs="Helvetica"/>
          <w:color w:val="auto"/>
          <w:sz w:val="22"/>
          <w:szCs w:val="22"/>
          <w:u w:val="none"/>
        </w:rPr>
        <w:t>https://www.revistaensinosuperior.gr.unicamp.br/artigos/the-carnegie-classifications-a-brief-introduction</w:t>
      </w:r>
    </w:p>
    <w:p w:rsidR="00FB78D6" w:rsidRPr="00235A56" w:rsidRDefault="00FB78D6" w:rsidP="007B24C3">
      <w:pPr>
        <w:pStyle w:val="Biblio"/>
        <w:rPr>
          <w:rFonts w:ascii="Helvetica" w:hAnsi="Helvetica" w:cs="Helvetica"/>
          <w:sz w:val="22"/>
          <w:szCs w:val="22"/>
        </w:rPr>
      </w:pPr>
      <w:r w:rsidRPr="00235A56">
        <w:rPr>
          <w:rFonts w:ascii="Helvetica" w:hAnsi="Helvetica" w:cs="Helvetica"/>
          <w:sz w:val="22"/>
          <w:szCs w:val="22"/>
        </w:rPr>
        <w:t xml:space="preserve">Ziegele, F (2013), Classification of Higher Education Institutions: The European Case, </w:t>
      </w:r>
      <w:r w:rsidRPr="00235A56">
        <w:rPr>
          <w:rFonts w:ascii="Helvetica" w:hAnsi="Helvetica" w:cs="Helvetica"/>
          <w:i/>
          <w:sz w:val="22"/>
          <w:szCs w:val="22"/>
        </w:rPr>
        <w:t>Pensamiento Educativo, Revista de Investogacion Educacional Latinoamericana</w:t>
      </w:r>
      <w:r w:rsidRPr="00235A56">
        <w:rPr>
          <w:rFonts w:ascii="Helvetica" w:hAnsi="Helvetica" w:cs="Helvetica"/>
          <w:sz w:val="22"/>
          <w:szCs w:val="22"/>
        </w:rPr>
        <w:t>, 50</w:t>
      </w:r>
      <w:r w:rsidR="00D404CD" w:rsidRPr="00235A56">
        <w:rPr>
          <w:rFonts w:ascii="Helvetica" w:hAnsi="Helvetica" w:cs="Helvetica"/>
          <w:sz w:val="22"/>
          <w:szCs w:val="22"/>
        </w:rPr>
        <w:t>(</w:t>
      </w:r>
      <w:r w:rsidRPr="00235A56">
        <w:rPr>
          <w:rFonts w:ascii="Helvetica" w:hAnsi="Helvetica" w:cs="Helvetica"/>
          <w:sz w:val="22"/>
          <w:szCs w:val="22"/>
        </w:rPr>
        <w:t>1</w:t>
      </w:r>
      <w:r w:rsidR="00D404CD" w:rsidRPr="00235A56">
        <w:rPr>
          <w:rFonts w:ascii="Helvetica" w:hAnsi="Helvetica" w:cs="Helvetica"/>
          <w:sz w:val="22"/>
          <w:szCs w:val="22"/>
        </w:rPr>
        <w:t>),</w:t>
      </w:r>
      <w:r w:rsidRPr="00235A56">
        <w:rPr>
          <w:rFonts w:ascii="Helvetica" w:hAnsi="Helvetica" w:cs="Helvetica"/>
          <w:sz w:val="22"/>
          <w:szCs w:val="22"/>
        </w:rPr>
        <w:t>76-95</w:t>
      </w:r>
      <w:r w:rsidR="00353191" w:rsidRPr="00235A56">
        <w:rPr>
          <w:rFonts w:ascii="Helvetica" w:hAnsi="Helvetica" w:cs="Helvetica"/>
          <w:sz w:val="22"/>
          <w:szCs w:val="22"/>
        </w:rPr>
        <w:t xml:space="preserve">, </w:t>
      </w:r>
      <w:r w:rsidR="002E003B" w:rsidRPr="00235A56">
        <w:rPr>
          <w:rFonts w:ascii="Helvetica" w:hAnsi="Helvetica" w:cs="Helvetica"/>
          <w:sz w:val="22"/>
          <w:szCs w:val="22"/>
        </w:rPr>
        <w:t xml:space="preserve">Retrieved from </w:t>
      </w:r>
      <w:r w:rsidRPr="00235A56">
        <w:rPr>
          <w:rFonts w:ascii="Helvetica" w:hAnsi="Helvetica" w:cs="Helvetica"/>
          <w:sz w:val="22"/>
          <w:szCs w:val="22"/>
        </w:rPr>
        <w:t>http://pensamientoeducativo.uc.cl/files/journals/2/articles/567/public/567-1477-1-PB.pdf</w:t>
      </w:r>
    </w:p>
    <w:p w:rsidR="00B835F2" w:rsidRPr="00235A56" w:rsidRDefault="00CF6D46" w:rsidP="008A6185">
      <w:pPr>
        <w:pStyle w:val="Heading1"/>
        <w:rPr>
          <w:rFonts w:ascii="Helvetica" w:hAnsi="Helvetica" w:cs="Helvetica"/>
        </w:rPr>
      </w:pPr>
      <w:r w:rsidRPr="00235A56">
        <w:rPr>
          <w:rFonts w:ascii="Helvetica" w:hAnsi="Helvetica" w:cs="Helvetica"/>
          <w:color w:val="auto"/>
        </w:rPr>
        <w:br w:type="page"/>
      </w:r>
      <w:r w:rsidR="00B835F2" w:rsidRPr="00235A56">
        <w:rPr>
          <w:rFonts w:ascii="Helvetica" w:hAnsi="Helvetica" w:cs="Helvetica"/>
        </w:rPr>
        <w:lastRenderedPageBreak/>
        <w:t>Appendix</w:t>
      </w:r>
    </w:p>
    <w:p w:rsidR="00B835F2" w:rsidRPr="00235A56" w:rsidRDefault="00A8769F" w:rsidP="00A8769F">
      <w:pPr>
        <w:pStyle w:val="Heading2"/>
        <w:rPr>
          <w:rFonts w:ascii="Helvetica" w:hAnsi="Helvetica" w:cs="Helvetica"/>
          <w:sz w:val="24"/>
          <w:szCs w:val="24"/>
        </w:rPr>
      </w:pPr>
      <w:r w:rsidRPr="00235A56">
        <w:rPr>
          <w:rFonts w:ascii="Helvetica" w:hAnsi="Helvetica" w:cs="Helvetica"/>
          <w:sz w:val="24"/>
          <w:szCs w:val="24"/>
        </w:rPr>
        <w:t xml:space="preserve">10.1. </w:t>
      </w:r>
      <w:r w:rsidR="00B835F2" w:rsidRPr="00235A56">
        <w:rPr>
          <w:rFonts w:ascii="Helvetica" w:hAnsi="Helvetica" w:cs="Helvetica"/>
          <w:sz w:val="24"/>
          <w:szCs w:val="24"/>
        </w:rPr>
        <w:t>Methodology</w:t>
      </w:r>
    </w:p>
    <w:p w:rsidR="006622F5" w:rsidRPr="00235A56" w:rsidRDefault="00B835F2" w:rsidP="00E367D3">
      <w:pPr>
        <w:rPr>
          <w:rFonts w:ascii="Helvetica" w:hAnsi="Helvetica" w:cs="Helvetica"/>
          <w:sz w:val="22"/>
          <w:szCs w:val="22"/>
        </w:rPr>
      </w:pPr>
      <w:r w:rsidRPr="00235A56">
        <w:rPr>
          <w:rFonts w:ascii="Helvetica" w:hAnsi="Helvetica" w:cs="Helvetica"/>
          <w:sz w:val="22"/>
          <w:szCs w:val="22"/>
        </w:rPr>
        <w:t>Informed by the framing considerations, the research use</w:t>
      </w:r>
      <w:r w:rsidR="003B7040" w:rsidRPr="00235A56">
        <w:rPr>
          <w:rFonts w:ascii="Helvetica" w:hAnsi="Helvetica" w:cs="Helvetica"/>
          <w:sz w:val="22"/>
          <w:szCs w:val="22"/>
        </w:rPr>
        <w:t>s</w:t>
      </w:r>
      <w:r w:rsidRPr="00235A56">
        <w:rPr>
          <w:rFonts w:ascii="Helvetica" w:hAnsi="Helvetica" w:cs="Helvetica"/>
          <w:sz w:val="22"/>
          <w:szCs w:val="22"/>
        </w:rPr>
        <w:t xml:space="preserve"> three primary forms of data— a review of relevant research, findings from targeted consultations and a scan international of practices — to identify a comprehensive set of issues and considerations that could be examined during the planned review.</w:t>
      </w:r>
    </w:p>
    <w:p w:rsidR="00B835F2" w:rsidRPr="00235A56" w:rsidRDefault="00B835F2" w:rsidP="00E367D3">
      <w:pPr>
        <w:rPr>
          <w:rFonts w:ascii="Helvetica" w:hAnsi="Helvetica" w:cs="Helvetica"/>
          <w:sz w:val="22"/>
          <w:szCs w:val="22"/>
        </w:rPr>
      </w:pPr>
      <w:r w:rsidRPr="00235A56">
        <w:rPr>
          <w:rFonts w:ascii="Helvetica" w:hAnsi="Helvetica" w:cs="Helvetica"/>
          <w:sz w:val="22"/>
          <w:szCs w:val="22"/>
        </w:rPr>
        <w:t xml:space="preserve"> A focused research literature review underpin</w:t>
      </w:r>
      <w:r w:rsidR="003B7040" w:rsidRPr="00235A56">
        <w:rPr>
          <w:rFonts w:ascii="Helvetica" w:hAnsi="Helvetica" w:cs="Helvetica"/>
          <w:sz w:val="22"/>
          <w:szCs w:val="22"/>
        </w:rPr>
        <w:t>s</w:t>
      </w:r>
      <w:r w:rsidRPr="00235A56">
        <w:rPr>
          <w:rFonts w:ascii="Helvetica" w:hAnsi="Helvetica" w:cs="Helvetica"/>
          <w:sz w:val="22"/>
          <w:szCs w:val="22"/>
        </w:rPr>
        <w:t xml:space="preserve"> the analysis, to ensure a sufficiently comprehensive scope. The consultations </w:t>
      </w:r>
      <w:r w:rsidR="000A5D4A" w:rsidRPr="00235A56">
        <w:rPr>
          <w:rFonts w:ascii="Helvetica" w:hAnsi="Helvetica" w:cs="Helvetica"/>
          <w:sz w:val="22"/>
          <w:szCs w:val="22"/>
        </w:rPr>
        <w:t>identified</w:t>
      </w:r>
      <w:r w:rsidRPr="00235A56">
        <w:rPr>
          <w:rFonts w:ascii="Helvetica" w:hAnsi="Helvetica" w:cs="Helvetica"/>
          <w:sz w:val="22"/>
          <w:szCs w:val="22"/>
        </w:rPr>
        <w:t xml:space="preserve"> critical concerns across the stakeholder groups and experts. An international scan enable</w:t>
      </w:r>
      <w:r w:rsidR="000A5D4A" w:rsidRPr="00235A56">
        <w:rPr>
          <w:rFonts w:ascii="Helvetica" w:hAnsi="Helvetica" w:cs="Helvetica"/>
          <w:sz w:val="22"/>
          <w:szCs w:val="22"/>
        </w:rPr>
        <w:t>d</w:t>
      </w:r>
      <w:r w:rsidRPr="00235A56">
        <w:rPr>
          <w:rFonts w:ascii="Helvetica" w:hAnsi="Helvetica" w:cs="Helvetica"/>
          <w:sz w:val="22"/>
          <w:szCs w:val="22"/>
        </w:rPr>
        <w:t xml:space="preserve"> a broader comparison of practices of provider categorisation, providing essential context for the Australian experience.</w:t>
      </w:r>
    </w:p>
    <w:p w:rsidR="00B835F2" w:rsidRPr="00235A56" w:rsidRDefault="00B835F2" w:rsidP="00E367D3">
      <w:pPr>
        <w:rPr>
          <w:rFonts w:ascii="Helvetica" w:hAnsi="Helvetica" w:cs="Helvetica"/>
          <w:sz w:val="22"/>
          <w:szCs w:val="22"/>
        </w:rPr>
      </w:pPr>
      <w:r w:rsidRPr="00235A56">
        <w:rPr>
          <w:rFonts w:ascii="Helvetica" w:hAnsi="Helvetica" w:cs="Helvetica"/>
          <w:sz w:val="22"/>
          <w:szCs w:val="22"/>
        </w:rPr>
        <w:t xml:space="preserve">The data and evidence from these </w:t>
      </w:r>
      <w:r w:rsidR="000A5D4A" w:rsidRPr="00235A56">
        <w:rPr>
          <w:rFonts w:ascii="Helvetica" w:hAnsi="Helvetica" w:cs="Helvetica"/>
          <w:sz w:val="22"/>
          <w:szCs w:val="22"/>
        </w:rPr>
        <w:t xml:space="preserve">discrete components were </w:t>
      </w:r>
      <w:r w:rsidRPr="00235A56">
        <w:rPr>
          <w:rFonts w:ascii="Helvetica" w:hAnsi="Helvetica" w:cs="Helvetica"/>
          <w:sz w:val="22"/>
          <w:szCs w:val="22"/>
        </w:rPr>
        <w:t xml:space="preserve">used to </w:t>
      </w:r>
      <w:r w:rsidR="000A5D4A" w:rsidRPr="00235A56">
        <w:rPr>
          <w:rFonts w:ascii="Helvetica" w:hAnsi="Helvetica" w:cs="Helvetica"/>
          <w:sz w:val="22"/>
          <w:szCs w:val="22"/>
        </w:rPr>
        <w:t xml:space="preserve">identify </w:t>
      </w:r>
      <w:r w:rsidRPr="00235A56">
        <w:rPr>
          <w:rFonts w:ascii="Helvetica" w:hAnsi="Helvetica" w:cs="Helvetica"/>
          <w:sz w:val="22"/>
          <w:szCs w:val="22"/>
        </w:rPr>
        <w:t>issues and considerations</w:t>
      </w:r>
      <w:r w:rsidR="000A5D4A" w:rsidRPr="00235A56">
        <w:rPr>
          <w:rFonts w:ascii="Helvetica" w:hAnsi="Helvetica" w:cs="Helvetica"/>
          <w:sz w:val="22"/>
          <w:szCs w:val="22"/>
        </w:rPr>
        <w:t xml:space="preserve">, to </w:t>
      </w:r>
      <w:r w:rsidRPr="00235A56">
        <w:rPr>
          <w:rFonts w:ascii="Helvetica" w:hAnsi="Helvetica" w:cs="Helvetica"/>
          <w:sz w:val="22"/>
          <w:szCs w:val="22"/>
        </w:rPr>
        <w:t xml:space="preserve">facilitate comparison in terms of significance and complexity, as well as between different facets of provider categorisation and delineation as they relate to mission differentiation, standards regulation and quality improvement. </w:t>
      </w:r>
      <w:r w:rsidR="000A5D4A" w:rsidRPr="00235A56">
        <w:rPr>
          <w:rFonts w:ascii="Helvetica" w:hAnsi="Helvetica" w:cs="Helvetica"/>
          <w:sz w:val="22"/>
          <w:szCs w:val="22"/>
        </w:rPr>
        <w:t xml:space="preserve">This </w:t>
      </w:r>
      <w:r w:rsidRPr="00235A56">
        <w:rPr>
          <w:rFonts w:ascii="Helvetica" w:hAnsi="Helvetica" w:cs="Helvetica"/>
          <w:sz w:val="22"/>
          <w:szCs w:val="22"/>
        </w:rPr>
        <w:t>enable</w:t>
      </w:r>
      <w:r w:rsidR="000A5D4A" w:rsidRPr="00235A56">
        <w:rPr>
          <w:rFonts w:ascii="Helvetica" w:hAnsi="Helvetica" w:cs="Helvetica"/>
          <w:sz w:val="22"/>
          <w:szCs w:val="22"/>
        </w:rPr>
        <w:t>s</w:t>
      </w:r>
      <w:r w:rsidRPr="00235A56">
        <w:rPr>
          <w:rFonts w:ascii="Helvetica" w:hAnsi="Helvetica" w:cs="Helvetica"/>
          <w:sz w:val="22"/>
          <w:szCs w:val="22"/>
        </w:rPr>
        <w:t xml:space="preserve"> systematic comparison with international provider categorization practices as they relate to government regulation and funding, including their strengths and weakness. </w:t>
      </w:r>
    </w:p>
    <w:p w:rsidR="00B835F2" w:rsidRPr="00235A56" w:rsidRDefault="000A5D4A" w:rsidP="00E367D3">
      <w:pPr>
        <w:rPr>
          <w:rFonts w:ascii="Helvetica" w:hAnsi="Helvetica" w:cs="Helvetica"/>
          <w:sz w:val="22"/>
          <w:szCs w:val="22"/>
        </w:rPr>
      </w:pPr>
      <w:r w:rsidRPr="00235A56">
        <w:rPr>
          <w:rFonts w:ascii="Helvetica" w:hAnsi="Helvetica" w:cs="Helvetica"/>
          <w:sz w:val="22"/>
          <w:szCs w:val="22"/>
        </w:rPr>
        <w:t xml:space="preserve">This </w:t>
      </w:r>
      <w:r w:rsidR="00B835F2" w:rsidRPr="00235A56">
        <w:rPr>
          <w:rFonts w:ascii="Helvetica" w:hAnsi="Helvetica" w:cs="Helvetica"/>
          <w:sz w:val="22"/>
          <w:szCs w:val="22"/>
        </w:rPr>
        <w:t xml:space="preserve">final report </w:t>
      </w:r>
      <w:r w:rsidRPr="00235A56">
        <w:rPr>
          <w:rFonts w:ascii="Helvetica" w:hAnsi="Helvetica" w:cs="Helvetica"/>
          <w:sz w:val="22"/>
          <w:szCs w:val="22"/>
        </w:rPr>
        <w:t xml:space="preserve">provides suggestions for the Provider Category Standards Review Methodology to be undertaken in two phases, </w:t>
      </w:r>
      <w:r w:rsidR="006622F5" w:rsidRPr="00235A56">
        <w:rPr>
          <w:rFonts w:ascii="Helvetica" w:hAnsi="Helvetica" w:cs="Helvetica"/>
          <w:sz w:val="22"/>
          <w:szCs w:val="22"/>
        </w:rPr>
        <w:t>dividing</w:t>
      </w:r>
      <w:r w:rsidRPr="00235A56">
        <w:rPr>
          <w:rFonts w:ascii="Helvetica" w:hAnsi="Helvetica" w:cs="Helvetica"/>
          <w:sz w:val="22"/>
          <w:szCs w:val="22"/>
        </w:rPr>
        <w:t xml:space="preserve"> the technical issues and inconsistencies with the current PCS from those issues that relate to the future role of the PCS in system architecture.</w:t>
      </w:r>
    </w:p>
    <w:p w:rsidR="008E1AF8" w:rsidRPr="00235A56" w:rsidRDefault="00A8769F" w:rsidP="00A8769F">
      <w:pPr>
        <w:pStyle w:val="Heading2"/>
        <w:rPr>
          <w:rFonts w:ascii="Helvetica" w:hAnsi="Helvetica" w:cs="Helvetica"/>
          <w:sz w:val="24"/>
          <w:szCs w:val="24"/>
        </w:rPr>
      </w:pPr>
      <w:r w:rsidRPr="00235A56">
        <w:rPr>
          <w:rFonts w:ascii="Helvetica" w:hAnsi="Helvetica" w:cs="Helvetica"/>
          <w:sz w:val="24"/>
          <w:szCs w:val="24"/>
        </w:rPr>
        <w:t xml:space="preserve">10.2. </w:t>
      </w:r>
      <w:r w:rsidR="008E1AF8" w:rsidRPr="00235A56">
        <w:rPr>
          <w:rFonts w:ascii="Helvetica" w:hAnsi="Helvetica" w:cs="Helvetica"/>
          <w:sz w:val="24"/>
          <w:szCs w:val="24"/>
        </w:rPr>
        <w:t>Consultation</w:t>
      </w:r>
    </w:p>
    <w:p w:rsidR="00624193" w:rsidRPr="00235A56" w:rsidRDefault="008E1AF8" w:rsidP="00F3154E">
      <w:pPr>
        <w:rPr>
          <w:rFonts w:ascii="Helvetica" w:hAnsi="Helvetica" w:cs="Helvetica"/>
          <w:sz w:val="22"/>
          <w:szCs w:val="22"/>
        </w:rPr>
      </w:pPr>
      <w:r w:rsidRPr="00235A56">
        <w:rPr>
          <w:rFonts w:ascii="Helvetica" w:hAnsi="Helvetica" w:cs="Helvetica"/>
          <w:sz w:val="22"/>
          <w:szCs w:val="22"/>
        </w:rPr>
        <w:t>The consultations were conducted as follows</w:t>
      </w:r>
      <w:r w:rsidR="000E17B7" w:rsidRPr="00235A56">
        <w:rPr>
          <w:rFonts w:ascii="Helvetica" w:hAnsi="Helvetica" w:cs="Helvetica"/>
          <w:sz w:val="22"/>
          <w:szCs w:val="22"/>
        </w:rPr>
        <w:t>, under Chatham House Rule</w:t>
      </w:r>
      <w:r w:rsidRPr="00235A56">
        <w:rPr>
          <w:rFonts w:ascii="Helvetica" w:hAnsi="Helvetica" w:cs="Helvetica"/>
          <w:sz w:val="22"/>
          <w:szCs w:val="22"/>
        </w:rPr>
        <w:t>.</w:t>
      </w:r>
    </w:p>
    <w:p w:rsidR="00803942" w:rsidRPr="00235A56" w:rsidRDefault="00803942" w:rsidP="00353191">
      <w:pPr>
        <w:pStyle w:val="Caption"/>
        <w:keepNext/>
        <w:rPr>
          <w:rFonts w:ascii="Helvetica" w:hAnsi="Helvetica" w:cs="Helvetica"/>
          <w:b/>
          <w:szCs w:val="16"/>
        </w:rPr>
      </w:pPr>
      <w:r w:rsidRPr="00235A56">
        <w:rPr>
          <w:rFonts w:ascii="Helvetica" w:hAnsi="Helvetica" w:cs="Helvetica"/>
          <w:b/>
          <w:szCs w:val="16"/>
        </w:rPr>
        <w:t xml:space="preserve">Table </w:t>
      </w:r>
      <w:r w:rsidRPr="00235A56">
        <w:rPr>
          <w:rFonts w:ascii="Helvetica" w:hAnsi="Helvetica" w:cs="Helvetica"/>
          <w:b/>
          <w:noProof/>
          <w:szCs w:val="16"/>
        </w:rPr>
        <w:t>1</w:t>
      </w:r>
      <w:r w:rsidRPr="00235A56">
        <w:rPr>
          <w:rFonts w:ascii="Helvetica" w:hAnsi="Helvetica" w:cs="Helvetica"/>
          <w:b/>
          <w:szCs w:val="16"/>
        </w:rPr>
        <w:t>: Consultations</w:t>
      </w:r>
    </w:p>
    <w:tbl>
      <w:tblPr>
        <w:tblStyle w:val="TableGrid"/>
        <w:tblW w:w="8928" w:type="dxa"/>
        <w:tblLook w:val="04A0" w:firstRow="1" w:lastRow="0" w:firstColumn="1" w:lastColumn="0" w:noHBand="0" w:noVBand="1"/>
      </w:tblPr>
      <w:tblGrid>
        <w:gridCol w:w="8928"/>
      </w:tblGrid>
      <w:tr w:rsidR="00E06FB2" w:rsidRPr="00235A56" w:rsidTr="00A248CA">
        <w:trPr>
          <w:trHeight w:val="288"/>
          <w:tblHeader/>
        </w:trPr>
        <w:tc>
          <w:tcPr>
            <w:tcW w:w="8928" w:type="dxa"/>
            <w:shd w:val="clear" w:color="auto" w:fill="B4C6E7" w:themeFill="accent1" w:themeFillTint="66"/>
            <w:vAlign w:val="center"/>
          </w:tcPr>
          <w:p w:rsidR="00E06FB2" w:rsidRPr="00235A56" w:rsidRDefault="00E06FB2" w:rsidP="00235A56">
            <w:pPr>
              <w:spacing w:after="0"/>
              <w:jc w:val="left"/>
              <w:rPr>
                <w:rFonts w:ascii="Helvetica" w:hAnsi="Helvetica" w:cs="Helvetica"/>
                <w:b/>
                <w:sz w:val="21"/>
                <w:szCs w:val="21"/>
              </w:rPr>
            </w:pPr>
            <w:r w:rsidRPr="00235A56">
              <w:rPr>
                <w:rFonts w:ascii="Helvetica" w:hAnsi="Helvetica" w:cs="Helvetica"/>
                <w:b/>
                <w:sz w:val="21"/>
                <w:szCs w:val="21"/>
              </w:rPr>
              <w:t>Stakeholder Name</w:t>
            </w:r>
          </w:p>
        </w:tc>
      </w:tr>
      <w:tr w:rsidR="00E06FB2" w:rsidRPr="00235A56" w:rsidTr="00235A56">
        <w:trPr>
          <w:trHeight w:val="288"/>
        </w:trPr>
        <w:tc>
          <w:tcPr>
            <w:tcW w:w="8928" w:type="dxa"/>
            <w:vAlign w:val="center"/>
          </w:tcPr>
          <w:p w:rsidR="00E06FB2" w:rsidRPr="00235A56" w:rsidRDefault="00E06FB2" w:rsidP="00235A56">
            <w:pPr>
              <w:spacing w:after="0"/>
              <w:jc w:val="left"/>
              <w:rPr>
                <w:rFonts w:ascii="Helvetica" w:hAnsi="Helvetica" w:cs="Helvetica"/>
                <w:sz w:val="21"/>
                <w:szCs w:val="21"/>
              </w:rPr>
            </w:pPr>
            <w:r w:rsidRPr="00235A56">
              <w:rPr>
                <w:rFonts w:ascii="Helvetica" w:hAnsi="Helvetica" w:cs="Helvetica"/>
                <w:sz w:val="21"/>
                <w:szCs w:val="21"/>
              </w:rPr>
              <w:t>Professor Victor Borden (Carnegie Classification)</w:t>
            </w:r>
          </w:p>
        </w:tc>
      </w:tr>
      <w:tr w:rsidR="00E06FB2" w:rsidRPr="00235A56" w:rsidTr="00235A56">
        <w:trPr>
          <w:trHeight w:val="288"/>
        </w:trPr>
        <w:tc>
          <w:tcPr>
            <w:tcW w:w="8928" w:type="dxa"/>
            <w:vAlign w:val="center"/>
          </w:tcPr>
          <w:p w:rsidR="00E06FB2" w:rsidRPr="00235A56" w:rsidRDefault="00E06FB2" w:rsidP="00235A56">
            <w:pPr>
              <w:spacing w:after="0"/>
              <w:jc w:val="left"/>
              <w:rPr>
                <w:rFonts w:ascii="Helvetica" w:hAnsi="Helvetica" w:cs="Helvetica"/>
                <w:sz w:val="21"/>
                <w:szCs w:val="21"/>
              </w:rPr>
            </w:pPr>
            <w:r w:rsidRPr="00235A56">
              <w:rPr>
                <w:rFonts w:ascii="Helvetica" w:hAnsi="Helvetica" w:cs="Helvetica"/>
                <w:sz w:val="21"/>
                <w:szCs w:val="21"/>
              </w:rPr>
              <w:t>Jon File (co-project leader U-Multirank)</w:t>
            </w:r>
          </w:p>
        </w:tc>
      </w:tr>
      <w:tr w:rsidR="00E06FB2" w:rsidRPr="00235A56" w:rsidTr="00235A56">
        <w:trPr>
          <w:trHeight w:val="288"/>
        </w:trPr>
        <w:tc>
          <w:tcPr>
            <w:tcW w:w="8928" w:type="dxa"/>
            <w:vAlign w:val="center"/>
          </w:tcPr>
          <w:p w:rsidR="00E06FB2" w:rsidRPr="00235A56" w:rsidRDefault="00E06FB2" w:rsidP="00235A56">
            <w:pPr>
              <w:spacing w:after="0"/>
              <w:jc w:val="left"/>
              <w:rPr>
                <w:rFonts w:ascii="Helvetica" w:hAnsi="Helvetica" w:cs="Helvetica"/>
                <w:sz w:val="21"/>
                <w:szCs w:val="21"/>
              </w:rPr>
            </w:pPr>
            <w:r w:rsidRPr="00235A56">
              <w:rPr>
                <w:rFonts w:ascii="Helvetica" w:hAnsi="Helvetica" w:cs="Helvetica"/>
                <w:sz w:val="21"/>
                <w:szCs w:val="21"/>
              </w:rPr>
              <w:t>Business Council of Australia (BCA)</w:t>
            </w:r>
          </w:p>
        </w:tc>
      </w:tr>
      <w:tr w:rsidR="00E06FB2" w:rsidRPr="00235A56" w:rsidTr="00235A56">
        <w:trPr>
          <w:trHeight w:val="288"/>
        </w:trPr>
        <w:tc>
          <w:tcPr>
            <w:tcW w:w="8928" w:type="dxa"/>
            <w:vAlign w:val="center"/>
          </w:tcPr>
          <w:p w:rsidR="00E06FB2" w:rsidRPr="00235A56" w:rsidRDefault="00E06FB2" w:rsidP="00235A56">
            <w:pPr>
              <w:spacing w:after="0"/>
              <w:jc w:val="left"/>
              <w:rPr>
                <w:rFonts w:ascii="Helvetica" w:hAnsi="Helvetica" w:cs="Helvetica"/>
                <w:sz w:val="21"/>
                <w:szCs w:val="21"/>
              </w:rPr>
            </w:pPr>
            <w:r w:rsidRPr="00235A56">
              <w:rPr>
                <w:rFonts w:ascii="Helvetica" w:hAnsi="Helvetica" w:cs="Helvetica"/>
                <w:sz w:val="21"/>
                <w:szCs w:val="21"/>
              </w:rPr>
              <w:t>Tertiary Education Quality and Standards Agency (TEQSA)</w:t>
            </w:r>
          </w:p>
        </w:tc>
      </w:tr>
      <w:tr w:rsidR="00E06FB2" w:rsidRPr="00235A56" w:rsidTr="00235A56">
        <w:trPr>
          <w:trHeight w:val="288"/>
        </w:trPr>
        <w:tc>
          <w:tcPr>
            <w:tcW w:w="8928" w:type="dxa"/>
            <w:vAlign w:val="center"/>
          </w:tcPr>
          <w:p w:rsidR="00E06FB2" w:rsidRPr="00235A56" w:rsidRDefault="00E06FB2" w:rsidP="00235A56">
            <w:pPr>
              <w:spacing w:after="0"/>
              <w:jc w:val="left"/>
              <w:rPr>
                <w:rFonts w:ascii="Helvetica" w:hAnsi="Helvetica" w:cs="Helvetica"/>
                <w:sz w:val="21"/>
                <w:szCs w:val="21"/>
              </w:rPr>
            </w:pPr>
            <w:r w:rsidRPr="00235A56">
              <w:rPr>
                <w:rFonts w:ascii="Helvetica" w:hAnsi="Helvetica" w:cs="Helvetica"/>
                <w:sz w:val="21"/>
                <w:szCs w:val="21"/>
              </w:rPr>
              <w:t>Universities Australia (UA)</w:t>
            </w:r>
          </w:p>
        </w:tc>
      </w:tr>
      <w:tr w:rsidR="00E06FB2" w:rsidRPr="00235A56" w:rsidTr="00235A56">
        <w:trPr>
          <w:trHeight w:val="288"/>
        </w:trPr>
        <w:tc>
          <w:tcPr>
            <w:tcW w:w="8928" w:type="dxa"/>
            <w:vAlign w:val="center"/>
          </w:tcPr>
          <w:p w:rsidR="00E06FB2" w:rsidRPr="00235A56" w:rsidRDefault="00E06FB2" w:rsidP="00235A56">
            <w:pPr>
              <w:spacing w:after="0"/>
              <w:jc w:val="left"/>
              <w:rPr>
                <w:rFonts w:ascii="Helvetica" w:hAnsi="Helvetica" w:cs="Helvetica"/>
                <w:sz w:val="21"/>
                <w:szCs w:val="21"/>
              </w:rPr>
            </w:pPr>
            <w:r w:rsidRPr="00235A56">
              <w:rPr>
                <w:rFonts w:ascii="Helvetica" w:hAnsi="Helvetica" w:cs="Helvetica"/>
                <w:sz w:val="21"/>
                <w:szCs w:val="21"/>
              </w:rPr>
              <w:t>TAFE Directors Australia (TDA)</w:t>
            </w:r>
          </w:p>
        </w:tc>
      </w:tr>
      <w:tr w:rsidR="00E06FB2" w:rsidRPr="00235A56" w:rsidTr="00235A56">
        <w:trPr>
          <w:trHeight w:val="288"/>
        </w:trPr>
        <w:tc>
          <w:tcPr>
            <w:tcW w:w="8928" w:type="dxa"/>
            <w:vAlign w:val="center"/>
          </w:tcPr>
          <w:p w:rsidR="00E06FB2" w:rsidRPr="00235A56" w:rsidRDefault="00E06FB2" w:rsidP="00235A56">
            <w:pPr>
              <w:spacing w:after="0"/>
              <w:jc w:val="left"/>
              <w:rPr>
                <w:rFonts w:ascii="Helvetica" w:hAnsi="Helvetica" w:cs="Helvetica"/>
                <w:sz w:val="21"/>
                <w:szCs w:val="21"/>
              </w:rPr>
            </w:pPr>
            <w:r w:rsidRPr="00235A56">
              <w:rPr>
                <w:rFonts w:ascii="Helvetica" w:hAnsi="Helvetica" w:cs="Helvetica"/>
                <w:sz w:val="21"/>
                <w:szCs w:val="21"/>
              </w:rPr>
              <w:t>Australian Technology Network (ATN)</w:t>
            </w:r>
          </w:p>
        </w:tc>
      </w:tr>
      <w:tr w:rsidR="00E06FB2" w:rsidRPr="00235A56" w:rsidTr="00235A56">
        <w:trPr>
          <w:trHeight w:val="288"/>
        </w:trPr>
        <w:tc>
          <w:tcPr>
            <w:tcW w:w="8928" w:type="dxa"/>
            <w:vAlign w:val="center"/>
          </w:tcPr>
          <w:p w:rsidR="00E06FB2" w:rsidRPr="00235A56" w:rsidRDefault="00E06FB2" w:rsidP="00235A56">
            <w:pPr>
              <w:spacing w:after="0"/>
              <w:jc w:val="left"/>
              <w:rPr>
                <w:rFonts w:ascii="Helvetica" w:hAnsi="Helvetica" w:cs="Helvetica"/>
                <w:sz w:val="21"/>
                <w:szCs w:val="21"/>
              </w:rPr>
            </w:pPr>
            <w:r w:rsidRPr="00235A56">
              <w:rPr>
                <w:rFonts w:ascii="Helvetica" w:hAnsi="Helvetica" w:cs="Helvetica"/>
                <w:sz w:val="21"/>
                <w:szCs w:val="21"/>
              </w:rPr>
              <w:t>Group of Eight (Go8)</w:t>
            </w:r>
          </w:p>
        </w:tc>
      </w:tr>
      <w:tr w:rsidR="00E06FB2" w:rsidRPr="00235A56" w:rsidTr="00235A56">
        <w:trPr>
          <w:trHeight w:val="288"/>
        </w:trPr>
        <w:tc>
          <w:tcPr>
            <w:tcW w:w="8928" w:type="dxa"/>
            <w:vAlign w:val="center"/>
          </w:tcPr>
          <w:p w:rsidR="00E06FB2" w:rsidRPr="00235A56" w:rsidRDefault="00E06FB2" w:rsidP="00235A56">
            <w:pPr>
              <w:spacing w:after="0"/>
              <w:jc w:val="left"/>
              <w:rPr>
                <w:rFonts w:ascii="Helvetica" w:hAnsi="Helvetica" w:cs="Helvetica"/>
                <w:sz w:val="21"/>
                <w:szCs w:val="21"/>
              </w:rPr>
            </w:pPr>
            <w:r w:rsidRPr="00235A56">
              <w:rPr>
                <w:rFonts w:ascii="Helvetica" w:hAnsi="Helvetica" w:cs="Helvetica"/>
                <w:sz w:val="21"/>
                <w:szCs w:val="21"/>
              </w:rPr>
              <w:t>Innovative Research Universities (IRU)</w:t>
            </w:r>
          </w:p>
        </w:tc>
      </w:tr>
      <w:tr w:rsidR="00E06FB2" w:rsidRPr="00235A56" w:rsidTr="00235A56">
        <w:trPr>
          <w:trHeight w:val="288"/>
        </w:trPr>
        <w:tc>
          <w:tcPr>
            <w:tcW w:w="8928" w:type="dxa"/>
            <w:vAlign w:val="center"/>
          </w:tcPr>
          <w:p w:rsidR="00E06FB2" w:rsidRPr="00235A56" w:rsidRDefault="00E06FB2" w:rsidP="00235A56">
            <w:pPr>
              <w:spacing w:after="0"/>
              <w:jc w:val="left"/>
              <w:rPr>
                <w:rFonts w:ascii="Helvetica" w:hAnsi="Helvetica" w:cs="Helvetica"/>
                <w:sz w:val="21"/>
                <w:szCs w:val="21"/>
              </w:rPr>
            </w:pPr>
            <w:r w:rsidRPr="00235A56">
              <w:rPr>
                <w:rFonts w:ascii="Helvetica" w:hAnsi="Helvetica" w:cs="Helvetica"/>
                <w:sz w:val="21"/>
                <w:szCs w:val="21"/>
              </w:rPr>
              <w:t>Regional Universities Network (RUN)</w:t>
            </w:r>
          </w:p>
        </w:tc>
      </w:tr>
      <w:tr w:rsidR="00E06FB2" w:rsidRPr="00235A56" w:rsidTr="00235A56">
        <w:trPr>
          <w:trHeight w:val="288"/>
        </w:trPr>
        <w:tc>
          <w:tcPr>
            <w:tcW w:w="8928" w:type="dxa"/>
            <w:vAlign w:val="center"/>
          </w:tcPr>
          <w:p w:rsidR="00E06FB2" w:rsidRPr="00235A56" w:rsidRDefault="00E06FB2" w:rsidP="00235A56">
            <w:pPr>
              <w:spacing w:after="0"/>
              <w:jc w:val="left"/>
              <w:rPr>
                <w:rFonts w:ascii="Helvetica" w:hAnsi="Helvetica" w:cs="Helvetica"/>
                <w:sz w:val="21"/>
                <w:szCs w:val="21"/>
              </w:rPr>
            </w:pPr>
            <w:r w:rsidRPr="00235A56">
              <w:rPr>
                <w:rFonts w:ascii="Helvetica" w:hAnsi="Helvetica" w:cs="Helvetica"/>
                <w:sz w:val="21"/>
                <w:szCs w:val="21"/>
              </w:rPr>
              <w:t>Australian Council for Private Education and Training (ACPET)</w:t>
            </w:r>
          </w:p>
        </w:tc>
      </w:tr>
      <w:tr w:rsidR="00E06FB2" w:rsidRPr="00235A56" w:rsidTr="00235A56">
        <w:trPr>
          <w:trHeight w:val="288"/>
        </w:trPr>
        <w:tc>
          <w:tcPr>
            <w:tcW w:w="8928" w:type="dxa"/>
            <w:vAlign w:val="center"/>
          </w:tcPr>
          <w:p w:rsidR="00E06FB2" w:rsidRPr="00235A56" w:rsidRDefault="00E06FB2" w:rsidP="00235A56">
            <w:pPr>
              <w:spacing w:after="0"/>
              <w:jc w:val="left"/>
              <w:rPr>
                <w:rFonts w:ascii="Helvetica" w:hAnsi="Helvetica" w:cs="Helvetica"/>
                <w:sz w:val="21"/>
                <w:szCs w:val="21"/>
              </w:rPr>
            </w:pPr>
            <w:r w:rsidRPr="00235A56">
              <w:rPr>
                <w:rFonts w:ascii="Helvetica" w:hAnsi="Helvetica" w:cs="Helvetica"/>
                <w:sz w:val="21"/>
                <w:szCs w:val="21"/>
              </w:rPr>
              <w:t>Australian Chamber of Commerce and Industry (ACCI)</w:t>
            </w:r>
          </w:p>
        </w:tc>
      </w:tr>
      <w:tr w:rsidR="00E06FB2" w:rsidRPr="00235A56" w:rsidTr="00235A56">
        <w:trPr>
          <w:trHeight w:val="288"/>
        </w:trPr>
        <w:tc>
          <w:tcPr>
            <w:tcW w:w="8928" w:type="dxa"/>
            <w:vAlign w:val="center"/>
          </w:tcPr>
          <w:p w:rsidR="00E06FB2" w:rsidRPr="00235A56" w:rsidRDefault="00E06FB2" w:rsidP="00235A56">
            <w:pPr>
              <w:spacing w:after="0"/>
              <w:jc w:val="left"/>
              <w:rPr>
                <w:rFonts w:ascii="Helvetica" w:hAnsi="Helvetica" w:cs="Helvetica"/>
                <w:sz w:val="21"/>
                <w:szCs w:val="21"/>
              </w:rPr>
            </w:pPr>
            <w:r w:rsidRPr="00235A56">
              <w:rPr>
                <w:rFonts w:ascii="Helvetica" w:hAnsi="Helvetica" w:cs="Helvetica"/>
                <w:sz w:val="21"/>
                <w:szCs w:val="21"/>
              </w:rPr>
              <w:t>Australian Skills Quality Authority (ASQA)</w:t>
            </w:r>
          </w:p>
        </w:tc>
      </w:tr>
    </w:tbl>
    <w:p w:rsidR="00F3154E" w:rsidRPr="00235A56" w:rsidRDefault="00F3154E" w:rsidP="00E367D3">
      <w:pPr>
        <w:rPr>
          <w:rFonts w:ascii="Helvetica" w:hAnsi="Helvetica" w:cs="Helvetica"/>
          <w:noProof/>
          <w:sz w:val="22"/>
          <w:szCs w:val="22"/>
          <w:lang w:eastAsia="en-AU"/>
        </w:rPr>
      </w:pPr>
    </w:p>
    <w:p w:rsidR="00624193" w:rsidRPr="00235A56" w:rsidRDefault="00624193" w:rsidP="00E367D3">
      <w:pPr>
        <w:rPr>
          <w:rFonts w:ascii="Helvetica" w:hAnsi="Helvetica" w:cs="Helvetica"/>
          <w:noProof/>
          <w:sz w:val="22"/>
          <w:szCs w:val="22"/>
          <w:lang w:eastAsia="en-AU"/>
        </w:rPr>
      </w:pPr>
      <w:r w:rsidRPr="00235A56">
        <w:rPr>
          <w:rFonts w:ascii="Helvetica" w:hAnsi="Helvetica" w:cs="Helvetica"/>
          <w:noProof/>
          <w:sz w:val="22"/>
          <w:szCs w:val="22"/>
          <w:lang w:eastAsia="en-AU"/>
        </w:rPr>
        <w:t>The following questions were provided to consultees and guided the consultion sessions.</w:t>
      </w:r>
    </w:p>
    <w:p w:rsidR="00624193" w:rsidRPr="00235A56" w:rsidRDefault="00624193" w:rsidP="00E367D3">
      <w:pPr>
        <w:pStyle w:val="ListParagraph"/>
        <w:numPr>
          <w:ilvl w:val="0"/>
          <w:numId w:val="18"/>
        </w:numPr>
        <w:rPr>
          <w:rFonts w:ascii="Helvetica" w:hAnsi="Helvetica" w:cs="Helvetica"/>
          <w:szCs w:val="21"/>
        </w:rPr>
      </w:pPr>
      <w:r w:rsidRPr="00235A56">
        <w:rPr>
          <w:rFonts w:ascii="Helvetica" w:hAnsi="Helvetica" w:cs="Helvetica"/>
          <w:szCs w:val="21"/>
        </w:rPr>
        <w:t>What does the current categorisation of providers achieve? Who benefits? Can it continue to meet the needs of industry and Australia into the future?</w:t>
      </w:r>
    </w:p>
    <w:p w:rsidR="00624193" w:rsidRPr="00235A56" w:rsidRDefault="00624193" w:rsidP="00E367D3">
      <w:pPr>
        <w:pStyle w:val="ListParagraph"/>
        <w:numPr>
          <w:ilvl w:val="0"/>
          <w:numId w:val="18"/>
        </w:numPr>
        <w:rPr>
          <w:rFonts w:ascii="Helvetica" w:hAnsi="Helvetica" w:cs="Helvetica"/>
          <w:szCs w:val="21"/>
        </w:rPr>
      </w:pPr>
      <w:r w:rsidRPr="00235A56">
        <w:rPr>
          <w:rFonts w:ascii="Helvetica" w:hAnsi="Helvetica" w:cs="Helvetica"/>
          <w:szCs w:val="21"/>
        </w:rPr>
        <w:lastRenderedPageBreak/>
        <w:t>Is it effective as a component of Australian higher education governing architecture?</w:t>
      </w:r>
    </w:p>
    <w:p w:rsidR="00624193" w:rsidRPr="00235A56" w:rsidRDefault="00624193" w:rsidP="00E367D3">
      <w:pPr>
        <w:pStyle w:val="ListParagraph"/>
        <w:numPr>
          <w:ilvl w:val="0"/>
          <w:numId w:val="18"/>
        </w:numPr>
        <w:rPr>
          <w:rFonts w:ascii="Helvetica" w:hAnsi="Helvetica" w:cs="Helvetica"/>
          <w:szCs w:val="21"/>
        </w:rPr>
      </w:pPr>
      <w:r w:rsidRPr="00235A56">
        <w:rPr>
          <w:rFonts w:ascii="Helvetica" w:hAnsi="Helvetica" w:cs="Helvetica"/>
          <w:szCs w:val="21"/>
        </w:rPr>
        <w:t xml:space="preserve">Does it provide the necessary transparency of provider activity? </w:t>
      </w:r>
    </w:p>
    <w:p w:rsidR="00624193" w:rsidRPr="00235A56" w:rsidRDefault="00624193" w:rsidP="00E367D3">
      <w:pPr>
        <w:pStyle w:val="ListParagraph"/>
        <w:numPr>
          <w:ilvl w:val="0"/>
          <w:numId w:val="18"/>
        </w:numPr>
        <w:rPr>
          <w:rFonts w:ascii="Helvetica" w:hAnsi="Helvetica" w:cs="Helvetica"/>
          <w:szCs w:val="21"/>
        </w:rPr>
      </w:pPr>
      <w:r w:rsidRPr="00235A56">
        <w:rPr>
          <w:rFonts w:ascii="Helvetica" w:hAnsi="Helvetica" w:cs="Helvetica"/>
          <w:szCs w:val="21"/>
        </w:rPr>
        <w:t>What is its impact on the operation and behaviour of current and potential providers, including international providers, both domestically and globally?</w:t>
      </w:r>
    </w:p>
    <w:p w:rsidR="00624193" w:rsidRPr="00235A56" w:rsidRDefault="00624193" w:rsidP="00E367D3">
      <w:pPr>
        <w:pStyle w:val="ListParagraph"/>
        <w:numPr>
          <w:ilvl w:val="0"/>
          <w:numId w:val="18"/>
        </w:numPr>
        <w:rPr>
          <w:rFonts w:ascii="Helvetica" w:hAnsi="Helvetica" w:cs="Helvetica"/>
          <w:szCs w:val="21"/>
        </w:rPr>
      </w:pPr>
      <w:r w:rsidRPr="00235A56">
        <w:rPr>
          <w:rFonts w:ascii="Helvetica" w:hAnsi="Helvetica" w:cs="Helvetica"/>
          <w:szCs w:val="21"/>
        </w:rPr>
        <w:t>What are the reputational and other impacts, including whether they are enhancing or restricting system flexibility, as well as institutional innovation and diversity?</w:t>
      </w:r>
    </w:p>
    <w:p w:rsidR="00624193" w:rsidRPr="00235A56" w:rsidRDefault="00624193" w:rsidP="00E367D3">
      <w:pPr>
        <w:pStyle w:val="ListParagraph"/>
        <w:numPr>
          <w:ilvl w:val="0"/>
          <w:numId w:val="18"/>
        </w:numPr>
        <w:rPr>
          <w:rFonts w:ascii="Helvetica" w:hAnsi="Helvetica" w:cs="Helvetica"/>
          <w:szCs w:val="21"/>
        </w:rPr>
      </w:pPr>
      <w:r w:rsidRPr="00235A56">
        <w:rPr>
          <w:rFonts w:ascii="Helvetica" w:hAnsi="Helvetica" w:cs="Helvetica"/>
          <w:szCs w:val="21"/>
        </w:rPr>
        <w:t>Is the current array of provider types, and their classification, likely to deliver the tertiary education and research system the country needs in the future? If not, where are there gaps or where are mismatches likely?</w:t>
      </w:r>
    </w:p>
    <w:p w:rsidR="00624193" w:rsidRPr="00235A56" w:rsidRDefault="00624193" w:rsidP="00E367D3">
      <w:pPr>
        <w:pStyle w:val="ListParagraph"/>
        <w:numPr>
          <w:ilvl w:val="0"/>
          <w:numId w:val="18"/>
        </w:numPr>
        <w:rPr>
          <w:rFonts w:ascii="Helvetica" w:hAnsi="Helvetica" w:cs="Helvetica"/>
          <w:szCs w:val="21"/>
        </w:rPr>
      </w:pPr>
      <w:r w:rsidRPr="00235A56">
        <w:rPr>
          <w:rFonts w:ascii="Helvetica" w:hAnsi="Helvetica" w:cs="Helvetica"/>
          <w:szCs w:val="21"/>
        </w:rPr>
        <w:t xml:space="preserve">Is further diversity of provider types a likely success factor in achieving a better system? </w:t>
      </w:r>
    </w:p>
    <w:p w:rsidR="00624193" w:rsidRPr="00235A56" w:rsidRDefault="00624193" w:rsidP="00E367D3">
      <w:pPr>
        <w:pStyle w:val="ListParagraph"/>
        <w:numPr>
          <w:ilvl w:val="0"/>
          <w:numId w:val="18"/>
        </w:numPr>
        <w:rPr>
          <w:rFonts w:ascii="Helvetica" w:hAnsi="Helvetica" w:cs="Helvetica"/>
          <w:szCs w:val="21"/>
        </w:rPr>
      </w:pPr>
      <w:r w:rsidRPr="00235A56">
        <w:rPr>
          <w:rFonts w:ascii="Helvetica" w:hAnsi="Helvetica" w:cs="Helvetica"/>
          <w:szCs w:val="21"/>
        </w:rPr>
        <w:t>Could diversity of provision within providers be an alternative to diversity between providers, perhaps at program level? Perhaps a</w:t>
      </w:r>
      <w:r w:rsidR="002A1BFA" w:rsidRPr="00235A56">
        <w:rPr>
          <w:rFonts w:ascii="Helvetica" w:hAnsi="Helvetica" w:cs="Helvetica"/>
          <w:szCs w:val="21"/>
        </w:rPr>
        <w:t xml:space="preserve"> combination of both approaches</w:t>
      </w:r>
      <w:r w:rsidRPr="00235A56">
        <w:rPr>
          <w:rFonts w:ascii="Helvetica" w:hAnsi="Helvetica" w:cs="Helvetica"/>
          <w:szCs w:val="21"/>
        </w:rPr>
        <w:tab/>
      </w:r>
    </w:p>
    <w:p w:rsidR="00624193" w:rsidRPr="00235A56" w:rsidRDefault="00624193" w:rsidP="00E367D3">
      <w:pPr>
        <w:pStyle w:val="ListParagraph"/>
        <w:numPr>
          <w:ilvl w:val="0"/>
          <w:numId w:val="18"/>
        </w:numPr>
        <w:rPr>
          <w:rFonts w:ascii="Helvetica" w:hAnsi="Helvetica" w:cs="Helvetica"/>
          <w:szCs w:val="21"/>
        </w:rPr>
      </w:pPr>
      <w:r w:rsidRPr="00235A56">
        <w:rPr>
          <w:rFonts w:ascii="Helvetica" w:hAnsi="Helvetica" w:cs="Helvetica"/>
          <w:szCs w:val="21"/>
        </w:rPr>
        <w:t xml:space="preserve">If diversity of providers is seen as a useful means to an improved education system, what incentive may be needed to develop and sustain diversity? </w:t>
      </w:r>
    </w:p>
    <w:p w:rsidR="00624193" w:rsidRPr="00235A56" w:rsidRDefault="00624193" w:rsidP="00E367D3">
      <w:pPr>
        <w:pStyle w:val="ListParagraph"/>
        <w:numPr>
          <w:ilvl w:val="0"/>
          <w:numId w:val="18"/>
        </w:numPr>
        <w:rPr>
          <w:rFonts w:ascii="Helvetica" w:hAnsi="Helvetica" w:cs="Helvetica"/>
          <w:szCs w:val="21"/>
        </w:rPr>
      </w:pPr>
      <w:r w:rsidRPr="00235A56">
        <w:rPr>
          <w:rFonts w:ascii="Helvetica" w:hAnsi="Helvetica" w:cs="Helvetica"/>
          <w:szCs w:val="21"/>
        </w:rPr>
        <w:t>Do classes of provider need to be formalised (and regulated) or could effective diversity be achieved by the market? Should some classes of provider be regulated and, if so, which classes and for what purpose?</w:t>
      </w:r>
    </w:p>
    <w:p w:rsidR="00624193" w:rsidRPr="00235A56" w:rsidRDefault="00624193" w:rsidP="00E367D3">
      <w:pPr>
        <w:pStyle w:val="ListParagraph"/>
        <w:numPr>
          <w:ilvl w:val="0"/>
          <w:numId w:val="18"/>
        </w:numPr>
        <w:rPr>
          <w:rFonts w:ascii="Helvetica" w:hAnsi="Helvetica" w:cs="Helvetica"/>
          <w:szCs w:val="21"/>
        </w:rPr>
      </w:pPr>
      <w:r w:rsidRPr="00235A56">
        <w:rPr>
          <w:rFonts w:ascii="Helvetica" w:hAnsi="Helvetica" w:cs="Helvetica"/>
          <w:szCs w:val="21"/>
        </w:rPr>
        <w:t xml:space="preserve">Does Australia </w:t>
      </w:r>
      <w:r w:rsidR="00363883" w:rsidRPr="00235A56">
        <w:rPr>
          <w:rFonts w:ascii="Helvetica" w:hAnsi="Helvetica" w:cs="Helvetica"/>
          <w:szCs w:val="21"/>
        </w:rPr>
        <w:t>need,</w:t>
      </w:r>
      <w:r w:rsidRPr="00235A56">
        <w:rPr>
          <w:rFonts w:ascii="Helvetica" w:hAnsi="Helvetica" w:cs="Helvetica"/>
          <w:szCs w:val="21"/>
        </w:rPr>
        <w:t xml:space="preserve"> and could it afford more specialised providers e.g. liberal arts teaching-only universities, narrower specialisations than currently contemplated e.g. single field of education and research or universities that educate only or mostly higher degree research students?</w:t>
      </w:r>
    </w:p>
    <w:p w:rsidR="00624193" w:rsidRPr="00235A56" w:rsidRDefault="00624193" w:rsidP="00E367D3">
      <w:pPr>
        <w:pStyle w:val="ListParagraph"/>
        <w:numPr>
          <w:ilvl w:val="0"/>
          <w:numId w:val="18"/>
        </w:numPr>
        <w:rPr>
          <w:rFonts w:ascii="Helvetica" w:hAnsi="Helvetica" w:cs="Helvetica"/>
          <w:szCs w:val="21"/>
        </w:rPr>
      </w:pPr>
      <w:r w:rsidRPr="00235A56">
        <w:rPr>
          <w:rFonts w:ascii="Helvetica" w:hAnsi="Helvetica" w:cs="Helvetica"/>
          <w:szCs w:val="21"/>
        </w:rPr>
        <w:t>Would it be helpful to facilitate more multi-sector models with broader tertiary education missions?</w:t>
      </w:r>
    </w:p>
    <w:p w:rsidR="00B835F2" w:rsidRPr="00235A56" w:rsidRDefault="00A8769F" w:rsidP="00A8769F">
      <w:pPr>
        <w:pStyle w:val="Heading2"/>
        <w:rPr>
          <w:rFonts w:ascii="Helvetica" w:hAnsi="Helvetica" w:cs="Helvetica"/>
          <w:sz w:val="24"/>
          <w:szCs w:val="24"/>
        </w:rPr>
      </w:pPr>
      <w:r w:rsidRPr="00235A56">
        <w:rPr>
          <w:rFonts w:ascii="Helvetica" w:hAnsi="Helvetica" w:cs="Helvetica"/>
          <w:sz w:val="24"/>
          <w:szCs w:val="24"/>
        </w:rPr>
        <w:t xml:space="preserve">10.3. </w:t>
      </w:r>
      <w:r w:rsidR="00B835F2" w:rsidRPr="00235A56">
        <w:rPr>
          <w:rFonts w:ascii="Helvetica" w:hAnsi="Helvetica" w:cs="Helvetica"/>
          <w:sz w:val="24"/>
          <w:szCs w:val="24"/>
        </w:rPr>
        <w:t xml:space="preserve">Carnegie Classification </w:t>
      </w:r>
    </w:p>
    <w:p w:rsidR="005E3B44" w:rsidRPr="00235A56" w:rsidRDefault="005E3B44" w:rsidP="00E367D3">
      <w:pPr>
        <w:rPr>
          <w:rFonts w:ascii="Helvetica" w:hAnsi="Helvetica" w:cs="Helvetica"/>
          <w:sz w:val="22"/>
          <w:szCs w:val="22"/>
        </w:rPr>
      </w:pPr>
      <w:r w:rsidRPr="00235A56">
        <w:rPr>
          <w:rFonts w:ascii="Helvetica" w:hAnsi="Helvetica" w:cs="Helvetica"/>
          <w:sz w:val="22"/>
          <w:szCs w:val="22"/>
        </w:rPr>
        <w:t>The United States has one of the largest and most diversified systems of higher education in the world, with over 4700 higher education institutions. In 1967, The Carnegie Commission of Higher Education was established by Carnegie Foundation for the Advancement Teaching to study and advice on the needs of the US higher education system towards the end of 20th century (McCormick</w:t>
      </w:r>
      <w:r w:rsidR="002A0636" w:rsidRPr="00235A56">
        <w:rPr>
          <w:rFonts w:ascii="Helvetica" w:hAnsi="Helvetica" w:cs="Helvetica"/>
          <w:sz w:val="22"/>
          <w:szCs w:val="22"/>
        </w:rPr>
        <w:t>,</w:t>
      </w:r>
      <w:r w:rsidRPr="00235A56">
        <w:rPr>
          <w:rFonts w:ascii="Helvetica" w:hAnsi="Helvetica" w:cs="Helvetica"/>
          <w:sz w:val="22"/>
          <w:szCs w:val="22"/>
        </w:rPr>
        <w:t xml:space="preserve"> 2013). The CCIHE was developed as an analytical tool to serve the research needs of this Commission and later made available for the wider research community upon request (Zhao</w:t>
      </w:r>
      <w:r w:rsidR="002A0636" w:rsidRPr="00235A56">
        <w:rPr>
          <w:rFonts w:ascii="Helvetica" w:hAnsi="Helvetica" w:cs="Helvetica"/>
          <w:sz w:val="22"/>
          <w:szCs w:val="22"/>
        </w:rPr>
        <w:t>,</w:t>
      </w:r>
      <w:r w:rsidRPr="00235A56">
        <w:rPr>
          <w:rFonts w:ascii="Helvetica" w:hAnsi="Helvetica" w:cs="Helvetica"/>
          <w:sz w:val="22"/>
          <w:szCs w:val="22"/>
        </w:rPr>
        <w:t xml:space="preserve"> 2011). The first classification was published in 1973 and has been updated every five years since then, to reflect the changes in US higher education system.</w:t>
      </w:r>
      <w:r w:rsidR="00DF7848" w:rsidRPr="00235A56">
        <w:rPr>
          <w:rFonts w:ascii="Helvetica" w:hAnsi="Helvetica" w:cs="Helvetica"/>
          <w:sz w:val="22"/>
          <w:szCs w:val="22"/>
        </w:rPr>
        <w:t xml:space="preserve"> </w:t>
      </w:r>
    </w:p>
    <w:p w:rsidR="005E3B44" w:rsidRPr="00235A56" w:rsidRDefault="005E3B44" w:rsidP="00E367D3">
      <w:pPr>
        <w:rPr>
          <w:rFonts w:ascii="Helvetica" w:hAnsi="Helvetica" w:cs="Helvetica"/>
          <w:sz w:val="22"/>
          <w:szCs w:val="22"/>
        </w:rPr>
      </w:pPr>
      <w:r w:rsidRPr="00235A56">
        <w:rPr>
          <w:rFonts w:ascii="Helvetica" w:hAnsi="Helvetica" w:cs="Helvetica"/>
          <w:sz w:val="22"/>
          <w:szCs w:val="22"/>
        </w:rPr>
        <w:t>In 2014, The Carnegie Institute of Advancement of Teaching, transferred the responsibility of CCIHE to Indiana University Bloomington’s Centre for Postsecondary Research. The US higher education has continued to diversify, and it was felt that, the CCIHE required a major update to accurately reflect the increased complexity (Lederman</w:t>
      </w:r>
      <w:r w:rsidR="002A0636" w:rsidRPr="00235A56">
        <w:rPr>
          <w:rFonts w:ascii="Helvetica" w:hAnsi="Helvetica" w:cs="Helvetica"/>
          <w:sz w:val="22"/>
          <w:szCs w:val="22"/>
        </w:rPr>
        <w:t>,</w:t>
      </w:r>
      <w:r w:rsidRPr="00235A56">
        <w:rPr>
          <w:rFonts w:ascii="Helvetica" w:hAnsi="Helvetica" w:cs="Helvetica"/>
          <w:sz w:val="22"/>
          <w:szCs w:val="22"/>
        </w:rPr>
        <w:t xml:space="preserve">2014) The centre received financial support from the Lumina Foundation to update and enhance the classification. The 2015 CCIHE is the first published by the Centre. The centre is in the process of updating the classification, due to be published towards the end of 2018, having moved </w:t>
      </w:r>
      <w:r w:rsidR="00803942" w:rsidRPr="00235A56">
        <w:rPr>
          <w:rFonts w:ascii="Helvetica" w:hAnsi="Helvetica" w:cs="Helvetica"/>
          <w:sz w:val="22"/>
          <w:szCs w:val="22"/>
        </w:rPr>
        <w:t>to</w:t>
      </w:r>
      <w:r w:rsidR="00DF7848" w:rsidRPr="00235A56">
        <w:rPr>
          <w:rFonts w:ascii="Helvetica" w:hAnsi="Helvetica" w:cs="Helvetica"/>
          <w:sz w:val="22"/>
          <w:szCs w:val="22"/>
        </w:rPr>
        <w:t xml:space="preserve"> </w:t>
      </w:r>
      <w:r w:rsidRPr="00235A56">
        <w:rPr>
          <w:rFonts w:ascii="Helvetica" w:hAnsi="Helvetica" w:cs="Helvetica"/>
          <w:sz w:val="22"/>
          <w:szCs w:val="22"/>
        </w:rPr>
        <w:t xml:space="preserve">a three-year </w:t>
      </w:r>
      <w:r w:rsidR="00803942" w:rsidRPr="00235A56">
        <w:rPr>
          <w:rFonts w:ascii="Helvetica" w:hAnsi="Helvetica" w:cs="Helvetica"/>
          <w:sz w:val="22"/>
          <w:szCs w:val="22"/>
        </w:rPr>
        <w:t>to a</w:t>
      </w:r>
      <w:r w:rsidR="00DF7848" w:rsidRPr="00235A56">
        <w:rPr>
          <w:rFonts w:ascii="Helvetica" w:hAnsi="Helvetica" w:cs="Helvetica"/>
          <w:sz w:val="22"/>
          <w:szCs w:val="22"/>
        </w:rPr>
        <w:t xml:space="preserve"> </w:t>
      </w:r>
      <w:r w:rsidRPr="00235A56">
        <w:rPr>
          <w:rFonts w:ascii="Helvetica" w:hAnsi="Helvetica" w:cs="Helvetica"/>
          <w:sz w:val="22"/>
          <w:szCs w:val="22"/>
        </w:rPr>
        <w:t>five-year</w:t>
      </w:r>
      <w:r w:rsidR="00803942" w:rsidRPr="00235A56">
        <w:rPr>
          <w:rFonts w:ascii="Helvetica" w:hAnsi="Helvetica" w:cs="Helvetica"/>
          <w:sz w:val="22"/>
          <w:szCs w:val="22"/>
        </w:rPr>
        <w:t xml:space="preserve"> update cycle</w:t>
      </w:r>
      <w:r w:rsidRPr="00235A56">
        <w:rPr>
          <w:rFonts w:ascii="Helvetica" w:hAnsi="Helvetica" w:cs="Helvetica"/>
          <w:sz w:val="22"/>
          <w:szCs w:val="22"/>
        </w:rPr>
        <w:t>.</w:t>
      </w:r>
    </w:p>
    <w:p w:rsidR="005E3B44" w:rsidRPr="00235A56" w:rsidRDefault="005E3B44" w:rsidP="00E367D3">
      <w:pPr>
        <w:pStyle w:val="Heading3"/>
        <w:numPr>
          <w:ilvl w:val="2"/>
          <w:numId w:val="20"/>
        </w:numPr>
        <w:rPr>
          <w:rFonts w:ascii="Helvetica" w:hAnsi="Helvetica" w:cs="Helvetica"/>
          <w:sz w:val="22"/>
          <w:szCs w:val="22"/>
        </w:rPr>
      </w:pPr>
      <w:r w:rsidRPr="00235A56">
        <w:rPr>
          <w:rFonts w:ascii="Helvetica" w:hAnsi="Helvetica" w:cs="Helvetica"/>
          <w:sz w:val="22"/>
          <w:szCs w:val="22"/>
        </w:rPr>
        <w:t xml:space="preserve">The Carnegie Classification </w:t>
      </w:r>
    </w:p>
    <w:p w:rsidR="005E3B44" w:rsidRPr="00235A56" w:rsidRDefault="005E3B44" w:rsidP="00E367D3">
      <w:pPr>
        <w:rPr>
          <w:rFonts w:ascii="Helvetica" w:hAnsi="Helvetica" w:cs="Helvetica"/>
          <w:sz w:val="22"/>
          <w:szCs w:val="22"/>
        </w:rPr>
      </w:pPr>
      <w:r w:rsidRPr="00235A56">
        <w:rPr>
          <w:rFonts w:ascii="Helvetica" w:hAnsi="Helvetica" w:cs="Helvetica"/>
          <w:sz w:val="22"/>
          <w:szCs w:val="22"/>
        </w:rPr>
        <w:t xml:space="preserve">The CCIHE comprises of six classification schemes: basic, undergraduate instructional program classification, graduate instructional program classification, enrolment profile classification, undergraduate profile classification and size &amp; setting classification. Of these the </w:t>
      </w:r>
      <w:r w:rsidRPr="00235A56">
        <w:rPr>
          <w:rFonts w:ascii="Helvetica" w:hAnsi="Helvetica" w:cs="Helvetica"/>
          <w:i/>
          <w:sz w:val="22"/>
          <w:szCs w:val="22"/>
        </w:rPr>
        <w:t>basic</w:t>
      </w:r>
      <w:r w:rsidRPr="00235A56">
        <w:rPr>
          <w:rFonts w:ascii="Helvetica" w:hAnsi="Helvetica" w:cs="Helvetica"/>
          <w:sz w:val="22"/>
          <w:szCs w:val="22"/>
        </w:rPr>
        <w:t xml:space="preserve"> is the original classification and is focused on higher education provider category </w:t>
      </w:r>
      <w:r w:rsidR="00A95BDC" w:rsidRPr="00235A56">
        <w:rPr>
          <w:rFonts w:ascii="Helvetica" w:hAnsi="Helvetica" w:cs="Helvetica"/>
          <w:b/>
          <w:sz w:val="22"/>
          <w:szCs w:val="22"/>
        </w:rPr>
        <w:lastRenderedPageBreak/>
        <w:t xml:space="preserve">(Table </w:t>
      </w:r>
      <w:r w:rsidR="00803942" w:rsidRPr="00235A56">
        <w:rPr>
          <w:rFonts w:ascii="Helvetica" w:hAnsi="Helvetica" w:cs="Helvetica"/>
          <w:b/>
          <w:sz w:val="22"/>
          <w:szCs w:val="22"/>
        </w:rPr>
        <w:t>2</w:t>
      </w:r>
      <w:r w:rsidRPr="00235A56">
        <w:rPr>
          <w:rFonts w:ascii="Helvetica" w:hAnsi="Helvetica" w:cs="Helvetica"/>
          <w:b/>
          <w:sz w:val="22"/>
          <w:szCs w:val="22"/>
        </w:rPr>
        <w:t>).</w:t>
      </w:r>
      <w:r w:rsidRPr="00235A56">
        <w:rPr>
          <w:rFonts w:ascii="Helvetica" w:hAnsi="Helvetica" w:cs="Helvetica"/>
          <w:sz w:val="22"/>
          <w:szCs w:val="22"/>
        </w:rPr>
        <w:t xml:space="preserve"> The classification is based on the type of degree offered by an institution, Doctoral, Masters, Baccalaureate and others. It includes both private and public institutions that offer these degrees. The sub-classifications consider size, disciplinary focus, dominant type of student and transferability. </w:t>
      </w:r>
    </w:p>
    <w:p w:rsidR="005E3B44" w:rsidRPr="00235A56" w:rsidRDefault="005E3B44" w:rsidP="00E367D3">
      <w:pPr>
        <w:rPr>
          <w:rFonts w:ascii="Helvetica" w:hAnsi="Helvetica" w:cs="Helvetica"/>
          <w:sz w:val="22"/>
          <w:szCs w:val="22"/>
        </w:rPr>
      </w:pPr>
      <w:r w:rsidRPr="00235A56">
        <w:rPr>
          <w:rFonts w:ascii="Helvetica" w:hAnsi="Helvetica" w:cs="Helvetica"/>
          <w:sz w:val="22"/>
          <w:szCs w:val="22"/>
        </w:rPr>
        <w:t xml:space="preserve">The CCIHE is primarily as a </w:t>
      </w:r>
      <w:r w:rsidRPr="00235A56">
        <w:rPr>
          <w:rFonts w:ascii="Helvetica" w:hAnsi="Helvetica" w:cs="Helvetica"/>
          <w:b/>
          <w:sz w:val="22"/>
          <w:szCs w:val="22"/>
        </w:rPr>
        <w:t>classification</w:t>
      </w:r>
      <w:r w:rsidRPr="00235A56">
        <w:rPr>
          <w:rFonts w:ascii="Helvetica" w:hAnsi="Helvetica" w:cs="Helvetica"/>
          <w:sz w:val="22"/>
          <w:szCs w:val="22"/>
        </w:rPr>
        <w:t xml:space="preserve"> tool and does not serve any </w:t>
      </w:r>
      <w:r w:rsidRPr="00235A56">
        <w:rPr>
          <w:rFonts w:ascii="Helvetica" w:hAnsi="Helvetica" w:cs="Helvetica"/>
          <w:b/>
          <w:sz w:val="22"/>
          <w:szCs w:val="22"/>
        </w:rPr>
        <w:t>regulatory</w:t>
      </w:r>
      <w:r w:rsidRPr="00235A56">
        <w:rPr>
          <w:rFonts w:ascii="Helvetica" w:hAnsi="Helvetica" w:cs="Helvetica"/>
          <w:sz w:val="22"/>
          <w:szCs w:val="22"/>
        </w:rPr>
        <w:t xml:space="preserve"> purpose nor does it reflect the </w:t>
      </w:r>
      <w:r w:rsidRPr="00235A56">
        <w:rPr>
          <w:rFonts w:ascii="Helvetica" w:hAnsi="Helvetica" w:cs="Helvetica"/>
          <w:b/>
          <w:sz w:val="22"/>
          <w:szCs w:val="22"/>
        </w:rPr>
        <w:t>quality</w:t>
      </w:r>
      <w:r w:rsidRPr="00235A56">
        <w:rPr>
          <w:rFonts w:ascii="Helvetica" w:hAnsi="Helvetica" w:cs="Helvetica"/>
          <w:sz w:val="22"/>
          <w:szCs w:val="22"/>
        </w:rPr>
        <w:t xml:space="preserve"> of the higher education institutions. </w:t>
      </w:r>
      <w:bookmarkStart w:id="7" w:name="_Hlk520469934"/>
      <w:r w:rsidRPr="00235A56">
        <w:rPr>
          <w:rFonts w:ascii="Helvetica" w:hAnsi="Helvetica" w:cs="Helvetica"/>
          <w:sz w:val="22"/>
          <w:szCs w:val="22"/>
        </w:rPr>
        <w:t>A key strength of the CCIHE is that it is simple, and this has led to its widespread use by a variety of stakeholders in the US higher education sector. Over the years, it has become embedded in the higher education lexicon of USA and has thus become a ‘basis of shared understanding’ (McCormick</w:t>
      </w:r>
      <w:r w:rsidR="002A0636" w:rsidRPr="00235A56">
        <w:rPr>
          <w:rFonts w:ascii="Helvetica" w:hAnsi="Helvetica" w:cs="Helvetica"/>
          <w:sz w:val="22"/>
          <w:szCs w:val="22"/>
        </w:rPr>
        <w:t>,</w:t>
      </w:r>
      <w:r w:rsidRPr="00235A56">
        <w:rPr>
          <w:rFonts w:ascii="Helvetica" w:hAnsi="Helvetica" w:cs="Helvetica"/>
          <w:sz w:val="22"/>
          <w:szCs w:val="22"/>
        </w:rPr>
        <w:t xml:space="preserve"> 2000). Although, critics of the CCIHE have offered other classification, none have been embraced by the higher education community (Borden</w:t>
      </w:r>
      <w:r w:rsidR="00803942" w:rsidRPr="00235A56">
        <w:rPr>
          <w:rFonts w:ascii="Helvetica" w:hAnsi="Helvetica" w:cs="Helvetica"/>
          <w:sz w:val="22"/>
          <w:szCs w:val="22"/>
        </w:rPr>
        <w:t xml:space="preserve"> et al</w:t>
      </w:r>
      <w:r w:rsidRPr="00235A56">
        <w:rPr>
          <w:rFonts w:ascii="Helvetica" w:hAnsi="Helvetica" w:cs="Helvetica"/>
          <w:sz w:val="22"/>
          <w:szCs w:val="22"/>
        </w:rPr>
        <w:t>, 2018)</w:t>
      </w:r>
    </w:p>
    <w:bookmarkEnd w:id="7"/>
    <w:p w:rsidR="005E3B44" w:rsidRPr="00235A56" w:rsidRDefault="005E3B44" w:rsidP="00E367D3">
      <w:pPr>
        <w:pStyle w:val="Heading3"/>
        <w:numPr>
          <w:ilvl w:val="2"/>
          <w:numId w:val="20"/>
        </w:numPr>
        <w:rPr>
          <w:rFonts w:ascii="Helvetica" w:hAnsi="Helvetica" w:cs="Helvetica"/>
          <w:sz w:val="22"/>
          <w:szCs w:val="22"/>
        </w:rPr>
      </w:pPr>
      <w:r w:rsidRPr="00235A56">
        <w:rPr>
          <w:rFonts w:ascii="Helvetica" w:hAnsi="Helvetica" w:cs="Helvetica"/>
          <w:sz w:val="22"/>
          <w:szCs w:val="22"/>
        </w:rPr>
        <w:t xml:space="preserve">Issues and Criticisms </w:t>
      </w:r>
    </w:p>
    <w:p w:rsidR="005E3B44" w:rsidRPr="00235A56" w:rsidRDefault="005E3B44" w:rsidP="00E367D3">
      <w:pPr>
        <w:pStyle w:val="ListParagraph"/>
        <w:numPr>
          <w:ilvl w:val="0"/>
          <w:numId w:val="13"/>
        </w:numPr>
        <w:rPr>
          <w:rFonts w:ascii="Helvetica" w:hAnsi="Helvetica" w:cs="Helvetica"/>
          <w:szCs w:val="21"/>
        </w:rPr>
      </w:pPr>
      <w:r w:rsidRPr="00235A56">
        <w:rPr>
          <w:rFonts w:ascii="Helvetica" w:hAnsi="Helvetica" w:cs="Helvetica"/>
          <w:b/>
          <w:i/>
          <w:szCs w:val="21"/>
        </w:rPr>
        <w:t>A priori</w:t>
      </w:r>
      <w:r w:rsidRPr="00235A56">
        <w:rPr>
          <w:rFonts w:ascii="Helvetica" w:hAnsi="Helvetica" w:cs="Helvetica"/>
          <w:b/>
          <w:szCs w:val="21"/>
        </w:rPr>
        <w:t xml:space="preserve"> approach</w:t>
      </w:r>
      <w:r w:rsidRPr="00235A56">
        <w:rPr>
          <w:rFonts w:ascii="Helvetica" w:hAnsi="Helvetica" w:cs="Helvetica"/>
          <w:szCs w:val="21"/>
        </w:rPr>
        <w:t>: A key criticism of the classification has been its ‘</w:t>
      </w:r>
      <w:r w:rsidRPr="00235A56">
        <w:rPr>
          <w:rFonts w:ascii="Helvetica" w:hAnsi="Helvetica" w:cs="Helvetica"/>
          <w:i/>
          <w:szCs w:val="21"/>
        </w:rPr>
        <w:t>a priori</w:t>
      </w:r>
      <w:r w:rsidRPr="00235A56">
        <w:rPr>
          <w:rFonts w:ascii="Helvetica" w:hAnsi="Helvetica" w:cs="Helvetica"/>
          <w:szCs w:val="21"/>
        </w:rPr>
        <w:t>’ approach to classification whereby institutions are classified according to categories defined by researchers in informed institutes (Brint et al</w:t>
      </w:r>
      <w:r w:rsidR="002A0636" w:rsidRPr="00235A56">
        <w:rPr>
          <w:rFonts w:ascii="Helvetica" w:hAnsi="Helvetica" w:cs="Helvetica"/>
          <w:szCs w:val="21"/>
        </w:rPr>
        <w:t>,</w:t>
      </w:r>
      <w:r w:rsidRPr="00235A56">
        <w:rPr>
          <w:rFonts w:ascii="Helvetica" w:hAnsi="Helvetica" w:cs="Helvetica"/>
          <w:szCs w:val="21"/>
        </w:rPr>
        <w:t xml:space="preserve"> 2006; Ruef and Nag</w:t>
      </w:r>
      <w:r w:rsidR="002A0636" w:rsidRPr="00235A56">
        <w:rPr>
          <w:rFonts w:ascii="Helvetica" w:hAnsi="Helvetica" w:cs="Helvetica"/>
          <w:szCs w:val="21"/>
        </w:rPr>
        <w:t>,</w:t>
      </w:r>
      <w:r w:rsidRPr="00235A56">
        <w:rPr>
          <w:rFonts w:ascii="Helvetica" w:hAnsi="Helvetica" w:cs="Helvetica"/>
          <w:szCs w:val="21"/>
        </w:rPr>
        <w:t xml:space="preserve"> 2015 in Borden</w:t>
      </w:r>
      <w:r w:rsidR="002A0636" w:rsidRPr="00235A56">
        <w:rPr>
          <w:rFonts w:ascii="Helvetica" w:hAnsi="Helvetica" w:cs="Helvetica"/>
          <w:szCs w:val="21"/>
        </w:rPr>
        <w:t xml:space="preserve"> </w:t>
      </w:r>
      <w:r w:rsidR="008364A0" w:rsidRPr="00235A56">
        <w:rPr>
          <w:rFonts w:ascii="Helvetica" w:hAnsi="Helvetica" w:cs="Helvetica"/>
          <w:szCs w:val="21"/>
        </w:rPr>
        <w:t xml:space="preserve">et </w:t>
      </w:r>
      <w:r w:rsidR="008445C2" w:rsidRPr="00235A56">
        <w:rPr>
          <w:rFonts w:ascii="Helvetica" w:hAnsi="Helvetica" w:cs="Helvetica"/>
          <w:szCs w:val="21"/>
        </w:rPr>
        <w:t>al,</w:t>
      </w:r>
      <w:r w:rsidRPr="00235A56">
        <w:rPr>
          <w:rFonts w:ascii="Helvetica" w:hAnsi="Helvetica" w:cs="Helvetica"/>
          <w:szCs w:val="21"/>
        </w:rPr>
        <w:t xml:space="preserve"> 2018). This approach is also inadequate in when it comes to identifying new and emerging forms of higher education institutions (Ruef and Nag, 2015 in Borden</w:t>
      </w:r>
      <w:r w:rsidR="008364A0" w:rsidRPr="00235A56">
        <w:rPr>
          <w:rFonts w:ascii="Helvetica" w:hAnsi="Helvetica" w:cs="Helvetica"/>
          <w:i/>
          <w:szCs w:val="21"/>
        </w:rPr>
        <w:t xml:space="preserve"> </w:t>
      </w:r>
      <w:r w:rsidR="008364A0" w:rsidRPr="00235A56">
        <w:rPr>
          <w:rFonts w:ascii="Helvetica" w:hAnsi="Helvetica" w:cs="Helvetica"/>
          <w:szCs w:val="21"/>
        </w:rPr>
        <w:t>et al</w:t>
      </w:r>
      <w:r w:rsidRPr="00235A56">
        <w:rPr>
          <w:rFonts w:ascii="Helvetica" w:hAnsi="Helvetica" w:cs="Helvetica"/>
          <w:szCs w:val="21"/>
        </w:rPr>
        <w:t xml:space="preserve">, 2018). </w:t>
      </w:r>
    </w:p>
    <w:p w:rsidR="005E3B44" w:rsidRPr="00235A56" w:rsidRDefault="005E3B44" w:rsidP="00E367D3">
      <w:pPr>
        <w:pStyle w:val="ListParagraph"/>
        <w:numPr>
          <w:ilvl w:val="0"/>
          <w:numId w:val="13"/>
        </w:numPr>
        <w:rPr>
          <w:rFonts w:ascii="Helvetica" w:hAnsi="Helvetica" w:cs="Helvetica"/>
          <w:szCs w:val="21"/>
        </w:rPr>
      </w:pPr>
      <w:r w:rsidRPr="00235A56">
        <w:rPr>
          <w:rFonts w:ascii="Helvetica" w:hAnsi="Helvetica" w:cs="Helvetica"/>
          <w:b/>
          <w:szCs w:val="21"/>
        </w:rPr>
        <w:t>CCIHE as rankings:</w:t>
      </w:r>
      <w:r w:rsidRPr="00235A56">
        <w:rPr>
          <w:rFonts w:ascii="Helvetica" w:hAnsi="Helvetica" w:cs="Helvetica"/>
          <w:szCs w:val="21"/>
        </w:rPr>
        <w:t xml:space="preserve"> The CCIHE has also come to be seen as a ranking system. As in other countries, diversification has resulted in what has been called ‘academic drift’. In the case of USA, universities have aspired to be classified in the presti</w:t>
      </w:r>
      <w:r w:rsidR="00A95BDC" w:rsidRPr="00235A56">
        <w:rPr>
          <w:rFonts w:ascii="Helvetica" w:hAnsi="Helvetica" w:cs="Helvetica"/>
          <w:szCs w:val="21"/>
        </w:rPr>
        <w:t>gious R1 category (See Table</w:t>
      </w:r>
      <w:r w:rsidR="008364A0" w:rsidRPr="00235A56">
        <w:rPr>
          <w:rFonts w:ascii="Helvetica" w:hAnsi="Helvetica" w:cs="Helvetica"/>
          <w:szCs w:val="21"/>
        </w:rPr>
        <w:t xml:space="preserve"> 2</w:t>
      </w:r>
      <w:r w:rsidRPr="00235A56">
        <w:rPr>
          <w:rFonts w:ascii="Helvetica" w:hAnsi="Helvetica" w:cs="Helvetica"/>
          <w:szCs w:val="21"/>
        </w:rPr>
        <w:t>). Previously, the most selective liberal arts colleges were classified as Liberal Arts 1, which gave other colleges to be placed in this category (Altbatch</w:t>
      </w:r>
      <w:r w:rsidR="002A0636" w:rsidRPr="00235A56">
        <w:rPr>
          <w:rFonts w:ascii="Helvetica" w:hAnsi="Helvetica" w:cs="Helvetica"/>
          <w:szCs w:val="21"/>
        </w:rPr>
        <w:t>,</w:t>
      </w:r>
      <w:r w:rsidR="008445C2" w:rsidRPr="00235A56">
        <w:rPr>
          <w:rFonts w:ascii="Helvetica" w:hAnsi="Helvetica" w:cs="Helvetica"/>
          <w:szCs w:val="21"/>
        </w:rPr>
        <w:t xml:space="preserve"> </w:t>
      </w:r>
      <w:r w:rsidRPr="00235A56">
        <w:rPr>
          <w:rFonts w:ascii="Helvetica" w:hAnsi="Helvetica" w:cs="Helvetica"/>
          <w:szCs w:val="21"/>
        </w:rPr>
        <w:t>2015). It has been argued that the order in which the categories are presented and the use of numeric for subcategories has also fuelled the perception of CCIHE as a ranking system (McCormick</w:t>
      </w:r>
      <w:r w:rsidR="002A0636" w:rsidRPr="00235A56">
        <w:rPr>
          <w:rFonts w:ascii="Helvetica" w:hAnsi="Helvetica" w:cs="Helvetica"/>
          <w:szCs w:val="21"/>
        </w:rPr>
        <w:t>,</w:t>
      </w:r>
      <w:r w:rsidRPr="00235A56">
        <w:rPr>
          <w:rFonts w:ascii="Helvetica" w:hAnsi="Helvetica" w:cs="Helvetica"/>
          <w:szCs w:val="21"/>
        </w:rPr>
        <w:t xml:space="preserve"> 2000)</w:t>
      </w:r>
      <w:r w:rsidR="006D0D0B" w:rsidRPr="00235A56">
        <w:rPr>
          <w:rFonts w:ascii="Helvetica" w:hAnsi="Helvetica" w:cs="Helvetica"/>
          <w:szCs w:val="21"/>
        </w:rPr>
        <w:t>.</w:t>
      </w:r>
      <w:r w:rsidRPr="00235A56">
        <w:rPr>
          <w:rFonts w:ascii="Helvetica" w:hAnsi="Helvetica" w:cs="Helvetica"/>
          <w:szCs w:val="21"/>
        </w:rPr>
        <w:t xml:space="preserve"> Within the Doctoral Universities category, a fall from R1 to R2 can be interpreted as a demotion, even though the classification does not re</w:t>
      </w:r>
      <w:r w:rsidR="006D0D0B" w:rsidRPr="00235A56">
        <w:rPr>
          <w:rFonts w:ascii="Helvetica" w:hAnsi="Helvetica" w:cs="Helvetica"/>
          <w:szCs w:val="21"/>
        </w:rPr>
        <w:t>flect quality (Mendenhall</w:t>
      </w:r>
      <w:r w:rsidR="002A0636" w:rsidRPr="00235A56">
        <w:rPr>
          <w:rFonts w:ascii="Helvetica" w:hAnsi="Helvetica" w:cs="Helvetica"/>
          <w:szCs w:val="21"/>
        </w:rPr>
        <w:t>,</w:t>
      </w:r>
      <w:r w:rsidR="006D0D0B" w:rsidRPr="00235A56">
        <w:rPr>
          <w:rFonts w:ascii="Helvetica" w:hAnsi="Helvetica" w:cs="Helvetica"/>
          <w:szCs w:val="21"/>
        </w:rPr>
        <w:t xml:space="preserve"> 2014)</w:t>
      </w:r>
      <w:r w:rsidRPr="00235A56">
        <w:rPr>
          <w:rFonts w:ascii="Helvetica" w:hAnsi="Helvetica" w:cs="Helvetica"/>
          <w:szCs w:val="21"/>
        </w:rPr>
        <w:t xml:space="preserve">. </w:t>
      </w:r>
    </w:p>
    <w:p w:rsidR="005E3B44" w:rsidRPr="00235A56" w:rsidRDefault="005E3B44" w:rsidP="00E367D3">
      <w:pPr>
        <w:pStyle w:val="ListParagraph"/>
        <w:numPr>
          <w:ilvl w:val="0"/>
          <w:numId w:val="13"/>
        </w:numPr>
        <w:rPr>
          <w:rFonts w:ascii="Helvetica" w:hAnsi="Helvetica" w:cs="Helvetica"/>
          <w:szCs w:val="21"/>
        </w:rPr>
      </w:pPr>
      <w:r w:rsidRPr="00235A56">
        <w:rPr>
          <w:rFonts w:ascii="Helvetica" w:hAnsi="Helvetica" w:cs="Helvetica"/>
          <w:b/>
          <w:szCs w:val="21"/>
        </w:rPr>
        <w:t>Gaming the system:</w:t>
      </w:r>
      <w:r w:rsidRPr="00235A56">
        <w:rPr>
          <w:rFonts w:ascii="Helvetica" w:hAnsi="Helvetica" w:cs="Helvetica"/>
          <w:szCs w:val="21"/>
        </w:rPr>
        <w:t xml:space="preserve"> To climb the ‘Carnegie rankings’ or to prevent a ‘demotion’ from happening, universities and colleges </w:t>
      </w:r>
      <w:r w:rsidR="008364A0" w:rsidRPr="00235A56">
        <w:rPr>
          <w:rFonts w:ascii="Helvetica" w:hAnsi="Helvetica" w:cs="Helvetica"/>
          <w:szCs w:val="21"/>
        </w:rPr>
        <w:t>- can</w:t>
      </w:r>
      <w:r w:rsidR="00DF7848" w:rsidRPr="00235A56">
        <w:rPr>
          <w:rFonts w:ascii="Helvetica" w:hAnsi="Helvetica" w:cs="Helvetica"/>
          <w:szCs w:val="21"/>
        </w:rPr>
        <w:t xml:space="preserve"> </w:t>
      </w:r>
      <w:r w:rsidRPr="00235A56">
        <w:rPr>
          <w:rFonts w:ascii="Helvetica" w:hAnsi="Helvetica" w:cs="Helvetica"/>
          <w:szCs w:val="21"/>
        </w:rPr>
        <w:t>game the system, by awarding more doctoral degrees in certain disciplines, hiring more faculty, reallocating and increasing research expenditure in targeted departments (Mendenhall</w:t>
      </w:r>
      <w:r w:rsidR="002A0636" w:rsidRPr="00235A56">
        <w:rPr>
          <w:rFonts w:ascii="Helvetica" w:hAnsi="Helvetica" w:cs="Helvetica"/>
          <w:szCs w:val="21"/>
        </w:rPr>
        <w:t>,</w:t>
      </w:r>
      <w:r w:rsidRPr="00235A56">
        <w:rPr>
          <w:rFonts w:ascii="Helvetica" w:hAnsi="Helvetica" w:cs="Helvetica"/>
          <w:szCs w:val="21"/>
        </w:rPr>
        <w:t xml:space="preserve"> 2014; McCormick</w:t>
      </w:r>
      <w:r w:rsidR="002A0636" w:rsidRPr="00235A56">
        <w:rPr>
          <w:rFonts w:ascii="Helvetica" w:hAnsi="Helvetica" w:cs="Helvetica"/>
          <w:szCs w:val="21"/>
        </w:rPr>
        <w:t>,</w:t>
      </w:r>
      <w:r w:rsidR="008445C2" w:rsidRPr="00235A56">
        <w:rPr>
          <w:rFonts w:ascii="Helvetica" w:hAnsi="Helvetica" w:cs="Helvetica"/>
          <w:szCs w:val="21"/>
        </w:rPr>
        <w:t xml:space="preserve"> </w:t>
      </w:r>
      <w:r w:rsidRPr="00235A56">
        <w:rPr>
          <w:rFonts w:ascii="Helvetica" w:hAnsi="Helvetica" w:cs="Helvetica"/>
          <w:szCs w:val="21"/>
        </w:rPr>
        <w:t xml:space="preserve">2013). </w:t>
      </w:r>
    </w:p>
    <w:p w:rsidR="005E3B44" w:rsidRPr="00235A56" w:rsidRDefault="005E3B44" w:rsidP="00E367D3">
      <w:pPr>
        <w:pStyle w:val="ListParagraph"/>
        <w:numPr>
          <w:ilvl w:val="0"/>
          <w:numId w:val="13"/>
        </w:numPr>
        <w:rPr>
          <w:rFonts w:ascii="Helvetica" w:hAnsi="Helvetica" w:cs="Helvetica"/>
          <w:szCs w:val="21"/>
        </w:rPr>
      </w:pPr>
      <w:r w:rsidRPr="00235A56">
        <w:rPr>
          <w:rFonts w:ascii="Helvetica" w:hAnsi="Helvetica" w:cs="Helvetica"/>
          <w:b/>
          <w:szCs w:val="21"/>
        </w:rPr>
        <w:t xml:space="preserve">Inadequate reflection of an institutions mission: </w:t>
      </w:r>
      <w:r w:rsidRPr="00235A56">
        <w:rPr>
          <w:rFonts w:ascii="Helvetica" w:hAnsi="Helvetica" w:cs="Helvetica"/>
          <w:szCs w:val="21"/>
        </w:rPr>
        <w:t>The CCIHE does not address the ‘traditional components of mission equally’ and places more emphasis on research, as opposed to teaching (via degrees conferred and fields covered), while service is neglected (McCormick</w:t>
      </w:r>
      <w:r w:rsidR="002A0636" w:rsidRPr="00235A56">
        <w:rPr>
          <w:rFonts w:ascii="Helvetica" w:hAnsi="Helvetica" w:cs="Helvetica"/>
          <w:szCs w:val="21"/>
        </w:rPr>
        <w:t>,</w:t>
      </w:r>
      <w:r w:rsidRPr="00235A56">
        <w:rPr>
          <w:rFonts w:ascii="Helvetica" w:hAnsi="Helvetica" w:cs="Helvetica"/>
          <w:szCs w:val="21"/>
        </w:rPr>
        <w:t xml:space="preserve"> 2000)</w:t>
      </w:r>
    </w:p>
    <w:p w:rsidR="005E3B44" w:rsidRPr="00235A56" w:rsidRDefault="005E3B44" w:rsidP="00E367D3">
      <w:pPr>
        <w:pStyle w:val="ListParagraph"/>
        <w:numPr>
          <w:ilvl w:val="0"/>
          <w:numId w:val="13"/>
        </w:numPr>
        <w:rPr>
          <w:rFonts w:ascii="Helvetica" w:hAnsi="Helvetica" w:cs="Helvetica"/>
          <w:szCs w:val="21"/>
        </w:rPr>
      </w:pPr>
      <w:r w:rsidRPr="00235A56">
        <w:rPr>
          <w:rFonts w:ascii="Helvetica" w:hAnsi="Helvetica" w:cs="Helvetica"/>
          <w:b/>
          <w:szCs w:val="21"/>
        </w:rPr>
        <w:t>Loss of identity:</w:t>
      </w:r>
      <w:r w:rsidRPr="00235A56">
        <w:rPr>
          <w:rFonts w:ascii="Helvetica" w:hAnsi="Helvetica" w:cs="Helvetica"/>
          <w:szCs w:val="21"/>
        </w:rPr>
        <w:t xml:space="preserve"> As CCIHE designation is often equated with institutional identity, this has led to a ‘loss of identity’ (Zhao</w:t>
      </w:r>
      <w:r w:rsidR="002A0636" w:rsidRPr="00235A56">
        <w:rPr>
          <w:rFonts w:ascii="Helvetica" w:hAnsi="Helvetica" w:cs="Helvetica"/>
          <w:szCs w:val="21"/>
        </w:rPr>
        <w:t>,</w:t>
      </w:r>
      <w:r w:rsidRPr="00235A56">
        <w:rPr>
          <w:rFonts w:ascii="Helvetica" w:hAnsi="Helvetica" w:cs="Helvetica"/>
          <w:szCs w:val="21"/>
        </w:rPr>
        <w:t xml:space="preserve"> 2011). In some cases, the designated classification of a higher education has been at odds with its identity, for example, those institutions that identify as Liberal Arts colleges while also having graduate programs of significant size (McCormick</w:t>
      </w:r>
      <w:r w:rsidR="002A0636" w:rsidRPr="00235A56">
        <w:rPr>
          <w:rFonts w:ascii="Helvetica" w:hAnsi="Helvetica" w:cs="Helvetica"/>
          <w:szCs w:val="21"/>
        </w:rPr>
        <w:t>,</w:t>
      </w:r>
      <w:r w:rsidRPr="00235A56">
        <w:rPr>
          <w:rFonts w:ascii="Helvetica" w:hAnsi="Helvetica" w:cs="Helvetica"/>
          <w:szCs w:val="21"/>
        </w:rPr>
        <w:t>201</w:t>
      </w:r>
      <w:r w:rsidR="004B09B4" w:rsidRPr="00235A56">
        <w:rPr>
          <w:rFonts w:ascii="Helvetica" w:hAnsi="Helvetica" w:cs="Helvetica"/>
          <w:szCs w:val="21"/>
        </w:rPr>
        <w:t>3</w:t>
      </w:r>
      <w:r w:rsidRPr="00235A56">
        <w:rPr>
          <w:rFonts w:ascii="Helvetica" w:hAnsi="Helvetica" w:cs="Helvetica"/>
          <w:szCs w:val="21"/>
        </w:rPr>
        <w:t xml:space="preserve">). </w:t>
      </w:r>
    </w:p>
    <w:p w:rsidR="005E3C3A" w:rsidRPr="00235A56" w:rsidRDefault="005E3C3A" w:rsidP="00E367D3">
      <w:pPr>
        <w:pStyle w:val="ListParagraph"/>
        <w:numPr>
          <w:ilvl w:val="0"/>
          <w:numId w:val="13"/>
        </w:numPr>
        <w:rPr>
          <w:rFonts w:ascii="Helvetica" w:hAnsi="Helvetica" w:cs="Helvetica"/>
          <w:szCs w:val="21"/>
        </w:rPr>
      </w:pPr>
      <w:r w:rsidRPr="00235A56">
        <w:rPr>
          <w:rFonts w:ascii="Helvetica" w:hAnsi="Helvetica" w:cs="Helvetica"/>
          <w:b/>
          <w:szCs w:val="21"/>
        </w:rPr>
        <w:t>Unintended use of the classification</w:t>
      </w:r>
      <w:r w:rsidRPr="00235A56">
        <w:rPr>
          <w:rFonts w:ascii="Helvetica" w:hAnsi="Helvetica" w:cs="Helvetica"/>
          <w:szCs w:val="21"/>
        </w:rPr>
        <w:t>: Although it was first developed to serve as an analytical tool for higher education research, it is now widely used by a variety of users for other purposes, not originally intended.</w:t>
      </w:r>
      <w:r w:rsidR="00DF7848" w:rsidRPr="00235A56">
        <w:rPr>
          <w:rFonts w:ascii="Helvetica" w:hAnsi="Helvetica" w:cs="Helvetica"/>
          <w:szCs w:val="21"/>
        </w:rPr>
        <w:t xml:space="preserve"> </w:t>
      </w:r>
      <w:r w:rsidRPr="00235A56">
        <w:rPr>
          <w:rFonts w:ascii="Helvetica" w:hAnsi="Helvetica" w:cs="Helvetica"/>
          <w:szCs w:val="21"/>
        </w:rPr>
        <w:t xml:space="preserve">The CCIHE has been used by the </w:t>
      </w:r>
      <w:r w:rsidRPr="00235A56">
        <w:rPr>
          <w:rFonts w:ascii="Helvetica" w:hAnsi="Helvetica" w:cs="Helvetica"/>
          <w:i/>
          <w:szCs w:val="21"/>
        </w:rPr>
        <w:t>US News &amp; World Report</w:t>
      </w:r>
      <w:r w:rsidRPr="00235A56">
        <w:rPr>
          <w:rFonts w:ascii="Helvetica" w:hAnsi="Helvetica" w:cs="Helvetica"/>
          <w:szCs w:val="21"/>
        </w:rPr>
        <w:t xml:space="preserve"> in their annual rankings of higher education institutes in USA. </w:t>
      </w:r>
      <w:r w:rsidRPr="00235A56">
        <w:rPr>
          <w:rFonts w:ascii="Helvetica" w:hAnsi="Helvetica" w:cs="Helvetica"/>
          <w:szCs w:val="21"/>
        </w:rPr>
        <w:lastRenderedPageBreak/>
        <w:t xml:space="preserve">Elsewhere, foundations have linked the eligibility for particular grant schemes to the designated classification in </w:t>
      </w:r>
      <w:r w:rsidR="00C44B9F" w:rsidRPr="00235A56">
        <w:rPr>
          <w:rFonts w:ascii="Helvetica" w:hAnsi="Helvetica" w:cs="Helvetica"/>
          <w:szCs w:val="21"/>
        </w:rPr>
        <w:t>CCIHE (</w:t>
      </w:r>
      <w:r w:rsidR="009A0613" w:rsidRPr="00235A56">
        <w:rPr>
          <w:rFonts w:ascii="Helvetica" w:hAnsi="Helvetica" w:cs="Helvetica"/>
          <w:szCs w:val="21"/>
        </w:rPr>
        <w:t>McCormick &amp; Zhao</w:t>
      </w:r>
      <w:r w:rsidR="002A0636" w:rsidRPr="00235A56">
        <w:rPr>
          <w:rFonts w:ascii="Helvetica" w:hAnsi="Helvetica" w:cs="Helvetica"/>
          <w:szCs w:val="21"/>
        </w:rPr>
        <w:t>,</w:t>
      </w:r>
      <w:r w:rsidR="009A0613" w:rsidRPr="00235A56">
        <w:rPr>
          <w:rFonts w:ascii="Helvetica" w:hAnsi="Helvetica" w:cs="Helvetica"/>
          <w:szCs w:val="21"/>
        </w:rPr>
        <w:t>2005)</w:t>
      </w:r>
      <w:r w:rsidRPr="00235A56">
        <w:rPr>
          <w:rFonts w:ascii="Helvetica" w:hAnsi="Helvetica" w:cs="Helvetica"/>
          <w:szCs w:val="21"/>
        </w:rPr>
        <w:t>.</w:t>
      </w:r>
    </w:p>
    <w:p w:rsidR="001414C1" w:rsidRPr="00235A56" w:rsidRDefault="001414C1" w:rsidP="001414C1">
      <w:pPr>
        <w:pStyle w:val="Caption"/>
        <w:rPr>
          <w:rFonts w:ascii="Helvetica" w:hAnsi="Helvetica" w:cs="Helvetica"/>
          <w:sz w:val="16"/>
          <w:szCs w:val="16"/>
        </w:rPr>
      </w:pPr>
    </w:p>
    <w:p w:rsidR="004B09B4" w:rsidRPr="00235A56" w:rsidRDefault="004B09B4" w:rsidP="00353191">
      <w:pPr>
        <w:pStyle w:val="Caption"/>
        <w:keepNext/>
        <w:rPr>
          <w:rFonts w:ascii="Helvetica" w:hAnsi="Helvetica" w:cs="Helvetica"/>
          <w:b/>
          <w:sz w:val="16"/>
          <w:szCs w:val="16"/>
        </w:rPr>
      </w:pPr>
      <w:r w:rsidRPr="00235A56">
        <w:rPr>
          <w:rFonts w:ascii="Helvetica" w:hAnsi="Helvetica" w:cs="Helvetica"/>
          <w:b/>
          <w:sz w:val="16"/>
          <w:szCs w:val="16"/>
        </w:rPr>
        <w:t xml:space="preserve">Table </w:t>
      </w:r>
      <w:r w:rsidRPr="00235A56">
        <w:rPr>
          <w:rFonts w:ascii="Helvetica" w:hAnsi="Helvetica" w:cs="Helvetica"/>
          <w:b/>
          <w:noProof/>
          <w:sz w:val="16"/>
          <w:szCs w:val="16"/>
        </w:rPr>
        <w:t>2</w:t>
      </w:r>
      <w:r w:rsidRPr="00235A56">
        <w:rPr>
          <w:rFonts w:ascii="Helvetica" w:hAnsi="Helvetica" w:cs="Helvetica"/>
          <w:b/>
          <w:sz w:val="16"/>
          <w:szCs w:val="16"/>
        </w:rPr>
        <w:t>: The Carnegie Classification of the Institutes of Higher Education 2015 (</w:t>
      </w:r>
      <w:r w:rsidR="009A0613" w:rsidRPr="00235A56">
        <w:rPr>
          <w:rFonts w:ascii="Helvetica" w:hAnsi="Helvetica" w:cs="Helvetica"/>
          <w:b/>
          <w:sz w:val="16"/>
          <w:szCs w:val="16"/>
        </w:rPr>
        <w:t>Adapted from</w:t>
      </w:r>
      <w:r w:rsidRPr="00235A56">
        <w:rPr>
          <w:rFonts w:ascii="Helvetica" w:hAnsi="Helvetica" w:cs="Helvetica"/>
          <w:b/>
          <w:sz w:val="16"/>
          <w:szCs w:val="16"/>
        </w:rPr>
        <w:t>: Carnegie</w:t>
      </w:r>
      <w:r w:rsidR="002A0636" w:rsidRPr="00235A56">
        <w:rPr>
          <w:rFonts w:ascii="Helvetica" w:hAnsi="Helvetica" w:cs="Helvetica"/>
          <w:b/>
          <w:sz w:val="16"/>
          <w:szCs w:val="16"/>
        </w:rPr>
        <w:t>,</w:t>
      </w:r>
      <w:r w:rsidR="00C44B9F" w:rsidRPr="00235A56">
        <w:rPr>
          <w:rFonts w:ascii="Helvetica" w:hAnsi="Helvetica" w:cs="Helvetica"/>
          <w:b/>
          <w:sz w:val="16"/>
          <w:szCs w:val="16"/>
        </w:rPr>
        <w:t>2016</w:t>
      </w:r>
      <w:r w:rsidR="002A0636" w:rsidRPr="00235A56">
        <w:rPr>
          <w:rFonts w:ascii="Helvetica" w:hAnsi="Helvetica" w:cs="Helvetica"/>
          <w:b/>
          <w:sz w:val="16"/>
          <w:szCs w:val="16"/>
        </w:rPr>
        <w:t>;</w:t>
      </w:r>
      <w:r w:rsidR="00C44B9F" w:rsidRPr="00235A56">
        <w:rPr>
          <w:rFonts w:ascii="Helvetica" w:hAnsi="Helvetica" w:cs="Helvetica"/>
          <w:b/>
          <w:sz w:val="16"/>
          <w:szCs w:val="16"/>
        </w:rPr>
        <w:t xml:space="preserve"> Carnegie</w:t>
      </w:r>
      <w:r w:rsidR="002A0636" w:rsidRPr="00235A56">
        <w:rPr>
          <w:rFonts w:ascii="Helvetica" w:hAnsi="Helvetica" w:cs="Helvetica"/>
          <w:b/>
          <w:sz w:val="16"/>
          <w:szCs w:val="16"/>
        </w:rPr>
        <w:t>,</w:t>
      </w:r>
      <w:r w:rsidR="009A0613" w:rsidRPr="00235A56">
        <w:rPr>
          <w:rFonts w:ascii="Helvetica" w:hAnsi="Helvetica" w:cs="Helvetica"/>
          <w:b/>
          <w:sz w:val="16"/>
          <w:szCs w:val="16"/>
        </w:rPr>
        <w:t>2018</w:t>
      </w:r>
      <w:r w:rsidRPr="00235A56">
        <w:rPr>
          <w:rFonts w:ascii="Helvetica" w:hAnsi="Helvetica" w:cs="Helvetica"/>
          <w:b/>
          <w:sz w:val="16"/>
          <w:szCs w:val="16"/>
        </w:rPr>
        <w:t>)</w:t>
      </w:r>
    </w:p>
    <w:tbl>
      <w:tblPr>
        <w:tblStyle w:val="TableGrid2"/>
        <w:tblpPr w:leftFromText="180" w:rightFromText="180" w:vertAnchor="text" w:horzAnchor="margin" w:tblpY="316"/>
        <w:tblW w:w="9067" w:type="dxa"/>
        <w:tblLayout w:type="fixed"/>
        <w:tblLook w:val="0600" w:firstRow="0" w:lastRow="0" w:firstColumn="0" w:lastColumn="0" w:noHBand="1" w:noVBand="1"/>
      </w:tblPr>
      <w:tblGrid>
        <w:gridCol w:w="1838"/>
        <w:gridCol w:w="2835"/>
        <w:gridCol w:w="1559"/>
        <w:gridCol w:w="2835"/>
      </w:tblGrid>
      <w:tr w:rsidR="00AB6FEF" w:rsidRPr="00235A56" w:rsidTr="00A248CA">
        <w:trPr>
          <w:trHeight w:val="416"/>
          <w:tblHeader/>
        </w:trPr>
        <w:tc>
          <w:tcPr>
            <w:tcW w:w="1838" w:type="dxa"/>
            <w:shd w:val="clear" w:color="auto" w:fill="B4C6E7"/>
          </w:tcPr>
          <w:p w:rsidR="005E3C3A" w:rsidRPr="00235A56" w:rsidRDefault="005E3C3A" w:rsidP="002A1BFA">
            <w:pPr>
              <w:jc w:val="left"/>
              <w:rPr>
                <w:rFonts w:ascii="Helvetica" w:hAnsi="Helvetica" w:cs="Helvetica"/>
                <w:b/>
                <w:bCs/>
                <w:sz w:val="20"/>
                <w:szCs w:val="20"/>
              </w:rPr>
            </w:pPr>
            <w:r w:rsidRPr="00235A56">
              <w:rPr>
                <w:rFonts w:ascii="Helvetica" w:hAnsi="Helvetica" w:cs="Helvetica"/>
                <w:b/>
                <w:bCs/>
                <w:sz w:val="20"/>
                <w:szCs w:val="20"/>
              </w:rPr>
              <w:t>Main</w:t>
            </w:r>
            <w:r w:rsidR="00616A16" w:rsidRPr="00235A56">
              <w:rPr>
                <w:rFonts w:ascii="Helvetica" w:hAnsi="Helvetica" w:cs="Helvetica"/>
                <w:b/>
                <w:bCs/>
                <w:sz w:val="20"/>
                <w:szCs w:val="20"/>
              </w:rPr>
              <w:t xml:space="preserve"> </w:t>
            </w:r>
            <w:r w:rsidRPr="00235A56">
              <w:rPr>
                <w:rFonts w:ascii="Helvetica" w:hAnsi="Helvetica" w:cs="Helvetica"/>
                <w:b/>
                <w:bCs/>
                <w:sz w:val="20"/>
                <w:szCs w:val="20"/>
              </w:rPr>
              <w:t>Classification</w:t>
            </w:r>
          </w:p>
        </w:tc>
        <w:tc>
          <w:tcPr>
            <w:tcW w:w="2835" w:type="dxa"/>
            <w:shd w:val="clear" w:color="auto" w:fill="B4C6E7"/>
          </w:tcPr>
          <w:p w:rsidR="005E3C3A" w:rsidRPr="00235A56" w:rsidRDefault="005E3C3A" w:rsidP="002A1BFA">
            <w:pPr>
              <w:jc w:val="left"/>
              <w:rPr>
                <w:rFonts w:ascii="Helvetica" w:hAnsi="Helvetica" w:cs="Helvetica"/>
                <w:b/>
                <w:bCs/>
                <w:sz w:val="20"/>
                <w:szCs w:val="20"/>
              </w:rPr>
            </w:pPr>
            <w:r w:rsidRPr="00235A56">
              <w:rPr>
                <w:rFonts w:ascii="Helvetica" w:hAnsi="Helvetica" w:cs="Helvetica"/>
                <w:b/>
                <w:bCs/>
                <w:sz w:val="20"/>
                <w:szCs w:val="20"/>
              </w:rPr>
              <w:t>Sub-Classification</w:t>
            </w:r>
          </w:p>
        </w:tc>
        <w:tc>
          <w:tcPr>
            <w:tcW w:w="1559" w:type="dxa"/>
            <w:shd w:val="clear" w:color="auto" w:fill="B4C6E7"/>
          </w:tcPr>
          <w:p w:rsidR="005E3C3A" w:rsidRPr="00235A56" w:rsidRDefault="005E3C3A" w:rsidP="002A1BFA">
            <w:pPr>
              <w:jc w:val="left"/>
              <w:rPr>
                <w:rFonts w:ascii="Helvetica" w:hAnsi="Helvetica" w:cs="Helvetica"/>
                <w:b/>
                <w:bCs/>
                <w:sz w:val="20"/>
                <w:szCs w:val="20"/>
              </w:rPr>
            </w:pPr>
            <w:r w:rsidRPr="00235A56">
              <w:rPr>
                <w:rFonts w:ascii="Helvetica" w:hAnsi="Helvetica" w:cs="Helvetica"/>
                <w:b/>
                <w:bCs/>
                <w:sz w:val="20"/>
                <w:szCs w:val="20"/>
              </w:rPr>
              <w:t xml:space="preserve">Number of Institutions </w:t>
            </w:r>
          </w:p>
        </w:tc>
        <w:tc>
          <w:tcPr>
            <w:tcW w:w="2835" w:type="dxa"/>
            <w:shd w:val="clear" w:color="auto" w:fill="B4C6E7"/>
          </w:tcPr>
          <w:p w:rsidR="005E3C3A" w:rsidRPr="00235A56" w:rsidRDefault="005E3C3A" w:rsidP="002A1BFA">
            <w:pPr>
              <w:jc w:val="left"/>
              <w:rPr>
                <w:rFonts w:ascii="Helvetica" w:hAnsi="Helvetica" w:cs="Helvetica"/>
                <w:b/>
                <w:bCs/>
                <w:sz w:val="20"/>
                <w:szCs w:val="20"/>
              </w:rPr>
            </w:pPr>
            <w:r w:rsidRPr="00235A56">
              <w:rPr>
                <w:rFonts w:ascii="Helvetica" w:hAnsi="Helvetica" w:cs="Helvetica"/>
                <w:b/>
                <w:bCs/>
                <w:sz w:val="20"/>
                <w:szCs w:val="20"/>
              </w:rPr>
              <w:t>Criteria</w:t>
            </w:r>
          </w:p>
        </w:tc>
      </w:tr>
      <w:tr w:rsidR="00AB6FEF" w:rsidRPr="00235A56" w:rsidTr="002A1BFA">
        <w:trPr>
          <w:trHeight w:val="352"/>
        </w:trPr>
        <w:tc>
          <w:tcPr>
            <w:tcW w:w="1838" w:type="dxa"/>
            <w:vMerge w:val="restart"/>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Doctoral Universities</w:t>
            </w:r>
          </w:p>
        </w:tc>
        <w:tc>
          <w:tcPr>
            <w:tcW w:w="2835" w:type="dxa"/>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 xml:space="preserve">R1: Highest research activity </w:t>
            </w:r>
          </w:p>
        </w:tc>
        <w:tc>
          <w:tcPr>
            <w:tcW w:w="1559" w:type="dxa"/>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115</w:t>
            </w:r>
          </w:p>
        </w:tc>
        <w:tc>
          <w:tcPr>
            <w:tcW w:w="2835" w:type="dxa"/>
            <w:vMerge w:val="restart"/>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Includes institutions that award at least 20 research/scholarship doctoral degrees. It does not include professional practice doctoral-level degrees. Sub categories are based on level of research activity</w:t>
            </w:r>
          </w:p>
        </w:tc>
      </w:tr>
      <w:tr w:rsidR="00AB6FEF" w:rsidRPr="00235A56" w:rsidTr="002A1BFA">
        <w:trPr>
          <w:trHeight w:val="399"/>
        </w:trPr>
        <w:tc>
          <w:tcPr>
            <w:tcW w:w="1838" w:type="dxa"/>
            <w:vMerge/>
          </w:tcPr>
          <w:p w:rsidR="005E3C3A" w:rsidRPr="00235A56" w:rsidRDefault="005E3C3A" w:rsidP="00615EF7">
            <w:pPr>
              <w:jc w:val="left"/>
              <w:rPr>
                <w:rFonts w:ascii="Helvetica" w:hAnsi="Helvetica" w:cs="Helvetica"/>
                <w:sz w:val="20"/>
                <w:szCs w:val="20"/>
              </w:rPr>
            </w:pPr>
          </w:p>
        </w:tc>
        <w:tc>
          <w:tcPr>
            <w:tcW w:w="2835" w:type="dxa"/>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 xml:space="preserve">R2: Medium research activity </w:t>
            </w:r>
          </w:p>
        </w:tc>
        <w:tc>
          <w:tcPr>
            <w:tcW w:w="1559" w:type="dxa"/>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107</w:t>
            </w:r>
          </w:p>
        </w:tc>
        <w:tc>
          <w:tcPr>
            <w:tcW w:w="2835" w:type="dxa"/>
            <w:vMerge/>
          </w:tcPr>
          <w:p w:rsidR="005E3C3A" w:rsidRPr="00235A56" w:rsidRDefault="005E3C3A" w:rsidP="00615EF7">
            <w:pPr>
              <w:jc w:val="left"/>
              <w:rPr>
                <w:rFonts w:ascii="Helvetica" w:hAnsi="Helvetica" w:cs="Helvetica"/>
                <w:sz w:val="20"/>
                <w:szCs w:val="20"/>
              </w:rPr>
            </w:pPr>
          </w:p>
        </w:tc>
      </w:tr>
      <w:tr w:rsidR="00AB6FEF" w:rsidRPr="00235A56" w:rsidTr="002A1BFA">
        <w:trPr>
          <w:trHeight w:val="917"/>
        </w:trPr>
        <w:tc>
          <w:tcPr>
            <w:tcW w:w="1838" w:type="dxa"/>
            <w:vMerge/>
          </w:tcPr>
          <w:p w:rsidR="005E3C3A" w:rsidRPr="00235A56" w:rsidRDefault="005E3C3A" w:rsidP="00615EF7">
            <w:pPr>
              <w:jc w:val="left"/>
              <w:rPr>
                <w:rFonts w:ascii="Helvetica" w:hAnsi="Helvetica" w:cs="Helvetica"/>
                <w:sz w:val="20"/>
                <w:szCs w:val="20"/>
              </w:rPr>
            </w:pPr>
          </w:p>
        </w:tc>
        <w:tc>
          <w:tcPr>
            <w:tcW w:w="2835" w:type="dxa"/>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R3: Lowest research activity</w:t>
            </w:r>
          </w:p>
        </w:tc>
        <w:tc>
          <w:tcPr>
            <w:tcW w:w="1559" w:type="dxa"/>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113</w:t>
            </w:r>
          </w:p>
        </w:tc>
        <w:tc>
          <w:tcPr>
            <w:tcW w:w="2835" w:type="dxa"/>
            <w:vMerge/>
          </w:tcPr>
          <w:p w:rsidR="005E3C3A" w:rsidRPr="00235A56" w:rsidRDefault="005E3C3A" w:rsidP="00615EF7">
            <w:pPr>
              <w:jc w:val="left"/>
              <w:rPr>
                <w:rFonts w:ascii="Helvetica" w:hAnsi="Helvetica" w:cs="Helvetica"/>
                <w:sz w:val="20"/>
                <w:szCs w:val="20"/>
              </w:rPr>
            </w:pPr>
          </w:p>
        </w:tc>
      </w:tr>
      <w:tr w:rsidR="00AB6FEF" w:rsidRPr="00235A56" w:rsidTr="002A1BFA">
        <w:trPr>
          <w:trHeight w:val="406"/>
        </w:trPr>
        <w:tc>
          <w:tcPr>
            <w:tcW w:w="1838" w:type="dxa"/>
            <w:vMerge w:val="restart"/>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Master’s Colleges and Universities</w:t>
            </w:r>
          </w:p>
        </w:tc>
        <w:tc>
          <w:tcPr>
            <w:tcW w:w="2835" w:type="dxa"/>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M1: Larger Programs</w:t>
            </w:r>
          </w:p>
          <w:p w:rsidR="005E3C3A" w:rsidRPr="00235A56" w:rsidRDefault="005E3C3A" w:rsidP="00615EF7">
            <w:pPr>
              <w:jc w:val="left"/>
              <w:rPr>
                <w:rFonts w:ascii="Helvetica" w:hAnsi="Helvetica" w:cs="Helvetica"/>
                <w:sz w:val="20"/>
                <w:szCs w:val="20"/>
              </w:rPr>
            </w:pPr>
          </w:p>
        </w:tc>
        <w:tc>
          <w:tcPr>
            <w:tcW w:w="1559" w:type="dxa"/>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393</w:t>
            </w:r>
          </w:p>
        </w:tc>
        <w:tc>
          <w:tcPr>
            <w:tcW w:w="2835" w:type="dxa"/>
            <w:vMerge w:val="restart"/>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Includes institutions that award at least 50 master’s degrees and fewer than 20 doctoral degrees</w:t>
            </w:r>
          </w:p>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Sub categories are based on the size of the program</w:t>
            </w:r>
          </w:p>
        </w:tc>
      </w:tr>
      <w:tr w:rsidR="00AB6FEF" w:rsidRPr="00235A56" w:rsidTr="002A1BFA">
        <w:trPr>
          <w:trHeight w:val="347"/>
        </w:trPr>
        <w:tc>
          <w:tcPr>
            <w:tcW w:w="1838" w:type="dxa"/>
            <w:vMerge/>
          </w:tcPr>
          <w:p w:rsidR="005E3C3A" w:rsidRPr="00235A56" w:rsidRDefault="005E3C3A" w:rsidP="00615EF7">
            <w:pPr>
              <w:jc w:val="left"/>
              <w:rPr>
                <w:rFonts w:ascii="Helvetica" w:hAnsi="Helvetica" w:cs="Helvetica"/>
                <w:sz w:val="20"/>
                <w:szCs w:val="20"/>
              </w:rPr>
            </w:pPr>
          </w:p>
        </w:tc>
        <w:tc>
          <w:tcPr>
            <w:tcW w:w="2835" w:type="dxa"/>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M2: Medium Programs</w:t>
            </w:r>
          </w:p>
          <w:p w:rsidR="005E3C3A" w:rsidRPr="00235A56" w:rsidRDefault="005E3C3A" w:rsidP="00615EF7">
            <w:pPr>
              <w:jc w:val="left"/>
              <w:rPr>
                <w:rFonts w:ascii="Helvetica" w:hAnsi="Helvetica" w:cs="Helvetica"/>
                <w:sz w:val="20"/>
                <w:szCs w:val="20"/>
              </w:rPr>
            </w:pPr>
          </w:p>
        </w:tc>
        <w:tc>
          <w:tcPr>
            <w:tcW w:w="1559" w:type="dxa"/>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207</w:t>
            </w:r>
          </w:p>
        </w:tc>
        <w:tc>
          <w:tcPr>
            <w:tcW w:w="2835" w:type="dxa"/>
            <w:vMerge/>
          </w:tcPr>
          <w:p w:rsidR="005E3C3A" w:rsidRPr="00235A56" w:rsidRDefault="005E3C3A" w:rsidP="00615EF7">
            <w:pPr>
              <w:jc w:val="left"/>
              <w:rPr>
                <w:rFonts w:ascii="Helvetica" w:hAnsi="Helvetica" w:cs="Helvetica"/>
                <w:sz w:val="20"/>
                <w:szCs w:val="20"/>
              </w:rPr>
            </w:pPr>
          </w:p>
        </w:tc>
      </w:tr>
      <w:tr w:rsidR="00AB6FEF" w:rsidRPr="00235A56" w:rsidTr="002A1BFA">
        <w:trPr>
          <w:trHeight w:val="325"/>
        </w:trPr>
        <w:tc>
          <w:tcPr>
            <w:tcW w:w="1838" w:type="dxa"/>
            <w:vMerge/>
          </w:tcPr>
          <w:p w:rsidR="005E3C3A" w:rsidRPr="00235A56" w:rsidRDefault="005E3C3A" w:rsidP="00615EF7">
            <w:pPr>
              <w:jc w:val="left"/>
              <w:rPr>
                <w:rFonts w:ascii="Helvetica" w:hAnsi="Helvetica" w:cs="Helvetica"/>
                <w:sz w:val="20"/>
                <w:szCs w:val="20"/>
              </w:rPr>
            </w:pPr>
          </w:p>
        </w:tc>
        <w:tc>
          <w:tcPr>
            <w:tcW w:w="2835" w:type="dxa"/>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M3: Smaller Programs</w:t>
            </w:r>
          </w:p>
          <w:p w:rsidR="005E3C3A" w:rsidRPr="00235A56" w:rsidRDefault="005E3C3A" w:rsidP="00615EF7">
            <w:pPr>
              <w:jc w:val="left"/>
              <w:rPr>
                <w:rFonts w:ascii="Helvetica" w:hAnsi="Helvetica" w:cs="Helvetica"/>
                <w:sz w:val="20"/>
                <w:szCs w:val="20"/>
              </w:rPr>
            </w:pPr>
          </w:p>
        </w:tc>
        <w:tc>
          <w:tcPr>
            <w:tcW w:w="1559" w:type="dxa"/>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14</w:t>
            </w:r>
            <w:r w:rsidR="00522FBF" w:rsidRPr="00235A56">
              <w:rPr>
                <w:rFonts w:ascii="Helvetica" w:hAnsi="Helvetica" w:cs="Helvetica"/>
                <w:sz w:val="20"/>
                <w:szCs w:val="20"/>
              </w:rPr>
              <w:t>1</w:t>
            </w:r>
          </w:p>
        </w:tc>
        <w:tc>
          <w:tcPr>
            <w:tcW w:w="2835" w:type="dxa"/>
            <w:vMerge/>
          </w:tcPr>
          <w:p w:rsidR="005E3C3A" w:rsidRPr="00235A56" w:rsidRDefault="005E3C3A" w:rsidP="00615EF7">
            <w:pPr>
              <w:jc w:val="left"/>
              <w:rPr>
                <w:rFonts w:ascii="Helvetica" w:hAnsi="Helvetica" w:cs="Helvetica"/>
                <w:sz w:val="20"/>
                <w:szCs w:val="20"/>
              </w:rPr>
            </w:pPr>
          </w:p>
        </w:tc>
      </w:tr>
      <w:tr w:rsidR="00AB6FEF" w:rsidRPr="00235A56" w:rsidTr="002A1BFA">
        <w:trPr>
          <w:trHeight w:val="430"/>
        </w:trPr>
        <w:tc>
          <w:tcPr>
            <w:tcW w:w="1838" w:type="dxa"/>
            <w:vMerge w:val="restart"/>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Baccalaureate Colleges</w:t>
            </w:r>
          </w:p>
        </w:tc>
        <w:tc>
          <w:tcPr>
            <w:tcW w:w="2835" w:type="dxa"/>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Arts and Sciences Focus</w:t>
            </w:r>
          </w:p>
        </w:tc>
        <w:tc>
          <w:tcPr>
            <w:tcW w:w="1559" w:type="dxa"/>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259</w:t>
            </w:r>
          </w:p>
        </w:tc>
        <w:tc>
          <w:tcPr>
            <w:tcW w:w="2835" w:type="dxa"/>
            <w:vMerge w:val="restart"/>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Institutions where baccalaureate or higher degrees represent at least 50 percent of all degrees but fewer than 50 master’s degrees or 20 doctoral degrees were awarded</w:t>
            </w:r>
          </w:p>
        </w:tc>
      </w:tr>
      <w:tr w:rsidR="00AB6FEF" w:rsidRPr="00235A56" w:rsidTr="002A1BFA">
        <w:trPr>
          <w:trHeight w:val="458"/>
        </w:trPr>
        <w:tc>
          <w:tcPr>
            <w:tcW w:w="1838" w:type="dxa"/>
            <w:vMerge/>
          </w:tcPr>
          <w:p w:rsidR="005E3C3A" w:rsidRPr="00235A56" w:rsidRDefault="005E3C3A" w:rsidP="00615EF7">
            <w:pPr>
              <w:jc w:val="left"/>
              <w:rPr>
                <w:rFonts w:ascii="Helvetica" w:hAnsi="Helvetica" w:cs="Helvetica"/>
                <w:sz w:val="20"/>
                <w:szCs w:val="20"/>
              </w:rPr>
            </w:pPr>
          </w:p>
        </w:tc>
        <w:tc>
          <w:tcPr>
            <w:tcW w:w="2835" w:type="dxa"/>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Diverse Fields</w:t>
            </w:r>
          </w:p>
          <w:p w:rsidR="005E3C3A" w:rsidRPr="00235A56" w:rsidRDefault="005E3C3A" w:rsidP="00615EF7">
            <w:pPr>
              <w:jc w:val="left"/>
              <w:rPr>
                <w:rFonts w:ascii="Helvetica" w:hAnsi="Helvetica" w:cs="Helvetica"/>
                <w:sz w:val="20"/>
                <w:szCs w:val="20"/>
              </w:rPr>
            </w:pPr>
          </w:p>
        </w:tc>
        <w:tc>
          <w:tcPr>
            <w:tcW w:w="1559" w:type="dxa"/>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324</w:t>
            </w:r>
          </w:p>
        </w:tc>
        <w:tc>
          <w:tcPr>
            <w:tcW w:w="2835" w:type="dxa"/>
            <w:vMerge/>
          </w:tcPr>
          <w:p w:rsidR="005E3C3A" w:rsidRPr="00235A56" w:rsidRDefault="005E3C3A" w:rsidP="00615EF7">
            <w:pPr>
              <w:jc w:val="left"/>
              <w:rPr>
                <w:rFonts w:ascii="Helvetica" w:hAnsi="Helvetica" w:cs="Helvetica"/>
                <w:sz w:val="20"/>
                <w:szCs w:val="20"/>
              </w:rPr>
            </w:pPr>
          </w:p>
        </w:tc>
      </w:tr>
      <w:tr w:rsidR="00AB6FEF" w:rsidRPr="00235A56" w:rsidTr="002A1BFA">
        <w:trPr>
          <w:trHeight w:val="395"/>
        </w:trPr>
        <w:tc>
          <w:tcPr>
            <w:tcW w:w="1838" w:type="dxa"/>
            <w:vMerge w:val="restart"/>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 xml:space="preserve">Baccalaureate/Associate’s Colleges </w:t>
            </w:r>
          </w:p>
        </w:tc>
        <w:tc>
          <w:tcPr>
            <w:tcW w:w="2835" w:type="dxa"/>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Mixed Baccalaureate/Associate ‘s Colleges</w:t>
            </w:r>
          </w:p>
        </w:tc>
        <w:tc>
          <w:tcPr>
            <w:tcW w:w="1559" w:type="dxa"/>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259</w:t>
            </w:r>
          </w:p>
        </w:tc>
        <w:tc>
          <w:tcPr>
            <w:tcW w:w="2835" w:type="dxa"/>
            <w:vMerge w:val="restart"/>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Four-year colleges that conferred more than 50 percent degrees at associate’s level.</w:t>
            </w:r>
          </w:p>
        </w:tc>
      </w:tr>
      <w:tr w:rsidR="00AB6FEF" w:rsidRPr="00235A56" w:rsidTr="002A1BFA">
        <w:trPr>
          <w:trHeight w:val="415"/>
        </w:trPr>
        <w:tc>
          <w:tcPr>
            <w:tcW w:w="1838" w:type="dxa"/>
            <w:vMerge/>
          </w:tcPr>
          <w:p w:rsidR="005E3C3A" w:rsidRPr="00235A56" w:rsidRDefault="005E3C3A" w:rsidP="00615EF7">
            <w:pPr>
              <w:jc w:val="left"/>
              <w:rPr>
                <w:rFonts w:ascii="Helvetica" w:hAnsi="Helvetica" w:cs="Helvetica"/>
                <w:sz w:val="20"/>
                <w:szCs w:val="20"/>
              </w:rPr>
            </w:pPr>
          </w:p>
        </w:tc>
        <w:tc>
          <w:tcPr>
            <w:tcW w:w="2835" w:type="dxa"/>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Associate’s Dominant</w:t>
            </w:r>
          </w:p>
        </w:tc>
        <w:tc>
          <w:tcPr>
            <w:tcW w:w="1559" w:type="dxa"/>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1</w:t>
            </w:r>
            <w:r w:rsidR="00522FBF" w:rsidRPr="00235A56">
              <w:rPr>
                <w:rFonts w:ascii="Helvetica" w:hAnsi="Helvetica" w:cs="Helvetica"/>
                <w:sz w:val="20"/>
                <w:szCs w:val="20"/>
              </w:rPr>
              <w:t>49</w:t>
            </w:r>
          </w:p>
        </w:tc>
        <w:tc>
          <w:tcPr>
            <w:tcW w:w="2835" w:type="dxa"/>
            <w:vMerge/>
          </w:tcPr>
          <w:p w:rsidR="005E3C3A" w:rsidRPr="00235A56" w:rsidRDefault="005E3C3A" w:rsidP="00615EF7">
            <w:pPr>
              <w:jc w:val="left"/>
              <w:rPr>
                <w:rFonts w:ascii="Helvetica" w:hAnsi="Helvetica" w:cs="Helvetica"/>
                <w:sz w:val="20"/>
                <w:szCs w:val="20"/>
              </w:rPr>
            </w:pPr>
          </w:p>
        </w:tc>
      </w:tr>
      <w:tr w:rsidR="00AB6FEF" w:rsidRPr="00235A56" w:rsidTr="002A1BFA">
        <w:trPr>
          <w:trHeight w:val="241"/>
        </w:trPr>
        <w:tc>
          <w:tcPr>
            <w:tcW w:w="1838" w:type="dxa"/>
            <w:vMerge w:val="restart"/>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Associate’s Colleges</w:t>
            </w:r>
          </w:p>
        </w:tc>
        <w:tc>
          <w:tcPr>
            <w:tcW w:w="2835" w:type="dxa"/>
          </w:tcPr>
          <w:p w:rsidR="005E3C3A" w:rsidRPr="00235A56" w:rsidRDefault="005E3C3A" w:rsidP="00615EF7">
            <w:pPr>
              <w:jc w:val="left"/>
              <w:rPr>
                <w:rFonts w:ascii="Helvetica" w:hAnsi="Helvetica" w:cs="Helvetica"/>
                <w:sz w:val="20"/>
                <w:szCs w:val="20"/>
                <w:lang w:eastAsia="en-AU"/>
              </w:rPr>
            </w:pPr>
            <w:r w:rsidRPr="00235A56">
              <w:rPr>
                <w:rFonts w:ascii="Helvetica" w:hAnsi="Helvetica" w:cs="Helvetica"/>
                <w:sz w:val="20"/>
                <w:szCs w:val="20"/>
                <w:lang w:eastAsia="en-AU"/>
              </w:rPr>
              <w:t>High Transfer-High Traditional</w:t>
            </w:r>
          </w:p>
        </w:tc>
        <w:tc>
          <w:tcPr>
            <w:tcW w:w="1559" w:type="dxa"/>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166</w:t>
            </w:r>
          </w:p>
        </w:tc>
        <w:tc>
          <w:tcPr>
            <w:tcW w:w="2835" w:type="dxa"/>
            <w:vMerge w:val="restart"/>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Institutions where the highest degree awarded is the Associate’s degree.</w:t>
            </w:r>
          </w:p>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Sub categories based on disciplinary focus and dominant student type</w:t>
            </w:r>
          </w:p>
        </w:tc>
      </w:tr>
      <w:tr w:rsidR="00AB6FEF" w:rsidRPr="00235A56" w:rsidTr="002A1BFA">
        <w:trPr>
          <w:trHeight w:val="417"/>
        </w:trPr>
        <w:tc>
          <w:tcPr>
            <w:tcW w:w="1838" w:type="dxa"/>
            <w:vMerge/>
          </w:tcPr>
          <w:p w:rsidR="005E3C3A" w:rsidRPr="00235A56" w:rsidRDefault="005E3C3A" w:rsidP="00615EF7">
            <w:pPr>
              <w:jc w:val="left"/>
              <w:rPr>
                <w:rFonts w:ascii="Helvetica" w:hAnsi="Helvetica" w:cs="Helvetica"/>
                <w:sz w:val="20"/>
                <w:szCs w:val="20"/>
              </w:rPr>
            </w:pPr>
          </w:p>
        </w:tc>
        <w:tc>
          <w:tcPr>
            <w:tcW w:w="2835" w:type="dxa"/>
          </w:tcPr>
          <w:p w:rsidR="005E3C3A" w:rsidRPr="00235A56" w:rsidRDefault="005E3C3A" w:rsidP="00615EF7">
            <w:pPr>
              <w:jc w:val="left"/>
              <w:rPr>
                <w:rFonts w:ascii="Helvetica" w:hAnsi="Helvetica" w:cs="Helvetica"/>
                <w:sz w:val="20"/>
                <w:szCs w:val="20"/>
                <w:lang w:eastAsia="en-AU"/>
              </w:rPr>
            </w:pPr>
            <w:r w:rsidRPr="00235A56">
              <w:rPr>
                <w:rFonts w:ascii="Helvetica" w:hAnsi="Helvetica" w:cs="Helvetica"/>
                <w:sz w:val="20"/>
                <w:szCs w:val="20"/>
                <w:lang w:eastAsia="en-AU"/>
              </w:rPr>
              <w:t>High Transfer-Mixed Traditional/Non-traditional</w:t>
            </w:r>
          </w:p>
        </w:tc>
        <w:tc>
          <w:tcPr>
            <w:tcW w:w="1559" w:type="dxa"/>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127</w:t>
            </w:r>
          </w:p>
        </w:tc>
        <w:tc>
          <w:tcPr>
            <w:tcW w:w="2835" w:type="dxa"/>
            <w:vMerge/>
          </w:tcPr>
          <w:p w:rsidR="005E3C3A" w:rsidRPr="00235A56" w:rsidRDefault="005E3C3A" w:rsidP="00615EF7">
            <w:pPr>
              <w:jc w:val="left"/>
              <w:rPr>
                <w:rFonts w:ascii="Helvetica" w:hAnsi="Helvetica" w:cs="Helvetica"/>
                <w:sz w:val="20"/>
                <w:szCs w:val="20"/>
              </w:rPr>
            </w:pPr>
          </w:p>
        </w:tc>
      </w:tr>
      <w:tr w:rsidR="00AB6FEF" w:rsidRPr="00235A56" w:rsidTr="002A1BFA">
        <w:trPr>
          <w:trHeight w:val="255"/>
        </w:trPr>
        <w:tc>
          <w:tcPr>
            <w:tcW w:w="1838" w:type="dxa"/>
            <w:vMerge/>
          </w:tcPr>
          <w:p w:rsidR="005E3C3A" w:rsidRPr="00235A56" w:rsidRDefault="005E3C3A" w:rsidP="00615EF7">
            <w:pPr>
              <w:jc w:val="left"/>
              <w:rPr>
                <w:rFonts w:ascii="Helvetica" w:hAnsi="Helvetica" w:cs="Helvetica"/>
                <w:sz w:val="20"/>
                <w:szCs w:val="20"/>
              </w:rPr>
            </w:pPr>
          </w:p>
        </w:tc>
        <w:tc>
          <w:tcPr>
            <w:tcW w:w="2835" w:type="dxa"/>
          </w:tcPr>
          <w:p w:rsidR="005E3C3A" w:rsidRPr="00235A56" w:rsidRDefault="005E3C3A" w:rsidP="00615EF7">
            <w:pPr>
              <w:jc w:val="left"/>
              <w:rPr>
                <w:rFonts w:ascii="Helvetica" w:hAnsi="Helvetica" w:cs="Helvetica"/>
                <w:sz w:val="20"/>
                <w:szCs w:val="20"/>
                <w:lang w:eastAsia="en-AU"/>
              </w:rPr>
            </w:pPr>
            <w:r w:rsidRPr="00235A56">
              <w:rPr>
                <w:rFonts w:ascii="Helvetica" w:hAnsi="Helvetica" w:cs="Helvetica"/>
                <w:sz w:val="20"/>
                <w:szCs w:val="20"/>
                <w:lang w:eastAsia="en-AU"/>
              </w:rPr>
              <w:t>High Transfer-High Non-traditional</w:t>
            </w:r>
          </w:p>
        </w:tc>
        <w:tc>
          <w:tcPr>
            <w:tcW w:w="1559" w:type="dxa"/>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84</w:t>
            </w:r>
          </w:p>
        </w:tc>
        <w:tc>
          <w:tcPr>
            <w:tcW w:w="2835" w:type="dxa"/>
            <w:vMerge/>
          </w:tcPr>
          <w:p w:rsidR="005E3C3A" w:rsidRPr="00235A56" w:rsidRDefault="005E3C3A" w:rsidP="00615EF7">
            <w:pPr>
              <w:jc w:val="left"/>
              <w:rPr>
                <w:rFonts w:ascii="Helvetica" w:hAnsi="Helvetica" w:cs="Helvetica"/>
                <w:sz w:val="20"/>
                <w:szCs w:val="20"/>
              </w:rPr>
            </w:pPr>
          </w:p>
        </w:tc>
      </w:tr>
      <w:tr w:rsidR="00AB6FEF" w:rsidRPr="00235A56" w:rsidTr="002A1BFA">
        <w:trPr>
          <w:trHeight w:val="377"/>
        </w:trPr>
        <w:tc>
          <w:tcPr>
            <w:tcW w:w="1838" w:type="dxa"/>
            <w:vMerge/>
          </w:tcPr>
          <w:p w:rsidR="005E3C3A" w:rsidRPr="00235A56" w:rsidRDefault="005E3C3A" w:rsidP="00615EF7">
            <w:pPr>
              <w:jc w:val="left"/>
              <w:rPr>
                <w:rFonts w:ascii="Helvetica" w:hAnsi="Helvetica" w:cs="Helvetica"/>
                <w:sz w:val="20"/>
                <w:szCs w:val="20"/>
              </w:rPr>
            </w:pPr>
          </w:p>
        </w:tc>
        <w:tc>
          <w:tcPr>
            <w:tcW w:w="2835" w:type="dxa"/>
          </w:tcPr>
          <w:p w:rsidR="005E3C3A" w:rsidRPr="00235A56" w:rsidRDefault="005E3C3A" w:rsidP="00615EF7">
            <w:pPr>
              <w:jc w:val="left"/>
              <w:rPr>
                <w:rFonts w:ascii="Helvetica" w:hAnsi="Helvetica" w:cs="Helvetica"/>
                <w:sz w:val="20"/>
                <w:szCs w:val="20"/>
                <w:lang w:eastAsia="en-AU"/>
              </w:rPr>
            </w:pPr>
            <w:r w:rsidRPr="00235A56">
              <w:rPr>
                <w:rFonts w:ascii="Helvetica" w:hAnsi="Helvetica" w:cs="Helvetica"/>
                <w:sz w:val="20"/>
                <w:szCs w:val="20"/>
                <w:lang w:eastAsia="en-AU"/>
              </w:rPr>
              <w:t>Mixed Transfer/Career &amp; Technical-High Traditional</w:t>
            </w:r>
          </w:p>
        </w:tc>
        <w:tc>
          <w:tcPr>
            <w:tcW w:w="1559" w:type="dxa"/>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110</w:t>
            </w:r>
          </w:p>
        </w:tc>
        <w:tc>
          <w:tcPr>
            <w:tcW w:w="2835" w:type="dxa"/>
            <w:vMerge/>
          </w:tcPr>
          <w:p w:rsidR="005E3C3A" w:rsidRPr="00235A56" w:rsidRDefault="005E3C3A" w:rsidP="00615EF7">
            <w:pPr>
              <w:jc w:val="left"/>
              <w:rPr>
                <w:rFonts w:ascii="Helvetica" w:hAnsi="Helvetica" w:cs="Helvetica"/>
                <w:sz w:val="20"/>
                <w:szCs w:val="20"/>
              </w:rPr>
            </w:pPr>
          </w:p>
        </w:tc>
      </w:tr>
      <w:tr w:rsidR="00AB6FEF" w:rsidRPr="00235A56" w:rsidTr="002A1BFA">
        <w:trPr>
          <w:trHeight w:val="499"/>
        </w:trPr>
        <w:tc>
          <w:tcPr>
            <w:tcW w:w="1838" w:type="dxa"/>
            <w:vMerge/>
          </w:tcPr>
          <w:p w:rsidR="005E3C3A" w:rsidRPr="00235A56" w:rsidRDefault="005E3C3A" w:rsidP="00615EF7">
            <w:pPr>
              <w:jc w:val="left"/>
              <w:rPr>
                <w:rFonts w:ascii="Helvetica" w:hAnsi="Helvetica" w:cs="Helvetica"/>
                <w:sz w:val="20"/>
                <w:szCs w:val="20"/>
              </w:rPr>
            </w:pPr>
          </w:p>
        </w:tc>
        <w:tc>
          <w:tcPr>
            <w:tcW w:w="2835" w:type="dxa"/>
          </w:tcPr>
          <w:p w:rsidR="005E3C3A" w:rsidRPr="00235A56" w:rsidRDefault="005E3C3A" w:rsidP="00615EF7">
            <w:pPr>
              <w:jc w:val="left"/>
              <w:rPr>
                <w:rFonts w:ascii="Helvetica" w:hAnsi="Helvetica" w:cs="Helvetica"/>
                <w:sz w:val="20"/>
                <w:szCs w:val="20"/>
                <w:lang w:eastAsia="en-AU"/>
              </w:rPr>
            </w:pPr>
            <w:r w:rsidRPr="00235A56">
              <w:rPr>
                <w:rFonts w:ascii="Helvetica" w:hAnsi="Helvetica" w:cs="Helvetica"/>
                <w:sz w:val="20"/>
                <w:szCs w:val="20"/>
                <w:lang w:eastAsia="en-AU"/>
              </w:rPr>
              <w:t>Mixed Transfer/Career &amp; Technical-Mixed Traditional/Non-traditional</w:t>
            </w:r>
          </w:p>
        </w:tc>
        <w:tc>
          <w:tcPr>
            <w:tcW w:w="1559" w:type="dxa"/>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102</w:t>
            </w:r>
          </w:p>
        </w:tc>
        <w:tc>
          <w:tcPr>
            <w:tcW w:w="2835" w:type="dxa"/>
            <w:vMerge/>
          </w:tcPr>
          <w:p w:rsidR="005E3C3A" w:rsidRPr="00235A56" w:rsidRDefault="005E3C3A" w:rsidP="00615EF7">
            <w:pPr>
              <w:jc w:val="left"/>
              <w:rPr>
                <w:rFonts w:ascii="Helvetica" w:hAnsi="Helvetica" w:cs="Helvetica"/>
                <w:sz w:val="20"/>
                <w:szCs w:val="20"/>
              </w:rPr>
            </w:pPr>
          </w:p>
        </w:tc>
      </w:tr>
      <w:tr w:rsidR="00AB6FEF" w:rsidRPr="00235A56" w:rsidTr="002A1BFA">
        <w:trPr>
          <w:trHeight w:val="479"/>
        </w:trPr>
        <w:tc>
          <w:tcPr>
            <w:tcW w:w="1838" w:type="dxa"/>
            <w:vMerge/>
          </w:tcPr>
          <w:p w:rsidR="005E3C3A" w:rsidRPr="00235A56" w:rsidRDefault="005E3C3A" w:rsidP="00615EF7">
            <w:pPr>
              <w:jc w:val="left"/>
              <w:rPr>
                <w:rFonts w:ascii="Helvetica" w:hAnsi="Helvetica" w:cs="Helvetica"/>
                <w:sz w:val="20"/>
                <w:szCs w:val="20"/>
              </w:rPr>
            </w:pPr>
          </w:p>
        </w:tc>
        <w:tc>
          <w:tcPr>
            <w:tcW w:w="2835" w:type="dxa"/>
          </w:tcPr>
          <w:p w:rsidR="005E3C3A" w:rsidRPr="00235A56" w:rsidRDefault="005E3C3A" w:rsidP="00615EF7">
            <w:pPr>
              <w:jc w:val="left"/>
              <w:rPr>
                <w:rFonts w:ascii="Helvetica" w:hAnsi="Helvetica" w:cs="Helvetica"/>
                <w:sz w:val="20"/>
                <w:szCs w:val="20"/>
                <w:lang w:eastAsia="en-AU"/>
              </w:rPr>
            </w:pPr>
            <w:r w:rsidRPr="00235A56">
              <w:rPr>
                <w:rFonts w:ascii="Helvetica" w:hAnsi="Helvetica" w:cs="Helvetica"/>
                <w:sz w:val="20"/>
                <w:szCs w:val="20"/>
                <w:lang w:eastAsia="en-AU"/>
              </w:rPr>
              <w:t>Mixed Transfer/Career &amp; Technical-High Non-traditional</w:t>
            </w:r>
          </w:p>
        </w:tc>
        <w:tc>
          <w:tcPr>
            <w:tcW w:w="1559" w:type="dxa"/>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130</w:t>
            </w:r>
          </w:p>
        </w:tc>
        <w:tc>
          <w:tcPr>
            <w:tcW w:w="2835" w:type="dxa"/>
            <w:vMerge/>
          </w:tcPr>
          <w:p w:rsidR="005E3C3A" w:rsidRPr="00235A56" w:rsidRDefault="005E3C3A" w:rsidP="00615EF7">
            <w:pPr>
              <w:jc w:val="left"/>
              <w:rPr>
                <w:rFonts w:ascii="Helvetica" w:hAnsi="Helvetica" w:cs="Helvetica"/>
                <w:sz w:val="20"/>
                <w:szCs w:val="20"/>
              </w:rPr>
            </w:pPr>
          </w:p>
        </w:tc>
      </w:tr>
      <w:tr w:rsidR="00AB6FEF" w:rsidRPr="00235A56" w:rsidTr="002A1BFA">
        <w:trPr>
          <w:trHeight w:val="303"/>
        </w:trPr>
        <w:tc>
          <w:tcPr>
            <w:tcW w:w="1838" w:type="dxa"/>
            <w:vMerge/>
          </w:tcPr>
          <w:p w:rsidR="005E3C3A" w:rsidRPr="00235A56" w:rsidRDefault="005E3C3A" w:rsidP="00615EF7">
            <w:pPr>
              <w:jc w:val="left"/>
              <w:rPr>
                <w:rFonts w:ascii="Helvetica" w:hAnsi="Helvetica" w:cs="Helvetica"/>
                <w:sz w:val="20"/>
                <w:szCs w:val="20"/>
              </w:rPr>
            </w:pPr>
          </w:p>
        </w:tc>
        <w:tc>
          <w:tcPr>
            <w:tcW w:w="2835" w:type="dxa"/>
          </w:tcPr>
          <w:p w:rsidR="005E3C3A" w:rsidRPr="00235A56" w:rsidRDefault="005E3C3A" w:rsidP="00615EF7">
            <w:pPr>
              <w:jc w:val="left"/>
              <w:rPr>
                <w:rFonts w:ascii="Helvetica" w:hAnsi="Helvetica" w:cs="Helvetica"/>
                <w:sz w:val="20"/>
                <w:szCs w:val="20"/>
                <w:lang w:eastAsia="en-AU"/>
              </w:rPr>
            </w:pPr>
            <w:r w:rsidRPr="00235A56">
              <w:rPr>
                <w:rFonts w:ascii="Helvetica" w:hAnsi="Helvetica" w:cs="Helvetica"/>
                <w:sz w:val="20"/>
                <w:szCs w:val="20"/>
                <w:lang w:eastAsia="en-AU"/>
              </w:rPr>
              <w:t>High Career &amp; Technical-High Traditional</w:t>
            </w:r>
          </w:p>
        </w:tc>
        <w:tc>
          <w:tcPr>
            <w:tcW w:w="1559" w:type="dxa"/>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87</w:t>
            </w:r>
          </w:p>
        </w:tc>
        <w:tc>
          <w:tcPr>
            <w:tcW w:w="2835" w:type="dxa"/>
            <w:vMerge/>
          </w:tcPr>
          <w:p w:rsidR="005E3C3A" w:rsidRPr="00235A56" w:rsidRDefault="005E3C3A" w:rsidP="00615EF7">
            <w:pPr>
              <w:jc w:val="left"/>
              <w:rPr>
                <w:rFonts w:ascii="Helvetica" w:hAnsi="Helvetica" w:cs="Helvetica"/>
                <w:sz w:val="20"/>
                <w:szCs w:val="20"/>
              </w:rPr>
            </w:pPr>
          </w:p>
        </w:tc>
      </w:tr>
      <w:tr w:rsidR="00AB6FEF" w:rsidRPr="00235A56" w:rsidTr="002A1BFA">
        <w:trPr>
          <w:trHeight w:val="484"/>
        </w:trPr>
        <w:tc>
          <w:tcPr>
            <w:tcW w:w="1838" w:type="dxa"/>
            <w:vMerge/>
          </w:tcPr>
          <w:p w:rsidR="005E3C3A" w:rsidRPr="00235A56" w:rsidRDefault="005E3C3A" w:rsidP="00615EF7">
            <w:pPr>
              <w:jc w:val="left"/>
              <w:rPr>
                <w:rFonts w:ascii="Helvetica" w:hAnsi="Helvetica" w:cs="Helvetica"/>
                <w:sz w:val="20"/>
                <w:szCs w:val="20"/>
              </w:rPr>
            </w:pPr>
          </w:p>
        </w:tc>
        <w:tc>
          <w:tcPr>
            <w:tcW w:w="2835" w:type="dxa"/>
          </w:tcPr>
          <w:p w:rsidR="005E3C3A" w:rsidRPr="00235A56" w:rsidRDefault="005E3C3A" w:rsidP="00615EF7">
            <w:pPr>
              <w:jc w:val="left"/>
              <w:rPr>
                <w:rFonts w:ascii="Helvetica" w:hAnsi="Helvetica" w:cs="Helvetica"/>
                <w:sz w:val="20"/>
                <w:szCs w:val="20"/>
                <w:lang w:eastAsia="en-AU"/>
              </w:rPr>
            </w:pPr>
            <w:r w:rsidRPr="00235A56">
              <w:rPr>
                <w:rFonts w:ascii="Helvetica" w:hAnsi="Helvetica" w:cs="Helvetica"/>
                <w:sz w:val="20"/>
                <w:szCs w:val="20"/>
                <w:lang w:eastAsia="en-AU"/>
              </w:rPr>
              <w:t>High Career &amp; Technical-Mixed Traditional/Non-traditional</w:t>
            </w:r>
          </w:p>
        </w:tc>
        <w:tc>
          <w:tcPr>
            <w:tcW w:w="1559" w:type="dxa"/>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123</w:t>
            </w:r>
          </w:p>
        </w:tc>
        <w:tc>
          <w:tcPr>
            <w:tcW w:w="2835" w:type="dxa"/>
            <w:vMerge/>
          </w:tcPr>
          <w:p w:rsidR="005E3C3A" w:rsidRPr="00235A56" w:rsidRDefault="005E3C3A" w:rsidP="00615EF7">
            <w:pPr>
              <w:jc w:val="left"/>
              <w:rPr>
                <w:rFonts w:ascii="Helvetica" w:hAnsi="Helvetica" w:cs="Helvetica"/>
                <w:sz w:val="20"/>
                <w:szCs w:val="20"/>
              </w:rPr>
            </w:pPr>
          </w:p>
        </w:tc>
      </w:tr>
      <w:tr w:rsidR="00AB6FEF" w:rsidRPr="00235A56" w:rsidTr="002A1BFA">
        <w:trPr>
          <w:trHeight w:val="287"/>
        </w:trPr>
        <w:tc>
          <w:tcPr>
            <w:tcW w:w="1838" w:type="dxa"/>
            <w:vMerge/>
          </w:tcPr>
          <w:p w:rsidR="005E3C3A" w:rsidRPr="00235A56" w:rsidRDefault="005E3C3A" w:rsidP="00615EF7">
            <w:pPr>
              <w:jc w:val="left"/>
              <w:rPr>
                <w:rFonts w:ascii="Helvetica" w:hAnsi="Helvetica" w:cs="Helvetica"/>
                <w:sz w:val="20"/>
                <w:szCs w:val="20"/>
              </w:rPr>
            </w:pPr>
          </w:p>
        </w:tc>
        <w:tc>
          <w:tcPr>
            <w:tcW w:w="2835" w:type="dxa"/>
          </w:tcPr>
          <w:p w:rsidR="005E3C3A" w:rsidRPr="00235A56" w:rsidRDefault="005E3C3A" w:rsidP="00615EF7">
            <w:pPr>
              <w:jc w:val="left"/>
              <w:rPr>
                <w:rFonts w:ascii="Helvetica" w:hAnsi="Helvetica" w:cs="Helvetica"/>
                <w:sz w:val="20"/>
                <w:szCs w:val="20"/>
                <w:lang w:eastAsia="en-AU"/>
              </w:rPr>
            </w:pPr>
            <w:r w:rsidRPr="00235A56">
              <w:rPr>
                <w:rFonts w:ascii="Helvetica" w:hAnsi="Helvetica" w:cs="Helvetica"/>
                <w:sz w:val="20"/>
                <w:szCs w:val="20"/>
                <w:lang w:eastAsia="en-AU"/>
              </w:rPr>
              <w:t>High Career &amp; Technical-High Non-traditional</w:t>
            </w:r>
          </w:p>
        </w:tc>
        <w:tc>
          <w:tcPr>
            <w:tcW w:w="1559" w:type="dxa"/>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184</w:t>
            </w:r>
          </w:p>
        </w:tc>
        <w:tc>
          <w:tcPr>
            <w:tcW w:w="2835" w:type="dxa"/>
            <w:vMerge/>
          </w:tcPr>
          <w:p w:rsidR="005E3C3A" w:rsidRPr="00235A56" w:rsidRDefault="005E3C3A" w:rsidP="00615EF7">
            <w:pPr>
              <w:jc w:val="left"/>
              <w:rPr>
                <w:rFonts w:ascii="Helvetica" w:hAnsi="Helvetica" w:cs="Helvetica"/>
                <w:sz w:val="20"/>
                <w:szCs w:val="20"/>
              </w:rPr>
            </w:pPr>
          </w:p>
        </w:tc>
      </w:tr>
      <w:tr w:rsidR="00AB6FEF" w:rsidRPr="00235A56" w:rsidTr="002A1BFA">
        <w:trPr>
          <w:trHeight w:val="60"/>
        </w:trPr>
        <w:tc>
          <w:tcPr>
            <w:tcW w:w="1838" w:type="dxa"/>
            <w:vMerge w:val="restart"/>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Special Focus Institutions</w:t>
            </w:r>
          </w:p>
        </w:tc>
        <w:tc>
          <w:tcPr>
            <w:tcW w:w="2835" w:type="dxa"/>
          </w:tcPr>
          <w:p w:rsidR="005E3C3A" w:rsidRPr="00235A56" w:rsidRDefault="005E3C3A" w:rsidP="00615EF7">
            <w:pPr>
              <w:jc w:val="left"/>
              <w:rPr>
                <w:rFonts w:ascii="Helvetica" w:eastAsia="Times New Roman" w:hAnsi="Helvetica" w:cs="Helvetica"/>
                <w:color w:val="45382B"/>
                <w:sz w:val="20"/>
                <w:szCs w:val="20"/>
                <w:lang w:eastAsia="en-AU"/>
              </w:rPr>
            </w:pPr>
            <w:r w:rsidRPr="00235A56">
              <w:rPr>
                <w:rFonts w:ascii="Helvetica" w:hAnsi="Helvetica" w:cs="Helvetica"/>
                <w:sz w:val="20"/>
                <w:szCs w:val="20"/>
              </w:rPr>
              <w:t xml:space="preserve">Special Focus Two Year: </w:t>
            </w:r>
            <w:r w:rsidRPr="00235A56">
              <w:rPr>
                <w:rFonts w:ascii="Helvetica" w:eastAsia="Times New Roman" w:hAnsi="Helvetica" w:cs="Helvetica"/>
                <w:color w:val="45382B"/>
                <w:sz w:val="20"/>
                <w:szCs w:val="20"/>
                <w:lang w:eastAsia="en-AU"/>
              </w:rPr>
              <w:t>Health Professions</w:t>
            </w:r>
          </w:p>
        </w:tc>
        <w:tc>
          <w:tcPr>
            <w:tcW w:w="1559" w:type="dxa"/>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267</w:t>
            </w:r>
          </w:p>
        </w:tc>
        <w:tc>
          <w:tcPr>
            <w:tcW w:w="2835" w:type="dxa"/>
            <w:vMerge w:val="restart"/>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 xml:space="preserve">Institutions where a high concentration of degrees awarded are in a single field or set or related fields </w:t>
            </w:r>
          </w:p>
        </w:tc>
      </w:tr>
      <w:tr w:rsidR="00AB6FEF" w:rsidRPr="00235A56" w:rsidTr="002A1BFA">
        <w:trPr>
          <w:trHeight w:val="56"/>
        </w:trPr>
        <w:tc>
          <w:tcPr>
            <w:tcW w:w="1838" w:type="dxa"/>
            <w:vMerge/>
          </w:tcPr>
          <w:p w:rsidR="005E3C3A" w:rsidRPr="00235A56" w:rsidRDefault="005E3C3A" w:rsidP="00615EF7">
            <w:pPr>
              <w:jc w:val="left"/>
              <w:rPr>
                <w:rFonts w:ascii="Helvetica" w:hAnsi="Helvetica" w:cs="Helvetica"/>
                <w:sz w:val="20"/>
                <w:szCs w:val="20"/>
              </w:rPr>
            </w:pPr>
          </w:p>
        </w:tc>
        <w:tc>
          <w:tcPr>
            <w:tcW w:w="2835" w:type="dxa"/>
          </w:tcPr>
          <w:p w:rsidR="005E3C3A" w:rsidRPr="00235A56" w:rsidRDefault="005E3C3A" w:rsidP="00615EF7">
            <w:pPr>
              <w:jc w:val="left"/>
              <w:rPr>
                <w:rFonts w:ascii="Helvetica" w:eastAsia="Times New Roman" w:hAnsi="Helvetica" w:cs="Helvetica"/>
                <w:color w:val="45382B"/>
                <w:sz w:val="20"/>
                <w:szCs w:val="20"/>
                <w:lang w:eastAsia="en-AU"/>
              </w:rPr>
            </w:pPr>
            <w:r w:rsidRPr="00235A56">
              <w:rPr>
                <w:rFonts w:ascii="Helvetica" w:hAnsi="Helvetica" w:cs="Helvetica"/>
                <w:sz w:val="20"/>
                <w:szCs w:val="20"/>
              </w:rPr>
              <w:t xml:space="preserve">Special Focus Two Year: </w:t>
            </w:r>
            <w:r w:rsidRPr="00235A56">
              <w:rPr>
                <w:rFonts w:ascii="Helvetica" w:eastAsia="Times New Roman" w:hAnsi="Helvetica" w:cs="Helvetica"/>
                <w:color w:val="45382B"/>
                <w:sz w:val="20"/>
                <w:szCs w:val="20"/>
                <w:lang w:eastAsia="en-AU"/>
              </w:rPr>
              <w:t>Technical Professions</w:t>
            </w:r>
          </w:p>
        </w:tc>
        <w:tc>
          <w:tcPr>
            <w:tcW w:w="1559" w:type="dxa"/>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62</w:t>
            </w:r>
          </w:p>
        </w:tc>
        <w:tc>
          <w:tcPr>
            <w:tcW w:w="2835" w:type="dxa"/>
            <w:vMerge/>
          </w:tcPr>
          <w:p w:rsidR="005E3C3A" w:rsidRPr="00235A56" w:rsidRDefault="005E3C3A" w:rsidP="00615EF7">
            <w:pPr>
              <w:jc w:val="left"/>
              <w:rPr>
                <w:rFonts w:ascii="Helvetica" w:hAnsi="Helvetica" w:cs="Helvetica"/>
                <w:sz w:val="20"/>
                <w:szCs w:val="20"/>
              </w:rPr>
            </w:pPr>
          </w:p>
        </w:tc>
      </w:tr>
      <w:tr w:rsidR="00AB6FEF" w:rsidRPr="00235A56" w:rsidTr="002A1BFA">
        <w:trPr>
          <w:trHeight w:val="56"/>
        </w:trPr>
        <w:tc>
          <w:tcPr>
            <w:tcW w:w="1838" w:type="dxa"/>
            <w:vMerge/>
          </w:tcPr>
          <w:p w:rsidR="005E3C3A" w:rsidRPr="00235A56" w:rsidRDefault="005E3C3A" w:rsidP="00615EF7">
            <w:pPr>
              <w:jc w:val="left"/>
              <w:rPr>
                <w:rFonts w:ascii="Helvetica" w:hAnsi="Helvetica" w:cs="Helvetica"/>
                <w:sz w:val="20"/>
                <w:szCs w:val="20"/>
              </w:rPr>
            </w:pPr>
          </w:p>
        </w:tc>
        <w:tc>
          <w:tcPr>
            <w:tcW w:w="2835" w:type="dxa"/>
          </w:tcPr>
          <w:p w:rsidR="005E3C3A" w:rsidRPr="00235A56" w:rsidRDefault="005E3C3A" w:rsidP="00615EF7">
            <w:pPr>
              <w:jc w:val="left"/>
              <w:rPr>
                <w:rFonts w:ascii="Helvetica" w:eastAsia="Times New Roman" w:hAnsi="Helvetica" w:cs="Helvetica"/>
                <w:color w:val="45382B"/>
                <w:sz w:val="20"/>
                <w:szCs w:val="20"/>
                <w:lang w:eastAsia="en-AU"/>
              </w:rPr>
            </w:pPr>
            <w:r w:rsidRPr="00235A56">
              <w:rPr>
                <w:rFonts w:ascii="Helvetica" w:hAnsi="Helvetica" w:cs="Helvetica"/>
                <w:sz w:val="20"/>
                <w:szCs w:val="20"/>
              </w:rPr>
              <w:t xml:space="preserve">Special Focus Two Year: </w:t>
            </w:r>
            <w:r w:rsidRPr="00235A56">
              <w:rPr>
                <w:rFonts w:ascii="Helvetica" w:eastAsia="Times New Roman" w:hAnsi="Helvetica" w:cs="Helvetica"/>
                <w:color w:val="45382B"/>
                <w:sz w:val="20"/>
                <w:szCs w:val="20"/>
                <w:lang w:eastAsia="en-AU"/>
              </w:rPr>
              <w:t>Arts &amp; Design</w:t>
            </w:r>
          </w:p>
        </w:tc>
        <w:tc>
          <w:tcPr>
            <w:tcW w:w="1559" w:type="dxa"/>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41</w:t>
            </w:r>
          </w:p>
        </w:tc>
        <w:tc>
          <w:tcPr>
            <w:tcW w:w="2835" w:type="dxa"/>
            <w:vMerge/>
          </w:tcPr>
          <w:p w:rsidR="005E3C3A" w:rsidRPr="00235A56" w:rsidRDefault="005E3C3A" w:rsidP="00615EF7">
            <w:pPr>
              <w:jc w:val="left"/>
              <w:rPr>
                <w:rFonts w:ascii="Helvetica" w:hAnsi="Helvetica" w:cs="Helvetica"/>
                <w:sz w:val="20"/>
                <w:szCs w:val="20"/>
              </w:rPr>
            </w:pPr>
          </w:p>
        </w:tc>
      </w:tr>
      <w:tr w:rsidR="00AB6FEF" w:rsidRPr="00235A56" w:rsidTr="002A1BFA">
        <w:trPr>
          <w:trHeight w:val="56"/>
        </w:trPr>
        <w:tc>
          <w:tcPr>
            <w:tcW w:w="1838" w:type="dxa"/>
            <w:vMerge/>
          </w:tcPr>
          <w:p w:rsidR="005E3C3A" w:rsidRPr="00235A56" w:rsidRDefault="005E3C3A" w:rsidP="00615EF7">
            <w:pPr>
              <w:jc w:val="left"/>
              <w:rPr>
                <w:rFonts w:ascii="Helvetica" w:hAnsi="Helvetica" w:cs="Helvetica"/>
                <w:sz w:val="20"/>
                <w:szCs w:val="20"/>
              </w:rPr>
            </w:pPr>
          </w:p>
        </w:tc>
        <w:tc>
          <w:tcPr>
            <w:tcW w:w="2835" w:type="dxa"/>
          </w:tcPr>
          <w:p w:rsidR="005E3C3A" w:rsidRPr="00235A56" w:rsidRDefault="005E3C3A" w:rsidP="00615EF7">
            <w:pPr>
              <w:jc w:val="left"/>
              <w:rPr>
                <w:rFonts w:ascii="Helvetica" w:eastAsia="Times New Roman" w:hAnsi="Helvetica" w:cs="Helvetica"/>
                <w:color w:val="45382B"/>
                <w:sz w:val="20"/>
                <w:szCs w:val="20"/>
                <w:lang w:eastAsia="en-AU"/>
              </w:rPr>
            </w:pPr>
            <w:r w:rsidRPr="00235A56">
              <w:rPr>
                <w:rFonts w:ascii="Helvetica" w:hAnsi="Helvetica" w:cs="Helvetica"/>
                <w:sz w:val="20"/>
                <w:szCs w:val="20"/>
              </w:rPr>
              <w:t xml:space="preserve">Special Focus Two Year: </w:t>
            </w:r>
            <w:r w:rsidRPr="00235A56">
              <w:rPr>
                <w:rFonts w:ascii="Helvetica" w:eastAsia="Times New Roman" w:hAnsi="Helvetica" w:cs="Helvetica"/>
                <w:color w:val="45382B"/>
                <w:sz w:val="20"/>
                <w:szCs w:val="20"/>
                <w:lang w:eastAsia="en-AU"/>
              </w:rPr>
              <w:t>Other Fields</w:t>
            </w:r>
          </w:p>
        </w:tc>
        <w:tc>
          <w:tcPr>
            <w:tcW w:w="1559" w:type="dxa"/>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74</w:t>
            </w:r>
          </w:p>
        </w:tc>
        <w:tc>
          <w:tcPr>
            <w:tcW w:w="2835" w:type="dxa"/>
            <w:vMerge/>
          </w:tcPr>
          <w:p w:rsidR="005E3C3A" w:rsidRPr="00235A56" w:rsidRDefault="005E3C3A" w:rsidP="00615EF7">
            <w:pPr>
              <w:jc w:val="left"/>
              <w:rPr>
                <w:rFonts w:ascii="Helvetica" w:hAnsi="Helvetica" w:cs="Helvetica"/>
                <w:sz w:val="20"/>
                <w:szCs w:val="20"/>
              </w:rPr>
            </w:pPr>
          </w:p>
        </w:tc>
      </w:tr>
      <w:tr w:rsidR="00AB6FEF" w:rsidRPr="00235A56" w:rsidTr="002A1BFA">
        <w:trPr>
          <w:trHeight w:val="56"/>
        </w:trPr>
        <w:tc>
          <w:tcPr>
            <w:tcW w:w="1838" w:type="dxa"/>
            <w:vMerge/>
          </w:tcPr>
          <w:p w:rsidR="005E3C3A" w:rsidRPr="00235A56" w:rsidRDefault="005E3C3A" w:rsidP="00615EF7">
            <w:pPr>
              <w:jc w:val="left"/>
              <w:rPr>
                <w:rFonts w:ascii="Helvetica" w:hAnsi="Helvetica" w:cs="Helvetica"/>
                <w:sz w:val="20"/>
                <w:szCs w:val="20"/>
              </w:rPr>
            </w:pPr>
          </w:p>
        </w:tc>
        <w:tc>
          <w:tcPr>
            <w:tcW w:w="2835" w:type="dxa"/>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 xml:space="preserve">Special Focus Four Year: </w:t>
            </w:r>
            <w:r w:rsidRPr="00235A56">
              <w:rPr>
                <w:rFonts w:ascii="Helvetica" w:eastAsia="Times New Roman" w:hAnsi="Helvetica" w:cs="Helvetica"/>
                <w:color w:val="45382B"/>
                <w:sz w:val="20"/>
                <w:szCs w:val="20"/>
                <w:lang w:eastAsia="en-AU"/>
              </w:rPr>
              <w:t>Faith-Related Institutions</w:t>
            </w:r>
          </w:p>
        </w:tc>
        <w:tc>
          <w:tcPr>
            <w:tcW w:w="1559" w:type="dxa"/>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310</w:t>
            </w:r>
          </w:p>
        </w:tc>
        <w:tc>
          <w:tcPr>
            <w:tcW w:w="2835" w:type="dxa"/>
            <w:vMerge/>
          </w:tcPr>
          <w:p w:rsidR="005E3C3A" w:rsidRPr="00235A56" w:rsidRDefault="005E3C3A" w:rsidP="00615EF7">
            <w:pPr>
              <w:jc w:val="left"/>
              <w:rPr>
                <w:rFonts w:ascii="Helvetica" w:hAnsi="Helvetica" w:cs="Helvetica"/>
                <w:sz w:val="20"/>
                <w:szCs w:val="20"/>
              </w:rPr>
            </w:pPr>
          </w:p>
        </w:tc>
      </w:tr>
      <w:tr w:rsidR="00AB6FEF" w:rsidRPr="00235A56" w:rsidTr="002A1BFA">
        <w:trPr>
          <w:trHeight w:val="56"/>
        </w:trPr>
        <w:tc>
          <w:tcPr>
            <w:tcW w:w="1838" w:type="dxa"/>
            <w:vMerge/>
          </w:tcPr>
          <w:p w:rsidR="005E3C3A" w:rsidRPr="00235A56" w:rsidRDefault="005E3C3A" w:rsidP="00615EF7">
            <w:pPr>
              <w:jc w:val="left"/>
              <w:rPr>
                <w:rFonts w:ascii="Helvetica" w:hAnsi="Helvetica" w:cs="Helvetica"/>
                <w:sz w:val="20"/>
                <w:szCs w:val="20"/>
              </w:rPr>
            </w:pPr>
          </w:p>
        </w:tc>
        <w:tc>
          <w:tcPr>
            <w:tcW w:w="2835" w:type="dxa"/>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 xml:space="preserve">Special Focus Four Year: </w:t>
            </w:r>
            <w:r w:rsidRPr="00235A56">
              <w:rPr>
                <w:rFonts w:ascii="Helvetica" w:eastAsia="Times New Roman" w:hAnsi="Helvetica" w:cs="Helvetica"/>
                <w:color w:val="45382B"/>
                <w:sz w:val="20"/>
                <w:szCs w:val="20"/>
                <w:lang w:eastAsia="en-AU"/>
              </w:rPr>
              <w:t>Medical Schools &amp; Centers</w:t>
            </w:r>
          </w:p>
        </w:tc>
        <w:tc>
          <w:tcPr>
            <w:tcW w:w="1559" w:type="dxa"/>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54</w:t>
            </w:r>
          </w:p>
        </w:tc>
        <w:tc>
          <w:tcPr>
            <w:tcW w:w="2835" w:type="dxa"/>
            <w:vMerge/>
          </w:tcPr>
          <w:p w:rsidR="005E3C3A" w:rsidRPr="00235A56" w:rsidRDefault="005E3C3A" w:rsidP="00615EF7">
            <w:pPr>
              <w:jc w:val="left"/>
              <w:rPr>
                <w:rFonts w:ascii="Helvetica" w:hAnsi="Helvetica" w:cs="Helvetica"/>
                <w:sz w:val="20"/>
                <w:szCs w:val="20"/>
              </w:rPr>
            </w:pPr>
          </w:p>
        </w:tc>
      </w:tr>
      <w:tr w:rsidR="00AB6FEF" w:rsidRPr="00235A56" w:rsidTr="002A1BFA">
        <w:trPr>
          <w:trHeight w:val="56"/>
        </w:trPr>
        <w:tc>
          <w:tcPr>
            <w:tcW w:w="1838" w:type="dxa"/>
            <w:vMerge/>
          </w:tcPr>
          <w:p w:rsidR="005E3C3A" w:rsidRPr="00235A56" w:rsidRDefault="005E3C3A" w:rsidP="00615EF7">
            <w:pPr>
              <w:jc w:val="left"/>
              <w:rPr>
                <w:rFonts w:ascii="Helvetica" w:hAnsi="Helvetica" w:cs="Helvetica"/>
                <w:sz w:val="20"/>
                <w:szCs w:val="20"/>
              </w:rPr>
            </w:pPr>
          </w:p>
        </w:tc>
        <w:tc>
          <w:tcPr>
            <w:tcW w:w="2835" w:type="dxa"/>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 xml:space="preserve">Special Focus Four Year: </w:t>
            </w:r>
            <w:r w:rsidRPr="00235A56">
              <w:rPr>
                <w:rFonts w:ascii="Helvetica" w:hAnsi="Helvetica" w:cs="Helvetica"/>
                <w:sz w:val="20"/>
                <w:szCs w:val="20"/>
                <w:lang w:eastAsia="en-AU"/>
              </w:rPr>
              <w:t>Other Health Professions School</w:t>
            </w:r>
          </w:p>
        </w:tc>
        <w:tc>
          <w:tcPr>
            <w:tcW w:w="1559" w:type="dxa"/>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261</w:t>
            </w:r>
          </w:p>
        </w:tc>
        <w:tc>
          <w:tcPr>
            <w:tcW w:w="2835" w:type="dxa"/>
            <w:vMerge/>
          </w:tcPr>
          <w:p w:rsidR="005E3C3A" w:rsidRPr="00235A56" w:rsidRDefault="005E3C3A" w:rsidP="00615EF7">
            <w:pPr>
              <w:jc w:val="left"/>
              <w:rPr>
                <w:rFonts w:ascii="Helvetica" w:hAnsi="Helvetica" w:cs="Helvetica"/>
                <w:sz w:val="20"/>
                <w:szCs w:val="20"/>
              </w:rPr>
            </w:pPr>
          </w:p>
        </w:tc>
      </w:tr>
      <w:tr w:rsidR="00AB6FEF" w:rsidRPr="00235A56" w:rsidTr="002A1BFA">
        <w:trPr>
          <w:trHeight w:val="56"/>
        </w:trPr>
        <w:tc>
          <w:tcPr>
            <w:tcW w:w="1838" w:type="dxa"/>
            <w:vMerge/>
          </w:tcPr>
          <w:p w:rsidR="005E3C3A" w:rsidRPr="00235A56" w:rsidRDefault="005E3C3A" w:rsidP="00615EF7">
            <w:pPr>
              <w:jc w:val="left"/>
              <w:rPr>
                <w:rFonts w:ascii="Helvetica" w:hAnsi="Helvetica" w:cs="Helvetica"/>
                <w:sz w:val="20"/>
                <w:szCs w:val="20"/>
              </w:rPr>
            </w:pPr>
          </w:p>
        </w:tc>
        <w:tc>
          <w:tcPr>
            <w:tcW w:w="2835" w:type="dxa"/>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 xml:space="preserve">Special Focus Four Year: </w:t>
            </w:r>
            <w:r w:rsidRPr="00235A56">
              <w:rPr>
                <w:rFonts w:ascii="Helvetica" w:eastAsia="Times New Roman" w:hAnsi="Helvetica" w:cs="Helvetica"/>
                <w:color w:val="45382B"/>
                <w:sz w:val="20"/>
                <w:szCs w:val="20"/>
                <w:lang w:eastAsia="en-AU"/>
              </w:rPr>
              <w:t>Engineering Schools</w:t>
            </w:r>
          </w:p>
        </w:tc>
        <w:tc>
          <w:tcPr>
            <w:tcW w:w="1559" w:type="dxa"/>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7</w:t>
            </w:r>
          </w:p>
        </w:tc>
        <w:tc>
          <w:tcPr>
            <w:tcW w:w="2835" w:type="dxa"/>
            <w:vMerge/>
          </w:tcPr>
          <w:p w:rsidR="005E3C3A" w:rsidRPr="00235A56" w:rsidRDefault="005E3C3A" w:rsidP="00615EF7">
            <w:pPr>
              <w:jc w:val="left"/>
              <w:rPr>
                <w:rFonts w:ascii="Helvetica" w:hAnsi="Helvetica" w:cs="Helvetica"/>
                <w:sz w:val="20"/>
                <w:szCs w:val="20"/>
              </w:rPr>
            </w:pPr>
          </w:p>
        </w:tc>
      </w:tr>
      <w:tr w:rsidR="00AB6FEF" w:rsidRPr="00235A56" w:rsidTr="002A1BFA">
        <w:trPr>
          <w:trHeight w:val="56"/>
        </w:trPr>
        <w:tc>
          <w:tcPr>
            <w:tcW w:w="1838" w:type="dxa"/>
            <w:vMerge/>
          </w:tcPr>
          <w:p w:rsidR="005E3C3A" w:rsidRPr="00235A56" w:rsidRDefault="005E3C3A" w:rsidP="00615EF7">
            <w:pPr>
              <w:jc w:val="left"/>
              <w:rPr>
                <w:rFonts w:ascii="Helvetica" w:hAnsi="Helvetica" w:cs="Helvetica"/>
                <w:sz w:val="20"/>
                <w:szCs w:val="20"/>
              </w:rPr>
            </w:pPr>
          </w:p>
        </w:tc>
        <w:tc>
          <w:tcPr>
            <w:tcW w:w="2835" w:type="dxa"/>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 xml:space="preserve">Special Focus Four Year: </w:t>
            </w:r>
            <w:r w:rsidRPr="00235A56">
              <w:rPr>
                <w:rFonts w:ascii="Helvetica" w:hAnsi="Helvetica" w:cs="Helvetica"/>
                <w:sz w:val="20"/>
                <w:szCs w:val="20"/>
                <w:lang w:eastAsia="en-AU"/>
              </w:rPr>
              <w:t>Other Technology-Related Schools</w:t>
            </w:r>
          </w:p>
        </w:tc>
        <w:tc>
          <w:tcPr>
            <w:tcW w:w="1559" w:type="dxa"/>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70</w:t>
            </w:r>
          </w:p>
        </w:tc>
        <w:tc>
          <w:tcPr>
            <w:tcW w:w="2835" w:type="dxa"/>
            <w:vMerge/>
          </w:tcPr>
          <w:p w:rsidR="005E3C3A" w:rsidRPr="00235A56" w:rsidRDefault="005E3C3A" w:rsidP="00615EF7">
            <w:pPr>
              <w:jc w:val="left"/>
              <w:rPr>
                <w:rFonts w:ascii="Helvetica" w:hAnsi="Helvetica" w:cs="Helvetica"/>
                <w:sz w:val="20"/>
                <w:szCs w:val="20"/>
              </w:rPr>
            </w:pPr>
          </w:p>
        </w:tc>
      </w:tr>
      <w:tr w:rsidR="00AB6FEF" w:rsidRPr="00235A56" w:rsidTr="002A1BFA">
        <w:trPr>
          <w:trHeight w:val="56"/>
        </w:trPr>
        <w:tc>
          <w:tcPr>
            <w:tcW w:w="1838" w:type="dxa"/>
            <w:vMerge/>
          </w:tcPr>
          <w:p w:rsidR="005E3C3A" w:rsidRPr="00235A56" w:rsidRDefault="005E3C3A" w:rsidP="00615EF7">
            <w:pPr>
              <w:jc w:val="left"/>
              <w:rPr>
                <w:rFonts w:ascii="Helvetica" w:hAnsi="Helvetica" w:cs="Helvetica"/>
                <w:sz w:val="20"/>
                <w:szCs w:val="20"/>
              </w:rPr>
            </w:pPr>
          </w:p>
        </w:tc>
        <w:tc>
          <w:tcPr>
            <w:tcW w:w="2835" w:type="dxa"/>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 xml:space="preserve">Special Focus Four Year: </w:t>
            </w:r>
            <w:r w:rsidRPr="00235A56">
              <w:rPr>
                <w:rFonts w:ascii="Helvetica" w:hAnsi="Helvetica" w:cs="Helvetica"/>
                <w:sz w:val="20"/>
                <w:szCs w:val="20"/>
                <w:lang w:eastAsia="en-AU"/>
              </w:rPr>
              <w:t>Business &amp; Management Schools</w:t>
            </w:r>
          </w:p>
        </w:tc>
        <w:tc>
          <w:tcPr>
            <w:tcW w:w="1559" w:type="dxa"/>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94</w:t>
            </w:r>
          </w:p>
        </w:tc>
        <w:tc>
          <w:tcPr>
            <w:tcW w:w="2835" w:type="dxa"/>
            <w:vMerge/>
          </w:tcPr>
          <w:p w:rsidR="005E3C3A" w:rsidRPr="00235A56" w:rsidRDefault="005E3C3A" w:rsidP="00615EF7">
            <w:pPr>
              <w:jc w:val="left"/>
              <w:rPr>
                <w:rFonts w:ascii="Helvetica" w:hAnsi="Helvetica" w:cs="Helvetica"/>
                <w:sz w:val="20"/>
                <w:szCs w:val="20"/>
              </w:rPr>
            </w:pPr>
          </w:p>
        </w:tc>
      </w:tr>
      <w:tr w:rsidR="00AB6FEF" w:rsidRPr="00235A56" w:rsidTr="002A1BFA">
        <w:trPr>
          <w:trHeight w:val="56"/>
        </w:trPr>
        <w:tc>
          <w:tcPr>
            <w:tcW w:w="1838" w:type="dxa"/>
            <w:vMerge/>
          </w:tcPr>
          <w:p w:rsidR="005E3C3A" w:rsidRPr="00235A56" w:rsidRDefault="005E3C3A" w:rsidP="00615EF7">
            <w:pPr>
              <w:jc w:val="left"/>
              <w:rPr>
                <w:rFonts w:ascii="Helvetica" w:hAnsi="Helvetica" w:cs="Helvetica"/>
                <w:sz w:val="20"/>
                <w:szCs w:val="20"/>
              </w:rPr>
            </w:pPr>
          </w:p>
        </w:tc>
        <w:tc>
          <w:tcPr>
            <w:tcW w:w="2835" w:type="dxa"/>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 xml:space="preserve">Special Focus Four Year: </w:t>
            </w:r>
            <w:r w:rsidRPr="00235A56">
              <w:rPr>
                <w:rFonts w:ascii="Helvetica" w:hAnsi="Helvetica" w:cs="Helvetica"/>
                <w:sz w:val="20"/>
                <w:szCs w:val="20"/>
                <w:lang w:eastAsia="en-AU"/>
              </w:rPr>
              <w:t>Arts, Music &amp; Design Schools</w:t>
            </w:r>
          </w:p>
        </w:tc>
        <w:tc>
          <w:tcPr>
            <w:tcW w:w="1559" w:type="dxa"/>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137</w:t>
            </w:r>
          </w:p>
        </w:tc>
        <w:tc>
          <w:tcPr>
            <w:tcW w:w="2835" w:type="dxa"/>
            <w:vMerge/>
          </w:tcPr>
          <w:p w:rsidR="005E3C3A" w:rsidRPr="00235A56" w:rsidRDefault="005E3C3A" w:rsidP="00615EF7">
            <w:pPr>
              <w:jc w:val="left"/>
              <w:rPr>
                <w:rFonts w:ascii="Helvetica" w:hAnsi="Helvetica" w:cs="Helvetica"/>
                <w:sz w:val="20"/>
                <w:szCs w:val="20"/>
              </w:rPr>
            </w:pPr>
          </w:p>
        </w:tc>
      </w:tr>
      <w:tr w:rsidR="00AB6FEF" w:rsidRPr="00235A56" w:rsidTr="002A1BFA">
        <w:trPr>
          <w:trHeight w:val="56"/>
        </w:trPr>
        <w:tc>
          <w:tcPr>
            <w:tcW w:w="1838" w:type="dxa"/>
            <w:vMerge/>
          </w:tcPr>
          <w:p w:rsidR="005E3C3A" w:rsidRPr="00235A56" w:rsidRDefault="005E3C3A" w:rsidP="00615EF7">
            <w:pPr>
              <w:jc w:val="left"/>
              <w:rPr>
                <w:rFonts w:ascii="Helvetica" w:hAnsi="Helvetica" w:cs="Helvetica"/>
                <w:sz w:val="20"/>
                <w:szCs w:val="20"/>
              </w:rPr>
            </w:pPr>
          </w:p>
        </w:tc>
        <w:tc>
          <w:tcPr>
            <w:tcW w:w="2835" w:type="dxa"/>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 xml:space="preserve">Special Focus Four Year: </w:t>
            </w:r>
            <w:r w:rsidRPr="00235A56">
              <w:rPr>
                <w:rFonts w:ascii="Helvetica" w:eastAsia="Times New Roman" w:hAnsi="Helvetica" w:cs="Helvetica"/>
                <w:color w:val="45382B"/>
                <w:sz w:val="20"/>
                <w:szCs w:val="20"/>
                <w:lang w:eastAsia="en-AU"/>
              </w:rPr>
              <w:t xml:space="preserve">Law Schools </w:t>
            </w:r>
          </w:p>
        </w:tc>
        <w:tc>
          <w:tcPr>
            <w:tcW w:w="1559" w:type="dxa"/>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36</w:t>
            </w:r>
          </w:p>
        </w:tc>
        <w:tc>
          <w:tcPr>
            <w:tcW w:w="2835" w:type="dxa"/>
            <w:vMerge/>
          </w:tcPr>
          <w:p w:rsidR="005E3C3A" w:rsidRPr="00235A56" w:rsidRDefault="005E3C3A" w:rsidP="00615EF7">
            <w:pPr>
              <w:jc w:val="left"/>
              <w:rPr>
                <w:rFonts w:ascii="Helvetica" w:hAnsi="Helvetica" w:cs="Helvetica"/>
                <w:sz w:val="20"/>
                <w:szCs w:val="20"/>
              </w:rPr>
            </w:pPr>
          </w:p>
        </w:tc>
      </w:tr>
      <w:tr w:rsidR="00AB6FEF" w:rsidRPr="00235A56" w:rsidTr="002A1BFA">
        <w:trPr>
          <w:trHeight w:val="56"/>
        </w:trPr>
        <w:tc>
          <w:tcPr>
            <w:tcW w:w="1838" w:type="dxa"/>
            <w:vMerge/>
          </w:tcPr>
          <w:p w:rsidR="005E3C3A" w:rsidRPr="00235A56" w:rsidRDefault="005E3C3A" w:rsidP="00615EF7">
            <w:pPr>
              <w:jc w:val="left"/>
              <w:rPr>
                <w:rFonts w:ascii="Helvetica" w:hAnsi="Helvetica" w:cs="Helvetica"/>
                <w:sz w:val="20"/>
                <w:szCs w:val="20"/>
              </w:rPr>
            </w:pPr>
          </w:p>
        </w:tc>
        <w:tc>
          <w:tcPr>
            <w:tcW w:w="2835" w:type="dxa"/>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 xml:space="preserve">Special Focus Four Year: </w:t>
            </w:r>
            <w:r w:rsidRPr="00235A56">
              <w:rPr>
                <w:rFonts w:ascii="Helvetica" w:hAnsi="Helvetica" w:cs="Helvetica"/>
                <w:sz w:val="20"/>
                <w:szCs w:val="20"/>
                <w:lang w:eastAsia="en-AU"/>
              </w:rPr>
              <w:t>Other Special Focus Institutions</w:t>
            </w:r>
          </w:p>
        </w:tc>
        <w:tc>
          <w:tcPr>
            <w:tcW w:w="1559" w:type="dxa"/>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36</w:t>
            </w:r>
          </w:p>
        </w:tc>
        <w:tc>
          <w:tcPr>
            <w:tcW w:w="2835" w:type="dxa"/>
            <w:vMerge/>
          </w:tcPr>
          <w:p w:rsidR="005E3C3A" w:rsidRPr="00235A56" w:rsidRDefault="005E3C3A" w:rsidP="00615EF7">
            <w:pPr>
              <w:jc w:val="left"/>
              <w:rPr>
                <w:rFonts w:ascii="Helvetica" w:hAnsi="Helvetica" w:cs="Helvetica"/>
                <w:sz w:val="20"/>
                <w:szCs w:val="20"/>
              </w:rPr>
            </w:pPr>
          </w:p>
        </w:tc>
      </w:tr>
      <w:tr w:rsidR="00AB6FEF" w:rsidRPr="00235A56" w:rsidTr="002A1BFA">
        <w:tc>
          <w:tcPr>
            <w:tcW w:w="1838" w:type="dxa"/>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Tribal Colleges</w:t>
            </w:r>
          </w:p>
        </w:tc>
        <w:tc>
          <w:tcPr>
            <w:tcW w:w="2835" w:type="dxa"/>
          </w:tcPr>
          <w:p w:rsidR="005E3C3A" w:rsidRPr="00235A56" w:rsidRDefault="005E3C3A" w:rsidP="00615EF7">
            <w:pPr>
              <w:jc w:val="left"/>
              <w:rPr>
                <w:rFonts w:ascii="Helvetica" w:hAnsi="Helvetica" w:cs="Helvetica"/>
                <w:sz w:val="20"/>
                <w:szCs w:val="20"/>
              </w:rPr>
            </w:pPr>
          </w:p>
        </w:tc>
        <w:tc>
          <w:tcPr>
            <w:tcW w:w="1559" w:type="dxa"/>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35</w:t>
            </w:r>
          </w:p>
        </w:tc>
        <w:tc>
          <w:tcPr>
            <w:tcW w:w="2835" w:type="dxa"/>
          </w:tcPr>
          <w:p w:rsidR="005E3C3A" w:rsidRPr="00235A56" w:rsidRDefault="005E3C3A" w:rsidP="00615EF7">
            <w:pPr>
              <w:jc w:val="left"/>
              <w:rPr>
                <w:rFonts w:ascii="Helvetica" w:hAnsi="Helvetica" w:cs="Helvetica"/>
                <w:sz w:val="20"/>
                <w:szCs w:val="20"/>
              </w:rPr>
            </w:pPr>
            <w:r w:rsidRPr="00235A56">
              <w:rPr>
                <w:rFonts w:ascii="Helvetica" w:hAnsi="Helvetica" w:cs="Helvetica"/>
                <w:sz w:val="20"/>
                <w:szCs w:val="20"/>
              </w:rPr>
              <w:t>Colleges and Universities which are members of the American Higher Education Consortium</w:t>
            </w:r>
          </w:p>
        </w:tc>
      </w:tr>
    </w:tbl>
    <w:p w:rsidR="00B835F2" w:rsidRPr="00235A56" w:rsidRDefault="00A8769F" w:rsidP="00A8769F">
      <w:pPr>
        <w:pStyle w:val="Heading2"/>
        <w:rPr>
          <w:rFonts w:ascii="Helvetica" w:hAnsi="Helvetica" w:cs="Helvetica"/>
          <w:sz w:val="24"/>
          <w:szCs w:val="24"/>
        </w:rPr>
      </w:pPr>
      <w:r w:rsidRPr="00235A56">
        <w:rPr>
          <w:rFonts w:ascii="Helvetica" w:hAnsi="Helvetica" w:cs="Helvetica"/>
          <w:sz w:val="24"/>
          <w:szCs w:val="24"/>
        </w:rPr>
        <w:t xml:space="preserve">10.4. </w:t>
      </w:r>
      <w:r w:rsidR="005E3B44" w:rsidRPr="00235A56">
        <w:rPr>
          <w:rFonts w:ascii="Helvetica" w:hAnsi="Helvetica" w:cs="Helvetica"/>
          <w:sz w:val="24"/>
          <w:szCs w:val="24"/>
        </w:rPr>
        <w:t>United Kingdom:</w:t>
      </w:r>
      <w:r w:rsidR="00B835F2" w:rsidRPr="00235A56">
        <w:rPr>
          <w:rFonts w:ascii="Helvetica" w:hAnsi="Helvetica" w:cs="Helvetica"/>
          <w:sz w:val="24"/>
          <w:szCs w:val="24"/>
        </w:rPr>
        <w:t xml:space="preserve"> </w:t>
      </w:r>
      <w:r w:rsidR="005E3B44" w:rsidRPr="00235A56">
        <w:rPr>
          <w:rFonts w:ascii="Helvetica" w:hAnsi="Helvetica" w:cs="Helvetica"/>
          <w:sz w:val="24"/>
          <w:szCs w:val="24"/>
        </w:rPr>
        <w:t>Office for Students</w:t>
      </w:r>
    </w:p>
    <w:p w:rsidR="00861F2F" w:rsidRPr="00235A56" w:rsidRDefault="00861F2F" w:rsidP="00E367D3">
      <w:pPr>
        <w:rPr>
          <w:rFonts w:ascii="Helvetica" w:hAnsi="Helvetica" w:cs="Helvetica"/>
          <w:sz w:val="22"/>
          <w:szCs w:val="22"/>
        </w:rPr>
      </w:pPr>
      <w:r w:rsidRPr="00235A56">
        <w:rPr>
          <w:rFonts w:ascii="Helvetica" w:hAnsi="Helvetica" w:cs="Helvetica"/>
          <w:sz w:val="22"/>
          <w:szCs w:val="22"/>
        </w:rPr>
        <w:t xml:space="preserve">The 2011 White Paper </w:t>
      </w:r>
      <w:r w:rsidRPr="00235A56">
        <w:rPr>
          <w:rFonts w:ascii="Helvetica" w:hAnsi="Helvetica" w:cs="Helvetica"/>
          <w:i/>
          <w:sz w:val="22"/>
          <w:szCs w:val="22"/>
        </w:rPr>
        <w:t xml:space="preserve">Students at the Heart of the System </w:t>
      </w:r>
      <w:r w:rsidR="00C44B9F" w:rsidRPr="00235A56">
        <w:rPr>
          <w:rFonts w:ascii="Helvetica" w:hAnsi="Helvetica" w:cs="Helvetica"/>
          <w:sz w:val="22"/>
          <w:szCs w:val="22"/>
        </w:rPr>
        <w:t>(DBIS</w:t>
      </w:r>
      <w:r w:rsidR="00270968" w:rsidRPr="00235A56">
        <w:rPr>
          <w:rFonts w:ascii="Helvetica" w:hAnsi="Helvetica" w:cs="Helvetica"/>
          <w:sz w:val="22"/>
          <w:szCs w:val="22"/>
        </w:rPr>
        <w:t>,</w:t>
      </w:r>
      <w:r w:rsidR="008445C2" w:rsidRPr="00235A56">
        <w:rPr>
          <w:rFonts w:ascii="Helvetica" w:hAnsi="Helvetica" w:cs="Helvetica"/>
          <w:sz w:val="22"/>
          <w:szCs w:val="22"/>
        </w:rPr>
        <w:t xml:space="preserve"> 2011</w:t>
      </w:r>
      <w:r w:rsidR="00494338" w:rsidRPr="00235A56">
        <w:rPr>
          <w:rFonts w:ascii="Helvetica" w:hAnsi="Helvetica" w:cs="Helvetica"/>
          <w:sz w:val="22"/>
          <w:szCs w:val="22"/>
        </w:rPr>
        <w:t>, p.12</w:t>
      </w:r>
      <w:r w:rsidR="008445C2" w:rsidRPr="00235A56">
        <w:rPr>
          <w:rFonts w:ascii="Helvetica" w:hAnsi="Helvetica" w:cs="Helvetica"/>
          <w:sz w:val="22"/>
          <w:szCs w:val="22"/>
        </w:rPr>
        <w:t>) announced</w:t>
      </w:r>
      <w:r w:rsidRPr="00235A56">
        <w:rPr>
          <w:rFonts w:ascii="Helvetica" w:hAnsi="Helvetica" w:cs="Helvetica"/>
          <w:sz w:val="22"/>
          <w:szCs w:val="22"/>
        </w:rPr>
        <w:t xml:space="preserve"> the establishment of a ‘new fit for purpose regulatory framework’ for England, with the Higher Education Funding Council (HEFCE) taking on the role of lead regulator. A series of consultations were undertaken focusing on the development of the new regulatory framework.</w:t>
      </w:r>
    </w:p>
    <w:p w:rsidR="00861F2F" w:rsidRPr="00235A56" w:rsidRDefault="00861F2F" w:rsidP="00E367D3">
      <w:pPr>
        <w:rPr>
          <w:rFonts w:ascii="Helvetica" w:eastAsia="Times New Roman" w:hAnsi="Helvetica" w:cs="Helvetica"/>
          <w:sz w:val="22"/>
          <w:szCs w:val="22"/>
          <w:bdr w:val="none" w:sz="0" w:space="0" w:color="auto" w:frame="1"/>
          <w:lang w:eastAsia="en-AU"/>
        </w:rPr>
      </w:pPr>
      <w:r w:rsidRPr="00235A56">
        <w:rPr>
          <w:rFonts w:ascii="Helvetica" w:hAnsi="Helvetica" w:cs="Helvetica"/>
          <w:sz w:val="22"/>
          <w:szCs w:val="22"/>
        </w:rPr>
        <w:t>One of the outcomes of the consultation was the establishment of a Register of Higher Education Providers, which HEFCE was tasked to develop as a regulatory tool. The Register, launched in 2014, was not simply a list of higher education providers in England, but provided information on the powers these institutions ha</w:t>
      </w:r>
      <w:r w:rsidR="001573B6" w:rsidRPr="00235A56">
        <w:rPr>
          <w:rFonts w:ascii="Helvetica" w:hAnsi="Helvetica" w:cs="Helvetica"/>
          <w:sz w:val="22"/>
          <w:szCs w:val="22"/>
        </w:rPr>
        <w:t>d</w:t>
      </w:r>
      <w:r w:rsidRPr="00235A56">
        <w:rPr>
          <w:rFonts w:ascii="Helvetica" w:hAnsi="Helvetica" w:cs="Helvetica"/>
          <w:sz w:val="22"/>
          <w:szCs w:val="22"/>
        </w:rPr>
        <w:t xml:space="preserve"> (for e.g. degree granting powers) and the standards they had to meet in order to retain them (HEFCE</w:t>
      </w:r>
      <w:r w:rsidR="00CB1F31" w:rsidRPr="00235A56">
        <w:rPr>
          <w:rFonts w:ascii="Helvetica" w:hAnsi="Helvetica" w:cs="Helvetica"/>
          <w:sz w:val="22"/>
          <w:szCs w:val="22"/>
        </w:rPr>
        <w:t>,</w:t>
      </w:r>
      <w:r w:rsidRPr="00235A56">
        <w:rPr>
          <w:rFonts w:ascii="Helvetica" w:hAnsi="Helvetica" w:cs="Helvetica"/>
          <w:sz w:val="22"/>
          <w:szCs w:val="22"/>
        </w:rPr>
        <w:t>2015). S</w:t>
      </w:r>
      <w:r w:rsidRPr="00235A56">
        <w:rPr>
          <w:rFonts w:ascii="Helvetica" w:eastAsia="Times New Roman" w:hAnsi="Helvetica" w:cs="Helvetica"/>
          <w:sz w:val="22"/>
          <w:szCs w:val="22"/>
          <w:bdr w:val="none" w:sz="0" w:space="0" w:color="auto" w:frame="1"/>
          <w:lang w:eastAsia="en-AU"/>
        </w:rPr>
        <w:t xml:space="preserve">ome 600 providers were registered in 2015. The type of providers </w:t>
      </w:r>
      <w:r w:rsidR="001573B6" w:rsidRPr="00235A56">
        <w:rPr>
          <w:rFonts w:ascii="Helvetica" w:eastAsia="Times New Roman" w:hAnsi="Helvetica" w:cs="Helvetica"/>
          <w:sz w:val="22"/>
          <w:szCs w:val="22"/>
          <w:bdr w:val="none" w:sz="0" w:space="0" w:color="auto" w:frame="1"/>
          <w:lang w:eastAsia="en-AU"/>
        </w:rPr>
        <w:t xml:space="preserve">listed </w:t>
      </w:r>
      <w:r w:rsidRPr="00235A56">
        <w:rPr>
          <w:rFonts w:ascii="Helvetica" w:eastAsia="Times New Roman" w:hAnsi="Helvetica" w:cs="Helvetica"/>
          <w:sz w:val="22"/>
          <w:szCs w:val="22"/>
          <w:bdr w:val="none" w:sz="0" w:space="0" w:color="auto" w:frame="1"/>
          <w:lang w:eastAsia="en-AU"/>
        </w:rPr>
        <w:t xml:space="preserve">were, </w:t>
      </w:r>
      <w:r w:rsidR="00AD11DB" w:rsidRPr="00235A56">
        <w:rPr>
          <w:rFonts w:ascii="Helvetica" w:eastAsia="Times New Roman" w:hAnsi="Helvetica" w:cs="Helvetica"/>
          <w:sz w:val="22"/>
          <w:szCs w:val="22"/>
          <w:bdr w:val="none" w:sz="0" w:space="0" w:color="auto" w:frame="1"/>
          <w:lang w:eastAsia="en-AU"/>
        </w:rPr>
        <w:t xml:space="preserve">providers which received </w:t>
      </w:r>
      <w:r w:rsidRPr="00235A56">
        <w:rPr>
          <w:rFonts w:ascii="Helvetica" w:eastAsia="Times New Roman" w:hAnsi="Helvetica" w:cs="Helvetica"/>
          <w:sz w:val="22"/>
          <w:szCs w:val="22"/>
          <w:bdr w:val="none" w:sz="0" w:space="0" w:color="auto" w:frame="1"/>
          <w:lang w:eastAsia="en-AU"/>
        </w:rPr>
        <w:t>HEFCE</w:t>
      </w:r>
      <w:r w:rsidR="00AD11DB" w:rsidRPr="00235A56">
        <w:rPr>
          <w:rFonts w:ascii="Helvetica" w:eastAsia="Times New Roman" w:hAnsi="Helvetica" w:cs="Helvetica"/>
          <w:sz w:val="22"/>
          <w:szCs w:val="22"/>
          <w:bdr w:val="none" w:sz="0" w:space="0" w:color="auto" w:frame="1"/>
          <w:lang w:eastAsia="en-AU"/>
        </w:rPr>
        <w:t xml:space="preserve"> funding directly</w:t>
      </w:r>
      <w:r w:rsidRPr="00235A56">
        <w:rPr>
          <w:rFonts w:ascii="Helvetica" w:eastAsia="Times New Roman" w:hAnsi="Helvetica" w:cs="Helvetica"/>
          <w:sz w:val="22"/>
          <w:szCs w:val="22"/>
          <w:bdr w:val="none" w:sz="0" w:space="0" w:color="auto" w:frame="1"/>
          <w:lang w:eastAsia="en-AU"/>
        </w:rPr>
        <w:t xml:space="preserve">, Further education and sixth-form colleges receiving HEFCE funding to offer Higher </w:t>
      </w:r>
      <w:r w:rsidR="008445C2" w:rsidRPr="00235A56">
        <w:rPr>
          <w:rFonts w:ascii="Helvetica" w:eastAsia="Times New Roman" w:hAnsi="Helvetica" w:cs="Helvetica"/>
          <w:sz w:val="22"/>
          <w:szCs w:val="22"/>
          <w:bdr w:val="none" w:sz="0" w:space="0" w:color="auto" w:frame="1"/>
          <w:lang w:eastAsia="en-AU"/>
        </w:rPr>
        <w:t>Education, alternative</w:t>
      </w:r>
      <w:r w:rsidR="00AD11DB" w:rsidRPr="00235A56">
        <w:rPr>
          <w:rFonts w:ascii="Helvetica" w:eastAsia="Times New Roman" w:hAnsi="Helvetica" w:cs="Helvetica"/>
          <w:sz w:val="22"/>
          <w:szCs w:val="22"/>
          <w:bdr w:val="none" w:sz="0" w:space="0" w:color="auto" w:frame="1"/>
          <w:lang w:eastAsia="en-AU"/>
        </w:rPr>
        <w:t xml:space="preserve"> </w:t>
      </w:r>
      <w:r w:rsidRPr="00235A56">
        <w:rPr>
          <w:rFonts w:ascii="Helvetica" w:eastAsia="Times New Roman" w:hAnsi="Helvetica" w:cs="Helvetica"/>
          <w:sz w:val="22"/>
          <w:szCs w:val="22"/>
          <w:bdr w:val="none" w:sz="0" w:space="0" w:color="auto" w:frame="1"/>
          <w:lang w:eastAsia="en-AU"/>
        </w:rPr>
        <w:t xml:space="preserve">providers with specific course designation, </w:t>
      </w:r>
      <w:r w:rsidR="00AD11DB" w:rsidRPr="00235A56">
        <w:rPr>
          <w:rFonts w:ascii="Helvetica" w:eastAsia="Times New Roman" w:hAnsi="Helvetica" w:cs="Helvetica"/>
          <w:sz w:val="22"/>
          <w:szCs w:val="22"/>
          <w:bdr w:val="none" w:sz="0" w:space="0" w:color="auto" w:frame="1"/>
          <w:lang w:eastAsia="en-AU"/>
        </w:rPr>
        <w:t xml:space="preserve">providers with university/university college title, providers with degree awarding powers </w:t>
      </w:r>
      <w:r w:rsidRPr="00235A56">
        <w:rPr>
          <w:rFonts w:ascii="Helvetica" w:eastAsia="Times New Roman" w:hAnsi="Helvetica" w:cs="Helvetica"/>
          <w:sz w:val="22"/>
          <w:szCs w:val="22"/>
          <w:bdr w:val="none" w:sz="0" w:space="0" w:color="auto" w:frame="1"/>
          <w:lang w:eastAsia="en-AU"/>
        </w:rPr>
        <w:t xml:space="preserve">and </w:t>
      </w:r>
      <w:r w:rsidR="00AD11DB" w:rsidRPr="00235A56">
        <w:rPr>
          <w:rFonts w:ascii="Helvetica" w:eastAsia="Times New Roman" w:hAnsi="Helvetica" w:cs="Helvetica"/>
          <w:sz w:val="22"/>
          <w:szCs w:val="22"/>
          <w:bdr w:val="none" w:sz="0" w:space="0" w:color="auto" w:frame="1"/>
          <w:lang w:eastAsia="en-AU"/>
        </w:rPr>
        <w:t xml:space="preserve">providers accredited for </w:t>
      </w:r>
      <w:r w:rsidRPr="00235A56">
        <w:rPr>
          <w:rFonts w:ascii="Helvetica" w:eastAsia="Times New Roman" w:hAnsi="Helvetica" w:cs="Helvetica"/>
          <w:sz w:val="22"/>
          <w:szCs w:val="22"/>
          <w:bdr w:val="none" w:sz="0" w:space="0" w:color="auto" w:frame="1"/>
          <w:lang w:eastAsia="en-AU"/>
        </w:rPr>
        <w:t xml:space="preserve">Initial Teacher Training </w:t>
      </w:r>
      <w:r w:rsidR="00AD11DB" w:rsidRPr="00235A56">
        <w:rPr>
          <w:rFonts w:ascii="Helvetica" w:eastAsia="Times New Roman" w:hAnsi="Helvetica" w:cs="Helvetica"/>
          <w:sz w:val="22"/>
          <w:szCs w:val="22"/>
          <w:bdr w:val="none" w:sz="0" w:space="0" w:color="auto" w:frame="1"/>
          <w:lang w:eastAsia="en-AU"/>
        </w:rPr>
        <w:t>(HEFCE</w:t>
      </w:r>
      <w:r w:rsidR="00CB1F31" w:rsidRPr="00235A56">
        <w:rPr>
          <w:rFonts w:ascii="Helvetica" w:eastAsia="Times New Roman" w:hAnsi="Helvetica" w:cs="Helvetica"/>
          <w:sz w:val="22"/>
          <w:szCs w:val="22"/>
          <w:bdr w:val="none" w:sz="0" w:space="0" w:color="auto" w:frame="1"/>
          <w:lang w:eastAsia="en-AU"/>
        </w:rPr>
        <w:t>,</w:t>
      </w:r>
      <w:r w:rsidR="008445C2" w:rsidRPr="00235A56">
        <w:rPr>
          <w:rFonts w:ascii="Helvetica" w:eastAsia="Times New Roman" w:hAnsi="Helvetica" w:cs="Helvetica"/>
          <w:sz w:val="22"/>
          <w:szCs w:val="22"/>
          <w:bdr w:val="none" w:sz="0" w:space="0" w:color="auto" w:frame="1"/>
          <w:lang w:eastAsia="en-AU"/>
        </w:rPr>
        <w:t xml:space="preserve"> </w:t>
      </w:r>
      <w:r w:rsidR="00AD11DB" w:rsidRPr="00235A56">
        <w:rPr>
          <w:rFonts w:ascii="Helvetica" w:eastAsia="Times New Roman" w:hAnsi="Helvetica" w:cs="Helvetica"/>
          <w:sz w:val="22"/>
          <w:szCs w:val="22"/>
          <w:bdr w:val="none" w:sz="0" w:space="0" w:color="auto" w:frame="1"/>
          <w:lang w:eastAsia="en-AU"/>
        </w:rPr>
        <w:t>2015)</w:t>
      </w:r>
      <w:r w:rsidR="001573B6" w:rsidRPr="00235A56">
        <w:rPr>
          <w:rFonts w:ascii="Helvetica" w:eastAsia="Times New Roman" w:hAnsi="Helvetica" w:cs="Helvetica"/>
          <w:sz w:val="22"/>
          <w:szCs w:val="22"/>
          <w:bdr w:val="none" w:sz="0" w:space="0" w:color="auto" w:frame="1"/>
          <w:lang w:eastAsia="en-AU"/>
        </w:rPr>
        <w:t>.</w:t>
      </w:r>
    </w:p>
    <w:p w:rsidR="00861F2F" w:rsidRPr="00235A56" w:rsidRDefault="00861F2F" w:rsidP="00E367D3">
      <w:pPr>
        <w:pStyle w:val="Heading3"/>
        <w:numPr>
          <w:ilvl w:val="2"/>
          <w:numId w:val="22"/>
        </w:numPr>
        <w:rPr>
          <w:rFonts w:ascii="Helvetica" w:hAnsi="Helvetica" w:cs="Helvetica"/>
          <w:sz w:val="22"/>
          <w:szCs w:val="22"/>
        </w:rPr>
      </w:pPr>
      <w:r w:rsidRPr="00235A56">
        <w:rPr>
          <w:rFonts w:ascii="Helvetica" w:hAnsi="Helvetica" w:cs="Helvetica"/>
          <w:sz w:val="22"/>
          <w:szCs w:val="22"/>
        </w:rPr>
        <w:t>The 2016 White Paper- Success as a Knowledge Economy</w:t>
      </w:r>
    </w:p>
    <w:p w:rsidR="00861F2F" w:rsidRPr="00235A56" w:rsidRDefault="00861F2F" w:rsidP="00E367D3">
      <w:pPr>
        <w:rPr>
          <w:rFonts w:ascii="Helvetica" w:hAnsi="Helvetica" w:cs="Helvetica"/>
          <w:sz w:val="22"/>
          <w:szCs w:val="22"/>
        </w:rPr>
      </w:pPr>
      <w:r w:rsidRPr="00235A56">
        <w:rPr>
          <w:rFonts w:ascii="Helvetica" w:hAnsi="Helvetica" w:cs="Helvetica"/>
          <w:sz w:val="22"/>
          <w:szCs w:val="22"/>
        </w:rPr>
        <w:t xml:space="preserve">The 2016 White Paper - </w:t>
      </w:r>
      <w:r w:rsidRPr="00235A56">
        <w:rPr>
          <w:rFonts w:ascii="Helvetica" w:hAnsi="Helvetica" w:cs="Helvetica"/>
          <w:i/>
          <w:sz w:val="22"/>
          <w:szCs w:val="22"/>
        </w:rPr>
        <w:t xml:space="preserve">Success as a Knowledge Economy </w:t>
      </w:r>
      <w:r w:rsidR="00AD11DB" w:rsidRPr="00235A56">
        <w:rPr>
          <w:rFonts w:ascii="Helvetica" w:hAnsi="Helvetica" w:cs="Helvetica"/>
          <w:sz w:val="22"/>
          <w:szCs w:val="22"/>
        </w:rPr>
        <w:t>(DBIS</w:t>
      </w:r>
      <w:r w:rsidR="00CB1F31" w:rsidRPr="00235A56">
        <w:rPr>
          <w:rFonts w:ascii="Helvetica" w:hAnsi="Helvetica" w:cs="Helvetica"/>
          <w:sz w:val="22"/>
          <w:szCs w:val="22"/>
        </w:rPr>
        <w:t>,</w:t>
      </w:r>
      <w:r w:rsidR="008445C2" w:rsidRPr="00235A56">
        <w:rPr>
          <w:rFonts w:ascii="Helvetica" w:hAnsi="Helvetica" w:cs="Helvetica"/>
          <w:sz w:val="22"/>
          <w:szCs w:val="22"/>
        </w:rPr>
        <w:t xml:space="preserve"> </w:t>
      </w:r>
      <w:r w:rsidR="00AD11DB" w:rsidRPr="00235A56">
        <w:rPr>
          <w:rFonts w:ascii="Helvetica" w:hAnsi="Helvetica" w:cs="Helvetica"/>
          <w:sz w:val="22"/>
          <w:szCs w:val="22"/>
        </w:rPr>
        <w:t xml:space="preserve">2016) </w:t>
      </w:r>
      <w:r w:rsidRPr="00235A56">
        <w:rPr>
          <w:rFonts w:ascii="Helvetica" w:hAnsi="Helvetica" w:cs="Helvetica"/>
          <w:sz w:val="22"/>
          <w:szCs w:val="22"/>
        </w:rPr>
        <w:t xml:space="preserve">further consolidated the regulatory framework through the Office </w:t>
      </w:r>
      <w:r w:rsidR="00952CBA" w:rsidRPr="00235A56">
        <w:rPr>
          <w:rFonts w:ascii="Helvetica" w:hAnsi="Helvetica" w:cs="Helvetica"/>
          <w:sz w:val="22"/>
          <w:szCs w:val="22"/>
        </w:rPr>
        <w:t>for</w:t>
      </w:r>
      <w:r w:rsidRPr="00235A56">
        <w:rPr>
          <w:rFonts w:ascii="Helvetica" w:hAnsi="Helvetica" w:cs="Helvetica"/>
          <w:sz w:val="22"/>
          <w:szCs w:val="22"/>
        </w:rPr>
        <w:t xml:space="preserve"> Students (OfS) which was to replace HEFCE. It stated that ‘the current system tends to protect incumbent providers from competition, with new providers facing significant barriers to entry and </w:t>
      </w:r>
      <w:r w:rsidR="008445C2" w:rsidRPr="00235A56">
        <w:rPr>
          <w:rFonts w:ascii="Helvetica" w:hAnsi="Helvetica" w:cs="Helvetica"/>
          <w:sz w:val="22"/>
          <w:szCs w:val="22"/>
        </w:rPr>
        <w:t>expansion (</w:t>
      </w:r>
      <w:r w:rsidR="00AD11DB" w:rsidRPr="00235A56">
        <w:rPr>
          <w:rFonts w:ascii="Helvetica" w:hAnsi="Helvetica" w:cs="Helvetica"/>
          <w:sz w:val="22"/>
          <w:szCs w:val="22"/>
        </w:rPr>
        <w:t>DBIS</w:t>
      </w:r>
      <w:r w:rsidR="00CB1F31" w:rsidRPr="00235A56">
        <w:rPr>
          <w:rFonts w:ascii="Helvetica" w:hAnsi="Helvetica" w:cs="Helvetica"/>
          <w:sz w:val="22"/>
          <w:szCs w:val="22"/>
        </w:rPr>
        <w:t>,</w:t>
      </w:r>
      <w:r w:rsidR="008445C2" w:rsidRPr="00235A56">
        <w:rPr>
          <w:rFonts w:ascii="Helvetica" w:hAnsi="Helvetica" w:cs="Helvetica"/>
          <w:sz w:val="22"/>
          <w:szCs w:val="22"/>
        </w:rPr>
        <w:t xml:space="preserve"> </w:t>
      </w:r>
      <w:r w:rsidR="00AD11DB" w:rsidRPr="00235A56">
        <w:rPr>
          <w:rFonts w:ascii="Helvetica" w:hAnsi="Helvetica" w:cs="Helvetica"/>
          <w:sz w:val="22"/>
          <w:szCs w:val="22"/>
        </w:rPr>
        <w:t>2016</w:t>
      </w:r>
      <w:r w:rsidR="00CB1F31" w:rsidRPr="00235A56">
        <w:rPr>
          <w:rFonts w:ascii="Helvetica" w:hAnsi="Helvetica" w:cs="Helvetica"/>
          <w:sz w:val="22"/>
          <w:szCs w:val="22"/>
        </w:rPr>
        <w:t>,</w:t>
      </w:r>
      <w:r w:rsidR="00AD11DB" w:rsidRPr="00235A56">
        <w:rPr>
          <w:rFonts w:ascii="Helvetica" w:hAnsi="Helvetica" w:cs="Helvetica"/>
          <w:sz w:val="22"/>
          <w:szCs w:val="22"/>
        </w:rPr>
        <w:t xml:space="preserve"> </w:t>
      </w:r>
      <w:r w:rsidR="00CB1F31" w:rsidRPr="00235A56">
        <w:rPr>
          <w:rFonts w:ascii="Helvetica" w:hAnsi="Helvetica" w:cs="Helvetica"/>
          <w:sz w:val="22"/>
          <w:szCs w:val="22"/>
        </w:rPr>
        <w:t>p.</w:t>
      </w:r>
      <w:r w:rsidR="00AD11DB" w:rsidRPr="00235A56">
        <w:rPr>
          <w:rFonts w:ascii="Helvetica" w:hAnsi="Helvetica" w:cs="Helvetica"/>
          <w:sz w:val="22"/>
          <w:szCs w:val="22"/>
        </w:rPr>
        <w:t>23)</w:t>
      </w:r>
      <w:r w:rsidR="00522FBF" w:rsidRPr="00235A56">
        <w:rPr>
          <w:rFonts w:ascii="Helvetica" w:hAnsi="Helvetica" w:cs="Helvetica"/>
          <w:sz w:val="22"/>
          <w:szCs w:val="22"/>
        </w:rPr>
        <w:t>.</w:t>
      </w:r>
      <w:r w:rsidRPr="00235A56">
        <w:rPr>
          <w:rFonts w:ascii="Helvetica" w:hAnsi="Helvetica" w:cs="Helvetica"/>
          <w:sz w:val="22"/>
          <w:szCs w:val="22"/>
        </w:rPr>
        <w:t xml:space="preserve"> The goal was to provide a ‘level playing field’ to all high-quality providers through risk-based regulation and thereby improve the overall quality and diversity of the higher education system. The Operating Framework of 2013 did not cover all providers and excluded those not funded by HEFCE, those with courses not designated for student support and those whose provision was not validated by a UK higher education institution or other recognized awarding body (Fielden and Middlehurst</w:t>
      </w:r>
      <w:r w:rsidR="00CB1F31" w:rsidRPr="00235A56">
        <w:rPr>
          <w:rFonts w:ascii="Helvetica" w:hAnsi="Helvetica" w:cs="Helvetica"/>
          <w:sz w:val="22"/>
          <w:szCs w:val="22"/>
        </w:rPr>
        <w:t>,</w:t>
      </w:r>
      <w:r w:rsidRPr="00235A56">
        <w:rPr>
          <w:rFonts w:ascii="Helvetica" w:hAnsi="Helvetica" w:cs="Helvetica"/>
          <w:sz w:val="22"/>
          <w:szCs w:val="22"/>
        </w:rPr>
        <w:t xml:space="preserve"> 2017</w:t>
      </w:r>
      <w:r w:rsidR="00CB1F31" w:rsidRPr="00235A56">
        <w:rPr>
          <w:rFonts w:ascii="Helvetica" w:hAnsi="Helvetica" w:cs="Helvetica"/>
          <w:sz w:val="22"/>
          <w:szCs w:val="22"/>
        </w:rPr>
        <w:t>, p.</w:t>
      </w:r>
      <w:r w:rsidRPr="00235A56">
        <w:rPr>
          <w:rFonts w:ascii="Helvetica" w:hAnsi="Helvetica" w:cs="Helvetica"/>
          <w:sz w:val="22"/>
          <w:szCs w:val="22"/>
        </w:rPr>
        <w:t xml:space="preserve"> 19). </w:t>
      </w:r>
    </w:p>
    <w:p w:rsidR="00861F2F" w:rsidRPr="00235A56" w:rsidRDefault="00861F2F" w:rsidP="00E367D3">
      <w:pPr>
        <w:rPr>
          <w:rFonts w:ascii="Helvetica" w:hAnsi="Helvetica" w:cs="Helvetica"/>
          <w:sz w:val="22"/>
          <w:szCs w:val="22"/>
        </w:rPr>
      </w:pPr>
      <w:r w:rsidRPr="00235A56">
        <w:rPr>
          <w:rFonts w:ascii="Helvetica" w:hAnsi="Helvetica" w:cs="Helvetica"/>
          <w:sz w:val="22"/>
          <w:szCs w:val="22"/>
        </w:rPr>
        <w:t>It proposed three categories for higher education providers registration as follows:</w:t>
      </w:r>
    </w:p>
    <w:p w:rsidR="00861F2F" w:rsidRPr="00235A56" w:rsidRDefault="00861F2F" w:rsidP="00E367D3">
      <w:pPr>
        <w:pStyle w:val="ListParagraph"/>
        <w:numPr>
          <w:ilvl w:val="0"/>
          <w:numId w:val="10"/>
        </w:numPr>
        <w:rPr>
          <w:rFonts w:ascii="Helvetica" w:hAnsi="Helvetica" w:cs="Helvetica"/>
          <w:szCs w:val="21"/>
        </w:rPr>
      </w:pPr>
      <w:r w:rsidRPr="00235A56">
        <w:rPr>
          <w:rFonts w:ascii="Helvetica" w:hAnsi="Helvetica" w:cs="Helvetica"/>
          <w:b/>
          <w:szCs w:val="21"/>
        </w:rPr>
        <w:t>Basic Provider</w:t>
      </w:r>
      <w:r w:rsidRPr="00235A56">
        <w:rPr>
          <w:rFonts w:ascii="Helvetica" w:hAnsi="Helvetica" w:cs="Helvetica"/>
          <w:szCs w:val="21"/>
        </w:rPr>
        <w:t xml:space="preserve"> – gain officially recognized HEI status, no access to public funding and student support system, no Tier 4 sponsorship for international students and no degree awarding powers/university title. </w:t>
      </w:r>
    </w:p>
    <w:p w:rsidR="00861F2F" w:rsidRPr="00235A56" w:rsidRDefault="00861F2F" w:rsidP="00E367D3">
      <w:pPr>
        <w:pStyle w:val="ListParagraph"/>
        <w:numPr>
          <w:ilvl w:val="0"/>
          <w:numId w:val="6"/>
        </w:numPr>
        <w:rPr>
          <w:rFonts w:ascii="Helvetica" w:hAnsi="Helvetica" w:cs="Helvetica"/>
          <w:szCs w:val="21"/>
        </w:rPr>
      </w:pPr>
      <w:r w:rsidRPr="00235A56">
        <w:rPr>
          <w:rFonts w:ascii="Helvetica" w:hAnsi="Helvetica" w:cs="Helvetica"/>
          <w:b/>
          <w:szCs w:val="21"/>
        </w:rPr>
        <w:t>Approved</w:t>
      </w:r>
      <w:r w:rsidRPr="00235A56">
        <w:rPr>
          <w:rFonts w:ascii="Helvetica" w:hAnsi="Helvetica" w:cs="Helvetica"/>
          <w:szCs w:val="21"/>
        </w:rPr>
        <w:t>- access to student support system (up to 6000 tuition fee loans), eligible to apply for Tier 4 sponsorship and degree awarding powers /university title but no access to public grant funding.</w:t>
      </w:r>
    </w:p>
    <w:p w:rsidR="00861F2F" w:rsidRPr="00235A56" w:rsidRDefault="00861F2F" w:rsidP="00E367D3">
      <w:pPr>
        <w:pStyle w:val="ListParagraph"/>
        <w:numPr>
          <w:ilvl w:val="0"/>
          <w:numId w:val="6"/>
        </w:numPr>
        <w:rPr>
          <w:rFonts w:ascii="Helvetica" w:hAnsi="Helvetica" w:cs="Helvetica"/>
          <w:szCs w:val="21"/>
        </w:rPr>
      </w:pPr>
      <w:r w:rsidRPr="00235A56">
        <w:rPr>
          <w:rFonts w:ascii="Helvetica" w:hAnsi="Helvetica" w:cs="Helvetica"/>
          <w:b/>
          <w:szCs w:val="21"/>
        </w:rPr>
        <w:t>Approved (fee cap)</w:t>
      </w:r>
      <w:r w:rsidRPr="00235A56">
        <w:rPr>
          <w:rFonts w:ascii="Helvetica" w:hAnsi="Helvetica" w:cs="Helvetica"/>
          <w:szCs w:val="21"/>
        </w:rPr>
        <w:t>- access to public funding (basic cap of 6000 tuition fee loans and higher cap of 9000), eligible to apply for Tier 4 sponsorship and degree awarding powers/university title.</w:t>
      </w:r>
    </w:p>
    <w:p w:rsidR="00861F2F" w:rsidRPr="00235A56" w:rsidRDefault="00861F2F" w:rsidP="00E367D3">
      <w:pPr>
        <w:rPr>
          <w:rFonts w:ascii="Helvetica" w:hAnsi="Helvetica" w:cs="Helvetica"/>
          <w:sz w:val="22"/>
          <w:szCs w:val="22"/>
        </w:rPr>
      </w:pPr>
      <w:r w:rsidRPr="00235A56">
        <w:rPr>
          <w:rFonts w:ascii="Helvetica" w:hAnsi="Helvetica" w:cs="Helvetica"/>
          <w:sz w:val="22"/>
          <w:szCs w:val="22"/>
        </w:rPr>
        <w:lastRenderedPageBreak/>
        <w:t>In the consultation process that followed, several stakeholders raised concerns regarding the use of the ‘basic category’. This c</w:t>
      </w:r>
      <w:r w:rsidR="00565709" w:rsidRPr="00235A56">
        <w:rPr>
          <w:rFonts w:ascii="Helvetica" w:hAnsi="Helvetica" w:cs="Helvetica"/>
          <w:sz w:val="22"/>
          <w:szCs w:val="22"/>
        </w:rPr>
        <w:t xml:space="preserve">ategory was designed to </w:t>
      </w:r>
      <w:r w:rsidRPr="00235A56">
        <w:rPr>
          <w:rFonts w:ascii="Helvetica" w:hAnsi="Helvetica" w:cs="Helvetica"/>
          <w:sz w:val="22"/>
          <w:szCs w:val="22"/>
        </w:rPr>
        <w:t xml:space="preserve">provide </w:t>
      </w:r>
      <w:r w:rsidR="00565709" w:rsidRPr="00235A56">
        <w:rPr>
          <w:rFonts w:ascii="Helvetica" w:hAnsi="Helvetica" w:cs="Helvetica"/>
          <w:sz w:val="22"/>
          <w:szCs w:val="22"/>
        </w:rPr>
        <w:t xml:space="preserve">confidence for students that such that </w:t>
      </w:r>
      <w:r w:rsidRPr="00235A56">
        <w:rPr>
          <w:rFonts w:ascii="Helvetica" w:hAnsi="Helvetica" w:cs="Helvetica"/>
          <w:sz w:val="22"/>
          <w:szCs w:val="22"/>
        </w:rPr>
        <w:t>the provider is recognized by OfS as of</w:t>
      </w:r>
      <w:r w:rsidR="00565709" w:rsidRPr="00235A56">
        <w:rPr>
          <w:rFonts w:ascii="Helvetica" w:hAnsi="Helvetica" w:cs="Helvetica"/>
          <w:sz w:val="22"/>
          <w:szCs w:val="22"/>
        </w:rPr>
        <w:t>fering higher education courses</w:t>
      </w:r>
      <w:r w:rsidRPr="00235A56">
        <w:rPr>
          <w:rFonts w:ascii="Helvetica" w:hAnsi="Helvetica" w:cs="Helvetica"/>
          <w:sz w:val="22"/>
          <w:szCs w:val="22"/>
        </w:rPr>
        <w:t xml:space="preserve"> </w:t>
      </w:r>
      <w:r w:rsidR="00565709" w:rsidRPr="00235A56">
        <w:rPr>
          <w:rFonts w:ascii="Helvetica" w:hAnsi="Helvetica" w:cs="Helvetica"/>
          <w:sz w:val="22"/>
          <w:szCs w:val="22"/>
        </w:rPr>
        <w:t>(</w:t>
      </w:r>
      <w:r w:rsidR="00E159F2" w:rsidRPr="00235A56">
        <w:rPr>
          <w:rFonts w:ascii="Helvetica" w:hAnsi="Helvetica" w:cs="Helvetica"/>
          <w:sz w:val="22"/>
          <w:szCs w:val="22"/>
        </w:rPr>
        <w:t>DfE,2017)</w:t>
      </w:r>
      <w:r w:rsidR="008445C2" w:rsidRPr="00235A56">
        <w:rPr>
          <w:rFonts w:ascii="Helvetica" w:hAnsi="Helvetica" w:cs="Helvetica"/>
          <w:sz w:val="22"/>
          <w:szCs w:val="22"/>
        </w:rPr>
        <w:t>.</w:t>
      </w:r>
      <w:r w:rsidRPr="00235A56">
        <w:rPr>
          <w:rFonts w:ascii="Helvetica" w:hAnsi="Helvetica" w:cs="Helvetica"/>
          <w:sz w:val="22"/>
          <w:szCs w:val="22"/>
        </w:rPr>
        <w:t xml:space="preserve"> The minimal regulatory requirements were considered proportionate to the benefits received</w:t>
      </w:r>
      <w:r w:rsidR="00E159F2" w:rsidRPr="00235A56">
        <w:rPr>
          <w:rFonts w:ascii="Helvetica" w:hAnsi="Helvetica" w:cs="Helvetica"/>
          <w:sz w:val="22"/>
          <w:szCs w:val="22"/>
        </w:rPr>
        <w:t xml:space="preserve"> (DfE,2017)</w:t>
      </w:r>
      <w:r w:rsidRPr="00235A56">
        <w:rPr>
          <w:rFonts w:ascii="Helvetica" w:hAnsi="Helvetica" w:cs="Helvetica"/>
          <w:sz w:val="22"/>
          <w:szCs w:val="22"/>
        </w:rPr>
        <w:t>.</w:t>
      </w:r>
      <w:r w:rsidR="00DF7848" w:rsidRPr="00235A56">
        <w:rPr>
          <w:rFonts w:ascii="Helvetica" w:hAnsi="Helvetica" w:cs="Helvetica"/>
          <w:sz w:val="22"/>
          <w:szCs w:val="22"/>
        </w:rPr>
        <w:t xml:space="preserve"> </w:t>
      </w:r>
      <w:r w:rsidRPr="00235A56">
        <w:rPr>
          <w:rFonts w:ascii="Helvetica" w:hAnsi="Helvetica" w:cs="Helvetica"/>
          <w:sz w:val="22"/>
          <w:szCs w:val="22"/>
        </w:rPr>
        <w:t xml:space="preserve">The key criticism against the ‘basic category’ was that it did not require higher education providers to undergo stringent quality and risk tests and still allowed an official status. For example, providers in this category were not required to </w:t>
      </w:r>
      <w:r w:rsidR="003A21E7" w:rsidRPr="00235A56">
        <w:rPr>
          <w:rFonts w:ascii="Helvetica" w:hAnsi="Helvetica" w:cs="Helvetica"/>
          <w:sz w:val="22"/>
          <w:szCs w:val="22"/>
        </w:rPr>
        <w:t xml:space="preserve">present </w:t>
      </w:r>
      <w:r w:rsidRPr="00235A56">
        <w:rPr>
          <w:rFonts w:ascii="Helvetica" w:hAnsi="Helvetica" w:cs="Helvetica"/>
          <w:sz w:val="22"/>
          <w:szCs w:val="22"/>
        </w:rPr>
        <w:t xml:space="preserve">Student Protection Plan. Others highlighted that these were the providers </w:t>
      </w:r>
      <w:r w:rsidR="00040326" w:rsidRPr="00235A56">
        <w:rPr>
          <w:rFonts w:ascii="Helvetica" w:hAnsi="Helvetica" w:cs="Helvetica"/>
          <w:sz w:val="22"/>
          <w:szCs w:val="22"/>
        </w:rPr>
        <w:t>that</w:t>
      </w:r>
      <w:r w:rsidRPr="00235A56">
        <w:rPr>
          <w:rFonts w:ascii="Helvetica" w:hAnsi="Helvetica" w:cs="Helvetica"/>
          <w:sz w:val="22"/>
          <w:szCs w:val="22"/>
        </w:rPr>
        <w:t xml:space="preserve"> </w:t>
      </w:r>
      <w:r w:rsidR="00040326" w:rsidRPr="00235A56">
        <w:rPr>
          <w:rFonts w:ascii="Helvetica" w:hAnsi="Helvetica" w:cs="Helvetica"/>
          <w:sz w:val="22"/>
          <w:szCs w:val="22"/>
        </w:rPr>
        <w:t>posed</w:t>
      </w:r>
      <w:r w:rsidRPr="00235A56">
        <w:rPr>
          <w:rFonts w:ascii="Helvetica" w:hAnsi="Helvetica" w:cs="Helvetica"/>
          <w:sz w:val="22"/>
          <w:szCs w:val="22"/>
        </w:rPr>
        <w:t xml:space="preserve"> </w:t>
      </w:r>
      <w:r w:rsidR="00040326" w:rsidRPr="00235A56">
        <w:rPr>
          <w:rFonts w:ascii="Helvetica" w:hAnsi="Helvetica" w:cs="Helvetica"/>
          <w:sz w:val="22"/>
          <w:szCs w:val="22"/>
        </w:rPr>
        <w:t xml:space="preserve">a greater </w:t>
      </w:r>
      <w:r w:rsidRPr="00235A56">
        <w:rPr>
          <w:rFonts w:ascii="Helvetica" w:hAnsi="Helvetica" w:cs="Helvetica"/>
          <w:sz w:val="22"/>
          <w:szCs w:val="22"/>
        </w:rPr>
        <w:t>risk to students and that</w:t>
      </w:r>
      <w:r w:rsidR="00DF7848" w:rsidRPr="00235A56">
        <w:rPr>
          <w:rFonts w:ascii="Helvetica" w:hAnsi="Helvetica" w:cs="Helvetica"/>
          <w:sz w:val="22"/>
          <w:szCs w:val="22"/>
        </w:rPr>
        <w:t xml:space="preserve"> </w:t>
      </w:r>
      <w:r w:rsidRPr="00235A56">
        <w:rPr>
          <w:rFonts w:ascii="Helvetica" w:hAnsi="Helvetica" w:cs="Helvetica"/>
          <w:sz w:val="22"/>
          <w:szCs w:val="22"/>
        </w:rPr>
        <w:t>‘given there is a focus on students, the conditions should be proportionate to the risk to students, not related to the benefits accessed by the provider’</w:t>
      </w:r>
      <w:r w:rsidR="00EF7471" w:rsidRPr="00235A56">
        <w:rPr>
          <w:rFonts w:ascii="Helvetica" w:hAnsi="Helvetica" w:cs="Helvetica"/>
          <w:sz w:val="22"/>
          <w:szCs w:val="22"/>
        </w:rPr>
        <w:t>(D</w:t>
      </w:r>
      <w:r w:rsidR="003A21E7" w:rsidRPr="00235A56">
        <w:rPr>
          <w:rFonts w:ascii="Helvetica" w:hAnsi="Helvetica" w:cs="Helvetica"/>
          <w:sz w:val="22"/>
          <w:szCs w:val="22"/>
        </w:rPr>
        <w:t>f</w:t>
      </w:r>
      <w:r w:rsidR="00EF7471" w:rsidRPr="00235A56">
        <w:rPr>
          <w:rFonts w:ascii="Helvetica" w:hAnsi="Helvetica" w:cs="Helvetica"/>
          <w:sz w:val="22"/>
          <w:szCs w:val="22"/>
        </w:rPr>
        <w:t>E</w:t>
      </w:r>
      <w:r w:rsidR="002C2C95" w:rsidRPr="00235A56">
        <w:rPr>
          <w:rFonts w:ascii="Helvetica" w:hAnsi="Helvetica" w:cs="Helvetica"/>
          <w:sz w:val="22"/>
          <w:szCs w:val="22"/>
        </w:rPr>
        <w:t>,</w:t>
      </w:r>
      <w:r w:rsidR="008445C2" w:rsidRPr="00235A56">
        <w:rPr>
          <w:rFonts w:ascii="Helvetica" w:hAnsi="Helvetica" w:cs="Helvetica"/>
          <w:sz w:val="22"/>
          <w:szCs w:val="22"/>
        </w:rPr>
        <w:t xml:space="preserve"> 2018, p.</w:t>
      </w:r>
      <w:r w:rsidR="003A21E7" w:rsidRPr="00235A56">
        <w:rPr>
          <w:rFonts w:ascii="Helvetica" w:hAnsi="Helvetica" w:cs="Helvetica"/>
          <w:sz w:val="22"/>
          <w:szCs w:val="22"/>
        </w:rPr>
        <w:t>31</w:t>
      </w:r>
      <w:r w:rsidR="00EF7471" w:rsidRPr="00235A56">
        <w:rPr>
          <w:rFonts w:ascii="Helvetica" w:hAnsi="Helvetica" w:cs="Helvetica"/>
          <w:sz w:val="22"/>
          <w:szCs w:val="22"/>
        </w:rPr>
        <w:t>)</w:t>
      </w:r>
      <w:r w:rsidR="00494338" w:rsidRPr="00235A56">
        <w:rPr>
          <w:rFonts w:ascii="Helvetica" w:hAnsi="Helvetica" w:cs="Helvetica"/>
          <w:sz w:val="22"/>
          <w:szCs w:val="22"/>
        </w:rPr>
        <w:t>.</w:t>
      </w:r>
      <w:r w:rsidRPr="00235A56">
        <w:rPr>
          <w:rFonts w:ascii="Helvetica" w:hAnsi="Helvetica" w:cs="Helvetica"/>
          <w:sz w:val="22"/>
          <w:szCs w:val="22"/>
        </w:rPr>
        <w:t xml:space="preserve"> </w:t>
      </w:r>
    </w:p>
    <w:p w:rsidR="00861F2F" w:rsidRPr="00235A56" w:rsidRDefault="00861F2F" w:rsidP="00E367D3">
      <w:pPr>
        <w:pStyle w:val="Heading3"/>
        <w:numPr>
          <w:ilvl w:val="2"/>
          <w:numId w:val="22"/>
        </w:numPr>
        <w:rPr>
          <w:rFonts w:ascii="Helvetica" w:hAnsi="Helvetica" w:cs="Helvetica"/>
          <w:sz w:val="22"/>
          <w:szCs w:val="22"/>
        </w:rPr>
      </w:pPr>
      <w:r w:rsidRPr="00235A56">
        <w:rPr>
          <w:rFonts w:ascii="Helvetica" w:hAnsi="Helvetica" w:cs="Helvetica"/>
          <w:sz w:val="22"/>
          <w:szCs w:val="22"/>
        </w:rPr>
        <w:t xml:space="preserve">The new Register under the Office of Students </w:t>
      </w:r>
    </w:p>
    <w:p w:rsidR="00861F2F" w:rsidRPr="00235A56" w:rsidRDefault="00861F2F" w:rsidP="00E367D3">
      <w:pPr>
        <w:rPr>
          <w:rFonts w:ascii="Helvetica" w:hAnsi="Helvetica" w:cs="Helvetica"/>
          <w:sz w:val="22"/>
          <w:szCs w:val="22"/>
        </w:rPr>
      </w:pPr>
      <w:bookmarkStart w:id="8" w:name="_Hlk520768768"/>
      <w:r w:rsidRPr="00235A56">
        <w:rPr>
          <w:rFonts w:ascii="Helvetica" w:hAnsi="Helvetica" w:cs="Helvetica"/>
          <w:sz w:val="22"/>
          <w:szCs w:val="22"/>
        </w:rPr>
        <w:t xml:space="preserve">In February 2018, the newly established OfS published </w:t>
      </w:r>
      <w:r w:rsidRPr="00235A56">
        <w:rPr>
          <w:rFonts w:ascii="Helvetica" w:hAnsi="Helvetica" w:cs="Helvetica"/>
          <w:i/>
          <w:sz w:val="22"/>
          <w:szCs w:val="22"/>
        </w:rPr>
        <w:t>Securing Student Success, Regulatory Framework for higher education in England</w:t>
      </w:r>
      <w:r w:rsidR="00565709" w:rsidRPr="00235A56">
        <w:rPr>
          <w:rFonts w:ascii="Helvetica" w:hAnsi="Helvetica" w:cs="Helvetica"/>
          <w:i/>
          <w:sz w:val="22"/>
          <w:szCs w:val="22"/>
        </w:rPr>
        <w:t xml:space="preserve"> </w:t>
      </w:r>
      <w:r w:rsidR="006953AA" w:rsidRPr="00235A56">
        <w:rPr>
          <w:rFonts w:ascii="Helvetica" w:hAnsi="Helvetica" w:cs="Helvetica"/>
          <w:sz w:val="22"/>
          <w:szCs w:val="22"/>
        </w:rPr>
        <w:t>(OfS</w:t>
      </w:r>
      <w:r w:rsidR="00CB1F31" w:rsidRPr="00235A56">
        <w:rPr>
          <w:rFonts w:ascii="Helvetica" w:hAnsi="Helvetica" w:cs="Helvetica"/>
          <w:sz w:val="22"/>
          <w:szCs w:val="22"/>
        </w:rPr>
        <w:t>,</w:t>
      </w:r>
      <w:r w:rsidR="008445C2" w:rsidRPr="00235A56">
        <w:rPr>
          <w:rFonts w:ascii="Helvetica" w:hAnsi="Helvetica" w:cs="Helvetica"/>
          <w:sz w:val="22"/>
          <w:szCs w:val="22"/>
        </w:rPr>
        <w:t xml:space="preserve"> </w:t>
      </w:r>
      <w:r w:rsidR="006953AA" w:rsidRPr="00235A56">
        <w:rPr>
          <w:rFonts w:ascii="Helvetica" w:hAnsi="Helvetica" w:cs="Helvetica"/>
          <w:sz w:val="22"/>
          <w:szCs w:val="22"/>
        </w:rPr>
        <w:t>2018</w:t>
      </w:r>
      <w:r w:rsidR="005C0573" w:rsidRPr="00235A56">
        <w:rPr>
          <w:rFonts w:ascii="Helvetica" w:hAnsi="Helvetica" w:cs="Helvetica"/>
          <w:sz w:val="22"/>
          <w:szCs w:val="22"/>
        </w:rPr>
        <w:t>a</w:t>
      </w:r>
      <w:r w:rsidR="006953AA" w:rsidRPr="00235A56">
        <w:rPr>
          <w:rFonts w:ascii="Helvetica" w:hAnsi="Helvetica" w:cs="Helvetica"/>
          <w:sz w:val="22"/>
          <w:szCs w:val="22"/>
        </w:rPr>
        <w:t>)</w:t>
      </w:r>
      <w:r w:rsidR="008445C2" w:rsidRPr="00235A56">
        <w:rPr>
          <w:rFonts w:ascii="Helvetica" w:hAnsi="Helvetica" w:cs="Helvetica"/>
          <w:sz w:val="22"/>
          <w:szCs w:val="22"/>
        </w:rPr>
        <w:t xml:space="preserve"> </w:t>
      </w:r>
      <w:r w:rsidRPr="00235A56">
        <w:rPr>
          <w:rFonts w:ascii="Helvetica" w:hAnsi="Helvetica" w:cs="Helvetica"/>
          <w:sz w:val="22"/>
          <w:szCs w:val="22"/>
        </w:rPr>
        <w:t>which describes the new regulatory framework in England. All higher education providers which wish to access any of the following benefits are required to register with OfS:</w:t>
      </w:r>
    </w:p>
    <w:p w:rsidR="00861F2F" w:rsidRPr="00235A56" w:rsidRDefault="00861F2F" w:rsidP="00E367D3">
      <w:pPr>
        <w:pStyle w:val="ListParagraph"/>
        <w:numPr>
          <w:ilvl w:val="0"/>
          <w:numId w:val="8"/>
        </w:numPr>
        <w:rPr>
          <w:rFonts w:ascii="Helvetica" w:hAnsi="Helvetica" w:cs="Helvetica"/>
          <w:szCs w:val="21"/>
        </w:rPr>
      </w:pPr>
      <w:r w:rsidRPr="00235A56">
        <w:rPr>
          <w:rFonts w:ascii="Helvetica" w:hAnsi="Helvetica" w:cs="Helvetica"/>
          <w:szCs w:val="21"/>
        </w:rPr>
        <w:t>access to public grant funding and student support system</w:t>
      </w:r>
    </w:p>
    <w:p w:rsidR="00861F2F" w:rsidRPr="00235A56" w:rsidRDefault="00861F2F" w:rsidP="00E367D3">
      <w:pPr>
        <w:pStyle w:val="ListParagraph"/>
        <w:numPr>
          <w:ilvl w:val="0"/>
          <w:numId w:val="8"/>
        </w:numPr>
        <w:rPr>
          <w:rFonts w:ascii="Helvetica" w:hAnsi="Helvetica" w:cs="Helvetica"/>
          <w:szCs w:val="21"/>
        </w:rPr>
      </w:pPr>
      <w:r w:rsidRPr="00235A56">
        <w:rPr>
          <w:rFonts w:ascii="Helvetica" w:hAnsi="Helvetica" w:cs="Helvetica"/>
          <w:szCs w:val="21"/>
        </w:rPr>
        <w:t>eligibility to apply for Tier 4 sponsorship license of international students</w:t>
      </w:r>
    </w:p>
    <w:p w:rsidR="00861F2F" w:rsidRPr="00235A56" w:rsidRDefault="00861F2F" w:rsidP="00E367D3">
      <w:pPr>
        <w:pStyle w:val="ListParagraph"/>
        <w:numPr>
          <w:ilvl w:val="0"/>
          <w:numId w:val="8"/>
        </w:numPr>
        <w:rPr>
          <w:rFonts w:ascii="Helvetica" w:hAnsi="Helvetica" w:cs="Helvetica"/>
          <w:szCs w:val="21"/>
        </w:rPr>
      </w:pPr>
      <w:r w:rsidRPr="00235A56">
        <w:rPr>
          <w:rFonts w:ascii="Helvetica" w:hAnsi="Helvetica" w:cs="Helvetica"/>
          <w:szCs w:val="21"/>
        </w:rPr>
        <w:t>gain degree awarding powers (DAP)/university title</w:t>
      </w:r>
    </w:p>
    <w:bookmarkEnd w:id="8"/>
    <w:p w:rsidR="00861F2F" w:rsidRPr="00235A56" w:rsidRDefault="00861F2F" w:rsidP="00390503">
      <w:pPr>
        <w:rPr>
          <w:rFonts w:ascii="Helvetica" w:hAnsi="Helvetica" w:cs="Helvetica"/>
          <w:sz w:val="22"/>
          <w:szCs w:val="22"/>
        </w:rPr>
      </w:pPr>
      <w:r w:rsidRPr="00235A56">
        <w:rPr>
          <w:rFonts w:ascii="Helvetica" w:hAnsi="Helvetica" w:cs="Helvetica"/>
          <w:sz w:val="22"/>
          <w:szCs w:val="22"/>
        </w:rPr>
        <w:t xml:space="preserve">Higher education providers can apply for to register in the following in two categories. </w:t>
      </w:r>
    </w:p>
    <w:p w:rsidR="00861F2F" w:rsidRPr="00235A56" w:rsidRDefault="00861F2F" w:rsidP="00E367D3">
      <w:pPr>
        <w:pStyle w:val="ListParagraph"/>
        <w:numPr>
          <w:ilvl w:val="0"/>
          <w:numId w:val="7"/>
        </w:numPr>
        <w:rPr>
          <w:rFonts w:ascii="Helvetica" w:hAnsi="Helvetica" w:cs="Helvetica"/>
          <w:szCs w:val="21"/>
        </w:rPr>
      </w:pPr>
      <w:r w:rsidRPr="00235A56">
        <w:rPr>
          <w:rFonts w:ascii="Helvetica" w:hAnsi="Helvetica" w:cs="Helvetica"/>
          <w:szCs w:val="21"/>
        </w:rPr>
        <w:t>Approved</w:t>
      </w:r>
      <w:r w:rsidR="00DF7848" w:rsidRPr="00235A56">
        <w:rPr>
          <w:rFonts w:ascii="Helvetica" w:hAnsi="Helvetica" w:cs="Helvetica"/>
          <w:szCs w:val="21"/>
        </w:rPr>
        <w:t xml:space="preserve"> </w:t>
      </w:r>
    </w:p>
    <w:p w:rsidR="00861F2F" w:rsidRPr="00235A56" w:rsidRDefault="00861F2F" w:rsidP="00E367D3">
      <w:pPr>
        <w:pStyle w:val="ListParagraph"/>
        <w:numPr>
          <w:ilvl w:val="0"/>
          <w:numId w:val="7"/>
        </w:numPr>
        <w:rPr>
          <w:rFonts w:ascii="Helvetica" w:hAnsi="Helvetica" w:cs="Helvetica"/>
          <w:szCs w:val="21"/>
        </w:rPr>
      </w:pPr>
      <w:r w:rsidRPr="00235A56">
        <w:rPr>
          <w:rFonts w:ascii="Helvetica" w:hAnsi="Helvetica" w:cs="Helvetica"/>
          <w:szCs w:val="21"/>
        </w:rPr>
        <w:t xml:space="preserve">Approved fee cap. </w:t>
      </w:r>
    </w:p>
    <w:p w:rsidR="00861F2F" w:rsidRPr="00235A56" w:rsidRDefault="00861F2F" w:rsidP="00E367D3">
      <w:pPr>
        <w:rPr>
          <w:rFonts w:ascii="Helvetica" w:hAnsi="Helvetica" w:cs="Helvetica"/>
          <w:sz w:val="22"/>
          <w:szCs w:val="22"/>
        </w:rPr>
      </w:pPr>
      <w:r w:rsidRPr="00235A56">
        <w:rPr>
          <w:rFonts w:ascii="Helvetica" w:hAnsi="Helvetica" w:cs="Helvetica"/>
          <w:sz w:val="22"/>
          <w:szCs w:val="22"/>
        </w:rPr>
        <w:t>Following the consultation, the basic category was removed. Each category (approved and approved fee cap) has different sets of benefits and conditions (</w:t>
      </w:r>
      <w:r w:rsidRPr="00235A56">
        <w:rPr>
          <w:rFonts w:ascii="Helvetica" w:hAnsi="Helvetica" w:cs="Helvetica"/>
          <w:b/>
          <w:sz w:val="22"/>
          <w:szCs w:val="22"/>
        </w:rPr>
        <w:t>Table</w:t>
      </w:r>
      <w:r w:rsidR="006953AA" w:rsidRPr="00235A56">
        <w:rPr>
          <w:rFonts w:ascii="Helvetica" w:hAnsi="Helvetica" w:cs="Helvetica"/>
          <w:b/>
          <w:sz w:val="22"/>
          <w:szCs w:val="22"/>
        </w:rPr>
        <w:t xml:space="preserve"> 3</w:t>
      </w:r>
      <w:r w:rsidRPr="00235A56">
        <w:rPr>
          <w:rFonts w:ascii="Helvetica" w:hAnsi="Helvetica" w:cs="Helvetica"/>
          <w:sz w:val="22"/>
          <w:szCs w:val="22"/>
        </w:rPr>
        <w:t xml:space="preserve">). There are two types of conditions: </w:t>
      </w:r>
    </w:p>
    <w:p w:rsidR="006D0D0B" w:rsidRPr="00235A56" w:rsidRDefault="00861F2F" w:rsidP="00E367D3">
      <w:pPr>
        <w:rPr>
          <w:rFonts w:ascii="Helvetica" w:hAnsi="Helvetica" w:cs="Helvetica"/>
          <w:sz w:val="22"/>
          <w:szCs w:val="22"/>
        </w:rPr>
      </w:pPr>
      <w:r w:rsidRPr="00235A56">
        <w:rPr>
          <w:rFonts w:ascii="Helvetica" w:hAnsi="Helvetica" w:cs="Helvetica"/>
          <w:b/>
          <w:sz w:val="22"/>
          <w:szCs w:val="22"/>
        </w:rPr>
        <w:t>Initial and ongoing conditions</w:t>
      </w:r>
      <w:r w:rsidRPr="00235A56">
        <w:rPr>
          <w:rFonts w:ascii="Helvetica" w:hAnsi="Helvetica" w:cs="Helvetica"/>
          <w:sz w:val="22"/>
          <w:szCs w:val="22"/>
        </w:rPr>
        <w:t xml:space="preserve"> which providers must meet when initially registering and continue to meet to remain on the register. The initial and ongoing conditions pertain to: access and widening participation (A), quality, reliable standards and positive outcomes for all students (B), protecting the interest of all students (C), financial sustainability (D), good governance (E), information for students (F), and accountability of fees and funding (G). </w:t>
      </w:r>
      <w:r w:rsidRPr="00235A56">
        <w:rPr>
          <w:rFonts w:ascii="Helvetica" w:hAnsi="Helvetica" w:cs="Helvetica"/>
          <w:b/>
          <w:sz w:val="22"/>
          <w:szCs w:val="22"/>
        </w:rPr>
        <w:t xml:space="preserve">Specific ongoing conditions </w:t>
      </w:r>
      <w:r w:rsidRPr="00235A56">
        <w:rPr>
          <w:rFonts w:ascii="Helvetica" w:hAnsi="Helvetica" w:cs="Helvetica"/>
          <w:sz w:val="22"/>
          <w:szCs w:val="22"/>
        </w:rPr>
        <w:t>that OfS may apply based on risk assessment for the provider to remain on the register</w:t>
      </w:r>
      <w:r w:rsidRPr="00235A56">
        <w:rPr>
          <w:rStyle w:val="FootnoteReference"/>
          <w:rFonts w:ascii="Helvetica" w:hAnsi="Helvetica" w:cs="Helvetica"/>
          <w:sz w:val="22"/>
          <w:szCs w:val="22"/>
        </w:rPr>
        <w:footnoteReference w:id="1"/>
      </w:r>
      <w:r w:rsidRPr="00235A56">
        <w:rPr>
          <w:rFonts w:ascii="Helvetica" w:hAnsi="Helvetica" w:cs="Helvetica"/>
          <w:sz w:val="22"/>
          <w:szCs w:val="22"/>
        </w:rPr>
        <w:t>.</w:t>
      </w:r>
    </w:p>
    <w:p w:rsidR="00C52050" w:rsidRPr="00235A56" w:rsidRDefault="00C52050">
      <w:pPr>
        <w:spacing w:after="0"/>
        <w:jc w:val="left"/>
        <w:rPr>
          <w:rFonts w:ascii="Helvetica" w:hAnsi="Helvetica" w:cs="Helvetica"/>
          <w:b/>
          <w:i/>
          <w:iCs/>
          <w:color w:val="44546A" w:themeColor="text2"/>
          <w:sz w:val="18"/>
          <w:szCs w:val="16"/>
        </w:rPr>
      </w:pPr>
    </w:p>
    <w:p w:rsidR="006953AA" w:rsidRPr="00235A56" w:rsidRDefault="006953AA" w:rsidP="00353191">
      <w:pPr>
        <w:pStyle w:val="Caption"/>
        <w:keepNext/>
        <w:rPr>
          <w:rFonts w:ascii="Helvetica" w:hAnsi="Helvetica" w:cs="Helvetica"/>
          <w:b/>
          <w:szCs w:val="16"/>
        </w:rPr>
      </w:pPr>
      <w:r w:rsidRPr="00235A56">
        <w:rPr>
          <w:rFonts w:ascii="Helvetica" w:hAnsi="Helvetica" w:cs="Helvetica"/>
          <w:b/>
          <w:szCs w:val="16"/>
        </w:rPr>
        <w:t xml:space="preserve">Table </w:t>
      </w:r>
      <w:r w:rsidRPr="00235A56">
        <w:rPr>
          <w:rFonts w:ascii="Helvetica" w:hAnsi="Helvetica" w:cs="Helvetica"/>
          <w:b/>
          <w:noProof/>
          <w:szCs w:val="16"/>
        </w:rPr>
        <w:t>3</w:t>
      </w:r>
      <w:r w:rsidRPr="00235A56">
        <w:rPr>
          <w:rFonts w:ascii="Helvetica" w:hAnsi="Helvetica" w:cs="Helvetica"/>
          <w:b/>
          <w:szCs w:val="16"/>
        </w:rPr>
        <w:t xml:space="preserve">: Benefits associated with each register category (Adapted from: </w:t>
      </w:r>
      <w:r w:rsidR="004647EB" w:rsidRPr="00235A56">
        <w:rPr>
          <w:rFonts w:ascii="Helvetica" w:hAnsi="Helvetica" w:cs="Helvetica"/>
          <w:b/>
          <w:szCs w:val="16"/>
        </w:rPr>
        <w:t>OfS</w:t>
      </w:r>
      <w:r w:rsidR="00CB1F31" w:rsidRPr="00235A56">
        <w:rPr>
          <w:rFonts w:ascii="Helvetica" w:hAnsi="Helvetica" w:cs="Helvetica"/>
          <w:b/>
          <w:szCs w:val="16"/>
        </w:rPr>
        <w:t>,</w:t>
      </w:r>
      <w:r w:rsidR="004647EB" w:rsidRPr="00235A56">
        <w:rPr>
          <w:rFonts w:ascii="Helvetica" w:hAnsi="Helvetica" w:cs="Helvetica"/>
          <w:b/>
          <w:szCs w:val="16"/>
        </w:rPr>
        <w:t xml:space="preserve"> 2018</w:t>
      </w:r>
      <w:r w:rsidR="005C0573" w:rsidRPr="00235A56">
        <w:rPr>
          <w:rFonts w:ascii="Helvetica" w:hAnsi="Helvetica" w:cs="Helvetica"/>
          <w:b/>
          <w:szCs w:val="16"/>
        </w:rPr>
        <w:t>a</w:t>
      </w:r>
      <w:r w:rsidR="00CB1F31" w:rsidRPr="00235A56">
        <w:rPr>
          <w:rFonts w:ascii="Helvetica" w:hAnsi="Helvetica" w:cs="Helvetica"/>
          <w:b/>
          <w:szCs w:val="16"/>
        </w:rPr>
        <w:t>, pp.</w:t>
      </w:r>
      <w:r w:rsidR="004647EB" w:rsidRPr="00235A56">
        <w:rPr>
          <w:rFonts w:ascii="Helvetica" w:hAnsi="Helvetica" w:cs="Helvetica"/>
          <w:b/>
          <w:szCs w:val="16"/>
        </w:rPr>
        <w:t>28</w:t>
      </w:r>
      <w:r w:rsidRPr="00235A56">
        <w:rPr>
          <w:rFonts w:ascii="Helvetica" w:hAnsi="Helvetica" w:cs="Helvetica"/>
          <w:b/>
          <w:szCs w:val="16"/>
        </w:rPr>
        <w:t>-30)</w:t>
      </w:r>
    </w:p>
    <w:tbl>
      <w:tblPr>
        <w:tblStyle w:val="TableGrid"/>
        <w:tblW w:w="0" w:type="auto"/>
        <w:tblLook w:val="04A0" w:firstRow="1" w:lastRow="0" w:firstColumn="1" w:lastColumn="0" w:noHBand="0" w:noVBand="1"/>
      </w:tblPr>
      <w:tblGrid>
        <w:gridCol w:w="2120"/>
        <w:gridCol w:w="3540"/>
        <w:gridCol w:w="1560"/>
        <w:gridCol w:w="1790"/>
      </w:tblGrid>
      <w:tr w:rsidR="00861F2F" w:rsidRPr="00235A56" w:rsidTr="00A248CA">
        <w:trPr>
          <w:tblHeader/>
        </w:trPr>
        <w:tc>
          <w:tcPr>
            <w:tcW w:w="2120" w:type="dxa"/>
            <w:tcBorders>
              <w:bottom w:val="nil"/>
            </w:tcBorders>
            <w:shd w:val="clear" w:color="auto" w:fill="B4C6E7" w:themeFill="accent1" w:themeFillTint="66"/>
          </w:tcPr>
          <w:p w:rsidR="00861F2F" w:rsidRPr="00235A56" w:rsidRDefault="00861F2F" w:rsidP="00E367D3">
            <w:pPr>
              <w:rPr>
                <w:rFonts w:ascii="Helvetica" w:hAnsi="Helvetica" w:cs="Helvetica"/>
                <w:b/>
                <w:sz w:val="20"/>
                <w:szCs w:val="20"/>
              </w:rPr>
            </w:pPr>
            <w:r w:rsidRPr="00235A56">
              <w:rPr>
                <w:rFonts w:ascii="Helvetica" w:hAnsi="Helvetica" w:cs="Helvetica"/>
                <w:b/>
                <w:sz w:val="20"/>
                <w:szCs w:val="20"/>
              </w:rPr>
              <w:t>Benefits</w:t>
            </w:r>
          </w:p>
        </w:tc>
        <w:tc>
          <w:tcPr>
            <w:tcW w:w="3540" w:type="dxa"/>
            <w:tcBorders>
              <w:bottom w:val="nil"/>
            </w:tcBorders>
            <w:shd w:val="clear" w:color="auto" w:fill="B4C6E7" w:themeFill="accent1" w:themeFillTint="66"/>
          </w:tcPr>
          <w:p w:rsidR="00861F2F" w:rsidRPr="00235A56" w:rsidRDefault="00861F2F" w:rsidP="00E367D3">
            <w:pPr>
              <w:rPr>
                <w:rFonts w:ascii="Helvetica" w:hAnsi="Helvetica" w:cs="Helvetica"/>
                <w:b/>
                <w:sz w:val="20"/>
                <w:szCs w:val="20"/>
              </w:rPr>
            </w:pPr>
          </w:p>
        </w:tc>
        <w:tc>
          <w:tcPr>
            <w:tcW w:w="1560" w:type="dxa"/>
            <w:tcBorders>
              <w:bottom w:val="nil"/>
            </w:tcBorders>
            <w:shd w:val="clear" w:color="auto" w:fill="B4C6E7" w:themeFill="accent1" w:themeFillTint="66"/>
          </w:tcPr>
          <w:p w:rsidR="00861F2F" w:rsidRPr="00235A56" w:rsidRDefault="00861F2F" w:rsidP="00E367D3">
            <w:pPr>
              <w:rPr>
                <w:rFonts w:ascii="Helvetica" w:hAnsi="Helvetica" w:cs="Helvetica"/>
                <w:b/>
                <w:sz w:val="20"/>
                <w:szCs w:val="20"/>
              </w:rPr>
            </w:pPr>
            <w:r w:rsidRPr="00235A56">
              <w:rPr>
                <w:rFonts w:ascii="Helvetica" w:hAnsi="Helvetica" w:cs="Helvetica"/>
                <w:b/>
                <w:sz w:val="20"/>
                <w:szCs w:val="20"/>
              </w:rPr>
              <w:t>Approved (fee cap)</w:t>
            </w:r>
          </w:p>
        </w:tc>
        <w:tc>
          <w:tcPr>
            <w:tcW w:w="1790" w:type="dxa"/>
            <w:tcBorders>
              <w:bottom w:val="nil"/>
            </w:tcBorders>
            <w:shd w:val="clear" w:color="auto" w:fill="B4C6E7" w:themeFill="accent1" w:themeFillTint="66"/>
          </w:tcPr>
          <w:p w:rsidR="00861F2F" w:rsidRPr="00235A56" w:rsidRDefault="00861F2F" w:rsidP="00E367D3">
            <w:pPr>
              <w:rPr>
                <w:rFonts w:ascii="Helvetica" w:hAnsi="Helvetica" w:cs="Helvetica"/>
                <w:b/>
                <w:sz w:val="20"/>
                <w:szCs w:val="20"/>
              </w:rPr>
            </w:pPr>
            <w:r w:rsidRPr="00235A56">
              <w:rPr>
                <w:rFonts w:ascii="Helvetica" w:hAnsi="Helvetica" w:cs="Helvetica"/>
                <w:b/>
                <w:sz w:val="20"/>
                <w:szCs w:val="20"/>
              </w:rPr>
              <w:t>Approved</w:t>
            </w:r>
          </w:p>
        </w:tc>
      </w:tr>
      <w:tr w:rsidR="00861F2F" w:rsidRPr="00235A56" w:rsidTr="00040326">
        <w:tc>
          <w:tcPr>
            <w:tcW w:w="2120" w:type="dxa"/>
            <w:tcBorders>
              <w:top w:val="nil"/>
            </w:tcBorders>
          </w:tcPr>
          <w:p w:rsidR="00861F2F" w:rsidRPr="00235A56" w:rsidRDefault="00861F2F" w:rsidP="00615EF7">
            <w:pPr>
              <w:jc w:val="left"/>
              <w:rPr>
                <w:rFonts w:ascii="Helvetica" w:hAnsi="Helvetica" w:cs="Helvetica"/>
                <w:sz w:val="20"/>
                <w:szCs w:val="20"/>
              </w:rPr>
            </w:pPr>
            <w:r w:rsidRPr="00235A56">
              <w:rPr>
                <w:rFonts w:ascii="Helvetica" w:hAnsi="Helvetica" w:cs="Helvetica"/>
                <w:sz w:val="20"/>
                <w:szCs w:val="20"/>
              </w:rPr>
              <w:t>Public grant funding</w:t>
            </w:r>
          </w:p>
        </w:tc>
        <w:tc>
          <w:tcPr>
            <w:tcW w:w="3540" w:type="dxa"/>
            <w:tcBorders>
              <w:top w:val="nil"/>
            </w:tcBorders>
          </w:tcPr>
          <w:p w:rsidR="00861F2F" w:rsidRPr="00235A56" w:rsidRDefault="00861F2F" w:rsidP="00615EF7">
            <w:pPr>
              <w:jc w:val="left"/>
              <w:rPr>
                <w:rFonts w:ascii="Helvetica" w:hAnsi="Helvetica" w:cs="Helvetica"/>
                <w:sz w:val="20"/>
                <w:szCs w:val="20"/>
              </w:rPr>
            </w:pPr>
            <w:r w:rsidRPr="00235A56">
              <w:rPr>
                <w:rFonts w:ascii="Helvetica" w:hAnsi="Helvetica" w:cs="Helvetica"/>
                <w:sz w:val="20"/>
                <w:szCs w:val="20"/>
              </w:rPr>
              <w:t>Eligibility for direct grant funding from Research England (part of UK Research and Innovation)</w:t>
            </w:r>
          </w:p>
        </w:tc>
        <w:tc>
          <w:tcPr>
            <w:tcW w:w="1560" w:type="dxa"/>
            <w:tcBorders>
              <w:top w:val="nil"/>
            </w:tcBorders>
          </w:tcPr>
          <w:p w:rsidR="00861F2F" w:rsidRPr="00235A56" w:rsidRDefault="00861F2F" w:rsidP="00615EF7">
            <w:pPr>
              <w:jc w:val="left"/>
              <w:rPr>
                <w:rFonts w:ascii="Helvetica" w:hAnsi="Helvetica" w:cs="Helvetica"/>
                <w:sz w:val="20"/>
                <w:szCs w:val="20"/>
              </w:rPr>
            </w:pPr>
            <w:r w:rsidRPr="00235A56">
              <w:rPr>
                <w:rFonts w:ascii="Helvetica" w:hAnsi="Helvetica" w:cs="Helvetica"/>
                <w:sz w:val="20"/>
                <w:szCs w:val="20"/>
              </w:rPr>
              <w:t>Yes</w:t>
            </w:r>
          </w:p>
        </w:tc>
        <w:tc>
          <w:tcPr>
            <w:tcW w:w="1790" w:type="dxa"/>
            <w:tcBorders>
              <w:top w:val="nil"/>
            </w:tcBorders>
          </w:tcPr>
          <w:p w:rsidR="00861F2F" w:rsidRPr="00235A56" w:rsidRDefault="00861F2F" w:rsidP="00615EF7">
            <w:pPr>
              <w:jc w:val="left"/>
              <w:rPr>
                <w:rFonts w:ascii="Helvetica" w:hAnsi="Helvetica" w:cs="Helvetica"/>
                <w:sz w:val="20"/>
                <w:szCs w:val="20"/>
              </w:rPr>
            </w:pPr>
            <w:r w:rsidRPr="00235A56">
              <w:rPr>
                <w:rFonts w:ascii="Helvetica" w:hAnsi="Helvetica" w:cs="Helvetica"/>
                <w:sz w:val="20"/>
                <w:szCs w:val="20"/>
              </w:rPr>
              <w:t>No</w:t>
            </w:r>
          </w:p>
        </w:tc>
      </w:tr>
      <w:tr w:rsidR="00861F2F" w:rsidRPr="00235A56" w:rsidTr="00040326">
        <w:tc>
          <w:tcPr>
            <w:tcW w:w="2120" w:type="dxa"/>
          </w:tcPr>
          <w:p w:rsidR="00861F2F" w:rsidRPr="00235A56" w:rsidRDefault="00861F2F" w:rsidP="00615EF7">
            <w:pPr>
              <w:jc w:val="left"/>
              <w:rPr>
                <w:rFonts w:ascii="Helvetica" w:hAnsi="Helvetica" w:cs="Helvetica"/>
                <w:sz w:val="20"/>
                <w:szCs w:val="20"/>
              </w:rPr>
            </w:pPr>
          </w:p>
        </w:tc>
        <w:tc>
          <w:tcPr>
            <w:tcW w:w="3540" w:type="dxa"/>
          </w:tcPr>
          <w:p w:rsidR="00861F2F" w:rsidRPr="00235A56" w:rsidRDefault="00861F2F" w:rsidP="00615EF7">
            <w:pPr>
              <w:jc w:val="left"/>
              <w:rPr>
                <w:rFonts w:ascii="Helvetica" w:hAnsi="Helvetica" w:cs="Helvetica"/>
                <w:sz w:val="20"/>
                <w:szCs w:val="20"/>
              </w:rPr>
            </w:pPr>
            <w:r w:rsidRPr="00235A56">
              <w:rPr>
                <w:rFonts w:ascii="Helvetica" w:hAnsi="Helvetica" w:cs="Helvetica"/>
                <w:sz w:val="20"/>
                <w:szCs w:val="20"/>
              </w:rPr>
              <w:t>Eligibility for OfS teaching grant or any other payment by OfS</w:t>
            </w:r>
          </w:p>
        </w:tc>
        <w:tc>
          <w:tcPr>
            <w:tcW w:w="1560" w:type="dxa"/>
          </w:tcPr>
          <w:p w:rsidR="00861F2F" w:rsidRPr="00235A56" w:rsidRDefault="00861F2F" w:rsidP="00615EF7">
            <w:pPr>
              <w:jc w:val="left"/>
              <w:rPr>
                <w:rFonts w:ascii="Helvetica" w:hAnsi="Helvetica" w:cs="Helvetica"/>
                <w:sz w:val="20"/>
                <w:szCs w:val="20"/>
              </w:rPr>
            </w:pPr>
            <w:r w:rsidRPr="00235A56">
              <w:rPr>
                <w:rFonts w:ascii="Helvetica" w:hAnsi="Helvetica" w:cs="Helvetica"/>
                <w:sz w:val="20"/>
                <w:szCs w:val="20"/>
              </w:rPr>
              <w:t>Yes</w:t>
            </w:r>
          </w:p>
        </w:tc>
        <w:tc>
          <w:tcPr>
            <w:tcW w:w="1790" w:type="dxa"/>
          </w:tcPr>
          <w:p w:rsidR="00861F2F" w:rsidRPr="00235A56" w:rsidRDefault="00861F2F" w:rsidP="00615EF7">
            <w:pPr>
              <w:jc w:val="left"/>
              <w:rPr>
                <w:rFonts w:ascii="Helvetica" w:hAnsi="Helvetica" w:cs="Helvetica"/>
                <w:sz w:val="20"/>
                <w:szCs w:val="20"/>
              </w:rPr>
            </w:pPr>
            <w:r w:rsidRPr="00235A56">
              <w:rPr>
                <w:rFonts w:ascii="Helvetica" w:hAnsi="Helvetica" w:cs="Helvetica"/>
                <w:sz w:val="20"/>
                <w:szCs w:val="20"/>
              </w:rPr>
              <w:t>No</w:t>
            </w:r>
          </w:p>
        </w:tc>
      </w:tr>
      <w:tr w:rsidR="00861F2F" w:rsidRPr="00235A56" w:rsidTr="00040326">
        <w:tc>
          <w:tcPr>
            <w:tcW w:w="2120" w:type="dxa"/>
          </w:tcPr>
          <w:p w:rsidR="00861F2F" w:rsidRPr="00235A56" w:rsidRDefault="00861F2F" w:rsidP="00615EF7">
            <w:pPr>
              <w:jc w:val="left"/>
              <w:rPr>
                <w:rFonts w:ascii="Helvetica" w:hAnsi="Helvetica" w:cs="Helvetica"/>
                <w:sz w:val="20"/>
                <w:szCs w:val="20"/>
              </w:rPr>
            </w:pPr>
          </w:p>
        </w:tc>
        <w:tc>
          <w:tcPr>
            <w:tcW w:w="3540" w:type="dxa"/>
          </w:tcPr>
          <w:p w:rsidR="00861F2F" w:rsidRPr="00235A56" w:rsidRDefault="00861F2F" w:rsidP="00615EF7">
            <w:pPr>
              <w:jc w:val="left"/>
              <w:rPr>
                <w:rFonts w:ascii="Helvetica" w:hAnsi="Helvetica" w:cs="Helvetica"/>
                <w:sz w:val="20"/>
                <w:szCs w:val="20"/>
              </w:rPr>
            </w:pPr>
            <w:r w:rsidRPr="00235A56">
              <w:rPr>
                <w:rFonts w:ascii="Helvetica" w:hAnsi="Helvetica" w:cs="Helvetica"/>
                <w:sz w:val="20"/>
                <w:szCs w:val="20"/>
              </w:rPr>
              <w:t>Eligibility to apply for research council funding</w:t>
            </w:r>
          </w:p>
        </w:tc>
        <w:tc>
          <w:tcPr>
            <w:tcW w:w="1560" w:type="dxa"/>
          </w:tcPr>
          <w:p w:rsidR="00861F2F" w:rsidRPr="00235A56" w:rsidRDefault="00861F2F" w:rsidP="00615EF7">
            <w:pPr>
              <w:jc w:val="left"/>
              <w:rPr>
                <w:rFonts w:ascii="Helvetica" w:hAnsi="Helvetica" w:cs="Helvetica"/>
                <w:sz w:val="20"/>
                <w:szCs w:val="20"/>
              </w:rPr>
            </w:pPr>
            <w:r w:rsidRPr="00235A56">
              <w:rPr>
                <w:rFonts w:ascii="Helvetica" w:hAnsi="Helvetica" w:cs="Helvetica"/>
                <w:sz w:val="20"/>
                <w:szCs w:val="20"/>
              </w:rPr>
              <w:t>Yes</w:t>
            </w:r>
          </w:p>
        </w:tc>
        <w:tc>
          <w:tcPr>
            <w:tcW w:w="1790" w:type="dxa"/>
          </w:tcPr>
          <w:p w:rsidR="00861F2F" w:rsidRPr="00235A56" w:rsidRDefault="00861F2F" w:rsidP="00615EF7">
            <w:pPr>
              <w:jc w:val="left"/>
              <w:rPr>
                <w:rFonts w:ascii="Helvetica" w:hAnsi="Helvetica" w:cs="Helvetica"/>
                <w:sz w:val="20"/>
                <w:szCs w:val="20"/>
              </w:rPr>
            </w:pPr>
            <w:r w:rsidRPr="00235A56">
              <w:rPr>
                <w:rFonts w:ascii="Helvetica" w:hAnsi="Helvetica" w:cs="Helvetica"/>
                <w:sz w:val="20"/>
                <w:szCs w:val="20"/>
              </w:rPr>
              <w:t>Yes</w:t>
            </w:r>
          </w:p>
        </w:tc>
      </w:tr>
      <w:tr w:rsidR="00861F2F" w:rsidRPr="00235A56" w:rsidTr="00040326">
        <w:tc>
          <w:tcPr>
            <w:tcW w:w="2120" w:type="dxa"/>
          </w:tcPr>
          <w:p w:rsidR="00861F2F" w:rsidRPr="00235A56" w:rsidRDefault="00861F2F" w:rsidP="00615EF7">
            <w:pPr>
              <w:jc w:val="left"/>
              <w:rPr>
                <w:rFonts w:ascii="Helvetica" w:hAnsi="Helvetica" w:cs="Helvetica"/>
                <w:sz w:val="20"/>
                <w:szCs w:val="20"/>
              </w:rPr>
            </w:pPr>
            <w:r w:rsidRPr="00235A56">
              <w:rPr>
                <w:rFonts w:ascii="Helvetica" w:hAnsi="Helvetica" w:cs="Helvetica"/>
                <w:sz w:val="20"/>
                <w:szCs w:val="20"/>
              </w:rPr>
              <w:t>Access to the student support system</w:t>
            </w:r>
          </w:p>
        </w:tc>
        <w:tc>
          <w:tcPr>
            <w:tcW w:w="3540" w:type="dxa"/>
          </w:tcPr>
          <w:p w:rsidR="00861F2F" w:rsidRPr="00235A56" w:rsidRDefault="00861F2F" w:rsidP="00615EF7">
            <w:pPr>
              <w:jc w:val="left"/>
              <w:rPr>
                <w:rFonts w:ascii="Helvetica" w:hAnsi="Helvetica" w:cs="Helvetica"/>
                <w:sz w:val="20"/>
                <w:szCs w:val="20"/>
              </w:rPr>
            </w:pPr>
            <w:r w:rsidRPr="00235A56">
              <w:rPr>
                <w:rFonts w:ascii="Helvetica" w:hAnsi="Helvetica" w:cs="Helvetica"/>
                <w:sz w:val="20"/>
                <w:szCs w:val="20"/>
              </w:rPr>
              <w:t>Ability for eligible students on eligible undergraduate courses to apply for support</w:t>
            </w:r>
          </w:p>
        </w:tc>
        <w:tc>
          <w:tcPr>
            <w:tcW w:w="1560" w:type="dxa"/>
          </w:tcPr>
          <w:p w:rsidR="00861F2F" w:rsidRPr="00235A56" w:rsidRDefault="00861F2F" w:rsidP="00615EF7">
            <w:pPr>
              <w:jc w:val="left"/>
              <w:rPr>
                <w:rFonts w:ascii="Helvetica" w:hAnsi="Helvetica" w:cs="Helvetica"/>
                <w:sz w:val="20"/>
                <w:szCs w:val="20"/>
              </w:rPr>
            </w:pPr>
            <w:r w:rsidRPr="00235A56">
              <w:rPr>
                <w:rFonts w:ascii="Helvetica" w:hAnsi="Helvetica" w:cs="Helvetica"/>
                <w:sz w:val="20"/>
                <w:szCs w:val="20"/>
              </w:rPr>
              <w:t>Yes (Up to the higher amount with an access and participation plan)</w:t>
            </w:r>
          </w:p>
        </w:tc>
        <w:tc>
          <w:tcPr>
            <w:tcW w:w="1790" w:type="dxa"/>
          </w:tcPr>
          <w:p w:rsidR="00861F2F" w:rsidRPr="00235A56" w:rsidRDefault="00861F2F" w:rsidP="00615EF7">
            <w:pPr>
              <w:jc w:val="left"/>
              <w:rPr>
                <w:rFonts w:ascii="Helvetica" w:hAnsi="Helvetica" w:cs="Helvetica"/>
                <w:sz w:val="20"/>
                <w:szCs w:val="20"/>
              </w:rPr>
            </w:pPr>
            <w:r w:rsidRPr="00235A56">
              <w:rPr>
                <w:rFonts w:ascii="Helvetica" w:hAnsi="Helvetica" w:cs="Helvetica"/>
                <w:sz w:val="20"/>
                <w:szCs w:val="20"/>
              </w:rPr>
              <w:t>Yes (Up to lower fee amount with uncapped fees)</w:t>
            </w:r>
          </w:p>
        </w:tc>
      </w:tr>
      <w:tr w:rsidR="00861F2F" w:rsidRPr="00235A56" w:rsidTr="00040326">
        <w:tc>
          <w:tcPr>
            <w:tcW w:w="2120" w:type="dxa"/>
          </w:tcPr>
          <w:p w:rsidR="00861F2F" w:rsidRPr="00235A56" w:rsidRDefault="00861F2F" w:rsidP="00615EF7">
            <w:pPr>
              <w:jc w:val="left"/>
              <w:rPr>
                <w:rFonts w:ascii="Helvetica" w:hAnsi="Helvetica" w:cs="Helvetica"/>
                <w:sz w:val="20"/>
                <w:szCs w:val="20"/>
              </w:rPr>
            </w:pPr>
          </w:p>
        </w:tc>
        <w:tc>
          <w:tcPr>
            <w:tcW w:w="3540" w:type="dxa"/>
          </w:tcPr>
          <w:p w:rsidR="00861F2F" w:rsidRPr="00235A56" w:rsidRDefault="00861F2F" w:rsidP="00615EF7">
            <w:pPr>
              <w:jc w:val="left"/>
              <w:rPr>
                <w:rFonts w:ascii="Helvetica" w:hAnsi="Helvetica" w:cs="Helvetica"/>
                <w:sz w:val="20"/>
                <w:szCs w:val="20"/>
              </w:rPr>
            </w:pPr>
            <w:r w:rsidRPr="00235A56">
              <w:rPr>
                <w:rFonts w:ascii="Helvetica" w:hAnsi="Helvetica" w:cs="Helvetica"/>
                <w:sz w:val="20"/>
                <w:szCs w:val="20"/>
              </w:rPr>
              <w:t>Ability for eligible students studying on eligible postgraduate courses to apply for support</w:t>
            </w:r>
          </w:p>
        </w:tc>
        <w:tc>
          <w:tcPr>
            <w:tcW w:w="1560" w:type="dxa"/>
          </w:tcPr>
          <w:p w:rsidR="00861F2F" w:rsidRPr="00235A56" w:rsidRDefault="00861F2F" w:rsidP="00615EF7">
            <w:pPr>
              <w:jc w:val="left"/>
              <w:rPr>
                <w:rFonts w:ascii="Helvetica" w:hAnsi="Helvetica" w:cs="Helvetica"/>
                <w:sz w:val="20"/>
                <w:szCs w:val="20"/>
              </w:rPr>
            </w:pPr>
            <w:r w:rsidRPr="00235A56">
              <w:rPr>
                <w:rFonts w:ascii="Helvetica" w:hAnsi="Helvetica" w:cs="Helvetica"/>
                <w:sz w:val="20"/>
                <w:szCs w:val="20"/>
              </w:rPr>
              <w:t>Yes</w:t>
            </w:r>
          </w:p>
        </w:tc>
        <w:tc>
          <w:tcPr>
            <w:tcW w:w="1790" w:type="dxa"/>
          </w:tcPr>
          <w:p w:rsidR="00861F2F" w:rsidRPr="00235A56" w:rsidRDefault="00861F2F" w:rsidP="00615EF7">
            <w:pPr>
              <w:jc w:val="left"/>
              <w:rPr>
                <w:rFonts w:ascii="Helvetica" w:hAnsi="Helvetica" w:cs="Helvetica"/>
                <w:sz w:val="20"/>
                <w:szCs w:val="20"/>
              </w:rPr>
            </w:pPr>
            <w:r w:rsidRPr="00235A56">
              <w:rPr>
                <w:rFonts w:ascii="Helvetica" w:hAnsi="Helvetica" w:cs="Helvetica"/>
                <w:sz w:val="20"/>
                <w:szCs w:val="20"/>
              </w:rPr>
              <w:t>Yes</w:t>
            </w:r>
          </w:p>
        </w:tc>
      </w:tr>
      <w:tr w:rsidR="00861F2F" w:rsidRPr="00235A56" w:rsidTr="00040326">
        <w:tc>
          <w:tcPr>
            <w:tcW w:w="2120" w:type="dxa"/>
          </w:tcPr>
          <w:p w:rsidR="00861F2F" w:rsidRPr="00235A56" w:rsidRDefault="00861F2F" w:rsidP="00615EF7">
            <w:pPr>
              <w:jc w:val="left"/>
              <w:rPr>
                <w:rFonts w:ascii="Helvetica" w:hAnsi="Helvetica" w:cs="Helvetica"/>
                <w:sz w:val="20"/>
                <w:szCs w:val="20"/>
              </w:rPr>
            </w:pPr>
          </w:p>
        </w:tc>
        <w:tc>
          <w:tcPr>
            <w:tcW w:w="3540" w:type="dxa"/>
          </w:tcPr>
          <w:p w:rsidR="00861F2F" w:rsidRPr="00235A56" w:rsidRDefault="00861F2F" w:rsidP="00615EF7">
            <w:pPr>
              <w:jc w:val="left"/>
              <w:rPr>
                <w:rFonts w:ascii="Helvetica" w:hAnsi="Helvetica" w:cs="Helvetica"/>
                <w:sz w:val="20"/>
                <w:szCs w:val="20"/>
              </w:rPr>
            </w:pPr>
            <w:r w:rsidRPr="00235A56">
              <w:rPr>
                <w:rFonts w:ascii="Helvetica" w:hAnsi="Helvetica" w:cs="Helvetica"/>
                <w:sz w:val="20"/>
                <w:szCs w:val="20"/>
              </w:rPr>
              <w:t>Ability for eligible students studying on eligible courses to apply for Disabled Student’s Allowance</w:t>
            </w:r>
          </w:p>
        </w:tc>
        <w:tc>
          <w:tcPr>
            <w:tcW w:w="1560" w:type="dxa"/>
          </w:tcPr>
          <w:p w:rsidR="00861F2F" w:rsidRPr="00235A56" w:rsidRDefault="00861F2F" w:rsidP="00615EF7">
            <w:pPr>
              <w:jc w:val="left"/>
              <w:rPr>
                <w:rFonts w:ascii="Helvetica" w:hAnsi="Helvetica" w:cs="Helvetica"/>
                <w:sz w:val="20"/>
                <w:szCs w:val="20"/>
              </w:rPr>
            </w:pPr>
            <w:r w:rsidRPr="00235A56">
              <w:rPr>
                <w:rFonts w:ascii="Helvetica" w:hAnsi="Helvetica" w:cs="Helvetica"/>
                <w:sz w:val="20"/>
                <w:szCs w:val="20"/>
              </w:rPr>
              <w:t>Yes</w:t>
            </w:r>
          </w:p>
        </w:tc>
        <w:tc>
          <w:tcPr>
            <w:tcW w:w="1790" w:type="dxa"/>
          </w:tcPr>
          <w:p w:rsidR="00861F2F" w:rsidRPr="00235A56" w:rsidRDefault="00861F2F" w:rsidP="00615EF7">
            <w:pPr>
              <w:jc w:val="left"/>
              <w:rPr>
                <w:rFonts w:ascii="Helvetica" w:hAnsi="Helvetica" w:cs="Helvetica"/>
                <w:sz w:val="20"/>
                <w:szCs w:val="20"/>
              </w:rPr>
            </w:pPr>
            <w:r w:rsidRPr="00235A56">
              <w:rPr>
                <w:rFonts w:ascii="Helvetica" w:hAnsi="Helvetica" w:cs="Helvetica"/>
                <w:sz w:val="20"/>
                <w:szCs w:val="20"/>
              </w:rPr>
              <w:t>Yes</w:t>
            </w:r>
          </w:p>
          <w:p w:rsidR="00861F2F" w:rsidRPr="00235A56" w:rsidRDefault="00861F2F" w:rsidP="00615EF7">
            <w:pPr>
              <w:jc w:val="left"/>
              <w:rPr>
                <w:rFonts w:ascii="Helvetica" w:hAnsi="Helvetica" w:cs="Helvetica"/>
                <w:sz w:val="20"/>
                <w:szCs w:val="20"/>
              </w:rPr>
            </w:pPr>
          </w:p>
        </w:tc>
      </w:tr>
      <w:tr w:rsidR="00861F2F" w:rsidRPr="00235A56" w:rsidTr="005E3899">
        <w:trPr>
          <w:trHeight w:val="862"/>
        </w:trPr>
        <w:tc>
          <w:tcPr>
            <w:tcW w:w="2120" w:type="dxa"/>
          </w:tcPr>
          <w:p w:rsidR="00861F2F" w:rsidRPr="00235A56" w:rsidRDefault="00861F2F" w:rsidP="00615EF7">
            <w:pPr>
              <w:jc w:val="left"/>
              <w:rPr>
                <w:rFonts w:ascii="Helvetica" w:hAnsi="Helvetica" w:cs="Helvetica"/>
                <w:sz w:val="20"/>
                <w:szCs w:val="20"/>
              </w:rPr>
            </w:pPr>
            <w:r w:rsidRPr="00235A56">
              <w:rPr>
                <w:rFonts w:ascii="Helvetica" w:hAnsi="Helvetica" w:cs="Helvetica"/>
                <w:sz w:val="20"/>
                <w:szCs w:val="20"/>
              </w:rPr>
              <w:t>Tier 4 sponsorship licence</w:t>
            </w:r>
          </w:p>
        </w:tc>
        <w:tc>
          <w:tcPr>
            <w:tcW w:w="3540" w:type="dxa"/>
          </w:tcPr>
          <w:p w:rsidR="00861F2F" w:rsidRPr="00235A56" w:rsidRDefault="00861F2F" w:rsidP="00615EF7">
            <w:pPr>
              <w:jc w:val="left"/>
              <w:rPr>
                <w:rFonts w:ascii="Helvetica" w:hAnsi="Helvetica" w:cs="Helvetica"/>
                <w:sz w:val="20"/>
                <w:szCs w:val="20"/>
              </w:rPr>
            </w:pPr>
            <w:r w:rsidRPr="00235A56">
              <w:rPr>
                <w:rFonts w:ascii="Helvetica" w:hAnsi="Helvetica" w:cs="Helvetica"/>
                <w:sz w:val="20"/>
                <w:szCs w:val="20"/>
              </w:rPr>
              <w:t>Eligibility to make application to the Home Office to recruit international students with a Tier 4 sponsorship licence</w:t>
            </w:r>
          </w:p>
        </w:tc>
        <w:tc>
          <w:tcPr>
            <w:tcW w:w="1560" w:type="dxa"/>
          </w:tcPr>
          <w:p w:rsidR="00861F2F" w:rsidRPr="00235A56" w:rsidRDefault="00861F2F" w:rsidP="00615EF7">
            <w:pPr>
              <w:jc w:val="left"/>
              <w:rPr>
                <w:rFonts w:ascii="Helvetica" w:hAnsi="Helvetica" w:cs="Helvetica"/>
                <w:sz w:val="20"/>
                <w:szCs w:val="20"/>
              </w:rPr>
            </w:pPr>
            <w:r w:rsidRPr="00235A56">
              <w:rPr>
                <w:rFonts w:ascii="Helvetica" w:hAnsi="Helvetica" w:cs="Helvetica"/>
                <w:sz w:val="20"/>
                <w:szCs w:val="20"/>
              </w:rPr>
              <w:t>Yes</w:t>
            </w:r>
          </w:p>
        </w:tc>
        <w:tc>
          <w:tcPr>
            <w:tcW w:w="1790" w:type="dxa"/>
          </w:tcPr>
          <w:p w:rsidR="00861F2F" w:rsidRPr="00235A56" w:rsidRDefault="00861F2F" w:rsidP="00615EF7">
            <w:pPr>
              <w:jc w:val="left"/>
              <w:rPr>
                <w:rFonts w:ascii="Helvetica" w:hAnsi="Helvetica" w:cs="Helvetica"/>
                <w:sz w:val="20"/>
                <w:szCs w:val="20"/>
              </w:rPr>
            </w:pPr>
            <w:r w:rsidRPr="00235A56">
              <w:rPr>
                <w:rFonts w:ascii="Helvetica" w:hAnsi="Helvetica" w:cs="Helvetica"/>
                <w:sz w:val="20"/>
                <w:szCs w:val="20"/>
              </w:rPr>
              <w:t>Yes</w:t>
            </w:r>
          </w:p>
        </w:tc>
      </w:tr>
      <w:tr w:rsidR="00861F2F" w:rsidRPr="00235A56" w:rsidTr="005E3899">
        <w:trPr>
          <w:trHeight w:val="63"/>
        </w:trPr>
        <w:tc>
          <w:tcPr>
            <w:tcW w:w="2120" w:type="dxa"/>
            <w:vMerge w:val="restart"/>
          </w:tcPr>
          <w:p w:rsidR="00861F2F" w:rsidRPr="00235A56" w:rsidRDefault="00861F2F" w:rsidP="00615EF7">
            <w:pPr>
              <w:jc w:val="left"/>
              <w:rPr>
                <w:rFonts w:ascii="Helvetica" w:hAnsi="Helvetica" w:cs="Helvetica"/>
                <w:sz w:val="20"/>
                <w:szCs w:val="20"/>
              </w:rPr>
            </w:pPr>
            <w:r w:rsidRPr="00235A56">
              <w:rPr>
                <w:rFonts w:ascii="Helvetica" w:hAnsi="Helvetica" w:cs="Helvetica"/>
                <w:sz w:val="20"/>
                <w:szCs w:val="20"/>
              </w:rPr>
              <w:t>Degree awarding powers and university title</w:t>
            </w:r>
          </w:p>
        </w:tc>
        <w:tc>
          <w:tcPr>
            <w:tcW w:w="3540" w:type="dxa"/>
          </w:tcPr>
          <w:p w:rsidR="00861F2F" w:rsidRPr="00235A56" w:rsidRDefault="00861F2F" w:rsidP="00615EF7">
            <w:pPr>
              <w:jc w:val="left"/>
              <w:rPr>
                <w:rFonts w:ascii="Helvetica" w:hAnsi="Helvetica" w:cs="Helvetica"/>
                <w:sz w:val="20"/>
                <w:szCs w:val="20"/>
              </w:rPr>
            </w:pPr>
            <w:r w:rsidRPr="00235A56">
              <w:rPr>
                <w:rFonts w:ascii="Helvetica" w:hAnsi="Helvetica" w:cs="Helvetica"/>
                <w:sz w:val="20"/>
                <w:szCs w:val="20"/>
              </w:rPr>
              <w:t>Eligibility to apply for authorisation to grant one of more of the following awards:</w:t>
            </w:r>
          </w:p>
          <w:p w:rsidR="00861F2F" w:rsidRPr="00235A56" w:rsidRDefault="00861F2F" w:rsidP="00615EF7">
            <w:pPr>
              <w:pStyle w:val="ListParagraph"/>
              <w:numPr>
                <w:ilvl w:val="0"/>
                <w:numId w:val="9"/>
              </w:numPr>
              <w:jc w:val="left"/>
              <w:rPr>
                <w:rFonts w:ascii="Helvetica" w:hAnsi="Helvetica" w:cs="Helvetica"/>
                <w:sz w:val="20"/>
                <w:szCs w:val="20"/>
              </w:rPr>
            </w:pPr>
            <w:r w:rsidRPr="00235A56">
              <w:rPr>
                <w:rFonts w:ascii="Helvetica" w:hAnsi="Helvetica" w:cs="Helvetica"/>
                <w:sz w:val="20"/>
                <w:szCs w:val="20"/>
              </w:rPr>
              <w:t>Foundation degrees</w:t>
            </w:r>
          </w:p>
          <w:p w:rsidR="00861F2F" w:rsidRPr="00235A56" w:rsidRDefault="00861F2F" w:rsidP="00615EF7">
            <w:pPr>
              <w:pStyle w:val="ListParagraph"/>
              <w:numPr>
                <w:ilvl w:val="0"/>
                <w:numId w:val="9"/>
              </w:numPr>
              <w:jc w:val="left"/>
              <w:rPr>
                <w:rFonts w:ascii="Helvetica" w:hAnsi="Helvetica" w:cs="Helvetica"/>
                <w:sz w:val="20"/>
                <w:szCs w:val="20"/>
              </w:rPr>
            </w:pPr>
            <w:r w:rsidRPr="00235A56">
              <w:rPr>
                <w:rFonts w:ascii="Helvetica" w:hAnsi="Helvetica" w:cs="Helvetica"/>
                <w:sz w:val="20"/>
                <w:szCs w:val="20"/>
              </w:rPr>
              <w:t>Awards in specific subjects</w:t>
            </w:r>
          </w:p>
          <w:p w:rsidR="00861F2F" w:rsidRPr="00235A56" w:rsidRDefault="00861F2F" w:rsidP="00615EF7">
            <w:pPr>
              <w:pStyle w:val="ListParagraph"/>
              <w:numPr>
                <w:ilvl w:val="0"/>
                <w:numId w:val="9"/>
              </w:numPr>
              <w:jc w:val="left"/>
              <w:rPr>
                <w:rFonts w:ascii="Helvetica" w:hAnsi="Helvetica" w:cs="Helvetica"/>
                <w:sz w:val="20"/>
                <w:szCs w:val="20"/>
              </w:rPr>
            </w:pPr>
            <w:r w:rsidRPr="00235A56">
              <w:rPr>
                <w:rFonts w:ascii="Helvetica" w:hAnsi="Helvetica" w:cs="Helvetica"/>
                <w:sz w:val="20"/>
                <w:szCs w:val="20"/>
              </w:rPr>
              <w:t>Awards at bachelor- level</w:t>
            </w:r>
          </w:p>
          <w:p w:rsidR="00861F2F" w:rsidRPr="00235A56" w:rsidRDefault="00861F2F" w:rsidP="00615EF7">
            <w:pPr>
              <w:pStyle w:val="ListParagraph"/>
              <w:numPr>
                <w:ilvl w:val="0"/>
                <w:numId w:val="9"/>
              </w:numPr>
              <w:jc w:val="left"/>
              <w:rPr>
                <w:rFonts w:ascii="Helvetica" w:hAnsi="Helvetica" w:cs="Helvetica"/>
                <w:sz w:val="20"/>
                <w:szCs w:val="20"/>
              </w:rPr>
            </w:pPr>
            <w:r w:rsidRPr="00235A56">
              <w:rPr>
                <w:rFonts w:ascii="Helvetica" w:hAnsi="Helvetica" w:cs="Helvetica"/>
                <w:sz w:val="20"/>
                <w:szCs w:val="20"/>
              </w:rPr>
              <w:t>Any taught awards</w:t>
            </w:r>
          </w:p>
          <w:p w:rsidR="00861F2F" w:rsidRPr="00235A56" w:rsidRDefault="00861F2F" w:rsidP="00615EF7">
            <w:pPr>
              <w:pStyle w:val="ListParagraph"/>
              <w:numPr>
                <w:ilvl w:val="0"/>
                <w:numId w:val="9"/>
              </w:numPr>
              <w:jc w:val="left"/>
              <w:rPr>
                <w:rFonts w:ascii="Helvetica" w:hAnsi="Helvetica" w:cs="Helvetica"/>
                <w:sz w:val="20"/>
                <w:szCs w:val="20"/>
              </w:rPr>
            </w:pPr>
            <w:r w:rsidRPr="00235A56">
              <w:rPr>
                <w:rFonts w:ascii="Helvetica" w:hAnsi="Helvetica" w:cs="Helvetica"/>
                <w:sz w:val="20"/>
                <w:szCs w:val="20"/>
              </w:rPr>
              <w:t>Research awards</w:t>
            </w:r>
          </w:p>
        </w:tc>
        <w:tc>
          <w:tcPr>
            <w:tcW w:w="1560" w:type="dxa"/>
          </w:tcPr>
          <w:p w:rsidR="00861F2F" w:rsidRPr="00235A56" w:rsidRDefault="00861F2F" w:rsidP="00615EF7">
            <w:pPr>
              <w:jc w:val="left"/>
              <w:rPr>
                <w:rFonts w:ascii="Helvetica" w:hAnsi="Helvetica" w:cs="Helvetica"/>
                <w:sz w:val="20"/>
                <w:szCs w:val="20"/>
              </w:rPr>
            </w:pPr>
            <w:r w:rsidRPr="00235A56">
              <w:rPr>
                <w:rFonts w:ascii="Helvetica" w:hAnsi="Helvetica" w:cs="Helvetica"/>
                <w:sz w:val="20"/>
                <w:szCs w:val="20"/>
              </w:rPr>
              <w:t>Yes</w:t>
            </w:r>
          </w:p>
        </w:tc>
        <w:tc>
          <w:tcPr>
            <w:tcW w:w="1790" w:type="dxa"/>
          </w:tcPr>
          <w:p w:rsidR="00861F2F" w:rsidRPr="00235A56" w:rsidRDefault="00861F2F" w:rsidP="00615EF7">
            <w:pPr>
              <w:jc w:val="left"/>
              <w:rPr>
                <w:rFonts w:ascii="Helvetica" w:hAnsi="Helvetica" w:cs="Helvetica"/>
                <w:sz w:val="20"/>
                <w:szCs w:val="20"/>
              </w:rPr>
            </w:pPr>
            <w:r w:rsidRPr="00235A56">
              <w:rPr>
                <w:rFonts w:ascii="Helvetica" w:hAnsi="Helvetica" w:cs="Helvetica"/>
                <w:sz w:val="20"/>
                <w:szCs w:val="20"/>
              </w:rPr>
              <w:t>Yes</w:t>
            </w:r>
          </w:p>
        </w:tc>
      </w:tr>
      <w:tr w:rsidR="00861F2F" w:rsidRPr="00235A56" w:rsidTr="005E3899">
        <w:trPr>
          <w:trHeight w:val="292"/>
        </w:trPr>
        <w:tc>
          <w:tcPr>
            <w:tcW w:w="2120" w:type="dxa"/>
            <w:vMerge/>
          </w:tcPr>
          <w:p w:rsidR="00861F2F" w:rsidRPr="00235A56" w:rsidRDefault="00861F2F" w:rsidP="00615EF7">
            <w:pPr>
              <w:jc w:val="left"/>
              <w:rPr>
                <w:rFonts w:ascii="Helvetica" w:hAnsi="Helvetica" w:cs="Helvetica"/>
                <w:sz w:val="20"/>
                <w:szCs w:val="20"/>
              </w:rPr>
            </w:pPr>
          </w:p>
        </w:tc>
        <w:tc>
          <w:tcPr>
            <w:tcW w:w="3540" w:type="dxa"/>
          </w:tcPr>
          <w:p w:rsidR="00861F2F" w:rsidRPr="00235A56" w:rsidRDefault="00861F2F" w:rsidP="00615EF7">
            <w:pPr>
              <w:jc w:val="left"/>
              <w:rPr>
                <w:rFonts w:ascii="Helvetica" w:hAnsi="Helvetica" w:cs="Helvetica"/>
                <w:sz w:val="20"/>
                <w:szCs w:val="20"/>
              </w:rPr>
            </w:pPr>
            <w:r w:rsidRPr="00235A56">
              <w:rPr>
                <w:rFonts w:ascii="Helvetica" w:hAnsi="Helvetica" w:cs="Helvetica"/>
                <w:sz w:val="20"/>
                <w:szCs w:val="20"/>
              </w:rPr>
              <w:t>Eligibility to use the ‘university’ or ‘university college’ in a provider’s title.</w:t>
            </w:r>
          </w:p>
        </w:tc>
        <w:tc>
          <w:tcPr>
            <w:tcW w:w="1560" w:type="dxa"/>
          </w:tcPr>
          <w:p w:rsidR="00861F2F" w:rsidRPr="00235A56" w:rsidRDefault="00861F2F" w:rsidP="00615EF7">
            <w:pPr>
              <w:jc w:val="left"/>
              <w:rPr>
                <w:rFonts w:ascii="Helvetica" w:hAnsi="Helvetica" w:cs="Helvetica"/>
                <w:sz w:val="20"/>
                <w:szCs w:val="20"/>
              </w:rPr>
            </w:pPr>
            <w:r w:rsidRPr="00235A56">
              <w:rPr>
                <w:rFonts w:ascii="Helvetica" w:hAnsi="Helvetica" w:cs="Helvetica"/>
                <w:sz w:val="20"/>
                <w:szCs w:val="20"/>
              </w:rPr>
              <w:t>Yes</w:t>
            </w:r>
          </w:p>
        </w:tc>
        <w:tc>
          <w:tcPr>
            <w:tcW w:w="1790" w:type="dxa"/>
          </w:tcPr>
          <w:p w:rsidR="00861F2F" w:rsidRPr="00235A56" w:rsidRDefault="00861F2F" w:rsidP="00615EF7">
            <w:pPr>
              <w:jc w:val="left"/>
              <w:rPr>
                <w:rFonts w:ascii="Helvetica" w:hAnsi="Helvetica" w:cs="Helvetica"/>
                <w:sz w:val="20"/>
                <w:szCs w:val="20"/>
              </w:rPr>
            </w:pPr>
            <w:r w:rsidRPr="00235A56">
              <w:rPr>
                <w:rFonts w:ascii="Helvetica" w:hAnsi="Helvetica" w:cs="Helvetica"/>
                <w:sz w:val="20"/>
                <w:szCs w:val="20"/>
              </w:rPr>
              <w:t>Yes</w:t>
            </w:r>
          </w:p>
        </w:tc>
      </w:tr>
    </w:tbl>
    <w:p w:rsidR="005E3899" w:rsidRPr="00235A56" w:rsidRDefault="005E3899" w:rsidP="00E367D3">
      <w:pPr>
        <w:rPr>
          <w:rFonts w:ascii="Helvetica" w:hAnsi="Helvetica" w:cs="Helvetica"/>
          <w:sz w:val="22"/>
          <w:szCs w:val="22"/>
        </w:rPr>
      </w:pPr>
    </w:p>
    <w:p w:rsidR="00861F2F" w:rsidRPr="00235A56" w:rsidRDefault="00861F2F" w:rsidP="00E367D3">
      <w:pPr>
        <w:rPr>
          <w:rFonts w:ascii="Helvetica" w:hAnsi="Helvetica" w:cs="Helvetica"/>
          <w:sz w:val="22"/>
          <w:szCs w:val="22"/>
        </w:rPr>
      </w:pPr>
      <w:r w:rsidRPr="00235A56">
        <w:rPr>
          <w:rFonts w:ascii="Helvetica" w:hAnsi="Helvetica" w:cs="Helvetica"/>
          <w:sz w:val="22"/>
          <w:szCs w:val="22"/>
        </w:rPr>
        <w:t>The OfS approach to regulation is risk-based and the Register is first and foremost a regulatory tool. However, some estimates quote that up to 522 providers will not be registered and yet be providing higher education in England (Evans</w:t>
      </w:r>
      <w:r w:rsidR="00CB1F31" w:rsidRPr="00235A56">
        <w:rPr>
          <w:rFonts w:ascii="Helvetica" w:hAnsi="Helvetica" w:cs="Helvetica"/>
          <w:sz w:val="22"/>
          <w:szCs w:val="22"/>
        </w:rPr>
        <w:t>,</w:t>
      </w:r>
      <w:r w:rsidR="000E17B7" w:rsidRPr="00235A56">
        <w:rPr>
          <w:rFonts w:ascii="Helvetica" w:hAnsi="Helvetica" w:cs="Helvetica"/>
          <w:sz w:val="22"/>
          <w:szCs w:val="22"/>
        </w:rPr>
        <w:t xml:space="preserve"> </w:t>
      </w:r>
      <w:r w:rsidRPr="00235A56">
        <w:rPr>
          <w:rFonts w:ascii="Helvetica" w:hAnsi="Helvetica" w:cs="Helvetica"/>
          <w:sz w:val="22"/>
          <w:szCs w:val="22"/>
        </w:rPr>
        <w:t>2018). There will now be more unregulated providers than regulated (</w:t>
      </w:r>
      <w:r w:rsidR="00CB1F31" w:rsidRPr="00235A56">
        <w:rPr>
          <w:rFonts w:ascii="Helvetica" w:hAnsi="Helvetica" w:cs="Helvetica"/>
          <w:sz w:val="22"/>
          <w:szCs w:val="22"/>
        </w:rPr>
        <w:t>THE,</w:t>
      </w:r>
      <w:r w:rsidRPr="00235A56">
        <w:rPr>
          <w:rFonts w:ascii="Helvetica" w:hAnsi="Helvetica" w:cs="Helvetica"/>
          <w:sz w:val="22"/>
          <w:szCs w:val="22"/>
        </w:rPr>
        <w:t xml:space="preserve"> 2018</w:t>
      </w:r>
      <w:r w:rsidR="00CB1F31" w:rsidRPr="00235A56">
        <w:rPr>
          <w:rFonts w:ascii="Helvetica" w:hAnsi="Helvetica" w:cs="Helvetica"/>
          <w:sz w:val="22"/>
          <w:szCs w:val="22"/>
        </w:rPr>
        <w:t>a</w:t>
      </w:r>
      <w:r w:rsidRPr="00235A56">
        <w:rPr>
          <w:rFonts w:ascii="Helvetica" w:hAnsi="Helvetica" w:cs="Helvetica"/>
          <w:sz w:val="22"/>
          <w:szCs w:val="22"/>
        </w:rPr>
        <w:t xml:space="preserve">). In terms of transparency and informed choice, the ongoing condition (F) </w:t>
      </w:r>
      <w:r w:rsidRPr="00235A56">
        <w:rPr>
          <w:rFonts w:ascii="Helvetica" w:hAnsi="Helvetica" w:cs="Helvetica"/>
          <w:i/>
          <w:sz w:val="22"/>
          <w:szCs w:val="22"/>
        </w:rPr>
        <w:t>Information for students</w:t>
      </w:r>
      <w:r w:rsidRPr="00235A56">
        <w:rPr>
          <w:rFonts w:ascii="Helvetica" w:hAnsi="Helvetica" w:cs="Helvetica"/>
          <w:sz w:val="22"/>
          <w:szCs w:val="22"/>
        </w:rPr>
        <w:t xml:space="preserve"> requires universities to publish data in the following four categories: application, offer and acceptance, completion and attainment, br</w:t>
      </w:r>
      <w:r w:rsidR="000E17B7" w:rsidRPr="00235A56">
        <w:rPr>
          <w:rFonts w:ascii="Helvetica" w:hAnsi="Helvetica" w:cs="Helvetica"/>
          <w:sz w:val="22"/>
          <w:szCs w:val="22"/>
        </w:rPr>
        <w:t>o</w:t>
      </w:r>
      <w:r w:rsidRPr="00235A56">
        <w:rPr>
          <w:rFonts w:ascii="Helvetica" w:hAnsi="Helvetica" w:cs="Helvetica"/>
          <w:sz w:val="22"/>
          <w:szCs w:val="22"/>
        </w:rPr>
        <w:t>k</w:t>
      </w:r>
      <w:r w:rsidR="000E17B7" w:rsidRPr="00235A56">
        <w:rPr>
          <w:rFonts w:ascii="Helvetica" w:hAnsi="Helvetica" w:cs="Helvetica"/>
          <w:sz w:val="22"/>
          <w:szCs w:val="22"/>
        </w:rPr>
        <w:t xml:space="preserve">en </w:t>
      </w:r>
      <w:r w:rsidRPr="00235A56">
        <w:rPr>
          <w:rFonts w:ascii="Helvetica" w:hAnsi="Helvetica" w:cs="Helvetica"/>
          <w:sz w:val="22"/>
          <w:szCs w:val="22"/>
        </w:rPr>
        <w:t>down by student characteristics and socioeconomic background (OfS</w:t>
      </w:r>
      <w:r w:rsidR="00CB1F31" w:rsidRPr="00235A56">
        <w:rPr>
          <w:rFonts w:ascii="Helvetica" w:hAnsi="Helvetica" w:cs="Helvetica"/>
          <w:sz w:val="22"/>
          <w:szCs w:val="22"/>
        </w:rPr>
        <w:t>,</w:t>
      </w:r>
      <w:r w:rsidRPr="00235A56">
        <w:rPr>
          <w:rFonts w:ascii="Helvetica" w:hAnsi="Helvetica" w:cs="Helvetica"/>
          <w:sz w:val="22"/>
          <w:szCs w:val="22"/>
        </w:rPr>
        <w:t xml:space="preserve"> 2018</w:t>
      </w:r>
      <w:r w:rsidR="005C0573" w:rsidRPr="00235A56">
        <w:rPr>
          <w:rFonts w:ascii="Helvetica" w:hAnsi="Helvetica" w:cs="Helvetica"/>
          <w:sz w:val="22"/>
          <w:szCs w:val="22"/>
        </w:rPr>
        <w:t>b</w:t>
      </w:r>
      <w:r w:rsidRPr="00235A56">
        <w:rPr>
          <w:rFonts w:ascii="Helvetica" w:hAnsi="Helvetica" w:cs="Helvetica"/>
          <w:sz w:val="22"/>
          <w:szCs w:val="22"/>
        </w:rPr>
        <w:t xml:space="preserve">). In addition, all registered providers must present Student Protection Plans which highlights specific measures the provider will undertake should it choose to leave the market or close a program. </w:t>
      </w:r>
    </w:p>
    <w:p w:rsidR="00861F2F" w:rsidRPr="00235A56" w:rsidRDefault="00861F2F" w:rsidP="00E367D3">
      <w:pPr>
        <w:rPr>
          <w:rFonts w:ascii="Helvetica" w:hAnsi="Helvetica" w:cs="Helvetica"/>
          <w:sz w:val="22"/>
          <w:szCs w:val="22"/>
        </w:rPr>
      </w:pPr>
      <w:r w:rsidRPr="00235A56">
        <w:rPr>
          <w:rFonts w:ascii="Helvetica" w:hAnsi="Helvetica" w:cs="Helvetica"/>
          <w:sz w:val="22"/>
          <w:szCs w:val="22"/>
        </w:rPr>
        <w:lastRenderedPageBreak/>
        <w:t xml:space="preserve">Higher education providers previously registered with the HEFCE Register are now in the process to re-register with OfS. The re-registration process began in April 2018 and as of July 2018, 42 higher education providers have been registered. </w:t>
      </w:r>
    </w:p>
    <w:p w:rsidR="00B835F2" w:rsidRPr="00235A56" w:rsidRDefault="00A8769F" w:rsidP="00A8769F">
      <w:pPr>
        <w:pStyle w:val="Heading2"/>
        <w:rPr>
          <w:rFonts w:ascii="Helvetica" w:hAnsi="Helvetica" w:cs="Helvetica"/>
          <w:sz w:val="24"/>
          <w:szCs w:val="24"/>
        </w:rPr>
      </w:pPr>
      <w:r w:rsidRPr="00235A56">
        <w:rPr>
          <w:rFonts w:ascii="Helvetica" w:hAnsi="Helvetica" w:cs="Helvetica"/>
          <w:sz w:val="24"/>
          <w:szCs w:val="24"/>
        </w:rPr>
        <w:t xml:space="preserve">10.5. </w:t>
      </w:r>
      <w:r w:rsidR="00B835F2" w:rsidRPr="00235A56">
        <w:rPr>
          <w:rFonts w:ascii="Helvetica" w:hAnsi="Helvetica" w:cs="Helvetica"/>
          <w:sz w:val="24"/>
          <w:szCs w:val="24"/>
        </w:rPr>
        <w:t>EU-</w:t>
      </w:r>
      <w:r w:rsidR="00FF0DDE" w:rsidRPr="00235A56">
        <w:rPr>
          <w:rFonts w:ascii="Helvetica" w:hAnsi="Helvetica" w:cs="Helvetica"/>
          <w:sz w:val="24"/>
          <w:szCs w:val="24"/>
        </w:rPr>
        <w:t xml:space="preserve"> U-Map and U </w:t>
      </w:r>
      <w:r w:rsidR="00B835F2" w:rsidRPr="00235A56">
        <w:rPr>
          <w:rFonts w:ascii="Helvetica" w:hAnsi="Helvetica" w:cs="Helvetica"/>
          <w:sz w:val="24"/>
          <w:szCs w:val="24"/>
        </w:rPr>
        <w:t>Multi-rank</w:t>
      </w:r>
    </w:p>
    <w:p w:rsidR="00900F7E" w:rsidRPr="00235A56" w:rsidRDefault="00900F7E" w:rsidP="00E367D3">
      <w:pPr>
        <w:rPr>
          <w:rFonts w:ascii="Helvetica" w:hAnsi="Helvetica" w:cs="Helvetica"/>
          <w:sz w:val="22"/>
          <w:szCs w:val="22"/>
        </w:rPr>
      </w:pPr>
      <w:r w:rsidRPr="00235A56">
        <w:rPr>
          <w:rFonts w:ascii="Helvetica" w:hAnsi="Helvetica" w:cs="Helvetica"/>
          <w:sz w:val="22"/>
          <w:szCs w:val="22"/>
        </w:rPr>
        <w:t>Higher Education was for a long time a ‘taboo’ subject for EU policy (Neave</w:t>
      </w:r>
      <w:r w:rsidR="002A0636" w:rsidRPr="00235A56">
        <w:rPr>
          <w:rFonts w:ascii="Helvetica" w:hAnsi="Helvetica" w:cs="Helvetica"/>
          <w:sz w:val="22"/>
          <w:szCs w:val="22"/>
        </w:rPr>
        <w:t>,</w:t>
      </w:r>
      <w:r w:rsidRPr="00235A56">
        <w:rPr>
          <w:rFonts w:ascii="Helvetica" w:hAnsi="Helvetica" w:cs="Helvetica"/>
          <w:sz w:val="22"/>
          <w:szCs w:val="22"/>
        </w:rPr>
        <w:t xml:space="preserve"> 1984) and it was not until mid-1980’s that the first EU level higher education initiatives e.g Erasmus appeared (Huisman &amp; Van Vught</w:t>
      </w:r>
      <w:r w:rsidR="002A0636" w:rsidRPr="00235A56">
        <w:rPr>
          <w:rFonts w:ascii="Helvetica" w:hAnsi="Helvetica" w:cs="Helvetica"/>
          <w:sz w:val="22"/>
          <w:szCs w:val="22"/>
        </w:rPr>
        <w:t>,</w:t>
      </w:r>
      <w:r w:rsidRPr="00235A56">
        <w:rPr>
          <w:rFonts w:ascii="Helvetica" w:hAnsi="Helvetica" w:cs="Helvetica"/>
          <w:sz w:val="22"/>
          <w:szCs w:val="22"/>
        </w:rPr>
        <w:t xml:space="preserve"> 2009). In 1999, the Bologna Declaration proposed a European Higher Education Area (EHEA) which would promote mobility of university students and employability graduates between the EU countries. The Bologna process aimed to increase the ‘comparability and compatibility’ of the Europe</w:t>
      </w:r>
      <w:r w:rsidR="000E17B7" w:rsidRPr="00235A56">
        <w:rPr>
          <w:rFonts w:ascii="Helvetica" w:hAnsi="Helvetica" w:cs="Helvetica"/>
          <w:sz w:val="22"/>
          <w:szCs w:val="22"/>
        </w:rPr>
        <w:t>an</w:t>
      </w:r>
      <w:r w:rsidRPr="00235A56">
        <w:rPr>
          <w:rFonts w:ascii="Helvetica" w:hAnsi="Helvetica" w:cs="Helvetica"/>
          <w:sz w:val="22"/>
          <w:szCs w:val="22"/>
        </w:rPr>
        <w:t xml:space="preserve"> higher education system (Huisman and Van Vught</w:t>
      </w:r>
      <w:r w:rsidR="002A0636" w:rsidRPr="00235A56">
        <w:rPr>
          <w:rFonts w:ascii="Helvetica" w:hAnsi="Helvetica" w:cs="Helvetica"/>
          <w:sz w:val="22"/>
          <w:szCs w:val="22"/>
        </w:rPr>
        <w:t>,</w:t>
      </w:r>
      <w:r w:rsidRPr="00235A56">
        <w:rPr>
          <w:rFonts w:ascii="Helvetica" w:hAnsi="Helvetica" w:cs="Helvetica"/>
          <w:sz w:val="22"/>
          <w:szCs w:val="22"/>
        </w:rPr>
        <w:t xml:space="preserve"> 2009),</w:t>
      </w:r>
      <w:r w:rsidR="000E17B7" w:rsidRPr="00235A56">
        <w:rPr>
          <w:rFonts w:ascii="Helvetica" w:hAnsi="Helvetica" w:cs="Helvetica"/>
          <w:sz w:val="22"/>
          <w:szCs w:val="22"/>
        </w:rPr>
        <w:t xml:space="preserve"> </w:t>
      </w:r>
      <w:r w:rsidRPr="00235A56">
        <w:rPr>
          <w:rFonts w:ascii="Helvetica" w:hAnsi="Helvetica" w:cs="Helvetica"/>
          <w:sz w:val="22"/>
          <w:szCs w:val="22"/>
        </w:rPr>
        <w:t>focusing specifically on qualifications, quality assurance and credit transfer. In addition, an EU research policy domain was developed. A European Research Area (ERA) was created ‘to integrate national research policies, to encourage cooperation between researchers at the European level and to stimulate the links between universities and industries’ (Huisman &amp; Van Vught</w:t>
      </w:r>
      <w:r w:rsidR="002A0636" w:rsidRPr="00235A56">
        <w:rPr>
          <w:rFonts w:ascii="Helvetica" w:hAnsi="Helvetica" w:cs="Helvetica"/>
          <w:sz w:val="22"/>
          <w:szCs w:val="22"/>
        </w:rPr>
        <w:t>,</w:t>
      </w:r>
      <w:r w:rsidRPr="00235A56">
        <w:rPr>
          <w:rFonts w:ascii="Helvetica" w:hAnsi="Helvetica" w:cs="Helvetica"/>
          <w:sz w:val="22"/>
          <w:szCs w:val="22"/>
        </w:rPr>
        <w:t xml:space="preserve"> 2009</w:t>
      </w:r>
      <w:r w:rsidR="002A0636" w:rsidRPr="00235A56">
        <w:rPr>
          <w:rFonts w:ascii="Helvetica" w:hAnsi="Helvetica" w:cs="Helvetica"/>
          <w:sz w:val="22"/>
          <w:szCs w:val="22"/>
        </w:rPr>
        <w:t>,</w:t>
      </w:r>
      <w:r w:rsidR="008445C2" w:rsidRPr="00235A56">
        <w:rPr>
          <w:rFonts w:ascii="Helvetica" w:hAnsi="Helvetica" w:cs="Helvetica"/>
          <w:sz w:val="22"/>
          <w:szCs w:val="22"/>
        </w:rPr>
        <w:t xml:space="preserve"> </w:t>
      </w:r>
      <w:r w:rsidR="002A0636" w:rsidRPr="00235A56">
        <w:rPr>
          <w:rFonts w:ascii="Helvetica" w:hAnsi="Helvetica" w:cs="Helvetica"/>
          <w:sz w:val="22"/>
          <w:szCs w:val="22"/>
        </w:rPr>
        <w:t>p.</w:t>
      </w:r>
      <w:r w:rsidRPr="00235A56">
        <w:rPr>
          <w:rFonts w:ascii="Helvetica" w:hAnsi="Helvetica" w:cs="Helvetica"/>
          <w:sz w:val="22"/>
          <w:szCs w:val="22"/>
        </w:rPr>
        <w:t xml:space="preserve"> 20). Both EHEA and ERA have contributed to the rise of diversity as a salient policy issue in EU higher education policy agenda (U</w:t>
      </w:r>
      <w:r w:rsidR="00390503" w:rsidRPr="00235A56">
        <w:rPr>
          <w:rFonts w:ascii="Helvetica" w:hAnsi="Helvetica" w:cs="Helvetica"/>
          <w:sz w:val="22"/>
          <w:szCs w:val="22"/>
        </w:rPr>
        <w:t>-</w:t>
      </w:r>
      <w:r w:rsidRPr="00235A56">
        <w:rPr>
          <w:rFonts w:ascii="Helvetica" w:hAnsi="Helvetica" w:cs="Helvetica"/>
          <w:sz w:val="22"/>
          <w:szCs w:val="22"/>
        </w:rPr>
        <w:t>Map</w:t>
      </w:r>
      <w:r w:rsidR="008445C2" w:rsidRPr="00235A56">
        <w:rPr>
          <w:rFonts w:ascii="Helvetica" w:hAnsi="Helvetica" w:cs="Helvetica"/>
          <w:sz w:val="22"/>
          <w:szCs w:val="22"/>
        </w:rPr>
        <w:t>,</w:t>
      </w:r>
      <w:r w:rsidR="000E17B7" w:rsidRPr="00235A56">
        <w:rPr>
          <w:rFonts w:ascii="Helvetica" w:hAnsi="Helvetica" w:cs="Helvetica"/>
          <w:sz w:val="22"/>
          <w:szCs w:val="22"/>
        </w:rPr>
        <w:t xml:space="preserve"> </w:t>
      </w:r>
      <w:r w:rsidRPr="00235A56">
        <w:rPr>
          <w:rFonts w:ascii="Helvetica" w:hAnsi="Helvetica" w:cs="Helvetica"/>
          <w:sz w:val="22"/>
          <w:szCs w:val="22"/>
        </w:rPr>
        <w:t>2018)</w:t>
      </w:r>
      <w:r w:rsidR="006D0D0B" w:rsidRPr="00235A56">
        <w:rPr>
          <w:rFonts w:ascii="Helvetica" w:hAnsi="Helvetica" w:cs="Helvetica"/>
          <w:sz w:val="22"/>
          <w:szCs w:val="22"/>
        </w:rPr>
        <w:t>.</w:t>
      </w:r>
    </w:p>
    <w:p w:rsidR="00900F7E" w:rsidRPr="00235A56" w:rsidRDefault="00900F7E" w:rsidP="00E367D3">
      <w:pPr>
        <w:rPr>
          <w:rFonts w:ascii="Helvetica" w:hAnsi="Helvetica" w:cs="Helvetica"/>
          <w:sz w:val="22"/>
          <w:szCs w:val="22"/>
        </w:rPr>
      </w:pPr>
      <w:r w:rsidRPr="00235A56">
        <w:rPr>
          <w:rFonts w:ascii="Helvetica" w:hAnsi="Helvetica" w:cs="Helvetica"/>
          <w:sz w:val="22"/>
          <w:szCs w:val="22"/>
        </w:rPr>
        <w:t xml:space="preserve">Although the overall emphasis of Bologna Process has been on </w:t>
      </w:r>
      <w:r w:rsidR="000E17B7" w:rsidRPr="00235A56">
        <w:rPr>
          <w:rFonts w:ascii="Helvetica" w:hAnsi="Helvetica" w:cs="Helvetica"/>
          <w:sz w:val="22"/>
          <w:szCs w:val="22"/>
        </w:rPr>
        <w:t xml:space="preserve">systemic </w:t>
      </w:r>
      <w:r w:rsidRPr="00235A56">
        <w:rPr>
          <w:rFonts w:ascii="Helvetica" w:hAnsi="Helvetica" w:cs="Helvetica"/>
          <w:sz w:val="22"/>
          <w:szCs w:val="22"/>
        </w:rPr>
        <w:t>convergence, the importance of institutional diversity has been acknowledged by the European Commission. The European Commission Communication of Higher Education 2005 highlighted the need for differentiation, acknowledging that insufficient differentiation can prove to be a hinderance to widening participation of different type of students and the achievement of world class excellence (CHEPS</w:t>
      </w:r>
      <w:r w:rsidR="002C2C95" w:rsidRPr="00235A56">
        <w:rPr>
          <w:rFonts w:ascii="Helvetica" w:hAnsi="Helvetica" w:cs="Helvetica"/>
          <w:sz w:val="22"/>
          <w:szCs w:val="22"/>
        </w:rPr>
        <w:t>,</w:t>
      </w:r>
      <w:r w:rsidR="000E17B7" w:rsidRPr="00235A56">
        <w:rPr>
          <w:rFonts w:ascii="Helvetica" w:hAnsi="Helvetica" w:cs="Helvetica"/>
          <w:sz w:val="22"/>
          <w:szCs w:val="22"/>
        </w:rPr>
        <w:t xml:space="preserve"> </w:t>
      </w:r>
      <w:r w:rsidRPr="00235A56">
        <w:rPr>
          <w:rFonts w:ascii="Helvetica" w:hAnsi="Helvetica" w:cs="Helvetica"/>
          <w:sz w:val="22"/>
          <w:szCs w:val="22"/>
        </w:rPr>
        <w:t>2005).However, the preference is for ‘organized diversity’ within ‘a coherent and compatible European framework’ (European Commission</w:t>
      </w:r>
      <w:r w:rsidR="004F4B85" w:rsidRPr="00235A56">
        <w:rPr>
          <w:rFonts w:ascii="Helvetica" w:hAnsi="Helvetica" w:cs="Helvetica"/>
          <w:sz w:val="22"/>
          <w:szCs w:val="22"/>
        </w:rPr>
        <w:t>,</w:t>
      </w:r>
      <w:r w:rsidRPr="00235A56">
        <w:rPr>
          <w:rFonts w:ascii="Helvetica" w:hAnsi="Helvetica" w:cs="Helvetica"/>
          <w:sz w:val="22"/>
          <w:szCs w:val="22"/>
        </w:rPr>
        <w:t xml:space="preserve"> 2005</w:t>
      </w:r>
      <w:r w:rsidR="004F4B85" w:rsidRPr="00235A56">
        <w:rPr>
          <w:rFonts w:ascii="Helvetica" w:hAnsi="Helvetica" w:cs="Helvetica"/>
          <w:sz w:val="22"/>
          <w:szCs w:val="22"/>
        </w:rPr>
        <w:t>,pp.</w:t>
      </w:r>
      <w:r w:rsidR="000E17B7" w:rsidRPr="00235A56">
        <w:rPr>
          <w:rFonts w:ascii="Helvetica" w:hAnsi="Helvetica" w:cs="Helvetica"/>
          <w:sz w:val="22"/>
          <w:szCs w:val="22"/>
        </w:rPr>
        <w:t xml:space="preserve"> </w:t>
      </w:r>
      <w:r w:rsidRPr="00235A56">
        <w:rPr>
          <w:rFonts w:ascii="Helvetica" w:hAnsi="Helvetica" w:cs="Helvetica"/>
          <w:sz w:val="22"/>
          <w:szCs w:val="22"/>
        </w:rPr>
        <w:t>3-4), which sets limits to diversity (Huisman &amp; Van Vught</w:t>
      </w:r>
      <w:r w:rsidR="002A0636" w:rsidRPr="00235A56">
        <w:rPr>
          <w:rFonts w:ascii="Helvetica" w:hAnsi="Helvetica" w:cs="Helvetica"/>
          <w:sz w:val="22"/>
          <w:szCs w:val="22"/>
        </w:rPr>
        <w:t>,</w:t>
      </w:r>
      <w:r w:rsidRPr="00235A56">
        <w:rPr>
          <w:rFonts w:ascii="Helvetica" w:hAnsi="Helvetica" w:cs="Helvetica"/>
          <w:sz w:val="22"/>
          <w:szCs w:val="22"/>
        </w:rPr>
        <w:t xml:space="preserve"> 2009).</w:t>
      </w:r>
    </w:p>
    <w:p w:rsidR="00900F7E" w:rsidRPr="00235A56" w:rsidRDefault="00900F7E" w:rsidP="00E367D3">
      <w:pPr>
        <w:pStyle w:val="Heading3"/>
        <w:numPr>
          <w:ilvl w:val="2"/>
          <w:numId w:val="21"/>
        </w:numPr>
        <w:rPr>
          <w:rFonts w:ascii="Helvetica" w:hAnsi="Helvetica" w:cs="Helvetica"/>
          <w:sz w:val="22"/>
          <w:szCs w:val="22"/>
        </w:rPr>
      </w:pPr>
      <w:r w:rsidRPr="00235A56">
        <w:rPr>
          <w:rFonts w:ascii="Helvetica" w:hAnsi="Helvetica" w:cs="Helvetica"/>
          <w:sz w:val="22"/>
          <w:szCs w:val="22"/>
        </w:rPr>
        <w:t>U-Map</w:t>
      </w:r>
    </w:p>
    <w:p w:rsidR="00900F7E" w:rsidRPr="00235A56" w:rsidRDefault="00900F7E" w:rsidP="00E367D3">
      <w:pPr>
        <w:rPr>
          <w:rFonts w:ascii="Helvetica" w:hAnsi="Helvetica" w:cs="Helvetica"/>
          <w:sz w:val="22"/>
          <w:szCs w:val="22"/>
        </w:rPr>
      </w:pPr>
      <w:r w:rsidRPr="00235A56">
        <w:rPr>
          <w:rFonts w:ascii="Helvetica" w:hAnsi="Helvetica" w:cs="Helvetica"/>
          <w:sz w:val="22"/>
          <w:szCs w:val="22"/>
        </w:rPr>
        <w:t>The U-Map project was initiated in 2004, with the aim to design a classification of higher education institutions in Europe. The rationale was to ‘better understand and use diversity in the European Higher Education landscape’ (Bartelse &amp; Van Vught</w:t>
      </w:r>
      <w:r w:rsidR="002A0636" w:rsidRPr="00235A56">
        <w:rPr>
          <w:rFonts w:ascii="Helvetica" w:hAnsi="Helvetica" w:cs="Helvetica"/>
          <w:sz w:val="22"/>
          <w:szCs w:val="22"/>
        </w:rPr>
        <w:t>,</w:t>
      </w:r>
      <w:r w:rsidRPr="00235A56">
        <w:rPr>
          <w:rFonts w:ascii="Helvetica" w:hAnsi="Helvetica" w:cs="Helvetica"/>
          <w:sz w:val="22"/>
          <w:szCs w:val="22"/>
        </w:rPr>
        <w:t xml:space="preserve"> 2009</w:t>
      </w:r>
      <w:r w:rsidR="002A0636" w:rsidRPr="00235A56">
        <w:rPr>
          <w:rFonts w:ascii="Helvetica" w:hAnsi="Helvetica" w:cs="Helvetica"/>
          <w:sz w:val="22"/>
          <w:szCs w:val="22"/>
        </w:rPr>
        <w:t>,</w:t>
      </w:r>
      <w:r w:rsidR="004F4B85" w:rsidRPr="00235A56">
        <w:rPr>
          <w:rFonts w:ascii="Helvetica" w:hAnsi="Helvetica" w:cs="Helvetica"/>
          <w:sz w:val="22"/>
          <w:szCs w:val="22"/>
        </w:rPr>
        <w:t xml:space="preserve"> </w:t>
      </w:r>
      <w:r w:rsidR="002A0636" w:rsidRPr="00235A56">
        <w:rPr>
          <w:rFonts w:ascii="Helvetica" w:hAnsi="Helvetica" w:cs="Helvetica"/>
          <w:sz w:val="22"/>
          <w:szCs w:val="22"/>
        </w:rPr>
        <w:t>p.</w:t>
      </w:r>
      <w:r w:rsidRPr="00235A56">
        <w:rPr>
          <w:rFonts w:ascii="Helvetica" w:hAnsi="Helvetica" w:cs="Helvetica"/>
          <w:sz w:val="22"/>
          <w:szCs w:val="22"/>
        </w:rPr>
        <w:t xml:space="preserve"> 57). It is a transparency tool developed over several years. The U-Map was developed with extensive consultations with stakeholders who would eventually use the system.</w:t>
      </w:r>
    </w:p>
    <w:p w:rsidR="00900F7E" w:rsidRPr="00235A56" w:rsidRDefault="00900F7E" w:rsidP="00E367D3">
      <w:pPr>
        <w:rPr>
          <w:rFonts w:ascii="Helvetica" w:hAnsi="Helvetica" w:cs="Helvetica"/>
          <w:sz w:val="22"/>
          <w:szCs w:val="22"/>
        </w:rPr>
      </w:pPr>
      <w:r w:rsidRPr="00235A56">
        <w:rPr>
          <w:rFonts w:ascii="Helvetica" w:hAnsi="Helvetica" w:cs="Helvetica"/>
          <w:sz w:val="22"/>
          <w:szCs w:val="22"/>
        </w:rPr>
        <w:t>The classification is not based on fixed categories, allowing users to define their own (Zeigele</w:t>
      </w:r>
      <w:r w:rsidR="002A0636" w:rsidRPr="00235A56">
        <w:rPr>
          <w:rFonts w:ascii="Helvetica" w:hAnsi="Helvetica" w:cs="Helvetica"/>
          <w:sz w:val="22"/>
          <w:szCs w:val="22"/>
        </w:rPr>
        <w:t>,</w:t>
      </w:r>
      <w:r w:rsidRPr="00235A56">
        <w:rPr>
          <w:rFonts w:ascii="Helvetica" w:hAnsi="Helvetica" w:cs="Helvetica"/>
          <w:sz w:val="22"/>
          <w:szCs w:val="22"/>
        </w:rPr>
        <w:t xml:space="preserve"> 2013).</w:t>
      </w:r>
      <w:r w:rsidR="00DF7848" w:rsidRPr="00235A56">
        <w:rPr>
          <w:rFonts w:ascii="Helvetica" w:hAnsi="Helvetica" w:cs="Helvetica"/>
          <w:sz w:val="22"/>
          <w:szCs w:val="22"/>
        </w:rPr>
        <w:t xml:space="preserve"> </w:t>
      </w:r>
      <w:r w:rsidRPr="00235A56">
        <w:rPr>
          <w:rFonts w:ascii="Helvetica" w:hAnsi="Helvetica" w:cs="Helvetica"/>
          <w:sz w:val="22"/>
          <w:szCs w:val="22"/>
        </w:rPr>
        <w:t>In this the developers have adopted a nomothetic (</w:t>
      </w:r>
      <w:r w:rsidRPr="00235A56">
        <w:rPr>
          <w:rFonts w:ascii="Helvetica" w:hAnsi="Helvetica" w:cs="Helvetica"/>
          <w:i/>
          <w:sz w:val="22"/>
          <w:szCs w:val="22"/>
        </w:rPr>
        <w:t>a posteriori</w:t>
      </w:r>
      <w:r w:rsidRPr="00235A56">
        <w:rPr>
          <w:rFonts w:ascii="Helvetica" w:hAnsi="Helvetica" w:cs="Helvetica"/>
          <w:sz w:val="22"/>
          <w:szCs w:val="22"/>
        </w:rPr>
        <w:t>) approach to classification.</w:t>
      </w:r>
      <w:r w:rsidR="00DF7848" w:rsidRPr="00235A56">
        <w:rPr>
          <w:rFonts w:ascii="Helvetica" w:hAnsi="Helvetica" w:cs="Helvetica"/>
          <w:sz w:val="22"/>
          <w:szCs w:val="22"/>
        </w:rPr>
        <w:t xml:space="preserve"> </w:t>
      </w:r>
      <w:r w:rsidRPr="00235A56">
        <w:rPr>
          <w:rFonts w:ascii="Helvetica" w:hAnsi="Helvetica" w:cs="Helvetica"/>
          <w:sz w:val="22"/>
          <w:szCs w:val="22"/>
        </w:rPr>
        <w:t>The users can classify universities or create ‘institutional profiles’ based on six dimensions as follows; teaching and learning, student profile, research involvement, regional engagement, involvement in knowledge exchange and international orientation. Each dimension has several indicators on which the higher education institutions’ similarities and differences can be compared (</w:t>
      </w:r>
      <w:r w:rsidRPr="00235A56">
        <w:rPr>
          <w:rFonts w:ascii="Helvetica" w:hAnsi="Helvetica" w:cs="Helvetica"/>
          <w:b/>
          <w:sz w:val="22"/>
          <w:szCs w:val="22"/>
        </w:rPr>
        <w:t>Table</w:t>
      </w:r>
      <w:r w:rsidR="00F10228" w:rsidRPr="00235A56">
        <w:rPr>
          <w:rFonts w:ascii="Helvetica" w:hAnsi="Helvetica" w:cs="Helvetica"/>
          <w:b/>
          <w:sz w:val="22"/>
          <w:szCs w:val="22"/>
        </w:rPr>
        <w:t xml:space="preserve"> 4</w:t>
      </w:r>
      <w:r w:rsidRPr="00235A56">
        <w:rPr>
          <w:rFonts w:ascii="Helvetica" w:hAnsi="Helvetica" w:cs="Helvetica"/>
          <w:sz w:val="22"/>
          <w:szCs w:val="22"/>
        </w:rPr>
        <w:t>).</w:t>
      </w:r>
    </w:p>
    <w:p w:rsidR="00F10228" w:rsidRPr="00235A56" w:rsidRDefault="00F10228" w:rsidP="00353191">
      <w:pPr>
        <w:pStyle w:val="Caption"/>
        <w:keepNext/>
        <w:rPr>
          <w:rFonts w:ascii="Helvetica" w:hAnsi="Helvetica" w:cs="Helvetica"/>
          <w:b/>
        </w:rPr>
      </w:pPr>
      <w:r w:rsidRPr="00235A56">
        <w:rPr>
          <w:rFonts w:ascii="Helvetica" w:hAnsi="Helvetica" w:cs="Helvetica"/>
          <w:b/>
        </w:rPr>
        <w:t xml:space="preserve">Table </w:t>
      </w:r>
      <w:r w:rsidRPr="00235A56">
        <w:rPr>
          <w:rFonts w:ascii="Helvetica" w:hAnsi="Helvetica" w:cs="Helvetica"/>
          <w:b/>
          <w:noProof/>
        </w:rPr>
        <w:t>4</w:t>
      </w:r>
      <w:r w:rsidRPr="00235A56">
        <w:rPr>
          <w:rFonts w:ascii="Helvetica" w:hAnsi="Helvetica" w:cs="Helvetica"/>
          <w:b/>
        </w:rPr>
        <w:t>: The U-Map dimensions and indicators (Source: Van Vught et al</w:t>
      </w:r>
      <w:r w:rsidR="002A0636" w:rsidRPr="00235A56">
        <w:rPr>
          <w:rFonts w:ascii="Helvetica" w:hAnsi="Helvetica" w:cs="Helvetica"/>
          <w:b/>
        </w:rPr>
        <w:t>,</w:t>
      </w:r>
      <w:r w:rsidRPr="00235A56">
        <w:rPr>
          <w:rFonts w:ascii="Helvetica" w:hAnsi="Helvetica" w:cs="Helvetica"/>
          <w:b/>
        </w:rPr>
        <w:t xml:space="preserve"> </w:t>
      </w:r>
      <w:r w:rsidR="004F4B85" w:rsidRPr="00235A56">
        <w:rPr>
          <w:rFonts w:ascii="Helvetica" w:hAnsi="Helvetica" w:cs="Helvetica"/>
          <w:b/>
        </w:rPr>
        <w:t>2010, p.</w:t>
      </w:r>
      <w:r w:rsidRPr="00235A56">
        <w:rPr>
          <w:rFonts w:ascii="Helvetica" w:hAnsi="Helvetica" w:cs="Helvetica"/>
          <w:b/>
        </w:rPr>
        <w:t xml:space="preserve"> 6)</w:t>
      </w:r>
    </w:p>
    <w:tbl>
      <w:tblPr>
        <w:tblStyle w:val="TableGrid"/>
        <w:tblW w:w="0" w:type="auto"/>
        <w:tblLook w:val="04A0" w:firstRow="1" w:lastRow="0" w:firstColumn="1" w:lastColumn="0" w:noHBand="0" w:noVBand="1"/>
      </w:tblPr>
      <w:tblGrid>
        <w:gridCol w:w="4505"/>
        <w:gridCol w:w="4505"/>
      </w:tblGrid>
      <w:tr w:rsidR="00900F7E" w:rsidRPr="00235A56" w:rsidTr="00A248CA">
        <w:trPr>
          <w:tblHeader/>
        </w:trPr>
        <w:tc>
          <w:tcPr>
            <w:tcW w:w="4505" w:type="dxa"/>
            <w:shd w:val="clear" w:color="auto" w:fill="B4C6E7" w:themeFill="accent1" w:themeFillTint="66"/>
          </w:tcPr>
          <w:p w:rsidR="00900F7E" w:rsidRPr="00235A56" w:rsidRDefault="00900F7E" w:rsidP="00E367D3">
            <w:pPr>
              <w:rPr>
                <w:rFonts w:ascii="Helvetica" w:hAnsi="Helvetica" w:cs="Helvetica"/>
                <w:b/>
                <w:sz w:val="20"/>
                <w:szCs w:val="20"/>
              </w:rPr>
            </w:pPr>
            <w:r w:rsidRPr="00235A56">
              <w:rPr>
                <w:rFonts w:ascii="Helvetica" w:hAnsi="Helvetica" w:cs="Helvetica"/>
                <w:b/>
                <w:sz w:val="20"/>
                <w:szCs w:val="20"/>
              </w:rPr>
              <w:t xml:space="preserve">Teaching and Learning </w:t>
            </w:r>
          </w:p>
        </w:tc>
        <w:tc>
          <w:tcPr>
            <w:tcW w:w="4505" w:type="dxa"/>
            <w:shd w:val="clear" w:color="auto" w:fill="B4C6E7" w:themeFill="accent1" w:themeFillTint="66"/>
          </w:tcPr>
          <w:p w:rsidR="00900F7E" w:rsidRPr="00235A56" w:rsidRDefault="00900F7E" w:rsidP="00E367D3">
            <w:pPr>
              <w:rPr>
                <w:rFonts w:ascii="Helvetica" w:hAnsi="Helvetica" w:cs="Helvetica"/>
                <w:b/>
                <w:sz w:val="20"/>
                <w:szCs w:val="20"/>
              </w:rPr>
            </w:pPr>
            <w:r w:rsidRPr="00235A56">
              <w:rPr>
                <w:rFonts w:ascii="Helvetica" w:hAnsi="Helvetica" w:cs="Helvetica"/>
                <w:b/>
                <w:sz w:val="20"/>
                <w:szCs w:val="20"/>
              </w:rPr>
              <w:t>Student Profile</w:t>
            </w:r>
          </w:p>
        </w:tc>
      </w:tr>
      <w:tr w:rsidR="00900F7E" w:rsidRPr="00235A56" w:rsidTr="00363883">
        <w:tc>
          <w:tcPr>
            <w:tcW w:w="4505" w:type="dxa"/>
          </w:tcPr>
          <w:p w:rsidR="00900F7E" w:rsidRPr="00235A56" w:rsidRDefault="00900F7E" w:rsidP="00E367D3">
            <w:pPr>
              <w:pStyle w:val="ListParagraph"/>
              <w:numPr>
                <w:ilvl w:val="0"/>
                <w:numId w:val="14"/>
              </w:numPr>
              <w:rPr>
                <w:rFonts w:ascii="Helvetica" w:hAnsi="Helvetica" w:cs="Helvetica"/>
                <w:sz w:val="20"/>
                <w:szCs w:val="20"/>
              </w:rPr>
            </w:pPr>
            <w:r w:rsidRPr="00235A56">
              <w:rPr>
                <w:rFonts w:ascii="Helvetica" w:hAnsi="Helvetica" w:cs="Helvetica"/>
                <w:sz w:val="20"/>
                <w:szCs w:val="20"/>
              </w:rPr>
              <w:t>Degree level focus</w:t>
            </w:r>
          </w:p>
          <w:p w:rsidR="00900F7E" w:rsidRPr="00235A56" w:rsidRDefault="00900F7E" w:rsidP="00E367D3">
            <w:pPr>
              <w:pStyle w:val="ListParagraph"/>
              <w:numPr>
                <w:ilvl w:val="0"/>
                <w:numId w:val="14"/>
              </w:numPr>
              <w:rPr>
                <w:rFonts w:ascii="Helvetica" w:hAnsi="Helvetica" w:cs="Helvetica"/>
                <w:sz w:val="20"/>
                <w:szCs w:val="20"/>
              </w:rPr>
            </w:pPr>
            <w:r w:rsidRPr="00235A56">
              <w:rPr>
                <w:rFonts w:ascii="Helvetica" w:hAnsi="Helvetica" w:cs="Helvetica"/>
                <w:sz w:val="20"/>
                <w:szCs w:val="20"/>
              </w:rPr>
              <w:t>Range of subjects</w:t>
            </w:r>
          </w:p>
          <w:p w:rsidR="00900F7E" w:rsidRPr="00235A56" w:rsidRDefault="00900F7E" w:rsidP="00E367D3">
            <w:pPr>
              <w:pStyle w:val="ListParagraph"/>
              <w:numPr>
                <w:ilvl w:val="0"/>
                <w:numId w:val="14"/>
              </w:numPr>
              <w:rPr>
                <w:rFonts w:ascii="Helvetica" w:hAnsi="Helvetica" w:cs="Helvetica"/>
                <w:sz w:val="20"/>
                <w:szCs w:val="20"/>
              </w:rPr>
            </w:pPr>
            <w:r w:rsidRPr="00235A56">
              <w:rPr>
                <w:rFonts w:ascii="Helvetica" w:hAnsi="Helvetica" w:cs="Helvetica"/>
                <w:sz w:val="20"/>
                <w:szCs w:val="20"/>
              </w:rPr>
              <w:t>Orientation of degrees</w:t>
            </w:r>
          </w:p>
          <w:p w:rsidR="00900F7E" w:rsidRPr="00235A56" w:rsidRDefault="00900F7E" w:rsidP="00E367D3">
            <w:pPr>
              <w:pStyle w:val="ListParagraph"/>
              <w:numPr>
                <w:ilvl w:val="0"/>
                <w:numId w:val="14"/>
              </w:numPr>
              <w:rPr>
                <w:rFonts w:ascii="Helvetica" w:hAnsi="Helvetica" w:cs="Helvetica"/>
                <w:sz w:val="20"/>
                <w:szCs w:val="20"/>
              </w:rPr>
            </w:pPr>
            <w:r w:rsidRPr="00235A56">
              <w:rPr>
                <w:rFonts w:ascii="Helvetica" w:hAnsi="Helvetica" w:cs="Helvetica"/>
                <w:sz w:val="20"/>
                <w:szCs w:val="20"/>
              </w:rPr>
              <w:t>Expenditure on teaching</w:t>
            </w:r>
          </w:p>
        </w:tc>
        <w:tc>
          <w:tcPr>
            <w:tcW w:w="4505" w:type="dxa"/>
          </w:tcPr>
          <w:p w:rsidR="00900F7E" w:rsidRPr="00235A56" w:rsidRDefault="00900F7E" w:rsidP="00E367D3">
            <w:pPr>
              <w:pStyle w:val="ListParagraph"/>
              <w:numPr>
                <w:ilvl w:val="0"/>
                <w:numId w:val="14"/>
              </w:numPr>
              <w:rPr>
                <w:rFonts w:ascii="Helvetica" w:hAnsi="Helvetica" w:cs="Helvetica"/>
                <w:sz w:val="20"/>
                <w:szCs w:val="20"/>
              </w:rPr>
            </w:pPr>
            <w:r w:rsidRPr="00235A56">
              <w:rPr>
                <w:rFonts w:ascii="Helvetica" w:hAnsi="Helvetica" w:cs="Helvetica"/>
                <w:sz w:val="20"/>
                <w:szCs w:val="20"/>
              </w:rPr>
              <w:t>Mature students</w:t>
            </w:r>
          </w:p>
          <w:p w:rsidR="00900F7E" w:rsidRPr="00235A56" w:rsidRDefault="00900F7E" w:rsidP="00E367D3">
            <w:pPr>
              <w:pStyle w:val="ListParagraph"/>
              <w:numPr>
                <w:ilvl w:val="0"/>
                <w:numId w:val="14"/>
              </w:numPr>
              <w:rPr>
                <w:rFonts w:ascii="Helvetica" w:hAnsi="Helvetica" w:cs="Helvetica"/>
                <w:sz w:val="20"/>
                <w:szCs w:val="20"/>
              </w:rPr>
            </w:pPr>
            <w:r w:rsidRPr="00235A56">
              <w:rPr>
                <w:rFonts w:ascii="Helvetica" w:hAnsi="Helvetica" w:cs="Helvetica"/>
                <w:sz w:val="20"/>
                <w:szCs w:val="20"/>
              </w:rPr>
              <w:t>Part-time students</w:t>
            </w:r>
          </w:p>
          <w:p w:rsidR="00900F7E" w:rsidRPr="00235A56" w:rsidRDefault="00900F7E" w:rsidP="00E367D3">
            <w:pPr>
              <w:pStyle w:val="ListParagraph"/>
              <w:numPr>
                <w:ilvl w:val="0"/>
                <w:numId w:val="14"/>
              </w:numPr>
              <w:rPr>
                <w:rFonts w:ascii="Helvetica" w:hAnsi="Helvetica" w:cs="Helvetica"/>
                <w:sz w:val="20"/>
                <w:szCs w:val="20"/>
              </w:rPr>
            </w:pPr>
            <w:r w:rsidRPr="00235A56">
              <w:rPr>
                <w:rFonts w:ascii="Helvetica" w:hAnsi="Helvetica" w:cs="Helvetica"/>
                <w:sz w:val="20"/>
                <w:szCs w:val="20"/>
              </w:rPr>
              <w:t>Distance learning students</w:t>
            </w:r>
          </w:p>
          <w:p w:rsidR="00900F7E" w:rsidRPr="00235A56" w:rsidRDefault="00900F7E" w:rsidP="00E367D3">
            <w:pPr>
              <w:pStyle w:val="ListParagraph"/>
              <w:numPr>
                <w:ilvl w:val="0"/>
                <w:numId w:val="14"/>
              </w:numPr>
              <w:rPr>
                <w:rFonts w:ascii="Helvetica" w:hAnsi="Helvetica" w:cs="Helvetica"/>
                <w:sz w:val="20"/>
                <w:szCs w:val="20"/>
              </w:rPr>
            </w:pPr>
            <w:r w:rsidRPr="00235A56">
              <w:rPr>
                <w:rFonts w:ascii="Helvetica" w:hAnsi="Helvetica" w:cs="Helvetica"/>
                <w:sz w:val="20"/>
                <w:szCs w:val="20"/>
              </w:rPr>
              <w:t>Size of student body</w:t>
            </w:r>
          </w:p>
        </w:tc>
      </w:tr>
      <w:tr w:rsidR="00900F7E" w:rsidRPr="00235A56" w:rsidTr="00363883">
        <w:tc>
          <w:tcPr>
            <w:tcW w:w="4505" w:type="dxa"/>
            <w:shd w:val="clear" w:color="auto" w:fill="B4C6E7" w:themeFill="accent1" w:themeFillTint="66"/>
          </w:tcPr>
          <w:p w:rsidR="00900F7E" w:rsidRPr="00235A56" w:rsidRDefault="00900F7E" w:rsidP="00E367D3">
            <w:pPr>
              <w:rPr>
                <w:rFonts w:ascii="Helvetica" w:hAnsi="Helvetica" w:cs="Helvetica"/>
                <w:b/>
                <w:sz w:val="20"/>
                <w:szCs w:val="20"/>
              </w:rPr>
            </w:pPr>
            <w:r w:rsidRPr="00235A56">
              <w:rPr>
                <w:rFonts w:ascii="Helvetica" w:hAnsi="Helvetica" w:cs="Helvetica"/>
                <w:b/>
                <w:sz w:val="20"/>
                <w:szCs w:val="20"/>
              </w:rPr>
              <w:t>Research Involvement</w:t>
            </w:r>
          </w:p>
        </w:tc>
        <w:tc>
          <w:tcPr>
            <w:tcW w:w="4505" w:type="dxa"/>
            <w:shd w:val="clear" w:color="auto" w:fill="B4C6E7" w:themeFill="accent1" w:themeFillTint="66"/>
          </w:tcPr>
          <w:p w:rsidR="00900F7E" w:rsidRPr="00235A56" w:rsidRDefault="00900F7E" w:rsidP="00E367D3">
            <w:pPr>
              <w:rPr>
                <w:rFonts w:ascii="Helvetica" w:hAnsi="Helvetica" w:cs="Helvetica"/>
                <w:b/>
                <w:sz w:val="20"/>
                <w:szCs w:val="20"/>
              </w:rPr>
            </w:pPr>
            <w:r w:rsidRPr="00235A56">
              <w:rPr>
                <w:rFonts w:ascii="Helvetica" w:hAnsi="Helvetica" w:cs="Helvetica"/>
                <w:b/>
                <w:sz w:val="20"/>
                <w:szCs w:val="20"/>
              </w:rPr>
              <w:t>Involvement in Knowledge exchange</w:t>
            </w:r>
          </w:p>
        </w:tc>
      </w:tr>
      <w:tr w:rsidR="00900F7E" w:rsidRPr="00235A56" w:rsidTr="00363883">
        <w:tc>
          <w:tcPr>
            <w:tcW w:w="4505" w:type="dxa"/>
          </w:tcPr>
          <w:p w:rsidR="00900F7E" w:rsidRPr="00235A56" w:rsidRDefault="00900F7E" w:rsidP="00E367D3">
            <w:pPr>
              <w:pStyle w:val="ListParagraph"/>
              <w:numPr>
                <w:ilvl w:val="0"/>
                <w:numId w:val="15"/>
              </w:numPr>
              <w:rPr>
                <w:rFonts w:ascii="Helvetica" w:hAnsi="Helvetica" w:cs="Helvetica"/>
                <w:sz w:val="20"/>
                <w:szCs w:val="20"/>
              </w:rPr>
            </w:pPr>
            <w:r w:rsidRPr="00235A56">
              <w:rPr>
                <w:rFonts w:ascii="Helvetica" w:hAnsi="Helvetica" w:cs="Helvetica"/>
                <w:sz w:val="20"/>
                <w:szCs w:val="20"/>
              </w:rPr>
              <w:lastRenderedPageBreak/>
              <w:t>Peer reviewed publications</w:t>
            </w:r>
          </w:p>
          <w:p w:rsidR="00900F7E" w:rsidRPr="00235A56" w:rsidRDefault="00900F7E" w:rsidP="00E367D3">
            <w:pPr>
              <w:pStyle w:val="ListParagraph"/>
              <w:numPr>
                <w:ilvl w:val="0"/>
                <w:numId w:val="15"/>
              </w:numPr>
              <w:rPr>
                <w:rFonts w:ascii="Helvetica" w:hAnsi="Helvetica" w:cs="Helvetica"/>
                <w:sz w:val="20"/>
                <w:szCs w:val="20"/>
              </w:rPr>
            </w:pPr>
            <w:r w:rsidRPr="00235A56">
              <w:rPr>
                <w:rFonts w:ascii="Helvetica" w:hAnsi="Helvetica" w:cs="Helvetica"/>
                <w:sz w:val="20"/>
                <w:szCs w:val="20"/>
              </w:rPr>
              <w:t>Doctorate production</w:t>
            </w:r>
          </w:p>
          <w:p w:rsidR="00900F7E" w:rsidRPr="00235A56" w:rsidRDefault="00900F7E" w:rsidP="00E367D3">
            <w:pPr>
              <w:pStyle w:val="ListParagraph"/>
              <w:numPr>
                <w:ilvl w:val="0"/>
                <w:numId w:val="15"/>
              </w:numPr>
              <w:rPr>
                <w:rFonts w:ascii="Helvetica" w:hAnsi="Helvetica" w:cs="Helvetica"/>
                <w:sz w:val="20"/>
                <w:szCs w:val="20"/>
              </w:rPr>
            </w:pPr>
            <w:r w:rsidRPr="00235A56">
              <w:rPr>
                <w:rFonts w:ascii="Helvetica" w:hAnsi="Helvetica" w:cs="Helvetica"/>
                <w:sz w:val="20"/>
                <w:szCs w:val="20"/>
              </w:rPr>
              <w:t>Expenditure on research</w:t>
            </w:r>
          </w:p>
        </w:tc>
        <w:tc>
          <w:tcPr>
            <w:tcW w:w="4505" w:type="dxa"/>
          </w:tcPr>
          <w:p w:rsidR="00900F7E" w:rsidRPr="00235A56" w:rsidRDefault="00900F7E" w:rsidP="00363883">
            <w:pPr>
              <w:pStyle w:val="ListParagraph"/>
              <w:numPr>
                <w:ilvl w:val="0"/>
                <w:numId w:val="15"/>
              </w:numPr>
              <w:jc w:val="left"/>
              <w:rPr>
                <w:rFonts w:ascii="Helvetica" w:hAnsi="Helvetica" w:cs="Helvetica"/>
                <w:sz w:val="20"/>
                <w:szCs w:val="20"/>
              </w:rPr>
            </w:pPr>
            <w:r w:rsidRPr="00235A56">
              <w:rPr>
                <w:rFonts w:ascii="Helvetica" w:hAnsi="Helvetica" w:cs="Helvetica"/>
                <w:sz w:val="20"/>
                <w:szCs w:val="20"/>
              </w:rPr>
              <w:t>Start-up firms</w:t>
            </w:r>
          </w:p>
          <w:p w:rsidR="00900F7E" w:rsidRPr="00235A56" w:rsidRDefault="00900F7E" w:rsidP="00363883">
            <w:pPr>
              <w:pStyle w:val="ListParagraph"/>
              <w:numPr>
                <w:ilvl w:val="0"/>
                <w:numId w:val="15"/>
              </w:numPr>
              <w:jc w:val="left"/>
              <w:rPr>
                <w:rFonts w:ascii="Helvetica" w:hAnsi="Helvetica" w:cs="Helvetica"/>
                <w:sz w:val="20"/>
                <w:szCs w:val="20"/>
              </w:rPr>
            </w:pPr>
            <w:r w:rsidRPr="00235A56">
              <w:rPr>
                <w:rFonts w:ascii="Helvetica" w:hAnsi="Helvetica" w:cs="Helvetica"/>
                <w:sz w:val="20"/>
                <w:szCs w:val="20"/>
              </w:rPr>
              <w:t>Patent applications filed</w:t>
            </w:r>
          </w:p>
          <w:p w:rsidR="00900F7E" w:rsidRPr="00235A56" w:rsidRDefault="00900F7E" w:rsidP="00363883">
            <w:pPr>
              <w:pStyle w:val="ListParagraph"/>
              <w:numPr>
                <w:ilvl w:val="0"/>
                <w:numId w:val="15"/>
              </w:numPr>
              <w:jc w:val="left"/>
              <w:rPr>
                <w:rFonts w:ascii="Helvetica" w:hAnsi="Helvetica" w:cs="Helvetica"/>
                <w:sz w:val="20"/>
                <w:szCs w:val="20"/>
              </w:rPr>
            </w:pPr>
            <w:r w:rsidRPr="00235A56">
              <w:rPr>
                <w:rFonts w:ascii="Helvetica" w:hAnsi="Helvetica" w:cs="Helvetica"/>
                <w:sz w:val="20"/>
                <w:szCs w:val="20"/>
              </w:rPr>
              <w:t>Cultural activities</w:t>
            </w:r>
          </w:p>
          <w:p w:rsidR="00900F7E" w:rsidRPr="00235A56" w:rsidRDefault="00900F7E" w:rsidP="00363883">
            <w:pPr>
              <w:pStyle w:val="ListParagraph"/>
              <w:numPr>
                <w:ilvl w:val="0"/>
                <w:numId w:val="15"/>
              </w:numPr>
              <w:jc w:val="left"/>
              <w:rPr>
                <w:rFonts w:ascii="Helvetica" w:hAnsi="Helvetica" w:cs="Helvetica"/>
                <w:sz w:val="20"/>
                <w:szCs w:val="20"/>
              </w:rPr>
            </w:pPr>
            <w:r w:rsidRPr="00235A56">
              <w:rPr>
                <w:rFonts w:ascii="Helvetica" w:hAnsi="Helvetica" w:cs="Helvetica"/>
                <w:sz w:val="20"/>
                <w:szCs w:val="20"/>
              </w:rPr>
              <w:t>Income from knowledge exchange activities</w:t>
            </w:r>
          </w:p>
        </w:tc>
      </w:tr>
      <w:tr w:rsidR="00900F7E" w:rsidRPr="00235A56" w:rsidTr="00363883">
        <w:tc>
          <w:tcPr>
            <w:tcW w:w="4505" w:type="dxa"/>
            <w:shd w:val="clear" w:color="auto" w:fill="B4C6E7" w:themeFill="accent1" w:themeFillTint="66"/>
          </w:tcPr>
          <w:p w:rsidR="00900F7E" w:rsidRPr="00235A56" w:rsidRDefault="00900F7E" w:rsidP="00E367D3">
            <w:pPr>
              <w:rPr>
                <w:rFonts w:ascii="Helvetica" w:hAnsi="Helvetica" w:cs="Helvetica"/>
                <w:b/>
                <w:sz w:val="20"/>
                <w:szCs w:val="20"/>
              </w:rPr>
            </w:pPr>
            <w:r w:rsidRPr="00235A56">
              <w:rPr>
                <w:rFonts w:ascii="Helvetica" w:hAnsi="Helvetica" w:cs="Helvetica"/>
                <w:b/>
                <w:sz w:val="20"/>
                <w:szCs w:val="20"/>
              </w:rPr>
              <w:t>International Orientation</w:t>
            </w:r>
          </w:p>
        </w:tc>
        <w:tc>
          <w:tcPr>
            <w:tcW w:w="4505" w:type="dxa"/>
            <w:shd w:val="clear" w:color="auto" w:fill="B4C6E7" w:themeFill="accent1" w:themeFillTint="66"/>
          </w:tcPr>
          <w:p w:rsidR="00900F7E" w:rsidRPr="00235A56" w:rsidRDefault="00900F7E" w:rsidP="00E367D3">
            <w:pPr>
              <w:rPr>
                <w:rFonts w:ascii="Helvetica" w:hAnsi="Helvetica" w:cs="Helvetica"/>
                <w:b/>
                <w:sz w:val="20"/>
                <w:szCs w:val="20"/>
              </w:rPr>
            </w:pPr>
            <w:r w:rsidRPr="00235A56">
              <w:rPr>
                <w:rFonts w:ascii="Helvetica" w:hAnsi="Helvetica" w:cs="Helvetica"/>
                <w:b/>
                <w:sz w:val="20"/>
                <w:szCs w:val="20"/>
              </w:rPr>
              <w:t>Regional Engagement</w:t>
            </w:r>
          </w:p>
        </w:tc>
      </w:tr>
      <w:tr w:rsidR="00900F7E" w:rsidRPr="00235A56" w:rsidTr="00363883">
        <w:tc>
          <w:tcPr>
            <w:tcW w:w="4505" w:type="dxa"/>
          </w:tcPr>
          <w:p w:rsidR="00900F7E" w:rsidRPr="00235A56" w:rsidRDefault="00900F7E" w:rsidP="00363883">
            <w:pPr>
              <w:pStyle w:val="ListParagraph"/>
              <w:numPr>
                <w:ilvl w:val="0"/>
                <w:numId w:val="16"/>
              </w:numPr>
              <w:jc w:val="left"/>
              <w:rPr>
                <w:rFonts w:ascii="Helvetica" w:hAnsi="Helvetica" w:cs="Helvetica"/>
                <w:sz w:val="20"/>
                <w:szCs w:val="20"/>
              </w:rPr>
            </w:pPr>
            <w:r w:rsidRPr="00235A56">
              <w:rPr>
                <w:rFonts w:ascii="Helvetica" w:hAnsi="Helvetica" w:cs="Helvetica"/>
                <w:sz w:val="20"/>
                <w:szCs w:val="20"/>
              </w:rPr>
              <w:t>Foreign degree seeking students</w:t>
            </w:r>
          </w:p>
          <w:p w:rsidR="00900F7E" w:rsidRPr="00235A56" w:rsidRDefault="00900F7E" w:rsidP="00363883">
            <w:pPr>
              <w:pStyle w:val="ListParagraph"/>
              <w:numPr>
                <w:ilvl w:val="0"/>
                <w:numId w:val="16"/>
              </w:numPr>
              <w:jc w:val="left"/>
              <w:rPr>
                <w:rFonts w:ascii="Helvetica" w:hAnsi="Helvetica" w:cs="Helvetica"/>
                <w:sz w:val="20"/>
                <w:szCs w:val="20"/>
              </w:rPr>
            </w:pPr>
            <w:r w:rsidRPr="00235A56">
              <w:rPr>
                <w:rFonts w:ascii="Helvetica" w:hAnsi="Helvetica" w:cs="Helvetica"/>
                <w:sz w:val="20"/>
                <w:szCs w:val="20"/>
              </w:rPr>
              <w:t>Incoming students in international exchange programs</w:t>
            </w:r>
          </w:p>
          <w:p w:rsidR="00900F7E" w:rsidRPr="00235A56" w:rsidRDefault="00900F7E" w:rsidP="00363883">
            <w:pPr>
              <w:pStyle w:val="ListParagraph"/>
              <w:numPr>
                <w:ilvl w:val="0"/>
                <w:numId w:val="16"/>
              </w:numPr>
              <w:jc w:val="left"/>
              <w:rPr>
                <w:rFonts w:ascii="Helvetica" w:hAnsi="Helvetica" w:cs="Helvetica"/>
                <w:sz w:val="20"/>
                <w:szCs w:val="20"/>
              </w:rPr>
            </w:pPr>
            <w:r w:rsidRPr="00235A56">
              <w:rPr>
                <w:rFonts w:ascii="Helvetica" w:hAnsi="Helvetica" w:cs="Helvetica"/>
                <w:sz w:val="20"/>
                <w:szCs w:val="20"/>
              </w:rPr>
              <w:t>Students sent out in international exchange programs</w:t>
            </w:r>
          </w:p>
          <w:p w:rsidR="00900F7E" w:rsidRPr="00235A56" w:rsidRDefault="00900F7E" w:rsidP="00363883">
            <w:pPr>
              <w:pStyle w:val="ListParagraph"/>
              <w:numPr>
                <w:ilvl w:val="0"/>
                <w:numId w:val="16"/>
              </w:numPr>
              <w:jc w:val="left"/>
              <w:rPr>
                <w:rFonts w:ascii="Helvetica" w:hAnsi="Helvetica" w:cs="Helvetica"/>
                <w:sz w:val="20"/>
                <w:szCs w:val="20"/>
              </w:rPr>
            </w:pPr>
            <w:r w:rsidRPr="00235A56">
              <w:rPr>
                <w:rFonts w:ascii="Helvetica" w:hAnsi="Helvetica" w:cs="Helvetica"/>
                <w:sz w:val="20"/>
                <w:szCs w:val="20"/>
              </w:rPr>
              <w:t>International academic staff</w:t>
            </w:r>
          </w:p>
          <w:p w:rsidR="00900F7E" w:rsidRPr="00235A56" w:rsidRDefault="00900F7E" w:rsidP="00363883">
            <w:pPr>
              <w:pStyle w:val="ListParagraph"/>
              <w:numPr>
                <w:ilvl w:val="0"/>
                <w:numId w:val="16"/>
              </w:numPr>
              <w:jc w:val="left"/>
              <w:rPr>
                <w:rFonts w:ascii="Helvetica" w:hAnsi="Helvetica" w:cs="Helvetica"/>
                <w:sz w:val="20"/>
                <w:szCs w:val="20"/>
              </w:rPr>
            </w:pPr>
            <w:r w:rsidRPr="00235A56">
              <w:rPr>
                <w:rFonts w:ascii="Helvetica" w:hAnsi="Helvetica" w:cs="Helvetica"/>
                <w:sz w:val="20"/>
                <w:szCs w:val="20"/>
              </w:rPr>
              <w:t>The importance of international sources of oncome in overall budget of the institution</w:t>
            </w:r>
          </w:p>
        </w:tc>
        <w:tc>
          <w:tcPr>
            <w:tcW w:w="4505" w:type="dxa"/>
          </w:tcPr>
          <w:p w:rsidR="00900F7E" w:rsidRPr="00235A56" w:rsidRDefault="00900F7E" w:rsidP="00363883">
            <w:pPr>
              <w:pStyle w:val="ListParagraph"/>
              <w:numPr>
                <w:ilvl w:val="0"/>
                <w:numId w:val="16"/>
              </w:numPr>
              <w:jc w:val="left"/>
              <w:rPr>
                <w:rFonts w:ascii="Helvetica" w:hAnsi="Helvetica" w:cs="Helvetica"/>
                <w:sz w:val="20"/>
                <w:szCs w:val="20"/>
              </w:rPr>
            </w:pPr>
            <w:r w:rsidRPr="00235A56">
              <w:rPr>
                <w:rFonts w:ascii="Helvetica" w:hAnsi="Helvetica" w:cs="Helvetica"/>
                <w:sz w:val="20"/>
                <w:szCs w:val="20"/>
              </w:rPr>
              <w:t>Graduates working in the region</w:t>
            </w:r>
          </w:p>
          <w:p w:rsidR="00900F7E" w:rsidRPr="00235A56" w:rsidRDefault="00900F7E" w:rsidP="00363883">
            <w:pPr>
              <w:pStyle w:val="ListParagraph"/>
              <w:numPr>
                <w:ilvl w:val="0"/>
                <w:numId w:val="16"/>
              </w:numPr>
              <w:jc w:val="left"/>
              <w:rPr>
                <w:rFonts w:ascii="Helvetica" w:hAnsi="Helvetica" w:cs="Helvetica"/>
                <w:sz w:val="20"/>
                <w:szCs w:val="20"/>
              </w:rPr>
            </w:pPr>
            <w:r w:rsidRPr="00235A56">
              <w:rPr>
                <w:rFonts w:ascii="Helvetica" w:hAnsi="Helvetica" w:cs="Helvetica"/>
                <w:sz w:val="20"/>
                <w:szCs w:val="20"/>
              </w:rPr>
              <w:t>First year bachelor students from the region</w:t>
            </w:r>
          </w:p>
          <w:p w:rsidR="00900F7E" w:rsidRPr="00235A56" w:rsidRDefault="00900F7E" w:rsidP="00363883">
            <w:pPr>
              <w:pStyle w:val="ListParagraph"/>
              <w:numPr>
                <w:ilvl w:val="0"/>
                <w:numId w:val="16"/>
              </w:numPr>
              <w:jc w:val="left"/>
              <w:rPr>
                <w:rFonts w:ascii="Helvetica" w:hAnsi="Helvetica" w:cs="Helvetica"/>
                <w:sz w:val="20"/>
                <w:szCs w:val="20"/>
              </w:rPr>
            </w:pPr>
            <w:r w:rsidRPr="00235A56">
              <w:rPr>
                <w:rFonts w:ascii="Helvetica" w:hAnsi="Helvetica" w:cs="Helvetica"/>
                <w:sz w:val="20"/>
                <w:szCs w:val="20"/>
              </w:rPr>
              <w:t>Importance of local/regional income sources</w:t>
            </w:r>
          </w:p>
        </w:tc>
      </w:tr>
    </w:tbl>
    <w:p w:rsidR="0019140E" w:rsidRPr="00235A56" w:rsidRDefault="0019140E" w:rsidP="00E367D3">
      <w:pPr>
        <w:rPr>
          <w:rFonts w:ascii="Helvetica" w:hAnsi="Helvetica" w:cs="Helvetica"/>
          <w:sz w:val="22"/>
          <w:szCs w:val="22"/>
        </w:rPr>
      </w:pPr>
    </w:p>
    <w:p w:rsidR="00900F7E" w:rsidRPr="00235A56" w:rsidRDefault="00900F7E" w:rsidP="00E367D3">
      <w:pPr>
        <w:rPr>
          <w:rFonts w:ascii="Helvetica" w:hAnsi="Helvetica" w:cs="Helvetica"/>
          <w:sz w:val="22"/>
          <w:szCs w:val="22"/>
        </w:rPr>
      </w:pPr>
      <w:r w:rsidRPr="00235A56">
        <w:rPr>
          <w:rFonts w:ascii="Helvetica" w:hAnsi="Helvetica" w:cs="Helvetica"/>
          <w:sz w:val="22"/>
          <w:szCs w:val="22"/>
        </w:rPr>
        <w:t>The U-Map tool uses these indicators to produce ‘sunburst charts’ which provide a ‘snapshot of the extent to which a HEI is engaged in the various dimensions of institutional activity’</w:t>
      </w:r>
      <w:r w:rsidR="00F10228" w:rsidRPr="00235A56">
        <w:rPr>
          <w:rFonts w:ascii="Helvetica" w:hAnsi="Helvetica" w:cs="Helvetica"/>
          <w:sz w:val="22"/>
          <w:szCs w:val="22"/>
        </w:rPr>
        <w:t xml:space="preserve"> (Jongbloed et al</w:t>
      </w:r>
      <w:r w:rsidR="002A0636" w:rsidRPr="00235A56">
        <w:rPr>
          <w:rFonts w:ascii="Helvetica" w:hAnsi="Helvetica" w:cs="Helvetica"/>
          <w:sz w:val="22"/>
          <w:szCs w:val="22"/>
        </w:rPr>
        <w:t>,</w:t>
      </w:r>
      <w:r w:rsidR="0019140E" w:rsidRPr="00235A56">
        <w:rPr>
          <w:rFonts w:ascii="Helvetica" w:hAnsi="Helvetica" w:cs="Helvetica"/>
          <w:sz w:val="22"/>
          <w:szCs w:val="22"/>
        </w:rPr>
        <w:t xml:space="preserve"> </w:t>
      </w:r>
      <w:r w:rsidR="00F10228" w:rsidRPr="00235A56">
        <w:rPr>
          <w:rFonts w:ascii="Helvetica" w:hAnsi="Helvetica" w:cs="Helvetica"/>
          <w:sz w:val="22"/>
          <w:szCs w:val="22"/>
        </w:rPr>
        <w:t>2013</w:t>
      </w:r>
      <w:r w:rsidR="002A0636" w:rsidRPr="00235A56">
        <w:rPr>
          <w:rFonts w:ascii="Helvetica" w:hAnsi="Helvetica" w:cs="Helvetica"/>
          <w:sz w:val="22"/>
          <w:szCs w:val="22"/>
        </w:rPr>
        <w:t>,</w:t>
      </w:r>
      <w:r w:rsidR="004F4B85" w:rsidRPr="00235A56">
        <w:rPr>
          <w:rFonts w:ascii="Helvetica" w:hAnsi="Helvetica" w:cs="Helvetica"/>
          <w:sz w:val="22"/>
          <w:szCs w:val="22"/>
        </w:rPr>
        <w:t xml:space="preserve"> </w:t>
      </w:r>
      <w:r w:rsidR="002C2C95" w:rsidRPr="00235A56">
        <w:rPr>
          <w:rFonts w:ascii="Helvetica" w:hAnsi="Helvetica" w:cs="Helvetica"/>
          <w:sz w:val="22"/>
          <w:szCs w:val="22"/>
        </w:rPr>
        <w:t>p.</w:t>
      </w:r>
      <w:r w:rsidR="00F10228" w:rsidRPr="00235A56">
        <w:rPr>
          <w:rFonts w:ascii="Helvetica" w:hAnsi="Helvetica" w:cs="Helvetica"/>
          <w:sz w:val="22"/>
          <w:szCs w:val="22"/>
        </w:rPr>
        <w:t>4)</w:t>
      </w:r>
      <w:r w:rsidRPr="00235A56">
        <w:rPr>
          <w:rFonts w:ascii="Helvetica" w:hAnsi="Helvetica" w:cs="Helvetica"/>
          <w:sz w:val="22"/>
          <w:szCs w:val="22"/>
        </w:rPr>
        <w:t>. While the data source for Carnegie Classification is the US Department of Education, a single source for similar data collection d</w:t>
      </w:r>
      <w:r w:rsidR="0019140E" w:rsidRPr="00235A56">
        <w:rPr>
          <w:rFonts w:ascii="Helvetica" w:hAnsi="Helvetica" w:cs="Helvetica"/>
          <w:sz w:val="22"/>
          <w:szCs w:val="22"/>
        </w:rPr>
        <w:t>oes</w:t>
      </w:r>
      <w:r w:rsidRPr="00235A56">
        <w:rPr>
          <w:rFonts w:ascii="Helvetica" w:hAnsi="Helvetica" w:cs="Helvetica"/>
          <w:sz w:val="22"/>
          <w:szCs w:val="22"/>
        </w:rPr>
        <w:t xml:space="preserve"> not exist in Europe, as each country ha</w:t>
      </w:r>
      <w:r w:rsidR="0019140E" w:rsidRPr="00235A56">
        <w:rPr>
          <w:rFonts w:ascii="Helvetica" w:hAnsi="Helvetica" w:cs="Helvetica"/>
          <w:sz w:val="22"/>
          <w:szCs w:val="22"/>
        </w:rPr>
        <w:t>s</w:t>
      </w:r>
      <w:r w:rsidRPr="00235A56">
        <w:rPr>
          <w:rFonts w:ascii="Helvetica" w:hAnsi="Helvetica" w:cs="Helvetica"/>
          <w:sz w:val="22"/>
          <w:szCs w:val="22"/>
        </w:rPr>
        <w:t xml:space="preserve"> its own systems. Thus, data for U-Map is provided by the higher education institutions themselves (Van Vught et al</w:t>
      </w:r>
      <w:r w:rsidR="002A0636" w:rsidRPr="00235A56">
        <w:rPr>
          <w:rFonts w:ascii="Helvetica" w:hAnsi="Helvetica" w:cs="Helvetica"/>
          <w:sz w:val="22"/>
          <w:szCs w:val="22"/>
        </w:rPr>
        <w:t>,</w:t>
      </w:r>
      <w:r w:rsidRPr="00235A56">
        <w:rPr>
          <w:rFonts w:ascii="Helvetica" w:hAnsi="Helvetica" w:cs="Helvetica"/>
          <w:sz w:val="22"/>
          <w:szCs w:val="22"/>
        </w:rPr>
        <w:t xml:space="preserve"> 2010). The U-Map has two tools, a Profile Finder and a Profile Viewer. The Profile Finder ‘is an instrument to identify specific subsets of higher education institutions within the whole set of higher education institutions included in the classification’ (Van Vught et al</w:t>
      </w:r>
      <w:r w:rsidR="002A0636" w:rsidRPr="00235A56">
        <w:rPr>
          <w:rFonts w:ascii="Helvetica" w:hAnsi="Helvetica" w:cs="Helvetica"/>
          <w:sz w:val="22"/>
          <w:szCs w:val="22"/>
        </w:rPr>
        <w:t>,</w:t>
      </w:r>
      <w:r w:rsidRPr="00235A56">
        <w:rPr>
          <w:rFonts w:ascii="Helvetica" w:hAnsi="Helvetica" w:cs="Helvetica"/>
          <w:sz w:val="22"/>
          <w:szCs w:val="22"/>
        </w:rPr>
        <w:t xml:space="preserve"> 2010</w:t>
      </w:r>
      <w:r w:rsidR="002A0636" w:rsidRPr="00235A56">
        <w:rPr>
          <w:rFonts w:ascii="Helvetica" w:hAnsi="Helvetica" w:cs="Helvetica"/>
          <w:sz w:val="22"/>
          <w:szCs w:val="22"/>
        </w:rPr>
        <w:t>,</w:t>
      </w:r>
      <w:r w:rsidR="004F4B85" w:rsidRPr="00235A56">
        <w:rPr>
          <w:rFonts w:ascii="Helvetica" w:hAnsi="Helvetica" w:cs="Helvetica"/>
          <w:sz w:val="22"/>
          <w:szCs w:val="22"/>
        </w:rPr>
        <w:t xml:space="preserve"> </w:t>
      </w:r>
      <w:r w:rsidR="002A0636" w:rsidRPr="00235A56">
        <w:rPr>
          <w:rFonts w:ascii="Helvetica" w:hAnsi="Helvetica" w:cs="Helvetica"/>
          <w:sz w:val="22"/>
          <w:szCs w:val="22"/>
        </w:rPr>
        <w:t>p.</w:t>
      </w:r>
      <w:r w:rsidR="002938EA" w:rsidRPr="00235A56">
        <w:rPr>
          <w:rFonts w:ascii="Helvetica" w:hAnsi="Helvetica" w:cs="Helvetica"/>
          <w:sz w:val="22"/>
          <w:szCs w:val="22"/>
        </w:rPr>
        <w:t>6</w:t>
      </w:r>
      <w:r w:rsidRPr="00235A56">
        <w:rPr>
          <w:rFonts w:ascii="Helvetica" w:hAnsi="Helvetica" w:cs="Helvetica"/>
          <w:sz w:val="22"/>
          <w:szCs w:val="22"/>
        </w:rPr>
        <w:t xml:space="preserve">). The Profile Viewer </w:t>
      </w:r>
      <w:r w:rsidR="002938EA" w:rsidRPr="00235A56">
        <w:rPr>
          <w:rFonts w:ascii="Helvetica" w:hAnsi="Helvetica" w:cs="Helvetica"/>
          <w:sz w:val="22"/>
          <w:szCs w:val="22"/>
        </w:rPr>
        <w:t>‘provides a visual representation of the</w:t>
      </w:r>
      <w:r w:rsidR="00DF7848" w:rsidRPr="00235A56">
        <w:rPr>
          <w:rFonts w:ascii="Helvetica" w:hAnsi="Helvetica" w:cs="Helvetica"/>
          <w:sz w:val="22"/>
          <w:szCs w:val="22"/>
        </w:rPr>
        <w:t xml:space="preserve"> </w:t>
      </w:r>
      <w:r w:rsidR="002938EA" w:rsidRPr="00235A56">
        <w:rPr>
          <w:rFonts w:ascii="Helvetica" w:hAnsi="Helvetica" w:cs="Helvetica"/>
          <w:sz w:val="22"/>
          <w:szCs w:val="22"/>
        </w:rPr>
        <w:t xml:space="preserve">profile of an institution, or comparative information on institutions in a selected subset’ </w:t>
      </w:r>
      <w:r w:rsidRPr="00235A56">
        <w:rPr>
          <w:rFonts w:ascii="Helvetica" w:hAnsi="Helvetica" w:cs="Helvetica"/>
          <w:sz w:val="22"/>
          <w:szCs w:val="22"/>
        </w:rPr>
        <w:t>(Van Vught et al</w:t>
      </w:r>
      <w:r w:rsidR="002A0636" w:rsidRPr="00235A56">
        <w:rPr>
          <w:rFonts w:ascii="Helvetica" w:hAnsi="Helvetica" w:cs="Helvetica"/>
          <w:sz w:val="22"/>
          <w:szCs w:val="22"/>
        </w:rPr>
        <w:t>,</w:t>
      </w:r>
      <w:r w:rsidRPr="00235A56">
        <w:rPr>
          <w:rFonts w:ascii="Helvetica" w:hAnsi="Helvetica" w:cs="Helvetica"/>
          <w:sz w:val="22"/>
          <w:szCs w:val="22"/>
        </w:rPr>
        <w:t xml:space="preserve"> 2010</w:t>
      </w:r>
      <w:r w:rsidR="002A0636" w:rsidRPr="00235A56">
        <w:rPr>
          <w:rFonts w:ascii="Helvetica" w:hAnsi="Helvetica" w:cs="Helvetica"/>
          <w:sz w:val="22"/>
          <w:szCs w:val="22"/>
        </w:rPr>
        <w:t>, p.</w:t>
      </w:r>
      <w:r w:rsidR="002938EA" w:rsidRPr="00235A56">
        <w:rPr>
          <w:rFonts w:ascii="Helvetica" w:hAnsi="Helvetica" w:cs="Helvetica"/>
          <w:sz w:val="22"/>
          <w:szCs w:val="22"/>
        </w:rPr>
        <w:t>7</w:t>
      </w:r>
      <w:r w:rsidRPr="00235A56">
        <w:rPr>
          <w:rFonts w:ascii="Helvetica" w:hAnsi="Helvetica" w:cs="Helvetica"/>
          <w:sz w:val="22"/>
          <w:szCs w:val="22"/>
        </w:rPr>
        <w:t xml:space="preserve">). </w:t>
      </w:r>
    </w:p>
    <w:p w:rsidR="00900F7E" w:rsidRPr="00235A56" w:rsidRDefault="00900F7E" w:rsidP="00E367D3">
      <w:pPr>
        <w:pStyle w:val="Heading3"/>
        <w:numPr>
          <w:ilvl w:val="2"/>
          <w:numId w:val="21"/>
        </w:numPr>
        <w:rPr>
          <w:rFonts w:ascii="Helvetica" w:hAnsi="Helvetica" w:cs="Helvetica"/>
          <w:sz w:val="22"/>
          <w:szCs w:val="22"/>
        </w:rPr>
      </w:pPr>
      <w:r w:rsidRPr="00235A56">
        <w:rPr>
          <w:rFonts w:ascii="Helvetica" w:hAnsi="Helvetica" w:cs="Helvetica"/>
          <w:sz w:val="22"/>
          <w:szCs w:val="22"/>
        </w:rPr>
        <w:t>U-Multirank</w:t>
      </w:r>
    </w:p>
    <w:p w:rsidR="00900F7E" w:rsidRPr="00235A56" w:rsidRDefault="00900F7E" w:rsidP="00E367D3">
      <w:pPr>
        <w:rPr>
          <w:rFonts w:ascii="Helvetica" w:hAnsi="Helvetica" w:cs="Helvetica"/>
          <w:sz w:val="22"/>
          <w:szCs w:val="22"/>
        </w:rPr>
      </w:pPr>
      <w:r w:rsidRPr="00235A56">
        <w:rPr>
          <w:rFonts w:ascii="Helvetica" w:hAnsi="Helvetica" w:cs="Helvetica"/>
          <w:sz w:val="22"/>
          <w:szCs w:val="22"/>
        </w:rPr>
        <w:t>U-Multirank is ‘is a multidimensional, user-driven approach to international ranking of higher education institutions’</w:t>
      </w:r>
      <w:r w:rsidR="00AC5CF4" w:rsidRPr="00235A56">
        <w:rPr>
          <w:rFonts w:ascii="Helvetica" w:hAnsi="Helvetica" w:cs="Helvetica"/>
          <w:sz w:val="22"/>
          <w:szCs w:val="22"/>
        </w:rPr>
        <w:t xml:space="preserve"> </w:t>
      </w:r>
      <w:r w:rsidRPr="00235A56">
        <w:rPr>
          <w:rFonts w:ascii="Helvetica" w:hAnsi="Helvetica" w:cs="Helvetica"/>
          <w:sz w:val="22"/>
          <w:szCs w:val="22"/>
        </w:rPr>
        <w:t>(U-Multirank</w:t>
      </w:r>
      <w:r w:rsidR="004F4B85" w:rsidRPr="00235A56">
        <w:rPr>
          <w:rFonts w:ascii="Helvetica" w:hAnsi="Helvetica" w:cs="Helvetica"/>
          <w:sz w:val="22"/>
          <w:szCs w:val="22"/>
        </w:rPr>
        <w:t>,</w:t>
      </w:r>
      <w:r w:rsidR="0019140E" w:rsidRPr="00235A56">
        <w:rPr>
          <w:rFonts w:ascii="Helvetica" w:hAnsi="Helvetica" w:cs="Helvetica"/>
          <w:sz w:val="22"/>
          <w:szCs w:val="22"/>
        </w:rPr>
        <w:t xml:space="preserve"> </w:t>
      </w:r>
      <w:r w:rsidRPr="00235A56">
        <w:rPr>
          <w:rFonts w:ascii="Helvetica" w:hAnsi="Helvetica" w:cs="Helvetica"/>
          <w:sz w:val="22"/>
          <w:szCs w:val="22"/>
        </w:rPr>
        <w:t>2018</w:t>
      </w:r>
      <w:r w:rsidR="00270FC5" w:rsidRPr="00235A56">
        <w:rPr>
          <w:rFonts w:ascii="Helvetica" w:hAnsi="Helvetica" w:cs="Helvetica"/>
          <w:sz w:val="22"/>
          <w:szCs w:val="22"/>
        </w:rPr>
        <w:t>a</w:t>
      </w:r>
      <w:r w:rsidRPr="00235A56">
        <w:rPr>
          <w:rFonts w:ascii="Helvetica" w:hAnsi="Helvetica" w:cs="Helvetica"/>
          <w:sz w:val="22"/>
          <w:szCs w:val="22"/>
        </w:rPr>
        <w:t xml:space="preserve">). In doing this, it adds the performance aspect to U-Map, gauging how higher education institutions are </w:t>
      </w:r>
      <w:r w:rsidR="00DC744F" w:rsidRPr="00235A56">
        <w:rPr>
          <w:rFonts w:ascii="Helvetica" w:hAnsi="Helvetica" w:cs="Helvetica"/>
          <w:sz w:val="22"/>
          <w:szCs w:val="22"/>
        </w:rPr>
        <w:t>‘</w:t>
      </w:r>
      <w:r w:rsidRPr="00235A56">
        <w:rPr>
          <w:rFonts w:ascii="Helvetica" w:hAnsi="Helvetica" w:cs="Helvetica"/>
          <w:sz w:val="22"/>
          <w:szCs w:val="22"/>
        </w:rPr>
        <w:t>performing in the context of their institutional profiles</w:t>
      </w:r>
      <w:r w:rsidR="00DC744F" w:rsidRPr="00235A56">
        <w:rPr>
          <w:rFonts w:ascii="Helvetica" w:hAnsi="Helvetica" w:cs="Helvetica"/>
          <w:sz w:val="22"/>
          <w:szCs w:val="22"/>
        </w:rPr>
        <w:t>’</w:t>
      </w:r>
      <w:r w:rsidRPr="00235A56">
        <w:rPr>
          <w:rFonts w:ascii="Helvetica" w:hAnsi="Helvetica" w:cs="Helvetica"/>
          <w:sz w:val="22"/>
          <w:szCs w:val="22"/>
        </w:rPr>
        <w:t xml:space="preserve"> (Jongbloed &amp; Kaiser</w:t>
      </w:r>
      <w:r w:rsidR="002A0636" w:rsidRPr="00235A56">
        <w:rPr>
          <w:rFonts w:ascii="Helvetica" w:hAnsi="Helvetica" w:cs="Helvetica"/>
          <w:sz w:val="22"/>
          <w:szCs w:val="22"/>
        </w:rPr>
        <w:t>,</w:t>
      </w:r>
      <w:r w:rsidRPr="00235A56">
        <w:rPr>
          <w:rFonts w:ascii="Helvetica" w:hAnsi="Helvetica" w:cs="Helvetica"/>
          <w:sz w:val="22"/>
          <w:szCs w:val="22"/>
        </w:rPr>
        <w:t xml:space="preserve"> 2011</w:t>
      </w:r>
      <w:r w:rsidR="002A0636" w:rsidRPr="00235A56">
        <w:rPr>
          <w:rFonts w:ascii="Helvetica" w:hAnsi="Helvetica" w:cs="Helvetica"/>
          <w:sz w:val="22"/>
          <w:szCs w:val="22"/>
        </w:rPr>
        <w:t>,</w:t>
      </w:r>
      <w:r w:rsidR="004F4B85" w:rsidRPr="00235A56">
        <w:rPr>
          <w:rFonts w:ascii="Helvetica" w:hAnsi="Helvetica" w:cs="Helvetica"/>
          <w:sz w:val="22"/>
          <w:szCs w:val="22"/>
        </w:rPr>
        <w:t xml:space="preserve"> </w:t>
      </w:r>
      <w:r w:rsidR="002A0636" w:rsidRPr="00235A56">
        <w:rPr>
          <w:rFonts w:ascii="Helvetica" w:hAnsi="Helvetica" w:cs="Helvetica"/>
          <w:sz w:val="22"/>
          <w:szCs w:val="22"/>
        </w:rPr>
        <w:t>p.</w:t>
      </w:r>
      <w:r w:rsidR="00DC744F" w:rsidRPr="00235A56">
        <w:rPr>
          <w:rFonts w:ascii="Helvetica" w:hAnsi="Helvetica" w:cs="Helvetica"/>
          <w:sz w:val="22"/>
          <w:szCs w:val="22"/>
        </w:rPr>
        <w:t>1</w:t>
      </w:r>
      <w:r w:rsidRPr="00235A56">
        <w:rPr>
          <w:rFonts w:ascii="Helvetica" w:hAnsi="Helvetica" w:cs="Helvetica"/>
          <w:sz w:val="22"/>
          <w:szCs w:val="22"/>
        </w:rPr>
        <w:t>).</w:t>
      </w:r>
      <w:r w:rsidR="00DF7848" w:rsidRPr="00235A56">
        <w:rPr>
          <w:rFonts w:ascii="Helvetica" w:hAnsi="Helvetica" w:cs="Helvetica"/>
          <w:sz w:val="22"/>
          <w:szCs w:val="22"/>
        </w:rPr>
        <w:t xml:space="preserve"> </w:t>
      </w:r>
      <w:r w:rsidRPr="00235A56">
        <w:rPr>
          <w:rFonts w:ascii="Helvetica" w:hAnsi="Helvetica" w:cs="Helvetica"/>
          <w:sz w:val="22"/>
          <w:szCs w:val="22"/>
        </w:rPr>
        <w:t>The five dimensions of U-Multirank are research, teaching and learning, international orientation, regional engagement and knowledge transfer. The first U-Multirank was published in 2014 and is updated every year. The fifth and latest edition was published in 2018, ranking 1614 higher education institutions from 95 countries</w:t>
      </w:r>
      <w:r w:rsidR="00AC5CF4" w:rsidRPr="00235A56">
        <w:rPr>
          <w:rFonts w:ascii="Helvetica" w:hAnsi="Helvetica" w:cs="Helvetica"/>
          <w:sz w:val="22"/>
          <w:szCs w:val="22"/>
        </w:rPr>
        <w:t xml:space="preserve"> </w:t>
      </w:r>
      <w:r w:rsidRPr="00235A56">
        <w:rPr>
          <w:rFonts w:ascii="Helvetica" w:hAnsi="Helvetica" w:cs="Helvetica"/>
          <w:sz w:val="22"/>
          <w:szCs w:val="22"/>
        </w:rPr>
        <w:t>(U-Multirank</w:t>
      </w:r>
      <w:r w:rsidR="002A0636" w:rsidRPr="00235A56">
        <w:rPr>
          <w:rFonts w:ascii="Helvetica" w:hAnsi="Helvetica" w:cs="Helvetica"/>
          <w:sz w:val="22"/>
          <w:szCs w:val="22"/>
        </w:rPr>
        <w:t>,</w:t>
      </w:r>
      <w:r w:rsidR="0019140E" w:rsidRPr="00235A56">
        <w:rPr>
          <w:rFonts w:ascii="Helvetica" w:hAnsi="Helvetica" w:cs="Helvetica"/>
          <w:sz w:val="22"/>
          <w:szCs w:val="22"/>
        </w:rPr>
        <w:t xml:space="preserve"> </w:t>
      </w:r>
      <w:r w:rsidRPr="00235A56">
        <w:rPr>
          <w:rFonts w:ascii="Helvetica" w:hAnsi="Helvetica" w:cs="Helvetica"/>
          <w:sz w:val="22"/>
          <w:szCs w:val="22"/>
        </w:rPr>
        <w:t>2018</w:t>
      </w:r>
      <w:r w:rsidR="00270FC5" w:rsidRPr="00235A56">
        <w:rPr>
          <w:rFonts w:ascii="Helvetica" w:hAnsi="Helvetica" w:cs="Helvetica"/>
          <w:sz w:val="22"/>
          <w:szCs w:val="22"/>
        </w:rPr>
        <w:t>b</w:t>
      </w:r>
      <w:r w:rsidRPr="00235A56">
        <w:rPr>
          <w:rFonts w:ascii="Helvetica" w:hAnsi="Helvetica" w:cs="Helvetica"/>
          <w:sz w:val="22"/>
          <w:szCs w:val="22"/>
        </w:rPr>
        <w:t>).</w:t>
      </w:r>
    </w:p>
    <w:sectPr w:rsidR="00900F7E" w:rsidRPr="00235A56" w:rsidSect="00D87A36">
      <w:headerReference w:type="even" r:id="rId14"/>
      <w:headerReference w:type="default" r:id="rId15"/>
      <w:footerReference w:type="even" r:id="rId16"/>
      <w:footerReference w:type="default" r:id="rId17"/>
      <w:headerReference w:type="first" r:id="rId18"/>
      <w:footerReference w:type="first" r:id="rId19"/>
      <w:pgSz w:w="11900" w:h="16840"/>
      <w:pgMar w:top="1440" w:right="1440" w:bottom="1440" w:left="1440" w:header="708" w:footer="708" w:gutter="0"/>
      <w:pgNumType w:chapSep="emDash"/>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F41" w:rsidRDefault="007F7F41" w:rsidP="00E367D3">
      <w:r>
        <w:separator/>
      </w:r>
    </w:p>
    <w:p w:rsidR="007F7F41" w:rsidRDefault="007F7F41"/>
  </w:endnote>
  <w:endnote w:type="continuationSeparator" w:id="0">
    <w:p w:rsidR="007F7F41" w:rsidRDefault="007F7F41" w:rsidP="00E367D3">
      <w:r>
        <w:continuationSeparator/>
      </w:r>
    </w:p>
    <w:p w:rsidR="007F7F41" w:rsidRDefault="007F7F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CC"/>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55523063"/>
      <w:docPartObj>
        <w:docPartGallery w:val="Page Numbers (Bottom of Page)"/>
        <w:docPartUnique/>
      </w:docPartObj>
    </w:sdtPr>
    <w:sdtContent>
      <w:p w:rsidR="007F7F41" w:rsidRDefault="007F7F41" w:rsidP="009A13F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F7F41" w:rsidRDefault="007F7F41" w:rsidP="00E367D3">
    <w:pPr>
      <w:pStyle w:val="Footer"/>
      <w:rPr>
        <w:rStyle w:val="PageNumber"/>
      </w:rPr>
    </w:pPr>
  </w:p>
  <w:p w:rsidR="007F7F41" w:rsidRDefault="007F7F41" w:rsidP="00E367D3">
    <w:pPr>
      <w:pStyle w:val="Footer"/>
    </w:pPr>
  </w:p>
  <w:p w:rsidR="007F7F41" w:rsidRDefault="007F7F4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42502466"/>
      <w:docPartObj>
        <w:docPartGallery w:val="Page Numbers (Bottom of Page)"/>
        <w:docPartUnique/>
      </w:docPartObj>
    </w:sdtPr>
    <w:sdtContent>
      <w:p w:rsidR="007F7F41" w:rsidRDefault="007F7F41" w:rsidP="009A13F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D3B5A">
          <w:rPr>
            <w:rStyle w:val="PageNumber"/>
            <w:noProof/>
          </w:rPr>
          <w:t>12</w:t>
        </w:r>
        <w:r>
          <w:rPr>
            <w:rStyle w:val="PageNumber"/>
          </w:rPr>
          <w:fldChar w:fldCharType="end"/>
        </w:r>
      </w:p>
    </w:sdtContent>
  </w:sdt>
  <w:p w:rsidR="007F7F41" w:rsidRDefault="007F7F41" w:rsidP="00D8531F">
    <w:pPr>
      <w:pStyle w:val="Footer"/>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F41" w:rsidRDefault="007F7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F41" w:rsidRDefault="007F7F41" w:rsidP="00E367D3">
      <w:r>
        <w:separator/>
      </w:r>
    </w:p>
    <w:p w:rsidR="007F7F41" w:rsidRDefault="007F7F41"/>
  </w:footnote>
  <w:footnote w:type="continuationSeparator" w:id="0">
    <w:p w:rsidR="007F7F41" w:rsidRDefault="007F7F41" w:rsidP="00E367D3">
      <w:r>
        <w:continuationSeparator/>
      </w:r>
    </w:p>
    <w:p w:rsidR="007F7F41" w:rsidRDefault="007F7F41"/>
  </w:footnote>
  <w:footnote w:id="1">
    <w:p w:rsidR="007F7F41" w:rsidRDefault="007F7F41" w:rsidP="00E367D3">
      <w:pPr>
        <w:pStyle w:val="FootnoteText"/>
      </w:pPr>
      <w:r>
        <w:rPr>
          <w:rStyle w:val="FootnoteReference"/>
        </w:rPr>
        <w:footnoteRef/>
      </w:r>
      <w:r>
        <w:t xml:space="preserve"> For example, both University of Oxford and University of Cambridge have been issued specific ongoing conditions, requiring improvements to their widening participation efforts. (THE,2018b)</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F41" w:rsidRDefault="007F7F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F41" w:rsidRDefault="007F7F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F41" w:rsidRDefault="007F7F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4E96"/>
    <w:multiLevelType w:val="hybridMultilevel"/>
    <w:tmpl w:val="1DEC4D9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642360D"/>
    <w:multiLevelType w:val="hybridMultilevel"/>
    <w:tmpl w:val="8932A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C136C9"/>
    <w:multiLevelType w:val="hybridMultilevel"/>
    <w:tmpl w:val="12EAD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891536"/>
    <w:multiLevelType w:val="hybridMultilevel"/>
    <w:tmpl w:val="58AAD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D61B71"/>
    <w:multiLevelType w:val="multilevel"/>
    <w:tmpl w:val="F99209E8"/>
    <w:lvl w:ilvl="0">
      <w:start w:val="10"/>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A35A4E"/>
    <w:multiLevelType w:val="multilevel"/>
    <w:tmpl w:val="68D05754"/>
    <w:lvl w:ilvl="0">
      <w:start w:val="2"/>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A55229A"/>
    <w:multiLevelType w:val="multilevel"/>
    <w:tmpl w:val="BDA4BA48"/>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A21125"/>
    <w:multiLevelType w:val="hybridMultilevel"/>
    <w:tmpl w:val="60063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256A1"/>
    <w:multiLevelType w:val="multilevel"/>
    <w:tmpl w:val="73B686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0" w15:restartNumberingAfterBreak="0">
    <w:nsid w:val="1C9A7C95"/>
    <w:multiLevelType w:val="multilevel"/>
    <w:tmpl w:val="73B686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7522CD"/>
    <w:multiLevelType w:val="hybridMultilevel"/>
    <w:tmpl w:val="7548DA9E"/>
    <w:lvl w:ilvl="0" w:tplc="8F1EF04E">
      <w:start w:val="1"/>
      <w:numFmt w:val="bullet"/>
      <w:lvlText w:val="•"/>
      <w:lvlJc w:val="left"/>
      <w:pPr>
        <w:tabs>
          <w:tab w:val="num" w:pos="720"/>
        </w:tabs>
        <w:ind w:left="720" w:hanging="360"/>
      </w:pPr>
      <w:rPr>
        <w:rFonts w:ascii="Arial" w:hAnsi="Arial" w:hint="default"/>
      </w:rPr>
    </w:lvl>
    <w:lvl w:ilvl="1" w:tplc="666E1E2C" w:tentative="1">
      <w:start w:val="1"/>
      <w:numFmt w:val="bullet"/>
      <w:lvlText w:val="•"/>
      <w:lvlJc w:val="left"/>
      <w:pPr>
        <w:tabs>
          <w:tab w:val="num" w:pos="1440"/>
        </w:tabs>
        <w:ind w:left="1440" w:hanging="360"/>
      </w:pPr>
      <w:rPr>
        <w:rFonts w:ascii="Arial" w:hAnsi="Arial" w:hint="default"/>
      </w:rPr>
    </w:lvl>
    <w:lvl w:ilvl="2" w:tplc="C0004338" w:tentative="1">
      <w:start w:val="1"/>
      <w:numFmt w:val="bullet"/>
      <w:lvlText w:val="•"/>
      <w:lvlJc w:val="left"/>
      <w:pPr>
        <w:tabs>
          <w:tab w:val="num" w:pos="2160"/>
        </w:tabs>
        <w:ind w:left="2160" w:hanging="360"/>
      </w:pPr>
      <w:rPr>
        <w:rFonts w:ascii="Arial" w:hAnsi="Arial" w:hint="default"/>
      </w:rPr>
    </w:lvl>
    <w:lvl w:ilvl="3" w:tplc="0D14103C" w:tentative="1">
      <w:start w:val="1"/>
      <w:numFmt w:val="bullet"/>
      <w:lvlText w:val="•"/>
      <w:lvlJc w:val="left"/>
      <w:pPr>
        <w:tabs>
          <w:tab w:val="num" w:pos="2880"/>
        </w:tabs>
        <w:ind w:left="2880" w:hanging="360"/>
      </w:pPr>
      <w:rPr>
        <w:rFonts w:ascii="Arial" w:hAnsi="Arial" w:hint="default"/>
      </w:rPr>
    </w:lvl>
    <w:lvl w:ilvl="4" w:tplc="2118E040" w:tentative="1">
      <w:start w:val="1"/>
      <w:numFmt w:val="bullet"/>
      <w:lvlText w:val="•"/>
      <w:lvlJc w:val="left"/>
      <w:pPr>
        <w:tabs>
          <w:tab w:val="num" w:pos="3600"/>
        </w:tabs>
        <w:ind w:left="3600" w:hanging="360"/>
      </w:pPr>
      <w:rPr>
        <w:rFonts w:ascii="Arial" w:hAnsi="Arial" w:hint="default"/>
      </w:rPr>
    </w:lvl>
    <w:lvl w:ilvl="5" w:tplc="8BFE25BC" w:tentative="1">
      <w:start w:val="1"/>
      <w:numFmt w:val="bullet"/>
      <w:lvlText w:val="•"/>
      <w:lvlJc w:val="left"/>
      <w:pPr>
        <w:tabs>
          <w:tab w:val="num" w:pos="4320"/>
        </w:tabs>
        <w:ind w:left="4320" w:hanging="360"/>
      </w:pPr>
      <w:rPr>
        <w:rFonts w:ascii="Arial" w:hAnsi="Arial" w:hint="default"/>
      </w:rPr>
    </w:lvl>
    <w:lvl w:ilvl="6" w:tplc="026C2938" w:tentative="1">
      <w:start w:val="1"/>
      <w:numFmt w:val="bullet"/>
      <w:lvlText w:val="•"/>
      <w:lvlJc w:val="left"/>
      <w:pPr>
        <w:tabs>
          <w:tab w:val="num" w:pos="5040"/>
        </w:tabs>
        <w:ind w:left="5040" w:hanging="360"/>
      </w:pPr>
      <w:rPr>
        <w:rFonts w:ascii="Arial" w:hAnsi="Arial" w:hint="default"/>
      </w:rPr>
    </w:lvl>
    <w:lvl w:ilvl="7" w:tplc="92987E12" w:tentative="1">
      <w:start w:val="1"/>
      <w:numFmt w:val="bullet"/>
      <w:lvlText w:val="•"/>
      <w:lvlJc w:val="left"/>
      <w:pPr>
        <w:tabs>
          <w:tab w:val="num" w:pos="5760"/>
        </w:tabs>
        <w:ind w:left="5760" w:hanging="360"/>
      </w:pPr>
      <w:rPr>
        <w:rFonts w:ascii="Arial" w:hAnsi="Arial" w:hint="default"/>
      </w:rPr>
    </w:lvl>
    <w:lvl w:ilvl="8" w:tplc="F746EE1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7D24E7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FE3FE9"/>
    <w:multiLevelType w:val="multilevel"/>
    <w:tmpl w:val="F99209E8"/>
    <w:lvl w:ilvl="0">
      <w:start w:val="10"/>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D76EBF"/>
    <w:multiLevelType w:val="multilevel"/>
    <w:tmpl w:val="F99209E8"/>
    <w:lvl w:ilvl="0">
      <w:start w:val="10"/>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967AFA"/>
    <w:multiLevelType w:val="hybridMultilevel"/>
    <w:tmpl w:val="02885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4A7836"/>
    <w:multiLevelType w:val="hybridMultilevel"/>
    <w:tmpl w:val="E3E46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E34E53"/>
    <w:multiLevelType w:val="hybridMultilevel"/>
    <w:tmpl w:val="4FF4B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D05669"/>
    <w:multiLevelType w:val="multilevel"/>
    <w:tmpl w:val="62281B4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0C41D6"/>
    <w:multiLevelType w:val="hybridMultilevel"/>
    <w:tmpl w:val="6DBC515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6BC0D4D"/>
    <w:multiLevelType w:val="multilevel"/>
    <w:tmpl w:val="017C671C"/>
    <w:lvl w:ilvl="0">
      <w:start w:val="3"/>
      <w:numFmt w:val="decimal"/>
      <w:lvlText w:val="%1"/>
      <w:lvlJc w:val="left"/>
      <w:pPr>
        <w:ind w:left="360" w:hanging="360"/>
      </w:pPr>
      <w:rPr>
        <w:rFonts w:hint="default"/>
      </w:rPr>
    </w:lvl>
    <w:lvl w:ilvl="1">
      <w:start w:val="1"/>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21" w15:restartNumberingAfterBreak="0">
    <w:nsid w:val="3B7416B5"/>
    <w:multiLevelType w:val="hybridMultilevel"/>
    <w:tmpl w:val="2CE24B06"/>
    <w:lvl w:ilvl="0" w:tplc="09A201B0">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CE3055B"/>
    <w:multiLevelType w:val="multilevel"/>
    <w:tmpl w:val="7EA64072"/>
    <w:lvl w:ilvl="0">
      <w:start w:val="1"/>
      <w:numFmt w:val="decimal"/>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3D0D6661"/>
    <w:multiLevelType w:val="multilevel"/>
    <w:tmpl w:val="D8CA4D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F3B79AB"/>
    <w:multiLevelType w:val="multilevel"/>
    <w:tmpl w:val="D6F288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1760546"/>
    <w:multiLevelType w:val="multilevel"/>
    <w:tmpl w:val="F42024D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1A92A46"/>
    <w:multiLevelType w:val="multilevel"/>
    <w:tmpl w:val="F99209E8"/>
    <w:lvl w:ilvl="0">
      <w:start w:val="10"/>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823248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0550F44"/>
    <w:multiLevelType w:val="hybridMultilevel"/>
    <w:tmpl w:val="B080C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1D3F9B"/>
    <w:multiLevelType w:val="hybridMultilevel"/>
    <w:tmpl w:val="C38C7F9E"/>
    <w:lvl w:ilvl="0" w:tplc="0C09000F">
      <w:start w:val="1"/>
      <w:numFmt w:val="decimal"/>
      <w:lvlText w:val="%1."/>
      <w:lvlJc w:val="left"/>
      <w:pPr>
        <w:ind w:left="360" w:hanging="360"/>
      </w:pPr>
      <w:rPr>
        <w:rFonts w:hint="default"/>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49E086C"/>
    <w:multiLevelType w:val="multilevel"/>
    <w:tmpl w:val="8FB6D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0C658D"/>
    <w:multiLevelType w:val="hybridMultilevel"/>
    <w:tmpl w:val="5E08DC64"/>
    <w:lvl w:ilvl="0" w:tplc="DBDC21F6">
      <w:numFmt w:val="bullet"/>
      <w:lvlText w:val=""/>
      <w:lvlJc w:val="left"/>
      <w:pPr>
        <w:ind w:left="820" w:hanging="4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EC415A"/>
    <w:multiLevelType w:val="hybridMultilevel"/>
    <w:tmpl w:val="59BE2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A2214F"/>
    <w:multiLevelType w:val="multilevel"/>
    <w:tmpl w:val="36C80186"/>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7AA30123"/>
    <w:multiLevelType w:val="multilevel"/>
    <w:tmpl w:val="29A4BD8E"/>
    <w:lvl w:ilvl="0">
      <w:start w:val="1"/>
      <w:numFmt w:val="decimal"/>
      <w:pStyle w:val="Heading1"/>
      <w:lvlText w:val="%1."/>
      <w:lvlJc w:val="left"/>
      <w:pPr>
        <w:ind w:left="360" w:hanging="360"/>
      </w:pPr>
    </w:lvl>
    <w:lvl w:ilvl="1">
      <w:start w:val="1"/>
      <w:numFmt w:val="decimal"/>
      <w:lvlText w:val="%2."/>
      <w:lvlJc w:val="left"/>
      <w:pPr>
        <w:ind w:left="72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31"/>
  </w:num>
  <w:num w:numId="3">
    <w:abstractNumId w:val="0"/>
  </w:num>
  <w:num w:numId="4">
    <w:abstractNumId w:val="7"/>
  </w:num>
  <w:num w:numId="5">
    <w:abstractNumId w:val="11"/>
  </w:num>
  <w:num w:numId="6">
    <w:abstractNumId w:val="32"/>
  </w:num>
  <w:num w:numId="7">
    <w:abstractNumId w:val="28"/>
  </w:num>
  <w:num w:numId="8">
    <w:abstractNumId w:val="2"/>
  </w:num>
  <w:num w:numId="9">
    <w:abstractNumId w:val="19"/>
  </w:num>
  <w:num w:numId="10">
    <w:abstractNumId w:val="17"/>
  </w:num>
  <w:num w:numId="11">
    <w:abstractNumId w:val="30"/>
  </w:num>
  <w:num w:numId="12">
    <w:abstractNumId w:val="29"/>
  </w:num>
  <w:num w:numId="13">
    <w:abstractNumId w:val="1"/>
  </w:num>
  <w:num w:numId="14">
    <w:abstractNumId w:val="15"/>
  </w:num>
  <w:num w:numId="15">
    <w:abstractNumId w:val="3"/>
  </w:num>
  <w:num w:numId="16">
    <w:abstractNumId w:val="16"/>
  </w:num>
  <w:num w:numId="17">
    <w:abstractNumId w:val="12"/>
  </w:num>
  <w:num w:numId="18">
    <w:abstractNumId w:val="21"/>
  </w:num>
  <w:num w:numId="19">
    <w:abstractNumId w:val="26"/>
  </w:num>
  <w:num w:numId="20">
    <w:abstractNumId w:val="14"/>
  </w:num>
  <w:num w:numId="21">
    <w:abstractNumId w:val="4"/>
  </w:num>
  <w:num w:numId="22">
    <w:abstractNumId w:val="13"/>
  </w:num>
  <w:num w:numId="23">
    <w:abstractNumId w:val="27"/>
  </w:num>
  <w:num w:numId="24">
    <w:abstractNumId w:val="18"/>
  </w:num>
  <w:num w:numId="25">
    <w:abstractNumId w:val="8"/>
  </w:num>
  <w:num w:numId="26">
    <w:abstractNumId w:val="10"/>
  </w:num>
  <w:num w:numId="27">
    <w:abstractNumId w:val="24"/>
  </w:num>
  <w:num w:numId="28">
    <w:abstractNumId w:val="24"/>
    <w:lvlOverride w:ilvl="0">
      <w:startOverride w:val="3"/>
    </w:lvlOverride>
    <w:lvlOverride w:ilvl="1">
      <w:startOverride w:val="1"/>
    </w:lvlOverride>
  </w:num>
  <w:num w:numId="29">
    <w:abstractNumId w:val="24"/>
    <w:lvlOverride w:ilvl="0">
      <w:startOverride w:val="3"/>
    </w:lvlOverride>
    <w:lvlOverride w:ilvl="1">
      <w:startOverride w:val="1"/>
    </w:lvlOverride>
  </w:num>
  <w:num w:numId="30">
    <w:abstractNumId w:val="6"/>
  </w:num>
  <w:num w:numId="31">
    <w:abstractNumId w:val="34"/>
  </w:num>
  <w:num w:numId="32">
    <w:abstractNumId w:val="25"/>
  </w:num>
  <w:num w:numId="33">
    <w:abstractNumId w:val="33"/>
  </w:num>
  <w:num w:numId="34">
    <w:abstractNumId w:val="5"/>
  </w:num>
  <w:num w:numId="35">
    <w:abstractNumId w:val="5"/>
    <w:lvlOverride w:ilvl="0">
      <w:startOverride w:val="3"/>
    </w:lvlOverride>
    <w:lvlOverride w:ilvl="1">
      <w:startOverride w:val="1"/>
    </w:lvlOverride>
  </w:num>
  <w:num w:numId="36">
    <w:abstractNumId w:val="5"/>
    <w:lvlOverride w:ilvl="0">
      <w:startOverride w:val="3"/>
    </w:lvlOverride>
    <w:lvlOverride w:ilvl="1">
      <w:startOverride w:val="1"/>
    </w:lvlOverride>
  </w:num>
  <w:num w:numId="37">
    <w:abstractNumId w:val="20"/>
  </w:num>
  <w:num w:numId="38">
    <w:abstractNumId w:val="5"/>
    <w:lvlOverride w:ilvl="0">
      <w:startOverride w:val="3"/>
    </w:lvlOverride>
    <w:lvlOverride w:ilvl="1">
      <w:startOverride w:val="1"/>
    </w:lvlOverride>
  </w:num>
  <w:num w:numId="3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5"/>
    <w:lvlOverride w:ilvl="0">
      <w:startOverride w:val="3"/>
    </w:lvlOverride>
    <w:lvlOverride w:ilvl="1">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5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5F2"/>
    <w:rsid w:val="00007838"/>
    <w:rsid w:val="00010D26"/>
    <w:rsid w:val="000116D5"/>
    <w:rsid w:val="000143E6"/>
    <w:rsid w:val="00030968"/>
    <w:rsid w:val="00040326"/>
    <w:rsid w:val="000434B2"/>
    <w:rsid w:val="00064D44"/>
    <w:rsid w:val="00065193"/>
    <w:rsid w:val="00076E1B"/>
    <w:rsid w:val="00084A4D"/>
    <w:rsid w:val="0008789E"/>
    <w:rsid w:val="000930B7"/>
    <w:rsid w:val="000A4241"/>
    <w:rsid w:val="000A5D4A"/>
    <w:rsid w:val="000C588B"/>
    <w:rsid w:val="000C5FCF"/>
    <w:rsid w:val="000D0F42"/>
    <w:rsid w:val="000E17B7"/>
    <w:rsid w:val="000E2AC4"/>
    <w:rsid w:val="000F42B1"/>
    <w:rsid w:val="000F4D19"/>
    <w:rsid w:val="00101A42"/>
    <w:rsid w:val="00114D05"/>
    <w:rsid w:val="00131D15"/>
    <w:rsid w:val="001414C1"/>
    <w:rsid w:val="001431C5"/>
    <w:rsid w:val="0014612E"/>
    <w:rsid w:val="00147BD4"/>
    <w:rsid w:val="001573B6"/>
    <w:rsid w:val="00160487"/>
    <w:rsid w:val="0016639B"/>
    <w:rsid w:val="00182329"/>
    <w:rsid w:val="00191224"/>
    <w:rsid w:val="0019140E"/>
    <w:rsid w:val="001A2C4B"/>
    <w:rsid w:val="001A5CEF"/>
    <w:rsid w:val="001B2522"/>
    <w:rsid w:val="001B48E7"/>
    <w:rsid w:val="001C52BC"/>
    <w:rsid w:val="001C542B"/>
    <w:rsid w:val="001E3EA4"/>
    <w:rsid w:val="001E5D18"/>
    <w:rsid w:val="001E5F5F"/>
    <w:rsid w:val="001F5435"/>
    <w:rsid w:val="00201F4C"/>
    <w:rsid w:val="00213148"/>
    <w:rsid w:val="002131C7"/>
    <w:rsid w:val="00216AEE"/>
    <w:rsid w:val="00221F88"/>
    <w:rsid w:val="00234E40"/>
    <w:rsid w:val="00235197"/>
    <w:rsid w:val="00235A56"/>
    <w:rsid w:val="00237B88"/>
    <w:rsid w:val="002420ED"/>
    <w:rsid w:val="0024344A"/>
    <w:rsid w:val="00245430"/>
    <w:rsid w:val="00247EC8"/>
    <w:rsid w:val="00256368"/>
    <w:rsid w:val="00262544"/>
    <w:rsid w:val="00262A4E"/>
    <w:rsid w:val="00270968"/>
    <w:rsid w:val="00270FC5"/>
    <w:rsid w:val="00283A04"/>
    <w:rsid w:val="00284F1B"/>
    <w:rsid w:val="002938EA"/>
    <w:rsid w:val="002972F3"/>
    <w:rsid w:val="002A0636"/>
    <w:rsid w:val="002A08B9"/>
    <w:rsid w:val="002A1BFA"/>
    <w:rsid w:val="002A1EAB"/>
    <w:rsid w:val="002B2FB6"/>
    <w:rsid w:val="002C2C95"/>
    <w:rsid w:val="002E003B"/>
    <w:rsid w:val="003114C0"/>
    <w:rsid w:val="00317716"/>
    <w:rsid w:val="00322B22"/>
    <w:rsid w:val="003258EC"/>
    <w:rsid w:val="0033063A"/>
    <w:rsid w:val="00331161"/>
    <w:rsid w:val="00347B75"/>
    <w:rsid w:val="00353191"/>
    <w:rsid w:val="0036150A"/>
    <w:rsid w:val="003617DC"/>
    <w:rsid w:val="00363883"/>
    <w:rsid w:val="00367650"/>
    <w:rsid w:val="003747C1"/>
    <w:rsid w:val="003749D0"/>
    <w:rsid w:val="0037773A"/>
    <w:rsid w:val="003903D0"/>
    <w:rsid w:val="00390503"/>
    <w:rsid w:val="0039054C"/>
    <w:rsid w:val="00393DCC"/>
    <w:rsid w:val="003A21E7"/>
    <w:rsid w:val="003A2CEA"/>
    <w:rsid w:val="003B7040"/>
    <w:rsid w:val="003B7709"/>
    <w:rsid w:val="003C15C5"/>
    <w:rsid w:val="003C2317"/>
    <w:rsid w:val="003D06BB"/>
    <w:rsid w:val="003D1FD3"/>
    <w:rsid w:val="003D3B5A"/>
    <w:rsid w:val="003D783A"/>
    <w:rsid w:val="003E1B26"/>
    <w:rsid w:val="003E7B9D"/>
    <w:rsid w:val="003F53A6"/>
    <w:rsid w:val="0040348C"/>
    <w:rsid w:val="00413FFC"/>
    <w:rsid w:val="00436FF7"/>
    <w:rsid w:val="00447970"/>
    <w:rsid w:val="00460B89"/>
    <w:rsid w:val="00463C45"/>
    <w:rsid w:val="004643EB"/>
    <w:rsid w:val="004647EB"/>
    <w:rsid w:val="00471248"/>
    <w:rsid w:val="00471A9A"/>
    <w:rsid w:val="004755E9"/>
    <w:rsid w:val="00475DFC"/>
    <w:rsid w:val="00477B7C"/>
    <w:rsid w:val="00490D6D"/>
    <w:rsid w:val="00494338"/>
    <w:rsid w:val="004A396D"/>
    <w:rsid w:val="004B09B4"/>
    <w:rsid w:val="004B2409"/>
    <w:rsid w:val="004B41A5"/>
    <w:rsid w:val="004C20F9"/>
    <w:rsid w:val="004D2954"/>
    <w:rsid w:val="004F4B85"/>
    <w:rsid w:val="004F5C70"/>
    <w:rsid w:val="004F6840"/>
    <w:rsid w:val="0050328B"/>
    <w:rsid w:val="00512BFE"/>
    <w:rsid w:val="00522FBF"/>
    <w:rsid w:val="00526265"/>
    <w:rsid w:val="0052698E"/>
    <w:rsid w:val="00534A27"/>
    <w:rsid w:val="0056361A"/>
    <w:rsid w:val="0056476B"/>
    <w:rsid w:val="00565709"/>
    <w:rsid w:val="00576793"/>
    <w:rsid w:val="005863F5"/>
    <w:rsid w:val="0059418E"/>
    <w:rsid w:val="00595317"/>
    <w:rsid w:val="005977BD"/>
    <w:rsid w:val="005A0529"/>
    <w:rsid w:val="005B53A3"/>
    <w:rsid w:val="005C0573"/>
    <w:rsid w:val="005E3899"/>
    <w:rsid w:val="005E3B44"/>
    <w:rsid w:val="005E3C3A"/>
    <w:rsid w:val="005F0DE1"/>
    <w:rsid w:val="006022FC"/>
    <w:rsid w:val="006071F4"/>
    <w:rsid w:val="00615EF7"/>
    <w:rsid w:val="00616A16"/>
    <w:rsid w:val="00624193"/>
    <w:rsid w:val="00630B54"/>
    <w:rsid w:val="00631025"/>
    <w:rsid w:val="00636A25"/>
    <w:rsid w:val="00637EBD"/>
    <w:rsid w:val="00644CBE"/>
    <w:rsid w:val="00646C2F"/>
    <w:rsid w:val="00647C42"/>
    <w:rsid w:val="00652BDF"/>
    <w:rsid w:val="006579F4"/>
    <w:rsid w:val="006622F5"/>
    <w:rsid w:val="00664BDE"/>
    <w:rsid w:val="006663A0"/>
    <w:rsid w:val="0067368F"/>
    <w:rsid w:val="00693FF5"/>
    <w:rsid w:val="006953AA"/>
    <w:rsid w:val="00696FCD"/>
    <w:rsid w:val="006A21C9"/>
    <w:rsid w:val="006A2D86"/>
    <w:rsid w:val="006B1C6C"/>
    <w:rsid w:val="006B43A9"/>
    <w:rsid w:val="006B5882"/>
    <w:rsid w:val="006C02BE"/>
    <w:rsid w:val="006C405D"/>
    <w:rsid w:val="006D0D0B"/>
    <w:rsid w:val="006D7D47"/>
    <w:rsid w:val="006E01D7"/>
    <w:rsid w:val="007075CC"/>
    <w:rsid w:val="0071619E"/>
    <w:rsid w:val="00717215"/>
    <w:rsid w:val="00735018"/>
    <w:rsid w:val="00752925"/>
    <w:rsid w:val="00757D5D"/>
    <w:rsid w:val="00760CA6"/>
    <w:rsid w:val="00773E49"/>
    <w:rsid w:val="00777BC4"/>
    <w:rsid w:val="0078464F"/>
    <w:rsid w:val="00786BDE"/>
    <w:rsid w:val="00792E53"/>
    <w:rsid w:val="007942FB"/>
    <w:rsid w:val="007A7427"/>
    <w:rsid w:val="007B09A6"/>
    <w:rsid w:val="007B24C3"/>
    <w:rsid w:val="007C07D4"/>
    <w:rsid w:val="007C185F"/>
    <w:rsid w:val="007C4C26"/>
    <w:rsid w:val="007C5BFB"/>
    <w:rsid w:val="007C5D1D"/>
    <w:rsid w:val="007C6C28"/>
    <w:rsid w:val="007D5E90"/>
    <w:rsid w:val="007D7A30"/>
    <w:rsid w:val="007E0ECC"/>
    <w:rsid w:val="007E10E4"/>
    <w:rsid w:val="007E1BA4"/>
    <w:rsid w:val="007F1A58"/>
    <w:rsid w:val="007F26CE"/>
    <w:rsid w:val="007F2B9B"/>
    <w:rsid w:val="007F7F41"/>
    <w:rsid w:val="00803942"/>
    <w:rsid w:val="00807F9C"/>
    <w:rsid w:val="00820A06"/>
    <w:rsid w:val="00821413"/>
    <w:rsid w:val="008364A0"/>
    <w:rsid w:val="00842D81"/>
    <w:rsid w:val="008445C2"/>
    <w:rsid w:val="008453D0"/>
    <w:rsid w:val="00852092"/>
    <w:rsid w:val="00854055"/>
    <w:rsid w:val="00855A71"/>
    <w:rsid w:val="008572A8"/>
    <w:rsid w:val="00861F2F"/>
    <w:rsid w:val="00863CE3"/>
    <w:rsid w:val="00863DAB"/>
    <w:rsid w:val="008714DB"/>
    <w:rsid w:val="008721CE"/>
    <w:rsid w:val="00893898"/>
    <w:rsid w:val="00894007"/>
    <w:rsid w:val="00894C37"/>
    <w:rsid w:val="0089706B"/>
    <w:rsid w:val="008A6185"/>
    <w:rsid w:val="008B5A54"/>
    <w:rsid w:val="008C2652"/>
    <w:rsid w:val="008C5B3A"/>
    <w:rsid w:val="008D1A69"/>
    <w:rsid w:val="008E1AF8"/>
    <w:rsid w:val="008E6234"/>
    <w:rsid w:val="008E7F5A"/>
    <w:rsid w:val="008F74C8"/>
    <w:rsid w:val="009000D5"/>
    <w:rsid w:val="00900F7E"/>
    <w:rsid w:val="00902BA8"/>
    <w:rsid w:val="00902EA7"/>
    <w:rsid w:val="00905181"/>
    <w:rsid w:val="009239AD"/>
    <w:rsid w:val="009309E7"/>
    <w:rsid w:val="00931863"/>
    <w:rsid w:val="0093235B"/>
    <w:rsid w:val="00936335"/>
    <w:rsid w:val="00950A34"/>
    <w:rsid w:val="00951AA5"/>
    <w:rsid w:val="009520E9"/>
    <w:rsid w:val="00952C2C"/>
    <w:rsid w:val="00952CBA"/>
    <w:rsid w:val="00953BA2"/>
    <w:rsid w:val="00964777"/>
    <w:rsid w:val="00965A77"/>
    <w:rsid w:val="00975163"/>
    <w:rsid w:val="009817A6"/>
    <w:rsid w:val="009829B3"/>
    <w:rsid w:val="00982F94"/>
    <w:rsid w:val="00987F52"/>
    <w:rsid w:val="00994E16"/>
    <w:rsid w:val="009A0613"/>
    <w:rsid w:val="009A13F0"/>
    <w:rsid w:val="009A22BC"/>
    <w:rsid w:val="009A5A07"/>
    <w:rsid w:val="009B71B8"/>
    <w:rsid w:val="009C2562"/>
    <w:rsid w:val="009D3623"/>
    <w:rsid w:val="009D4DDF"/>
    <w:rsid w:val="009F45A2"/>
    <w:rsid w:val="00A0749A"/>
    <w:rsid w:val="00A13CAC"/>
    <w:rsid w:val="00A14018"/>
    <w:rsid w:val="00A164EF"/>
    <w:rsid w:val="00A16A78"/>
    <w:rsid w:val="00A239B2"/>
    <w:rsid w:val="00A248CA"/>
    <w:rsid w:val="00A53C23"/>
    <w:rsid w:val="00A570FF"/>
    <w:rsid w:val="00A70EFD"/>
    <w:rsid w:val="00A71838"/>
    <w:rsid w:val="00A7561B"/>
    <w:rsid w:val="00A84006"/>
    <w:rsid w:val="00A8769F"/>
    <w:rsid w:val="00A92588"/>
    <w:rsid w:val="00A95471"/>
    <w:rsid w:val="00A95BDC"/>
    <w:rsid w:val="00A96756"/>
    <w:rsid w:val="00AA0051"/>
    <w:rsid w:val="00AA223D"/>
    <w:rsid w:val="00AA5E14"/>
    <w:rsid w:val="00AA6C09"/>
    <w:rsid w:val="00AB6FEF"/>
    <w:rsid w:val="00AC1AF1"/>
    <w:rsid w:val="00AC3E46"/>
    <w:rsid w:val="00AC5CF4"/>
    <w:rsid w:val="00AD11DB"/>
    <w:rsid w:val="00AD4E58"/>
    <w:rsid w:val="00AE1B52"/>
    <w:rsid w:val="00AE7D89"/>
    <w:rsid w:val="00AF1A94"/>
    <w:rsid w:val="00AF4BCA"/>
    <w:rsid w:val="00B07244"/>
    <w:rsid w:val="00B13978"/>
    <w:rsid w:val="00B376D6"/>
    <w:rsid w:val="00B3789E"/>
    <w:rsid w:val="00B400FF"/>
    <w:rsid w:val="00B47366"/>
    <w:rsid w:val="00B64D85"/>
    <w:rsid w:val="00B65856"/>
    <w:rsid w:val="00B6773B"/>
    <w:rsid w:val="00B7266A"/>
    <w:rsid w:val="00B80F2B"/>
    <w:rsid w:val="00B835F2"/>
    <w:rsid w:val="00B85FCE"/>
    <w:rsid w:val="00B905BB"/>
    <w:rsid w:val="00B91355"/>
    <w:rsid w:val="00B921E9"/>
    <w:rsid w:val="00B928DD"/>
    <w:rsid w:val="00B95983"/>
    <w:rsid w:val="00B96744"/>
    <w:rsid w:val="00BA263B"/>
    <w:rsid w:val="00BB5614"/>
    <w:rsid w:val="00BC1C00"/>
    <w:rsid w:val="00BD3500"/>
    <w:rsid w:val="00BF4B06"/>
    <w:rsid w:val="00C024C2"/>
    <w:rsid w:val="00C05603"/>
    <w:rsid w:val="00C06629"/>
    <w:rsid w:val="00C12345"/>
    <w:rsid w:val="00C143A5"/>
    <w:rsid w:val="00C224D5"/>
    <w:rsid w:val="00C31C10"/>
    <w:rsid w:val="00C321AA"/>
    <w:rsid w:val="00C32C1E"/>
    <w:rsid w:val="00C342D3"/>
    <w:rsid w:val="00C372A6"/>
    <w:rsid w:val="00C44B9F"/>
    <w:rsid w:val="00C52050"/>
    <w:rsid w:val="00C57C51"/>
    <w:rsid w:val="00C631E5"/>
    <w:rsid w:val="00C75C9A"/>
    <w:rsid w:val="00C82A7E"/>
    <w:rsid w:val="00C854B4"/>
    <w:rsid w:val="00C967F8"/>
    <w:rsid w:val="00C97D24"/>
    <w:rsid w:val="00CA1457"/>
    <w:rsid w:val="00CA3544"/>
    <w:rsid w:val="00CB1F31"/>
    <w:rsid w:val="00CD5F13"/>
    <w:rsid w:val="00CE6218"/>
    <w:rsid w:val="00CE621F"/>
    <w:rsid w:val="00CF09DB"/>
    <w:rsid w:val="00CF6776"/>
    <w:rsid w:val="00CF6D46"/>
    <w:rsid w:val="00D054B8"/>
    <w:rsid w:val="00D06902"/>
    <w:rsid w:val="00D169AC"/>
    <w:rsid w:val="00D2035F"/>
    <w:rsid w:val="00D21CC9"/>
    <w:rsid w:val="00D2375E"/>
    <w:rsid w:val="00D32AA6"/>
    <w:rsid w:val="00D346C6"/>
    <w:rsid w:val="00D37743"/>
    <w:rsid w:val="00D404CD"/>
    <w:rsid w:val="00D45768"/>
    <w:rsid w:val="00D53D6A"/>
    <w:rsid w:val="00D54D23"/>
    <w:rsid w:val="00D5686D"/>
    <w:rsid w:val="00D56F66"/>
    <w:rsid w:val="00D66FC4"/>
    <w:rsid w:val="00D67F3B"/>
    <w:rsid w:val="00D71CFE"/>
    <w:rsid w:val="00D773BC"/>
    <w:rsid w:val="00D82AC2"/>
    <w:rsid w:val="00D8531F"/>
    <w:rsid w:val="00D85424"/>
    <w:rsid w:val="00D87A36"/>
    <w:rsid w:val="00D900EF"/>
    <w:rsid w:val="00D949C7"/>
    <w:rsid w:val="00DA150A"/>
    <w:rsid w:val="00DA2965"/>
    <w:rsid w:val="00DB06F5"/>
    <w:rsid w:val="00DC18E5"/>
    <w:rsid w:val="00DC4336"/>
    <w:rsid w:val="00DC4757"/>
    <w:rsid w:val="00DC744F"/>
    <w:rsid w:val="00DD4E86"/>
    <w:rsid w:val="00DE0139"/>
    <w:rsid w:val="00DE0390"/>
    <w:rsid w:val="00DE7D49"/>
    <w:rsid w:val="00DF7848"/>
    <w:rsid w:val="00E00093"/>
    <w:rsid w:val="00E06FB2"/>
    <w:rsid w:val="00E1182E"/>
    <w:rsid w:val="00E11B8C"/>
    <w:rsid w:val="00E159F2"/>
    <w:rsid w:val="00E21490"/>
    <w:rsid w:val="00E265DB"/>
    <w:rsid w:val="00E31D61"/>
    <w:rsid w:val="00E367D3"/>
    <w:rsid w:val="00E44B3D"/>
    <w:rsid w:val="00E53D10"/>
    <w:rsid w:val="00E562B9"/>
    <w:rsid w:val="00E60111"/>
    <w:rsid w:val="00E62AD6"/>
    <w:rsid w:val="00E631C6"/>
    <w:rsid w:val="00E71C5E"/>
    <w:rsid w:val="00E73D62"/>
    <w:rsid w:val="00E756A1"/>
    <w:rsid w:val="00E84A92"/>
    <w:rsid w:val="00E91D76"/>
    <w:rsid w:val="00E96C11"/>
    <w:rsid w:val="00EA079E"/>
    <w:rsid w:val="00EA5326"/>
    <w:rsid w:val="00EC4A6D"/>
    <w:rsid w:val="00EC7087"/>
    <w:rsid w:val="00EE26C9"/>
    <w:rsid w:val="00EE30F3"/>
    <w:rsid w:val="00EF6698"/>
    <w:rsid w:val="00EF7471"/>
    <w:rsid w:val="00EF7A18"/>
    <w:rsid w:val="00F01D29"/>
    <w:rsid w:val="00F03310"/>
    <w:rsid w:val="00F10228"/>
    <w:rsid w:val="00F1734C"/>
    <w:rsid w:val="00F224E3"/>
    <w:rsid w:val="00F246C5"/>
    <w:rsid w:val="00F264D2"/>
    <w:rsid w:val="00F26804"/>
    <w:rsid w:val="00F3154E"/>
    <w:rsid w:val="00F316DA"/>
    <w:rsid w:val="00F350DC"/>
    <w:rsid w:val="00F37796"/>
    <w:rsid w:val="00F37EA7"/>
    <w:rsid w:val="00F42BDC"/>
    <w:rsid w:val="00F43D4B"/>
    <w:rsid w:val="00F53855"/>
    <w:rsid w:val="00F56921"/>
    <w:rsid w:val="00F57F59"/>
    <w:rsid w:val="00F72CF2"/>
    <w:rsid w:val="00F73E56"/>
    <w:rsid w:val="00F81C70"/>
    <w:rsid w:val="00F91240"/>
    <w:rsid w:val="00F92578"/>
    <w:rsid w:val="00FA21DF"/>
    <w:rsid w:val="00FA714C"/>
    <w:rsid w:val="00FB78D6"/>
    <w:rsid w:val="00FD7D27"/>
    <w:rsid w:val="00FF0DDE"/>
    <w:rsid w:val="00FF1F2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0177F69"/>
  <w14:defaultImageDpi w14:val="32767"/>
  <w15:chartTrackingRefBased/>
  <w15:docId w15:val="{2ACFD26B-4F7B-43D0-BB53-1DD20C5D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D3"/>
    <w:pPr>
      <w:spacing w:after="240"/>
      <w:jc w:val="both"/>
    </w:pPr>
    <w:rPr>
      <w:lang w:val="en-AU"/>
    </w:rPr>
  </w:style>
  <w:style w:type="paragraph" w:styleId="Heading1">
    <w:name w:val="heading 1"/>
    <w:basedOn w:val="Normal"/>
    <w:next w:val="Normal"/>
    <w:link w:val="Heading1Char"/>
    <w:uiPriority w:val="9"/>
    <w:qFormat/>
    <w:rsid w:val="00F72CF2"/>
    <w:pPr>
      <w:keepNext/>
      <w:keepLines/>
      <w:numPr>
        <w:numId w:val="31"/>
      </w:numPr>
      <w:spacing w:before="240"/>
      <w:jc w:val="left"/>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A8769F"/>
    <w:pPr>
      <w:numPr>
        <w:numId w:val="0"/>
      </w:numPr>
      <w:outlineLvl w:val="1"/>
    </w:pPr>
    <w:rPr>
      <w:sz w:val="26"/>
      <w:szCs w:val="26"/>
    </w:rPr>
  </w:style>
  <w:style w:type="paragraph" w:styleId="Heading3">
    <w:name w:val="heading 3"/>
    <w:basedOn w:val="Normal"/>
    <w:next w:val="Normal"/>
    <w:link w:val="Heading3Char"/>
    <w:uiPriority w:val="9"/>
    <w:unhideWhenUsed/>
    <w:qFormat/>
    <w:rsid w:val="00B835F2"/>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B835F2"/>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835F2"/>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835F2"/>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835F2"/>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835F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835F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CF2"/>
    <w:rPr>
      <w:rFonts w:asciiTheme="majorHAnsi" w:eastAsiaTheme="majorEastAsia" w:hAnsiTheme="majorHAnsi" w:cstheme="majorBidi"/>
      <w:color w:val="2F5496" w:themeColor="accent1" w:themeShade="BF"/>
      <w:sz w:val="32"/>
      <w:szCs w:val="32"/>
      <w:lang w:val="en-AU"/>
    </w:rPr>
  </w:style>
  <w:style w:type="character" w:customStyle="1" w:styleId="Heading2Char">
    <w:name w:val="Heading 2 Char"/>
    <w:basedOn w:val="DefaultParagraphFont"/>
    <w:link w:val="Heading2"/>
    <w:uiPriority w:val="9"/>
    <w:rsid w:val="00A8769F"/>
    <w:rPr>
      <w:rFonts w:asciiTheme="majorHAnsi" w:eastAsiaTheme="majorEastAsia" w:hAnsiTheme="majorHAnsi" w:cstheme="majorBidi"/>
      <w:color w:val="2F5496" w:themeColor="accent1" w:themeShade="BF"/>
      <w:sz w:val="26"/>
      <w:szCs w:val="26"/>
      <w:lang w:val="en-AU"/>
    </w:rPr>
  </w:style>
  <w:style w:type="character" w:customStyle="1" w:styleId="Heading3Char">
    <w:name w:val="Heading 3 Char"/>
    <w:basedOn w:val="DefaultParagraphFont"/>
    <w:link w:val="Heading3"/>
    <w:uiPriority w:val="9"/>
    <w:rsid w:val="00B835F2"/>
    <w:rPr>
      <w:rFonts w:asciiTheme="majorHAnsi" w:eastAsiaTheme="majorEastAsia" w:hAnsiTheme="majorHAnsi" w:cstheme="majorBidi"/>
      <w:color w:val="1F3763" w:themeColor="accent1" w:themeShade="7F"/>
      <w:lang w:val="en-AU"/>
    </w:rPr>
  </w:style>
  <w:style w:type="character" w:customStyle="1" w:styleId="Heading4Char">
    <w:name w:val="Heading 4 Char"/>
    <w:basedOn w:val="DefaultParagraphFont"/>
    <w:link w:val="Heading4"/>
    <w:uiPriority w:val="9"/>
    <w:semiHidden/>
    <w:rsid w:val="00B835F2"/>
    <w:rPr>
      <w:rFonts w:asciiTheme="majorHAnsi" w:eastAsiaTheme="majorEastAsia" w:hAnsiTheme="majorHAnsi" w:cstheme="majorBidi"/>
      <w:i/>
      <w:iCs/>
      <w:color w:val="2F5496" w:themeColor="accent1" w:themeShade="BF"/>
      <w:lang w:val="en-AU"/>
    </w:rPr>
  </w:style>
  <w:style w:type="character" w:customStyle="1" w:styleId="Heading5Char">
    <w:name w:val="Heading 5 Char"/>
    <w:basedOn w:val="DefaultParagraphFont"/>
    <w:link w:val="Heading5"/>
    <w:uiPriority w:val="9"/>
    <w:semiHidden/>
    <w:rsid w:val="00B835F2"/>
    <w:rPr>
      <w:rFonts w:asciiTheme="majorHAnsi" w:eastAsiaTheme="majorEastAsia" w:hAnsiTheme="majorHAnsi" w:cstheme="majorBidi"/>
      <w:color w:val="2F5496" w:themeColor="accent1" w:themeShade="BF"/>
      <w:lang w:val="en-AU"/>
    </w:rPr>
  </w:style>
  <w:style w:type="character" w:customStyle="1" w:styleId="Heading6Char">
    <w:name w:val="Heading 6 Char"/>
    <w:basedOn w:val="DefaultParagraphFont"/>
    <w:link w:val="Heading6"/>
    <w:uiPriority w:val="9"/>
    <w:semiHidden/>
    <w:rsid w:val="00B835F2"/>
    <w:rPr>
      <w:rFonts w:asciiTheme="majorHAnsi" w:eastAsiaTheme="majorEastAsia" w:hAnsiTheme="majorHAnsi" w:cstheme="majorBidi"/>
      <w:color w:val="1F3763" w:themeColor="accent1" w:themeShade="7F"/>
      <w:lang w:val="en-AU"/>
    </w:rPr>
  </w:style>
  <w:style w:type="character" w:customStyle="1" w:styleId="Heading7Char">
    <w:name w:val="Heading 7 Char"/>
    <w:basedOn w:val="DefaultParagraphFont"/>
    <w:link w:val="Heading7"/>
    <w:uiPriority w:val="9"/>
    <w:semiHidden/>
    <w:rsid w:val="00B835F2"/>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
    <w:semiHidden/>
    <w:rsid w:val="00B835F2"/>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uiPriority w:val="9"/>
    <w:semiHidden/>
    <w:rsid w:val="00B835F2"/>
    <w:rPr>
      <w:rFonts w:asciiTheme="majorHAnsi" w:eastAsiaTheme="majorEastAsia" w:hAnsiTheme="majorHAnsi" w:cstheme="majorBidi"/>
      <w:i/>
      <w:iCs/>
      <w:color w:val="272727" w:themeColor="text1" w:themeTint="D8"/>
      <w:sz w:val="21"/>
      <w:szCs w:val="21"/>
      <w:lang w:val="en-AU"/>
    </w:rPr>
  </w:style>
  <w:style w:type="paragraph" w:styleId="ListParagraph">
    <w:name w:val="List Paragraph"/>
    <w:aliases w:val="List Paragraph1,Recommendation,List Paragraph11,L"/>
    <w:basedOn w:val="Normal"/>
    <w:link w:val="ListParagraphChar"/>
    <w:uiPriority w:val="34"/>
    <w:qFormat/>
    <w:rsid w:val="00B835F2"/>
    <w:pPr>
      <w:spacing w:after="200" w:line="276" w:lineRule="auto"/>
      <w:ind w:left="720"/>
      <w:contextualSpacing/>
    </w:pPr>
    <w:rPr>
      <w:rFonts w:eastAsiaTheme="minorHAnsi"/>
      <w:sz w:val="22"/>
      <w:szCs w:val="22"/>
      <w:lang w:eastAsia="en-US"/>
    </w:rPr>
  </w:style>
  <w:style w:type="character" w:customStyle="1" w:styleId="ListParagraphChar">
    <w:name w:val="List Paragraph Char"/>
    <w:aliases w:val="List Paragraph1 Char,Recommendation Char,List Paragraph11 Char,L Char"/>
    <w:basedOn w:val="DefaultParagraphFont"/>
    <w:link w:val="ListParagraph"/>
    <w:uiPriority w:val="34"/>
    <w:locked/>
    <w:rsid w:val="00B835F2"/>
    <w:rPr>
      <w:rFonts w:eastAsiaTheme="minorHAnsi"/>
      <w:sz w:val="22"/>
      <w:szCs w:val="22"/>
      <w:lang w:val="en-AU" w:eastAsia="en-US"/>
    </w:rPr>
  </w:style>
  <w:style w:type="character" w:styleId="Hyperlink">
    <w:name w:val="Hyperlink"/>
    <w:basedOn w:val="DefaultParagraphFont"/>
    <w:uiPriority w:val="99"/>
    <w:unhideWhenUsed/>
    <w:rsid w:val="00B835F2"/>
    <w:rPr>
      <w:color w:val="0563C1" w:themeColor="hyperlink"/>
      <w:u w:val="single"/>
    </w:rPr>
  </w:style>
  <w:style w:type="table" w:styleId="TableGrid">
    <w:name w:val="Table Grid"/>
    <w:basedOn w:val="TableNormal"/>
    <w:uiPriority w:val="39"/>
    <w:rsid w:val="00B835F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835F2"/>
    <w:rPr>
      <w:i/>
      <w:iCs/>
    </w:rPr>
  </w:style>
  <w:style w:type="character" w:customStyle="1" w:styleId="h1">
    <w:name w:val="h1"/>
    <w:basedOn w:val="DefaultParagraphFont"/>
    <w:rsid w:val="00B835F2"/>
  </w:style>
  <w:style w:type="paragraph" w:customStyle="1" w:styleId="Biblio">
    <w:name w:val="Biblio"/>
    <w:basedOn w:val="Normal"/>
    <w:qFormat/>
    <w:rsid w:val="00B835F2"/>
    <w:pPr>
      <w:spacing w:after="0"/>
      <w:ind w:left="720" w:hanging="720"/>
      <w:jc w:val="left"/>
    </w:pPr>
  </w:style>
  <w:style w:type="paragraph" w:styleId="Footer">
    <w:name w:val="footer"/>
    <w:basedOn w:val="Normal"/>
    <w:link w:val="FooterChar"/>
    <w:uiPriority w:val="99"/>
    <w:unhideWhenUsed/>
    <w:rsid w:val="00B835F2"/>
    <w:pPr>
      <w:tabs>
        <w:tab w:val="center" w:pos="4513"/>
        <w:tab w:val="right" w:pos="9026"/>
      </w:tabs>
    </w:pPr>
  </w:style>
  <w:style w:type="character" w:customStyle="1" w:styleId="FooterChar">
    <w:name w:val="Footer Char"/>
    <w:basedOn w:val="DefaultParagraphFont"/>
    <w:link w:val="Footer"/>
    <w:uiPriority w:val="99"/>
    <w:rsid w:val="00B835F2"/>
    <w:rPr>
      <w:lang w:val="en-AU"/>
    </w:rPr>
  </w:style>
  <w:style w:type="character" w:styleId="PageNumber">
    <w:name w:val="page number"/>
    <w:basedOn w:val="DefaultParagraphFont"/>
    <w:uiPriority w:val="99"/>
    <w:semiHidden/>
    <w:unhideWhenUsed/>
    <w:rsid w:val="00B835F2"/>
  </w:style>
  <w:style w:type="character" w:styleId="CommentReference">
    <w:name w:val="annotation reference"/>
    <w:basedOn w:val="DefaultParagraphFont"/>
    <w:uiPriority w:val="99"/>
    <w:semiHidden/>
    <w:unhideWhenUsed/>
    <w:rsid w:val="00D56F66"/>
    <w:rPr>
      <w:sz w:val="16"/>
      <w:szCs w:val="16"/>
    </w:rPr>
  </w:style>
  <w:style w:type="paragraph" w:styleId="CommentText">
    <w:name w:val="annotation text"/>
    <w:basedOn w:val="Normal"/>
    <w:link w:val="CommentTextChar"/>
    <w:uiPriority w:val="99"/>
    <w:semiHidden/>
    <w:unhideWhenUsed/>
    <w:rsid w:val="00D56F66"/>
    <w:rPr>
      <w:sz w:val="20"/>
      <w:szCs w:val="20"/>
    </w:rPr>
  </w:style>
  <w:style w:type="character" w:customStyle="1" w:styleId="CommentTextChar">
    <w:name w:val="Comment Text Char"/>
    <w:basedOn w:val="DefaultParagraphFont"/>
    <w:link w:val="CommentText"/>
    <w:uiPriority w:val="99"/>
    <w:semiHidden/>
    <w:rsid w:val="00D56F66"/>
    <w:rPr>
      <w:sz w:val="20"/>
      <w:szCs w:val="20"/>
      <w:lang w:val="en-AU"/>
    </w:rPr>
  </w:style>
  <w:style w:type="paragraph" w:styleId="CommentSubject">
    <w:name w:val="annotation subject"/>
    <w:basedOn w:val="CommentText"/>
    <w:next w:val="CommentText"/>
    <w:link w:val="CommentSubjectChar"/>
    <w:uiPriority w:val="99"/>
    <w:semiHidden/>
    <w:unhideWhenUsed/>
    <w:rsid w:val="00D56F66"/>
    <w:rPr>
      <w:b/>
      <w:bCs/>
    </w:rPr>
  </w:style>
  <w:style w:type="character" w:customStyle="1" w:styleId="CommentSubjectChar">
    <w:name w:val="Comment Subject Char"/>
    <w:basedOn w:val="CommentTextChar"/>
    <w:link w:val="CommentSubject"/>
    <w:uiPriority w:val="99"/>
    <w:semiHidden/>
    <w:rsid w:val="00D56F66"/>
    <w:rPr>
      <w:b/>
      <w:bCs/>
      <w:sz w:val="20"/>
      <w:szCs w:val="20"/>
      <w:lang w:val="en-AU"/>
    </w:rPr>
  </w:style>
  <w:style w:type="paragraph" w:styleId="BalloonText">
    <w:name w:val="Balloon Text"/>
    <w:basedOn w:val="Normal"/>
    <w:link w:val="BalloonTextChar"/>
    <w:uiPriority w:val="99"/>
    <w:semiHidden/>
    <w:unhideWhenUsed/>
    <w:rsid w:val="00D56F6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F66"/>
    <w:rPr>
      <w:rFonts w:ascii="Segoe UI" w:hAnsi="Segoe UI" w:cs="Segoe UI"/>
      <w:sz w:val="18"/>
      <w:szCs w:val="18"/>
      <w:lang w:val="en-AU"/>
    </w:rPr>
  </w:style>
  <w:style w:type="character" w:styleId="FollowedHyperlink">
    <w:name w:val="FollowedHyperlink"/>
    <w:basedOn w:val="DefaultParagraphFont"/>
    <w:uiPriority w:val="99"/>
    <w:semiHidden/>
    <w:unhideWhenUsed/>
    <w:rsid w:val="00C32C1E"/>
    <w:rPr>
      <w:color w:val="954F72" w:themeColor="followedHyperlink"/>
      <w:u w:val="single"/>
    </w:rPr>
  </w:style>
  <w:style w:type="character" w:customStyle="1" w:styleId="UnresolvedMention1">
    <w:name w:val="Unresolved Mention1"/>
    <w:basedOn w:val="DefaultParagraphFont"/>
    <w:uiPriority w:val="99"/>
    <w:rsid w:val="00B47366"/>
    <w:rPr>
      <w:color w:val="605E5C"/>
      <w:shd w:val="clear" w:color="auto" w:fill="E1DFDD"/>
    </w:rPr>
  </w:style>
  <w:style w:type="paragraph" w:styleId="FootnoteText">
    <w:name w:val="footnote text"/>
    <w:basedOn w:val="Normal"/>
    <w:link w:val="FootnoteTextChar"/>
    <w:uiPriority w:val="99"/>
    <w:unhideWhenUsed/>
    <w:rsid w:val="00861F2F"/>
    <w:pPr>
      <w:spacing w:after="0"/>
      <w:jc w:val="left"/>
    </w:pPr>
    <w:rPr>
      <w:rFonts w:eastAsiaTheme="minorHAnsi"/>
      <w:sz w:val="20"/>
      <w:szCs w:val="20"/>
      <w:lang w:eastAsia="en-US"/>
    </w:rPr>
  </w:style>
  <w:style w:type="character" w:customStyle="1" w:styleId="FootnoteTextChar">
    <w:name w:val="Footnote Text Char"/>
    <w:basedOn w:val="DefaultParagraphFont"/>
    <w:link w:val="FootnoteText"/>
    <w:uiPriority w:val="99"/>
    <w:rsid w:val="00861F2F"/>
    <w:rPr>
      <w:rFonts w:eastAsiaTheme="minorHAnsi"/>
      <w:sz w:val="20"/>
      <w:szCs w:val="20"/>
      <w:lang w:val="en-AU" w:eastAsia="en-US"/>
    </w:rPr>
  </w:style>
  <w:style w:type="character" w:styleId="FootnoteReference">
    <w:name w:val="footnote reference"/>
    <w:basedOn w:val="DefaultParagraphFont"/>
    <w:uiPriority w:val="99"/>
    <w:semiHidden/>
    <w:unhideWhenUsed/>
    <w:rsid w:val="00861F2F"/>
    <w:rPr>
      <w:vertAlign w:val="superscript"/>
    </w:rPr>
  </w:style>
  <w:style w:type="paragraph" w:styleId="NormalWeb">
    <w:name w:val="Normal (Web)"/>
    <w:aliases w:val="Char,Normal bulleted"/>
    <w:basedOn w:val="Normal"/>
    <w:link w:val="NormalWebChar"/>
    <w:uiPriority w:val="99"/>
    <w:semiHidden/>
    <w:unhideWhenUsed/>
    <w:rsid w:val="005E3B44"/>
    <w:rPr>
      <w:rFonts w:ascii="Times New Roman" w:hAnsi="Times New Roman"/>
    </w:rPr>
  </w:style>
  <w:style w:type="table" w:customStyle="1" w:styleId="TableGrid2">
    <w:name w:val="Table Grid2"/>
    <w:basedOn w:val="TableNormal"/>
    <w:next w:val="TableGrid"/>
    <w:uiPriority w:val="39"/>
    <w:rsid w:val="005E3B44"/>
    <w:rPr>
      <w:rFonts w:eastAsia="Calibr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1025"/>
    <w:pPr>
      <w:tabs>
        <w:tab w:val="center" w:pos="4513"/>
        <w:tab w:val="right" w:pos="9026"/>
      </w:tabs>
      <w:spacing w:after="0"/>
    </w:pPr>
  </w:style>
  <w:style w:type="character" w:customStyle="1" w:styleId="HeaderChar">
    <w:name w:val="Header Char"/>
    <w:basedOn w:val="DefaultParagraphFont"/>
    <w:link w:val="Header"/>
    <w:uiPriority w:val="99"/>
    <w:rsid w:val="00631025"/>
    <w:rPr>
      <w:lang w:val="en-AU"/>
    </w:rPr>
  </w:style>
  <w:style w:type="paragraph" w:styleId="Caption">
    <w:name w:val="caption"/>
    <w:basedOn w:val="Normal"/>
    <w:next w:val="Normal"/>
    <w:uiPriority w:val="35"/>
    <w:unhideWhenUsed/>
    <w:qFormat/>
    <w:rsid w:val="00624193"/>
    <w:pPr>
      <w:spacing w:after="200"/>
    </w:pPr>
    <w:rPr>
      <w:i/>
      <w:iCs/>
      <w:color w:val="44546A" w:themeColor="text2"/>
      <w:sz w:val="18"/>
      <w:szCs w:val="18"/>
    </w:rPr>
  </w:style>
  <w:style w:type="character" w:customStyle="1" w:styleId="a-size-large">
    <w:name w:val="a-size-large"/>
    <w:basedOn w:val="DefaultParagraphFont"/>
    <w:rsid w:val="00F92578"/>
  </w:style>
  <w:style w:type="paragraph" w:customStyle="1" w:styleId="FormTitle">
    <w:name w:val="Form Title"/>
    <w:basedOn w:val="Normal"/>
    <w:link w:val="FormTitleChar"/>
    <w:qFormat/>
    <w:rsid w:val="00C52050"/>
    <w:pPr>
      <w:spacing w:before="120" w:after="120"/>
      <w:jc w:val="center"/>
    </w:pPr>
    <w:rPr>
      <w:rFonts w:eastAsiaTheme="minorHAnsi"/>
      <w:color w:val="1D3D6D"/>
      <w:sz w:val="56"/>
      <w:szCs w:val="56"/>
      <w:lang w:eastAsia="en-US"/>
    </w:rPr>
  </w:style>
  <w:style w:type="character" w:customStyle="1" w:styleId="FormTitleChar">
    <w:name w:val="Form Title Char"/>
    <w:basedOn w:val="DefaultParagraphFont"/>
    <w:link w:val="FormTitle"/>
    <w:rsid w:val="00C52050"/>
    <w:rPr>
      <w:rFonts w:eastAsiaTheme="minorHAnsi"/>
      <w:color w:val="1D3D6D"/>
      <w:sz w:val="56"/>
      <w:szCs w:val="56"/>
      <w:lang w:val="en-AU" w:eastAsia="en-US"/>
    </w:rPr>
  </w:style>
  <w:style w:type="paragraph" w:customStyle="1" w:styleId="table">
    <w:name w:val="table"/>
    <w:qFormat/>
    <w:rsid w:val="00C52050"/>
    <w:rPr>
      <w:rFonts w:ascii="Helvetica" w:hAnsi="Helvetica"/>
      <w:b/>
      <w:sz w:val="21"/>
      <w:szCs w:val="18"/>
      <w:lang w:val="en-AU" w:eastAsia="en-US"/>
    </w:rPr>
  </w:style>
  <w:style w:type="paragraph" w:customStyle="1" w:styleId="table2">
    <w:name w:val="table 2"/>
    <w:qFormat/>
    <w:rsid w:val="00C52050"/>
    <w:rPr>
      <w:rFonts w:ascii="Helvetica" w:hAnsi="Helvetica"/>
      <w:b/>
      <w:sz w:val="21"/>
      <w:szCs w:val="18"/>
      <w:lang w:val="en-AU" w:eastAsia="en-US"/>
    </w:rPr>
  </w:style>
  <w:style w:type="paragraph" w:customStyle="1" w:styleId="numberedpara">
    <w:name w:val="numbered para"/>
    <w:basedOn w:val="Normal"/>
    <w:uiPriority w:val="99"/>
    <w:rsid w:val="00A239B2"/>
    <w:pPr>
      <w:numPr>
        <w:numId w:val="42"/>
      </w:numPr>
      <w:spacing w:after="0"/>
      <w:jc w:val="left"/>
    </w:pPr>
    <w:rPr>
      <w:rFonts w:ascii="Calibri" w:eastAsiaTheme="minorHAnsi" w:hAnsi="Calibri" w:cs="Calibri"/>
      <w:sz w:val="22"/>
      <w:szCs w:val="22"/>
      <w:lang w:eastAsia="en-AU"/>
    </w:rPr>
  </w:style>
  <w:style w:type="character" w:customStyle="1" w:styleId="NormalWebChar">
    <w:name w:val="Normal (Web) Char"/>
    <w:aliases w:val="Char Char,Normal bulleted Char"/>
    <w:basedOn w:val="DefaultParagraphFont"/>
    <w:link w:val="NormalWeb"/>
    <w:uiPriority w:val="99"/>
    <w:semiHidden/>
    <w:locked/>
    <w:rsid w:val="00A239B2"/>
    <w:rPr>
      <w:rFonts w:ascii="Times New Roman" w:hAnsi="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494156">
      <w:bodyDiv w:val="1"/>
      <w:marLeft w:val="0"/>
      <w:marRight w:val="0"/>
      <w:marTop w:val="0"/>
      <w:marBottom w:val="0"/>
      <w:divBdr>
        <w:top w:val="none" w:sz="0" w:space="0" w:color="auto"/>
        <w:left w:val="none" w:sz="0" w:space="0" w:color="auto"/>
        <w:bottom w:val="none" w:sz="0" w:space="0" w:color="auto"/>
        <w:right w:val="none" w:sz="0" w:space="0" w:color="auto"/>
      </w:divBdr>
    </w:div>
    <w:div w:id="202625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pyright@education.gov.a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reativecommons.org/licenses/by/4.0/legalcod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image" Target="cid:image001.jpg@01D31CE9.E303EF80"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FC96F7-4F07-481C-8D2B-02B9320480C6}"/>
</file>

<file path=customXml/itemProps2.xml><?xml version="1.0" encoding="utf-8"?>
<ds:datastoreItem xmlns:ds="http://schemas.openxmlformats.org/officeDocument/2006/customXml" ds:itemID="{61DCA9D3-85F9-4BF4-A95A-BDA5CACB168E}"/>
</file>

<file path=customXml/itemProps3.xml><?xml version="1.0" encoding="utf-8"?>
<ds:datastoreItem xmlns:ds="http://schemas.openxmlformats.org/officeDocument/2006/customXml" ds:itemID="{1C3F3BA1-DB36-42F2-806F-92557B74472E}"/>
</file>

<file path=customXml/itemProps4.xml><?xml version="1.0" encoding="utf-8"?>
<ds:datastoreItem xmlns:ds="http://schemas.openxmlformats.org/officeDocument/2006/customXml" ds:itemID="{BC2E128E-031A-48D2-A703-F66A0D315449}"/>
</file>

<file path=docProps/app.xml><?xml version="1.0" encoding="utf-8"?>
<Properties xmlns="http://schemas.openxmlformats.org/officeDocument/2006/extended-properties" xmlns:vt="http://schemas.openxmlformats.org/officeDocument/2006/docPropsVTypes">
  <Template>3F7CBDD5.dotm</Template>
  <TotalTime>16</TotalTime>
  <Pages>36</Pages>
  <Words>15788</Words>
  <Characters>89995</Characters>
  <Application>Microsoft Office Word</Application>
  <DocSecurity>0</DocSecurity>
  <Lines>749</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Goedegebuure</dc:creator>
  <cp:keywords/>
  <dc:description/>
  <cp:lastModifiedBy>BRANDON,Julie</cp:lastModifiedBy>
  <cp:revision>3</cp:revision>
  <cp:lastPrinted>2018-12-02T22:30:00Z</cp:lastPrinted>
  <dcterms:created xsi:type="dcterms:W3CDTF">2018-12-02T22:15:00Z</dcterms:created>
  <dcterms:modified xsi:type="dcterms:W3CDTF">2018-12-02T22:30:00Z</dcterms:modified>
</cp:coreProperties>
</file>