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2AB03" w14:textId="77777777" w:rsidR="0019508E" w:rsidRPr="00A303E0" w:rsidRDefault="00F0429A" w:rsidP="00AA615C">
      <w:pPr>
        <w:spacing w:after="0"/>
        <w:sectPr w:rsidR="0019508E" w:rsidRPr="00A303E0" w:rsidSect="00F0429A">
          <w:headerReference w:type="default" r:id="rId11"/>
          <w:footerReference w:type="default" r:id="rId12"/>
          <w:footerReference w:type="first" r:id="rId13"/>
          <w:pgSz w:w="11907" w:h="16839" w:code="9"/>
          <w:pgMar w:top="0" w:right="1440" w:bottom="1440" w:left="0" w:header="0" w:footer="0" w:gutter="0"/>
          <w:cols w:space="708"/>
          <w:titlePg/>
          <w:docGrid w:linePitch="360"/>
        </w:sectPr>
      </w:pPr>
      <w:r w:rsidRPr="00A303E0">
        <w:rPr>
          <w:noProof/>
          <w:lang w:eastAsia="en-AU"/>
        </w:rPr>
        <w:drawing>
          <wp:inline distT="0" distB="0" distL="0" distR="0" wp14:anchorId="57E3983B" wp14:editId="5153FDF4">
            <wp:extent cx="7603200" cy="2487600"/>
            <wp:effectExtent l="0" t="0" r="0" b="8255"/>
            <wp:docPr id="5" name="Picture 5" descr="Australian Government Department of Education and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fact sheet header.jpg"/>
                    <pic:cNvPicPr/>
                  </pic:nvPicPr>
                  <pic:blipFill>
                    <a:blip r:embed="rId14">
                      <a:extLst>
                        <a:ext uri="{28A0092B-C50C-407E-A947-70E740481C1C}">
                          <a14:useLocalDpi xmlns:a14="http://schemas.microsoft.com/office/drawing/2010/main" val="0"/>
                        </a:ext>
                      </a:extLst>
                    </a:blip>
                    <a:stretch>
                      <a:fillRect/>
                    </a:stretch>
                  </pic:blipFill>
                  <pic:spPr>
                    <a:xfrm>
                      <a:off x="0" y="0"/>
                      <a:ext cx="7603200" cy="2487600"/>
                    </a:xfrm>
                    <a:prstGeom prst="rect">
                      <a:avLst/>
                    </a:prstGeom>
                  </pic:spPr>
                </pic:pic>
              </a:graphicData>
            </a:graphic>
          </wp:inline>
        </w:drawing>
      </w:r>
    </w:p>
    <w:p w14:paraId="2AE7560D" w14:textId="77777777" w:rsidR="00D10DF4" w:rsidRPr="00A303E0" w:rsidRDefault="00266BD8" w:rsidP="00D10DF4">
      <w:pPr>
        <w:pStyle w:val="Title"/>
        <w:rPr>
          <w:b/>
          <w:sz w:val="60"/>
          <w:szCs w:val="60"/>
        </w:rPr>
      </w:pPr>
      <w:r w:rsidRPr="00A303E0">
        <w:rPr>
          <w:b/>
          <w:sz w:val="60"/>
          <w:szCs w:val="60"/>
        </w:rPr>
        <w:t>Consultation Paper on the r</w:t>
      </w:r>
      <w:r w:rsidR="00D10DF4" w:rsidRPr="00A303E0">
        <w:rPr>
          <w:b/>
          <w:sz w:val="60"/>
          <w:szCs w:val="60"/>
        </w:rPr>
        <w:t>eallocation of Commonwealth supported places for enabling, sub</w:t>
      </w:r>
      <w:r w:rsidR="00FB468A" w:rsidRPr="00A303E0">
        <w:rPr>
          <w:b/>
          <w:sz w:val="60"/>
          <w:szCs w:val="60"/>
        </w:rPr>
        <w:noBreakHyphen/>
      </w:r>
      <w:r w:rsidR="00D10DF4" w:rsidRPr="00A303E0">
        <w:rPr>
          <w:b/>
          <w:sz w:val="60"/>
          <w:szCs w:val="60"/>
        </w:rPr>
        <w:t>bachelor and postgraduate courses</w:t>
      </w:r>
    </w:p>
    <w:p w14:paraId="07DD00E6" w14:textId="77777777" w:rsidR="00E01ABE" w:rsidRPr="00A303E0" w:rsidRDefault="00E01ABE" w:rsidP="00E01ABE">
      <w:pPr>
        <w:pStyle w:val="Heading1"/>
        <w:numPr>
          <w:ilvl w:val="0"/>
          <w:numId w:val="22"/>
        </w:numPr>
        <w:spacing w:before="120" w:after="240"/>
        <w:contextualSpacing/>
      </w:pPr>
      <w:r w:rsidRPr="00A303E0">
        <w:t>Introduction</w:t>
      </w:r>
    </w:p>
    <w:p w14:paraId="447838AB" w14:textId="77777777" w:rsidR="00E01ABE" w:rsidRPr="00A303E0" w:rsidRDefault="00E01ABE" w:rsidP="00E01ABE">
      <w:pPr>
        <w:rPr>
          <w:noProof/>
        </w:rPr>
      </w:pPr>
      <w:bookmarkStart w:id="0" w:name="_Toc364946115"/>
      <w:r w:rsidRPr="00A303E0">
        <w:rPr>
          <w:noProof/>
        </w:rPr>
        <w:t>The Australian Government provides a specified number of Commonwealth supported places (CSPs) for enabling, sub-bachelor (diploma, advanced diploma and associate degree) and postgraduate courses each year. The current distribution of these places among higher education providers reflects historical, ad hoc decisions that may no longer be optimal.</w:t>
      </w:r>
    </w:p>
    <w:p w14:paraId="5322CC0A" w14:textId="77777777" w:rsidR="00E01ABE" w:rsidRPr="00A303E0" w:rsidRDefault="00E01ABE" w:rsidP="00E01ABE">
      <w:pPr>
        <w:spacing w:after="0"/>
        <w:rPr>
          <w:noProof/>
        </w:rPr>
      </w:pPr>
      <w:r w:rsidRPr="00A303E0">
        <w:rPr>
          <w:noProof/>
        </w:rPr>
        <w:t>Since implementation of demand driven bachelor funding in 2012, some of the key funding policy developments that have impacted on the allocation of places have been:</w:t>
      </w:r>
    </w:p>
    <w:p w14:paraId="78FA8641" w14:textId="77777777" w:rsidR="00E01ABE" w:rsidRPr="00A303E0" w:rsidRDefault="00E01ABE" w:rsidP="00E01ABE">
      <w:pPr>
        <w:spacing w:after="0"/>
        <w:ind w:left="709" w:hanging="284"/>
        <w:rPr>
          <w:noProof/>
        </w:rPr>
      </w:pPr>
      <w:r w:rsidRPr="00A303E0">
        <w:rPr>
          <w:noProof/>
        </w:rPr>
        <w:t>•</w:t>
      </w:r>
      <w:r w:rsidRPr="00A303E0">
        <w:rPr>
          <w:noProof/>
        </w:rPr>
        <w:tab/>
        <w:t>In November 2011 the Government announced the decision to allocate places for enabling courses and courses leading to a diploma, advanced diploma and associate degree. For 2012, estimates were derived from historical student enrolment data and Universities were advised that they could apply for additional places subject to certain principles.</w:t>
      </w:r>
    </w:p>
    <w:p w14:paraId="3DFD57A9" w14:textId="77777777" w:rsidR="00E01ABE" w:rsidRPr="00A303E0" w:rsidRDefault="00E01ABE" w:rsidP="00E01ABE">
      <w:pPr>
        <w:spacing w:after="0"/>
        <w:ind w:left="709" w:hanging="284"/>
        <w:rPr>
          <w:noProof/>
        </w:rPr>
      </w:pPr>
      <w:r w:rsidRPr="00A303E0">
        <w:rPr>
          <w:noProof/>
        </w:rPr>
        <w:t>•</w:t>
      </w:r>
      <w:r w:rsidRPr="00A303E0">
        <w:rPr>
          <w:noProof/>
        </w:rPr>
        <w:tab/>
        <w:t xml:space="preserve">The 2013-14 Budget provided funding over four years to increase the number of Commonwealth supported places in postgraduate and sub-bachelor courses from 2014 to 2017. These places were to support diploma-level languages courses; enabling and diploma-level tertiary preparation courses and postgraduate-level allied health and nursing places. </w:t>
      </w:r>
    </w:p>
    <w:p w14:paraId="3B18C589" w14:textId="77777777" w:rsidR="00E01ABE" w:rsidRPr="00A303E0" w:rsidRDefault="00E01ABE" w:rsidP="00E01ABE">
      <w:pPr>
        <w:spacing w:after="0"/>
        <w:ind w:left="709" w:hanging="284"/>
        <w:rPr>
          <w:noProof/>
        </w:rPr>
      </w:pPr>
      <w:r w:rsidRPr="00A303E0">
        <w:rPr>
          <w:noProof/>
        </w:rPr>
        <w:t>•</w:t>
      </w:r>
      <w:r w:rsidRPr="00A303E0">
        <w:rPr>
          <w:noProof/>
        </w:rPr>
        <w:tab/>
        <w:t>In November 2013 the Government announced additional places for 2014 only for Western Australian Universities to help prepare them for the impact of an historical change to the school entry age.</w:t>
      </w:r>
    </w:p>
    <w:p w14:paraId="405EFC20" w14:textId="77777777" w:rsidR="00E01ABE" w:rsidRPr="00A303E0" w:rsidRDefault="00E01ABE" w:rsidP="00EC7E87">
      <w:pPr>
        <w:ind w:left="709" w:hanging="284"/>
        <w:rPr>
          <w:noProof/>
        </w:rPr>
      </w:pPr>
      <w:r w:rsidRPr="00A303E0">
        <w:rPr>
          <w:noProof/>
        </w:rPr>
        <w:t>•</w:t>
      </w:r>
      <w:r w:rsidRPr="00A303E0">
        <w:rPr>
          <w:noProof/>
        </w:rPr>
        <w:tab/>
        <w:t>In May 2017, the Government announced it would reduce the current allocation of postgraduate CSPs by around 3000 places in line with current utilisation from 1 January 2018.</w:t>
      </w:r>
    </w:p>
    <w:p w14:paraId="16FB2BEC" w14:textId="77777777" w:rsidR="00185C2D" w:rsidRPr="00A303E0" w:rsidRDefault="00E01ABE" w:rsidP="00E01ABE">
      <w:pPr>
        <w:rPr>
          <w:noProof/>
        </w:rPr>
      </w:pPr>
      <w:r w:rsidRPr="00A303E0">
        <w:rPr>
          <w:noProof/>
        </w:rPr>
        <w:t>Charts 1 to 4 illustrate changes in allocation of sub-bachelor and postgraduate changes since 2012. Overall, while there has been an increase in allocated places from 2012 to 2017, the pattern of allocation by provider and cluster has remained relatively stable over time and would now benefit from review.</w:t>
      </w:r>
    </w:p>
    <w:p w14:paraId="3CD0BD79" w14:textId="77777777" w:rsidR="00185C2D" w:rsidRPr="00A303E0" w:rsidRDefault="00185C2D">
      <w:pPr>
        <w:spacing w:after="200" w:line="276" w:lineRule="auto"/>
        <w:rPr>
          <w:noProof/>
        </w:rPr>
      </w:pPr>
      <w:r w:rsidRPr="00A303E0">
        <w:rPr>
          <w:noProof/>
        </w:rPr>
        <w:br w:type="page"/>
      </w:r>
    </w:p>
    <w:p w14:paraId="2F01A266" w14:textId="77777777" w:rsidR="00E01ABE" w:rsidRPr="00A303E0" w:rsidRDefault="00E01ABE" w:rsidP="00E01ABE">
      <w:pPr>
        <w:pStyle w:val="Caption"/>
      </w:pPr>
      <w:r w:rsidRPr="00A303E0">
        <w:lastRenderedPageBreak/>
        <w:t xml:space="preserve">Chart 1: Sub-bachelor (including enabling) allocation, Table A providers 2012 and 2017 </w:t>
      </w:r>
      <w:r w:rsidRPr="00A303E0">
        <w:rPr>
          <w:noProof/>
          <w:lang w:eastAsia="en-AU"/>
        </w:rPr>
        <w:drawing>
          <wp:inline distT="0" distB="0" distL="0" distR="0" wp14:anchorId="287A0696" wp14:editId="6C5B6FD2">
            <wp:extent cx="6346190" cy="3925818"/>
            <wp:effectExtent l="0" t="0" r="0" b="0"/>
            <wp:docPr id="17" name="Picture 17" descr="Bar chart showing sub bachelor allocation by Table A Institution for 2012 and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91202" cy="3953663"/>
                    </a:xfrm>
                    <a:prstGeom prst="rect">
                      <a:avLst/>
                    </a:prstGeom>
                    <a:noFill/>
                  </pic:spPr>
                </pic:pic>
              </a:graphicData>
            </a:graphic>
          </wp:inline>
        </w:drawing>
      </w:r>
    </w:p>
    <w:p w14:paraId="6CBFFBEB" w14:textId="77777777" w:rsidR="00E01ABE" w:rsidRPr="00A303E0" w:rsidRDefault="00E01ABE" w:rsidP="00E01ABE">
      <w:pPr>
        <w:pStyle w:val="Caption"/>
      </w:pPr>
      <w:r w:rsidRPr="00A303E0">
        <w:t xml:space="preserve">Chart 2: Sub-bachelor (including enabling) allocation by Cluster, Table </w:t>
      </w:r>
      <w:proofErr w:type="gramStart"/>
      <w:r w:rsidRPr="00A303E0">
        <w:t>A</w:t>
      </w:r>
      <w:proofErr w:type="gramEnd"/>
      <w:r w:rsidRPr="00A303E0">
        <w:t xml:space="preserve"> providers 2012 to 2017 </w:t>
      </w:r>
      <w:r w:rsidRPr="00A303E0">
        <w:rPr>
          <w:noProof/>
          <w:lang w:eastAsia="en-AU"/>
        </w:rPr>
        <w:drawing>
          <wp:inline distT="0" distB="0" distL="0" distR="0" wp14:anchorId="0ADDC87F" wp14:editId="796177B1">
            <wp:extent cx="6346190" cy="3413760"/>
            <wp:effectExtent l="0" t="0" r="0" b="0"/>
            <wp:docPr id="10" name="Picture 10" descr="Bar chart showing Table A providers' sub bachelor allocations by cluster from 2012 to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46190" cy="3413760"/>
                    </a:xfrm>
                    <a:prstGeom prst="rect">
                      <a:avLst/>
                    </a:prstGeom>
                    <a:noFill/>
                  </pic:spPr>
                </pic:pic>
              </a:graphicData>
            </a:graphic>
          </wp:inline>
        </w:drawing>
      </w:r>
    </w:p>
    <w:p w14:paraId="1C30508C" w14:textId="77777777" w:rsidR="00E01ABE" w:rsidRPr="00A303E0" w:rsidRDefault="00E01ABE" w:rsidP="00E01ABE">
      <w:pPr>
        <w:pStyle w:val="Caption"/>
        <w:keepNext/>
        <w:keepLines/>
      </w:pPr>
      <w:r w:rsidRPr="00A303E0">
        <w:lastRenderedPageBreak/>
        <w:t xml:space="preserve">Chart 3: Postgraduate allocation, Table A providers 2012 and 2017 </w:t>
      </w:r>
    </w:p>
    <w:p w14:paraId="048ECD2D" w14:textId="77777777" w:rsidR="00E01ABE" w:rsidRPr="00A303E0" w:rsidRDefault="00E01ABE" w:rsidP="00E01ABE">
      <w:r w:rsidRPr="00A303E0">
        <w:rPr>
          <w:noProof/>
          <w:lang w:eastAsia="en-AU"/>
        </w:rPr>
        <w:drawing>
          <wp:inline distT="0" distB="0" distL="0" distR="0" wp14:anchorId="2B39AD0D" wp14:editId="5EB086FD">
            <wp:extent cx="6391275" cy="3953707"/>
            <wp:effectExtent l="0" t="0" r="0" b="8890"/>
            <wp:docPr id="15" name="Picture 15" descr="Bar chart showing postgraduate allocation by Institutions for 2012 and  201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29933" cy="3977621"/>
                    </a:xfrm>
                    <a:prstGeom prst="rect">
                      <a:avLst/>
                    </a:prstGeom>
                    <a:noFill/>
                  </pic:spPr>
                </pic:pic>
              </a:graphicData>
            </a:graphic>
          </wp:inline>
        </w:drawing>
      </w:r>
    </w:p>
    <w:p w14:paraId="7561E14E" w14:textId="77777777" w:rsidR="00E01ABE" w:rsidRPr="00A303E0" w:rsidRDefault="00E01ABE" w:rsidP="00E01ABE">
      <w:pPr>
        <w:pStyle w:val="Caption"/>
      </w:pPr>
      <w:r w:rsidRPr="00A303E0">
        <w:t xml:space="preserve">Chart 4: Postgraduate allocation by Cluster, Table </w:t>
      </w:r>
      <w:proofErr w:type="gramStart"/>
      <w:r w:rsidRPr="00A303E0">
        <w:t>A</w:t>
      </w:r>
      <w:proofErr w:type="gramEnd"/>
      <w:r w:rsidRPr="00A303E0">
        <w:t xml:space="preserve"> providers 2012 to 2017 </w:t>
      </w:r>
    </w:p>
    <w:p w14:paraId="470D62C0" w14:textId="77777777" w:rsidR="00E01ABE" w:rsidRPr="00A303E0" w:rsidRDefault="00E01ABE" w:rsidP="00E01ABE">
      <w:r w:rsidRPr="00A303E0">
        <w:rPr>
          <w:noProof/>
          <w:lang w:eastAsia="en-AU"/>
        </w:rPr>
        <w:drawing>
          <wp:inline distT="0" distB="0" distL="0" distR="0" wp14:anchorId="35378BC0" wp14:editId="2EF9178C">
            <wp:extent cx="6376670" cy="3529965"/>
            <wp:effectExtent l="0" t="0" r="5080" b="0"/>
            <wp:docPr id="9" name="Picture 9" descr="Bar chart showing Table A providers' postgraduate allocations by cluster from 2012 to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76670" cy="3529965"/>
                    </a:xfrm>
                    <a:prstGeom prst="rect">
                      <a:avLst/>
                    </a:prstGeom>
                    <a:noFill/>
                  </pic:spPr>
                </pic:pic>
              </a:graphicData>
            </a:graphic>
          </wp:inline>
        </w:drawing>
      </w:r>
    </w:p>
    <w:p w14:paraId="67922B80" w14:textId="77777777" w:rsidR="00E01ABE" w:rsidRPr="00A303E0" w:rsidRDefault="00E01ABE" w:rsidP="00E01ABE">
      <w:pPr>
        <w:pStyle w:val="ListBullet"/>
        <w:numPr>
          <w:ilvl w:val="0"/>
          <w:numId w:val="0"/>
        </w:numPr>
        <w:spacing w:after="0"/>
        <w:contextualSpacing w:val="0"/>
        <w:rPr>
          <w:rFonts w:cs="Calibri"/>
          <w:color w:val="000000"/>
        </w:rPr>
      </w:pPr>
    </w:p>
    <w:p w14:paraId="6D9BBFD7" w14:textId="77777777" w:rsidR="00E01ABE" w:rsidRPr="00A303E0" w:rsidRDefault="00E01ABE" w:rsidP="00E01ABE">
      <w:pPr>
        <w:keepNext/>
        <w:keepLines/>
      </w:pPr>
      <w:r w:rsidRPr="00A303E0">
        <w:lastRenderedPageBreak/>
        <w:t xml:space="preserve">Table 1 below shows the 2018 distribution of allocated Commonwealth supported sub-bachelor and postgraduate places across funding clusters. Nearly 30% of sub-bachelor places are in funding Cluster 3 which encompasses courses in Maths, Statistics, Behavioural Science, Social Studies, IT, Built Environment and Other Health. There are also significant proportions of sub-bachelor places allocated to courses in Cluster 1 (Law, Accounting, Administration, Economics and Commerce) and Cluster 5 (Clinical Psychology, Allied Health, Languages, Visual and Performing Arts). The pattern of allocation of postgraduate places is somewhat different with nearly 40% of the places allocated to courses in Education (Cluster 4) with a further significant proportion being allocated to courses in Cluster 3 and Cluster 7 (Engineering, Science, </w:t>
      </w:r>
      <w:proofErr w:type="gramStart"/>
      <w:r w:rsidRPr="00A303E0">
        <w:t>Surveying</w:t>
      </w:r>
      <w:proofErr w:type="gramEnd"/>
      <w:r w:rsidRPr="00A303E0">
        <w:t>).</w:t>
      </w:r>
    </w:p>
    <w:p w14:paraId="0B1B7BFE" w14:textId="77777777" w:rsidR="00E01ABE" w:rsidRPr="00A303E0" w:rsidRDefault="00E01ABE" w:rsidP="00E01ABE">
      <w:pPr>
        <w:pStyle w:val="Caption"/>
      </w:pPr>
      <w:r w:rsidRPr="00A303E0">
        <w:t>Table 1: Allocated Commonwealth supported sub-bachelor and postgraduate places for 2018 (EFTSL)</w:t>
      </w:r>
    </w:p>
    <w:tbl>
      <w:tblPr>
        <w:tblStyle w:val="TableGrid"/>
        <w:tblW w:w="0" w:type="auto"/>
        <w:tblLook w:val="04A0" w:firstRow="1" w:lastRow="0" w:firstColumn="1" w:lastColumn="0" w:noHBand="0" w:noVBand="1"/>
        <w:tblCaption w:val="Allocated Commonwealth supported sub-bachelor and postgraduate places for 2018 (EFTSL)"/>
      </w:tblPr>
      <w:tblGrid>
        <w:gridCol w:w="3660"/>
        <w:gridCol w:w="1660"/>
        <w:gridCol w:w="1780"/>
      </w:tblGrid>
      <w:tr w:rsidR="00E01ABE" w:rsidRPr="00A303E0" w14:paraId="77678B27" w14:textId="77777777" w:rsidTr="00840B9F">
        <w:trPr>
          <w:cnfStyle w:val="100000000000" w:firstRow="1" w:lastRow="0" w:firstColumn="0" w:lastColumn="0" w:oddVBand="0" w:evenVBand="0" w:oddHBand="0" w:evenHBand="0" w:firstRowFirstColumn="0" w:firstRowLastColumn="0" w:lastRowFirstColumn="0" w:lastRowLastColumn="0"/>
          <w:trHeight w:val="1035"/>
          <w:tblHeader/>
        </w:trPr>
        <w:tc>
          <w:tcPr>
            <w:cnfStyle w:val="001000000000" w:firstRow="0" w:lastRow="0" w:firstColumn="1" w:lastColumn="0" w:oddVBand="0" w:evenVBand="0" w:oddHBand="0" w:evenHBand="0" w:firstRowFirstColumn="0" w:firstRowLastColumn="0" w:lastRowFirstColumn="0" w:lastRowLastColumn="0"/>
            <w:tcW w:w="3660" w:type="dxa"/>
            <w:shd w:val="clear" w:color="auto" w:fill="BDD6EE" w:themeFill="accent1" w:themeFillTint="66"/>
            <w:noWrap/>
            <w:hideMark/>
          </w:tcPr>
          <w:p w14:paraId="38706D81" w14:textId="77777777" w:rsidR="00E01ABE" w:rsidRPr="00A303E0" w:rsidRDefault="00E01ABE" w:rsidP="00874075">
            <w:pPr>
              <w:pStyle w:val="ListBullet"/>
              <w:numPr>
                <w:ilvl w:val="0"/>
                <w:numId w:val="0"/>
              </w:numPr>
              <w:rPr>
                <w:rFonts w:cs="Calibri"/>
                <w:bCs/>
                <w:color w:val="000000"/>
              </w:rPr>
            </w:pPr>
            <w:r w:rsidRPr="00A303E0">
              <w:rPr>
                <w:rFonts w:cs="Calibri"/>
                <w:bCs/>
                <w:color w:val="000000"/>
              </w:rPr>
              <w:t> </w:t>
            </w:r>
          </w:p>
        </w:tc>
        <w:tc>
          <w:tcPr>
            <w:tcW w:w="1660" w:type="dxa"/>
            <w:shd w:val="clear" w:color="auto" w:fill="BDD6EE" w:themeFill="accent1" w:themeFillTint="66"/>
            <w:hideMark/>
          </w:tcPr>
          <w:p w14:paraId="4C25CA79" w14:textId="77777777" w:rsidR="00E01ABE" w:rsidRPr="00A303E0" w:rsidRDefault="00E01ABE" w:rsidP="00874075">
            <w:pPr>
              <w:pStyle w:val="ListBullet"/>
              <w:numPr>
                <w:ilvl w:val="0"/>
                <w:numId w:val="0"/>
              </w:numPr>
              <w:spacing w:after="0"/>
              <w:cnfStyle w:val="100000000000" w:firstRow="1" w:lastRow="0" w:firstColumn="0" w:lastColumn="0" w:oddVBand="0" w:evenVBand="0" w:oddHBand="0" w:evenHBand="0" w:firstRowFirstColumn="0" w:firstRowLastColumn="0" w:lastRowFirstColumn="0" w:lastRowLastColumn="0"/>
              <w:rPr>
                <w:rFonts w:cs="Calibri"/>
                <w:bCs/>
                <w:color w:val="000000"/>
              </w:rPr>
            </w:pPr>
            <w:r w:rsidRPr="00A303E0">
              <w:rPr>
                <w:rFonts w:cs="Calibri"/>
                <w:bCs/>
                <w:color w:val="000000"/>
              </w:rPr>
              <w:t>Table A sub</w:t>
            </w:r>
            <w:r w:rsidRPr="00A303E0">
              <w:rPr>
                <w:rFonts w:cs="Calibri"/>
                <w:bCs/>
                <w:color w:val="000000"/>
              </w:rPr>
              <w:noBreakHyphen/>
              <w:t>bachelor (including enabling)*</w:t>
            </w:r>
          </w:p>
        </w:tc>
        <w:tc>
          <w:tcPr>
            <w:tcW w:w="1780" w:type="dxa"/>
            <w:shd w:val="clear" w:color="auto" w:fill="BDD6EE" w:themeFill="accent1" w:themeFillTint="66"/>
            <w:hideMark/>
          </w:tcPr>
          <w:p w14:paraId="60D57147" w14:textId="77777777" w:rsidR="00E01ABE" w:rsidRPr="00A303E0" w:rsidRDefault="00E01ABE" w:rsidP="00874075">
            <w:pPr>
              <w:pStyle w:val="ListBullet"/>
              <w:numPr>
                <w:ilvl w:val="0"/>
                <w:numId w:val="0"/>
              </w:numPr>
              <w:spacing w:after="0"/>
              <w:cnfStyle w:val="100000000000" w:firstRow="1" w:lastRow="0" w:firstColumn="0" w:lastColumn="0" w:oddVBand="0" w:evenVBand="0" w:oddHBand="0" w:evenHBand="0" w:firstRowFirstColumn="0" w:firstRowLastColumn="0" w:lastRowFirstColumn="0" w:lastRowLastColumn="0"/>
              <w:rPr>
                <w:rFonts w:cs="Calibri"/>
                <w:bCs/>
                <w:color w:val="000000"/>
              </w:rPr>
            </w:pPr>
            <w:r w:rsidRPr="00A303E0">
              <w:rPr>
                <w:rFonts w:cs="Calibri"/>
                <w:bCs/>
                <w:color w:val="000000"/>
              </w:rPr>
              <w:t>Postgraduate Coursework (All)**</w:t>
            </w:r>
          </w:p>
        </w:tc>
      </w:tr>
      <w:tr w:rsidR="00E01ABE" w:rsidRPr="00A303E0" w14:paraId="368FF86E" w14:textId="77777777" w:rsidTr="00874075">
        <w:trPr>
          <w:trHeight w:val="795"/>
        </w:trPr>
        <w:tc>
          <w:tcPr>
            <w:cnfStyle w:val="001000000000" w:firstRow="0" w:lastRow="0" w:firstColumn="1" w:lastColumn="0" w:oddVBand="0" w:evenVBand="0" w:oddHBand="0" w:evenHBand="0" w:firstRowFirstColumn="0" w:firstRowLastColumn="0" w:lastRowFirstColumn="0" w:lastRowLastColumn="0"/>
            <w:tcW w:w="3660" w:type="dxa"/>
            <w:hideMark/>
          </w:tcPr>
          <w:p w14:paraId="5A52599E" w14:textId="77777777" w:rsidR="00E01ABE" w:rsidRPr="00A303E0" w:rsidRDefault="00E01ABE" w:rsidP="00874075">
            <w:pPr>
              <w:pStyle w:val="ListBullet"/>
              <w:numPr>
                <w:ilvl w:val="0"/>
                <w:numId w:val="0"/>
              </w:numPr>
              <w:spacing w:after="0"/>
              <w:rPr>
                <w:rFonts w:cs="Calibri"/>
                <w:color w:val="000000"/>
              </w:rPr>
            </w:pPr>
            <w:r w:rsidRPr="00A303E0">
              <w:rPr>
                <w:rFonts w:cs="Calibri"/>
                <w:color w:val="000000"/>
              </w:rPr>
              <w:t>Cluster 1 - Law, Accounting, Administration, Economics, Commerce</w:t>
            </w:r>
          </w:p>
        </w:tc>
        <w:tc>
          <w:tcPr>
            <w:tcW w:w="1660" w:type="dxa"/>
            <w:noWrap/>
            <w:hideMark/>
          </w:tcPr>
          <w:p w14:paraId="2444E561" w14:textId="77777777" w:rsidR="00E01ABE" w:rsidRPr="00A303E0" w:rsidRDefault="00E01ABE" w:rsidP="00874075">
            <w:pPr>
              <w:pStyle w:val="ListBullet"/>
              <w:numPr>
                <w:ilvl w:val="0"/>
                <w:numId w:val="0"/>
              </w:numPr>
              <w:spacing w:after="0"/>
              <w:cnfStyle w:val="000000000000" w:firstRow="0" w:lastRow="0" w:firstColumn="0" w:lastColumn="0" w:oddVBand="0" w:evenVBand="0" w:oddHBand="0" w:evenHBand="0" w:firstRowFirstColumn="0" w:firstRowLastColumn="0" w:lastRowFirstColumn="0" w:lastRowLastColumn="0"/>
              <w:rPr>
                <w:rFonts w:cs="Calibri"/>
                <w:color w:val="000000"/>
              </w:rPr>
            </w:pPr>
            <w:r w:rsidRPr="00A303E0">
              <w:rPr>
                <w:rFonts w:cs="Calibri"/>
                <w:color w:val="000000"/>
              </w:rPr>
              <w:t>2859</w:t>
            </w:r>
          </w:p>
        </w:tc>
        <w:tc>
          <w:tcPr>
            <w:tcW w:w="1780" w:type="dxa"/>
            <w:noWrap/>
            <w:hideMark/>
          </w:tcPr>
          <w:p w14:paraId="0220920F" w14:textId="77777777" w:rsidR="00E01ABE" w:rsidRPr="00A303E0" w:rsidRDefault="00E01ABE" w:rsidP="00874075">
            <w:pPr>
              <w:pStyle w:val="ListBullet"/>
              <w:numPr>
                <w:ilvl w:val="0"/>
                <w:numId w:val="0"/>
              </w:numPr>
              <w:spacing w:after="0"/>
              <w:cnfStyle w:val="000000000000" w:firstRow="0" w:lastRow="0" w:firstColumn="0" w:lastColumn="0" w:oddVBand="0" w:evenVBand="0" w:oddHBand="0" w:evenHBand="0" w:firstRowFirstColumn="0" w:firstRowLastColumn="0" w:lastRowFirstColumn="0" w:lastRowLastColumn="0"/>
              <w:rPr>
                <w:rFonts w:cs="Calibri"/>
                <w:color w:val="000000"/>
              </w:rPr>
            </w:pPr>
            <w:r w:rsidRPr="00A303E0">
              <w:rPr>
                <w:rFonts w:cs="Calibri"/>
                <w:color w:val="000000"/>
              </w:rPr>
              <w:t>2702</w:t>
            </w:r>
          </w:p>
        </w:tc>
      </w:tr>
      <w:tr w:rsidR="00E01ABE" w:rsidRPr="00A303E0" w14:paraId="1783A98F" w14:textId="77777777" w:rsidTr="00874075">
        <w:trPr>
          <w:trHeight w:val="540"/>
        </w:trPr>
        <w:tc>
          <w:tcPr>
            <w:cnfStyle w:val="001000000000" w:firstRow="0" w:lastRow="0" w:firstColumn="1" w:lastColumn="0" w:oddVBand="0" w:evenVBand="0" w:oddHBand="0" w:evenHBand="0" w:firstRowFirstColumn="0" w:firstRowLastColumn="0" w:lastRowFirstColumn="0" w:lastRowLastColumn="0"/>
            <w:tcW w:w="3660" w:type="dxa"/>
            <w:hideMark/>
          </w:tcPr>
          <w:p w14:paraId="4C3A6988" w14:textId="77777777" w:rsidR="00E01ABE" w:rsidRPr="00A303E0" w:rsidRDefault="00E01ABE" w:rsidP="00874075">
            <w:pPr>
              <w:pStyle w:val="ListBullet"/>
              <w:numPr>
                <w:ilvl w:val="0"/>
                <w:numId w:val="0"/>
              </w:numPr>
              <w:spacing w:after="0"/>
              <w:rPr>
                <w:rFonts w:cs="Calibri"/>
                <w:color w:val="000000"/>
              </w:rPr>
            </w:pPr>
            <w:r w:rsidRPr="00A303E0">
              <w:rPr>
                <w:rFonts w:cs="Calibri"/>
                <w:color w:val="000000"/>
              </w:rPr>
              <w:t>Cluster 2 - Humanities</w:t>
            </w:r>
          </w:p>
        </w:tc>
        <w:tc>
          <w:tcPr>
            <w:tcW w:w="1660" w:type="dxa"/>
            <w:noWrap/>
            <w:hideMark/>
          </w:tcPr>
          <w:p w14:paraId="77EF6184" w14:textId="77777777" w:rsidR="00E01ABE" w:rsidRPr="00A303E0" w:rsidRDefault="00E01ABE" w:rsidP="00874075">
            <w:pPr>
              <w:pStyle w:val="ListBullet"/>
              <w:numPr>
                <w:ilvl w:val="0"/>
                <w:numId w:val="0"/>
              </w:numPr>
              <w:spacing w:after="0"/>
              <w:cnfStyle w:val="000000000000" w:firstRow="0" w:lastRow="0" w:firstColumn="0" w:lastColumn="0" w:oddVBand="0" w:evenVBand="0" w:oddHBand="0" w:evenHBand="0" w:firstRowFirstColumn="0" w:firstRowLastColumn="0" w:lastRowFirstColumn="0" w:lastRowLastColumn="0"/>
              <w:rPr>
                <w:rFonts w:cs="Calibri"/>
                <w:color w:val="000000"/>
              </w:rPr>
            </w:pPr>
            <w:r w:rsidRPr="00A303E0">
              <w:rPr>
                <w:rFonts w:cs="Calibri"/>
                <w:color w:val="000000"/>
              </w:rPr>
              <w:t>1304</w:t>
            </w:r>
          </w:p>
        </w:tc>
        <w:tc>
          <w:tcPr>
            <w:tcW w:w="1780" w:type="dxa"/>
            <w:noWrap/>
            <w:hideMark/>
          </w:tcPr>
          <w:p w14:paraId="357D005C" w14:textId="77777777" w:rsidR="00E01ABE" w:rsidRPr="00A303E0" w:rsidRDefault="00E01ABE" w:rsidP="00874075">
            <w:pPr>
              <w:pStyle w:val="ListBullet"/>
              <w:numPr>
                <w:ilvl w:val="0"/>
                <w:numId w:val="0"/>
              </w:numPr>
              <w:spacing w:after="0"/>
              <w:cnfStyle w:val="000000000000" w:firstRow="0" w:lastRow="0" w:firstColumn="0" w:lastColumn="0" w:oddVBand="0" w:evenVBand="0" w:oddHBand="0" w:evenHBand="0" w:firstRowFirstColumn="0" w:firstRowLastColumn="0" w:lastRowFirstColumn="0" w:lastRowLastColumn="0"/>
              <w:rPr>
                <w:rFonts w:cs="Calibri"/>
                <w:color w:val="000000"/>
              </w:rPr>
            </w:pPr>
            <w:r w:rsidRPr="00A303E0">
              <w:rPr>
                <w:rFonts w:cs="Calibri"/>
                <w:color w:val="000000"/>
              </w:rPr>
              <w:t>450</w:t>
            </w:r>
          </w:p>
        </w:tc>
      </w:tr>
      <w:tr w:rsidR="00E01ABE" w:rsidRPr="00A303E0" w14:paraId="48233864" w14:textId="77777777" w:rsidTr="00874075">
        <w:trPr>
          <w:trHeight w:val="1095"/>
        </w:trPr>
        <w:tc>
          <w:tcPr>
            <w:cnfStyle w:val="001000000000" w:firstRow="0" w:lastRow="0" w:firstColumn="1" w:lastColumn="0" w:oddVBand="0" w:evenVBand="0" w:oddHBand="0" w:evenHBand="0" w:firstRowFirstColumn="0" w:firstRowLastColumn="0" w:lastRowFirstColumn="0" w:lastRowLastColumn="0"/>
            <w:tcW w:w="3660" w:type="dxa"/>
            <w:hideMark/>
          </w:tcPr>
          <w:p w14:paraId="310C8826" w14:textId="77777777" w:rsidR="00E01ABE" w:rsidRPr="00A303E0" w:rsidRDefault="00E01ABE" w:rsidP="00874075">
            <w:pPr>
              <w:pStyle w:val="ListBullet"/>
              <w:numPr>
                <w:ilvl w:val="0"/>
                <w:numId w:val="0"/>
              </w:numPr>
              <w:spacing w:after="0"/>
              <w:rPr>
                <w:rFonts w:cs="Calibri"/>
                <w:color w:val="000000"/>
              </w:rPr>
            </w:pPr>
            <w:r w:rsidRPr="00A303E0">
              <w:rPr>
                <w:rFonts w:cs="Calibri"/>
                <w:color w:val="000000"/>
              </w:rPr>
              <w:t>Cluster 3 - Maths, Stats, Behavioural Science, Social Studies, IT, Built Environment, other Health</w:t>
            </w:r>
          </w:p>
        </w:tc>
        <w:tc>
          <w:tcPr>
            <w:tcW w:w="1660" w:type="dxa"/>
            <w:noWrap/>
            <w:hideMark/>
          </w:tcPr>
          <w:p w14:paraId="48CFF24B" w14:textId="77777777" w:rsidR="00E01ABE" w:rsidRPr="00A303E0" w:rsidRDefault="00E01ABE" w:rsidP="00874075">
            <w:pPr>
              <w:pStyle w:val="ListBullet"/>
              <w:numPr>
                <w:ilvl w:val="0"/>
                <w:numId w:val="0"/>
              </w:numPr>
              <w:spacing w:after="0"/>
              <w:cnfStyle w:val="000000000000" w:firstRow="0" w:lastRow="0" w:firstColumn="0" w:lastColumn="0" w:oddVBand="0" w:evenVBand="0" w:oddHBand="0" w:evenHBand="0" w:firstRowFirstColumn="0" w:firstRowLastColumn="0" w:lastRowFirstColumn="0" w:lastRowLastColumn="0"/>
              <w:rPr>
                <w:rFonts w:cs="Calibri"/>
                <w:color w:val="000000"/>
              </w:rPr>
            </w:pPr>
            <w:r w:rsidRPr="00A303E0">
              <w:rPr>
                <w:rFonts w:cs="Calibri"/>
                <w:color w:val="000000"/>
              </w:rPr>
              <w:t>5575</w:t>
            </w:r>
          </w:p>
        </w:tc>
        <w:tc>
          <w:tcPr>
            <w:tcW w:w="1780" w:type="dxa"/>
            <w:noWrap/>
            <w:hideMark/>
          </w:tcPr>
          <w:p w14:paraId="6C8F14F0" w14:textId="77777777" w:rsidR="00E01ABE" w:rsidRPr="00A303E0" w:rsidRDefault="00E01ABE" w:rsidP="00874075">
            <w:pPr>
              <w:pStyle w:val="ListBullet"/>
              <w:numPr>
                <w:ilvl w:val="0"/>
                <w:numId w:val="0"/>
              </w:numPr>
              <w:spacing w:after="0"/>
              <w:cnfStyle w:val="000000000000" w:firstRow="0" w:lastRow="0" w:firstColumn="0" w:lastColumn="0" w:oddVBand="0" w:evenVBand="0" w:oddHBand="0" w:evenHBand="0" w:firstRowFirstColumn="0" w:firstRowLastColumn="0" w:lastRowFirstColumn="0" w:lastRowLastColumn="0"/>
              <w:rPr>
                <w:rFonts w:cs="Calibri"/>
                <w:color w:val="000000"/>
              </w:rPr>
            </w:pPr>
            <w:r w:rsidRPr="00A303E0">
              <w:rPr>
                <w:rFonts w:cs="Calibri"/>
                <w:color w:val="000000"/>
              </w:rPr>
              <w:t>7631</w:t>
            </w:r>
          </w:p>
        </w:tc>
      </w:tr>
      <w:tr w:rsidR="00E01ABE" w:rsidRPr="00A303E0" w14:paraId="2AA7B0C8" w14:textId="77777777" w:rsidTr="00874075">
        <w:trPr>
          <w:trHeight w:val="435"/>
        </w:trPr>
        <w:tc>
          <w:tcPr>
            <w:cnfStyle w:val="001000000000" w:firstRow="0" w:lastRow="0" w:firstColumn="1" w:lastColumn="0" w:oddVBand="0" w:evenVBand="0" w:oddHBand="0" w:evenHBand="0" w:firstRowFirstColumn="0" w:firstRowLastColumn="0" w:lastRowFirstColumn="0" w:lastRowLastColumn="0"/>
            <w:tcW w:w="3660" w:type="dxa"/>
            <w:hideMark/>
          </w:tcPr>
          <w:p w14:paraId="0A374240" w14:textId="77777777" w:rsidR="00E01ABE" w:rsidRPr="00A303E0" w:rsidRDefault="00E01ABE" w:rsidP="00874075">
            <w:pPr>
              <w:pStyle w:val="ListBullet"/>
              <w:numPr>
                <w:ilvl w:val="0"/>
                <w:numId w:val="0"/>
              </w:numPr>
              <w:spacing w:after="0"/>
              <w:rPr>
                <w:rFonts w:cs="Calibri"/>
                <w:color w:val="000000"/>
              </w:rPr>
            </w:pPr>
            <w:r w:rsidRPr="00A303E0">
              <w:rPr>
                <w:rFonts w:cs="Calibri"/>
                <w:color w:val="000000"/>
              </w:rPr>
              <w:t>Cluster 4 - Education</w:t>
            </w:r>
          </w:p>
        </w:tc>
        <w:tc>
          <w:tcPr>
            <w:tcW w:w="1660" w:type="dxa"/>
            <w:noWrap/>
            <w:hideMark/>
          </w:tcPr>
          <w:p w14:paraId="04F556A3" w14:textId="77777777" w:rsidR="00E01ABE" w:rsidRPr="00A303E0" w:rsidRDefault="00E01ABE" w:rsidP="00874075">
            <w:pPr>
              <w:pStyle w:val="ListBullet"/>
              <w:numPr>
                <w:ilvl w:val="0"/>
                <w:numId w:val="0"/>
              </w:numPr>
              <w:spacing w:after="0"/>
              <w:cnfStyle w:val="000000000000" w:firstRow="0" w:lastRow="0" w:firstColumn="0" w:lastColumn="0" w:oddVBand="0" w:evenVBand="0" w:oddHBand="0" w:evenHBand="0" w:firstRowFirstColumn="0" w:firstRowLastColumn="0" w:lastRowFirstColumn="0" w:lastRowLastColumn="0"/>
              <w:rPr>
                <w:rFonts w:cs="Calibri"/>
                <w:color w:val="000000"/>
              </w:rPr>
            </w:pPr>
            <w:r w:rsidRPr="00A303E0">
              <w:rPr>
                <w:rFonts w:cs="Calibri"/>
                <w:color w:val="000000"/>
              </w:rPr>
              <w:t>1341</w:t>
            </w:r>
          </w:p>
        </w:tc>
        <w:tc>
          <w:tcPr>
            <w:tcW w:w="1780" w:type="dxa"/>
            <w:noWrap/>
            <w:hideMark/>
          </w:tcPr>
          <w:p w14:paraId="53096655" w14:textId="77777777" w:rsidR="00E01ABE" w:rsidRPr="00A303E0" w:rsidRDefault="00E01ABE" w:rsidP="00874075">
            <w:pPr>
              <w:pStyle w:val="ListBullet"/>
              <w:numPr>
                <w:ilvl w:val="0"/>
                <w:numId w:val="0"/>
              </w:numPr>
              <w:spacing w:after="0"/>
              <w:cnfStyle w:val="000000000000" w:firstRow="0" w:lastRow="0" w:firstColumn="0" w:lastColumn="0" w:oddVBand="0" w:evenVBand="0" w:oddHBand="0" w:evenHBand="0" w:firstRowFirstColumn="0" w:firstRowLastColumn="0" w:lastRowFirstColumn="0" w:lastRowLastColumn="0"/>
              <w:rPr>
                <w:rFonts w:cs="Calibri"/>
                <w:color w:val="000000"/>
              </w:rPr>
            </w:pPr>
            <w:r w:rsidRPr="00A303E0">
              <w:rPr>
                <w:rFonts w:cs="Calibri"/>
                <w:color w:val="000000"/>
              </w:rPr>
              <w:t>14504</w:t>
            </w:r>
          </w:p>
        </w:tc>
      </w:tr>
      <w:tr w:rsidR="00E01ABE" w:rsidRPr="00A303E0" w14:paraId="44A50324" w14:textId="77777777" w:rsidTr="00874075">
        <w:trPr>
          <w:trHeight w:val="945"/>
        </w:trPr>
        <w:tc>
          <w:tcPr>
            <w:cnfStyle w:val="001000000000" w:firstRow="0" w:lastRow="0" w:firstColumn="1" w:lastColumn="0" w:oddVBand="0" w:evenVBand="0" w:oddHBand="0" w:evenHBand="0" w:firstRowFirstColumn="0" w:firstRowLastColumn="0" w:lastRowFirstColumn="0" w:lastRowLastColumn="0"/>
            <w:tcW w:w="3660" w:type="dxa"/>
            <w:hideMark/>
          </w:tcPr>
          <w:p w14:paraId="7E35C3B1" w14:textId="77777777" w:rsidR="00E01ABE" w:rsidRPr="00A303E0" w:rsidRDefault="00E01ABE" w:rsidP="00874075">
            <w:pPr>
              <w:pStyle w:val="ListBullet"/>
              <w:numPr>
                <w:ilvl w:val="0"/>
                <w:numId w:val="0"/>
              </w:numPr>
              <w:spacing w:after="0"/>
              <w:rPr>
                <w:rFonts w:cs="Calibri"/>
                <w:color w:val="000000"/>
              </w:rPr>
            </w:pPr>
            <w:r w:rsidRPr="00A303E0">
              <w:rPr>
                <w:rFonts w:cs="Calibri"/>
                <w:color w:val="000000"/>
              </w:rPr>
              <w:t>Cluster 5 - Clinical Psychology, Allied Health, Languages, Visual &amp; Performing Arts</w:t>
            </w:r>
          </w:p>
        </w:tc>
        <w:tc>
          <w:tcPr>
            <w:tcW w:w="1660" w:type="dxa"/>
            <w:noWrap/>
            <w:hideMark/>
          </w:tcPr>
          <w:p w14:paraId="6FA151BD" w14:textId="77777777" w:rsidR="00E01ABE" w:rsidRPr="00A303E0" w:rsidRDefault="00E01ABE" w:rsidP="00874075">
            <w:pPr>
              <w:pStyle w:val="ListBullet"/>
              <w:numPr>
                <w:ilvl w:val="0"/>
                <w:numId w:val="0"/>
              </w:numPr>
              <w:spacing w:after="0"/>
              <w:cnfStyle w:val="000000000000" w:firstRow="0" w:lastRow="0" w:firstColumn="0" w:lastColumn="0" w:oddVBand="0" w:evenVBand="0" w:oddHBand="0" w:evenHBand="0" w:firstRowFirstColumn="0" w:firstRowLastColumn="0" w:lastRowFirstColumn="0" w:lastRowLastColumn="0"/>
              <w:rPr>
                <w:rFonts w:cs="Calibri"/>
                <w:color w:val="000000"/>
              </w:rPr>
            </w:pPr>
            <w:r w:rsidRPr="00A303E0">
              <w:rPr>
                <w:rFonts w:cs="Calibri"/>
                <w:color w:val="000000"/>
              </w:rPr>
              <w:t>4237</w:t>
            </w:r>
          </w:p>
        </w:tc>
        <w:tc>
          <w:tcPr>
            <w:tcW w:w="1780" w:type="dxa"/>
            <w:noWrap/>
            <w:hideMark/>
          </w:tcPr>
          <w:p w14:paraId="1AC9A3FE" w14:textId="77777777" w:rsidR="00E01ABE" w:rsidRPr="00A303E0" w:rsidRDefault="00E01ABE" w:rsidP="00874075">
            <w:pPr>
              <w:pStyle w:val="ListBullet"/>
              <w:numPr>
                <w:ilvl w:val="0"/>
                <w:numId w:val="0"/>
              </w:numPr>
              <w:spacing w:after="0"/>
              <w:cnfStyle w:val="000000000000" w:firstRow="0" w:lastRow="0" w:firstColumn="0" w:lastColumn="0" w:oddVBand="0" w:evenVBand="0" w:oddHBand="0" w:evenHBand="0" w:firstRowFirstColumn="0" w:firstRowLastColumn="0" w:lastRowFirstColumn="0" w:lastRowLastColumn="0"/>
              <w:rPr>
                <w:rFonts w:cs="Calibri"/>
                <w:color w:val="000000"/>
              </w:rPr>
            </w:pPr>
            <w:r w:rsidRPr="00A303E0">
              <w:rPr>
                <w:rFonts w:cs="Calibri"/>
                <w:color w:val="000000"/>
              </w:rPr>
              <w:t>3665</w:t>
            </w:r>
          </w:p>
        </w:tc>
      </w:tr>
      <w:tr w:rsidR="00E01ABE" w:rsidRPr="00A303E0" w14:paraId="2A467EC7" w14:textId="77777777" w:rsidTr="00874075">
        <w:trPr>
          <w:trHeight w:val="465"/>
        </w:trPr>
        <w:tc>
          <w:tcPr>
            <w:cnfStyle w:val="001000000000" w:firstRow="0" w:lastRow="0" w:firstColumn="1" w:lastColumn="0" w:oddVBand="0" w:evenVBand="0" w:oddHBand="0" w:evenHBand="0" w:firstRowFirstColumn="0" w:firstRowLastColumn="0" w:lastRowFirstColumn="0" w:lastRowLastColumn="0"/>
            <w:tcW w:w="3660" w:type="dxa"/>
            <w:hideMark/>
          </w:tcPr>
          <w:p w14:paraId="09765AF1" w14:textId="77777777" w:rsidR="00E01ABE" w:rsidRPr="00A303E0" w:rsidRDefault="00E01ABE" w:rsidP="00874075">
            <w:pPr>
              <w:pStyle w:val="ListBullet"/>
              <w:numPr>
                <w:ilvl w:val="0"/>
                <w:numId w:val="0"/>
              </w:numPr>
              <w:spacing w:after="0"/>
              <w:rPr>
                <w:rFonts w:cs="Calibri"/>
                <w:color w:val="000000"/>
              </w:rPr>
            </w:pPr>
            <w:r w:rsidRPr="00A303E0">
              <w:rPr>
                <w:rFonts w:cs="Calibri"/>
                <w:color w:val="000000"/>
              </w:rPr>
              <w:t>Cluster 6 - Nursing</w:t>
            </w:r>
          </w:p>
        </w:tc>
        <w:tc>
          <w:tcPr>
            <w:tcW w:w="1660" w:type="dxa"/>
            <w:noWrap/>
            <w:hideMark/>
          </w:tcPr>
          <w:p w14:paraId="1C8B8161" w14:textId="77777777" w:rsidR="00E01ABE" w:rsidRPr="00A303E0" w:rsidRDefault="00E01ABE" w:rsidP="00874075">
            <w:pPr>
              <w:pStyle w:val="ListBullet"/>
              <w:numPr>
                <w:ilvl w:val="0"/>
                <w:numId w:val="0"/>
              </w:numPr>
              <w:spacing w:after="0"/>
              <w:cnfStyle w:val="000000000000" w:firstRow="0" w:lastRow="0" w:firstColumn="0" w:lastColumn="0" w:oddVBand="0" w:evenVBand="0" w:oddHBand="0" w:evenHBand="0" w:firstRowFirstColumn="0" w:firstRowLastColumn="0" w:lastRowFirstColumn="0" w:lastRowLastColumn="0"/>
              <w:rPr>
                <w:rFonts w:cs="Calibri"/>
                <w:color w:val="000000"/>
              </w:rPr>
            </w:pPr>
            <w:r w:rsidRPr="00A303E0">
              <w:rPr>
                <w:rFonts w:cs="Calibri"/>
                <w:color w:val="000000"/>
              </w:rPr>
              <w:t>195</w:t>
            </w:r>
          </w:p>
        </w:tc>
        <w:tc>
          <w:tcPr>
            <w:tcW w:w="1780" w:type="dxa"/>
            <w:noWrap/>
            <w:hideMark/>
          </w:tcPr>
          <w:p w14:paraId="2EEF3810" w14:textId="77777777" w:rsidR="00E01ABE" w:rsidRPr="00A303E0" w:rsidRDefault="00E01ABE" w:rsidP="00874075">
            <w:pPr>
              <w:pStyle w:val="ListBullet"/>
              <w:numPr>
                <w:ilvl w:val="0"/>
                <w:numId w:val="0"/>
              </w:numPr>
              <w:spacing w:after="0"/>
              <w:cnfStyle w:val="000000000000" w:firstRow="0" w:lastRow="0" w:firstColumn="0" w:lastColumn="0" w:oddVBand="0" w:evenVBand="0" w:oddHBand="0" w:evenHBand="0" w:firstRowFirstColumn="0" w:firstRowLastColumn="0" w:lastRowFirstColumn="0" w:lastRowLastColumn="0"/>
              <w:rPr>
                <w:rFonts w:cs="Calibri"/>
                <w:color w:val="000000"/>
              </w:rPr>
            </w:pPr>
            <w:r w:rsidRPr="00A303E0">
              <w:rPr>
                <w:rFonts w:cs="Calibri"/>
                <w:color w:val="000000"/>
              </w:rPr>
              <w:t>2863</w:t>
            </w:r>
          </w:p>
        </w:tc>
      </w:tr>
      <w:tr w:rsidR="00E01ABE" w:rsidRPr="00A303E0" w14:paraId="62C5E066" w14:textId="77777777" w:rsidTr="00874075">
        <w:trPr>
          <w:trHeight w:val="570"/>
        </w:trPr>
        <w:tc>
          <w:tcPr>
            <w:cnfStyle w:val="001000000000" w:firstRow="0" w:lastRow="0" w:firstColumn="1" w:lastColumn="0" w:oddVBand="0" w:evenVBand="0" w:oddHBand="0" w:evenHBand="0" w:firstRowFirstColumn="0" w:firstRowLastColumn="0" w:lastRowFirstColumn="0" w:lastRowLastColumn="0"/>
            <w:tcW w:w="3660" w:type="dxa"/>
            <w:hideMark/>
          </w:tcPr>
          <w:p w14:paraId="6D7A5E46" w14:textId="77777777" w:rsidR="00E01ABE" w:rsidRPr="00A303E0" w:rsidRDefault="00E01ABE" w:rsidP="00874075">
            <w:pPr>
              <w:pStyle w:val="ListBullet"/>
              <w:numPr>
                <w:ilvl w:val="0"/>
                <w:numId w:val="0"/>
              </w:numPr>
              <w:spacing w:after="0"/>
              <w:rPr>
                <w:rFonts w:cs="Calibri"/>
                <w:color w:val="000000"/>
              </w:rPr>
            </w:pPr>
            <w:r w:rsidRPr="00A303E0">
              <w:rPr>
                <w:rFonts w:cs="Calibri"/>
                <w:color w:val="000000"/>
              </w:rPr>
              <w:t>Cluster 7 - Engineering, Science, Surveying</w:t>
            </w:r>
          </w:p>
        </w:tc>
        <w:tc>
          <w:tcPr>
            <w:tcW w:w="1660" w:type="dxa"/>
            <w:noWrap/>
            <w:hideMark/>
          </w:tcPr>
          <w:p w14:paraId="0A7F964C" w14:textId="77777777" w:rsidR="00E01ABE" w:rsidRPr="00A303E0" w:rsidRDefault="00E01ABE" w:rsidP="00874075">
            <w:pPr>
              <w:pStyle w:val="ListBullet"/>
              <w:numPr>
                <w:ilvl w:val="0"/>
                <w:numId w:val="0"/>
              </w:numPr>
              <w:spacing w:after="0"/>
              <w:cnfStyle w:val="000000000000" w:firstRow="0" w:lastRow="0" w:firstColumn="0" w:lastColumn="0" w:oddVBand="0" w:evenVBand="0" w:oddHBand="0" w:evenHBand="0" w:firstRowFirstColumn="0" w:firstRowLastColumn="0" w:lastRowFirstColumn="0" w:lastRowLastColumn="0"/>
              <w:rPr>
                <w:rFonts w:cs="Calibri"/>
                <w:color w:val="000000"/>
              </w:rPr>
            </w:pPr>
            <w:r w:rsidRPr="00A303E0">
              <w:rPr>
                <w:rFonts w:cs="Calibri"/>
                <w:color w:val="000000"/>
              </w:rPr>
              <w:t>3151</w:t>
            </w:r>
          </w:p>
        </w:tc>
        <w:tc>
          <w:tcPr>
            <w:tcW w:w="1780" w:type="dxa"/>
            <w:noWrap/>
            <w:hideMark/>
          </w:tcPr>
          <w:p w14:paraId="5BB5A69E" w14:textId="77777777" w:rsidR="00E01ABE" w:rsidRPr="00A303E0" w:rsidRDefault="00E01ABE" w:rsidP="00874075">
            <w:pPr>
              <w:pStyle w:val="ListBullet"/>
              <w:numPr>
                <w:ilvl w:val="0"/>
                <w:numId w:val="0"/>
              </w:numPr>
              <w:spacing w:after="0"/>
              <w:cnfStyle w:val="000000000000" w:firstRow="0" w:lastRow="0" w:firstColumn="0" w:lastColumn="0" w:oddVBand="0" w:evenVBand="0" w:oddHBand="0" w:evenHBand="0" w:firstRowFirstColumn="0" w:firstRowLastColumn="0" w:lastRowFirstColumn="0" w:lastRowLastColumn="0"/>
              <w:rPr>
                <w:rFonts w:cs="Calibri"/>
                <w:color w:val="000000"/>
              </w:rPr>
            </w:pPr>
            <w:r w:rsidRPr="00A303E0">
              <w:rPr>
                <w:rFonts w:cs="Calibri"/>
                <w:color w:val="000000"/>
              </w:rPr>
              <w:t>3443</w:t>
            </w:r>
          </w:p>
        </w:tc>
      </w:tr>
      <w:tr w:rsidR="00E01ABE" w:rsidRPr="00A303E0" w14:paraId="36604A7B" w14:textId="77777777" w:rsidTr="00874075">
        <w:trPr>
          <w:trHeight w:val="705"/>
        </w:trPr>
        <w:tc>
          <w:tcPr>
            <w:cnfStyle w:val="001000000000" w:firstRow="0" w:lastRow="0" w:firstColumn="1" w:lastColumn="0" w:oddVBand="0" w:evenVBand="0" w:oddHBand="0" w:evenHBand="0" w:firstRowFirstColumn="0" w:firstRowLastColumn="0" w:lastRowFirstColumn="0" w:lastRowLastColumn="0"/>
            <w:tcW w:w="3660" w:type="dxa"/>
            <w:hideMark/>
          </w:tcPr>
          <w:p w14:paraId="5C3EA390" w14:textId="77777777" w:rsidR="00E01ABE" w:rsidRPr="00A303E0" w:rsidRDefault="00E01ABE" w:rsidP="00874075">
            <w:pPr>
              <w:pStyle w:val="ListBullet"/>
              <w:numPr>
                <w:ilvl w:val="0"/>
                <w:numId w:val="0"/>
              </w:numPr>
              <w:spacing w:after="0"/>
              <w:rPr>
                <w:rFonts w:cs="Calibri"/>
                <w:color w:val="000000"/>
              </w:rPr>
            </w:pPr>
            <w:r w:rsidRPr="00A303E0">
              <w:rPr>
                <w:rFonts w:cs="Calibri"/>
                <w:color w:val="000000"/>
              </w:rPr>
              <w:t>Cluster 8 - Dentistry, Medicine, Veterinary, Agriculture</w:t>
            </w:r>
          </w:p>
        </w:tc>
        <w:tc>
          <w:tcPr>
            <w:tcW w:w="1660" w:type="dxa"/>
            <w:noWrap/>
            <w:hideMark/>
          </w:tcPr>
          <w:p w14:paraId="6A15A47A" w14:textId="77777777" w:rsidR="00E01ABE" w:rsidRPr="00A303E0" w:rsidRDefault="00E01ABE" w:rsidP="00874075">
            <w:pPr>
              <w:pStyle w:val="ListBullet"/>
              <w:numPr>
                <w:ilvl w:val="0"/>
                <w:numId w:val="0"/>
              </w:numPr>
              <w:spacing w:after="0"/>
              <w:cnfStyle w:val="000000000000" w:firstRow="0" w:lastRow="0" w:firstColumn="0" w:lastColumn="0" w:oddVBand="0" w:evenVBand="0" w:oddHBand="0" w:evenHBand="0" w:firstRowFirstColumn="0" w:firstRowLastColumn="0" w:lastRowFirstColumn="0" w:lastRowLastColumn="0"/>
              <w:rPr>
                <w:rFonts w:cs="Calibri"/>
                <w:color w:val="000000"/>
              </w:rPr>
            </w:pPr>
            <w:r w:rsidRPr="00A303E0">
              <w:rPr>
                <w:rFonts w:cs="Calibri"/>
                <w:color w:val="000000"/>
              </w:rPr>
              <w:t>185</w:t>
            </w:r>
          </w:p>
        </w:tc>
        <w:tc>
          <w:tcPr>
            <w:tcW w:w="1780" w:type="dxa"/>
            <w:noWrap/>
            <w:hideMark/>
          </w:tcPr>
          <w:p w14:paraId="5B53BC01" w14:textId="77777777" w:rsidR="00E01ABE" w:rsidRPr="00A303E0" w:rsidRDefault="00E01ABE" w:rsidP="00874075">
            <w:pPr>
              <w:pStyle w:val="ListBullet"/>
              <w:numPr>
                <w:ilvl w:val="0"/>
                <w:numId w:val="0"/>
              </w:numPr>
              <w:spacing w:after="0"/>
              <w:cnfStyle w:val="000000000000" w:firstRow="0" w:lastRow="0" w:firstColumn="0" w:lastColumn="0" w:oddVBand="0" w:evenVBand="0" w:oddHBand="0" w:evenHBand="0" w:firstRowFirstColumn="0" w:firstRowLastColumn="0" w:lastRowFirstColumn="0" w:lastRowLastColumn="0"/>
              <w:rPr>
                <w:rFonts w:cs="Calibri"/>
                <w:color w:val="000000"/>
              </w:rPr>
            </w:pPr>
            <w:r w:rsidRPr="00A303E0">
              <w:rPr>
                <w:rFonts w:cs="Calibri"/>
                <w:color w:val="000000"/>
              </w:rPr>
              <w:t>1657</w:t>
            </w:r>
          </w:p>
        </w:tc>
      </w:tr>
      <w:tr w:rsidR="00E01ABE" w:rsidRPr="00A303E0" w14:paraId="2BA817AA" w14:textId="77777777" w:rsidTr="00874075">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27161B8A" w14:textId="77777777" w:rsidR="00E01ABE" w:rsidRPr="00A303E0" w:rsidRDefault="00E01ABE" w:rsidP="00874075">
            <w:pPr>
              <w:pStyle w:val="ListBullet"/>
              <w:numPr>
                <w:ilvl w:val="0"/>
                <w:numId w:val="0"/>
              </w:numPr>
              <w:spacing w:after="0"/>
              <w:rPr>
                <w:rFonts w:cs="Calibri"/>
                <w:b/>
                <w:bCs/>
                <w:color w:val="000000"/>
              </w:rPr>
            </w:pPr>
            <w:r w:rsidRPr="00A303E0">
              <w:rPr>
                <w:rFonts w:cs="Calibri"/>
                <w:b/>
                <w:bCs/>
                <w:color w:val="000000"/>
              </w:rPr>
              <w:t>TOTAL</w:t>
            </w:r>
          </w:p>
        </w:tc>
        <w:tc>
          <w:tcPr>
            <w:tcW w:w="1660" w:type="dxa"/>
            <w:noWrap/>
            <w:hideMark/>
          </w:tcPr>
          <w:p w14:paraId="162B4238" w14:textId="77777777" w:rsidR="00E01ABE" w:rsidRPr="00A303E0" w:rsidRDefault="00E01ABE" w:rsidP="00874075">
            <w:pPr>
              <w:pStyle w:val="ListBullet"/>
              <w:numPr>
                <w:ilvl w:val="0"/>
                <w:numId w:val="0"/>
              </w:numPr>
              <w:spacing w:after="0"/>
              <w:cnfStyle w:val="000000000000" w:firstRow="0" w:lastRow="0" w:firstColumn="0" w:lastColumn="0" w:oddVBand="0" w:evenVBand="0" w:oddHBand="0" w:evenHBand="0" w:firstRowFirstColumn="0" w:firstRowLastColumn="0" w:lastRowFirstColumn="0" w:lastRowLastColumn="0"/>
              <w:rPr>
                <w:rFonts w:cs="Calibri"/>
                <w:b/>
                <w:bCs/>
                <w:color w:val="000000"/>
              </w:rPr>
            </w:pPr>
            <w:r w:rsidRPr="00A303E0">
              <w:rPr>
                <w:rFonts w:cs="Calibri"/>
                <w:b/>
                <w:bCs/>
                <w:color w:val="000000"/>
              </w:rPr>
              <w:t>18847</w:t>
            </w:r>
          </w:p>
        </w:tc>
        <w:tc>
          <w:tcPr>
            <w:tcW w:w="1780" w:type="dxa"/>
            <w:noWrap/>
            <w:hideMark/>
          </w:tcPr>
          <w:p w14:paraId="149823F5" w14:textId="77777777" w:rsidR="00E01ABE" w:rsidRPr="00A303E0" w:rsidRDefault="00E01ABE" w:rsidP="00874075">
            <w:pPr>
              <w:pStyle w:val="ListBullet"/>
              <w:numPr>
                <w:ilvl w:val="0"/>
                <w:numId w:val="0"/>
              </w:numPr>
              <w:spacing w:after="0"/>
              <w:cnfStyle w:val="000000000000" w:firstRow="0" w:lastRow="0" w:firstColumn="0" w:lastColumn="0" w:oddVBand="0" w:evenVBand="0" w:oddHBand="0" w:evenHBand="0" w:firstRowFirstColumn="0" w:firstRowLastColumn="0" w:lastRowFirstColumn="0" w:lastRowLastColumn="0"/>
              <w:rPr>
                <w:rFonts w:cs="Calibri"/>
                <w:b/>
                <w:bCs/>
                <w:color w:val="000000"/>
              </w:rPr>
            </w:pPr>
            <w:r w:rsidRPr="00A303E0">
              <w:rPr>
                <w:rFonts w:cs="Calibri"/>
                <w:b/>
                <w:bCs/>
                <w:color w:val="000000"/>
              </w:rPr>
              <w:t>36914</w:t>
            </w:r>
          </w:p>
        </w:tc>
      </w:tr>
    </w:tbl>
    <w:p w14:paraId="6AA0AE4B" w14:textId="77777777" w:rsidR="00E01ABE" w:rsidRPr="00A303E0" w:rsidRDefault="00E01ABE" w:rsidP="00E01ABE">
      <w:pPr>
        <w:pStyle w:val="ListBullet"/>
        <w:numPr>
          <w:ilvl w:val="0"/>
          <w:numId w:val="0"/>
        </w:numPr>
        <w:spacing w:after="0"/>
        <w:rPr>
          <w:rFonts w:cs="Calibri"/>
          <w:color w:val="000000"/>
          <w:sz w:val="18"/>
          <w:szCs w:val="18"/>
        </w:rPr>
      </w:pPr>
      <w:r w:rsidRPr="00A303E0">
        <w:rPr>
          <w:rFonts w:cs="Calibri"/>
          <w:color w:val="000000"/>
          <w:sz w:val="18"/>
          <w:szCs w:val="18"/>
        </w:rPr>
        <w:t xml:space="preserve">* Additional to this, non-Table </w:t>
      </w:r>
      <w:proofErr w:type="gramStart"/>
      <w:r w:rsidRPr="00A303E0">
        <w:rPr>
          <w:rFonts w:cs="Calibri"/>
          <w:color w:val="000000"/>
          <w:sz w:val="18"/>
          <w:szCs w:val="18"/>
        </w:rPr>
        <w:t>A</w:t>
      </w:r>
      <w:proofErr w:type="gramEnd"/>
      <w:r w:rsidRPr="00A303E0">
        <w:rPr>
          <w:rFonts w:cs="Calibri"/>
          <w:color w:val="000000"/>
          <w:sz w:val="18"/>
          <w:szCs w:val="18"/>
        </w:rPr>
        <w:t xml:space="preserve"> provider UNDA also receives a designated allocation of 4494 undergraduate places that includes largely bachelor places. Within this undergraduate allocation, there is an unspecified number of enabling places, however the university receives enabling loading for 416 places.</w:t>
      </w:r>
    </w:p>
    <w:p w14:paraId="314B75C6" w14:textId="77777777" w:rsidR="00E01ABE" w:rsidRPr="00A303E0" w:rsidRDefault="00E01ABE" w:rsidP="00E01ABE">
      <w:pPr>
        <w:pStyle w:val="ListBullet"/>
        <w:numPr>
          <w:ilvl w:val="0"/>
          <w:numId w:val="0"/>
        </w:numPr>
        <w:spacing w:after="0"/>
        <w:contextualSpacing w:val="0"/>
        <w:rPr>
          <w:rFonts w:cs="Calibri"/>
          <w:color w:val="000000"/>
          <w:sz w:val="18"/>
          <w:szCs w:val="18"/>
        </w:rPr>
      </w:pPr>
      <w:r w:rsidRPr="00A303E0">
        <w:rPr>
          <w:rFonts w:cs="Calibri"/>
          <w:color w:val="000000"/>
          <w:sz w:val="18"/>
          <w:szCs w:val="18"/>
        </w:rPr>
        <w:t>**excludes medical places</w:t>
      </w:r>
    </w:p>
    <w:p w14:paraId="36F1F071" w14:textId="77777777" w:rsidR="00E01ABE" w:rsidRPr="00A303E0" w:rsidRDefault="00E01ABE" w:rsidP="00E01ABE">
      <w:pPr>
        <w:keepNext/>
        <w:keepLines/>
      </w:pPr>
      <w:r w:rsidRPr="00A303E0">
        <w:lastRenderedPageBreak/>
        <w:t xml:space="preserve">Chart 5 and Tables 2 and 3 below </w:t>
      </w:r>
      <w:proofErr w:type="gramStart"/>
      <w:r w:rsidRPr="00A303E0">
        <w:t>show university</w:t>
      </w:r>
      <w:proofErr w:type="gramEnd"/>
      <w:r w:rsidRPr="00A303E0">
        <w:t xml:space="preserve"> under and over enrolments, illustrating that allocations may not reflect the pattern of actual enrolments. There is currently little basis to the allocation of CSPs to ensure places are allocated to providers that are delivering the best outcomes for students, taxpayers and employers.</w:t>
      </w:r>
    </w:p>
    <w:p w14:paraId="7AA1EBC6" w14:textId="77777777" w:rsidR="00E01ABE" w:rsidRPr="00A303E0" w:rsidRDefault="00E01ABE" w:rsidP="00E01ABE">
      <w:pPr>
        <w:pStyle w:val="Caption"/>
        <w:keepNext/>
        <w:keepLines/>
      </w:pPr>
      <w:r w:rsidRPr="00A303E0">
        <w:t xml:space="preserve">Chart 5: 2016 Over and under enrolments, Table </w:t>
      </w:r>
      <w:proofErr w:type="gramStart"/>
      <w:r w:rsidRPr="00A303E0">
        <w:t>A</w:t>
      </w:r>
      <w:proofErr w:type="gramEnd"/>
      <w:r w:rsidRPr="00A303E0">
        <w:t xml:space="preserve"> providers </w:t>
      </w:r>
    </w:p>
    <w:p w14:paraId="30DF0B22" w14:textId="77777777" w:rsidR="00E01ABE" w:rsidRPr="00A303E0" w:rsidRDefault="00E01ABE" w:rsidP="00E01ABE">
      <w:pPr>
        <w:spacing w:after="0"/>
      </w:pPr>
      <w:r w:rsidRPr="00A303E0">
        <w:rPr>
          <w:noProof/>
          <w:lang w:eastAsia="en-AU"/>
        </w:rPr>
        <w:drawing>
          <wp:inline distT="0" distB="0" distL="0" distR="0" wp14:anchorId="70133F11" wp14:editId="2D67603E">
            <wp:extent cx="6309995" cy="7126605"/>
            <wp:effectExtent l="0" t="0" r="0" b="0"/>
            <wp:docPr id="7" name="Picture 7" descr="Bar chart showing Table A provider under and over enrolments for sub bachelor and postgraduate courses in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09995" cy="7126605"/>
                    </a:xfrm>
                    <a:prstGeom prst="rect">
                      <a:avLst/>
                    </a:prstGeom>
                    <a:noFill/>
                  </pic:spPr>
                </pic:pic>
              </a:graphicData>
            </a:graphic>
          </wp:inline>
        </w:drawing>
      </w:r>
    </w:p>
    <w:p w14:paraId="77BAE918" w14:textId="77777777" w:rsidR="00E01ABE" w:rsidRPr="00A303E0" w:rsidRDefault="00E01ABE" w:rsidP="00E01ABE">
      <w:pPr>
        <w:pStyle w:val="Caption"/>
        <w:keepNext/>
        <w:keepLines/>
      </w:pPr>
      <w:r w:rsidRPr="00A303E0">
        <w:lastRenderedPageBreak/>
        <w:t xml:space="preserve">Table 2: Allocated vs actual Commonwealth supported sub-bachelor places </w:t>
      </w:r>
    </w:p>
    <w:tbl>
      <w:tblPr>
        <w:tblW w:w="95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667"/>
        <w:gridCol w:w="2270"/>
        <w:gridCol w:w="2270"/>
        <w:gridCol w:w="2392"/>
      </w:tblGrid>
      <w:tr w:rsidR="00E01ABE" w:rsidRPr="00A303E0" w14:paraId="5A4FA1F4" w14:textId="77777777" w:rsidTr="00874075">
        <w:trPr>
          <w:trHeight w:val="221"/>
        </w:trPr>
        <w:tc>
          <w:tcPr>
            <w:tcW w:w="2667" w:type="dxa"/>
            <w:tcMar>
              <w:top w:w="0" w:type="dxa"/>
              <w:left w:w="108" w:type="dxa"/>
              <w:bottom w:w="0" w:type="dxa"/>
              <w:right w:w="108" w:type="dxa"/>
            </w:tcMar>
            <w:vAlign w:val="center"/>
            <w:hideMark/>
          </w:tcPr>
          <w:p w14:paraId="588D4470" w14:textId="77777777" w:rsidR="00E01ABE" w:rsidRPr="00A303E0" w:rsidRDefault="00E01ABE" w:rsidP="00874075">
            <w:pPr>
              <w:keepNext/>
              <w:keepLines/>
              <w:jc w:val="center"/>
              <w:rPr>
                <w:rFonts w:cs="Calibri"/>
                <w:b/>
                <w:bCs/>
                <w:color w:val="000000"/>
                <w:lang w:eastAsia="en-AU"/>
              </w:rPr>
            </w:pPr>
          </w:p>
        </w:tc>
        <w:tc>
          <w:tcPr>
            <w:tcW w:w="2270" w:type="dxa"/>
            <w:noWrap/>
            <w:tcMar>
              <w:top w:w="0" w:type="dxa"/>
              <w:left w:w="108" w:type="dxa"/>
              <w:bottom w:w="0" w:type="dxa"/>
              <w:right w:w="108" w:type="dxa"/>
            </w:tcMar>
            <w:vAlign w:val="center"/>
            <w:hideMark/>
          </w:tcPr>
          <w:p w14:paraId="3E876D4E" w14:textId="77777777" w:rsidR="00E01ABE" w:rsidRPr="00A303E0" w:rsidRDefault="00E01ABE" w:rsidP="00874075">
            <w:pPr>
              <w:keepNext/>
              <w:keepLines/>
              <w:jc w:val="center"/>
              <w:rPr>
                <w:b/>
                <w:color w:val="000000"/>
                <w:lang w:eastAsia="en-AU"/>
              </w:rPr>
            </w:pPr>
            <w:r w:rsidRPr="00A303E0">
              <w:rPr>
                <w:b/>
                <w:color w:val="000000"/>
                <w:lang w:eastAsia="en-AU"/>
              </w:rPr>
              <w:t>Allocated</w:t>
            </w:r>
          </w:p>
        </w:tc>
        <w:tc>
          <w:tcPr>
            <w:tcW w:w="2270" w:type="dxa"/>
            <w:noWrap/>
            <w:tcMar>
              <w:top w:w="0" w:type="dxa"/>
              <w:left w:w="108" w:type="dxa"/>
              <w:bottom w:w="0" w:type="dxa"/>
              <w:right w:w="108" w:type="dxa"/>
            </w:tcMar>
            <w:vAlign w:val="center"/>
            <w:hideMark/>
          </w:tcPr>
          <w:p w14:paraId="6C792366" w14:textId="77777777" w:rsidR="00E01ABE" w:rsidRPr="00A303E0" w:rsidRDefault="00E01ABE" w:rsidP="00874075">
            <w:pPr>
              <w:keepNext/>
              <w:keepLines/>
              <w:jc w:val="center"/>
              <w:rPr>
                <w:b/>
                <w:color w:val="000000"/>
                <w:lang w:eastAsia="en-AU"/>
              </w:rPr>
            </w:pPr>
            <w:r w:rsidRPr="00A303E0">
              <w:rPr>
                <w:b/>
                <w:color w:val="000000"/>
                <w:lang w:eastAsia="en-AU"/>
              </w:rPr>
              <w:t>Actual</w:t>
            </w:r>
          </w:p>
        </w:tc>
        <w:tc>
          <w:tcPr>
            <w:tcW w:w="2392" w:type="dxa"/>
            <w:noWrap/>
            <w:tcMar>
              <w:top w:w="0" w:type="dxa"/>
              <w:left w:w="108" w:type="dxa"/>
              <w:bottom w:w="0" w:type="dxa"/>
              <w:right w:w="108" w:type="dxa"/>
            </w:tcMar>
            <w:vAlign w:val="center"/>
            <w:hideMark/>
          </w:tcPr>
          <w:p w14:paraId="7E4FE6A1" w14:textId="77777777" w:rsidR="00E01ABE" w:rsidRPr="00A303E0" w:rsidRDefault="00E01ABE" w:rsidP="00874075">
            <w:pPr>
              <w:keepNext/>
              <w:keepLines/>
              <w:jc w:val="center"/>
              <w:rPr>
                <w:b/>
                <w:color w:val="000000"/>
                <w:lang w:eastAsia="en-AU"/>
              </w:rPr>
            </w:pPr>
            <w:r w:rsidRPr="00A303E0">
              <w:rPr>
                <w:b/>
                <w:color w:val="000000"/>
                <w:lang w:eastAsia="en-AU"/>
              </w:rPr>
              <w:t>Variation</w:t>
            </w:r>
          </w:p>
        </w:tc>
      </w:tr>
      <w:tr w:rsidR="00E01ABE" w:rsidRPr="00A303E0" w14:paraId="1D711425" w14:textId="77777777" w:rsidTr="00874075">
        <w:trPr>
          <w:trHeight w:val="221"/>
        </w:trPr>
        <w:tc>
          <w:tcPr>
            <w:tcW w:w="26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3C04E409" w14:textId="77777777" w:rsidR="00E01ABE" w:rsidRPr="00A303E0" w:rsidRDefault="00E01ABE" w:rsidP="00874075">
            <w:pPr>
              <w:keepNext/>
              <w:keepLines/>
              <w:spacing w:after="0"/>
              <w:jc w:val="center"/>
              <w:rPr>
                <w:rFonts w:cs="Calibri"/>
                <w:color w:val="000000"/>
              </w:rPr>
            </w:pPr>
            <w:r w:rsidRPr="00A303E0">
              <w:rPr>
                <w:rFonts w:cs="Calibri"/>
                <w:color w:val="000000"/>
              </w:rPr>
              <w:t>2018</w:t>
            </w:r>
          </w:p>
        </w:tc>
        <w:tc>
          <w:tcPr>
            <w:tcW w:w="2270"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22ACF14E" w14:textId="77777777" w:rsidR="00E01ABE" w:rsidRPr="00A303E0" w:rsidRDefault="00E01ABE" w:rsidP="00874075">
            <w:pPr>
              <w:keepNext/>
              <w:keepLines/>
              <w:jc w:val="right"/>
              <w:rPr>
                <w:rFonts w:cs="Calibri"/>
                <w:color w:val="000000"/>
              </w:rPr>
            </w:pPr>
            <w:r w:rsidRPr="00A303E0">
              <w:rPr>
                <w:rFonts w:cs="Calibri"/>
                <w:color w:val="000000"/>
              </w:rPr>
              <w:t>19,263</w:t>
            </w:r>
          </w:p>
        </w:tc>
        <w:tc>
          <w:tcPr>
            <w:tcW w:w="2270" w:type="dxa"/>
            <w:tcBorders>
              <w:top w:val="single" w:sz="4" w:space="0" w:color="auto"/>
              <w:left w:val="nil"/>
              <w:bottom w:val="single" w:sz="4" w:space="0" w:color="auto"/>
              <w:right w:val="single" w:sz="4" w:space="0" w:color="auto"/>
            </w:tcBorders>
            <w:shd w:val="clear" w:color="000000" w:fill="B1B1B1"/>
            <w:noWrap/>
            <w:tcMar>
              <w:top w:w="0" w:type="dxa"/>
              <w:left w:w="108" w:type="dxa"/>
              <w:bottom w:w="0" w:type="dxa"/>
              <w:right w:w="108" w:type="dxa"/>
            </w:tcMar>
            <w:vAlign w:val="center"/>
            <w:hideMark/>
          </w:tcPr>
          <w:p w14:paraId="5FB2147A" w14:textId="77777777" w:rsidR="00E01ABE" w:rsidRPr="00A303E0" w:rsidRDefault="00E01ABE" w:rsidP="00874075">
            <w:pPr>
              <w:keepNext/>
              <w:keepLines/>
              <w:jc w:val="right"/>
              <w:rPr>
                <w:rFonts w:cs="Calibri"/>
                <w:color w:val="000000"/>
              </w:rPr>
            </w:pPr>
            <w:r w:rsidRPr="00A303E0">
              <w:rPr>
                <w:rFonts w:cs="Calibri"/>
                <w:color w:val="000000"/>
              </w:rPr>
              <w:t> </w:t>
            </w:r>
          </w:p>
        </w:tc>
        <w:tc>
          <w:tcPr>
            <w:tcW w:w="2392" w:type="dxa"/>
            <w:tcBorders>
              <w:top w:val="single" w:sz="4" w:space="0" w:color="auto"/>
              <w:left w:val="nil"/>
              <w:bottom w:val="single" w:sz="4" w:space="0" w:color="auto"/>
              <w:right w:val="single" w:sz="4" w:space="0" w:color="auto"/>
            </w:tcBorders>
            <w:shd w:val="clear" w:color="000000" w:fill="B1B1B1"/>
            <w:noWrap/>
            <w:tcMar>
              <w:top w:w="0" w:type="dxa"/>
              <w:left w:w="108" w:type="dxa"/>
              <w:bottom w:w="0" w:type="dxa"/>
              <w:right w:w="108" w:type="dxa"/>
            </w:tcMar>
            <w:vAlign w:val="center"/>
            <w:hideMark/>
          </w:tcPr>
          <w:p w14:paraId="4DC86FAD" w14:textId="77777777" w:rsidR="00E01ABE" w:rsidRPr="00A303E0" w:rsidRDefault="00E01ABE" w:rsidP="00874075">
            <w:pPr>
              <w:keepNext/>
              <w:keepLines/>
              <w:jc w:val="right"/>
              <w:rPr>
                <w:rFonts w:cs="Calibri"/>
                <w:color w:val="000000"/>
              </w:rPr>
            </w:pPr>
            <w:r w:rsidRPr="00A303E0">
              <w:rPr>
                <w:rFonts w:cs="Calibri"/>
                <w:color w:val="000000"/>
              </w:rPr>
              <w:t> </w:t>
            </w:r>
          </w:p>
        </w:tc>
      </w:tr>
      <w:tr w:rsidR="00E01ABE" w:rsidRPr="00A303E0" w14:paraId="65FEA5DD" w14:textId="77777777" w:rsidTr="00E15249">
        <w:trPr>
          <w:trHeight w:val="221"/>
        </w:trPr>
        <w:tc>
          <w:tcPr>
            <w:tcW w:w="2667"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161E902F" w14:textId="77777777" w:rsidR="00E01ABE" w:rsidRPr="00A303E0" w:rsidRDefault="00E01ABE" w:rsidP="00874075">
            <w:pPr>
              <w:keepNext/>
              <w:keepLines/>
              <w:jc w:val="center"/>
              <w:rPr>
                <w:rFonts w:cs="Calibri"/>
                <w:color w:val="000000"/>
              </w:rPr>
            </w:pPr>
            <w:r w:rsidRPr="00A303E0">
              <w:rPr>
                <w:rFonts w:cs="Calibri"/>
                <w:color w:val="000000"/>
              </w:rPr>
              <w:t>2017</w:t>
            </w:r>
          </w:p>
        </w:tc>
        <w:tc>
          <w:tcPr>
            <w:tcW w:w="2270"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2D8E0C27" w14:textId="77777777" w:rsidR="00E01ABE" w:rsidRPr="00A303E0" w:rsidRDefault="00E01ABE" w:rsidP="00874075">
            <w:pPr>
              <w:keepNext/>
              <w:keepLines/>
              <w:jc w:val="right"/>
              <w:rPr>
                <w:rFonts w:cs="Calibri"/>
                <w:color w:val="000000"/>
              </w:rPr>
            </w:pPr>
            <w:r w:rsidRPr="00A303E0">
              <w:rPr>
                <w:rFonts w:cs="Calibri"/>
                <w:color w:val="000000"/>
              </w:rPr>
              <w:t>19,778</w:t>
            </w:r>
          </w:p>
        </w:tc>
        <w:tc>
          <w:tcPr>
            <w:tcW w:w="2270"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3D750D09" w14:textId="6F6218DB" w:rsidR="00E01ABE" w:rsidRPr="00A303E0" w:rsidRDefault="00E15249" w:rsidP="00874075">
            <w:pPr>
              <w:keepNext/>
              <w:keepLines/>
              <w:jc w:val="right"/>
              <w:rPr>
                <w:rFonts w:cs="Calibri"/>
                <w:color w:val="000000"/>
              </w:rPr>
            </w:pPr>
            <w:r w:rsidRPr="00A303E0">
              <w:rPr>
                <w:rFonts w:cs="Calibri"/>
                <w:color w:val="000000"/>
              </w:rPr>
              <w:t>23,210</w:t>
            </w:r>
            <w:r w:rsidR="00E01ABE" w:rsidRPr="00A303E0">
              <w:rPr>
                <w:rFonts w:cs="Calibri"/>
                <w:color w:val="000000"/>
              </w:rPr>
              <w:t> </w:t>
            </w:r>
          </w:p>
        </w:tc>
        <w:tc>
          <w:tcPr>
            <w:tcW w:w="2392"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4E81D614" w14:textId="576954CB" w:rsidR="00E01ABE" w:rsidRPr="00A303E0" w:rsidRDefault="00E15249" w:rsidP="00874075">
            <w:pPr>
              <w:keepNext/>
              <w:keepLines/>
              <w:jc w:val="right"/>
              <w:rPr>
                <w:rFonts w:cs="Calibri"/>
                <w:color w:val="000000"/>
              </w:rPr>
            </w:pPr>
            <w:r w:rsidRPr="00A303E0">
              <w:rPr>
                <w:rFonts w:cs="Calibri"/>
                <w:color w:val="000000"/>
              </w:rPr>
              <w:t>3,432</w:t>
            </w:r>
            <w:r w:rsidR="00E01ABE" w:rsidRPr="00A303E0">
              <w:rPr>
                <w:rFonts w:cs="Calibri"/>
                <w:color w:val="000000"/>
              </w:rPr>
              <w:t> </w:t>
            </w:r>
          </w:p>
        </w:tc>
      </w:tr>
      <w:tr w:rsidR="00E01ABE" w:rsidRPr="00A303E0" w14:paraId="639E08DA" w14:textId="77777777" w:rsidTr="00874075">
        <w:trPr>
          <w:trHeight w:val="221"/>
        </w:trPr>
        <w:tc>
          <w:tcPr>
            <w:tcW w:w="2667"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752DFF00" w14:textId="77777777" w:rsidR="00E01ABE" w:rsidRPr="00A303E0" w:rsidRDefault="00E01ABE" w:rsidP="00874075">
            <w:pPr>
              <w:keepNext/>
              <w:keepLines/>
              <w:jc w:val="center"/>
              <w:rPr>
                <w:rFonts w:cs="Calibri"/>
                <w:color w:val="000000"/>
              </w:rPr>
            </w:pPr>
            <w:r w:rsidRPr="00A303E0">
              <w:rPr>
                <w:rFonts w:cs="Calibri"/>
                <w:color w:val="000000"/>
              </w:rPr>
              <w:t>2016</w:t>
            </w:r>
          </w:p>
        </w:tc>
        <w:tc>
          <w:tcPr>
            <w:tcW w:w="2270"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009C9C8A" w14:textId="77777777" w:rsidR="00E01ABE" w:rsidRPr="00A303E0" w:rsidRDefault="00E01ABE" w:rsidP="00874075">
            <w:pPr>
              <w:keepNext/>
              <w:keepLines/>
              <w:jc w:val="right"/>
              <w:rPr>
                <w:rFonts w:cs="Calibri"/>
                <w:color w:val="000000"/>
              </w:rPr>
            </w:pPr>
            <w:r w:rsidRPr="00A303E0">
              <w:rPr>
                <w:rFonts w:cs="Calibri"/>
                <w:color w:val="000000"/>
              </w:rPr>
              <w:t>19,462</w:t>
            </w:r>
          </w:p>
        </w:tc>
        <w:tc>
          <w:tcPr>
            <w:tcW w:w="2270"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132DFF3A" w14:textId="77777777" w:rsidR="00E01ABE" w:rsidRPr="00A303E0" w:rsidRDefault="00E01ABE" w:rsidP="00874075">
            <w:pPr>
              <w:keepNext/>
              <w:keepLines/>
              <w:jc w:val="right"/>
              <w:rPr>
                <w:rFonts w:cs="Calibri"/>
                <w:color w:val="000000"/>
              </w:rPr>
            </w:pPr>
            <w:r w:rsidRPr="00A303E0">
              <w:rPr>
                <w:rFonts w:cs="Calibri"/>
                <w:color w:val="000000"/>
              </w:rPr>
              <w:t>22,614</w:t>
            </w:r>
          </w:p>
        </w:tc>
        <w:tc>
          <w:tcPr>
            <w:tcW w:w="2392"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66A5042C" w14:textId="77777777" w:rsidR="00E01ABE" w:rsidRPr="00A303E0" w:rsidRDefault="00E01ABE" w:rsidP="00874075">
            <w:pPr>
              <w:keepNext/>
              <w:keepLines/>
              <w:jc w:val="right"/>
              <w:rPr>
                <w:rFonts w:cs="Calibri"/>
                <w:color w:val="000000"/>
              </w:rPr>
            </w:pPr>
            <w:r w:rsidRPr="00A303E0">
              <w:rPr>
                <w:rFonts w:cs="Calibri"/>
                <w:color w:val="000000"/>
              </w:rPr>
              <w:t xml:space="preserve">3,153 </w:t>
            </w:r>
          </w:p>
        </w:tc>
      </w:tr>
      <w:tr w:rsidR="00E01ABE" w:rsidRPr="00A303E0" w14:paraId="0DCA47DE" w14:textId="77777777" w:rsidTr="00874075">
        <w:trPr>
          <w:trHeight w:val="221"/>
        </w:trPr>
        <w:tc>
          <w:tcPr>
            <w:tcW w:w="2667"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0C674E7" w14:textId="77777777" w:rsidR="00E01ABE" w:rsidRPr="00A303E0" w:rsidRDefault="00E01ABE" w:rsidP="00874075">
            <w:pPr>
              <w:keepNext/>
              <w:keepLines/>
              <w:jc w:val="center"/>
              <w:rPr>
                <w:rFonts w:cs="Calibri"/>
                <w:color w:val="000000"/>
              </w:rPr>
            </w:pPr>
            <w:r w:rsidRPr="00A303E0">
              <w:rPr>
                <w:rFonts w:cs="Calibri"/>
                <w:color w:val="000000"/>
              </w:rPr>
              <w:t>2015</w:t>
            </w:r>
          </w:p>
        </w:tc>
        <w:tc>
          <w:tcPr>
            <w:tcW w:w="2270"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187F965D" w14:textId="77777777" w:rsidR="00E01ABE" w:rsidRPr="00A303E0" w:rsidRDefault="00E01ABE" w:rsidP="00874075">
            <w:pPr>
              <w:keepNext/>
              <w:keepLines/>
              <w:jc w:val="right"/>
              <w:rPr>
                <w:rFonts w:cs="Calibri"/>
                <w:color w:val="000000"/>
              </w:rPr>
            </w:pPr>
            <w:r w:rsidRPr="00A303E0">
              <w:rPr>
                <w:rFonts w:cs="Calibri"/>
                <w:color w:val="000000"/>
              </w:rPr>
              <w:t>19,435</w:t>
            </w:r>
          </w:p>
        </w:tc>
        <w:tc>
          <w:tcPr>
            <w:tcW w:w="2270"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71B83C75" w14:textId="77777777" w:rsidR="00E01ABE" w:rsidRPr="00A303E0" w:rsidRDefault="00E01ABE" w:rsidP="00874075">
            <w:pPr>
              <w:keepNext/>
              <w:keepLines/>
              <w:jc w:val="right"/>
              <w:rPr>
                <w:rFonts w:cs="Calibri"/>
                <w:color w:val="000000"/>
              </w:rPr>
            </w:pPr>
            <w:r w:rsidRPr="00A303E0">
              <w:rPr>
                <w:rFonts w:cs="Calibri"/>
                <w:color w:val="000000"/>
              </w:rPr>
              <w:t>20,407</w:t>
            </w:r>
          </w:p>
        </w:tc>
        <w:tc>
          <w:tcPr>
            <w:tcW w:w="2392"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43F44A11" w14:textId="77777777" w:rsidR="00E01ABE" w:rsidRPr="00A303E0" w:rsidRDefault="00E01ABE" w:rsidP="00874075">
            <w:pPr>
              <w:keepNext/>
              <w:keepLines/>
              <w:jc w:val="right"/>
              <w:rPr>
                <w:rFonts w:cs="Calibri"/>
                <w:color w:val="000000"/>
              </w:rPr>
            </w:pPr>
            <w:r w:rsidRPr="00A303E0">
              <w:rPr>
                <w:rFonts w:cs="Calibri"/>
                <w:color w:val="000000"/>
              </w:rPr>
              <w:t xml:space="preserve">972 </w:t>
            </w:r>
          </w:p>
        </w:tc>
      </w:tr>
      <w:tr w:rsidR="00E01ABE" w:rsidRPr="00A303E0" w14:paraId="1474CAA4" w14:textId="77777777" w:rsidTr="00874075">
        <w:trPr>
          <w:trHeight w:val="221"/>
        </w:trPr>
        <w:tc>
          <w:tcPr>
            <w:tcW w:w="2667"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433D363" w14:textId="77777777" w:rsidR="00E01ABE" w:rsidRPr="00A303E0" w:rsidRDefault="00E01ABE" w:rsidP="00874075">
            <w:pPr>
              <w:keepNext/>
              <w:keepLines/>
              <w:jc w:val="center"/>
              <w:rPr>
                <w:rFonts w:cs="Calibri"/>
                <w:color w:val="000000"/>
              </w:rPr>
            </w:pPr>
            <w:r w:rsidRPr="00A303E0">
              <w:rPr>
                <w:rFonts w:cs="Calibri"/>
                <w:color w:val="000000"/>
              </w:rPr>
              <w:t>2014</w:t>
            </w:r>
          </w:p>
        </w:tc>
        <w:tc>
          <w:tcPr>
            <w:tcW w:w="2270"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7341383B" w14:textId="77777777" w:rsidR="00E01ABE" w:rsidRPr="00A303E0" w:rsidRDefault="00E01ABE" w:rsidP="00874075">
            <w:pPr>
              <w:keepNext/>
              <w:keepLines/>
              <w:jc w:val="right"/>
              <w:rPr>
                <w:rFonts w:cs="Calibri"/>
                <w:color w:val="000000"/>
              </w:rPr>
            </w:pPr>
            <w:r w:rsidRPr="00A303E0">
              <w:rPr>
                <w:rFonts w:cs="Calibri"/>
                <w:color w:val="000000"/>
              </w:rPr>
              <w:t>19,579</w:t>
            </w:r>
          </w:p>
        </w:tc>
        <w:tc>
          <w:tcPr>
            <w:tcW w:w="2270"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28172346" w14:textId="77777777" w:rsidR="00E01ABE" w:rsidRPr="00A303E0" w:rsidRDefault="00E01ABE" w:rsidP="00874075">
            <w:pPr>
              <w:keepNext/>
              <w:keepLines/>
              <w:jc w:val="right"/>
              <w:rPr>
                <w:rFonts w:cs="Calibri"/>
                <w:color w:val="000000"/>
              </w:rPr>
            </w:pPr>
            <w:r w:rsidRPr="00A303E0">
              <w:rPr>
                <w:rFonts w:cs="Calibri"/>
                <w:color w:val="000000"/>
              </w:rPr>
              <w:t>19,606</w:t>
            </w:r>
          </w:p>
        </w:tc>
        <w:tc>
          <w:tcPr>
            <w:tcW w:w="2392"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1AB10761" w14:textId="77777777" w:rsidR="00E01ABE" w:rsidRPr="00A303E0" w:rsidRDefault="00E01ABE" w:rsidP="00874075">
            <w:pPr>
              <w:keepNext/>
              <w:keepLines/>
              <w:jc w:val="right"/>
              <w:rPr>
                <w:rFonts w:cs="Calibri"/>
                <w:color w:val="000000"/>
              </w:rPr>
            </w:pPr>
            <w:r w:rsidRPr="00A303E0">
              <w:rPr>
                <w:rFonts w:cs="Calibri"/>
                <w:color w:val="000000"/>
              </w:rPr>
              <w:t xml:space="preserve">27 </w:t>
            </w:r>
          </w:p>
        </w:tc>
      </w:tr>
      <w:tr w:rsidR="00E01ABE" w:rsidRPr="00A303E0" w14:paraId="4D1C4EA5" w14:textId="77777777" w:rsidTr="00874075">
        <w:trPr>
          <w:trHeight w:val="221"/>
        </w:trPr>
        <w:tc>
          <w:tcPr>
            <w:tcW w:w="2667"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F8EA41B" w14:textId="77777777" w:rsidR="00E01ABE" w:rsidRPr="00A303E0" w:rsidRDefault="00E01ABE" w:rsidP="00874075">
            <w:pPr>
              <w:keepNext/>
              <w:keepLines/>
              <w:jc w:val="center"/>
              <w:rPr>
                <w:rFonts w:cs="Calibri"/>
                <w:color w:val="000000"/>
              </w:rPr>
            </w:pPr>
            <w:r w:rsidRPr="00A303E0">
              <w:rPr>
                <w:rFonts w:cs="Calibri"/>
                <w:color w:val="000000"/>
              </w:rPr>
              <w:t>2013</w:t>
            </w:r>
          </w:p>
        </w:tc>
        <w:tc>
          <w:tcPr>
            <w:tcW w:w="2270"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7E3A984A" w14:textId="77777777" w:rsidR="00E01ABE" w:rsidRPr="00A303E0" w:rsidRDefault="00E01ABE" w:rsidP="00874075">
            <w:pPr>
              <w:keepNext/>
              <w:keepLines/>
              <w:jc w:val="right"/>
              <w:rPr>
                <w:rFonts w:cs="Calibri"/>
                <w:color w:val="000000"/>
              </w:rPr>
            </w:pPr>
            <w:r w:rsidRPr="00A303E0">
              <w:rPr>
                <w:rFonts w:cs="Calibri"/>
                <w:color w:val="000000"/>
              </w:rPr>
              <w:t>19,464</w:t>
            </w:r>
          </w:p>
        </w:tc>
        <w:tc>
          <w:tcPr>
            <w:tcW w:w="2270"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28F15216" w14:textId="77777777" w:rsidR="00E01ABE" w:rsidRPr="00A303E0" w:rsidRDefault="00E01ABE" w:rsidP="00874075">
            <w:pPr>
              <w:keepNext/>
              <w:keepLines/>
              <w:jc w:val="right"/>
              <w:rPr>
                <w:rFonts w:cs="Calibri"/>
                <w:color w:val="000000"/>
              </w:rPr>
            </w:pPr>
            <w:r w:rsidRPr="00A303E0">
              <w:rPr>
                <w:rFonts w:cs="Calibri"/>
                <w:color w:val="000000"/>
              </w:rPr>
              <w:t>18,768</w:t>
            </w:r>
          </w:p>
        </w:tc>
        <w:tc>
          <w:tcPr>
            <w:tcW w:w="2392"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4CE6CB91" w14:textId="77777777" w:rsidR="00E01ABE" w:rsidRPr="00A303E0" w:rsidRDefault="00E01ABE" w:rsidP="00874075">
            <w:pPr>
              <w:keepNext/>
              <w:keepLines/>
              <w:jc w:val="right"/>
              <w:rPr>
                <w:rFonts w:cs="Calibri"/>
                <w:color w:val="000000"/>
              </w:rPr>
            </w:pPr>
            <w:r w:rsidRPr="00A303E0">
              <w:rPr>
                <w:rFonts w:cs="Calibri"/>
                <w:color w:val="FF0000"/>
              </w:rPr>
              <w:t xml:space="preserve">-696 </w:t>
            </w:r>
          </w:p>
        </w:tc>
      </w:tr>
      <w:tr w:rsidR="00E01ABE" w:rsidRPr="00A303E0" w14:paraId="73AB3949" w14:textId="77777777" w:rsidTr="00874075">
        <w:trPr>
          <w:trHeight w:val="221"/>
        </w:trPr>
        <w:tc>
          <w:tcPr>
            <w:tcW w:w="2667"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201E908" w14:textId="77777777" w:rsidR="00E01ABE" w:rsidRPr="00A303E0" w:rsidRDefault="00E01ABE" w:rsidP="00874075">
            <w:pPr>
              <w:keepNext/>
              <w:keepLines/>
              <w:jc w:val="center"/>
              <w:rPr>
                <w:rFonts w:cs="Calibri"/>
                <w:color w:val="000000"/>
              </w:rPr>
            </w:pPr>
            <w:r w:rsidRPr="00A303E0">
              <w:rPr>
                <w:rFonts w:cs="Calibri"/>
                <w:color w:val="000000"/>
              </w:rPr>
              <w:t>2012</w:t>
            </w:r>
          </w:p>
        </w:tc>
        <w:tc>
          <w:tcPr>
            <w:tcW w:w="2270"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2E55B09F" w14:textId="77777777" w:rsidR="00E01ABE" w:rsidRPr="00A303E0" w:rsidRDefault="00E01ABE" w:rsidP="00874075">
            <w:pPr>
              <w:keepNext/>
              <w:keepLines/>
              <w:jc w:val="right"/>
              <w:rPr>
                <w:rFonts w:cs="Calibri"/>
                <w:color w:val="000000"/>
              </w:rPr>
            </w:pPr>
            <w:r w:rsidRPr="00A303E0">
              <w:rPr>
                <w:rFonts w:cs="Calibri"/>
                <w:color w:val="000000"/>
              </w:rPr>
              <w:t>18,179</w:t>
            </w:r>
          </w:p>
        </w:tc>
        <w:tc>
          <w:tcPr>
            <w:tcW w:w="2270"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2865A000" w14:textId="77777777" w:rsidR="00E01ABE" w:rsidRPr="00A303E0" w:rsidRDefault="00E01ABE" w:rsidP="00874075">
            <w:pPr>
              <w:keepNext/>
              <w:keepLines/>
              <w:jc w:val="right"/>
              <w:rPr>
                <w:rFonts w:cs="Calibri"/>
                <w:color w:val="000000"/>
              </w:rPr>
            </w:pPr>
            <w:r w:rsidRPr="00A303E0">
              <w:rPr>
                <w:rFonts w:cs="Calibri"/>
                <w:color w:val="000000"/>
              </w:rPr>
              <w:t>16,835</w:t>
            </w:r>
          </w:p>
        </w:tc>
        <w:tc>
          <w:tcPr>
            <w:tcW w:w="2392"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5DB7EA7A" w14:textId="77777777" w:rsidR="00E01ABE" w:rsidRPr="00A303E0" w:rsidRDefault="00E01ABE" w:rsidP="00874075">
            <w:pPr>
              <w:keepNext/>
              <w:keepLines/>
              <w:jc w:val="right"/>
              <w:rPr>
                <w:rFonts w:cs="Calibri"/>
                <w:color w:val="000000"/>
              </w:rPr>
            </w:pPr>
            <w:r w:rsidRPr="00A303E0">
              <w:rPr>
                <w:rFonts w:cs="Calibri"/>
                <w:color w:val="FF0000"/>
              </w:rPr>
              <w:t xml:space="preserve">-1,345 </w:t>
            </w:r>
          </w:p>
        </w:tc>
      </w:tr>
    </w:tbl>
    <w:p w14:paraId="6D92431D" w14:textId="77777777" w:rsidR="001D1F16" w:rsidRPr="00A303E0" w:rsidRDefault="001D1F16" w:rsidP="001D1F16">
      <w:pPr>
        <w:keepNext/>
        <w:keepLines/>
        <w:spacing w:after="0"/>
        <w:rPr>
          <w:color w:val="000000"/>
          <w:sz w:val="18"/>
          <w:szCs w:val="18"/>
          <w:lang w:eastAsia="en-AU"/>
        </w:rPr>
      </w:pPr>
      <w:r w:rsidRPr="00A303E0">
        <w:rPr>
          <w:color w:val="000000"/>
          <w:sz w:val="18"/>
          <w:szCs w:val="18"/>
          <w:lang w:eastAsia="en-AU"/>
        </w:rPr>
        <w:t xml:space="preserve">Note: Includes enabling places at the University </w:t>
      </w:r>
      <w:proofErr w:type="gramStart"/>
      <w:r w:rsidRPr="00A303E0">
        <w:rPr>
          <w:color w:val="000000"/>
          <w:sz w:val="18"/>
          <w:szCs w:val="18"/>
          <w:lang w:eastAsia="en-AU"/>
        </w:rPr>
        <w:t>of</w:t>
      </w:r>
      <w:proofErr w:type="gramEnd"/>
      <w:r w:rsidRPr="00A303E0">
        <w:rPr>
          <w:color w:val="000000"/>
          <w:sz w:val="18"/>
          <w:szCs w:val="18"/>
          <w:lang w:eastAsia="en-AU"/>
        </w:rPr>
        <w:t xml:space="preserve"> Notre Dame.</w:t>
      </w:r>
    </w:p>
    <w:p w14:paraId="420DDB3C" w14:textId="0CC8C3C0" w:rsidR="00E01ABE" w:rsidRPr="00A303E0" w:rsidRDefault="00E01ABE" w:rsidP="00E01ABE">
      <w:pPr>
        <w:pStyle w:val="Caption"/>
      </w:pPr>
      <w:r w:rsidRPr="00A303E0">
        <w:t xml:space="preserve">Table 3: Allocated vs actual Commonwealth supported postgraduate places </w:t>
      </w:r>
    </w:p>
    <w:tbl>
      <w:tblPr>
        <w:tblW w:w="9721" w:type="dxa"/>
        <w:tblCellMar>
          <w:left w:w="0" w:type="dxa"/>
          <w:right w:w="0" w:type="dxa"/>
        </w:tblCellMar>
        <w:tblLook w:val="04A0" w:firstRow="1" w:lastRow="0" w:firstColumn="1" w:lastColumn="0" w:noHBand="0" w:noVBand="1"/>
      </w:tblPr>
      <w:tblGrid>
        <w:gridCol w:w="2701"/>
        <w:gridCol w:w="2299"/>
        <w:gridCol w:w="2299"/>
        <w:gridCol w:w="2422"/>
      </w:tblGrid>
      <w:tr w:rsidR="00E01ABE" w:rsidRPr="00A303E0" w14:paraId="7BE74815" w14:textId="77777777" w:rsidTr="00874075">
        <w:trPr>
          <w:trHeight w:val="221"/>
        </w:trPr>
        <w:tc>
          <w:tcPr>
            <w:tcW w:w="2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A05195" w14:textId="77777777" w:rsidR="00E01ABE" w:rsidRPr="00A303E0" w:rsidRDefault="00E01ABE" w:rsidP="00874075">
            <w:pPr>
              <w:jc w:val="center"/>
              <w:rPr>
                <w:rFonts w:cs="Calibri"/>
                <w:b/>
                <w:bCs/>
                <w:color w:val="000000"/>
                <w:lang w:eastAsia="en-AU"/>
              </w:rPr>
            </w:pPr>
          </w:p>
        </w:tc>
        <w:tc>
          <w:tcPr>
            <w:tcW w:w="229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966913B" w14:textId="77777777" w:rsidR="00E01ABE" w:rsidRPr="00A303E0" w:rsidRDefault="00E01ABE" w:rsidP="00874075">
            <w:pPr>
              <w:jc w:val="center"/>
              <w:rPr>
                <w:b/>
                <w:color w:val="000000"/>
                <w:lang w:eastAsia="en-AU"/>
              </w:rPr>
            </w:pPr>
            <w:r w:rsidRPr="00A303E0">
              <w:rPr>
                <w:b/>
                <w:color w:val="000000"/>
                <w:lang w:eastAsia="en-AU"/>
              </w:rPr>
              <w:t>Allocated</w:t>
            </w:r>
          </w:p>
        </w:tc>
        <w:tc>
          <w:tcPr>
            <w:tcW w:w="229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EDE3E94" w14:textId="77777777" w:rsidR="00E01ABE" w:rsidRPr="00A303E0" w:rsidRDefault="00E01ABE" w:rsidP="00874075">
            <w:pPr>
              <w:jc w:val="center"/>
              <w:rPr>
                <w:b/>
                <w:color w:val="000000"/>
                <w:lang w:eastAsia="en-AU"/>
              </w:rPr>
            </w:pPr>
            <w:r w:rsidRPr="00A303E0">
              <w:rPr>
                <w:b/>
                <w:color w:val="000000"/>
                <w:lang w:eastAsia="en-AU"/>
              </w:rPr>
              <w:t>Actual</w:t>
            </w:r>
          </w:p>
        </w:tc>
        <w:tc>
          <w:tcPr>
            <w:tcW w:w="242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F138BCF" w14:textId="77777777" w:rsidR="00E01ABE" w:rsidRPr="00A303E0" w:rsidRDefault="00E01ABE" w:rsidP="00874075">
            <w:pPr>
              <w:jc w:val="center"/>
              <w:rPr>
                <w:b/>
                <w:color w:val="000000"/>
                <w:lang w:eastAsia="en-AU"/>
              </w:rPr>
            </w:pPr>
            <w:r w:rsidRPr="00A303E0">
              <w:rPr>
                <w:b/>
                <w:color w:val="000000"/>
                <w:lang w:eastAsia="en-AU"/>
              </w:rPr>
              <w:t>Variation</w:t>
            </w:r>
          </w:p>
        </w:tc>
      </w:tr>
      <w:tr w:rsidR="00E01ABE" w:rsidRPr="00A303E0" w14:paraId="04F182C6" w14:textId="77777777" w:rsidTr="00874075">
        <w:trPr>
          <w:trHeight w:val="221"/>
        </w:trPr>
        <w:tc>
          <w:tcPr>
            <w:tcW w:w="2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72C53D32" w14:textId="77777777" w:rsidR="00E01ABE" w:rsidRPr="00A303E0" w:rsidRDefault="00E01ABE" w:rsidP="00874075">
            <w:pPr>
              <w:spacing w:after="0"/>
              <w:jc w:val="center"/>
              <w:rPr>
                <w:rFonts w:cs="Calibri"/>
                <w:color w:val="000000"/>
              </w:rPr>
            </w:pPr>
            <w:r w:rsidRPr="00A303E0">
              <w:rPr>
                <w:rFonts w:cs="Calibri"/>
                <w:color w:val="000000"/>
              </w:rPr>
              <w:t>2018</w:t>
            </w:r>
          </w:p>
        </w:tc>
        <w:tc>
          <w:tcPr>
            <w:tcW w:w="2299"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13C992D7" w14:textId="77777777" w:rsidR="00E01ABE" w:rsidRPr="00A303E0" w:rsidRDefault="00E01ABE" w:rsidP="00874075">
            <w:pPr>
              <w:jc w:val="right"/>
              <w:rPr>
                <w:rFonts w:cs="Calibri"/>
                <w:color w:val="000000"/>
              </w:rPr>
            </w:pPr>
            <w:r w:rsidRPr="00A303E0">
              <w:rPr>
                <w:rFonts w:cs="Calibri"/>
                <w:color w:val="000000"/>
              </w:rPr>
              <w:t>36,914</w:t>
            </w:r>
          </w:p>
        </w:tc>
        <w:tc>
          <w:tcPr>
            <w:tcW w:w="2299" w:type="dxa"/>
            <w:tcBorders>
              <w:top w:val="single" w:sz="4" w:space="0" w:color="auto"/>
              <w:left w:val="nil"/>
              <w:bottom w:val="single" w:sz="4" w:space="0" w:color="auto"/>
              <w:right w:val="single" w:sz="4" w:space="0" w:color="auto"/>
            </w:tcBorders>
            <w:shd w:val="clear" w:color="000000" w:fill="B1B1B1"/>
            <w:noWrap/>
            <w:tcMar>
              <w:top w:w="0" w:type="dxa"/>
              <w:left w:w="108" w:type="dxa"/>
              <w:bottom w:w="0" w:type="dxa"/>
              <w:right w:w="108" w:type="dxa"/>
            </w:tcMar>
            <w:vAlign w:val="center"/>
            <w:hideMark/>
          </w:tcPr>
          <w:p w14:paraId="3712F655" w14:textId="77777777" w:rsidR="00E01ABE" w:rsidRPr="00A303E0" w:rsidRDefault="00E01ABE" w:rsidP="00874075">
            <w:pPr>
              <w:rPr>
                <w:rFonts w:cs="Calibri"/>
                <w:color w:val="000000"/>
              </w:rPr>
            </w:pPr>
            <w:r w:rsidRPr="00A303E0">
              <w:rPr>
                <w:rFonts w:cs="Calibri"/>
                <w:color w:val="000000"/>
              </w:rPr>
              <w:t> </w:t>
            </w:r>
          </w:p>
        </w:tc>
        <w:tc>
          <w:tcPr>
            <w:tcW w:w="2422" w:type="dxa"/>
            <w:tcBorders>
              <w:top w:val="single" w:sz="4" w:space="0" w:color="auto"/>
              <w:left w:val="nil"/>
              <w:bottom w:val="single" w:sz="4" w:space="0" w:color="auto"/>
              <w:right w:val="single" w:sz="4" w:space="0" w:color="auto"/>
            </w:tcBorders>
            <w:shd w:val="clear" w:color="000000" w:fill="B1B1B1"/>
            <w:noWrap/>
            <w:tcMar>
              <w:top w:w="0" w:type="dxa"/>
              <w:left w:w="108" w:type="dxa"/>
              <w:bottom w:w="0" w:type="dxa"/>
              <w:right w:w="108" w:type="dxa"/>
            </w:tcMar>
            <w:vAlign w:val="center"/>
            <w:hideMark/>
          </w:tcPr>
          <w:p w14:paraId="6D80E581" w14:textId="77777777" w:rsidR="00E01ABE" w:rsidRPr="00A303E0" w:rsidRDefault="00E01ABE" w:rsidP="00874075">
            <w:pPr>
              <w:rPr>
                <w:rFonts w:cs="Calibri"/>
                <w:color w:val="000000"/>
              </w:rPr>
            </w:pPr>
            <w:r w:rsidRPr="00A303E0">
              <w:rPr>
                <w:rFonts w:cs="Calibri"/>
                <w:color w:val="000000"/>
              </w:rPr>
              <w:t> </w:t>
            </w:r>
          </w:p>
        </w:tc>
      </w:tr>
      <w:tr w:rsidR="00E01ABE" w:rsidRPr="00A303E0" w14:paraId="5507C619" w14:textId="77777777" w:rsidTr="00A217F1">
        <w:trPr>
          <w:trHeight w:val="221"/>
        </w:trPr>
        <w:tc>
          <w:tcPr>
            <w:tcW w:w="2701"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4032919D" w14:textId="77777777" w:rsidR="00E01ABE" w:rsidRPr="00A303E0" w:rsidRDefault="00E01ABE" w:rsidP="00874075">
            <w:pPr>
              <w:jc w:val="center"/>
              <w:rPr>
                <w:rFonts w:cs="Calibri"/>
                <w:color w:val="000000"/>
              </w:rPr>
            </w:pPr>
            <w:r w:rsidRPr="00A303E0">
              <w:rPr>
                <w:rFonts w:cs="Calibri"/>
                <w:color w:val="000000"/>
              </w:rPr>
              <w:t>2017</w:t>
            </w:r>
          </w:p>
        </w:tc>
        <w:tc>
          <w:tcPr>
            <w:tcW w:w="2299"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6F0909E7" w14:textId="77777777" w:rsidR="00E01ABE" w:rsidRPr="00A303E0" w:rsidRDefault="00E01ABE" w:rsidP="00874075">
            <w:pPr>
              <w:jc w:val="right"/>
              <w:rPr>
                <w:rFonts w:cs="Calibri"/>
                <w:color w:val="000000"/>
              </w:rPr>
            </w:pPr>
            <w:r w:rsidRPr="00A303E0">
              <w:rPr>
                <w:rFonts w:cs="Calibri"/>
                <w:color w:val="000000"/>
              </w:rPr>
              <w:t>40,200</w:t>
            </w:r>
          </w:p>
        </w:tc>
        <w:tc>
          <w:tcPr>
            <w:tcW w:w="2299"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48CDC2E7" w14:textId="1A9481B9" w:rsidR="00E01ABE" w:rsidRPr="00A303E0" w:rsidRDefault="00A217F1" w:rsidP="00874075">
            <w:pPr>
              <w:jc w:val="right"/>
              <w:rPr>
                <w:rFonts w:cs="Calibri"/>
                <w:color w:val="000000"/>
              </w:rPr>
            </w:pPr>
            <w:r w:rsidRPr="00A303E0">
              <w:rPr>
                <w:rFonts w:cs="Calibri"/>
                <w:color w:val="000000"/>
              </w:rPr>
              <w:t>35,762</w:t>
            </w:r>
            <w:r w:rsidR="00E01ABE" w:rsidRPr="00A303E0">
              <w:rPr>
                <w:rFonts w:cs="Calibri"/>
                <w:color w:val="000000"/>
              </w:rPr>
              <w:t> </w:t>
            </w:r>
          </w:p>
        </w:tc>
        <w:tc>
          <w:tcPr>
            <w:tcW w:w="2422"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18BAE59F" w14:textId="26BADD40" w:rsidR="00E01ABE" w:rsidRPr="00A303E0" w:rsidRDefault="00A217F1" w:rsidP="00874075">
            <w:pPr>
              <w:jc w:val="right"/>
              <w:rPr>
                <w:rFonts w:cs="Calibri"/>
                <w:color w:val="000000"/>
              </w:rPr>
            </w:pPr>
            <w:r w:rsidRPr="00A303E0">
              <w:rPr>
                <w:rFonts w:cs="Calibri"/>
                <w:color w:val="FF0000"/>
              </w:rPr>
              <w:t>-4,438</w:t>
            </w:r>
            <w:r w:rsidR="00E01ABE" w:rsidRPr="00A303E0">
              <w:rPr>
                <w:rFonts w:cs="Calibri"/>
                <w:color w:val="000000"/>
              </w:rPr>
              <w:t> </w:t>
            </w:r>
          </w:p>
        </w:tc>
      </w:tr>
      <w:tr w:rsidR="00E01ABE" w:rsidRPr="00A303E0" w14:paraId="492AAB2B" w14:textId="77777777" w:rsidTr="00874075">
        <w:trPr>
          <w:trHeight w:val="221"/>
        </w:trPr>
        <w:tc>
          <w:tcPr>
            <w:tcW w:w="2701"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264795E9" w14:textId="77777777" w:rsidR="00E01ABE" w:rsidRPr="00A303E0" w:rsidRDefault="00E01ABE" w:rsidP="00874075">
            <w:pPr>
              <w:jc w:val="center"/>
              <w:rPr>
                <w:rFonts w:cs="Calibri"/>
                <w:color w:val="000000"/>
              </w:rPr>
            </w:pPr>
            <w:r w:rsidRPr="00A303E0">
              <w:rPr>
                <w:rFonts w:cs="Calibri"/>
                <w:color w:val="000000"/>
              </w:rPr>
              <w:t>2016</w:t>
            </w:r>
          </w:p>
        </w:tc>
        <w:tc>
          <w:tcPr>
            <w:tcW w:w="2299"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234EC38B" w14:textId="77777777" w:rsidR="00E01ABE" w:rsidRPr="00A303E0" w:rsidRDefault="00E01ABE" w:rsidP="00874075">
            <w:pPr>
              <w:jc w:val="right"/>
              <w:rPr>
                <w:rFonts w:cs="Calibri"/>
                <w:color w:val="000000"/>
              </w:rPr>
            </w:pPr>
            <w:r w:rsidRPr="00A303E0">
              <w:rPr>
                <w:rFonts w:cs="Calibri"/>
                <w:color w:val="000000"/>
              </w:rPr>
              <w:t>39,534</w:t>
            </w:r>
          </w:p>
        </w:tc>
        <w:tc>
          <w:tcPr>
            <w:tcW w:w="2299"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1FB0724E" w14:textId="77777777" w:rsidR="00E01ABE" w:rsidRPr="00A303E0" w:rsidRDefault="00E01ABE" w:rsidP="00874075">
            <w:pPr>
              <w:jc w:val="right"/>
              <w:rPr>
                <w:rFonts w:cs="Calibri"/>
                <w:color w:val="000000"/>
              </w:rPr>
            </w:pPr>
            <w:r w:rsidRPr="00A303E0">
              <w:rPr>
                <w:rFonts w:cs="Calibri"/>
                <w:color w:val="000000"/>
              </w:rPr>
              <w:t>35,009</w:t>
            </w:r>
          </w:p>
        </w:tc>
        <w:tc>
          <w:tcPr>
            <w:tcW w:w="2422"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4F1DE6C3" w14:textId="77777777" w:rsidR="00E01ABE" w:rsidRPr="00A303E0" w:rsidRDefault="00E01ABE" w:rsidP="00874075">
            <w:pPr>
              <w:jc w:val="right"/>
              <w:rPr>
                <w:rFonts w:cs="Calibri"/>
              </w:rPr>
            </w:pPr>
            <w:r w:rsidRPr="00A303E0">
              <w:rPr>
                <w:rFonts w:cs="Calibri"/>
                <w:color w:val="FF0000"/>
              </w:rPr>
              <w:t xml:space="preserve">-4,525 </w:t>
            </w:r>
          </w:p>
        </w:tc>
      </w:tr>
      <w:tr w:rsidR="00E01ABE" w:rsidRPr="00A303E0" w14:paraId="64031511" w14:textId="77777777" w:rsidTr="00874075">
        <w:trPr>
          <w:trHeight w:val="221"/>
        </w:trPr>
        <w:tc>
          <w:tcPr>
            <w:tcW w:w="2701"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4F572C8" w14:textId="77777777" w:rsidR="00E01ABE" w:rsidRPr="00A303E0" w:rsidRDefault="00E01ABE" w:rsidP="00874075">
            <w:pPr>
              <w:jc w:val="center"/>
              <w:rPr>
                <w:rFonts w:cs="Calibri"/>
                <w:color w:val="000000"/>
              </w:rPr>
            </w:pPr>
            <w:r w:rsidRPr="00A303E0">
              <w:rPr>
                <w:rFonts w:cs="Calibri"/>
                <w:color w:val="000000"/>
              </w:rPr>
              <w:t>2015</w:t>
            </w:r>
          </w:p>
        </w:tc>
        <w:tc>
          <w:tcPr>
            <w:tcW w:w="2299"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5741142F" w14:textId="77777777" w:rsidR="00E01ABE" w:rsidRPr="00A303E0" w:rsidRDefault="00E01ABE" w:rsidP="00874075">
            <w:pPr>
              <w:jc w:val="right"/>
              <w:rPr>
                <w:rFonts w:cs="Calibri"/>
                <w:color w:val="000000"/>
              </w:rPr>
            </w:pPr>
            <w:r w:rsidRPr="00A303E0">
              <w:rPr>
                <w:rFonts w:cs="Calibri"/>
                <w:color w:val="000000"/>
              </w:rPr>
              <w:t>38,456</w:t>
            </w:r>
          </w:p>
        </w:tc>
        <w:tc>
          <w:tcPr>
            <w:tcW w:w="2299"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76B02B62" w14:textId="77777777" w:rsidR="00E01ABE" w:rsidRPr="00A303E0" w:rsidRDefault="00E01ABE" w:rsidP="00874075">
            <w:pPr>
              <w:jc w:val="right"/>
              <w:rPr>
                <w:rFonts w:cs="Calibri"/>
                <w:color w:val="000000"/>
              </w:rPr>
            </w:pPr>
            <w:r w:rsidRPr="00A303E0">
              <w:rPr>
                <w:rFonts w:cs="Calibri"/>
                <w:color w:val="000000"/>
              </w:rPr>
              <w:t>34,584</w:t>
            </w:r>
          </w:p>
        </w:tc>
        <w:tc>
          <w:tcPr>
            <w:tcW w:w="2422"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5F7D4669" w14:textId="77777777" w:rsidR="00E01ABE" w:rsidRPr="00A303E0" w:rsidRDefault="00E01ABE" w:rsidP="00874075">
            <w:pPr>
              <w:jc w:val="right"/>
              <w:rPr>
                <w:rFonts w:cs="Calibri"/>
              </w:rPr>
            </w:pPr>
            <w:r w:rsidRPr="00A303E0">
              <w:rPr>
                <w:rFonts w:cs="Calibri"/>
                <w:color w:val="FF0000"/>
              </w:rPr>
              <w:t xml:space="preserve">-3,872 </w:t>
            </w:r>
          </w:p>
        </w:tc>
      </w:tr>
      <w:tr w:rsidR="00E01ABE" w:rsidRPr="00A303E0" w14:paraId="576F4BF8" w14:textId="77777777" w:rsidTr="00874075">
        <w:trPr>
          <w:trHeight w:val="221"/>
        </w:trPr>
        <w:tc>
          <w:tcPr>
            <w:tcW w:w="2701"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54C0EBB" w14:textId="77777777" w:rsidR="00E01ABE" w:rsidRPr="00A303E0" w:rsidRDefault="00E01ABE" w:rsidP="00874075">
            <w:pPr>
              <w:jc w:val="center"/>
              <w:rPr>
                <w:rFonts w:cs="Calibri"/>
                <w:color w:val="000000"/>
              </w:rPr>
            </w:pPr>
            <w:r w:rsidRPr="00A303E0">
              <w:rPr>
                <w:rFonts w:cs="Calibri"/>
                <w:color w:val="000000"/>
              </w:rPr>
              <w:t>2014</w:t>
            </w:r>
          </w:p>
        </w:tc>
        <w:tc>
          <w:tcPr>
            <w:tcW w:w="2299"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31DE08CE" w14:textId="77777777" w:rsidR="00E01ABE" w:rsidRPr="00A303E0" w:rsidRDefault="00E01ABE" w:rsidP="00874075">
            <w:pPr>
              <w:jc w:val="right"/>
              <w:rPr>
                <w:rFonts w:cs="Calibri"/>
                <w:color w:val="000000"/>
              </w:rPr>
            </w:pPr>
            <w:r w:rsidRPr="00A303E0">
              <w:rPr>
                <w:rFonts w:cs="Calibri"/>
                <w:color w:val="000000"/>
              </w:rPr>
              <w:t>37,429</w:t>
            </w:r>
          </w:p>
        </w:tc>
        <w:tc>
          <w:tcPr>
            <w:tcW w:w="2299"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2E049DC1" w14:textId="77777777" w:rsidR="00E01ABE" w:rsidRPr="00A303E0" w:rsidRDefault="00E01ABE" w:rsidP="00874075">
            <w:pPr>
              <w:jc w:val="right"/>
              <w:rPr>
                <w:rFonts w:cs="Calibri"/>
                <w:color w:val="000000"/>
              </w:rPr>
            </w:pPr>
            <w:r w:rsidRPr="00A303E0">
              <w:rPr>
                <w:rFonts w:cs="Calibri"/>
                <w:color w:val="000000"/>
              </w:rPr>
              <w:t>36,462</w:t>
            </w:r>
          </w:p>
        </w:tc>
        <w:tc>
          <w:tcPr>
            <w:tcW w:w="2422"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0224C391" w14:textId="77777777" w:rsidR="00E01ABE" w:rsidRPr="00A303E0" w:rsidRDefault="00E01ABE" w:rsidP="00874075">
            <w:pPr>
              <w:jc w:val="right"/>
              <w:rPr>
                <w:rFonts w:cs="Calibri"/>
              </w:rPr>
            </w:pPr>
            <w:r w:rsidRPr="00A303E0">
              <w:rPr>
                <w:rFonts w:cs="Calibri"/>
                <w:color w:val="FF0000"/>
              </w:rPr>
              <w:t xml:space="preserve">-967 </w:t>
            </w:r>
          </w:p>
        </w:tc>
      </w:tr>
      <w:tr w:rsidR="00E01ABE" w:rsidRPr="00A303E0" w14:paraId="1E8794EC" w14:textId="77777777" w:rsidTr="00874075">
        <w:trPr>
          <w:trHeight w:val="221"/>
        </w:trPr>
        <w:tc>
          <w:tcPr>
            <w:tcW w:w="2701"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3C24F12" w14:textId="77777777" w:rsidR="00E01ABE" w:rsidRPr="00A303E0" w:rsidRDefault="00E01ABE" w:rsidP="00874075">
            <w:pPr>
              <w:jc w:val="center"/>
              <w:rPr>
                <w:rFonts w:cs="Calibri"/>
                <w:color w:val="000000"/>
              </w:rPr>
            </w:pPr>
            <w:r w:rsidRPr="00A303E0">
              <w:rPr>
                <w:rFonts w:cs="Calibri"/>
                <w:color w:val="000000"/>
              </w:rPr>
              <w:t>2013</w:t>
            </w:r>
          </w:p>
        </w:tc>
        <w:tc>
          <w:tcPr>
            <w:tcW w:w="2299"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30605E8D" w14:textId="77777777" w:rsidR="00E01ABE" w:rsidRPr="00A303E0" w:rsidRDefault="00E01ABE" w:rsidP="00874075">
            <w:pPr>
              <w:jc w:val="right"/>
              <w:rPr>
                <w:rFonts w:cs="Calibri"/>
                <w:color w:val="000000"/>
              </w:rPr>
            </w:pPr>
            <w:r w:rsidRPr="00A303E0">
              <w:rPr>
                <w:rFonts w:cs="Calibri"/>
                <w:color w:val="000000"/>
              </w:rPr>
              <w:t>33,764</w:t>
            </w:r>
          </w:p>
        </w:tc>
        <w:tc>
          <w:tcPr>
            <w:tcW w:w="2299"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7C18081B" w14:textId="77777777" w:rsidR="00E01ABE" w:rsidRPr="00A303E0" w:rsidRDefault="00E01ABE" w:rsidP="00874075">
            <w:pPr>
              <w:jc w:val="right"/>
              <w:rPr>
                <w:rFonts w:cs="Calibri"/>
                <w:color w:val="000000"/>
              </w:rPr>
            </w:pPr>
            <w:r w:rsidRPr="00A303E0">
              <w:rPr>
                <w:rFonts w:cs="Calibri"/>
                <w:color w:val="000000"/>
              </w:rPr>
              <w:t>35,304</w:t>
            </w:r>
          </w:p>
        </w:tc>
        <w:tc>
          <w:tcPr>
            <w:tcW w:w="2422"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40FBFF8D" w14:textId="77777777" w:rsidR="00E01ABE" w:rsidRPr="00A303E0" w:rsidRDefault="00E01ABE" w:rsidP="00874075">
            <w:pPr>
              <w:jc w:val="right"/>
              <w:rPr>
                <w:rFonts w:cs="Calibri"/>
              </w:rPr>
            </w:pPr>
            <w:r w:rsidRPr="00A303E0">
              <w:rPr>
                <w:rFonts w:cs="Calibri"/>
              </w:rPr>
              <w:t xml:space="preserve">1,540 </w:t>
            </w:r>
          </w:p>
        </w:tc>
      </w:tr>
      <w:tr w:rsidR="00E01ABE" w:rsidRPr="00A303E0" w14:paraId="3721273B" w14:textId="77777777" w:rsidTr="00874075">
        <w:trPr>
          <w:trHeight w:val="221"/>
        </w:trPr>
        <w:tc>
          <w:tcPr>
            <w:tcW w:w="2701"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268ED43" w14:textId="77777777" w:rsidR="00E01ABE" w:rsidRPr="00A303E0" w:rsidRDefault="00E01ABE" w:rsidP="00874075">
            <w:pPr>
              <w:jc w:val="center"/>
              <w:rPr>
                <w:rFonts w:cs="Calibri"/>
                <w:color w:val="000000"/>
              </w:rPr>
            </w:pPr>
            <w:r w:rsidRPr="00A303E0">
              <w:rPr>
                <w:rFonts w:cs="Calibri"/>
                <w:color w:val="000000"/>
              </w:rPr>
              <w:t>2012</w:t>
            </w:r>
          </w:p>
        </w:tc>
        <w:tc>
          <w:tcPr>
            <w:tcW w:w="2299"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1E6300C7" w14:textId="77777777" w:rsidR="00E01ABE" w:rsidRPr="00A303E0" w:rsidRDefault="00E01ABE" w:rsidP="00874075">
            <w:pPr>
              <w:jc w:val="right"/>
              <w:rPr>
                <w:rFonts w:cs="Calibri"/>
                <w:color w:val="000000"/>
              </w:rPr>
            </w:pPr>
            <w:r w:rsidRPr="00A303E0">
              <w:rPr>
                <w:rFonts w:cs="Calibri"/>
                <w:color w:val="000000"/>
              </w:rPr>
              <w:t>30,664</w:t>
            </w:r>
          </w:p>
        </w:tc>
        <w:tc>
          <w:tcPr>
            <w:tcW w:w="2299"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5721992D" w14:textId="77777777" w:rsidR="00E01ABE" w:rsidRPr="00A303E0" w:rsidRDefault="00E01ABE" w:rsidP="00874075">
            <w:pPr>
              <w:jc w:val="right"/>
              <w:rPr>
                <w:rFonts w:cs="Calibri"/>
                <w:color w:val="000000"/>
              </w:rPr>
            </w:pPr>
            <w:r w:rsidRPr="00A303E0">
              <w:rPr>
                <w:rFonts w:cs="Calibri"/>
                <w:color w:val="000000"/>
              </w:rPr>
              <w:t>34,445</w:t>
            </w:r>
          </w:p>
        </w:tc>
        <w:tc>
          <w:tcPr>
            <w:tcW w:w="2422"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3EFE26BE" w14:textId="77777777" w:rsidR="00E01ABE" w:rsidRPr="00A303E0" w:rsidRDefault="00E01ABE" w:rsidP="00874075">
            <w:pPr>
              <w:jc w:val="right"/>
              <w:rPr>
                <w:rFonts w:cs="Calibri"/>
              </w:rPr>
            </w:pPr>
            <w:r w:rsidRPr="00A303E0">
              <w:rPr>
                <w:rFonts w:cs="Calibri"/>
              </w:rPr>
              <w:t xml:space="preserve">3,782 </w:t>
            </w:r>
          </w:p>
        </w:tc>
      </w:tr>
    </w:tbl>
    <w:p w14:paraId="0DEAE4F8" w14:textId="77777777" w:rsidR="00E01ABE" w:rsidRPr="00A303E0" w:rsidRDefault="00E01ABE" w:rsidP="00EC7E87">
      <w:pPr>
        <w:spacing w:before="120"/>
      </w:pPr>
      <w:r w:rsidRPr="00A303E0">
        <w:t xml:space="preserve">This paper sets out options for Australian Government allocation of enabling, sub-bachelor and postgraduate courses and seeks feedback from stakeholders on, which courses should be funded and why. The Government has stated its commitment to </w:t>
      </w:r>
      <w:proofErr w:type="gramStart"/>
      <w:r w:rsidRPr="00A303E0">
        <w:t>a world-class</w:t>
      </w:r>
      <w:proofErr w:type="gramEnd"/>
      <w:r w:rsidRPr="00A303E0">
        <w:t xml:space="preserve"> higher education system that provides appropriate support for students, and removes barriers for under-represented groups that is also sustainable for future generations. To this end, the Government is seeking to ensure there is a robust rationale and framework for Government investment in enabling, sub-bachelor and postgraduate places that provides capacity to respond to changing demands and priorities.</w:t>
      </w:r>
    </w:p>
    <w:p w14:paraId="075EAC1A" w14:textId="0A86C886" w:rsidR="00E01ABE" w:rsidRPr="00A303E0" w:rsidRDefault="00E01ABE" w:rsidP="00E01ABE">
      <w:pPr>
        <w:rPr>
          <w:rFonts w:cs="Calibri"/>
          <w:color w:val="000000"/>
        </w:rPr>
      </w:pPr>
      <w:r w:rsidRPr="00A303E0">
        <w:rPr>
          <w:rFonts w:cs="Calibri"/>
          <w:color w:val="000000"/>
        </w:rPr>
        <w:t xml:space="preserve">Enabling and sub-bachelor places provide greater options for students so they can study at a level suitable to their academic preparation or labour force need. This has flow-on benefits for students, who </w:t>
      </w:r>
      <w:proofErr w:type="gramStart"/>
      <w:r w:rsidRPr="00A303E0">
        <w:rPr>
          <w:rFonts w:cs="Calibri"/>
          <w:color w:val="000000"/>
        </w:rPr>
        <w:t>are provided</w:t>
      </w:r>
      <w:proofErr w:type="gramEnd"/>
      <w:r w:rsidRPr="00A303E0">
        <w:rPr>
          <w:rFonts w:cs="Calibri"/>
          <w:color w:val="000000"/>
        </w:rPr>
        <w:t xml:space="preserve"> with a pathway into university through a course that articulates into a bachelor level course, and for the system through greater efficiency. </w:t>
      </w:r>
    </w:p>
    <w:p w14:paraId="55FD2927" w14:textId="5624D183" w:rsidR="00E01ABE" w:rsidRPr="00A303E0" w:rsidRDefault="00E01ABE" w:rsidP="00E01ABE">
      <w:pPr>
        <w:rPr>
          <w:rFonts w:cs="Calibri"/>
          <w:color w:val="000000"/>
        </w:rPr>
      </w:pPr>
      <w:r w:rsidRPr="00A303E0">
        <w:rPr>
          <w:rFonts w:cs="Calibri"/>
          <w:color w:val="000000"/>
        </w:rPr>
        <w:t xml:space="preserve">There are unique characteristics of enabling programs that warrant a separate approach to allocation of places compared to sub-bachelor courses. Enrolment in enabling programs </w:t>
      </w:r>
      <w:proofErr w:type="gramStart"/>
      <w:r w:rsidRPr="00A303E0">
        <w:rPr>
          <w:rFonts w:cs="Calibri"/>
          <w:color w:val="000000"/>
        </w:rPr>
        <w:t>is not linked</w:t>
      </w:r>
      <w:proofErr w:type="gramEnd"/>
      <w:r w:rsidRPr="00A303E0">
        <w:rPr>
          <w:rFonts w:cs="Calibri"/>
          <w:color w:val="000000"/>
        </w:rPr>
        <w:t xml:space="preserve"> to a higher education qualification and so enabling programs are outside the TEQSA Higher Education Standards Framework. Universities receive an enabling loading in lieu of a student contribution </w:t>
      </w:r>
      <w:r w:rsidR="005D41B8" w:rsidRPr="00A303E0">
        <w:rPr>
          <w:rFonts w:cs="Calibri"/>
          <w:color w:val="000000"/>
        </w:rPr>
        <w:t>(</w:t>
      </w:r>
      <w:r w:rsidR="0026280C" w:rsidRPr="00A303E0">
        <w:rPr>
          <w:rFonts w:cs="Calibri"/>
          <w:color w:val="000000"/>
        </w:rPr>
        <w:t>$3,271 per EFTSL</w:t>
      </w:r>
      <w:r w:rsidR="005D41B8" w:rsidRPr="00A303E0">
        <w:rPr>
          <w:rFonts w:cs="Calibri"/>
          <w:color w:val="000000"/>
        </w:rPr>
        <w:t xml:space="preserve"> in 2018) </w:t>
      </w:r>
      <w:r w:rsidRPr="00A303E0">
        <w:rPr>
          <w:rFonts w:cs="Calibri"/>
          <w:color w:val="000000"/>
        </w:rPr>
        <w:t xml:space="preserve">and unlike sub-bachelor </w:t>
      </w:r>
      <w:proofErr w:type="gramStart"/>
      <w:r w:rsidRPr="00A303E0">
        <w:rPr>
          <w:rFonts w:cs="Calibri"/>
          <w:color w:val="000000"/>
        </w:rPr>
        <w:t>courses</w:t>
      </w:r>
      <w:proofErr w:type="gramEnd"/>
      <w:r w:rsidRPr="00A303E0">
        <w:rPr>
          <w:rFonts w:cs="Calibri"/>
          <w:color w:val="000000"/>
        </w:rPr>
        <w:t xml:space="preserve"> universities have access to fee-paying enabling programs. For Government, students and employers therefore, the emphasis on allocation criteria should be on ensuring that enabling programs are of high academic quality and students have a high likelihood of progressing to </w:t>
      </w:r>
      <w:r w:rsidR="00281C1C" w:rsidRPr="00A303E0">
        <w:rPr>
          <w:rFonts w:cs="Calibri"/>
          <w:color w:val="000000"/>
        </w:rPr>
        <w:t>further study at tertiary level</w:t>
      </w:r>
      <w:r w:rsidRPr="00A303E0">
        <w:rPr>
          <w:rFonts w:cs="Calibri"/>
          <w:color w:val="000000"/>
        </w:rPr>
        <w:t>.</w:t>
      </w:r>
    </w:p>
    <w:p w14:paraId="6C20907C" w14:textId="77777777" w:rsidR="00EC7E87" w:rsidRPr="00A303E0" w:rsidRDefault="00EC7E87">
      <w:pPr>
        <w:spacing w:after="200" w:line="276" w:lineRule="auto"/>
        <w:rPr>
          <w:rFonts w:cs="Calibri"/>
          <w:color w:val="000000"/>
        </w:rPr>
      </w:pPr>
      <w:r w:rsidRPr="00A303E0">
        <w:rPr>
          <w:rFonts w:cs="Calibri"/>
          <w:color w:val="000000"/>
        </w:rPr>
        <w:br w:type="page"/>
      </w:r>
    </w:p>
    <w:p w14:paraId="3853E4A7" w14:textId="77777777" w:rsidR="00E01ABE" w:rsidRPr="00A303E0" w:rsidRDefault="00E01ABE" w:rsidP="00E01ABE">
      <w:pPr>
        <w:rPr>
          <w:rFonts w:cs="Calibri"/>
          <w:color w:val="000000"/>
        </w:rPr>
      </w:pPr>
      <w:r w:rsidRPr="00A303E0">
        <w:rPr>
          <w:rFonts w:cs="Calibri"/>
          <w:color w:val="000000"/>
        </w:rPr>
        <w:lastRenderedPageBreak/>
        <w:t xml:space="preserve">For sub-bachelor places, distortion caused by demand driven bachelor level funding has meant that there has been only limited evolution of courses to meet the changing workforce requirements of the future. For example, as workforces </w:t>
      </w:r>
      <w:proofErr w:type="gramStart"/>
      <w:r w:rsidRPr="00A303E0">
        <w:rPr>
          <w:rFonts w:cs="Calibri"/>
          <w:color w:val="000000"/>
        </w:rPr>
        <w:t>become transformed</w:t>
      </w:r>
      <w:proofErr w:type="gramEnd"/>
      <w:r w:rsidRPr="00A303E0">
        <w:rPr>
          <w:rFonts w:cs="Calibri"/>
          <w:color w:val="000000"/>
        </w:rPr>
        <w:t xml:space="preserve"> by increasing automation and digitalisation there will be an increasing employer demand for students with Industry 4.0 competencies at both the sub-bachelor and bachelor level.</w:t>
      </w:r>
    </w:p>
    <w:p w14:paraId="05779B09" w14:textId="77777777" w:rsidR="00E01ABE" w:rsidRPr="00A303E0" w:rsidRDefault="00E01ABE" w:rsidP="00E01ABE">
      <w:pPr>
        <w:rPr>
          <w:rFonts w:cs="Calibri"/>
          <w:color w:val="000000"/>
        </w:rPr>
      </w:pPr>
      <w:r w:rsidRPr="00A303E0">
        <w:rPr>
          <w:rFonts w:cs="Calibri"/>
          <w:color w:val="000000"/>
        </w:rPr>
        <w:t xml:space="preserve">The case for public subsidies of postgraduate courses requires careful consideration. As higher education providers have the option of providing these courses on a fee-paying basis, it is important any Government investment </w:t>
      </w:r>
      <w:proofErr w:type="gramStart"/>
      <w:r w:rsidRPr="00A303E0">
        <w:rPr>
          <w:rFonts w:cs="Calibri"/>
          <w:color w:val="000000"/>
        </w:rPr>
        <w:t>is</w:t>
      </w:r>
      <w:proofErr w:type="gramEnd"/>
      <w:r w:rsidRPr="00A303E0">
        <w:rPr>
          <w:rFonts w:cs="Calibri"/>
          <w:color w:val="000000"/>
        </w:rPr>
        <w:t xml:space="preserve"> appropriately targeted to ensure benefits to the broader community are also achieved. However, defining parameters around ‘community benefit’ is not straightforward. Issues to consider include whether there is a genuine requirement for the increasing number of postgraduate level professional entry courses, how such arrangements interact with requirement of professional bodies and whether ‘professional development courses’ should be subsidised.</w:t>
      </w:r>
    </w:p>
    <w:p w14:paraId="58835CDE" w14:textId="77777777" w:rsidR="00E01ABE" w:rsidRPr="00A303E0" w:rsidRDefault="00E01ABE" w:rsidP="00E01ABE">
      <w:pPr>
        <w:rPr>
          <w:rFonts w:cs="Calibri"/>
          <w:color w:val="000000"/>
        </w:rPr>
      </w:pPr>
      <w:r w:rsidRPr="00A303E0">
        <w:rPr>
          <w:rFonts w:cs="Calibri"/>
          <w:color w:val="000000"/>
        </w:rPr>
        <w:t xml:space="preserve">What is </w:t>
      </w:r>
      <w:proofErr w:type="gramStart"/>
      <w:r w:rsidRPr="00A303E0">
        <w:rPr>
          <w:rFonts w:cs="Calibri"/>
          <w:color w:val="000000"/>
        </w:rPr>
        <w:t>clear,</w:t>
      </w:r>
      <w:proofErr w:type="gramEnd"/>
      <w:r w:rsidRPr="00A303E0">
        <w:rPr>
          <w:rFonts w:cs="Calibri"/>
          <w:color w:val="000000"/>
        </w:rPr>
        <w:t xml:space="preserve"> is that there needs to be better correlation between the allocation and utilisation of designated places at all levels:</w:t>
      </w:r>
    </w:p>
    <w:p w14:paraId="428E9E1E" w14:textId="77777777" w:rsidR="00E01ABE" w:rsidRPr="00A303E0" w:rsidRDefault="00E01ABE" w:rsidP="00E01ABE">
      <w:pPr>
        <w:ind w:left="720"/>
        <w:rPr>
          <w:rFonts w:cs="Calibri"/>
          <w:i/>
          <w:color w:val="000000"/>
        </w:rPr>
      </w:pPr>
      <w:r w:rsidRPr="00A303E0">
        <w:rPr>
          <w:rFonts w:cs="Calibri"/>
          <w:i/>
          <w:color w:val="000000"/>
        </w:rPr>
        <w:t>Enabling courses</w:t>
      </w:r>
    </w:p>
    <w:p w14:paraId="7454CD32" w14:textId="77777777" w:rsidR="00E01ABE" w:rsidRPr="00A303E0" w:rsidRDefault="00E01ABE" w:rsidP="00E01ABE">
      <w:pPr>
        <w:ind w:left="720"/>
      </w:pPr>
      <w:r w:rsidRPr="00A303E0">
        <w:t xml:space="preserve">Across the sector in 2016, 22 providers were over-enrolled and 11 were under-enrolled. Some providers over-enrolled by up to five times more than their allocated enabling CSPs, while others delivered as few as half of their allocated enabling CSPs. The extent to which this reflects student demand or institutional strategies around student recruitment is unknown. </w:t>
      </w:r>
    </w:p>
    <w:p w14:paraId="7450F15F" w14:textId="77777777" w:rsidR="00E01ABE" w:rsidRPr="00A303E0" w:rsidRDefault="00E01ABE" w:rsidP="00E01ABE">
      <w:pPr>
        <w:ind w:left="720"/>
        <w:rPr>
          <w:i/>
        </w:rPr>
      </w:pPr>
      <w:r w:rsidRPr="00A303E0">
        <w:rPr>
          <w:i/>
        </w:rPr>
        <w:t>Sub-bachelor courses</w:t>
      </w:r>
    </w:p>
    <w:p w14:paraId="6048AD3D" w14:textId="77777777" w:rsidR="00E01ABE" w:rsidRPr="00A303E0" w:rsidRDefault="00E01ABE" w:rsidP="00E01ABE">
      <w:pPr>
        <w:ind w:left="720"/>
        <w:rPr>
          <w:rFonts w:cstheme="minorHAnsi"/>
          <w:color w:val="000000"/>
        </w:rPr>
      </w:pPr>
      <w:r w:rsidRPr="00A303E0">
        <w:rPr>
          <w:rFonts w:cstheme="minorHAnsi"/>
          <w:color w:val="000000"/>
        </w:rPr>
        <w:t xml:space="preserve">In 2016, public universities were allocated </w:t>
      </w:r>
      <w:proofErr w:type="gramStart"/>
      <w:r w:rsidRPr="00A303E0">
        <w:rPr>
          <w:rFonts w:cstheme="minorHAnsi"/>
          <w:color w:val="000000"/>
        </w:rPr>
        <w:t>a total of 19,046</w:t>
      </w:r>
      <w:proofErr w:type="gramEnd"/>
      <w:r w:rsidRPr="00A303E0">
        <w:rPr>
          <w:rFonts w:cstheme="minorHAnsi"/>
          <w:color w:val="000000"/>
        </w:rPr>
        <w:t xml:space="preserve"> sub-bachelor places. </w:t>
      </w:r>
      <w:proofErr w:type="gramStart"/>
      <w:r w:rsidRPr="00A303E0">
        <w:rPr>
          <w:rFonts w:cstheme="minorHAnsi"/>
          <w:color w:val="000000"/>
        </w:rPr>
        <w:t>A total of 22,117</w:t>
      </w:r>
      <w:proofErr w:type="gramEnd"/>
      <w:r w:rsidRPr="00A303E0">
        <w:rPr>
          <w:rFonts w:cstheme="minorHAnsi"/>
          <w:color w:val="000000"/>
        </w:rPr>
        <w:t xml:space="preserve"> sub</w:t>
      </w:r>
      <w:r w:rsidRPr="00A303E0">
        <w:rPr>
          <w:rFonts w:cstheme="minorHAnsi"/>
          <w:color w:val="000000"/>
        </w:rPr>
        <w:noBreakHyphen/>
        <w:t>bachelor places (including enabling courses) were delivered. Many sub-bachelor places are re</w:t>
      </w:r>
      <w:r w:rsidRPr="00A303E0">
        <w:rPr>
          <w:rFonts w:cstheme="minorHAnsi"/>
          <w:color w:val="000000"/>
        </w:rPr>
        <w:noBreakHyphen/>
        <w:t xml:space="preserve">purposed to allow more enabling places to </w:t>
      </w:r>
      <w:proofErr w:type="gramStart"/>
      <w:r w:rsidRPr="00A303E0">
        <w:rPr>
          <w:rFonts w:cstheme="minorHAnsi"/>
          <w:color w:val="000000"/>
        </w:rPr>
        <w:t>be offered</w:t>
      </w:r>
      <w:proofErr w:type="gramEnd"/>
      <w:r w:rsidRPr="00A303E0">
        <w:rPr>
          <w:rFonts w:cstheme="minorHAnsi"/>
          <w:color w:val="000000"/>
        </w:rPr>
        <w:t>, albeit without the loading. This is inefficient because some universities are under</w:t>
      </w:r>
      <w:r w:rsidRPr="00A303E0">
        <w:rPr>
          <w:rFonts w:cstheme="minorHAnsi"/>
          <w:color w:val="000000"/>
        </w:rPr>
        <w:noBreakHyphen/>
        <w:t>enrolled by up to 74 per cent, while others are over</w:t>
      </w:r>
      <w:r w:rsidRPr="00A303E0">
        <w:rPr>
          <w:rFonts w:cstheme="minorHAnsi"/>
          <w:color w:val="000000"/>
        </w:rPr>
        <w:noBreakHyphen/>
        <w:t>enrolled by as much as 123 per cent.</w:t>
      </w:r>
    </w:p>
    <w:p w14:paraId="5F2AF45F" w14:textId="77777777" w:rsidR="00E01ABE" w:rsidRPr="00A303E0" w:rsidRDefault="00E01ABE" w:rsidP="00E01ABE">
      <w:pPr>
        <w:ind w:left="720"/>
        <w:rPr>
          <w:i/>
        </w:rPr>
      </w:pPr>
      <w:r w:rsidRPr="00A303E0">
        <w:rPr>
          <w:i/>
        </w:rPr>
        <w:t>Postgraduate courses</w:t>
      </w:r>
    </w:p>
    <w:p w14:paraId="0DEDB9FB" w14:textId="77777777" w:rsidR="00E01ABE" w:rsidRPr="00A303E0" w:rsidRDefault="00E01ABE" w:rsidP="00E01ABE">
      <w:pPr>
        <w:ind w:left="720"/>
      </w:pPr>
      <w:r w:rsidRPr="00A303E0">
        <w:t xml:space="preserve">In 2016, public universities were allocated </w:t>
      </w:r>
      <w:proofErr w:type="gramStart"/>
      <w:r w:rsidRPr="00A303E0">
        <w:t>a total of 39,534</w:t>
      </w:r>
      <w:proofErr w:type="gramEnd"/>
      <w:r w:rsidRPr="00A303E0">
        <w:t xml:space="preserve"> postgraduate places and a total of 35,009 were delivered. A large proportion of places </w:t>
      </w:r>
      <w:proofErr w:type="gramStart"/>
      <w:r w:rsidRPr="00A303E0">
        <w:t>are allocated</w:t>
      </w:r>
      <w:proofErr w:type="gramEnd"/>
      <w:r w:rsidRPr="00A303E0">
        <w:t xml:space="preserve"> to a small number of universities and the take-up rates of these places can be variable. Some universities </w:t>
      </w:r>
      <w:proofErr w:type="gramStart"/>
      <w:r w:rsidRPr="00A303E0">
        <w:t>were over-enrolled</w:t>
      </w:r>
      <w:proofErr w:type="gramEnd"/>
      <w:r w:rsidRPr="00A303E0">
        <w:t xml:space="preserve"> by up to 104 per cent while others delivered as low as 63 per cent of their allocated Commonwealth supported places.</w:t>
      </w:r>
    </w:p>
    <w:p w14:paraId="74048103" w14:textId="77777777" w:rsidR="00D163E5" w:rsidRPr="00A303E0" w:rsidRDefault="00E01ABE" w:rsidP="00E01ABE">
      <w:r w:rsidRPr="00A303E0">
        <w:t>To ensure the Government is supporting courses that meet the needs of students and deliver graduates for the changing workforce, the Government will establish new arrangements for allocating CSPs for enabling, sub</w:t>
      </w:r>
      <w:r w:rsidRPr="00A303E0">
        <w:noBreakHyphen/>
        <w:t>bachelor and postgraduate courses</w:t>
      </w:r>
      <w:r w:rsidR="00F5145D" w:rsidRPr="00A303E0">
        <w:t xml:space="preserve">. </w:t>
      </w:r>
      <w:r w:rsidR="00D163E5" w:rsidRPr="00A303E0">
        <w:t xml:space="preserve">To ensure there is adequate time to seek feedback from the higher education sector and </w:t>
      </w:r>
      <w:r w:rsidR="00F5145D" w:rsidRPr="00A303E0">
        <w:t xml:space="preserve">ensure the new arrangements result in a robust, clear framework that will provide clarity for higher education providers into the future, </w:t>
      </w:r>
      <w:r w:rsidR="00D163E5" w:rsidRPr="00A303E0">
        <w:t xml:space="preserve">the new framework </w:t>
      </w:r>
      <w:proofErr w:type="gramStart"/>
      <w:r w:rsidR="00D163E5" w:rsidRPr="00A303E0">
        <w:t>will be implemented</w:t>
      </w:r>
      <w:proofErr w:type="gramEnd"/>
      <w:r w:rsidRPr="00A303E0">
        <w:t xml:space="preserve"> from</w:t>
      </w:r>
      <w:r w:rsidR="009B0729" w:rsidRPr="00A303E0">
        <w:t xml:space="preserve"> 2020</w:t>
      </w:r>
      <w:r w:rsidRPr="00A303E0">
        <w:t xml:space="preserve">. This will not include medical places, which will continue to </w:t>
      </w:r>
      <w:proofErr w:type="gramStart"/>
      <w:r w:rsidRPr="00A303E0">
        <w:t>be allocated</w:t>
      </w:r>
      <w:proofErr w:type="gramEnd"/>
      <w:r w:rsidRPr="00A303E0">
        <w:t xml:space="preserve"> separately.</w:t>
      </w:r>
    </w:p>
    <w:p w14:paraId="6BD63E15" w14:textId="6FF473A9" w:rsidR="00E01ABE" w:rsidRPr="00A303E0" w:rsidRDefault="00D163E5" w:rsidP="00E01ABE">
      <w:r w:rsidRPr="00A303E0">
        <w:t xml:space="preserve">The revised postgraduate allocations, which </w:t>
      </w:r>
      <w:proofErr w:type="gramStart"/>
      <w:r w:rsidRPr="00A303E0">
        <w:t>were implemented</w:t>
      </w:r>
      <w:proofErr w:type="gramEnd"/>
      <w:r w:rsidRPr="00A303E0">
        <w:t xml:space="preserve"> </w:t>
      </w:r>
      <w:r w:rsidR="00840638" w:rsidRPr="00A303E0">
        <w:t>from 2018</w:t>
      </w:r>
      <w:r w:rsidRPr="00A303E0">
        <w:t xml:space="preserve"> to more accurately reflect utilisation of places, will remain in place until the new arrangements are implemented.</w:t>
      </w:r>
      <w:r w:rsidR="00E01ABE" w:rsidRPr="00A303E0">
        <w:t xml:space="preserve"> </w:t>
      </w:r>
    </w:p>
    <w:p w14:paraId="15189E59" w14:textId="43B91E7D" w:rsidR="00E01ABE" w:rsidRPr="00A303E0" w:rsidRDefault="00E01ABE" w:rsidP="00E01ABE">
      <w:r w:rsidRPr="00A303E0">
        <w:t xml:space="preserve">In the 2018-19 Budget, the Government announced </w:t>
      </w:r>
      <w:r w:rsidR="00825F7D" w:rsidRPr="00A303E0">
        <w:t xml:space="preserve">an </w:t>
      </w:r>
      <w:r w:rsidRPr="00A303E0">
        <w:t xml:space="preserve">additional 500 commencing sub-bachelor and enabling places to </w:t>
      </w:r>
      <w:proofErr w:type="gramStart"/>
      <w:r w:rsidRPr="00A303E0">
        <w:t>be allocated</w:t>
      </w:r>
      <w:proofErr w:type="gramEnd"/>
      <w:r w:rsidRPr="00A303E0">
        <w:t xml:space="preserve"> through a competitive process to universities in regional areas. </w:t>
      </w:r>
      <w:r w:rsidR="00993E0A" w:rsidRPr="00A303E0">
        <w:t>Allocation of</w:t>
      </w:r>
      <w:r w:rsidR="002B02B5" w:rsidRPr="00A303E0">
        <w:t xml:space="preserve"> the</w:t>
      </w:r>
      <w:r w:rsidR="003C5B0E" w:rsidRPr="00A303E0">
        <w:t xml:space="preserve">se places </w:t>
      </w:r>
      <w:proofErr w:type="gramStart"/>
      <w:r w:rsidR="003C5B0E" w:rsidRPr="00A303E0">
        <w:t>is being</w:t>
      </w:r>
      <w:r w:rsidR="009B07E2" w:rsidRPr="00A303E0">
        <w:t xml:space="preserve"> managed</w:t>
      </w:r>
      <w:proofErr w:type="gramEnd"/>
      <w:r w:rsidR="009B07E2" w:rsidRPr="00A303E0">
        <w:t xml:space="preserve"> separate</w:t>
      </w:r>
      <w:r w:rsidR="00A22367" w:rsidRPr="00A303E0">
        <w:t>ly.</w:t>
      </w:r>
      <w:r w:rsidR="002B02B5" w:rsidRPr="00A303E0">
        <w:t xml:space="preserve"> </w:t>
      </w:r>
    </w:p>
    <w:p w14:paraId="6C7F7367" w14:textId="0260C63A" w:rsidR="00185C2D" w:rsidRPr="00A303E0" w:rsidRDefault="00E01ABE" w:rsidP="00E01ABE">
      <w:r w:rsidRPr="00A303E0">
        <w:t xml:space="preserve">The Government also announced additional bachelor places for students at Regional Study Hubs. Bids for those places </w:t>
      </w:r>
      <w:proofErr w:type="gramStart"/>
      <w:r w:rsidR="00DC788B" w:rsidRPr="00A303E0">
        <w:t>are</w:t>
      </w:r>
      <w:r w:rsidR="009B07E2" w:rsidRPr="00A303E0">
        <w:t xml:space="preserve"> </w:t>
      </w:r>
      <w:r w:rsidRPr="00A303E0">
        <w:t>be</w:t>
      </w:r>
      <w:r w:rsidR="00DC788B" w:rsidRPr="00A303E0">
        <w:t>ing</w:t>
      </w:r>
      <w:r w:rsidRPr="00A303E0">
        <w:t xml:space="preserve"> managed</w:t>
      </w:r>
      <w:proofErr w:type="gramEnd"/>
      <w:r w:rsidRPr="00A303E0">
        <w:t xml:space="preserve"> separately through the Regional Study Hub application process.</w:t>
      </w:r>
    </w:p>
    <w:p w14:paraId="707B23A9" w14:textId="77777777" w:rsidR="00185C2D" w:rsidRPr="00A303E0" w:rsidRDefault="00185C2D">
      <w:pPr>
        <w:spacing w:after="200" w:line="276" w:lineRule="auto"/>
      </w:pPr>
      <w:r w:rsidRPr="00A303E0">
        <w:br w:type="page"/>
      </w:r>
    </w:p>
    <w:p w14:paraId="3F14044E" w14:textId="77777777" w:rsidR="00E01ABE" w:rsidRPr="00A303E0" w:rsidRDefault="00E01ABE" w:rsidP="00E01ABE"/>
    <w:p w14:paraId="7DF5EC30" w14:textId="77777777" w:rsidR="00E01ABE" w:rsidRPr="00A303E0" w:rsidRDefault="00E01ABE" w:rsidP="00E01ABE">
      <w:pPr>
        <w:pStyle w:val="Heading1"/>
        <w:numPr>
          <w:ilvl w:val="0"/>
          <w:numId w:val="22"/>
        </w:numPr>
        <w:spacing w:before="120" w:after="240"/>
        <w:contextualSpacing/>
      </w:pPr>
      <w:r w:rsidRPr="00A303E0">
        <w:t>Consultation and issues for feedback</w:t>
      </w:r>
    </w:p>
    <w:p w14:paraId="5E72F50E" w14:textId="77777777" w:rsidR="00E01ABE" w:rsidRPr="00A303E0" w:rsidRDefault="00E01ABE" w:rsidP="00E01ABE">
      <w:pPr>
        <w:pStyle w:val="Heading2"/>
      </w:pPr>
      <w:r w:rsidRPr="00A303E0">
        <w:t>2.1 Principles for allocation of places</w:t>
      </w:r>
    </w:p>
    <w:p w14:paraId="7B301198" w14:textId="77777777" w:rsidR="00E01ABE" w:rsidRPr="00A303E0" w:rsidRDefault="00E01ABE" w:rsidP="00E01ABE">
      <w:r w:rsidRPr="00A303E0">
        <w:t>This paper seeks input from higher education stakeholders on the process for reallocating these CSPs, informed by the following broad principles:</w:t>
      </w:r>
    </w:p>
    <w:p w14:paraId="7E1FE98E" w14:textId="77777777" w:rsidR="00E01ABE" w:rsidRPr="00A303E0" w:rsidRDefault="00E01ABE" w:rsidP="00E01ABE">
      <w:pPr>
        <w:pStyle w:val="ListParagraph"/>
        <w:numPr>
          <w:ilvl w:val="0"/>
          <w:numId w:val="24"/>
        </w:numPr>
        <w:spacing w:after="0" w:line="276" w:lineRule="auto"/>
        <w:rPr>
          <w:noProof/>
        </w:rPr>
      </w:pPr>
      <w:r w:rsidRPr="00A303E0">
        <w:rPr>
          <w:noProof/>
        </w:rPr>
        <w:t>Enabling courses — places will be allocated to universities that achieve high standards of academic preparation and strong student outcomes.</w:t>
      </w:r>
    </w:p>
    <w:p w14:paraId="294FD7CF" w14:textId="77777777" w:rsidR="00E01ABE" w:rsidRPr="00A303E0" w:rsidRDefault="00E01ABE" w:rsidP="00E01ABE">
      <w:pPr>
        <w:pStyle w:val="ListParagraph"/>
        <w:numPr>
          <w:ilvl w:val="0"/>
          <w:numId w:val="24"/>
        </w:numPr>
        <w:spacing w:after="0" w:line="276" w:lineRule="auto"/>
        <w:rPr>
          <w:noProof/>
        </w:rPr>
      </w:pPr>
      <w:r w:rsidRPr="00A303E0">
        <w:rPr>
          <w:noProof/>
        </w:rPr>
        <w:t xml:space="preserve">Sub-bachelor courses — priority will be given to courses that focus on industry needs and/or fully articulate into a bachelor degree. </w:t>
      </w:r>
    </w:p>
    <w:p w14:paraId="7716F756" w14:textId="77777777" w:rsidR="00E01ABE" w:rsidRPr="00A303E0" w:rsidRDefault="00E01ABE" w:rsidP="00E01ABE">
      <w:pPr>
        <w:pStyle w:val="ListParagraph"/>
        <w:numPr>
          <w:ilvl w:val="0"/>
          <w:numId w:val="24"/>
        </w:numPr>
        <w:spacing w:after="0" w:line="276" w:lineRule="auto"/>
      </w:pPr>
      <w:r w:rsidRPr="00A303E0">
        <w:rPr>
          <w:noProof/>
        </w:rPr>
        <w:t>Postgraduate courses — places will be allocated to providers on criteria informed by professional requirements</w:t>
      </w:r>
      <w:r w:rsidRPr="00A303E0">
        <w:t xml:space="preserve"> and community benefit.</w:t>
      </w:r>
    </w:p>
    <w:p w14:paraId="471BA7F6" w14:textId="77777777" w:rsidR="00E01ABE" w:rsidRPr="00A303E0" w:rsidRDefault="00E01ABE" w:rsidP="00E01ABE">
      <w:r w:rsidRPr="00A303E0">
        <w:t>Across the board, criteria for allocation will include measures of performance, as appropriate to the level of study, utilisation of existing places and student demand. Regular review of criteria, most likely on a three yearly basis in line with funding agreements, should be built into new arrangements to ensure that they remain relevant and in line with Government priorities over time.</w:t>
      </w:r>
    </w:p>
    <w:p w14:paraId="0B075CD1" w14:textId="21812BC5" w:rsidR="00E01ABE" w:rsidRPr="00A303E0" w:rsidRDefault="00E01ABE" w:rsidP="00E01ABE">
      <w:r w:rsidRPr="00A303E0">
        <w:t xml:space="preserve">Stakeholder views </w:t>
      </w:r>
      <w:proofErr w:type="gramStart"/>
      <w:r w:rsidRPr="00A303E0">
        <w:t>are also sought</w:t>
      </w:r>
      <w:proofErr w:type="gramEnd"/>
      <w:r w:rsidRPr="00A303E0">
        <w:t xml:space="preserve"> on whether geographical distribution of places should be a consideration for future allocations. Key questions to consider include to what extent considerations such as population growth would need to </w:t>
      </w:r>
      <w:proofErr w:type="gramStart"/>
      <w:r w:rsidRPr="00A303E0">
        <w:t>be balanced</w:t>
      </w:r>
      <w:proofErr w:type="gramEnd"/>
      <w:r w:rsidRPr="00A303E0">
        <w:t xml:space="preserve"> against other priorities like emerging workforce need or relative socio-economic disadvantage across regions. As illustrated in Charts 6 and 7 below, there are some significant variations in the current distribution per capita</w:t>
      </w:r>
      <w:r w:rsidR="00635700" w:rsidRPr="00A303E0">
        <w:t>.</w:t>
      </w:r>
      <w:r w:rsidRPr="00A303E0">
        <w:t xml:space="preserve"> </w:t>
      </w:r>
    </w:p>
    <w:p w14:paraId="3480663D" w14:textId="77777777" w:rsidR="00E01ABE" w:rsidRPr="00A303E0" w:rsidRDefault="00E01ABE" w:rsidP="00E01ABE">
      <w:pPr>
        <w:pStyle w:val="Caption"/>
      </w:pPr>
      <w:r w:rsidRPr="00A303E0">
        <w:t xml:space="preserve">Chart 6: 2017 Distribution of sub-bachelor places </w:t>
      </w:r>
    </w:p>
    <w:p w14:paraId="3CDF015C" w14:textId="77777777" w:rsidR="00E01ABE" w:rsidRPr="00A303E0" w:rsidRDefault="00E01ABE" w:rsidP="00E01ABE">
      <w:pPr>
        <w:spacing w:after="0"/>
      </w:pPr>
      <w:r w:rsidRPr="00A303E0">
        <w:rPr>
          <w:noProof/>
          <w:lang w:eastAsia="en-AU"/>
        </w:rPr>
        <w:drawing>
          <wp:inline distT="0" distB="0" distL="0" distR="0" wp14:anchorId="71E4081B" wp14:editId="5417EEFD">
            <wp:extent cx="6041660" cy="2773920"/>
            <wp:effectExtent l="0" t="0" r="0" b="7620"/>
            <wp:docPr id="4" name="Picture 4" descr="Bar chart showing the 2017 distribution of allocated sub bachelor places per 1000 head of population aged 18 to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041660" cy="2773920"/>
                    </a:xfrm>
                    <a:prstGeom prst="rect">
                      <a:avLst/>
                    </a:prstGeom>
                  </pic:spPr>
                </pic:pic>
              </a:graphicData>
            </a:graphic>
          </wp:inline>
        </w:drawing>
      </w:r>
    </w:p>
    <w:p w14:paraId="52440009" w14:textId="77777777" w:rsidR="00E01ABE" w:rsidRPr="00A303E0" w:rsidRDefault="00E01ABE" w:rsidP="00E01ABE"/>
    <w:p w14:paraId="15C23C67" w14:textId="77777777" w:rsidR="00E01ABE" w:rsidRPr="00A303E0" w:rsidRDefault="00E01ABE" w:rsidP="00E01ABE"/>
    <w:p w14:paraId="5793FACE" w14:textId="77777777" w:rsidR="00E01ABE" w:rsidRPr="00A303E0" w:rsidRDefault="00E01ABE" w:rsidP="00E01ABE"/>
    <w:p w14:paraId="6309A44C" w14:textId="77777777" w:rsidR="00185C2D" w:rsidRPr="00A303E0" w:rsidRDefault="00185C2D">
      <w:pPr>
        <w:spacing w:after="200" w:line="276" w:lineRule="auto"/>
      </w:pPr>
      <w:r w:rsidRPr="00A303E0">
        <w:br w:type="page"/>
      </w:r>
    </w:p>
    <w:p w14:paraId="03F0F44B" w14:textId="77777777" w:rsidR="00E01ABE" w:rsidRPr="00A303E0" w:rsidRDefault="00E01ABE" w:rsidP="00C57E5B">
      <w:pPr>
        <w:pStyle w:val="Caption"/>
      </w:pPr>
      <w:r w:rsidRPr="00A303E0">
        <w:lastRenderedPageBreak/>
        <w:t>Chart 7: 2017 Distribution of allocated postgraduate places</w:t>
      </w:r>
    </w:p>
    <w:p w14:paraId="4DD89E50" w14:textId="77777777" w:rsidR="00E01ABE" w:rsidRPr="00A303E0" w:rsidRDefault="00E01ABE" w:rsidP="00C57E5B">
      <w:r w:rsidRPr="00A303E0">
        <w:rPr>
          <w:noProof/>
          <w:lang w:eastAsia="en-AU"/>
        </w:rPr>
        <w:drawing>
          <wp:inline distT="0" distB="0" distL="0" distR="0" wp14:anchorId="3538516D" wp14:editId="4C98A38E">
            <wp:extent cx="6041660" cy="2780017"/>
            <wp:effectExtent l="0" t="0" r="0" b="1905"/>
            <wp:docPr id="1" name="Picture 1" descr="Bar chart showing the 2017 distribution of allocated postgraduate places per 1000 head of population aged 18 to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041660" cy="2780017"/>
                    </a:xfrm>
                    <a:prstGeom prst="rect">
                      <a:avLst/>
                    </a:prstGeom>
                  </pic:spPr>
                </pic:pic>
              </a:graphicData>
            </a:graphic>
          </wp:inline>
        </w:drawing>
      </w:r>
    </w:p>
    <w:p w14:paraId="0A3E3E54" w14:textId="77777777" w:rsidR="00E01ABE" w:rsidRPr="00A303E0" w:rsidRDefault="00E01ABE" w:rsidP="00C57E5B">
      <w:pPr>
        <w:pStyle w:val="Heading2"/>
      </w:pPr>
      <w:r w:rsidRPr="00A303E0">
        <w:t>2.2 Process and Implementation</w:t>
      </w:r>
    </w:p>
    <w:p w14:paraId="763BC52A" w14:textId="77777777" w:rsidR="00E01ABE" w:rsidRPr="00A303E0" w:rsidRDefault="00E01ABE" w:rsidP="00C57E5B">
      <w:r w:rsidRPr="00A303E0">
        <w:t xml:space="preserve">Feedback </w:t>
      </w:r>
      <w:proofErr w:type="gramStart"/>
      <w:r w:rsidRPr="00A303E0">
        <w:t>is sought</w:t>
      </w:r>
      <w:proofErr w:type="gramEnd"/>
      <w:r w:rsidRPr="00A303E0">
        <w:t xml:space="preserve"> on the process for the reallocation of places:</w:t>
      </w:r>
    </w:p>
    <w:p w14:paraId="6E07D7F6" w14:textId="77777777" w:rsidR="00E01ABE" w:rsidRPr="00A303E0" w:rsidRDefault="00E01ABE" w:rsidP="00C57E5B">
      <w:r w:rsidRPr="00A303E0">
        <w:t>Frequency of reallocation:</w:t>
      </w:r>
    </w:p>
    <w:p w14:paraId="3DF4F460" w14:textId="77777777" w:rsidR="00E01ABE" w:rsidRPr="00A303E0" w:rsidRDefault="00E01ABE" w:rsidP="00C57E5B">
      <w:pPr>
        <w:pStyle w:val="ListParagraph"/>
        <w:numPr>
          <w:ilvl w:val="0"/>
          <w:numId w:val="16"/>
        </w:numPr>
        <w:spacing w:before="120" w:line="276" w:lineRule="auto"/>
      </w:pPr>
      <w:r w:rsidRPr="00A303E0">
        <w:t>Annual: a reallocation process could occur before each grant year. This would ensure that allocation processes are highly responsive to emerging needs or innovations; or</w:t>
      </w:r>
    </w:p>
    <w:p w14:paraId="794FD206" w14:textId="77777777" w:rsidR="00E01ABE" w:rsidRPr="00A303E0" w:rsidRDefault="00E01ABE" w:rsidP="00C57E5B">
      <w:pPr>
        <w:pStyle w:val="ListParagraph"/>
        <w:numPr>
          <w:ilvl w:val="0"/>
          <w:numId w:val="16"/>
        </w:numPr>
        <w:spacing w:before="120" w:line="276" w:lineRule="auto"/>
      </w:pPr>
      <w:r w:rsidRPr="00A303E0">
        <w:t>Aligning the reallocation process with funding agreements. This would give providers greater planning certainty and reduce regulatory burden. The initial reallocation would be for the 2020 grant year with subsequent reallocations aligning with the duration of new agreements.</w:t>
      </w:r>
    </w:p>
    <w:p w14:paraId="06393781" w14:textId="77777777" w:rsidR="00E01ABE" w:rsidRPr="00A303E0" w:rsidRDefault="00E01ABE" w:rsidP="00C57E5B">
      <w:r w:rsidRPr="00A303E0">
        <w:t xml:space="preserve">While the preferred approach is the second option of aligning reallocation with timing of funding agreements, consideration would need to </w:t>
      </w:r>
      <w:proofErr w:type="gramStart"/>
      <w:r w:rsidRPr="00A303E0">
        <w:t>be given</w:t>
      </w:r>
      <w:proofErr w:type="gramEnd"/>
      <w:r w:rsidRPr="00A303E0">
        <w:t xml:space="preserve"> to a process for managing reallocation of unused places from year to year.</w:t>
      </w:r>
    </w:p>
    <w:p w14:paraId="5C130523" w14:textId="6D2A1199" w:rsidR="00E01ABE" w:rsidRPr="00A303E0" w:rsidRDefault="00E01ABE" w:rsidP="00C57E5B">
      <w:pPr>
        <w:rPr>
          <w:noProof/>
        </w:rPr>
      </w:pPr>
      <w:r w:rsidRPr="00A303E0">
        <w:rPr>
          <w:noProof/>
        </w:rPr>
        <w:t xml:space="preserve">The policy intent of the proposed reallocation is to provide for evolutionary change in allocations over time rather than a zero based allocation of places. Applying a </w:t>
      </w:r>
      <w:r w:rsidR="006E7550" w:rsidRPr="00A303E0">
        <w:rPr>
          <w:noProof/>
        </w:rPr>
        <w:t>five</w:t>
      </w:r>
      <w:r w:rsidRPr="00A303E0">
        <w:rPr>
          <w:noProof/>
        </w:rPr>
        <w:t xml:space="preserve"> per cent reduction in commencing places across all clusters would be a simple and straightforward approach to reallocation. Table 4 below sets out a derived estimate of the number of places each university would be likely to contribute under such an arrangement.</w:t>
      </w:r>
    </w:p>
    <w:p w14:paraId="60B8EF2C" w14:textId="08AF9826" w:rsidR="00E01ABE" w:rsidRPr="00A303E0" w:rsidRDefault="00E01ABE" w:rsidP="00C57E5B">
      <w:r w:rsidRPr="00A303E0">
        <w:t xml:space="preserve">The approach taken should balance the needs of students and providers. While a larger reallocation may create greater incentives for improved outcomes and could enable and encourage greater innovation in course development and delivery, it may pose significant challenges for planning. For this reason, a smaller reallocation would seem to be a more appropriate option as it would give providers more time to plan and respond to allocation changes. A smaller reallocation base would be less likely to have a significant impact on any individual provider and consideration would need to </w:t>
      </w:r>
      <w:proofErr w:type="gramStart"/>
      <w:r w:rsidRPr="00A303E0">
        <w:t>be given</w:t>
      </w:r>
      <w:proofErr w:type="gramEnd"/>
      <w:r w:rsidRPr="00A303E0">
        <w:t xml:space="preserve"> to ongoing viability of programs.</w:t>
      </w:r>
    </w:p>
    <w:p w14:paraId="31BC548F" w14:textId="77777777" w:rsidR="00E01ABE" w:rsidRPr="00A303E0" w:rsidRDefault="00E01ABE" w:rsidP="00C57E5B">
      <w:r w:rsidRPr="00A303E0">
        <w:t xml:space="preserve">The department is interested in providers’ views on the most appropriate proportion of places to </w:t>
      </w:r>
      <w:proofErr w:type="gramStart"/>
      <w:r w:rsidRPr="00A303E0">
        <w:t>be reallocated</w:t>
      </w:r>
      <w:proofErr w:type="gramEnd"/>
      <w:r w:rsidRPr="00A303E0">
        <w:t xml:space="preserve"> into a national pool and the frequency with which this should occur.</w:t>
      </w:r>
    </w:p>
    <w:p w14:paraId="2104C92B" w14:textId="77777777" w:rsidR="00185C2D" w:rsidRPr="00A303E0" w:rsidRDefault="00185C2D" w:rsidP="00C57E5B">
      <w:pPr>
        <w:spacing w:after="200" w:line="276" w:lineRule="auto"/>
        <w:rPr>
          <w:rFonts w:eastAsiaTheme="majorEastAsia" w:cstheme="majorBidi"/>
          <w:b/>
          <w:bCs/>
          <w:iCs/>
          <w:sz w:val="26"/>
        </w:rPr>
      </w:pPr>
      <w:r w:rsidRPr="00A303E0">
        <w:br w:type="page"/>
      </w:r>
    </w:p>
    <w:p w14:paraId="4FA63A95" w14:textId="77777777" w:rsidR="00E01ABE" w:rsidRPr="00A303E0" w:rsidRDefault="00E01ABE" w:rsidP="00C57E5B">
      <w:pPr>
        <w:pStyle w:val="Caption"/>
      </w:pPr>
      <w:r w:rsidRPr="00A303E0">
        <w:lastRenderedPageBreak/>
        <w:t>Table 4: Indicative contribution of sub-bachelor and postgraduate commencing places (EFTSL)</w:t>
      </w:r>
    </w:p>
    <w:tbl>
      <w:tblPr>
        <w:tblW w:w="8643" w:type="dxa"/>
        <w:tblLook w:val="04A0" w:firstRow="1" w:lastRow="0" w:firstColumn="1" w:lastColumn="0" w:noHBand="0" w:noVBand="1"/>
      </w:tblPr>
      <w:tblGrid>
        <w:gridCol w:w="3397"/>
        <w:gridCol w:w="1702"/>
        <w:gridCol w:w="1843"/>
        <w:gridCol w:w="1701"/>
      </w:tblGrid>
      <w:tr w:rsidR="00E01ABE" w:rsidRPr="00A303E0" w14:paraId="4EFAC991" w14:textId="77777777" w:rsidTr="00185C2D">
        <w:trPr>
          <w:cantSplit/>
          <w:trHeight w:val="20"/>
        </w:trPr>
        <w:tc>
          <w:tcPr>
            <w:tcW w:w="3397"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bottom"/>
            <w:hideMark/>
          </w:tcPr>
          <w:p w14:paraId="3722364E" w14:textId="77777777" w:rsidR="00E01ABE" w:rsidRPr="00A303E0" w:rsidRDefault="00E01ABE" w:rsidP="00C57E5B">
            <w:pPr>
              <w:spacing w:after="0"/>
              <w:rPr>
                <w:rFonts w:eastAsia="Times New Roman" w:cs="Calibri"/>
                <w:b/>
                <w:bCs/>
                <w:color w:val="000000"/>
                <w:sz w:val="18"/>
                <w:szCs w:val="18"/>
                <w:lang w:eastAsia="en-AU"/>
              </w:rPr>
            </w:pPr>
            <w:bookmarkStart w:id="1" w:name="RANGE!A1:D44"/>
            <w:r w:rsidRPr="00A303E0">
              <w:rPr>
                <w:rFonts w:eastAsia="Times New Roman" w:cs="Calibri"/>
                <w:b/>
                <w:bCs/>
                <w:color w:val="000000"/>
                <w:sz w:val="18"/>
                <w:szCs w:val="18"/>
                <w:lang w:eastAsia="en-AU"/>
              </w:rPr>
              <w:t>Institution</w:t>
            </w:r>
            <w:bookmarkEnd w:id="1"/>
          </w:p>
        </w:tc>
        <w:tc>
          <w:tcPr>
            <w:tcW w:w="1702" w:type="dxa"/>
            <w:tcBorders>
              <w:top w:val="single" w:sz="4" w:space="0" w:color="auto"/>
              <w:left w:val="nil"/>
              <w:bottom w:val="nil"/>
              <w:right w:val="single" w:sz="4" w:space="0" w:color="auto"/>
            </w:tcBorders>
            <w:shd w:val="clear" w:color="auto" w:fill="9CC2E5" w:themeFill="accent1" w:themeFillTint="99"/>
            <w:vAlign w:val="center"/>
            <w:hideMark/>
          </w:tcPr>
          <w:p w14:paraId="368A0F73" w14:textId="77777777" w:rsidR="00E01ABE" w:rsidRPr="00A303E0" w:rsidRDefault="00E01ABE" w:rsidP="00C57E5B">
            <w:pPr>
              <w:spacing w:after="0"/>
              <w:jc w:val="center"/>
              <w:rPr>
                <w:rFonts w:eastAsia="Times New Roman" w:cs="Calibri"/>
                <w:b/>
                <w:bCs/>
                <w:color w:val="000000"/>
                <w:sz w:val="18"/>
                <w:szCs w:val="18"/>
                <w:lang w:eastAsia="en-AU"/>
              </w:rPr>
            </w:pPr>
            <w:r w:rsidRPr="00A303E0">
              <w:rPr>
                <w:rFonts w:eastAsia="Times New Roman" w:cs="Calibri"/>
                <w:b/>
                <w:bCs/>
                <w:color w:val="000000"/>
                <w:sz w:val="18"/>
                <w:szCs w:val="18"/>
                <w:lang w:eastAsia="en-AU"/>
              </w:rPr>
              <w:t>Enabling loading places</w:t>
            </w:r>
          </w:p>
        </w:tc>
        <w:tc>
          <w:tcPr>
            <w:tcW w:w="1843" w:type="dxa"/>
            <w:tcBorders>
              <w:top w:val="single" w:sz="4" w:space="0" w:color="auto"/>
              <w:left w:val="nil"/>
              <w:bottom w:val="nil"/>
              <w:right w:val="single" w:sz="4" w:space="0" w:color="auto"/>
            </w:tcBorders>
            <w:shd w:val="clear" w:color="auto" w:fill="9CC2E5" w:themeFill="accent1" w:themeFillTint="99"/>
            <w:vAlign w:val="center"/>
            <w:hideMark/>
          </w:tcPr>
          <w:p w14:paraId="697F82B2" w14:textId="77777777" w:rsidR="00E01ABE" w:rsidRPr="00A303E0" w:rsidRDefault="00E01ABE" w:rsidP="00C57E5B">
            <w:pPr>
              <w:spacing w:after="0"/>
              <w:jc w:val="center"/>
              <w:rPr>
                <w:rFonts w:eastAsia="Times New Roman" w:cs="Calibri"/>
                <w:b/>
                <w:bCs/>
                <w:color w:val="000000"/>
                <w:sz w:val="18"/>
                <w:szCs w:val="18"/>
                <w:lang w:eastAsia="en-AU"/>
              </w:rPr>
            </w:pPr>
            <w:r w:rsidRPr="00A303E0">
              <w:rPr>
                <w:rFonts w:eastAsia="Times New Roman" w:cs="Calibri"/>
                <w:b/>
                <w:bCs/>
                <w:color w:val="000000"/>
                <w:sz w:val="18"/>
                <w:szCs w:val="18"/>
                <w:lang w:eastAsia="en-AU"/>
              </w:rPr>
              <w:t>Sub-bachelor (Excluding Enabling)</w:t>
            </w:r>
          </w:p>
        </w:tc>
        <w:tc>
          <w:tcPr>
            <w:tcW w:w="1701" w:type="dxa"/>
            <w:tcBorders>
              <w:top w:val="single" w:sz="4" w:space="0" w:color="auto"/>
              <w:left w:val="nil"/>
              <w:bottom w:val="nil"/>
              <w:right w:val="single" w:sz="4" w:space="0" w:color="auto"/>
            </w:tcBorders>
            <w:shd w:val="clear" w:color="auto" w:fill="9CC2E5" w:themeFill="accent1" w:themeFillTint="99"/>
            <w:vAlign w:val="center"/>
            <w:hideMark/>
          </w:tcPr>
          <w:p w14:paraId="5BC5D149" w14:textId="77777777" w:rsidR="00E01ABE" w:rsidRPr="00A303E0" w:rsidRDefault="00E01ABE" w:rsidP="00C57E5B">
            <w:pPr>
              <w:spacing w:after="0"/>
              <w:jc w:val="center"/>
              <w:rPr>
                <w:rFonts w:eastAsia="Times New Roman" w:cs="Calibri"/>
                <w:b/>
                <w:bCs/>
                <w:color w:val="000000"/>
                <w:sz w:val="18"/>
                <w:szCs w:val="18"/>
                <w:lang w:eastAsia="en-AU"/>
              </w:rPr>
            </w:pPr>
            <w:r w:rsidRPr="00A303E0">
              <w:rPr>
                <w:rFonts w:eastAsia="Times New Roman" w:cs="Calibri"/>
                <w:b/>
                <w:bCs/>
                <w:color w:val="000000"/>
                <w:sz w:val="18"/>
                <w:szCs w:val="18"/>
                <w:lang w:eastAsia="en-AU"/>
              </w:rPr>
              <w:t>Postgraduate Coursework</w:t>
            </w:r>
          </w:p>
        </w:tc>
      </w:tr>
      <w:tr w:rsidR="00E01ABE" w:rsidRPr="00A303E0" w14:paraId="4FB8C771" w14:textId="77777777" w:rsidTr="00185C2D">
        <w:trPr>
          <w:cantSplit/>
          <w:trHeight w:val="20"/>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14:paraId="061396AC" w14:textId="77777777" w:rsidR="00E01ABE" w:rsidRPr="00A303E0" w:rsidRDefault="00E01ABE" w:rsidP="00C57E5B">
            <w:pPr>
              <w:spacing w:after="0"/>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Christian Heritage College</w:t>
            </w:r>
          </w:p>
        </w:tc>
        <w:tc>
          <w:tcPr>
            <w:tcW w:w="1702" w:type="dxa"/>
            <w:tcBorders>
              <w:top w:val="single" w:sz="4" w:space="0" w:color="auto"/>
              <w:left w:val="nil"/>
              <w:bottom w:val="single" w:sz="4" w:space="0" w:color="auto"/>
              <w:right w:val="single" w:sz="4" w:space="0" w:color="auto"/>
            </w:tcBorders>
            <w:shd w:val="clear" w:color="000000" w:fill="FFFFFF"/>
            <w:noWrap/>
            <w:vAlign w:val="bottom"/>
            <w:hideMark/>
          </w:tcPr>
          <w:p w14:paraId="3887F38A" w14:textId="77777777" w:rsidR="00E01ABE" w:rsidRPr="00A303E0" w:rsidRDefault="00E01ABE"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0.0</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5296D1AB" w14:textId="77777777" w:rsidR="00E01ABE" w:rsidRPr="00A303E0" w:rsidRDefault="00E01ABE"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7EF67378" w14:textId="15E6C71D" w:rsidR="00E01ABE" w:rsidRPr="00A303E0" w:rsidRDefault="0010617E"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0.7</w:t>
            </w:r>
          </w:p>
        </w:tc>
      </w:tr>
      <w:tr w:rsidR="00E01ABE" w:rsidRPr="00A303E0" w14:paraId="1C83276F" w14:textId="77777777" w:rsidTr="00185C2D">
        <w:trPr>
          <w:cantSplit/>
          <w:trHeight w:val="20"/>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14:paraId="7EC815D6" w14:textId="77777777" w:rsidR="00E01ABE" w:rsidRPr="00A303E0" w:rsidRDefault="00E01ABE" w:rsidP="00C57E5B">
            <w:pPr>
              <w:spacing w:after="0"/>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The University of Notre Dame Australia</w:t>
            </w:r>
          </w:p>
        </w:tc>
        <w:tc>
          <w:tcPr>
            <w:tcW w:w="1702" w:type="dxa"/>
            <w:tcBorders>
              <w:top w:val="nil"/>
              <w:left w:val="nil"/>
              <w:bottom w:val="single" w:sz="4" w:space="0" w:color="auto"/>
              <w:right w:val="single" w:sz="4" w:space="0" w:color="auto"/>
            </w:tcBorders>
            <w:shd w:val="clear" w:color="000000" w:fill="FFFFFF"/>
            <w:noWrap/>
            <w:vAlign w:val="bottom"/>
            <w:hideMark/>
          </w:tcPr>
          <w:p w14:paraId="5CFAA023" w14:textId="5FDAA021" w:rsidR="00E01ABE" w:rsidRPr="00A303E0" w:rsidRDefault="00626774"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20.8</w:t>
            </w:r>
          </w:p>
        </w:tc>
        <w:tc>
          <w:tcPr>
            <w:tcW w:w="1843" w:type="dxa"/>
            <w:tcBorders>
              <w:top w:val="nil"/>
              <w:left w:val="nil"/>
              <w:bottom w:val="single" w:sz="4" w:space="0" w:color="auto"/>
              <w:right w:val="single" w:sz="4" w:space="0" w:color="auto"/>
            </w:tcBorders>
            <w:shd w:val="clear" w:color="000000" w:fill="FFFFFF"/>
            <w:noWrap/>
            <w:vAlign w:val="bottom"/>
            <w:hideMark/>
          </w:tcPr>
          <w:p w14:paraId="15DE400D" w14:textId="77777777" w:rsidR="00E01ABE" w:rsidRPr="00A303E0" w:rsidRDefault="00E01ABE"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0.0</w:t>
            </w:r>
          </w:p>
        </w:tc>
        <w:tc>
          <w:tcPr>
            <w:tcW w:w="1701" w:type="dxa"/>
            <w:tcBorders>
              <w:top w:val="nil"/>
              <w:left w:val="nil"/>
              <w:bottom w:val="single" w:sz="4" w:space="0" w:color="auto"/>
              <w:right w:val="single" w:sz="4" w:space="0" w:color="auto"/>
            </w:tcBorders>
            <w:shd w:val="clear" w:color="000000" w:fill="FFFFFF"/>
            <w:noWrap/>
            <w:vAlign w:val="bottom"/>
            <w:hideMark/>
          </w:tcPr>
          <w:p w14:paraId="0A4BE454" w14:textId="121032DB" w:rsidR="00E01ABE" w:rsidRPr="00A303E0" w:rsidRDefault="0010617E"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2.6</w:t>
            </w:r>
          </w:p>
        </w:tc>
      </w:tr>
      <w:tr w:rsidR="00E01ABE" w:rsidRPr="00A303E0" w14:paraId="7E049940" w14:textId="77777777" w:rsidTr="00185C2D">
        <w:trPr>
          <w:cantSplit/>
          <w:trHeight w:val="20"/>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14:paraId="6E8C9AA6" w14:textId="77777777" w:rsidR="00E01ABE" w:rsidRPr="00A303E0" w:rsidRDefault="00E01ABE" w:rsidP="00C57E5B">
            <w:pPr>
              <w:spacing w:after="0"/>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Australian Catholic University</w:t>
            </w:r>
          </w:p>
        </w:tc>
        <w:tc>
          <w:tcPr>
            <w:tcW w:w="1702" w:type="dxa"/>
            <w:tcBorders>
              <w:top w:val="nil"/>
              <w:left w:val="nil"/>
              <w:bottom w:val="single" w:sz="4" w:space="0" w:color="auto"/>
              <w:right w:val="single" w:sz="4" w:space="0" w:color="auto"/>
            </w:tcBorders>
            <w:shd w:val="clear" w:color="000000" w:fill="FFFFFF"/>
            <w:noWrap/>
            <w:vAlign w:val="bottom"/>
            <w:hideMark/>
          </w:tcPr>
          <w:p w14:paraId="2315BD87" w14:textId="77777777" w:rsidR="00E01ABE" w:rsidRPr="00A303E0" w:rsidRDefault="00E01ABE"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0.0</w:t>
            </w:r>
          </w:p>
        </w:tc>
        <w:tc>
          <w:tcPr>
            <w:tcW w:w="1843" w:type="dxa"/>
            <w:tcBorders>
              <w:top w:val="nil"/>
              <w:left w:val="nil"/>
              <w:bottom w:val="single" w:sz="4" w:space="0" w:color="auto"/>
              <w:right w:val="single" w:sz="4" w:space="0" w:color="auto"/>
            </w:tcBorders>
            <w:shd w:val="clear" w:color="000000" w:fill="FFFFFF"/>
            <w:noWrap/>
            <w:vAlign w:val="bottom"/>
            <w:hideMark/>
          </w:tcPr>
          <w:p w14:paraId="1414BB30" w14:textId="49864EEE" w:rsidR="00E01ABE" w:rsidRPr="00A303E0" w:rsidRDefault="001D1CE1"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3.4</w:t>
            </w:r>
          </w:p>
        </w:tc>
        <w:tc>
          <w:tcPr>
            <w:tcW w:w="1701" w:type="dxa"/>
            <w:tcBorders>
              <w:top w:val="nil"/>
              <w:left w:val="nil"/>
              <w:bottom w:val="single" w:sz="4" w:space="0" w:color="auto"/>
              <w:right w:val="single" w:sz="4" w:space="0" w:color="auto"/>
            </w:tcBorders>
            <w:shd w:val="clear" w:color="000000" w:fill="FFFFFF"/>
            <w:noWrap/>
            <w:vAlign w:val="bottom"/>
            <w:hideMark/>
          </w:tcPr>
          <w:p w14:paraId="7A5DDD6D" w14:textId="0A5699E6" w:rsidR="00E01ABE" w:rsidRPr="00A303E0" w:rsidRDefault="00AD61C0"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25.4</w:t>
            </w:r>
          </w:p>
        </w:tc>
      </w:tr>
      <w:tr w:rsidR="00E01ABE" w:rsidRPr="00A303E0" w14:paraId="04F5554A" w14:textId="77777777" w:rsidTr="00185C2D">
        <w:trPr>
          <w:cantSplit/>
          <w:trHeight w:val="20"/>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14:paraId="117839CB" w14:textId="77777777" w:rsidR="00E01ABE" w:rsidRPr="00A303E0" w:rsidRDefault="00E01ABE" w:rsidP="00C57E5B">
            <w:pPr>
              <w:spacing w:after="0"/>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Charles Darwin University</w:t>
            </w:r>
          </w:p>
        </w:tc>
        <w:tc>
          <w:tcPr>
            <w:tcW w:w="1702" w:type="dxa"/>
            <w:tcBorders>
              <w:top w:val="nil"/>
              <w:left w:val="nil"/>
              <w:bottom w:val="single" w:sz="4" w:space="0" w:color="auto"/>
              <w:right w:val="single" w:sz="4" w:space="0" w:color="auto"/>
            </w:tcBorders>
            <w:shd w:val="clear" w:color="000000" w:fill="FFFFFF"/>
            <w:noWrap/>
            <w:vAlign w:val="bottom"/>
            <w:hideMark/>
          </w:tcPr>
          <w:p w14:paraId="4C4DD8DE" w14:textId="212C25FB" w:rsidR="00E01ABE" w:rsidRPr="00A303E0" w:rsidRDefault="003479FC"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27.2</w:t>
            </w:r>
          </w:p>
        </w:tc>
        <w:tc>
          <w:tcPr>
            <w:tcW w:w="1843" w:type="dxa"/>
            <w:tcBorders>
              <w:top w:val="nil"/>
              <w:left w:val="nil"/>
              <w:bottom w:val="single" w:sz="4" w:space="0" w:color="auto"/>
              <w:right w:val="single" w:sz="4" w:space="0" w:color="auto"/>
            </w:tcBorders>
            <w:shd w:val="clear" w:color="000000" w:fill="FFFFFF"/>
            <w:noWrap/>
            <w:vAlign w:val="bottom"/>
            <w:hideMark/>
          </w:tcPr>
          <w:p w14:paraId="6185985C" w14:textId="3DC0A445" w:rsidR="00E01ABE" w:rsidRPr="00A303E0" w:rsidRDefault="001D1CE1"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2.0</w:t>
            </w:r>
          </w:p>
        </w:tc>
        <w:tc>
          <w:tcPr>
            <w:tcW w:w="1701" w:type="dxa"/>
            <w:tcBorders>
              <w:top w:val="nil"/>
              <w:left w:val="nil"/>
              <w:bottom w:val="single" w:sz="4" w:space="0" w:color="auto"/>
              <w:right w:val="single" w:sz="4" w:space="0" w:color="auto"/>
            </w:tcBorders>
            <w:shd w:val="clear" w:color="000000" w:fill="FFFFFF"/>
            <w:noWrap/>
            <w:vAlign w:val="bottom"/>
            <w:hideMark/>
          </w:tcPr>
          <w:p w14:paraId="5D32E7D9" w14:textId="48E1FC94" w:rsidR="00E01ABE" w:rsidRPr="00A303E0" w:rsidRDefault="0010617E"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9.9</w:t>
            </w:r>
          </w:p>
        </w:tc>
      </w:tr>
      <w:tr w:rsidR="00E01ABE" w:rsidRPr="00A303E0" w14:paraId="2B5DFBBD" w14:textId="77777777" w:rsidTr="00185C2D">
        <w:trPr>
          <w:cantSplit/>
          <w:trHeight w:val="20"/>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14:paraId="52D5A91C" w14:textId="77777777" w:rsidR="00E01ABE" w:rsidRPr="00A303E0" w:rsidRDefault="00E01ABE" w:rsidP="00C57E5B">
            <w:pPr>
              <w:spacing w:after="0"/>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Charles Sturt University</w:t>
            </w:r>
          </w:p>
        </w:tc>
        <w:tc>
          <w:tcPr>
            <w:tcW w:w="1702" w:type="dxa"/>
            <w:tcBorders>
              <w:top w:val="nil"/>
              <w:left w:val="nil"/>
              <w:bottom w:val="single" w:sz="4" w:space="0" w:color="auto"/>
              <w:right w:val="single" w:sz="4" w:space="0" w:color="auto"/>
            </w:tcBorders>
            <w:shd w:val="clear" w:color="000000" w:fill="FFFFFF"/>
            <w:noWrap/>
            <w:vAlign w:val="bottom"/>
            <w:hideMark/>
          </w:tcPr>
          <w:p w14:paraId="69C57DF9" w14:textId="14947EC1" w:rsidR="00E01ABE" w:rsidRPr="00A303E0" w:rsidRDefault="003479FC"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10.0</w:t>
            </w:r>
          </w:p>
        </w:tc>
        <w:tc>
          <w:tcPr>
            <w:tcW w:w="1843" w:type="dxa"/>
            <w:tcBorders>
              <w:top w:val="nil"/>
              <w:left w:val="nil"/>
              <w:bottom w:val="single" w:sz="4" w:space="0" w:color="auto"/>
              <w:right w:val="single" w:sz="4" w:space="0" w:color="auto"/>
            </w:tcBorders>
            <w:shd w:val="clear" w:color="000000" w:fill="FFFFFF"/>
            <w:noWrap/>
            <w:vAlign w:val="bottom"/>
            <w:hideMark/>
          </w:tcPr>
          <w:p w14:paraId="587E9B63" w14:textId="2F4DF81D" w:rsidR="00E01ABE" w:rsidRPr="00A303E0" w:rsidRDefault="001D1CE1"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4.1</w:t>
            </w:r>
          </w:p>
        </w:tc>
        <w:tc>
          <w:tcPr>
            <w:tcW w:w="1701" w:type="dxa"/>
            <w:tcBorders>
              <w:top w:val="nil"/>
              <w:left w:val="nil"/>
              <w:bottom w:val="single" w:sz="4" w:space="0" w:color="auto"/>
              <w:right w:val="single" w:sz="4" w:space="0" w:color="auto"/>
            </w:tcBorders>
            <w:shd w:val="clear" w:color="000000" w:fill="FFFFFF"/>
            <w:noWrap/>
            <w:vAlign w:val="bottom"/>
            <w:hideMark/>
          </w:tcPr>
          <w:p w14:paraId="0C1C0E51" w14:textId="46AAB37F" w:rsidR="00E01ABE" w:rsidRPr="00A303E0" w:rsidRDefault="0010617E"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24.9</w:t>
            </w:r>
          </w:p>
        </w:tc>
      </w:tr>
      <w:tr w:rsidR="00E01ABE" w:rsidRPr="00A303E0" w14:paraId="2863AA56" w14:textId="77777777" w:rsidTr="00185C2D">
        <w:trPr>
          <w:cantSplit/>
          <w:trHeight w:val="20"/>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14:paraId="4F8F51FC" w14:textId="77777777" w:rsidR="00E01ABE" w:rsidRPr="00A303E0" w:rsidRDefault="00E01ABE" w:rsidP="00C57E5B">
            <w:pPr>
              <w:spacing w:after="0"/>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Curtin University</w:t>
            </w:r>
          </w:p>
        </w:tc>
        <w:tc>
          <w:tcPr>
            <w:tcW w:w="1702" w:type="dxa"/>
            <w:tcBorders>
              <w:top w:val="nil"/>
              <w:left w:val="nil"/>
              <w:bottom w:val="single" w:sz="4" w:space="0" w:color="auto"/>
              <w:right w:val="single" w:sz="4" w:space="0" w:color="auto"/>
            </w:tcBorders>
            <w:shd w:val="clear" w:color="000000" w:fill="FFFFFF"/>
            <w:noWrap/>
            <w:vAlign w:val="bottom"/>
            <w:hideMark/>
          </w:tcPr>
          <w:p w14:paraId="4848FF99" w14:textId="4366586C" w:rsidR="00E01ABE" w:rsidRPr="00A303E0" w:rsidRDefault="003479FC"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33.4</w:t>
            </w:r>
          </w:p>
        </w:tc>
        <w:tc>
          <w:tcPr>
            <w:tcW w:w="1843" w:type="dxa"/>
            <w:tcBorders>
              <w:top w:val="nil"/>
              <w:left w:val="nil"/>
              <w:bottom w:val="single" w:sz="4" w:space="0" w:color="auto"/>
              <w:right w:val="single" w:sz="4" w:space="0" w:color="auto"/>
            </w:tcBorders>
            <w:shd w:val="clear" w:color="000000" w:fill="FFFFFF"/>
            <w:noWrap/>
            <w:vAlign w:val="bottom"/>
            <w:hideMark/>
          </w:tcPr>
          <w:p w14:paraId="33825C43" w14:textId="1561436F" w:rsidR="00E01ABE" w:rsidRPr="00A303E0" w:rsidRDefault="001D1CE1"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6.0</w:t>
            </w:r>
          </w:p>
        </w:tc>
        <w:tc>
          <w:tcPr>
            <w:tcW w:w="1701" w:type="dxa"/>
            <w:tcBorders>
              <w:top w:val="nil"/>
              <w:left w:val="nil"/>
              <w:bottom w:val="single" w:sz="4" w:space="0" w:color="auto"/>
              <w:right w:val="single" w:sz="4" w:space="0" w:color="auto"/>
            </w:tcBorders>
            <w:shd w:val="clear" w:color="000000" w:fill="FFFFFF"/>
            <w:noWrap/>
            <w:vAlign w:val="bottom"/>
            <w:hideMark/>
          </w:tcPr>
          <w:p w14:paraId="2B1A3B5A" w14:textId="49EFE4AA" w:rsidR="00E01ABE" w:rsidRPr="00A303E0" w:rsidRDefault="0010617E"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10.6</w:t>
            </w:r>
          </w:p>
        </w:tc>
      </w:tr>
      <w:tr w:rsidR="00E01ABE" w:rsidRPr="00A303E0" w14:paraId="69E791CC" w14:textId="77777777" w:rsidTr="00185C2D">
        <w:trPr>
          <w:cantSplit/>
          <w:trHeight w:val="20"/>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14:paraId="128A7964" w14:textId="77777777" w:rsidR="00E01ABE" w:rsidRPr="00A303E0" w:rsidRDefault="00E01ABE" w:rsidP="00C57E5B">
            <w:pPr>
              <w:spacing w:after="0"/>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Deakin University</w:t>
            </w:r>
          </w:p>
        </w:tc>
        <w:tc>
          <w:tcPr>
            <w:tcW w:w="1702" w:type="dxa"/>
            <w:tcBorders>
              <w:top w:val="nil"/>
              <w:left w:val="nil"/>
              <w:bottom w:val="single" w:sz="4" w:space="0" w:color="auto"/>
              <w:right w:val="single" w:sz="4" w:space="0" w:color="auto"/>
            </w:tcBorders>
            <w:shd w:val="clear" w:color="000000" w:fill="FFFFFF"/>
            <w:noWrap/>
            <w:vAlign w:val="bottom"/>
            <w:hideMark/>
          </w:tcPr>
          <w:p w14:paraId="655FA421" w14:textId="77777777" w:rsidR="00E01ABE" w:rsidRPr="00A303E0" w:rsidRDefault="00E01ABE"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0.0</w:t>
            </w:r>
          </w:p>
        </w:tc>
        <w:tc>
          <w:tcPr>
            <w:tcW w:w="1843" w:type="dxa"/>
            <w:tcBorders>
              <w:top w:val="nil"/>
              <w:left w:val="nil"/>
              <w:bottom w:val="single" w:sz="4" w:space="0" w:color="auto"/>
              <w:right w:val="single" w:sz="4" w:space="0" w:color="auto"/>
            </w:tcBorders>
            <w:shd w:val="clear" w:color="000000" w:fill="FFFFFF"/>
            <w:noWrap/>
            <w:vAlign w:val="bottom"/>
            <w:hideMark/>
          </w:tcPr>
          <w:p w14:paraId="212865AD" w14:textId="2B93C11D" w:rsidR="00E01ABE" w:rsidRPr="00A303E0" w:rsidRDefault="001D1CE1"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7.0</w:t>
            </w:r>
          </w:p>
        </w:tc>
        <w:tc>
          <w:tcPr>
            <w:tcW w:w="1701" w:type="dxa"/>
            <w:tcBorders>
              <w:top w:val="nil"/>
              <w:left w:val="nil"/>
              <w:bottom w:val="single" w:sz="4" w:space="0" w:color="auto"/>
              <w:right w:val="single" w:sz="4" w:space="0" w:color="auto"/>
            </w:tcBorders>
            <w:shd w:val="clear" w:color="000000" w:fill="FFFFFF"/>
            <w:noWrap/>
            <w:vAlign w:val="bottom"/>
            <w:hideMark/>
          </w:tcPr>
          <w:p w14:paraId="25D14F9A" w14:textId="2868E777" w:rsidR="00E01ABE" w:rsidRPr="00A303E0" w:rsidRDefault="0010617E"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23.4</w:t>
            </w:r>
          </w:p>
        </w:tc>
      </w:tr>
      <w:tr w:rsidR="00E01ABE" w:rsidRPr="00A303E0" w14:paraId="32DF8FB1" w14:textId="77777777" w:rsidTr="00185C2D">
        <w:trPr>
          <w:cantSplit/>
          <w:trHeight w:val="20"/>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14:paraId="73D12A8E" w14:textId="77777777" w:rsidR="00E01ABE" w:rsidRPr="00A303E0" w:rsidRDefault="00E01ABE" w:rsidP="00C57E5B">
            <w:pPr>
              <w:spacing w:after="0"/>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Edith Cowan University</w:t>
            </w:r>
          </w:p>
        </w:tc>
        <w:tc>
          <w:tcPr>
            <w:tcW w:w="1702" w:type="dxa"/>
            <w:tcBorders>
              <w:top w:val="nil"/>
              <w:left w:val="nil"/>
              <w:bottom w:val="single" w:sz="4" w:space="0" w:color="auto"/>
              <w:right w:val="single" w:sz="4" w:space="0" w:color="auto"/>
            </w:tcBorders>
            <w:shd w:val="clear" w:color="000000" w:fill="FFFFFF"/>
            <w:noWrap/>
            <w:vAlign w:val="bottom"/>
            <w:hideMark/>
          </w:tcPr>
          <w:p w14:paraId="3A5A758F" w14:textId="78783B0E" w:rsidR="00E01ABE" w:rsidRPr="00A303E0" w:rsidRDefault="003479FC"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27.3</w:t>
            </w:r>
          </w:p>
        </w:tc>
        <w:tc>
          <w:tcPr>
            <w:tcW w:w="1843" w:type="dxa"/>
            <w:tcBorders>
              <w:top w:val="nil"/>
              <w:left w:val="nil"/>
              <w:bottom w:val="single" w:sz="4" w:space="0" w:color="auto"/>
              <w:right w:val="single" w:sz="4" w:space="0" w:color="auto"/>
            </w:tcBorders>
            <w:shd w:val="clear" w:color="000000" w:fill="FFFFFF"/>
            <w:noWrap/>
            <w:vAlign w:val="bottom"/>
            <w:hideMark/>
          </w:tcPr>
          <w:p w14:paraId="3B5CBF0C" w14:textId="5E5C834E" w:rsidR="00E01ABE" w:rsidRPr="00A303E0" w:rsidRDefault="001D1CE1"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3.5</w:t>
            </w:r>
          </w:p>
        </w:tc>
        <w:tc>
          <w:tcPr>
            <w:tcW w:w="1701" w:type="dxa"/>
            <w:tcBorders>
              <w:top w:val="nil"/>
              <w:left w:val="nil"/>
              <w:bottom w:val="single" w:sz="4" w:space="0" w:color="auto"/>
              <w:right w:val="single" w:sz="4" w:space="0" w:color="auto"/>
            </w:tcBorders>
            <w:shd w:val="clear" w:color="000000" w:fill="FFFFFF"/>
            <w:noWrap/>
            <w:vAlign w:val="bottom"/>
            <w:hideMark/>
          </w:tcPr>
          <w:p w14:paraId="701A0FDD" w14:textId="37D8E8E2" w:rsidR="00E01ABE" w:rsidRPr="00A303E0" w:rsidRDefault="0010617E"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19.4</w:t>
            </w:r>
          </w:p>
        </w:tc>
      </w:tr>
      <w:tr w:rsidR="00E01ABE" w:rsidRPr="00A303E0" w14:paraId="0230E337" w14:textId="77777777" w:rsidTr="00185C2D">
        <w:trPr>
          <w:cantSplit/>
          <w:trHeight w:val="20"/>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14:paraId="45983D43" w14:textId="77777777" w:rsidR="00E01ABE" w:rsidRPr="00A303E0" w:rsidRDefault="00E01ABE" w:rsidP="00C57E5B">
            <w:pPr>
              <w:spacing w:after="0"/>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Griffith University</w:t>
            </w:r>
          </w:p>
        </w:tc>
        <w:tc>
          <w:tcPr>
            <w:tcW w:w="1702" w:type="dxa"/>
            <w:tcBorders>
              <w:top w:val="nil"/>
              <w:left w:val="nil"/>
              <w:bottom w:val="single" w:sz="4" w:space="0" w:color="auto"/>
              <w:right w:val="single" w:sz="4" w:space="0" w:color="auto"/>
            </w:tcBorders>
            <w:shd w:val="clear" w:color="000000" w:fill="FFFFFF"/>
            <w:noWrap/>
            <w:vAlign w:val="bottom"/>
            <w:hideMark/>
          </w:tcPr>
          <w:p w14:paraId="7C730382" w14:textId="277E148E" w:rsidR="00E01ABE" w:rsidRPr="00A303E0" w:rsidRDefault="00E01ABE" w:rsidP="00626774">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0.</w:t>
            </w:r>
            <w:r w:rsidR="00626774" w:rsidRPr="00A303E0">
              <w:rPr>
                <w:rFonts w:asciiTheme="minorHAnsi" w:eastAsia="Times New Roman" w:hAnsiTheme="minorHAnsi" w:cstheme="minorHAnsi"/>
                <w:color w:val="000000"/>
                <w:sz w:val="20"/>
                <w:szCs w:val="20"/>
                <w:lang w:eastAsia="en-AU"/>
              </w:rPr>
              <w:t>3</w:t>
            </w:r>
          </w:p>
        </w:tc>
        <w:tc>
          <w:tcPr>
            <w:tcW w:w="1843" w:type="dxa"/>
            <w:tcBorders>
              <w:top w:val="nil"/>
              <w:left w:val="nil"/>
              <w:bottom w:val="single" w:sz="4" w:space="0" w:color="auto"/>
              <w:right w:val="single" w:sz="4" w:space="0" w:color="auto"/>
            </w:tcBorders>
            <w:shd w:val="clear" w:color="000000" w:fill="FFFFFF"/>
            <w:noWrap/>
            <w:vAlign w:val="bottom"/>
            <w:hideMark/>
          </w:tcPr>
          <w:p w14:paraId="635AA010" w14:textId="26EBFC0D" w:rsidR="00E01ABE" w:rsidRPr="00A303E0" w:rsidRDefault="00E01ABE" w:rsidP="001D1CE1">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0.</w:t>
            </w:r>
            <w:r w:rsidR="001D1CE1" w:rsidRPr="00A303E0">
              <w:rPr>
                <w:rFonts w:asciiTheme="minorHAnsi" w:eastAsia="Times New Roman" w:hAnsiTheme="minorHAnsi" w:cstheme="minorHAnsi"/>
                <w:color w:val="000000"/>
                <w:sz w:val="20"/>
                <w:szCs w:val="20"/>
                <w:lang w:eastAsia="en-AU"/>
              </w:rPr>
              <w:t>2</w:t>
            </w:r>
          </w:p>
        </w:tc>
        <w:tc>
          <w:tcPr>
            <w:tcW w:w="1701" w:type="dxa"/>
            <w:tcBorders>
              <w:top w:val="nil"/>
              <w:left w:val="nil"/>
              <w:bottom w:val="single" w:sz="4" w:space="0" w:color="auto"/>
              <w:right w:val="single" w:sz="4" w:space="0" w:color="auto"/>
            </w:tcBorders>
            <w:shd w:val="clear" w:color="000000" w:fill="FFFFFF"/>
            <w:noWrap/>
            <w:vAlign w:val="bottom"/>
            <w:hideMark/>
          </w:tcPr>
          <w:p w14:paraId="26BB802C" w14:textId="46FD07D0" w:rsidR="00E01ABE" w:rsidRPr="00A303E0" w:rsidRDefault="0010617E"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29.2</w:t>
            </w:r>
          </w:p>
        </w:tc>
      </w:tr>
      <w:tr w:rsidR="00E01ABE" w:rsidRPr="00A303E0" w14:paraId="5F38CF05" w14:textId="77777777" w:rsidTr="00185C2D">
        <w:trPr>
          <w:cantSplit/>
          <w:trHeight w:val="20"/>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14:paraId="2889768B" w14:textId="77777777" w:rsidR="00E01ABE" w:rsidRPr="00A303E0" w:rsidRDefault="00E01ABE" w:rsidP="00C57E5B">
            <w:pPr>
              <w:spacing w:after="0"/>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James Cook University</w:t>
            </w:r>
          </w:p>
        </w:tc>
        <w:tc>
          <w:tcPr>
            <w:tcW w:w="1702" w:type="dxa"/>
            <w:tcBorders>
              <w:top w:val="nil"/>
              <w:left w:val="nil"/>
              <w:bottom w:val="single" w:sz="4" w:space="0" w:color="auto"/>
              <w:right w:val="single" w:sz="4" w:space="0" w:color="auto"/>
            </w:tcBorders>
            <w:shd w:val="clear" w:color="000000" w:fill="FFFFFF"/>
            <w:noWrap/>
            <w:vAlign w:val="bottom"/>
            <w:hideMark/>
          </w:tcPr>
          <w:p w14:paraId="3C9589DE" w14:textId="6D0DBB61" w:rsidR="00E01ABE" w:rsidRPr="00A303E0" w:rsidRDefault="00626774"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2.9</w:t>
            </w:r>
          </w:p>
        </w:tc>
        <w:tc>
          <w:tcPr>
            <w:tcW w:w="1843" w:type="dxa"/>
            <w:tcBorders>
              <w:top w:val="nil"/>
              <w:left w:val="nil"/>
              <w:bottom w:val="single" w:sz="4" w:space="0" w:color="auto"/>
              <w:right w:val="single" w:sz="4" w:space="0" w:color="auto"/>
            </w:tcBorders>
            <w:shd w:val="clear" w:color="000000" w:fill="FFFFFF"/>
            <w:noWrap/>
            <w:vAlign w:val="bottom"/>
            <w:hideMark/>
          </w:tcPr>
          <w:p w14:paraId="4FD6CC2F" w14:textId="070A1DC7" w:rsidR="00E01ABE" w:rsidRPr="00A303E0" w:rsidRDefault="001D1CE1"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9.2</w:t>
            </w:r>
          </w:p>
        </w:tc>
        <w:tc>
          <w:tcPr>
            <w:tcW w:w="1701" w:type="dxa"/>
            <w:tcBorders>
              <w:top w:val="nil"/>
              <w:left w:val="nil"/>
              <w:bottom w:val="single" w:sz="4" w:space="0" w:color="auto"/>
              <w:right w:val="single" w:sz="4" w:space="0" w:color="auto"/>
            </w:tcBorders>
            <w:shd w:val="clear" w:color="000000" w:fill="FFFFFF"/>
            <w:noWrap/>
            <w:vAlign w:val="bottom"/>
            <w:hideMark/>
          </w:tcPr>
          <w:p w14:paraId="7E640C4D" w14:textId="58EAD670" w:rsidR="00E01ABE" w:rsidRPr="00A303E0" w:rsidRDefault="0010617E"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11.7</w:t>
            </w:r>
          </w:p>
        </w:tc>
      </w:tr>
      <w:tr w:rsidR="00E01ABE" w:rsidRPr="00A303E0" w14:paraId="577B0550" w14:textId="77777777" w:rsidTr="00185C2D">
        <w:trPr>
          <w:cantSplit/>
          <w:trHeight w:val="20"/>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14:paraId="216AE622" w14:textId="77777777" w:rsidR="00E01ABE" w:rsidRPr="00A303E0" w:rsidRDefault="00E01ABE" w:rsidP="00C57E5B">
            <w:pPr>
              <w:spacing w:after="0"/>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La Trobe University</w:t>
            </w:r>
          </w:p>
        </w:tc>
        <w:tc>
          <w:tcPr>
            <w:tcW w:w="1702" w:type="dxa"/>
            <w:tcBorders>
              <w:top w:val="nil"/>
              <w:left w:val="nil"/>
              <w:bottom w:val="single" w:sz="4" w:space="0" w:color="auto"/>
              <w:right w:val="single" w:sz="4" w:space="0" w:color="auto"/>
            </w:tcBorders>
            <w:shd w:val="clear" w:color="000000" w:fill="FFFFFF"/>
            <w:noWrap/>
            <w:vAlign w:val="bottom"/>
            <w:hideMark/>
          </w:tcPr>
          <w:p w14:paraId="1D0B6EBC" w14:textId="59985054" w:rsidR="00E01ABE" w:rsidRPr="00A303E0" w:rsidRDefault="00626774"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3.6</w:t>
            </w:r>
          </w:p>
        </w:tc>
        <w:tc>
          <w:tcPr>
            <w:tcW w:w="1843" w:type="dxa"/>
            <w:tcBorders>
              <w:top w:val="nil"/>
              <w:left w:val="nil"/>
              <w:bottom w:val="single" w:sz="4" w:space="0" w:color="auto"/>
              <w:right w:val="single" w:sz="4" w:space="0" w:color="auto"/>
            </w:tcBorders>
            <w:shd w:val="clear" w:color="000000" w:fill="FFFFFF"/>
            <w:noWrap/>
            <w:vAlign w:val="bottom"/>
            <w:hideMark/>
          </w:tcPr>
          <w:p w14:paraId="5AA3E79B" w14:textId="14A588DD" w:rsidR="00E01ABE" w:rsidRPr="00A303E0" w:rsidRDefault="001D1CE1"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4.3</w:t>
            </w:r>
          </w:p>
        </w:tc>
        <w:tc>
          <w:tcPr>
            <w:tcW w:w="1701" w:type="dxa"/>
            <w:tcBorders>
              <w:top w:val="nil"/>
              <w:left w:val="nil"/>
              <w:bottom w:val="single" w:sz="4" w:space="0" w:color="auto"/>
              <w:right w:val="single" w:sz="4" w:space="0" w:color="auto"/>
            </w:tcBorders>
            <w:shd w:val="clear" w:color="000000" w:fill="FFFFFF"/>
            <w:noWrap/>
            <w:vAlign w:val="bottom"/>
            <w:hideMark/>
          </w:tcPr>
          <w:p w14:paraId="5CF8FFD2" w14:textId="5CA9D735" w:rsidR="00E01ABE" w:rsidRPr="00A303E0" w:rsidRDefault="0010617E"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22.4</w:t>
            </w:r>
          </w:p>
        </w:tc>
      </w:tr>
      <w:tr w:rsidR="00E01ABE" w:rsidRPr="00A303E0" w14:paraId="39EB946C" w14:textId="77777777" w:rsidTr="00185C2D">
        <w:trPr>
          <w:cantSplit/>
          <w:trHeight w:val="20"/>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14:paraId="2587A8BA" w14:textId="77777777" w:rsidR="00E01ABE" w:rsidRPr="00A303E0" w:rsidRDefault="00E01ABE" w:rsidP="00C57E5B">
            <w:pPr>
              <w:spacing w:after="0"/>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Macquarie University</w:t>
            </w:r>
          </w:p>
        </w:tc>
        <w:tc>
          <w:tcPr>
            <w:tcW w:w="1702" w:type="dxa"/>
            <w:tcBorders>
              <w:top w:val="nil"/>
              <w:left w:val="nil"/>
              <w:bottom w:val="single" w:sz="4" w:space="0" w:color="auto"/>
              <w:right w:val="single" w:sz="4" w:space="0" w:color="auto"/>
            </w:tcBorders>
            <w:shd w:val="clear" w:color="000000" w:fill="FFFFFF"/>
            <w:noWrap/>
            <w:vAlign w:val="bottom"/>
            <w:hideMark/>
          </w:tcPr>
          <w:p w14:paraId="6060B92A" w14:textId="77777777" w:rsidR="00E01ABE" w:rsidRPr="00A303E0" w:rsidRDefault="00E01ABE"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0.0</w:t>
            </w:r>
          </w:p>
        </w:tc>
        <w:tc>
          <w:tcPr>
            <w:tcW w:w="1843" w:type="dxa"/>
            <w:tcBorders>
              <w:top w:val="nil"/>
              <w:left w:val="nil"/>
              <w:bottom w:val="single" w:sz="4" w:space="0" w:color="auto"/>
              <w:right w:val="single" w:sz="4" w:space="0" w:color="auto"/>
            </w:tcBorders>
            <w:shd w:val="clear" w:color="000000" w:fill="FFFFFF"/>
            <w:noWrap/>
            <w:vAlign w:val="bottom"/>
            <w:hideMark/>
          </w:tcPr>
          <w:p w14:paraId="79AC790A" w14:textId="53DC1203" w:rsidR="00E01ABE" w:rsidRPr="00A303E0" w:rsidRDefault="001D1CE1"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2.6</w:t>
            </w:r>
          </w:p>
        </w:tc>
        <w:tc>
          <w:tcPr>
            <w:tcW w:w="1701" w:type="dxa"/>
            <w:tcBorders>
              <w:top w:val="nil"/>
              <w:left w:val="nil"/>
              <w:bottom w:val="single" w:sz="4" w:space="0" w:color="auto"/>
              <w:right w:val="single" w:sz="4" w:space="0" w:color="auto"/>
            </w:tcBorders>
            <w:shd w:val="clear" w:color="000000" w:fill="FFFFFF"/>
            <w:noWrap/>
            <w:vAlign w:val="bottom"/>
            <w:hideMark/>
          </w:tcPr>
          <w:p w14:paraId="68AC6D57" w14:textId="558C543C" w:rsidR="00E01ABE" w:rsidRPr="00A303E0" w:rsidRDefault="0010617E"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14</w:t>
            </w:r>
            <w:r w:rsidR="00E01ABE" w:rsidRPr="00A303E0">
              <w:rPr>
                <w:rFonts w:asciiTheme="minorHAnsi" w:eastAsia="Times New Roman" w:hAnsiTheme="minorHAnsi" w:cstheme="minorHAnsi"/>
                <w:color w:val="000000"/>
                <w:sz w:val="20"/>
                <w:szCs w:val="20"/>
                <w:lang w:eastAsia="en-AU"/>
              </w:rPr>
              <w:t>.0</w:t>
            </w:r>
          </w:p>
        </w:tc>
      </w:tr>
      <w:tr w:rsidR="00E01ABE" w:rsidRPr="00A303E0" w14:paraId="731184AD" w14:textId="77777777" w:rsidTr="00185C2D">
        <w:trPr>
          <w:cantSplit/>
          <w:trHeight w:val="20"/>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14:paraId="1DA9C9B4" w14:textId="77777777" w:rsidR="00E01ABE" w:rsidRPr="00A303E0" w:rsidRDefault="00E01ABE" w:rsidP="00C57E5B">
            <w:pPr>
              <w:spacing w:after="0"/>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Monash University</w:t>
            </w:r>
          </w:p>
        </w:tc>
        <w:tc>
          <w:tcPr>
            <w:tcW w:w="1702" w:type="dxa"/>
            <w:tcBorders>
              <w:top w:val="nil"/>
              <w:left w:val="nil"/>
              <w:bottom w:val="single" w:sz="4" w:space="0" w:color="auto"/>
              <w:right w:val="single" w:sz="4" w:space="0" w:color="auto"/>
            </w:tcBorders>
            <w:shd w:val="clear" w:color="000000" w:fill="FFFFFF"/>
            <w:noWrap/>
            <w:vAlign w:val="bottom"/>
            <w:hideMark/>
          </w:tcPr>
          <w:p w14:paraId="15ABC966" w14:textId="0FB7F21D" w:rsidR="00E01ABE" w:rsidRPr="00A303E0" w:rsidRDefault="00E01ABE" w:rsidP="00626774">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0.</w:t>
            </w:r>
            <w:r w:rsidR="00626774" w:rsidRPr="00A303E0">
              <w:rPr>
                <w:rFonts w:asciiTheme="minorHAnsi" w:eastAsia="Times New Roman" w:hAnsiTheme="minorHAnsi" w:cstheme="minorHAnsi"/>
                <w:color w:val="000000"/>
                <w:sz w:val="20"/>
                <w:szCs w:val="20"/>
                <w:lang w:eastAsia="en-AU"/>
              </w:rPr>
              <w:t>2</w:t>
            </w:r>
          </w:p>
        </w:tc>
        <w:tc>
          <w:tcPr>
            <w:tcW w:w="1843" w:type="dxa"/>
            <w:tcBorders>
              <w:top w:val="nil"/>
              <w:left w:val="nil"/>
              <w:bottom w:val="single" w:sz="4" w:space="0" w:color="auto"/>
              <w:right w:val="single" w:sz="4" w:space="0" w:color="auto"/>
            </w:tcBorders>
            <w:shd w:val="clear" w:color="000000" w:fill="FFFFFF"/>
            <w:noWrap/>
            <w:vAlign w:val="bottom"/>
            <w:hideMark/>
          </w:tcPr>
          <w:p w14:paraId="7A59FAB5" w14:textId="413E0E16" w:rsidR="00E01ABE" w:rsidRPr="00A303E0" w:rsidRDefault="00010E44"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9.7</w:t>
            </w:r>
          </w:p>
        </w:tc>
        <w:tc>
          <w:tcPr>
            <w:tcW w:w="1701" w:type="dxa"/>
            <w:tcBorders>
              <w:top w:val="nil"/>
              <w:left w:val="nil"/>
              <w:bottom w:val="single" w:sz="4" w:space="0" w:color="auto"/>
              <w:right w:val="single" w:sz="4" w:space="0" w:color="auto"/>
            </w:tcBorders>
            <w:shd w:val="clear" w:color="000000" w:fill="FFFFFF"/>
            <w:noWrap/>
            <w:vAlign w:val="bottom"/>
            <w:hideMark/>
          </w:tcPr>
          <w:p w14:paraId="68F3FBD8" w14:textId="227178C2" w:rsidR="00E01ABE" w:rsidRPr="00A303E0" w:rsidRDefault="0010617E"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43.9</w:t>
            </w:r>
          </w:p>
        </w:tc>
      </w:tr>
      <w:tr w:rsidR="00E01ABE" w:rsidRPr="00A303E0" w14:paraId="59A9FB2E" w14:textId="77777777" w:rsidTr="00185C2D">
        <w:trPr>
          <w:cantSplit/>
          <w:trHeight w:val="20"/>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14:paraId="021BE0AE" w14:textId="77777777" w:rsidR="00E01ABE" w:rsidRPr="00A303E0" w:rsidRDefault="00E01ABE" w:rsidP="00C57E5B">
            <w:pPr>
              <w:spacing w:after="0"/>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Murdoch University</w:t>
            </w:r>
          </w:p>
        </w:tc>
        <w:tc>
          <w:tcPr>
            <w:tcW w:w="1702" w:type="dxa"/>
            <w:tcBorders>
              <w:top w:val="nil"/>
              <w:left w:val="nil"/>
              <w:bottom w:val="single" w:sz="4" w:space="0" w:color="auto"/>
              <w:right w:val="single" w:sz="4" w:space="0" w:color="auto"/>
            </w:tcBorders>
            <w:shd w:val="clear" w:color="000000" w:fill="FFFFFF"/>
            <w:noWrap/>
            <w:vAlign w:val="bottom"/>
            <w:hideMark/>
          </w:tcPr>
          <w:p w14:paraId="02872232" w14:textId="47FC2F23" w:rsidR="00E01ABE" w:rsidRPr="00A303E0" w:rsidRDefault="00626774"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10.9</w:t>
            </w:r>
          </w:p>
        </w:tc>
        <w:tc>
          <w:tcPr>
            <w:tcW w:w="1843" w:type="dxa"/>
            <w:tcBorders>
              <w:top w:val="nil"/>
              <w:left w:val="nil"/>
              <w:bottom w:val="single" w:sz="4" w:space="0" w:color="auto"/>
              <w:right w:val="single" w:sz="4" w:space="0" w:color="auto"/>
            </w:tcBorders>
            <w:shd w:val="clear" w:color="000000" w:fill="FFFFFF"/>
            <w:noWrap/>
            <w:vAlign w:val="bottom"/>
            <w:hideMark/>
          </w:tcPr>
          <w:p w14:paraId="15378760" w14:textId="77777777" w:rsidR="00E01ABE" w:rsidRPr="00A303E0" w:rsidRDefault="00E01ABE"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0.0</w:t>
            </w:r>
          </w:p>
        </w:tc>
        <w:tc>
          <w:tcPr>
            <w:tcW w:w="1701" w:type="dxa"/>
            <w:tcBorders>
              <w:top w:val="nil"/>
              <w:left w:val="nil"/>
              <w:bottom w:val="single" w:sz="4" w:space="0" w:color="auto"/>
              <w:right w:val="single" w:sz="4" w:space="0" w:color="auto"/>
            </w:tcBorders>
            <w:shd w:val="clear" w:color="000000" w:fill="FFFFFF"/>
            <w:noWrap/>
            <w:vAlign w:val="bottom"/>
            <w:hideMark/>
          </w:tcPr>
          <w:p w14:paraId="0E5122A0" w14:textId="64304730" w:rsidR="00E01ABE" w:rsidRPr="00A303E0" w:rsidRDefault="0010617E"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5.4</w:t>
            </w:r>
          </w:p>
        </w:tc>
      </w:tr>
      <w:tr w:rsidR="00E01ABE" w:rsidRPr="00A303E0" w14:paraId="40FD30C8" w14:textId="77777777" w:rsidTr="00185C2D">
        <w:trPr>
          <w:cantSplit/>
          <w:trHeight w:val="20"/>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14:paraId="6915FE0D" w14:textId="77777777" w:rsidR="00E01ABE" w:rsidRPr="00A303E0" w:rsidRDefault="00E01ABE" w:rsidP="00C57E5B">
            <w:pPr>
              <w:spacing w:after="0"/>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RMIT University</w:t>
            </w:r>
          </w:p>
        </w:tc>
        <w:tc>
          <w:tcPr>
            <w:tcW w:w="1702" w:type="dxa"/>
            <w:tcBorders>
              <w:top w:val="nil"/>
              <w:left w:val="nil"/>
              <w:bottom w:val="single" w:sz="4" w:space="0" w:color="auto"/>
              <w:right w:val="single" w:sz="4" w:space="0" w:color="auto"/>
            </w:tcBorders>
            <w:shd w:val="clear" w:color="000000" w:fill="FFFFFF"/>
            <w:noWrap/>
            <w:vAlign w:val="bottom"/>
            <w:hideMark/>
          </w:tcPr>
          <w:p w14:paraId="0BC02765" w14:textId="77777777" w:rsidR="00E01ABE" w:rsidRPr="00A303E0" w:rsidRDefault="00E01ABE"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0.0</w:t>
            </w:r>
          </w:p>
        </w:tc>
        <w:tc>
          <w:tcPr>
            <w:tcW w:w="1843" w:type="dxa"/>
            <w:tcBorders>
              <w:top w:val="nil"/>
              <w:left w:val="nil"/>
              <w:bottom w:val="single" w:sz="4" w:space="0" w:color="auto"/>
              <w:right w:val="single" w:sz="4" w:space="0" w:color="auto"/>
            </w:tcBorders>
            <w:shd w:val="clear" w:color="000000" w:fill="FFFFFF"/>
            <w:noWrap/>
            <w:vAlign w:val="bottom"/>
            <w:hideMark/>
          </w:tcPr>
          <w:p w14:paraId="65B40C08" w14:textId="0E920AD4" w:rsidR="00E01ABE" w:rsidRPr="00A303E0" w:rsidRDefault="00010E44"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59.7</w:t>
            </w:r>
          </w:p>
        </w:tc>
        <w:tc>
          <w:tcPr>
            <w:tcW w:w="1701" w:type="dxa"/>
            <w:tcBorders>
              <w:top w:val="nil"/>
              <w:left w:val="nil"/>
              <w:bottom w:val="single" w:sz="4" w:space="0" w:color="auto"/>
              <w:right w:val="single" w:sz="4" w:space="0" w:color="auto"/>
            </w:tcBorders>
            <w:shd w:val="clear" w:color="000000" w:fill="FFFFFF"/>
            <w:noWrap/>
            <w:vAlign w:val="bottom"/>
            <w:hideMark/>
          </w:tcPr>
          <w:p w14:paraId="473E6D8A" w14:textId="1A64B9C7" w:rsidR="00E01ABE" w:rsidRPr="00A303E0" w:rsidRDefault="0010617E"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23.5</w:t>
            </w:r>
          </w:p>
        </w:tc>
      </w:tr>
      <w:tr w:rsidR="00E01ABE" w:rsidRPr="00A303E0" w14:paraId="3A717CEF" w14:textId="77777777" w:rsidTr="00185C2D">
        <w:trPr>
          <w:cantSplit/>
          <w:trHeight w:val="20"/>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14:paraId="4C4546D7" w14:textId="77777777" w:rsidR="00E01ABE" w:rsidRPr="00A303E0" w:rsidRDefault="00E01ABE" w:rsidP="00C57E5B">
            <w:pPr>
              <w:spacing w:after="0"/>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Southern Cross University</w:t>
            </w:r>
          </w:p>
        </w:tc>
        <w:tc>
          <w:tcPr>
            <w:tcW w:w="1702" w:type="dxa"/>
            <w:tcBorders>
              <w:top w:val="nil"/>
              <w:left w:val="nil"/>
              <w:bottom w:val="single" w:sz="4" w:space="0" w:color="auto"/>
              <w:right w:val="single" w:sz="4" w:space="0" w:color="auto"/>
            </w:tcBorders>
            <w:shd w:val="clear" w:color="000000" w:fill="FFFFFF"/>
            <w:noWrap/>
            <w:vAlign w:val="bottom"/>
            <w:hideMark/>
          </w:tcPr>
          <w:p w14:paraId="18BB8C4F" w14:textId="6B7E7BF4" w:rsidR="00E01ABE" w:rsidRPr="00A303E0" w:rsidRDefault="00626774"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19.3</w:t>
            </w:r>
          </w:p>
        </w:tc>
        <w:tc>
          <w:tcPr>
            <w:tcW w:w="1843" w:type="dxa"/>
            <w:tcBorders>
              <w:top w:val="nil"/>
              <w:left w:val="nil"/>
              <w:bottom w:val="single" w:sz="4" w:space="0" w:color="auto"/>
              <w:right w:val="single" w:sz="4" w:space="0" w:color="auto"/>
            </w:tcBorders>
            <w:shd w:val="clear" w:color="000000" w:fill="FFFFFF"/>
            <w:noWrap/>
            <w:vAlign w:val="bottom"/>
            <w:hideMark/>
          </w:tcPr>
          <w:p w14:paraId="6E02833F" w14:textId="413454C7" w:rsidR="00E01ABE" w:rsidRPr="00A303E0" w:rsidRDefault="00010E44"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11</w:t>
            </w:r>
            <w:r w:rsidR="00E01ABE" w:rsidRPr="00A303E0">
              <w:rPr>
                <w:rFonts w:asciiTheme="minorHAnsi" w:eastAsia="Times New Roman" w:hAnsiTheme="minorHAnsi" w:cstheme="minorHAnsi"/>
                <w:color w:val="000000"/>
                <w:sz w:val="20"/>
                <w:szCs w:val="20"/>
                <w:lang w:eastAsia="en-AU"/>
              </w:rPr>
              <w:t>.9</w:t>
            </w:r>
          </w:p>
        </w:tc>
        <w:tc>
          <w:tcPr>
            <w:tcW w:w="1701" w:type="dxa"/>
            <w:tcBorders>
              <w:top w:val="nil"/>
              <w:left w:val="nil"/>
              <w:bottom w:val="single" w:sz="4" w:space="0" w:color="auto"/>
              <w:right w:val="single" w:sz="4" w:space="0" w:color="auto"/>
            </w:tcBorders>
            <w:shd w:val="clear" w:color="000000" w:fill="FFFFFF"/>
            <w:noWrap/>
            <w:vAlign w:val="bottom"/>
            <w:hideMark/>
          </w:tcPr>
          <w:p w14:paraId="7171EBD7" w14:textId="4BF7D232" w:rsidR="00E01ABE" w:rsidRPr="00A303E0" w:rsidRDefault="0010617E"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6.3</w:t>
            </w:r>
          </w:p>
        </w:tc>
      </w:tr>
      <w:tr w:rsidR="00E01ABE" w:rsidRPr="00A303E0" w14:paraId="4459E571" w14:textId="77777777" w:rsidTr="00185C2D">
        <w:trPr>
          <w:cantSplit/>
          <w:trHeight w:val="20"/>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14:paraId="2ED2B0F8" w14:textId="77777777" w:rsidR="00E01ABE" w:rsidRPr="00A303E0" w:rsidRDefault="00E01ABE" w:rsidP="00C57E5B">
            <w:pPr>
              <w:spacing w:after="0"/>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Swinburne University of Technology</w:t>
            </w:r>
          </w:p>
        </w:tc>
        <w:tc>
          <w:tcPr>
            <w:tcW w:w="1702" w:type="dxa"/>
            <w:tcBorders>
              <w:top w:val="nil"/>
              <w:left w:val="nil"/>
              <w:bottom w:val="single" w:sz="4" w:space="0" w:color="auto"/>
              <w:right w:val="single" w:sz="4" w:space="0" w:color="auto"/>
            </w:tcBorders>
            <w:shd w:val="clear" w:color="000000" w:fill="FFFFFF"/>
            <w:noWrap/>
            <w:vAlign w:val="bottom"/>
            <w:hideMark/>
          </w:tcPr>
          <w:p w14:paraId="63DBF342" w14:textId="77777777" w:rsidR="00E01ABE" w:rsidRPr="00A303E0" w:rsidRDefault="00E01ABE"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0.0</w:t>
            </w:r>
          </w:p>
        </w:tc>
        <w:tc>
          <w:tcPr>
            <w:tcW w:w="1843" w:type="dxa"/>
            <w:tcBorders>
              <w:top w:val="nil"/>
              <w:left w:val="nil"/>
              <w:bottom w:val="single" w:sz="4" w:space="0" w:color="auto"/>
              <w:right w:val="single" w:sz="4" w:space="0" w:color="auto"/>
            </w:tcBorders>
            <w:shd w:val="clear" w:color="000000" w:fill="FFFFFF"/>
            <w:noWrap/>
            <w:vAlign w:val="bottom"/>
            <w:hideMark/>
          </w:tcPr>
          <w:p w14:paraId="08100AAA" w14:textId="3B5DB3BD" w:rsidR="00E01ABE" w:rsidRPr="00A303E0" w:rsidRDefault="00010E44"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9.1</w:t>
            </w:r>
          </w:p>
        </w:tc>
        <w:tc>
          <w:tcPr>
            <w:tcW w:w="1701" w:type="dxa"/>
            <w:tcBorders>
              <w:top w:val="nil"/>
              <w:left w:val="nil"/>
              <w:bottom w:val="single" w:sz="4" w:space="0" w:color="auto"/>
              <w:right w:val="single" w:sz="4" w:space="0" w:color="auto"/>
            </w:tcBorders>
            <w:shd w:val="clear" w:color="000000" w:fill="FFFFFF"/>
            <w:noWrap/>
            <w:vAlign w:val="bottom"/>
            <w:hideMark/>
          </w:tcPr>
          <w:p w14:paraId="6A75CD82" w14:textId="3BD1132C" w:rsidR="00E01ABE" w:rsidRPr="00A303E0" w:rsidRDefault="0010617E"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8</w:t>
            </w:r>
            <w:r w:rsidR="00E01ABE" w:rsidRPr="00A303E0">
              <w:rPr>
                <w:rFonts w:asciiTheme="minorHAnsi" w:eastAsia="Times New Roman" w:hAnsiTheme="minorHAnsi" w:cstheme="minorHAnsi"/>
                <w:color w:val="000000"/>
                <w:sz w:val="20"/>
                <w:szCs w:val="20"/>
                <w:lang w:eastAsia="en-AU"/>
              </w:rPr>
              <w:t>.0</w:t>
            </w:r>
          </w:p>
        </w:tc>
      </w:tr>
      <w:tr w:rsidR="00E01ABE" w:rsidRPr="00A303E0" w14:paraId="3503C1A1" w14:textId="77777777" w:rsidTr="00185C2D">
        <w:trPr>
          <w:cantSplit/>
          <w:trHeight w:val="20"/>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14:paraId="47C40B7F" w14:textId="77777777" w:rsidR="00E01ABE" w:rsidRPr="00A303E0" w:rsidRDefault="00E01ABE" w:rsidP="00C57E5B">
            <w:pPr>
              <w:spacing w:after="0"/>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The Australian National University</w:t>
            </w:r>
          </w:p>
        </w:tc>
        <w:tc>
          <w:tcPr>
            <w:tcW w:w="1702" w:type="dxa"/>
            <w:tcBorders>
              <w:top w:val="nil"/>
              <w:left w:val="nil"/>
              <w:bottom w:val="single" w:sz="4" w:space="0" w:color="auto"/>
              <w:right w:val="single" w:sz="4" w:space="0" w:color="auto"/>
            </w:tcBorders>
            <w:shd w:val="clear" w:color="000000" w:fill="FFFFFF"/>
            <w:noWrap/>
            <w:vAlign w:val="bottom"/>
            <w:hideMark/>
          </w:tcPr>
          <w:p w14:paraId="46F9F31C" w14:textId="77777777" w:rsidR="00E01ABE" w:rsidRPr="00A303E0" w:rsidRDefault="00E01ABE"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0.0</w:t>
            </w:r>
          </w:p>
        </w:tc>
        <w:tc>
          <w:tcPr>
            <w:tcW w:w="1843" w:type="dxa"/>
            <w:tcBorders>
              <w:top w:val="nil"/>
              <w:left w:val="nil"/>
              <w:bottom w:val="single" w:sz="4" w:space="0" w:color="auto"/>
              <w:right w:val="single" w:sz="4" w:space="0" w:color="auto"/>
            </w:tcBorders>
            <w:shd w:val="clear" w:color="000000" w:fill="FFFFFF"/>
            <w:noWrap/>
            <w:vAlign w:val="bottom"/>
            <w:hideMark/>
          </w:tcPr>
          <w:p w14:paraId="7DF04931" w14:textId="21BB315A" w:rsidR="00E01ABE" w:rsidRPr="00A303E0" w:rsidRDefault="00010E44"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2.5</w:t>
            </w:r>
          </w:p>
        </w:tc>
        <w:tc>
          <w:tcPr>
            <w:tcW w:w="1701" w:type="dxa"/>
            <w:tcBorders>
              <w:top w:val="nil"/>
              <w:left w:val="nil"/>
              <w:bottom w:val="single" w:sz="4" w:space="0" w:color="auto"/>
              <w:right w:val="single" w:sz="4" w:space="0" w:color="auto"/>
            </w:tcBorders>
            <w:shd w:val="clear" w:color="000000" w:fill="FFFFFF"/>
            <w:noWrap/>
            <w:vAlign w:val="bottom"/>
            <w:hideMark/>
          </w:tcPr>
          <w:p w14:paraId="0634DCB5" w14:textId="70975950" w:rsidR="00E01ABE" w:rsidRPr="00A303E0" w:rsidRDefault="0010617E"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3.4</w:t>
            </w:r>
          </w:p>
        </w:tc>
      </w:tr>
      <w:tr w:rsidR="00E01ABE" w:rsidRPr="00A303E0" w14:paraId="226C1986" w14:textId="77777777" w:rsidTr="00185C2D">
        <w:trPr>
          <w:cantSplit/>
          <w:trHeight w:val="20"/>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14:paraId="6C2807F7" w14:textId="77777777" w:rsidR="00E01ABE" w:rsidRPr="00A303E0" w:rsidRDefault="00E01ABE" w:rsidP="00C57E5B">
            <w:pPr>
              <w:spacing w:after="0"/>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The University of Adelaide</w:t>
            </w:r>
          </w:p>
        </w:tc>
        <w:tc>
          <w:tcPr>
            <w:tcW w:w="1702" w:type="dxa"/>
            <w:tcBorders>
              <w:top w:val="nil"/>
              <w:left w:val="nil"/>
              <w:bottom w:val="single" w:sz="4" w:space="0" w:color="auto"/>
              <w:right w:val="single" w:sz="4" w:space="0" w:color="auto"/>
            </w:tcBorders>
            <w:shd w:val="clear" w:color="000000" w:fill="FFFFFF"/>
            <w:noWrap/>
            <w:vAlign w:val="bottom"/>
            <w:hideMark/>
          </w:tcPr>
          <w:p w14:paraId="56C67DB3" w14:textId="5302A771" w:rsidR="00E01ABE" w:rsidRPr="00A303E0" w:rsidRDefault="00626774"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4.5</w:t>
            </w:r>
          </w:p>
        </w:tc>
        <w:tc>
          <w:tcPr>
            <w:tcW w:w="1843" w:type="dxa"/>
            <w:tcBorders>
              <w:top w:val="nil"/>
              <w:left w:val="nil"/>
              <w:bottom w:val="single" w:sz="4" w:space="0" w:color="auto"/>
              <w:right w:val="single" w:sz="4" w:space="0" w:color="auto"/>
            </w:tcBorders>
            <w:shd w:val="clear" w:color="000000" w:fill="FFFFFF"/>
            <w:noWrap/>
            <w:vAlign w:val="bottom"/>
            <w:hideMark/>
          </w:tcPr>
          <w:p w14:paraId="17D11652" w14:textId="4E2F2355" w:rsidR="00E01ABE" w:rsidRPr="00A303E0" w:rsidRDefault="00010E44"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3.3</w:t>
            </w:r>
          </w:p>
        </w:tc>
        <w:tc>
          <w:tcPr>
            <w:tcW w:w="1701" w:type="dxa"/>
            <w:tcBorders>
              <w:top w:val="nil"/>
              <w:left w:val="nil"/>
              <w:bottom w:val="single" w:sz="4" w:space="0" w:color="auto"/>
              <w:right w:val="single" w:sz="4" w:space="0" w:color="auto"/>
            </w:tcBorders>
            <w:shd w:val="clear" w:color="000000" w:fill="FFFFFF"/>
            <w:noWrap/>
            <w:vAlign w:val="bottom"/>
            <w:hideMark/>
          </w:tcPr>
          <w:p w14:paraId="4B51F68B" w14:textId="0F1DBF60" w:rsidR="00E01ABE" w:rsidRPr="00A303E0" w:rsidRDefault="0010617E"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17.7</w:t>
            </w:r>
          </w:p>
        </w:tc>
      </w:tr>
      <w:tr w:rsidR="00E01ABE" w:rsidRPr="00A303E0" w14:paraId="13348829" w14:textId="77777777" w:rsidTr="00185C2D">
        <w:trPr>
          <w:cantSplit/>
          <w:trHeight w:val="20"/>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14:paraId="281BFA28" w14:textId="77777777" w:rsidR="00E01ABE" w:rsidRPr="00A303E0" w:rsidRDefault="00E01ABE" w:rsidP="00C57E5B">
            <w:pPr>
              <w:spacing w:after="0"/>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The University of Melbourne</w:t>
            </w:r>
          </w:p>
        </w:tc>
        <w:tc>
          <w:tcPr>
            <w:tcW w:w="1702" w:type="dxa"/>
            <w:tcBorders>
              <w:top w:val="nil"/>
              <w:left w:val="nil"/>
              <w:bottom w:val="single" w:sz="4" w:space="0" w:color="auto"/>
              <w:right w:val="single" w:sz="4" w:space="0" w:color="auto"/>
            </w:tcBorders>
            <w:shd w:val="clear" w:color="000000" w:fill="FFFFFF"/>
            <w:noWrap/>
            <w:vAlign w:val="bottom"/>
            <w:hideMark/>
          </w:tcPr>
          <w:p w14:paraId="54588727" w14:textId="1D2F3F3B" w:rsidR="00E01ABE" w:rsidRPr="00A303E0" w:rsidRDefault="00626774"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1</w:t>
            </w:r>
            <w:r w:rsidR="00E01ABE" w:rsidRPr="00A303E0">
              <w:rPr>
                <w:rFonts w:asciiTheme="minorHAnsi" w:eastAsia="Times New Roman" w:hAnsiTheme="minorHAnsi" w:cstheme="minorHAnsi"/>
                <w:color w:val="000000"/>
                <w:sz w:val="20"/>
                <w:szCs w:val="20"/>
                <w:lang w:eastAsia="en-AU"/>
              </w:rPr>
              <w:t>.1</w:t>
            </w:r>
          </w:p>
        </w:tc>
        <w:tc>
          <w:tcPr>
            <w:tcW w:w="1843" w:type="dxa"/>
            <w:tcBorders>
              <w:top w:val="nil"/>
              <w:left w:val="nil"/>
              <w:bottom w:val="single" w:sz="4" w:space="0" w:color="auto"/>
              <w:right w:val="single" w:sz="4" w:space="0" w:color="auto"/>
            </w:tcBorders>
            <w:shd w:val="clear" w:color="000000" w:fill="FFFFFF"/>
            <w:noWrap/>
            <w:vAlign w:val="bottom"/>
            <w:hideMark/>
          </w:tcPr>
          <w:p w14:paraId="6345CCF7" w14:textId="7C4CF7F7" w:rsidR="00E01ABE" w:rsidRPr="00A303E0" w:rsidRDefault="00010E44"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9.4</w:t>
            </w:r>
          </w:p>
        </w:tc>
        <w:tc>
          <w:tcPr>
            <w:tcW w:w="1701" w:type="dxa"/>
            <w:tcBorders>
              <w:top w:val="nil"/>
              <w:left w:val="nil"/>
              <w:bottom w:val="single" w:sz="4" w:space="0" w:color="auto"/>
              <w:right w:val="single" w:sz="4" w:space="0" w:color="auto"/>
            </w:tcBorders>
            <w:shd w:val="clear" w:color="000000" w:fill="FFFFFF"/>
            <w:noWrap/>
            <w:vAlign w:val="bottom"/>
            <w:hideMark/>
          </w:tcPr>
          <w:p w14:paraId="07D50BDB" w14:textId="40EB0081" w:rsidR="00E01ABE" w:rsidRPr="00A303E0" w:rsidRDefault="0010617E"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131.3</w:t>
            </w:r>
          </w:p>
        </w:tc>
      </w:tr>
      <w:tr w:rsidR="00E01ABE" w:rsidRPr="00A303E0" w14:paraId="4B072D31" w14:textId="77777777" w:rsidTr="00185C2D">
        <w:trPr>
          <w:cantSplit/>
          <w:trHeight w:val="20"/>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14:paraId="615837D4" w14:textId="77777777" w:rsidR="00E01ABE" w:rsidRPr="00A303E0" w:rsidRDefault="00E01ABE" w:rsidP="00C57E5B">
            <w:pPr>
              <w:spacing w:after="0"/>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The University of New England</w:t>
            </w:r>
          </w:p>
        </w:tc>
        <w:tc>
          <w:tcPr>
            <w:tcW w:w="1702" w:type="dxa"/>
            <w:tcBorders>
              <w:top w:val="nil"/>
              <w:left w:val="nil"/>
              <w:bottom w:val="single" w:sz="4" w:space="0" w:color="auto"/>
              <w:right w:val="single" w:sz="4" w:space="0" w:color="auto"/>
            </w:tcBorders>
            <w:shd w:val="clear" w:color="000000" w:fill="FFFFFF"/>
            <w:noWrap/>
            <w:vAlign w:val="bottom"/>
            <w:hideMark/>
          </w:tcPr>
          <w:p w14:paraId="10629CEE" w14:textId="0B4474B1" w:rsidR="00E01ABE" w:rsidRPr="00A303E0" w:rsidRDefault="00626774"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13.7</w:t>
            </w:r>
          </w:p>
        </w:tc>
        <w:tc>
          <w:tcPr>
            <w:tcW w:w="1843" w:type="dxa"/>
            <w:tcBorders>
              <w:top w:val="nil"/>
              <w:left w:val="nil"/>
              <w:bottom w:val="single" w:sz="4" w:space="0" w:color="auto"/>
              <w:right w:val="single" w:sz="4" w:space="0" w:color="auto"/>
            </w:tcBorders>
            <w:shd w:val="clear" w:color="000000" w:fill="FFFFFF"/>
            <w:noWrap/>
            <w:vAlign w:val="bottom"/>
            <w:hideMark/>
          </w:tcPr>
          <w:p w14:paraId="322B12EE" w14:textId="00E69E5A" w:rsidR="00E01ABE" w:rsidRPr="00A303E0" w:rsidRDefault="00010E44"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5.1</w:t>
            </w:r>
          </w:p>
        </w:tc>
        <w:tc>
          <w:tcPr>
            <w:tcW w:w="1701" w:type="dxa"/>
            <w:tcBorders>
              <w:top w:val="nil"/>
              <w:left w:val="nil"/>
              <w:bottom w:val="single" w:sz="4" w:space="0" w:color="auto"/>
              <w:right w:val="single" w:sz="4" w:space="0" w:color="auto"/>
            </w:tcBorders>
            <w:shd w:val="clear" w:color="000000" w:fill="FFFFFF"/>
            <w:noWrap/>
            <w:vAlign w:val="bottom"/>
            <w:hideMark/>
          </w:tcPr>
          <w:p w14:paraId="3981FE57" w14:textId="04EFCDA6" w:rsidR="00E01ABE" w:rsidRPr="00A303E0" w:rsidRDefault="0010617E"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35.2</w:t>
            </w:r>
          </w:p>
        </w:tc>
      </w:tr>
      <w:tr w:rsidR="00E01ABE" w:rsidRPr="00A303E0" w14:paraId="452886C2" w14:textId="77777777" w:rsidTr="00185C2D">
        <w:trPr>
          <w:cantSplit/>
          <w:trHeight w:val="20"/>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14:paraId="6D5D859E" w14:textId="77777777" w:rsidR="00E01ABE" w:rsidRPr="00A303E0" w:rsidRDefault="00E01ABE" w:rsidP="00C57E5B">
            <w:pPr>
              <w:spacing w:after="0"/>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The University of Newcastle</w:t>
            </w:r>
          </w:p>
        </w:tc>
        <w:tc>
          <w:tcPr>
            <w:tcW w:w="1702" w:type="dxa"/>
            <w:tcBorders>
              <w:top w:val="nil"/>
              <w:left w:val="nil"/>
              <w:bottom w:val="single" w:sz="4" w:space="0" w:color="auto"/>
              <w:right w:val="single" w:sz="4" w:space="0" w:color="auto"/>
            </w:tcBorders>
            <w:shd w:val="clear" w:color="000000" w:fill="FFFFFF"/>
            <w:noWrap/>
            <w:vAlign w:val="bottom"/>
            <w:hideMark/>
          </w:tcPr>
          <w:p w14:paraId="37DBEFEA" w14:textId="341F8103" w:rsidR="00E01ABE" w:rsidRPr="00A303E0" w:rsidRDefault="00626774"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80.7</w:t>
            </w:r>
          </w:p>
        </w:tc>
        <w:tc>
          <w:tcPr>
            <w:tcW w:w="1843" w:type="dxa"/>
            <w:tcBorders>
              <w:top w:val="nil"/>
              <w:left w:val="nil"/>
              <w:bottom w:val="single" w:sz="4" w:space="0" w:color="auto"/>
              <w:right w:val="single" w:sz="4" w:space="0" w:color="auto"/>
            </w:tcBorders>
            <w:shd w:val="clear" w:color="000000" w:fill="FFFFFF"/>
            <w:noWrap/>
            <w:vAlign w:val="bottom"/>
            <w:hideMark/>
          </w:tcPr>
          <w:p w14:paraId="0B8FC50B" w14:textId="77777777" w:rsidR="00E01ABE" w:rsidRPr="00A303E0" w:rsidRDefault="00E01ABE"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0.0</w:t>
            </w:r>
          </w:p>
        </w:tc>
        <w:tc>
          <w:tcPr>
            <w:tcW w:w="1701" w:type="dxa"/>
            <w:tcBorders>
              <w:top w:val="nil"/>
              <w:left w:val="nil"/>
              <w:bottom w:val="single" w:sz="4" w:space="0" w:color="auto"/>
              <w:right w:val="single" w:sz="4" w:space="0" w:color="auto"/>
            </w:tcBorders>
            <w:shd w:val="clear" w:color="000000" w:fill="FFFFFF"/>
            <w:noWrap/>
            <w:vAlign w:val="bottom"/>
            <w:hideMark/>
          </w:tcPr>
          <w:p w14:paraId="2586F317" w14:textId="63904085" w:rsidR="00E01ABE" w:rsidRPr="00A303E0" w:rsidRDefault="0010617E"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7.1</w:t>
            </w:r>
          </w:p>
        </w:tc>
      </w:tr>
      <w:tr w:rsidR="00E01ABE" w:rsidRPr="00A303E0" w14:paraId="7BB18FD2" w14:textId="77777777" w:rsidTr="00185C2D">
        <w:trPr>
          <w:cantSplit/>
          <w:trHeight w:val="20"/>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14:paraId="3EC68C4E" w14:textId="77777777" w:rsidR="00E01ABE" w:rsidRPr="00A303E0" w:rsidRDefault="00E01ABE" w:rsidP="00C57E5B">
            <w:pPr>
              <w:spacing w:after="0"/>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The University of Queensland</w:t>
            </w:r>
          </w:p>
        </w:tc>
        <w:tc>
          <w:tcPr>
            <w:tcW w:w="1702" w:type="dxa"/>
            <w:tcBorders>
              <w:top w:val="nil"/>
              <w:left w:val="nil"/>
              <w:bottom w:val="single" w:sz="4" w:space="0" w:color="auto"/>
              <w:right w:val="single" w:sz="4" w:space="0" w:color="auto"/>
            </w:tcBorders>
            <w:shd w:val="clear" w:color="000000" w:fill="FFFFFF"/>
            <w:noWrap/>
            <w:vAlign w:val="bottom"/>
            <w:hideMark/>
          </w:tcPr>
          <w:p w14:paraId="62015F48" w14:textId="09F977D5" w:rsidR="00E01ABE" w:rsidRPr="00A303E0" w:rsidRDefault="00626774"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3</w:t>
            </w:r>
            <w:r w:rsidR="00E01ABE" w:rsidRPr="00A303E0">
              <w:rPr>
                <w:rFonts w:asciiTheme="minorHAnsi" w:eastAsia="Times New Roman" w:hAnsiTheme="minorHAnsi" w:cstheme="minorHAnsi"/>
                <w:color w:val="000000"/>
                <w:sz w:val="20"/>
                <w:szCs w:val="20"/>
                <w:lang w:eastAsia="en-AU"/>
              </w:rPr>
              <w:t>.9</w:t>
            </w:r>
          </w:p>
        </w:tc>
        <w:tc>
          <w:tcPr>
            <w:tcW w:w="1843" w:type="dxa"/>
            <w:tcBorders>
              <w:top w:val="nil"/>
              <w:left w:val="nil"/>
              <w:bottom w:val="single" w:sz="4" w:space="0" w:color="auto"/>
              <w:right w:val="single" w:sz="4" w:space="0" w:color="auto"/>
            </w:tcBorders>
            <w:shd w:val="clear" w:color="000000" w:fill="FFFFFF"/>
            <w:noWrap/>
            <w:vAlign w:val="bottom"/>
            <w:hideMark/>
          </w:tcPr>
          <w:p w14:paraId="69B129EA" w14:textId="59C11B0D" w:rsidR="00E01ABE" w:rsidRPr="00A303E0" w:rsidRDefault="00010E44"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12.9</w:t>
            </w:r>
          </w:p>
        </w:tc>
        <w:tc>
          <w:tcPr>
            <w:tcW w:w="1701" w:type="dxa"/>
            <w:tcBorders>
              <w:top w:val="nil"/>
              <w:left w:val="nil"/>
              <w:bottom w:val="single" w:sz="4" w:space="0" w:color="auto"/>
              <w:right w:val="single" w:sz="4" w:space="0" w:color="auto"/>
            </w:tcBorders>
            <w:shd w:val="clear" w:color="000000" w:fill="FFFFFF"/>
            <w:noWrap/>
            <w:vAlign w:val="bottom"/>
            <w:hideMark/>
          </w:tcPr>
          <w:p w14:paraId="4CA1F144" w14:textId="3286E190" w:rsidR="00E01ABE" w:rsidRPr="00A303E0" w:rsidRDefault="0010617E"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23.2</w:t>
            </w:r>
          </w:p>
        </w:tc>
      </w:tr>
      <w:tr w:rsidR="00E01ABE" w:rsidRPr="00A303E0" w14:paraId="79B67944" w14:textId="77777777" w:rsidTr="00185C2D">
        <w:trPr>
          <w:cantSplit/>
          <w:trHeight w:val="20"/>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14:paraId="65E76E7D" w14:textId="77777777" w:rsidR="00E01ABE" w:rsidRPr="00A303E0" w:rsidRDefault="00E01ABE" w:rsidP="00C57E5B">
            <w:pPr>
              <w:spacing w:after="0"/>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The University of Western Australia</w:t>
            </w:r>
          </w:p>
        </w:tc>
        <w:tc>
          <w:tcPr>
            <w:tcW w:w="1702" w:type="dxa"/>
            <w:tcBorders>
              <w:top w:val="nil"/>
              <w:left w:val="nil"/>
              <w:bottom w:val="single" w:sz="4" w:space="0" w:color="auto"/>
              <w:right w:val="single" w:sz="4" w:space="0" w:color="auto"/>
            </w:tcBorders>
            <w:shd w:val="clear" w:color="000000" w:fill="FFFFFF"/>
            <w:noWrap/>
            <w:vAlign w:val="bottom"/>
            <w:hideMark/>
          </w:tcPr>
          <w:p w14:paraId="7A868D58" w14:textId="676F72C3" w:rsidR="00E01ABE" w:rsidRPr="00A303E0" w:rsidRDefault="00626774"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3.2</w:t>
            </w:r>
          </w:p>
        </w:tc>
        <w:tc>
          <w:tcPr>
            <w:tcW w:w="1843" w:type="dxa"/>
            <w:tcBorders>
              <w:top w:val="nil"/>
              <w:left w:val="nil"/>
              <w:bottom w:val="single" w:sz="4" w:space="0" w:color="auto"/>
              <w:right w:val="single" w:sz="4" w:space="0" w:color="auto"/>
            </w:tcBorders>
            <w:shd w:val="clear" w:color="000000" w:fill="FFFFFF"/>
            <w:noWrap/>
            <w:vAlign w:val="bottom"/>
            <w:hideMark/>
          </w:tcPr>
          <w:p w14:paraId="16E9644E" w14:textId="2B508BB0" w:rsidR="00E01ABE" w:rsidRPr="00A303E0" w:rsidRDefault="00010E44"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3.5</w:t>
            </w:r>
          </w:p>
        </w:tc>
        <w:tc>
          <w:tcPr>
            <w:tcW w:w="1701" w:type="dxa"/>
            <w:tcBorders>
              <w:top w:val="nil"/>
              <w:left w:val="nil"/>
              <w:bottom w:val="single" w:sz="4" w:space="0" w:color="auto"/>
              <w:right w:val="single" w:sz="4" w:space="0" w:color="auto"/>
            </w:tcBorders>
            <w:shd w:val="clear" w:color="000000" w:fill="FFFFFF"/>
            <w:noWrap/>
            <w:vAlign w:val="bottom"/>
            <w:hideMark/>
          </w:tcPr>
          <w:p w14:paraId="12B9B737" w14:textId="0BCFB672" w:rsidR="00E01ABE" w:rsidRPr="00A303E0" w:rsidRDefault="0010617E"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82.3</w:t>
            </w:r>
          </w:p>
        </w:tc>
      </w:tr>
      <w:tr w:rsidR="00E01ABE" w:rsidRPr="00A303E0" w14:paraId="4F054A86" w14:textId="77777777" w:rsidTr="00185C2D">
        <w:trPr>
          <w:cantSplit/>
          <w:trHeight w:val="20"/>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14:paraId="6857200F" w14:textId="77777777" w:rsidR="00E01ABE" w:rsidRPr="00A303E0" w:rsidRDefault="00E01ABE" w:rsidP="00C57E5B">
            <w:pPr>
              <w:spacing w:after="0"/>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Federation University Australia</w:t>
            </w:r>
          </w:p>
        </w:tc>
        <w:tc>
          <w:tcPr>
            <w:tcW w:w="1702" w:type="dxa"/>
            <w:tcBorders>
              <w:top w:val="nil"/>
              <w:left w:val="nil"/>
              <w:bottom w:val="single" w:sz="4" w:space="0" w:color="auto"/>
              <w:right w:val="single" w:sz="4" w:space="0" w:color="auto"/>
            </w:tcBorders>
            <w:shd w:val="clear" w:color="000000" w:fill="FFFFFF"/>
            <w:noWrap/>
            <w:vAlign w:val="bottom"/>
            <w:hideMark/>
          </w:tcPr>
          <w:p w14:paraId="7175D11D" w14:textId="7238CDDC" w:rsidR="00E01ABE" w:rsidRPr="00A303E0" w:rsidRDefault="00626774"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6.5</w:t>
            </w:r>
          </w:p>
        </w:tc>
        <w:tc>
          <w:tcPr>
            <w:tcW w:w="1843" w:type="dxa"/>
            <w:tcBorders>
              <w:top w:val="nil"/>
              <w:left w:val="nil"/>
              <w:bottom w:val="single" w:sz="4" w:space="0" w:color="auto"/>
              <w:right w:val="single" w:sz="4" w:space="0" w:color="auto"/>
            </w:tcBorders>
            <w:shd w:val="clear" w:color="000000" w:fill="FFFFFF"/>
            <w:noWrap/>
            <w:vAlign w:val="bottom"/>
            <w:hideMark/>
          </w:tcPr>
          <w:p w14:paraId="4FE4346E" w14:textId="6626131B" w:rsidR="00E01ABE" w:rsidRPr="00A303E0" w:rsidRDefault="001D1CE1"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0.7</w:t>
            </w:r>
          </w:p>
        </w:tc>
        <w:tc>
          <w:tcPr>
            <w:tcW w:w="1701" w:type="dxa"/>
            <w:tcBorders>
              <w:top w:val="nil"/>
              <w:left w:val="nil"/>
              <w:bottom w:val="single" w:sz="4" w:space="0" w:color="auto"/>
              <w:right w:val="single" w:sz="4" w:space="0" w:color="auto"/>
            </w:tcBorders>
            <w:shd w:val="clear" w:color="000000" w:fill="FFFFFF"/>
            <w:noWrap/>
            <w:vAlign w:val="bottom"/>
            <w:hideMark/>
          </w:tcPr>
          <w:p w14:paraId="00BC3336" w14:textId="219C199A" w:rsidR="00E01ABE" w:rsidRPr="00A303E0" w:rsidRDefault="0010617E"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13.2</w:t>
            </w:r>
          </w:p>
        </w:tc>
      </w:tr>
      <w:tr w:rsidR="00E01ABE" w:rsidRPr="00A303E0" w14:paraId="3A261EB2" w14:textId="77777777" w:rsidTr="00185C2D">
        <w:trPr>
          <w:cantSplit/>
          <w:trHeight w:val="20"/>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14:paraId="1908E175" w14:textId="77777777" w:rsidR="00E01ABE" w:rsidRPr="00A303E0" w:rsidRDefault="00E01ABE" w:rsidP="00C57E5B">
            <w:pPr>
              <w:spacing w:after="0"/>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University of Canberra</w:t>
            </w:r>
          </w:p>
        </w:tc>
        <w:tc>
          <w:tcPr>
            <w:tcW w:w="1702" w:type="dxa"/>
            <w:tcBorders>
              <w:top w:val="nil"/>
              <w:left w:val="nil"/>
              <w:bottom w:val="single" w:sz="4" w:space="0" w:color="auto"/>
              <w:right w:val="single" w:sz="4" w:space="0" w:color="auto"/>
            </w:tcBorders>
            <w:shd w:val="clear" w:color="000000" w:fill="FFFFFF"/>
            <w:noWrap/>
            <w:vAlign w:val="bottom"/>
            <w:hideMark/>
          </w:tcPr>
          <w:p w14:paraId="04BDFE3B" w14:textId="7F82B50F" w:rsidR="00E01ABE" w:rsidRPr="00A303E0" w:rsidRDefault="00626774"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9.1</w:t>
            </w:r>
          </w:p>
        </w:tc>
        <w:tc>
          <w:tcPr>
            <w:tcW w:w="1843" w:type="dxa"/>
            <w:tcBorders>
              <w:top w:val="nil"/>
              <w:left w:val="nil"/>
              <w:bottom w:val="single" w:sz="4" w:space="0" w:color="auto"/>
              <w:right w:val="single" w:sz="4" w:space="0" w:color="auto"/>
            </w:tcBorders>
            <w:shd w:val="clear" w:color="000000" w:fill="FFFFFF"/>
            <w:noWrap/>
            <w:vAlign w:val="bottom"/>
            <w:hideMark/>
          </w:tcPr>
          <w:p w14:paraId="07CEBDCE" w14:textId="6B8A887E" w:rsidR="00E01ABE" w:rsidRPr="00A303E0" w:rsidRDefault="00010E44"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2.5</w:t>
            </w:r>
          </w:p>
        </w:tc>
        <w:tc>
          <w:tcPr>
            <w:tcW w:w="1701" w:type="dxa"/>
            <w:tcBorders>
              <w:top w:val="nil"/>
              <w:left w:val="nil"/>
              <w:bottom w:val="single" w:sz="4" w:space="0" w:color="auto"/>
              <w:right w:val="single" w:sz="4" w:space="0" w:color="auto"/>
            </w:tcBorders>
            <w:shd w:val="clear" w:color="000000" w:fill="FFFFFF"/>
            <w:noWrap/>
            <w:vAlign w:val="bottom"/>
            <w:hideMark/>
          </w:tcPr>
          <w:p w14:paraId="21544D4C" w14:textId="02E320EF" w:rsidR="00E01ABE" w:rsidRPr="00A303E0" w:rsidRDefault="0010617E"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13.1</w:t>
            </w:r>
          </w:p>
        </w:tc>
      </w:tr>
      <w:tr w:rsidR="00E01ABE" w:rsidRPr="00A303E0" w14:paraId="5141F821" w14:textId="77777777" w:rsidTr="00185C2D">
        <w:trPr>
          <w:cantSplit/>
          <w:trHeight w:val="20"/>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14:paraId="63747472" w14:textId="77777777" w:rsidR="00E01ABE" w:rsidRPr="00A303E0" w:rsidRDefault="00E01ABE" w:rsidP="00C57E5B">
            <w:pPr>
              <w:spacing w:after="0"/>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University of South Australia</w:t>
            </w:r>
          </w:p>
        </w:tc>
        <w:tc>
          <w:tcPr>
            <w:tcW w:w="1702" w:type="dxa"/>
            <w:tcBorders>
              <w:top w:val="nil"/>
              <w:left w:val="nil"/>
              <w:bottom w:val="single" w:sz="4" w:space="0" w:color="auto"/>
              <w:right w:val="single" w:sz="4" w:space="0" w:color="auto"/>
            </w:tcBorders>
            <w:shd w:val="clear" w:color="000000" w:fill="FFFFFF"/>
            <w:noWrap/>
            <w:vAlign w:val="bottom"/>
            <w:hideMark/>
          </w:tcPr>
          <w:p w14:paraId="05A414D5" w14:textId="5A638A08" w:rsidR="00E01ABE" w:rsidRPr="00A303E0" w:rsidRDefault="00EB7338"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17.2</w:t>
            </w:r>
          </w:p>
        </w:tc>
        <w:tc>
          <w:tcPr>
            <w:tcW w:w="1843" w:type="dxa"/>
            <w:tcBorders>
              <w:top w:val="nil"/>
              <w:left w:val="nil"/>
              <w:bottom w:val="single" w:sz="4" w:space="0" w:color="auto"/>
              <w:right w:val="single" w:sz="4" w:space="0" w:color="auto"/>
            </w:tcBorders>
            <w:shd w:val="clear" w:color="000000" w:fill="FFFFFF"/>
            <w:noWrap/>
            <w:vAlign w:val="bottom"/>
            <w:hideMark/>
          </w:tcPr>
          <w:p w14:paraId="02BFD393" w14:textId="122D7773" w:rsidR="00E01ABE" w:rsidRPr="00A303E0" w:rsidRDefault="00010E44"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12.5</w:t>
            </w:r>
          </w:p>
        </w:tc>
        <w:tc>
          <w:tcPr>
            <w:tcW w:w="1701" w:type="dxa"/>
            <w:tcBorders>
              <w:top w:val="nil"/>
              <w:left w:val="nil"/>
              <w:bottom w:val="single" w:sz="4" w:space="0" w:color="auto"/>
              <w:right w:val="single" w:sz="4" w:space="0" w:color="auto"/>
            </w:tcBorders>
            <w:shd w:val="clear" w:color="000000" w:fill="FFFFFF"/>
            <w:noWrap/>
            <w:vAlign w:val="bottom"/>
            <w:hideMark/>
          </w:tcPr>
          <w:p w14:paraId="1424579E" w14:textId="62DAFE28" w:rsidR="00E01ABE" w:rsidRPr="00A303E0" w:rsidRDefault="00471EBF"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37.7</w:t>
            </w:r>
          </w:p>
        </w:tc>
      </w:tr>
      <w:tr w:rsidR="00E01ABE" w:rsidRPr="00A303E0" w14:paraId="4A20AC1F" w14:textId="77777777" w:rsidTr="00185C2D">
        <w:trPr>
          <w:cantSplit/>
          <w:trHeight w:val="20"/>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14:paraId="6AD8EF84" w14:textId="77777777" w:rsidR="00E01ABE" w:rsidRPr="00A303E0" w:rsidRDefault="00E01ABE" w:rsidP="00C57E5B">
            <w:pPr>
              <w:spacing w:after="0"/>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University of Southern Queensland</w:t>
            </w:r>
          </w:p>
        </w:tc>
        <w:tc>
          <w:tcPr>
            <w:tcW w:w="1702" w:type="dxa"/>
            <w:tcBorders>
              <w:top w:val="nil"/>
              <w:left w:val="nil"/>
              <w:bottom w:val="single" w:sz="4" w:space="0" w:color="auto"/>
              <w:right w:val="single" w:sz="4" w:space="0" w:color="auto"/>
            </w:tcBorders>
            <w:shd w:val="clear" w:color="000000" w:fill="FFFFFF"/>
            <w:noWrap/>
            <w:vAlign w:val="bottom"/>
            <w:hideMark/>
          </w:tcPr>
          <w:p w14:paraId="1F697984" w14:textId="5484A2C6" w:rsidR="00E01ABE" w:rsidRPr="00A303E0" w:rsidRDefault="00EB7338"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36.9</w:t>
            </w:r>
          </w:p>
        </w:tc>
        <w:tc>
          <w:tcPr>
            <w:tcW w:w="1843" w:type="dxa"/>
            <w:tcBorders>
              <w:top w:val="nil"/>
              <w:left w:val="nil"/>
              <w:bottom w:val="single" w:sz="4" w:space="0" w:color="auto"/>
              <w:right w:val="single" w:sz="4" w:space="0" w:color="auto"/>
            </w:tcBorders>
            <w:shd w:val="clear" w:color="000000" w:fill="FFFFFF"/>
            <w:noWrap/>
            <w:vAlign w:val="bottom"/>
            <w:hideMark/>
          </w:tcPr>
          <w:p w14:paraId="2C67796C" w14:textId="70038A51" w:rsidR="00E01ABE" w:rsidRPr="00A303E0" w:rsidRDefault="00010E44"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34.8</w:t>
            </w:r>
          </w:p>
        </w:tc>
        <w:tc>
          <w:tcPr>
            <w:tcW w:w="1701" w:type="dxa"/>
            <w:tcBorders>
              <w:top w:val="nil"/>
              <w:left w:val="nil"/>
              <w:bottom w:val="single" w:sz="4" w:space="0" w:color="auto"/>
              <w:right w:val="single" w:sz="4" w:space="0" w:color="auto"/>
            </w:tcBorders>
            <w:shd w:val="clear" w:color="000000" w:fill="FFFFFF"/>
            <w:noWrap/>
            <w:vAlign w:val="bottom"/>
            <w:hideMark/>
          </w:tcPr>
          <w:p w14:paraId="18A9EE1E" w14:textId="71BD429B" w:rsidR="00E01ABE" w:rsidRPr="00A303E0" w:rsidRDefault="00471EBF"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18.8</w:t>
            </w:r>
          </w:p>
        </w:tc>
      </w:tr>
      <w:tr w:rsidR="00E01ABE" w:rsidRPr="00A303E0" w14:paraId="6E776733" w14:textId="77777777" w:rsidTr="00185C2D">
        <w:trPr>
          <w:cantSplit/>
          <w:trHeight w:val="20"/>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14:paraId="6277F614" w14:textId="77777777" w:rsidR="00E01ABE" w:rsidRPr="00A303E0" w:rsidRDefault="00E01ABE" w:rsidP="00C57E5B">
            <w:pPr>
              <w:spacing w:after="0"/>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University of Tasmania</w:t>
            </w:r>
          </w:p>
        </w:tc>
        <w:tc>
          <w:tcPr>
            <w:tcW w:w="1702" w:type="dxa"/>
            <w:tcBorders>
              <w:top w:val="nil"/>
              <w:left w:val="nil"/>
              <w:bottom w:val="single" w:sz="4" w:space="0" w:color="auto"/>
              <w:right w:val="single" w:sz="4" w:space="0" w:color="auto"/>
            </w:tcBorders>
            <w:shd w:val="clear" w:color="000000" w:fill="FFFFFF"/>
            <w:noWrap/>
            <w:vAlign w:val="bottom"/>
            <w:hideMark/>
          </w:tcPr>
          <w:p w14:paraId="2F284EC9" w14:textId="6CB05FBB" w:rsidR="00E01ABE" w:rsidRPr="00A303E0" w:rsidRDefault="00EB7338"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24</w:t>
            </w:r>
            <w:r w:rsidR="00E01ABE" w:rsidRPr="00A303E0">
              <w:rPr>
                <w:rFonts w:asciiTheme="minorHAnsi" w:eastAsia="Times New Roman" w:hAnsiTheme="minorHAnsi" w:cstheme="minorHAnsi"/>
                <w:color w:val="000000"/>
                <w:sz w:val="20"/>
                <w:szCs w:val="20"/>
                <w:lang w:eastAsia="en-AU"/>
              </w:rPr>
              <w:t>.0</w:t>
            </w:r>
          </w:p>
        </w:tc>
        <w:tc>
          <w:tcPr>
            <w:tcW w:w="1843" w:type="dxa"/>
            <w:tcBorders>
              <w:top w:val="nil"/>
              <w:left w:val="nil"/>
              <w:bottom w:val="single" w:sz="4" w:space="0" w:color="auto"/>
              <w:right w:val="single" w:sz="4" w:space="0" w:color="auto"/>
            </w:tcBorders>
            <w:shd w:val="clear" w:color="000000" w:fill="FFFFFF"/>
            <w:noWrap/>
            <w:vAlign w:val="bottom"/>
            <w:hideMark/>
          </w:tcPr>
          <w:p w14:paraId="38632F9D" w14:textId="7F2EB017" w:rsidR="00E01ABE" w:rsidRPr="00A303E0" w:rsidRDefault="00010E44"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87.2</w:t>
            </w:r>
          </w:p>
        </w:tc>
        <w:tc>
          <w:tcPr>
            <w:tcW w:w="1701" w:type="dxa"/>
            <w:tcBorders>
              <w:top w:val="nil"/>
              <w:left w:val="nil"/>
              <w:bottom w:val="single" w:sz="4" w:space="0" w:color="auto"/>
              <w:right w:val="single" w:sz="4" w:space="0" w:color="auto"/>
            </w:tcBorders>
            <w:shd w:val="clear" w:color="000000" w:fill="FFFFFF"/>
            <w:noWrap/>
            <w:vAlign w:val="bottom"/>
            <w:hideMark/>
          </w:tcPr>
          <w:p w14:paraId="50267586" w14:textId="0C5A8436" w:rsidR="00E01ABE" w:rsidRPr="00A303E0" w:rsidRDefault="00471EBF"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28.3</w:t>
            </w:r>
          </w:p>
        </w:tc>
      </w:tr>
      <w:tr w:rsidR="00E01ABE" w:rsidRPr="00A303E0" w14:paraId="7675969C" w14:textId="77777777" w:rsidTr="00185C2D">
        <w:trPr>
          <w:cantSplit/>
          <w:trHeight w:val="20"/>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14:paraId="75BF0157" w14:textId="77777777" w:rsidR="00E01ABE" w:rsidRPr="00A303E0" w:rsidRDefault="00E01ABE" w:rsidP="00C57E5B">
            <w:pPr>
              <w:spacing w:after="0"/>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University of the Sunshine Coast</w:t>
            </w:r>
          </w:p>
        </w:tc>
        <w:tc>
          <w:tcPr>
            <w:tcW w:w="1702" w:type="dxa"/>
            <w:tcBorders>
              <w:top w:val="nil"/>
              <w:left w:val="nil"/>
              <w:bottom w:val="single" w:sz="4" w:space="0" w:color="auto"/>
              <w:right w:val="single" w:sz="4" w:space="0" w:color="auto"/>
            </w:tcBorders>
            <w:shd w:val="clear" w:color="000000" w:fill="FFFFFF"/>
            <w:noWrap/>
            <w:vAlign w:val="bottom"/>
            <w:hideMark/>
          </w:tcPr>
          <w:p w14:paraId="3BA36383" w14:textId="597DFFB6" w:rsidR="00E01ABE" w:rsidRPr="00A303E0" w:rsidRDefault="00EB7338"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23.8</w:t>
            </w:r>
          </w:p>
        </w:tc>
        <w:tc>
          <w:tcPr>
            <w:tcW w:w="1843" w:type="dxa"/>
            <w:tcBorders>
              <w:top w:val="nil"/>
              <w:left w:val="nil"/>
              <w:bottom w:val="single" w:sz="4" w:space="0" w:color="auto"/>
              <w:right w:val="single" w:sz="4" w:space="0" w:color="auto"/>
            </w:tcBorders>
            <w:shd w:val="clear" w:color="000000" w:fill="FFFFFF"/>
            <w:noWrap/>
            <w:vAlign w:val="bottom"/>
            <w:hideMark/>
          </w:tcPr>
          <w:p w14:paraId="062D6AA4" w14:textId="7A93BAE6" w:rsidR="00E01ABE" w:rsidRPr="00A303E0" w:rsidRDefault="00010E44"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3</w:t>
            </w:r>
            <w:r w:rsidR="00E01ABE" w:rsidRPr="00A303E0">
              <w:rPr>
                <w:rFonts w:asciiTheme="minorHAnsi" w:eastAsia="Times New Roman" w:hAnsiTheme="minorHAnsi" w:cstheme="minorHAnsi"/>
                <w:color w:val="000000"/>
                <w:sz w:val="20"/>
                <w:szCs w:val="20"/>
                <w:lang w:eastAsia="en-AU"/>
              </w:rPr>
              <w:t>.0</w:t>
            </w:r>
          </w:p>
        </w:tc>
        <w:tc>
          <w:tcPr>
            <w:tcW w:w="1701" w:type="dxa"/>
            <w:tcBorders>
              <w:top w:val="nil"/>
              <w:left w:val="nil"/>
              <w:bottom w:val="single" w:sz="4" w:space="0" w:color="auto"/>
              <w:right w:val="single" w:sz="4" w:space="0" w:color="auto"/>
            </w:tcBorders>
            <w:shd w:val="clear" w:color="000000" w:fill="FFFFFF"/>
            <w:noWrap/>
            <w:vAlign w:val="bottom"/>
            <w:hideMark/>
          </w:tcPr>
          <w:p w14:paraId="1760C516" w14:textId="0EAF5B28" w:rsidR="00E01ABE" w:rsidRPr="00A303E0" w:rsidRDefault="00471EBF"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5.1</w:t>
            </w:r>
          </w:p>
        </w:tc>
      </w:tr>
      <w:tr w:rsidR="00E01ABE" w:rsidRPr="00A303E0" w14:paraId="389C426D" w14:textId="77777777" w:rsidTr="00185C2D">
        <w:trPr>
          <w:cantSplit/>
          <w:trHeight w:val="20"/>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14:paraId="181FD2AA" w14:textId="77777777" w:rsidR="00E01ABE" w:rsidRPr="00A303E0" w:rsidRDefault="00E01ABE" w:rsidP="00C57E5B">
            <w:pPr>
              <w:spacing w:after="0"/>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Victoria University</w:t>
            </w:r>
          </w:p>
        </w:tc>
        <w:tc>
          <w:tcPr>
            <w:tcW w:w="1702" w:type="dxa"/>
            <w:tcBorders>
              <w:top w:val="nil"/>
              <w:left w:val="nil"/>
              <w:bottom w:val="single" w:sz="4" w:space="0" w:color="auto"/>
              <w:right w:val="single" w:sz="4" w:space="0" w:color="auto"/>
            </w:tcBorders>
            <w:shd w:val="clear" w:color="000000" w:fill="FFFFFF"/>
            <w:noWrap/>
            <w:vAlign w:val="bottom"/>
            <w:hideMark/>
          </w:tcPr>
          <w:p w14:paraId="17E17E21" w14:textId="3041E82F" w:rsidR="00E01ABE" w:rsidRPr="00A303E0" w:rsidRDefault="00EB7338"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14.6</w:t>
            </w:r>
          </w:p>
        </w:tc>
        <w:tc>
          <w:tcPr>
            <w:tcW w:w="1843" w:type="dxa"/>
            <w:tcBorders>
              <w:top w:val="nil"/>
              <w:left w:val="nil"/>
              <w:bottom w:val="single" w:sz="4" w:space="0" w:color="auto"/>
              <w:right w:val="single" w:sz="4" w:space="0" w:color="auto"/>
            </w:tcBorders>
            <w:shd w:val="clear" w:color="000000" w:fill="FFFFFF"/>
            <w:noWrap/>
            <w:vAlign w:val="bottom"/>
            <w:hideMark/>
          </w:tcPr>
          <w:p w14:paraId="40B07E92" w14:textId="720436F6" w:rsidR="00E01ABE" w:rsidRPr="00A303E0" w:rsidRDefault="00010E44"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5.8</w:t>
            </w:r>
          </w:p>
        </w:tc>
        <w:tc>
          <w:tcPr>
            <w:tcW w:w="1701" w:type="dxa"/>
            <w:tcBorders>
              <w:top w:val="nil"/>
              <w:left w:val="nil"/>
              <w:bottom w:val="single" w:sz="4" w:space="0" w:color="auto"/>
              <w:right w:val="single" w:sz="4" w:space="0" w:color="auto"/>
            </w:tcBorders>
            <w:shd w:val="clear" w:color="000000" w:fill="FFFFFF"/>
            <w:noWrap/>
            <w:vAlign w:val="bottom"/>
            <w:hideMark/>
          </w:tcPr>
          <w:p w14:paraId="4DF484EC" w14:textId="511701FC" w:rsidR="00E01ABE" w:rsidRPr="00A303E0" w:rsidRDefault="00471EBF"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15.3</w:t>
            </w:r>
          </w:p>
        </w:tc>
      </w:tr>
      <w:tr w:rsidR="00E01ABE" w:rsidRPr="00A303E0" w14:paraId="28AFF690" w14:textId="77777777" w:rsidTr="00185C2D">
        <w:trPr>
          <w:cantSplit/>
          <w:trHeight w:val="20"/>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14:paraId="5DAD30A1" w14:textId="77777777" w:rsidR="00E01ABE" w:rsidRPr="00A303E0" w:rsidRDefault="00E01ABE" w:rsidP="00C57E5B">
            <w:pPr>
              <w:spacing w:after="0"/>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Queensland University of Technology</w:t>
            </w:r>
          </w:p>
        </w:tc>
        <w:tc>
          <w:tcPr>
            <w:tcW w:w="1702" w:type="dxa"/>
            <w:tcBorders>
              <w:top w:val="nil"/>
              <w:left w:val="nil"/>
              <w:bottom w:val="single" w:sz="4" w:space="0" w:color="auto"/>
              <w:right w:val="single" w:sz="4" w:space="0" w:color="auto"/>
            </w:tcBorders>
            <w:shd w:val="clear" w:color="000000" w:fill="FFFFFF"/>
            <w:noWrap/>
            <w:vAlign w:val="bottom"/>
            <w:hideMark/>
          </w:tcPr>
          <w:p w14:paraId="582F72F1" w14:textId="77777777" w:rsidR="00E01ABE" w:rsidRPr="00A303E0" w:rsidRDefault="00E01ABE"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0.0</w:t>
            </w:r>
          </w:p>
        </w:tc>
        <w:tc>
          <w:tcPr>
            <w:tcW w:w="1843" w:type="dxa"/>
            <w:tcBorders>
              <w:top w:val="nil"/>
              <w:left w:val="nil"/>
              <w:bottom w:val="single" w:sz="4" w:space="0" w:color="auto"/>
              <w:right w:val="single" w:sz="4" w:space="0" w:color="auto"/>
            </w:tcBorders>
            <w:shd w:val="clear" w:color="000000" w:fill="FFFFFF"/>
            <w:noWrap/>
            <w:vAlign w:val="bottom"/>
            <w:hideMark/>
          </w:tcPr>
          <w:p w14:paraId="2F597B51" w14:textId="77777777" w:rsidR="00E01ABE" w:rsidRPr="00A303E0" w:rsidRDefault="00E01ABE"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0.0</w:t>
            </w:r>
          </w:p>
        </w:tc>
        <w:tc>
          <w:tcPr>
            <w:tcW w:w="1701" w:type="dxa"/>
            <w:tcBorders>
              <w:top w:val="nil"/>
              <w:left w:val="nil"/>
              <w:bottom w:val="single" w:sz="4" w:space="0" w:color="auto"/>
              <w:right w:val="single" w:sz="4" w:space="0" w:color="auto"/>
            </w:tcBorders>
            <w:shd w:val="clear" w:color="000000" w:fill="FFFFFF"/>
            <w:noWrap/>
            <w:vAlign w:val="bottom"/>
            <w:hideMark/>
          </w:tcPr>
          <w:p w14:paraId="16DC9E42" w14:textId="357939FF" w:rsidR="00E01ABE" w:rsidRPr="00A303E0" w:rsidRDefault="0010617E"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26.1</w:t>
            </w:r>
          </w:p>
        </w:tc>
      </w:tr>
      <w:tr w:rsidR="00E01ABE" w:rsidRPr="00A303E0" w14:paraId="7C3D6A15" w14:textId="77777777" w:rsidTr="00185C2D">
        <w:trPr>
          <w:cantSplit/>
          <w:trHeight w:val="20"/>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14:paraId="0192A8B7" w14:textId="77777777" w:rsidR="00E01ABE" w:rsidRPr="00A303E0" w:rsidRDefault="00E01ABE" w:rsidP="00C57E5B">
            <w:pPr>
              <w:spacing w:after="0"/>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Tabor Adelaide</w:t>
            </w:r>
          </w:p>
        </w:tc>
        <w:tc>
          <w:tcPr>
            <w:tcW w:w="1702" w:type="dxa"/>
            <w:tcBorders>
              <w:top w:val="nil"/>
              <w:left w:val="nil"/>
              <w:bottom w:val="single" w:sz="4" w:space="0" w:color="auto"/>
              <w:right w:val="single" w:sz="4" w:space="0" w:color="auto"/>
            </w:tcBorders>
            <w:shd w:val="clear" w:color="000000" w:fill="FFFFFF"/>
            <w:noWrap/>
            <w:vAlign w:val="bottom"/>
            <w:hideMark/>
          </w:tcPr>
          <w:p w14:paraId="725F2302" w14:textId="77777777" w:rsidR="00E01ABE" w:rsidRPr="00A303E0" w:rsidRDefault="00E01ABE"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0.0</w:t>
            </w:r>
          </w:p>
        </w:tc>
        <w:tc>
          <w:tcPr>
            <w:tcW w:w="1843" w:type="dxa"/>
            <w:tcBorders>
              <w:top w:val="nil"/>
              <w:left w:val="nil"/>
              <w:bottom w:val="single" w:sz="4" w:space="0" w:color="auto"/>
              <w:right w:val="single" w:sz="4" w:space="0" w:color="auto"/>
            </w:tcBorders>
            <w:shd w:val="clear" w:color="000000" w:fill="FFFFFF"/>
            <w:noWrap/>
            <w:vAlign w:val="bottom"/>
            <w:hideMark/>
          </w:tcPr>
          <w:p w14:paraId="46CEFC36" w14:textId="77777777" w:rsidR="00E01ABE" w:rsidRPr="00A303E0" w:rsidRDefault="00E01ABE"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0.0</w:t>
            </w:r>
          </w:p>
        </w:tc>
        <w:tc>
          <w:tcPr>
            <w:tcW w:w="1701" w:type="dxa"/>
            <w:tcBorders>
              <w:top w:val="nil"/>
              <w:left w:val="nil"/>
              <w:bottom w:val="single" w:sz="4" w:space="0" w:color="auto"/>
              <w:right w:val="single" w:sz="4" w:space="0" w:color="auto"/>
            </w:tcBorders>
            <w:shd w:val="clear" w:color="000000" w:fill="FFFFFF"/>
            <w:noWrap/>
            <w:vAlign w:val="bottom"/>
            <w:hideMark/>
          </w:tcPr>
          <w:p w14:paraId="0DAE8BFF" w14:textId="4D424738" w:rsidR="00E01ABE" w:rsidRPr="00A303E0" w:rsidRDefault="0010617E"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0.6</w:t>
            </w:r>
          </w:p>
        </w:tc>
      </w:tr>
      <w:tr w:rsidR="00E01ABE" w:rsidRPr="00A303E0" w14:paraId="7A9B46D6" w14:textId="77777777" w:rsidTr="00185C2D">
        <w:trPr>
          <w:cantSplit/>
          <w:trHeight w:val="20"/>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14:paraId="5B1BAD86" w14:textId="77777777" w:rsidR="00E01ABE" w:rsidRPr="00A303E0" w:rsidRDefault="00E01ABE" w:rsidP="00C57E5B">
            <w:pPr>
              <w:spacing w:after="0"/>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Central Queensland University</w:t>
            </w:r>
          </w:p>
        </w:tc>
        <w:tc>
          <w:tcPr>
            <w:tcW w:w="1702" w:type="dxa"/>
            <w:tcBorders>
              <w:top w:val="nil"/>
              <w:left w:val="nil"/>
              <w:bottom w:val="single" w:sz="4" w:space="0" w:color="auto"/>
              <w:right w:val="single" w:sz="4" w:space="0" w:color="auto"/>
            </w:tcBorders>
            <w:shd w:val="clear" w:color="000000" w:fill="FFFFFF"/>
            <w:noWrap/>
            <w:vAlign w:val="bottom"/>
            <w:hideMark/>
          </w:tcPr>
          <w:p w14:paraId="4FDCDE4C" w14:textId="44A06D86" w:rsidR="00E01ABE" w:rsidRPr="00A303E0" w:rsidRDefault="003479FC"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41.2</w:t>
            </w:r>
          </w:p>
        </w:tc>
        <w:tc>
          <w:tcPr>
            <w:tcW w:w="1843" w:type="dxa"/>
            <w:tcBorders>
              <w:top w:val="nil"/>
              <w:left w:val="nil"/>
              <w:bottom w:val="single" w:sz="4" w:space="0" w:color="auto"/>
              <w:right w:val="single" w:sz="4" w:space="0" w:color="auto"/>
            </w:tcBorders>
            <w:shd w:val="clear" w:color="000000" w:fill="FFFFFF"/>
            <w:noWrap/>
            <w:vAlign w:val="bottom"/>
            <w:hideMark/>
          </w:tcPr>
          <w:p w14:paraId="6748E3AC" w14:textId="4DBA44F2" w:rsidR="00E01ABE" w:rsidRPr="00A303E0" w:rsidRDefault="001D1CE1"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7.4</w:t>
            </w:r>
          </w:p>
        </w:tc>
        <w:tc>
          <w:tcPr>
            <w:tcW w:w="1701" w:type="dxa"/>
            <w:tcBorders>
              <w:top w:val="nil"/>
              <w:left w:val="nil"/>
              <w:bottom w:val="single" w:sz="4" w:space="0" w:color="auto"/>
              <w:right w:val="single" w:sz="4" w:space="0" w:color="auto"/>
            </w:tcBorders>
            <w:shd w:val="clear" w:color="000000" w:fill="FFFFFF"/>
            <w:noWrap/>
            <w:vAlign w:val="bottom"/>
            <w:hideMark/>
          </w:tcPr>
          <w:p w14:paraId="7253240F" w14:textId="2CCEED82" w:rsidR="00E01ABE" w:rsidRPr="00A303E0" w:rsidRDefault="0010617E"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4.9</w:t>
            </w:r>
          </w:p>
        </w:tc>
      </w:tr>
      <w:tr w:rsidR="00E01ABE" w:rsidRPr="00A303E0" w14:paraId="5A16A9CF" w14:textId="77777777" w:rsidTr="00185C2D">
        <w:trPr>
          <w:cantSplit/>
          <w:trHeight w:val="20"/>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14:paraId="31F97575" w14:textId="77777777" w:rsidR="00E01ABE" w:rsidRPr="00A303E0" w:rsidRDefault="00E01ABE" w:rsidP="00C57E5B">
            <w:pPr>
              <w:spacing w:after="0"/>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Flinders University</w:t>
            </w:r>
          </w:p>
        </w:tc>
        <w:tc>
          <w:tcPr>
            <w:tcW w:w="1702" w:type="dxa"/>
            <w:tcBorders>
              <w:top w:val="nil"/>
              <w:left w:val="nil"/>
              <w:bottom w:val="single" w:sz="4" w:space="0" w:color="auto"/>
              <w:right w:val="single" w:sz="4" w:space="0" w:color="auto"/>
            </w:tcBorders>
            <w:shd w:val="clear" w:color="000000" w:fill="FFFFFF"/>
            <w:noWrap/>
            <w:vAlign w:val="bottom"/>
            <w:hideMark/>
          </w:tcPr>
          <w:p w14:paraId="4A1BCAC4" w14:textId="04F1FF8F" w:rsidR="00E01ABE" w:rsidRPr="00A303E0" w:rsidRDefault="00626774"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16</w:t>
            </w:r>
            <w:r w:rsidR="00E01ABE" w:rsidRPr="00A303E0">
              <w:rPr>
                <w:rFonts w:asciiTheme="minorHAnsi" w:eastAsia="Times New Roman" w:hAnsiTheme="minorHAnsi" w:cstheme="minorHAnsi"/>
                <w:color w:val="000000"/>
                <w:sz w:val="20"/>
                <w:szCs w:val="20"/>
                <w:lang w:eastAsia="en-AU"/>
              </w:rPr>
              <w:t>.0</w:t>
            </w:r>
          </w:p>
        </w:tc>
        <w:tc>
          <w:tcPr>
            <w:tcW w:w="1843" w:type="dxa"/>
            <w:tcBorders>
              <w:top w:val="nil"/>
              <w:left w:val="nil"/>
              <w:bottom w:val="single" w:sz="4" w:space="0" w:color="auto"/>
              <w:right w:val="single" w:sz="4" w:space="0" w:color="auto"/>
            </w:tcBorders>
            <w:shd w:val="clear" w:color="000000" w:fill="FFFFFF"/>
            <w:noWrap/>
            <w:vAlign w:val="bottom"/>
            <w:hideMark/>
          </w:tcPr>
          <w:p w14:paraId="273EA310" w14:textId="20D71561" w:rsidR="00E01ABE" w:rsidRPr="00A303E0" w:rsidRDefault="001D1CE1"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0.7</w:t>
            </w:r>
          </w:p>
        </w:tc>
        <w:tc>
          <w:tcPr>
            <w:tcW w:w="1701" w:type="dxa"/>
            <w:tcBorders>
              <w:top w:val="nil"/>
              <w:left w:val="nil"/>
              <w:bottom w:val="single" w:sz="4" w:space="0" w:color="auto"/>
              <w:right w:val="single" w:sz="4" w:space="0" w:color="auto"/>
            </w:tcBorders>
            <w:shd w:val="clear" w:color="000000" w:fill="FFFFFF"/>
            <w:noWrap/>
            <w:vAlign w:val="bottom"/>
            <w:hideMark/>
          </w:tcPr>
          <w:p w14:paraId="290258D5" w14:textId="31E9B6C7" w:rsidR="00E01ABE" w:rsidRPr="00A303E0" w:rsidRDefault="0010617E"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21.9</w:t>
            </w:r>
          </w:p>
        </w:tc>
      </w:tr>
      <w:tr w:rsidR="00E01ABE" w:rsidRPr="00A303E0" w14:paraId="0BF89115" w14:textId="77777777" w:rsidTr="00185C2D">
        <w:trPr>
          <w:cantSplit/>
          <w:trHeight w:val="20"/>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14:paraId="327D6083" w14:textId="77777777" w:rsidR="00E01ABE" w:rsidRPr="00A303E0" w:rsidRDefault="00E01ABE" w:rsidP="00C57E5B">
            <w:pPr>
              <w:spacing w:after="0"/>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University of Sydney</w:t>
            </w:r>
          </w:p>
        </w:tc>
        <w:tc>
          <w:tcPr>
            <w:tcW w:w="1702" w:type="dxa"/>
            <w:tcBorders>
              <w:top w:val="nil"/>
              <w:left w:val="nil"/>
              <w:bottom w:val="single" w:sz="4" w:space="0" w:color="auto"/>
              <w:right w:val="single" w:sz="4" w:space="0" w:color="auto"/>
            </w:tcBorders>
            <w:shd w:val="clear" w:color="000000" w:fill="FFFFFF"/>
            <w:noWrap/>
            <w:vAlign w:val="bottom"/>
            <w:hideMark/>
          </w:tcPr>
          <w:p w14:paraId="0EEC542A" w14:textId="17BDCF79" w:rsidR="00E01ABE" w:rsidRPr="00A303E0" w:rsidRDefault="00E01ABE" w:rsidP="00EB7338">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0.</w:t>
            </w:r>
            <w:r w:rsidR="00EB7338" w:rsidRPr="00A303E0">
              <w:rPr>
                <w:rFonts w:asciiTheme="minorHAnsi" w:eastAsia="Times New Roman" w:hAnsiTheme="minorHAnsi" w:cstheme="minorHAnsi"/>
                <w:color w:val="000000"/>
                <w:sz w:val="20"/>
                <w:szCs w:val="20"/>
                <w:lang w:eastAsia="en-AU"/>
              </w:rPr>
              <w:t>3</w:t>
            </w:r>
          </w:p>
        </w:tc>
        <w:tc>
          <w:tcPr>
            <w:tcW w:w="1843" w:type="dxa"/>
            <w:tcBorders>
              <w:top w:val="nil"/>
              <w:left w:val="nil"/>
              <w:bottom w:val="single" w:sz="4" w:space="0" w:color="auto"/>
              <w:right w:val="single" w:sz="4" w:space="0" w:color="auto"/>
            </w:tcBorders>
            <w:shd w:val="clear" w:color="000000" w:fill="FFFFFF"/>
            <w:noWrap/>
            <w:vAlign w:val="bottom"/>
            <w:hideMark/>
          </w:tcPr>
          <w:p w14:paraId="1B65892E" w14:textId="32AD0595" w:rsidR="00E01ABE" w:rsidRPr="00A303E0" w:rsidRDefault="00010E44"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2.7</w:t>
            </w:r>
          </w:p>
        </w:tc>
        <w:tc>
          <w:tcPr>
            <w:tcW w:w="1701" w:type="dxa"/>
            <w:tcBorders>
              <w:top w:val="nil"/>
              <w:left w:val="nil"/>
              <w:bottom w:val="single" w:sz="4" w:space="0" w:color="auto"/>
              <w:right w:val="single" w:sz="4" w:space="0" w:color="auto"/>
            </w:tcBorders>
            <w:shd w:val="clear" w:color="000000" w:fill="FFFFFF"/>
            <w:noWrap/>
            <w:vAlign w:val="bottom"/>
            <w:hideMark/>
          </w:tcPr>
          <w:p w14:paraId="214C6CD9" w14:textId="2E9269A1" w:rsidR="00E01ABE" w:rsidRPr="00A303E0" w:rsidRDefault="00471EBF"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49.0</w:t>
            </w:r>
          </w:p>
        </w:tc>
      </w:tr>
      <w:tr w:rsidR="00E01ABE" w:rsidRPr="00A303E0" w14:paraId="1DE00238" w14:textId="77777777" w:rsidTr="00185C2D">
        <w:trPr>
          <w:cantSplit/>
          <w:trHeight w:val="20"/>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14:paraId="59E29AB5" w14:textId="77777777" w:rsidR="00E01ABE" w:rsidRPr="00A303E0" w:rsidRDefault="00E01ABE" w:rsidP="00C57E5B">
            <w:pPr>
              <w:spacing w:after="0"/>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University of Technology Sydney</w:t>
            </w:r>
          </w:p>
        </w:tc>
        <w:tc>
          <w:tcPr>
            <w:tcW w:w="1702" w:type="dxa"/>
            <w:tcBorders>
              <w:top w:val="nil"/>
              <w:left w:val="nil"/>
              <w:bottom w:val="single" w:sz="4" w:space="0" w:color="auto"/>
              <w:right w:val="single" w:sz="4" w:space="0" w:color="auto"/>
            </w:tcBorders>
            <w:shd w:val="clear" w:color="000000" w:fill="FFFFFF"/>
            <w:noWrap/>
            <w:vAlign w:val="bottom"/>
            <w:hideMark/>
          </w:tcPr>
          <w:p w14:paraId="655607EA" w14:textId="570EF048" w:rsidR="00E01ABE" w:rsidRPr="00A303E0" w:rsidRDefault="00EB7338"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4</w:t>
            </w:r>
            <w:r w:rsidR="00E01ABE" w:rsidRPr="00A303E0">
              <w:rPr>
                <w:rFonts w:asciiTheme="minorHAnsi" w:eastAsia="Times New Roman" w:hAnsiTheme="minorHAnsi" w:cstheme="minorHAnsi"/>
                <w:color w:val="000000"/>
                <w:sz w:val="20"/>
                <w:szCs w:val="20"/>
                <w:lang w:eastAsia="en-AU"/>
              </w:rPr>
              <w:t>.1</w:t>
            </w:r>
          </w:p>
        </w:tc>
        <w:tc>
          <w:tcPr>
            <w:tcW w:w="1843" w:type="dxa"/>
            <w:tcBorders>
              <w:top w:val="nil"/>
              <w:left w:val="nil"/>
              <w:bottom w:val="single" w:sz="4" w:space="0" w:color="auto"/>
              <w:right w:val="single" w:sz="4" w:space="0" w:color="auto"/>
            </w:tcBorders>
            <w:shd w:val="clear" w:color="000000" w:fill="FFFFFF"/>
            <w:noWrap/>
            <w:vAlign w:val="bottom"/>
            <w:hideMark/>
          </w:tcPr>
          <w:p w14:paraId="307A8702" w14:textId="4D62963F" w:rsidR="00E01ABE" w:rsidRPr="00A303E0" w:rsidRDefault="00E01ABE" w:rsidP="00010E44">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0.</w:t>
            </w:r>
            <w:r w:rsidR="00010E44" w:rsidRPr="00A303E0">
              <w:rPr>
                <w:rFonts w:asciiTheme="minorHAnsi" w:eastAsia="Times New Roman" w:hAnsiTheme="minorHAnsi" w:cstheme="minorHAnsi"/>
                <w:color w:val="000000"/>
                <w:sz w:val="20"/>
                <w:szCs w:val="20"/>
                <w:lang w:eastAsia="en-AU"/>
              </w:rPr>
              <w:t>0</w:t>
            </w:r>
          </w:p>
        </w:tc>
        <w:tc>
          <w:tcPr>
            <w:tcW w:w="1701" w:type="dxa"/>
            <w:tcBorders>
              <w:top w:val="nil"/>
              <w:left w:val="nil"/>
              <w:bottom w:val="single" w:sz="4" w:space="0" w:color="auto"/>
              <w:right w:val="single" w:sz="4" w:space="0" w:color="auto"/>
            </w:tcBorders>
            <w:shd w:val="clear" w:color="000000" w:fill="FFFFFF"/>
            <w:noWrap/>
            <w:vAlign w:val="bottom"/>
            <w:hideMark/>
          </w:tcPr>
          <w:p w14:paraId="679A19E3" w14:textId="7A497E03" w:rsidR="00E01ABE" w:rsidRPr="00A303E0" w:rsidRDefault="00471EBF"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11.1</w:t>
            </w:r>
          </w:p>
        </w:tc>
      </w:tr>
      <w:tr w:rsidR="00E01ABE" w:rsidRPr="00A303E0" w14:paraId="70DF7E98" w14:textId="77777777" w:rsidTr="00185C2D">
        <w:trPr>
          <w:cantSplit/>
          <w:trHeight w:val="20"/>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14:paraId="35C1CF46" w14:textId="77777777" w:rsidR="00E01ABE" w:rsidRPr="00A303E0" w:rsidRDefault="00E01ABE" w:rsidP="00C57E5B">
            <w:pPr>
              <w:spacing w:after="0"/>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Western Sydney University</w:t>
            </w:r>
          </w:p>
        </w:tc>
        <w:tc>
          <w:tcPr>
            <w:tcW w:w="1702" w:type="dxa"/>
            <w:tcBorders>
              <w:top w:val="nil"/>
              <w:left w:val="nil"/>
              <w:bottom w:val="single" w:sz="4" w:space="0" w:color="auto"/>
              <w:right w:val="single" w:sz="4" w:space="0" w:color="auto"/>
            </w:tcBorders>
            <w:shd w:val="clear" w:color="000000" w:fill="FFFFFF"/>
            <w:noWrap/>
            <w:vAlign w:val="bottom"/>
            <w:hideMark/>
          </w:tcPr>
          <w:p w14:paraId="67397B5B" w14:textId="58E59C8D" w:rsidR="00E01ABE" w:rsidRPr="00A303E0" w:rsidRDefault="00EB7338"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9.6</w:t>
            </w:r>
          </w:p>
        </w:tc>
        <w:tc>
          <w:tcPr>
            <w:tcW w:w="1843" w:type="dxa"/>
            <w:tcBorders>
              <w:top w:val="nil"/>
              <w:left w:val="nil"/>
              <w:bottom w:val="single" w:sz="4" w:space="0" w:color="auto"/>
              <w:right w:val="single" w:sz="4" w:space="0" w:color="auto"/>
            </w:tcBorders>
            <w:shd w:val="clear" w:color="000000" w:fill="FFFFFF"/>
            <w:noWrap/>
            <w:vAlign w:val="bottom"/>
            <w:hideMark/>
          </w:tcPr>
          <w:p w14:paraId="233E447A" w14:textId="2DB2433A" w:rsidR="00E01ABE" w:rsidRPr="00A303E0" w:rsidRDefault="00010E44"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28.3</w:t>
            </w:r>
          </w:p>
        </w:tc>
        <w:tc>
          <w:tcPr>
            <w:tcW w:w="1701" w:type="dxa"/>
            <w:tcBorders>
              <w:top w:val="nil"/>
              <w:left w:val="nil"/>
              <w:bottom w:val="single" w:sz="4" w:space="0" w:color="auto"/>
              <w:right w:val="single" w:sz="4" w:space="0" w:color="auto"/>
            </w:tcBorders>
            <w:shd w:val="clear" w:color="000000" w:fill="FFFFFF"/>
            <w:noWrap/>
            <w:vAlign w:val="bottom"/>
            <w:hideMark/>
          </w:tcPr>
          <w:p w14:paraId="26D5BDCF" w14:textId="6B3A6D36" w:rsidR="00E01ABE" w:rsidRPr="00A303E0" w:rsidRDefault="00471EBF"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43.0</w:t>
            </w:r>
          </w:p>
        </w:tc>
      </w:tr>
      <w:tr w:rsidR="00E01ABE" w:rsidRPr="00A303E0" w14:paraId="62AB500D" w14:textId="77777777" w:rsidTr="00185C2D">
        <w:trPr>
          <w:cantSplit/>
          <w:trHeight w:val="20"/>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14:paraId="49088999" w14:textId="77777777" w:rsidR="00E01ABE" w:rsidRPr="00A303E0" w:rsidRDefault="00E01ABE" w:rsidP="00C57E5B">
            <w:pPr>
              <w:spacing w:after="0"/>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The University of Wollongong</w:t>
            </w:r>
          </w:p>
        </w:tc>
        <w:tc>
          <w:tcPr>
            <w:tcW w:w="1702" w:type="dxa"/>
            <w:tcBorders>
              <w:top w:val="nil"/>
              <w:left w:val="nil"/>
              <w:bottom w:val="single" w:sz="4" w:space="0" w:color="auto"/>
              <w:right w:val="single" w:sz="4" w:space="0" w:color="auto"/>
            </w:tcBorders>
            <w:shd w:val="clear" w:color="000000" w:fill="FFFFFF"/>
            <w:noWrap/>
            <w:vAlign w:val="bottom"/>
            <w:hideMark/>
          </w:tcPr>
          <w:p w14:paraId="6793A080" w14:textId="5105980C" w:rsidR="00E01ABE" w:rsidRPr="00A303E0" w:rsidRDefault="00626774"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2.9</w:t>
            </w:r>
          </w:p>
        </w:tc>
        <w:tc>
          <w:tcPr>
            <w:tcW w:w="1843" w:type="dxa"/>
            <w:tcBorders>
              <w:top w:val="nil"/>
              <w:left w:val="nil"/>
              <w:bottom w:val="single" w:sz="4" w:space="0" w:color="auto"/>
              <w:right w:val="single" w:sz="4" w:space="0" w:color="auto"/>
            </w:tcBorders>
            <w:shd w:val="clear" w:color="000000" w:fill="FFFFFF"/>
            <w:noWrap/>
            <w:vAlign w:val="bottom"/>
            <w:hideMark/>
          </w:tcPr>
          <w:p w14:paraId="25813A40" w14:textId="18E2BD56" w:rsidR="00E01ABE" w:rsidRPr="00A303E0" w:rsidRDefault="00E01ABE" w:rsidP="00010E44">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0.</w:t>
            </w:r>
            <w:r w:rsidR="00010E44" w:rsidRPr="00A303E0">
              <w:rPr>
                <w:rFonts w:asciiTheme="minorHAnsi" w:eastAsia="Times New Roman" w:hAnsiTheme="minorHAnsi" w:cstheme="minorHAnsi"/>
                <w:color w:val="000000"/>
                <w:sz w:val="20"/>
                <w:szCs w:val="20"/>
                <w:lang w:eastAsia="en-AU"/>
              </w:rPr>
              <w:t>2</w:t>
            </w:r>
          </w:p>
        </w:tc>
        <w:tc>
          <w:tcPr>
            <w:tcW w:w="1701" w:type="dxa"/>
            <w:tcBorders>
              <w:top w:val="nil"/>
              <w:left w:val="nil"/>
              <w:bottom w:val="single" w:sz="4" w:space="0" w:color="auto"/>
              <w:right w:val="single" w:sz="4" w:space="0" w:color="auto"/>
            </w:tcBorders>
            <w:shd w:val="clear" w:color="000000" w:fill="FFFFFF"/>
            <w:noWrap/>
            <w:vAlign w:val="bottom"/>
            <w:hideMark/>
          </w:tcPr>
          <w:p w14:paraId="69A4645E" w14:textId="07E42D10" w:rsidR="00E01ABE" w:rsidRPr="00A303E0" w:rsidRDefault="0010617E"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17.9</w:t>
            </w:r>
          </w:p>
        </w:tc>
      </w:tr>
      <w:tr w:rsidR="00E01ABE" w:rsidRPr="00A303E0" w14:paraId="771DC629" w14:textId="77777777" w:rsidTr="00185C2D">
        <w:trPr>
          <w:cantSplit/>
          <w:trHeight w:val="20"/>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14:paraId="612ADDC2" w14:textId="77777777" w:rsidR="00E01ABE" w:rsidRPr="00A303E0" w:rsidRDefault="00E01ABE" w:rsidP="00C57E5B">
            <w:pPr>
              <w:spacing w:after="0"/>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Avondale College Ltd</w:t>
            </w:r>
          </w:p>
        </w:tc>
        <w:tc>
          <w:tcPr>
            <w:tcW w:w="1702" w:type="dxa"/>
            <w:tcBorders>
              <w:top w:val="nil"/>
              <w:left w:val="nil"/>
              <w:bottom w:val="single" w:sz="4" w:space="0" w:color="auto"/>
              <w:right w:val="single" w:sz="4" w:space="0" w:color="auto"/>
            </w:tcBorders>
            <w:shd w:val="clear" w:color="000000" w:fill="FFFFFF"/>
            <w:noWrap/>
            <w:vAlign w:val="bottom"/>
            <w:hideMark/>
          </w:tcPr>
          <w:p w14:paraId="448A4FEA" w14:textId="77777777" w:rsidR="00E01ABE" w:rsidRPr="00A303E0" w:rsidRDefault="00E01ABE"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0.0</w:t>
            </w:r>
          </w:p>
        </w:tc>
        <w:tc>
          <w:tcPr>
            <w:tcW w:w="1843" w:type="dxa"/>
            <w:tcBorders>
              <w:top w:val="nil"/>
              <w:left w:val="nil"/>
              <w:bottom w:val="single" w:sz="4" w:space="0" w:color="auto"/>
              <w:right w:val="single" w:sz="4" w:space="0" w:color="auto"/>
            </w:tcBorders>
            <w:shd w:val="clear" w:color="000000" w:fill="FFFFFF"/>
            <w:noWrap/>
            <w:vAlign w:val="bottom"/>
            <w:hideMark/>
          </w:tcPr>
          <w:p w14:paraId="0928A831" w14:textId="77777777" w:rsidR="00E01ABE" w:rsidRPr="00A303E0" w:rsidRDefault="00E01ABE"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0.0</w:t>
            </w:r>
          </w:p>
        </w:tc>
        <w:tc>
          <w:tcPr>
            <w:tcW w:w="1701" w:type="dxa"/>
            <w:tcBorders>
              <w:top w:val="nil"/>
              <w:left w:val="nil"/>
              <w:bottom w:val="single" w:sz="4" w:space="0" w:color="auto"/>
              <w:right w:val="single" w:sz="4" w:space="0" w:color="auto"/>
            </w:tcBorders>
            <w:shd w:val="clear" w:color="000000" w:fill="FFFFFF"/>
            <w:noWrap/>
            <w:vAlign w:val="bottom"/>
            <w:hideMark/>
          </w:tcPr>
          <w:p w14:paraId="77C90DA7" w14:textId="4A6F31BD" w:rsidR="00E01ABE" w:rsidRPr="00A303E0" w:rsidRDefault="00AD61C0"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1.2</w:t>
            </w:r>
          </w:p>
        </w:tc>
      </w:tr>
      <w:tr w:rsidR="00E01ABE" w:rsidRPr="00A303E0" w14:paraId="50DB762A" w14:textId="77777777" w:rsidTr="00185C2D">
        <w:trPr>
          <w:cantSplit/>
          <w:trHeight w:val="20"/>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14:paraId="4C4814E5" w14:textId="77777777" w:rsidR="00E01ABE" w:rsidRPr="00A303E0" w:rsidRDefault="00E01ABE" w:rsidP="00C57E5B">
            <w:pPr>
              <w:spacing w:after="0"/>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 xml:space="preserve">Eastern College Australia </w:t>
            </w:r>
            <w:proofErr w:type="spellStart"/>
            <w:r w:rsidRPr="00A303E0">
              <w:rPr>
                <w:rFonts w:asciiTheme="minorHAnsi" w:eastAsia="Times New Roman" w:hAnsiTheme="minorHAnsi" w:cstheme="minorHAnsi"/>
                <w:color w:val="000000"/>
                <w:sz w:val="20"/>
                <w:szCs w:val="20"/>
                <w:lang w:eastAsia="en-AU"/>
              </w:rPr>
              <w:t>Inc</w:t>
            </w:r>
            <w:proofErr w:type="spellEnd"/>
          </w:p>
        </w:tc>
        <w:tc>
          <w:tcPr>
            <w:tcW w:w="1702" w:type="dxa"/>
            <w:tcBorders>
              <w:top w:val="nil"/>
              <w:left w:val="nil"/>
              <w:bottom w:val="single" w:sz="4" w:space="0" w:color="auto"/>
              <w:right w:val="single" w:sz="4" w:space="0" w:color="auto"/>
            </w:tcBorders>
            <w:shd w:val="clear" w:color="000000" w:fill="FFFFFF"/>
            <w:noWrap/>
            <w:vAlign w:val="bottom"/>
            <w:hideMark/>
          </w:tcPr>
          <w:p w14:paraId="045674BB" w14:textId="77777777" w:rsidR="00E01ABE" w:rsidRPr="00A303E0" w:rsidRDefault="00E01ABE"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0.0</w:t>
            </w:r>
          </w:p>
        </w:tc>
        <w:tc>
          <w:tcPr>
            <w:tcW w:w="1843" w:type="dxa"/>
            <w:tcBorders>
              <w:top w:val="nil"/>
              <w:left w:val="nil"/>
              <w:bottom w:val="single" w:sz="4" w:space="0" w:color="auto"/>
              <w:right w:val="single" w:sz="4" w:space="0" w:color="auto"/>
            </w:tcBorders>
            <w:shd w:val="clear" w:color="000000" w:fill="FFFFFF"/>
            <w:noWrap/>
            <w:vAlign w:val="bottom"/>
            <w:hideMark/>
          </w:tcPr>
          <w:p w14:paraId="03C8CDC1" w14:textId="77777777" w:rsidR="00E01ABE" w:rsidRPr="00A303E0" w:rsidRDefault="00E01ABE"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0.0</w:t>
            </w:r>
          </w:p>
        </w:tc>
        <w:tc>
          <w:tcPr>
            <w:tcW w:w="1701" w:type="dxa"/>
            <w:tcBorders>
              <w:top w:val="nil"/>
              <w:left w:val="nil"/>
              <w:bottom w:val="single" w:sz="4" w:space="0" w:color="auto"/>
              <w:right w:val="single" w:sz="4" w:space="0" w:color="auto"/>
            </w:tcBorders>
            <w:shd w:val="clear" w:color="000000" w:fill="FFFFFF"/>
            <w:noWrap/>
            <w:vAlign w:val="bottom"/>
            <w:hideMark/>
          </w:tcPr>
          <w:p w14:paraId="498A11D8" w14:textId="39DAB1AA" w:rsidR="00E01ABE" w:rsidRPr="00A303E0" w:rsidRDefault="00E01ABE" w:rsidP="0010617E">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0.</w:t>
            </w:r>
            <w:r w:rsidR="0010617E" w:rsidRPr="00A303E0">
              <w:rPr>
                <w:rFonts w:asciiTheme="minorHAnsi" w:eastAsia="Times New Roman" w:hAnsiTheme="minorHAnsi" w:cstheme="minorHAnsi"/>
                <w:color w:val="000000"/>
                <w:sz w:val="20"/>
                <w:szCs w:val="20"/>
                <w:lang w:eastAsia="en-AU"/>
              </w:rPr>
              <w:t>3</w:t>
            </w:r>
          </w:p>
        </w:tc>
      </w:tr>
      <w:tr w:rsidR="00E01ABE" w:rsidRPr="00A303E0" w14:paraId="63719117" w14:textId="77777777" w:rsidTr="00185C2D">
        <w:trPr>
          <w:cantSplit/>
          <w:trHeight w:val="20"/>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14:paraId="0E511C47" w14:textId="77777777" w:rsidR="00E01ABE" w:rsidRPr="00A303E0" w:rsidRDefault="00E01ABE" w:rsidP="00C57E5B">
            <w:pPr>
              <w:spacing w:after="0"/>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University of New South Wales</w:t>
            </w:r>
          </w:p>
        </w:tc>
        <w:tc>
          <w:tcPr>
            <w:tcW w:w="1702" w:type="dxa"/>
            <w:tcBorders>
              <w:top w:val="nil"/>
              <w:left w:val="nil"/>
              <w:bottom w:val="single" w:sz="4" w:space="0" w:color="auto"/>
              <w:right w:val="single" w:sz="4" w:space="0" w:color="auto"/>
            </w:tcBorders>
            <w:shd w:val="clear" w:color="000000" w:fill="FFFFFF"/>
            <w:noWrap/>
            <w:vAlign w:val="bottom"/>
            <w:hideMark/>
          </w:tcPr>
          <w:p w14:paraId="58B67C4D" w14:textId="5C3F8E9B" w:rsidR="00E01ABE" w:rsidRPr="00A303E0" w:rsidRDefault="00EB7338"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6.5</w:t>
            </w:r>
          </w:p>
        </w:tc>
        <w:tc>
          <w:tcPr>
            <w:tcW w:w="1843" w:type="dxa"/>
            <w:tcBorders>
              <w:top w:val="nil"/>
              <w:left w:val="nil"/>
              <w:bottom w:val="single" w:sz="4" w:space="0" w:color="auto"/>
              <w:right w:val="single" w:sz="4" w:space="0" w:color="auto"/>
            </w:tcBorders>
            <w:shd w:val="clear" w:color="000000" w:fill="FFFFFF"/>
            <w:noWrap/>
            <w:vAlign w:val="bottom"/>
            <w:hideMark/>
          </w:tcPr>
          <w:p w14:paraId="6BCB6BC3" w14:textId="61A9D259" w:rsidR="00E01ABE" w:rsidRPr="00A303E0" w:rsidRDefault="00010E44"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4.1</w:t>
            </w:r>
          </w:p>
        </w:tc>
        <w:tc>
          <w:tcPr>
            <w:tcW w:w="1701" w:type="dxa"/>
            <w:tcBorders>
              <w:top w:val="nil"/>
              <w:left w:val="nil"/>
              <w:bottom w:val="single" w:sz="4" w:space="0" w:color="auto"/>
              <w:right w:val="single" w:sz="4" w:space="0" w:color="auto"/>
            </w:tcBorders>
            <w:shd w:val="clear" w:color="000000" w:fill="FFFFFF"/>
            <w:noWrap/>
            <w:vAlign w:val="bottom"/>
            <w:hideMark/>
          </w:tcPr>
          <w:p w14:paraId="75F21737" w14:textId="7E3EC036" w:rsidR="00E01ABE" w:rsidRPr="00A303E0" w:rsidRDefault="00471EBF"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33.8</w:t>
            </w:r>
          </w:p>
        </w:tc>
      </w:tr>
      <w:tr w:rsidR="00E01ABE" w:rsidRPr="00A303E0" w14:paraId="6276C6DC" w14:textId="77777777" w:rsidTr="00185C2D">
        <w:trPr>
          <w:cantSplit/>
          <w:trHeight w:val="20"/>
        </w:trPr>
        <w:tc>
          <w:tcPr>
            <w:tcW w:w="3397" w:type="dxa"/>
            <w:tcBorders>
              <w:top w:val="nil"/>
              <w:left w:val="single" w:sz="4" w:space="0" w:color="auto"/>
              <w:bottom w:val="single" w:sz="4" w:space="0" w:color="auto"/>
              <w:right w:val="single" w:sz="4" w:space="0" w:color="auto"/>
            </w:tcBorders>
            <w:shd w:val="clear" w:color="DDEBF7" w:fill="FFFFFF"/>
            <w:noWrap/>
            <w:vAlign w:val="bottom"/>
            <w:hideMark/>
          </w:tcPr>
          <w:p w14:paraId="16D7FFCB" w14:textId="77777777" w:rsidR="00E01ABE" w:rsidRPr="00A303E0" w:rsidRDefault="00E01ABE" w:rsidP="00C57E5B">
            <w:pPr>
              <w:spacing w:after="0"/>
              <w:rPr>
                <w:rFonts w:asciiTheme="minorHAnsi" w:eastAsia="Times New Roman" w:hAnsiTheme="minorHAnsi" w:cstheme="minorHAnsi"/>
                <w:b/>
                <w:bCs/>
                <w:color w:val="000000"/>
                <w:sz w:val="20"/>
                <w:szCs w:val="20"/>
                <w:lang w:eastAsia="en-AU"/>
              </w:rPr>
            </w:pPr>
            <w:r w:rsidRPr="00A303E0">
              <w:rPr>
                <w:rFonts w:asciiTheme="minorHAnsi" w:eastAsia="Times New Roman" w:hAnsiTheme="minorHAnsi" w:cstheme="minorHAnsi"/>
                <w:b/>
                <w:bCs/>
                <w:color w:val="000000"/>
                <w:sz w:val="20"/>
                <w:szCs w:val="20"/>
                <w:lang w:eastAsia="en-AU"/>
              </w:rPr>
              <w:t>Grand Total</w:t>
            </w:r>
          </w:p>
        </w:tc>
        <w:tc>
          <w:tcPr>
            <w:tcW w:w="1702" w:type="dxa"/>
            <w:tcBorders>
              <w:top w:val="nil"/>
              <w:left w:val="nil"/>
              <w:bottom w:val="single" w:sz="4" w:space="0" w:color="auto"/>
              <w:right w:val="single" w:sz="4" w:space="0" w:color="auto"/>
            </w:tcBorders>
            <w:shd w:val="clear" w:color="000000" w:fill="FFFFFF"/>
            <w:noWrap/>
            <w:vAlign w:val="bottom"/>
            <w:hideMark/>
          </w:tcPr>
          <w:p w14:paraId="777CB974" w14:textId="3635F08D" w:rsidR="00E01ABE" w:rsidRPr="00A303E0" w:rsidRDefault="00EB7338"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475</w:t>
            </w:r>
            <w:r w:rsidR="00E01ABE" w:rsidRPr="00A303E0">
              <w:rPr>
                <w:rFonts w:asciiTheme="minorHAnsi" w:eastAsia="Times New Roman" w:hAnsiTheme="minorHAnsi" w:cstheme="minorHAnsi"/>
                <w:color w:val="000000"/>
                <w:sz w:val="20"/>
                <w:szCs w:val="20"/>
                <w:lang w:eastAsia="en-AU"/>
              </w:rPr>
              <w:t>.1</w:t>
            </w:r>
          </w:p>
        </w:tc>
        <w:tc>
          <w:tcPr>
            <w:tcW w:w="1843" w:type="dxa"/>
            <w:tcBorders>
              <w:top w:val="nil"/>
              <w:left w:val="nil"/>
              <w:bottom w:val="single" w:sz="4" w:space="0" w:color="auto"/>
              <w:right w:val="single" w:sz="4" w:space="0" w:color="auto"/>
            </w:tcBorders>
            <w:shd w:val="clear" w:color="000000" w:fill="FFFFFF"/>
            <w:noWrap/>
            <w:vAlign w:val="bottom"/>
            <w:hideMark/>
          </w:tcPr>
          <w:p w14:paraId="06E38584" w14:textId="0092E6B3" w:rsidR="00E01ABE" w:rsidRPr="00A303E0" w:rsidRDefault="00010E44"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359.2</w:t>
            </w:r>
          </w:p>
        </w:tc>
        <w:tc>
          <w:tcPr>
            <w:tcW w:w="1701" w:type="dxa"/>
            <w:tcBorders>
              <w:top w:val="nil"/>
              <w:left w:val="nil"/>
              <w:bottom w:val="single" w:sz="4" w:space="0" w:color="auto"/>
              <w:right w:val="single" w:sz="4" w:space="0" w:color="auto"/>
            </w:tcBorders>
            <w:shd w:val="clear" w:color="000000" w:fill="FFFFFF"/>
            <w:noWrap/>
            <w:vAlign w:val="bottom"/>
            <w:hideMark/>
          </w:tcPr>
          <w:p w14:paraId="6185BB7E" w14:textId="25A3F503" w:rsidR="00E01ABE" w:rsidRPr="00A303E0" w:rsidRDefault="00471EBF" w:rsidP="00C57E5B">
            <w:pPr>
              <w:spacing w:after="0"/>
              <w:jc w:val="right"/>
              <w:rPr>
                <w:rFonts w:asciiTheme="minorHAnsi" w:eastAsia="Times New Roman" w:hAnsiTheme="minorHAnsi" w:cstheme="minorHAnsi"/>
                <w:color w:val="000000"/>
                <w:sz w:val="20"/>
                <w:szCs w:val="20"/>
                <w:lang w:eastAsia="en-AU"/>
              </w:rPr>
            </w:pPr>
            <w:r w:rsidRPr="00A303E0">
              <w:rPr>
                <w:rFonts w:asciiTheme="minorHAnsi" w:eastAsia="Times New Roman" w:hAnsiTheme="minorHAnsi" w:cstheme="minorHAnsi"/>
                <w:color w:val="000000"/>
                <w:sz w:val="20"/>
                <w:szCs w:val="20"/>
                <w:lang w:eastAsia="en-AU"/>
              </w:rPr>
              <w:t>922.8</w:t>
            </w:r>
          </w:p>
        </w:tc>
      </w:tr>
    </w:tbl>
    <w:p w14:paraId="40627851" w14:textId="77777777" w:rsidR="0005592B" w:rsidRPr="00A303E0" w:rsidRDefault="0005592B" w:rsidP="00C57E5B">
      <w:pPr>
        <w:pStyle w:val="Heading2"/>
      </w:pPr>
    </w:p>
    <w:p w14:paraId="6D68287D" w14:textId="77777777" w:rsidR="0005592B" w:rsidRPr="00A303E0" w:rsidRDefault="0005592B">
      <w:pPr>
        <w:spacing w:after="200" w:line="276" w:lineRule="auto"/>
        <w:rPr>
          <w:rFonts w:eastAsiaTheme="majorEastAsia" w:cstheme="majorBidi"/>
          <w:b/>
          <w:bCs/>
          <w:color w:val="32375D"/>
          <w:sz w:val="28"/>
          <w:szCs w:val="26"/>
        </w:rPr>
      </w:pPr>
      <w:r w:rsidRPr="00A303E0">
        <w:br w:type="page"/>
      </w:r>
    </w:p>
    <w:p w14:paraId="326F6A06" w14:textId="1CAE7FC3" w:rsidR="00E01ABE" w:rsidRPr="00A303E0" w:rsidRDefault="00E01ABE" w:rsidP="00C57E5B">
      <w:pPr>
        <w:pStyle w:val="Heading2"/>
      </w:pPr>
      <w:r w:rsidRPr="00A303E0">
        <w:lastRenderedPageBreak/>
        <w:t>2.3 Consultation issues – enabling places</w:t>
      </w:r>
    </w:p>
    <w:p w14:paraId="774335A7" w14:textId="77777777" w:rsidR="00E01ABE" w:rsidRPr="00A303E0" w:rsidRDefault="00E01ABE" w:rsidP="00C57E5B">
      <w:r w:rsidRPr="00A303E0">
        <w:t xml:space="preserve">Enabling programs have operated since 1990 to give students the requisite background skills and knowledge to undertake further tertiary education. These courses </w:t>
      </w:r>
      <w:proofErr w:type="gramStart"/>
      <w:r w:rsidRPr="00A303E0">
        <w:t>are targeted</w:t>
      </w:r>
      <w:proofErr w:type="gramEnd"/>
      <w:r w:rsidRPr="00A303E0">
        <w:t xml:space="preserve"> at students who enter university through non</w:t>
      </w:r>
      <w:r w:rsidRPr="00A303E0">
        <w:noBreakHyphen/>
        <w:t>traditional pathways, particularly those without an ATAR.</w:t>
      </w:r>
    </w:p>
    <w:p w14:paraId="686E40D3" w14:textId="77777777" w:rsidR="00E01ABE" w:rsidRPr="00A303E0" w:rsidRDefault="00E01ABE" w:rsidP="00C57E5B">
      <w:r w:rsidRPr="00A303E0">
        <w:t xml:space="preserve">Providers offer enabling courses to underprepared learners to assist them in undertaking future higher education qualifications. These courses </w:t>
      </w:r>
      <w:proofErr w:type="gramStart"/>
      <w:r w:rsidRPr="00A303E0">
        <w:t>can be undertaken</w:t>
      </w:r>
      <w:proofErr w:type="gramEnd"/>
      <w:r w:rsidRPr="00A303E0">
        <w:t xml:space="preserve"> as a preparatory or concurrent study option. Enabling courses provide students with numerous benefits including general study skills and discipline</w:t>
      </w:r>
      <w:r w:rsidRPr="00A303E0">
        <w:noBreakHyphen/>
        <w:t xml:space="preserve">specific knowledge. Their role as a preparation tool for students with socio-economic or educational disadvantage </w:t>
      </w:r>
      <w:proofErr w:type="gramStart"/>
      <w:r w:rsidRPr="00A303E0">
        <w:t>was recognised</w:t>
      </w:r>
      <w:proofErr w:type="gramEnd"/>
      <w:r w:rsidRPr="00A303E0">
        <w:t xml:space="preserve"> in the 2011 Base Funding Review. </w:t>
      </w:r>
      <w:r w:rsidRPr="00A303E0">
        <w:rPr>
          <w:shd w:val="clear" w:color="auto" w:fill="FFFFFF" w:themeFill="background1"/>
        </w:rPr>
        <w:t>Chart 8 below highlights the relatively higher representation of equity groups in enabling courses relative to other course levels.</w:t>
      </w:r>
    </w:p>
    <w:p w14:paraId="68B9D3EA" w14:textId="77777777" w:rsidR="00E01ABE" w:rsidRPr="00A303E0" w:rsidRDefault="00E01ABE" w:rsidP="00C57E5B">
      <w:pPr>
        <w:pStyle w:val="Caption"/>
        <w:keepNext/>
        <w:keepLines/>
      </w:pPr>
      <w:r w:rsidRPr="00A303E0">
        <w:t>Chart 8: Representation of Equity Groups</w:t>
      </w:r>
      <w:r w:rsidRPr="00A303E0">
        <w:rPr>
          <w:sz w:val="20"/>
          <w:szCs w:val="20"/>
          <w:vertAlign w:val="superscript"/>
        </w:rPr>
        <w:t>1</w:t>
      </w:r>
      <w:r w:rsidRPr="00A303E0">
        <w:t xml:space="preserve"> by Course level (2016)</w:t>
      </w:r>
    </w:p>
    <w:p w14:paraId="3C039C1D" w14:textId="77777777" w:rsidR="00E01ABE" w:rsidRPr="00A303E0" w:rsidRDefault="00E01ABE" w:rsidP="00C57E5B">
      <w:pPr>
        <w:pStyle w:val="ListBullet"/>
        <w:numPr>
          <w:ilvl w:val="0"/>
          <w:numId w:val="0"/>
        </w:numPr>
        <w:spacing w:after="0"/>
        <w:contextualSpacing w:val="0"/>
      </w:pPr>
      <w:r w:rsidRPr="00A303E0">
        <w:rPr>
          <w:noProof/>
          <w:lang w:eastAsia="en-AU"/>
        </w:rPr>
        <w:drawing>
          <wp:inline distT="0" distB="0" distL="0" distR="0" wp14:anchorId="79018D0C" wp14:editId="4B8D0244">
            <wp:extent cx="5972810" cy="3085131"/>
            <wp:effectExtent l="0" t="0" r="8890" b="1270"/>
            <wp:docPr id="6" name="Picture 6" descr="Bar chart showing the proportionate representation of equity groups in enabling, sub bachelor, postgraduate and bachelor courses for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03154" cy="3100805"/>
                    </a:xfrm>
                    <a:prstGeom prst="rect">
                      <a:avLst/>
                    </a:prstGeom>
                    <a:noFill/>
                  </pic:spPr>
                </pic:pic>
              </a:graphicData>
            </a:graphic>
          </wp:inline>
        </w:drawing>
      </w:r>
    </w:p>
    <w:p w14:paraId="7188D1C9" w14:textId="77777777" w:rsidR="00E01ABE" w:rsidRPr="00A303E0" w:rsidRDefault="00E01ABE" w:rsidP="00C57E5B">
      <w:pPr>
        <w:pStyle w:val="ListBullet"/>
        <w:numPr>
          <w:ilvl w:val="0"/>
          <w:numId w:val="14"/>
        </w:numPr>
        <w:spacing w:after="0"/>
        <w:contextualSpacing w:val="0"/>
        <w:rPr>
          <w:sz w:val="18"/>
          <w:szCs w:val="18"/>
        </w:rPr>
      </w:pPr>
      <w:r w:rsidRPr="00A303E0">
        <w:rPr>
          <w:sz w:val="18"/>
          <w:szCs w:val="18"/>
        </w:rPr>
        <w:t>Lower Socio Economic Status (SES) groups, Regional and Remote address, Non English Speaking Background, Indigenous students and students with a disability.</w:t>
      </w:r>
    </w:p>
    <w:p w14:paraId="28E4F046" w14:textId="77777777" w:rsidR="00E01ABE" w:rsidRPr="00A303E0" w:rsidRDefault="00E01ABE" w:rsidP="00C57E5B">
      <w:pPr>
        <w:spacing w:before="120"/>
      </w:pPr>
      <w:r w:rsidRPr="00A303E0">
        <w:t xml:space="preserve">The VET sector also offers students a pathway into higher education. In 2016, approximately 12 per cent of bachelor degree commencers </w:t>
      </w:r>
      <w:proofErr w:type="gramStart"/>
      <w:r w:rsidRPr="00A303E0">
        <w:t>were admitted</w:t>
      </w:r>
      <w:proofErr w:type="gramEnd"/>
      <w:r w:rsidRPr="00A303E0">
        <w:t xml:space="preserve"> to higher education based on prior VET study. </w:t>
      </w:r>
    </w:p>
    <w:p w14:paraId="71E288C4" w14:textId="77777777" w:rsidR="00E01ABE" w:rsidRPr="00A303E0" w:rsidRDefault="00E01ABE" w:rsidP="00C57E5B">
      <w:r w:rsidRPr="00A303E0">
        <w:t>In 2015, the VET sector had 6,000 enrolments in accredited tertiary preparation courses (e.g. diplomas and certificate IV)</w:t>
      </w:r>
      <w:r w:rsidRPr="00A303E0">
        <w:rPr>
          <w:rStyle w:val="FootnoteReference"/>
        </w:rPr>
        <w:footnoteReference w:id="1"/>
      </w:r>
      <w:r w:rsidRPr="00A303E0">
        <w:t xml:space="preserve">. The Certificate IV in Tertiary Preparation, which provides a similar offering to an enabling course, costs between $700 and $2000 in a </w:t>
      </w:r>
      <w:proofErr w:type="gramStart"/>
      <w:r w:rsidRPr="00A303E0">
        <w:t>government subsidised</w:t>
      </w:r>
      <w:proofErr w:type="gramEnd"/>
      <w:r w:rsidRPr="00A303E0">
        <w:t xml:space="preserve"> place.</w:t>
      </w:r>
    </w:p>
    <w:p w14:paraId="1AA5B128" w14:textId="77777777" w:rsidR="00E01ABE" w:rsidRPr="00A303E0" w:rsidRDefault="00E01ABE" w:rsidP="00C57E5B">
      <w:r w:rsidRPr="00A303E0">
        <w:t>In 2016, 33 higher education providers were allocated some 9686 enabling places</w:t>
      </w:r>
      <w:r w:rsidRPr="00A303E0">
        <w:rPr>
          <w:rStyle w:val="FootnoteReference"/>
        </w:rPr>
        <w:footnoteReference w:id="2"/>
      </w:r>
      <w:r w:rsidRPr="00A303E0">
        <w:t xml:space="preserve"> but delivered 12,500 </w:t>
      </w:r>
      <w:proofErr w:type="gramStart"/>
      <w:r w:rsidRPr="00A303E0">
        <w:t>places which</w:t>
      </w:r>
      <w:proofErr w:type="gramEnd"/>
      <w:r w:rsidRPr="00A303E0">
        <w:t xml:space="preserve"> allowed them to provide enabling courses to almost 31,700 Commonwealth supported students. Some 10 providers provided full fee-paying programs to 3300 students.</w:t>
      </w:r>
    </w:p>
    <w:p w14:paraId="6189F903" w14:textId="77777777" w:rsidR="00E01ABE" w:rsidRPr="00A303E0" w:rsidRDefault="00E01ABE" w:rsidP="00C57E5B">
      <w:pPr>
        <w:spacing w:after="200"/>
        <w:rPr>
          <w:b/>
          <w:color w:val="2E74B5" w:themeColor="accent1" w:themeShade="BF"/>
        </w:rPr>
      </w:pPr>
      <w:r w:rsidRPr="00A303E0">
        <w:rPr>
          <w:b/>
          <w:color w:val="2E74B5" w:themeColor="accent1" w:themeShade="BF"/>
        </w:rPr>
        <w:lastRenderedPageBreak/>
        <w:t>Consultation and issues for feedback</w:t>
      </w:r>
    </w:p>
    <w:p w14:paraId="0522CBC0" w14:textId="77777777" w:rsidR="00E01ABE" w:rsidRPr="00A303E0" w:rsidRDefault="00E01ABE" w:rsidP="00C57E5B">
      <w:pPr>
        <w:spacing w:after="0"/>
      </w:pPr>
      <w:r w:rsidRPr="00A303E0">
        <w:t xml:space="preserve">Feedback </w:t>
      </w:r>
      <w:proofErr w:type="gramStart"/>
      <w:r w:rsidRPr="00A303E0">
        <w:t>is sought</w:t>
      </w:r>
      <w:proofErr w:type="gramEnd"/>
      <w:r w:rsidRPr="00A303E0">
        <w:t xml:space="preserve"> on the following criteria for the reallocation of enabling places:</w:t>
      </w:r>
    </w:p>
    <w:p w14:paraId="22EF2831" w14:textId="55039785" w:rsidR="00E01ABE" w:rsidRPr="00A303E0" w:rsidRDefault="00E01ABE" w:rsidP="00C57E5B">
      <w:pPr>
        <w:pStyle w:val="ListParagraph"/>
        <w:numPr>
          <w:ilvl w:val="0"/>
          <w:numId w:val="7"/>
        </w:numPr>
        <w:spacing w:before="120" w:line="276" w:lineRule="auto"/>
        <w:ind w:left="714" w:hanging="357"/>
        <w:rPr>
          <w:rFonts w:cstheme="minorHAnsi"/>
          <w:color w:val="000000"/>
        </w:rPr>
      </w:pPr>
      <w:r w:rsidRPr="00A303E0">
        <w:rPr>
          <w:i/>
        </w:rPr>
        <w:t xml:space="preserve">Student progression to </w:t>
      </w:r>
      <w:r w:rsidR="006E7550" w:rsidRPr="00A303E0">
        <w:rPr>
          <w:i/>
        </w:rPr>
        <w:t>further study at tertiary level</w:t>
      </w:r>
      <w:r w:rsidRPr="00A303E0">
        <w:rPr>
          <w:i/>
        </w:rPr>
        <w:t>:</w:t>
      </w:r>
      <w:r w:rsidRPr="00A303E0">
        <w:t xml:space="preserve"> this will help determine which providers have engaged with students to finish their course and move on to </w:t>
      </w:r>
      <w:r w:rsidR="006E7550" w:rsidRPr="00A303E0">
        <w:t>further study at a tertiary level.</w:t>
      </w:r>
      <w:r w:rsidRPr="00A303E0">
        <w:t xml:space="preserve"> The existing student data collection </w:t>
      </w:r>
      <w:proofErr w:type="gramStart"/>
      <w:r w:rsidRPr="00A303E0">
        <w:t>could be used</w:t>
      </w:r>
      <w:proofErr w:type="gramEnd"/>
      <w:r w:rsidRPr="00A303E0">
        <w:t xml:space="preserve"> to examine the proportion of students that are enrolled in an enabling course in one year and are then enrolled in a </w:t>
      </w:r>
      <w:r w:rsidR="006E7550" w:rsidRPr="00A303E0">
        <w:t xml:space="preserve">tertiary level </w:t>
      </w:r>
      <w:r w:rsidR="00EE2BAF" w:rsidRPr="00A303E0">
        <w:t>program</w:t>
      </w:r>
      <w:r w:rsidRPr="00A303E0">
        <w:t xml:space="preserve"> one year later. </w:t>
      </w:r>
      <w:r w:rsidRPr="00A303E0">
        <w:rPr>
          <w:shd w:val="clear" w:color="auto" w:fill="FFFFFF" w:themeFill="background1"/>
        </w:rPr>
        <w:t>Overall student progression from an enabling program into study in the subsequent year is currently just over 50 per cent.</w:t>
      </w:r>
    </w:p>
    <w:p w14:paraId="4BE5B66B" w14:textId="77777777" w:rsidR="00E01ABE" w:rsidRPr="00A303E0" w:rsidRDefault="00E01ABE" w:rsidP="00C57E5B">
      <w:pPr>
        <w:pStyle w:val="ListParagraph"/>
        <w:numPr>
          <w:ilvl w:val="0"/>
          <w:numId w:val="7"/>
        </w:numPr>
        <w:spacing w:before="120" w:line="276" w:lineRule="auto"/>
        <w:ind w:left="714" w:hanging="357"/>
      </w:pPr>
      <w:r w:rsidRPr="00A303E0">
        <w:rPr>
          <w:i/>
        </w:rPr>
        <w:t>Existing utilisation of places:</w:t>
      </w:r>
      <w:r w:rsidRPr="00A303E0">
        <w:t xml:space="preserve"> this </w:t>
      </w:r>
      <w:proofErr w:type="gramStart"/>
      <w:r w:rsidRPr="00A303E0">
        <w:t>could be measured</w:t>
      </w:r>
      <w:proofErr w:type="gramEnd"/>
      <w:r w:rsidRPr="00A303E0">
        <w:t xml:space="preserve"> by historical over and under enrolment, comparing allocations with actual use. Significant over-enrolments at an institution may indicate that there is strong demand and students would benefit from continued or expanded Government support. Issues include how to avoid creating an incentive to fill places with uncommitted students in order to maintain an allocation of places. </w:t>
      </w:r>
    </w:p>
    <w:p w14:paraId="4693FFD0" w14:textId="77777777" w:rsidR="00E01ABE" w:rsidRPr="00A303E0" w:rsidRDefault="00E01ABE" w:rsidP="00C57E5B">
      <w:pPr>
        <w:pStyle w:val="ListParagraph"/>
        <w:numPr>
          <w:ilvl w:val="0"/>
          <w:numId w:val="7"/>
        </w:numPr>
        <w:spacing w:before="120" w:line="276" w:lineRule="auto"/>
        <w:ind w:left="714" w:hanging="357"/>
      </w:pPr>
      <w:r w:rsidRPr="00A303E0">
        <w:rPr>
          <w:i/>
        </w:rPr>
        <w:t>Profile of commencing students:</w:t>
      </w:r>
      <w:r w:rsidRPr="00A303E0">
        <w:t xml:space="preserve"> this would consider the characteristics of an institution’s commencing student cohort. Analysing the characteristics of the commencing student population from the previous year could identify the prevalence of any equity groups who may require support to participate in higher education. Providers would be required to demonstrate how they would engage with and support students from these disadvantaged groups. Places </w:t>
      </w:r>
      <w:proofErr w:type="gramStart"/>
      <w:r w:rsidRPr="00A303E0">
        <w:t>would then be allocated</w:t>
      </w:r>
      <w:proofErr w:type="gramEnd"/>
      <w:r w:rsidRPr="00A303E0">
        <w:t xml:space="preserve"> to institutions most able to assist these students to access further education. An alternative criterion could instead consider the profile of the institution’s catchment area.</w:t>
      </w:r>
    </w:p>
    <w:p w14:paraId="79C85743" w14:textId="5C45C3AB" w:rsidR="007D55F8" w:rsidRPr="00A303E0" w:rsidRDefault="00E01ABE" w:rsidP="00C57E5B">
      <w:pPr>
        <w:pStyle w:val="ListParagraph"/>
        <w:numPr>
          <w:ilvl w:val="0"/>
          <w:numId w:val="7"/>
        </w:numPr>
        <w:spacing w:before="120" w:line="276" w:lineRule="auto"/>
        <w:ind w:left="714" w:hanging="357"/>
      </w:pPr>
      <w:r w:rsidRPr="00A303E0">
        <w:rPr>
          <w:i/>
        </w:rPr>
        <w:t>Innovative teaching models:</w:t>
      </w:r>
      <w:r w:rsidRPr="00A303E0">
        <w:t xml:space="preserve"> universities should be encouraged to develop innovative approaches to delivering enabling courses, particularly as such courses should be designed to support students that are under-prepared for tertiary education and which prepare students to undertake study at a range of tertiary institutions.</w:t>
      </w:r>
    </w:p>
    <w:p w14:paraId="6F0C8315" w14:textId="77777777" w:rsidR="00E01ABE" w:rsidRPr="00A303E0" w:rsidRDefault="00E01ABE" w:rsidP="00C57E5B">
      <w:pPr>
        <w:spacing w:after="360"/>
      </w:pPr>
      <w:r w:rsidRPr="00A303E0">
        <w:t xml:space="preserve">Issues to </w:t>
      </w:r>
      <w:proofErr w:type="gramStart"/>
      <w:r w:rsidRPr="00A303E0">
        <w:t>be considered</w:t>
      </w:r>
      <w:proofErr w:type="gramEnd"/>
      <w:r w:rsidRPr="00A303E0">
        <w:t xml:space="preserve"> include what weighting should be given to these criteria (or other criteria that emerge in consultations). Given the current uneven distribution of enabling places, it will also be important to ensure that criteria do not effectively lock out institutions with no, or very small current allocations and there may be value in considering whether all institutions should be entitled to a minimum number of places. </w:t>
      </w:r>
    </w:p>
    <w:p w14:paraId="4E0DACB9" w14:textId="77777777" w:rsidR="00E01ABE" w:rsidRPr="00A303E0" w:rsidRDefault="00E01ABE" w:rsidP="00C57E5B">
      <w:pPr>
        <w:pStyle w:val="Heading2"/>
      </w:pPr>
      <w:r w:rsidRPr="00A303E0">
        <w:t>2.4 Consultation issues – sub-bachelor places</w:t>
      </w:r>
    </w:p>
    <w:p w14:paraId="7DA804DA" w14:textId="77777777" w:rsidR="00E01ABE" w:rsidRPr="00A303E0" w:rsidRDefault="00E01ABE" w:rsidP="00C57E5B">
      <w:r w:rsidRPr="00A303E0">
        <w:t>The department previously sought feedback on proposed arrangements for sub-bachelor courses in the context of the previous policy, which would have seen demand driven funding arrangements for sub</w:t>
      </w:r>
      <w:r w:rsidRPr="00A303E0">
        <w:noBreakHyphen/>
        <w:t>bachelor courses that met certain eligibility criteria. While the Government is no longer pursuing demand driven funding for sub-bachelor places, it remains committed to ensuring that sub-bachelor places deliver for the needs of students, taxpayers and employers.</w:t>
      </w:r>
    </w:p>
    <w:p w14:paraId="31CF229F" w14:textId="77777777" w:rsidR="00E01ABE" w:rsidRPr="00A303E0" w:rsidRDefault="00E01ABE" w:rsidP="00C57E5B">
      <w:r w:rsidRPr="00A303E0">
        <w:t xml:space="preserve">While the Government acknowledges that sub-bachelor courses provide a valuable qualification in themselves, the prioritisation of courses that fully articulate from sub-bachelor to bachelor-level study promotes the most efficient pathway for students wishing to continue with their study. However, as identified in the previous consultation, this prioritisation potentially excludes cognate diplomas, such as the Diploma of Languages. For this reason, the Government is intending to require courses to either have full articulation to bachelor-level study or be open only to students that </w:t>
      </w:r>
      <w:proofErr w:type="gramStart"/>
      <w:r w:rsidRPr="00A303E0">
        <w:t>are concurrently enrolled</w:t>
      </w:r>
      <w:proofErr w:type="gramEnd"/>
      <w:r w:rsidRPr="00A303E0">
        <w:t xml:space="preserve"> in a bachelor degree program at the same institution.</w:t>
      </w:r>
    </w:p>
    <w:p w14:paraId="4054284C" w14:textId="77777777" w:rsidR="0005592B" w:rsidRPr="00A303E0" w:rsidRDefault="0005592B">
      <w:pPr>
        <w:spacing w:after="200" w:line="276" w:lineRule="auto"/>
        <w:rPr>
          <w:b/>
          <w:color w:val="2E74B5" w:themeColor="accent1" w:themeShade="BF"/>
        </w:rPr>
      </w:pPr>
      <w:r w:rsidRPr="00A303E0">
        <w:rPr>
          <w:b/>
          <w:color w:val="2E74B5" w:themeColor="accent1" w:themeShade="BF"/>
        </w:rPr>
        <w:br w:type="page"/>
      </w:r>
    </w:p>
    <w:p w14:paraId="726FF850" w14:textId="30B58FA3" w:rsidR="00E01ABE" w:rsidRPr="00A303E0" w:rsidRDefault="00E01ABE" w:rsidP="00C57E5B">
      <w:pPr>
        <w:spacing w:after="200"/>
        <w:rPr>
          <w:b/>
          <w:color w:val="2E74B5" w:themeColor="accent1" w:themeShade="BF"/>
        </w:rPr>
      </w:pPr>
      <w:r w:rsidRPr="00A303E0">
        <w:rPr>
          <w:b/>
          <w:color w:val="2E74B5" w:themeColor="accent1" w:themeShade="BF"/>
        </w:rPr>
        <w:lastRenderedPageBreak/>
        <w:t>Consultation and issues for feedback</w:t>
      </w:r>
    </w:p>
    <w:p w14:paraId="4C960B00" w14:textId="77777777" w:rsidR="00E01ABE" w:rsidRPr="00A303E0" w:rsidRDefault="00E01ABE" w:rsidP="00C57E5B">
      <w:r w:rsidRPr="00A303E0">
        <w:t xml:space="preserve">Feedback </w:t>
      </w:r>
      <w:proofErr w:type="gramStart"/>
      <w:r w:rsidRPr="00A303E0">
        <w:t>is sought</w:t>
      </w:r>
      <w:proofErr w:type="gramEnd"/>
      <w:r w:rsidRPr="00A303E0">
        <w:t xml:space="preserve"> on the following criteria for the reallocation of sub-bachelor places:</w:t>
      </w:r>
    </w:p>
    <w:p w14:paraId="3330D53E" w14:textId="77777777" w:rsidR="00E01ABE" w:rsidRPr="00A303E0" w:rsidRDefault="00E01ABE" w:rsidP="00C57E5B">
      <w:pPr>
        <w:pStyle w:val="ListParagraph"/>
        <w:numPr>
          <w:ilvl w:val="0"/>
          <w:numId w:val="18"/>
        </w:numPr>
        <w:spacing w:before="120" w:line="276" w:lineRule="auto"/>
      </w:pPr>
      <w:r w:rsidRPr="00A303E0">
        <w:rPr>
          <w:i/>
        </w:rPr>
        <w:t>Courses address industry needs</w:t>
      </w:r>
      <w:r w:rsidRPr="00A303E0">
        <w:t>: this criterion could consider which courses the university intends to or has previously offered. Preference could be given to courses that address industry needs through one or more of the following:</w:t>
      </w:r>
    </w:p>
    <w:p w14:paraId="737187FB" w14:textId="77777777" w:rsidR="00E01ABE" w:rsidRPr="00A303E0" w:rsidRDefault="00E01ABE" w:rsidP="00C57E5B">
      <w:pPr>
        <w:pStyle w:val="ListParagraph"/>
        <w:numPr>
          <w:ilvl w:val="1"/>
          <w:numId w:val="18"/>
        </w:numPr>
        <w:spacing w:before="120" w:line="276" w:lineRule="auto"/>
      </w:pPr>
      <w:r w:rsidRPr="00A303E0">
        <w:t>For a professional course, the sub-bachelor course (or the related bachelor course/s into which it articulates) is accredited by the appropriate professional body or association; or</w:t>
      </w:r>
    </w:p>
    <w:p w14:paraId="657AADEE" w14:textId="77777777" w:rsidR="00E01ABE" w:rsidRPr="00A303E0" w:rsidRDefault="00E01ABE" w:rsidP="00C57E5B">
      <w:pPr>
        <w:pStyle w:val="ListParagraph"/>
        <w:numPr>
          <w:ilvl w:val="1"/>
          <w:numId w:val="18"/>
        </w:numPr>
        <w:spacing w:before="120" w:line="276" w:lineRule="auto"/>
      </w:pPr>
      <w:r w:rsidRPr="00A303E0">
        <w:t>The course was developed in consultation with industry or employers, with documented evidence of employer support for the course; or</w:t>
      </w:r>
    </w:p>
    <w:p w14:paraId="2E6F6625" w14:textId="77777777" w:rsidR="00E01ABE" w:rsidRPr="00A303E0" w:rsidRDefault="00E01ABE" w:rsidP="00C57E5B">
      <w:pPr>
        <w:pStyle w:val="ListParagraph"/>
        <w:numPr>
          <w:ilvl w:val="1"/>
          <w:numId w:val="18"/>
        </w:numPr>
        <w:spacing w:before="120" w:line="276" w:lineRule="auto"/>
      </w:pPr>
      <w:r w:rsidRPr="00A303E0">
        <w:t>The course includes substantive work-integrated learning or work experience in industry components; or</w:t>
      </w:r>
    </w:p>
    <w:p w14:paraId="02AE5563" w14:textId="77777777" w:rsidR="00E01ABE" w:rsidRPr="00A303E0" w:rsidRDefault="00E01ABE" w:rsidP="00C57E5B">
      <w:pPr>
        <w:pStyle w:val="ListParagraph"/>
        <w:numPr>
          <w:ilvl w:val="1"/>
          <w:numId w:val="18"/>
        </w:numPr>
        <w:spacing w:before="120" w:line="276" w:lineRule="auto"/>
      </w:pPr>
      <w:r w:rsidRPr="00A303E0">
        <w:t>The course has demonstrated excellent employment outcomes for students over time; or</w:t>
      </w:r>
    </w:p>
    <w:p w14:paraId="750E766D" w14:textId="77777777" w:rsidR="00E01ABE" w:rsidRPr="00A303E0" w:rsidRDefault="00E01ABE" w:rsidP="00C57E5B">
      <w:pPr>
        <w:pStyle w:val="ListParagraph"/>
        <w:numPr>
          <w:ilvl w:val="1"/>
          <w:numId w:val="18"/>
        </w:numPr>
        <w:spacing w:before="120" w:line="276" w:lineRule="auto"/>
      </w:pPr>
      <w:r w:rsidRPr="00A303E0">
        <w:t>The course relates to emerging industries or occupations, where related industries are not yet mature but are strategically important for the economy (such as Industry 4.0 competencies). Initially this will include science, technology, engineering, and mathematics courses; or</w:t>
      </w:r>
    </w:p>
    <w:p w14:paraId="46E22E08" w14:textId="77777777" w:rsidR="00E01ABE" w:rsidRPr="00A303E0" w:rsidRDefault="00E01ABE" w:rsidP="00C57E5B">
      <w:pPr>
        <w:pStyle w:val="ListParagraph"/>
        <w:numPr>
          <w:ilvl w:val="1"/>
          <w:numId w:val="18"/>
        </w:numPr>
        <w:spacing w:before="120" w:line="276" w:lineRule="auto"/>
      </w:pPr>
      <w:r w:rsidRPr="00A303E0">
        <w:t>The course addresses local or regional skills shortages; and</w:t>
      </w:r>
    </w:p>
    <w:p w14:paraId="6E0CD22E" w14:textId="77777777" w:rsidR="00E01ABE" w:rsidRPr="00A303E0" w:rsidRDefault="00E01ABE" w:rsidP="00C57E5B">
      <w:pPr>
        <w:pStyle w:val="ListParagraph"/>
        <w:numPr>
          <w:ilvl w:val="1"/>
          <w:numId w:val="18"/>
        </w:numPr>
        <w:spacing w:before="120" w:line="276" w:lineRule="auto"/>
      </w:pPr>
      <w:r w:rsidRPr="00A303E0">
        <w:t xml:space="preserve">The course does not duplicate courses </w:t>
      </w:r>
      <w:proofErr w:type="gramStart"/>
      <w:r w:rsidRPr="00A303E0">
        <w:t>being funded</w:t>
      </w:r>
      <w:proofErr w:type="gramEnd"/>
      <w:r w:rsidRPr="00A303E0">
        <w:t xml:space="preserve"> by the VET sector.</w:t>
      </w:r>
    </w:p>
    <w:p w14:paraId="7CE8106A" w14:textId="77777777" w:rsidR="00E01ABE" w:rsidRPr="00A303E0" w:rsidRDefault="00E01ABE" w:rsidP="00C57E5B">
      <w:pPr>
        <w:pStyle w:val="ListParagraph"/>
        <w:numPr>
          <w:ilvl w:val="0"/>
          <w:numId w:val="18"/>
        </w:numPr>
        <w:spacing w:before="120" w:line="276" w:lineRule="auto"/>
        <w:rPr>
          <w:rFonts w:cstheme="minorHAnsi"/>
          <w:color w:val="000000"/>
        </w:rPr>
      </w:pPr>
      <w:r w:rsidRPr="00A303E0">
        <w:rPr>
          <w:i/>
        </w:rPr>
        <w:t>Existing utilisation of places</w:t>
      </w:r>
      <w:r w:rsidRPr="00A303E0">
        <w:t xml:space="preserve">: this </w:t>
      </w:r>
      <w:proofErr w:type="gramStart"/>
      <w:r w:rsidRPr="00A303E0">
        <w:t>could be measured</w:t>
      </w:r>
      <w:proofErr w:type="gramEnd"/>
      <w:r w:rsidRPr="00A303E0">
        <w:t xml:space="preserve"> by historical over and under enrolment, comparing allocations with actual use. Significant over-enrolments at an institution may indicate that there is strong demand. Issues include how to avoid creating an incentive to fill places with uncommitted students in order to maintain an allocation of places. </w:t>
      </w:r>
    </w:p>
    <w:p w14:paraId="6DCAAD50" w14:textId="4061FF5E" w:rsidR="00E01ABE" w:rsidRPr="00A303E0" w:rsidRDefault="00E01ABE" w:rsidP="00C57E5B">
      <w:pPr>
        <w:pStyle w:val="ListParagraph"/>
        <w:numPr>
          <w:ilvl w:val="0"/>
          <w:numId w:val="18"/>
        </w:numPr>
        <w:spacing w:before="120" w:line="276" w:lineRule="auto"/>
        <w:rPr>
          <w:rFonts w:cstheme="minorHAnsi"/>
          <w:color w:val="000000"/>
        </w:rPr>
      </w:pPr>
      <w:r w:rsidRPr="00A303E0">
        <w:rPr>
          <w:rFonts w:cstheme="minorHAnsi"/>
          <w:i/>
          <w:color w:val="000000"/>
        </w:rPr>
        <w:t xml:space="preserve">Completions and transition to </w:t>
      </w:r>
      <w:r w:rsidR="00D92153" w:rsidRPr="00A303E0">
        <w:rPr>
          <w:rFonts w:cstheme="minorHAnsi"/>
          <w:i/>
          <w:color w:val="000000"/>
        </w:rPr>
        <w:t>further study at tertiary level</w:t>
      </w:r>
      <w:r w:rsidRPr="00A303E0">
        <w:rPr>
          <w:rFonts w:cstheme="minorHAnsi"/>
          <w:color w:val="000000"/>
        </w:rPr>
        <w:t xml:space="preserve">: places could be prioritised to those institutions that can demonstrate a strong </w:t>
      </w:r>
      <w:proofErr w:type="gramStart"/>
      <w:r w:rsidRPr="00A303E0">
        <w:rPr>
          <w:rFonts w:cstheme="minorHAnsi"/>
          <w:color w:val="000000"/>
        </w:rPr>
        <w:t>track record</w:t>
      </w:r>
      <w:proofErr w:type="gramEnd"/>
      <w:r w:rsidRPr="00A303E0">
        <w:rPr>
          <w:rFonts w:cstheme="minorHAnsi"/>
          <w:color w:val="000000"/>
        </w:rPr>
        <w:t xml:space="preserve"> in supporting students through to completion or into </w:t>
      </w:r>
      <w:r w:rsidR="00D92153" w:rsidRPr="00A303E0">
        <w:rPr>
          <w:rFonts w:cstheme="minorHAnsi"/>
          <w:color w:val="000000"/>
        </w:rPr>
        <w:t>further study at tertiary level</w:t>
      </w:r>
      <w:r w:rsidRPr="00A303E0">
        <w:rPr>
          <w:rFonts w:cstheme="minorHAnsi"/>
          <w:color w:val="000000"/>
        </w:rPr>
        <w:t>.</w:t>
      </w:r>
    </w:p>
    <w:p w14:paraId="1367CB2E" w14:textId="77777777" w:rsidR="00E01ABE" w:rsidRPr="00A303E0" w:rsidRDefault="00E01ABE" w:rsidP="00C57E5B">
      <w:pPr>
        <w:pStyle w:val="ListParagraph"/>
        <w:numPr>
          <w:ilvl w:val="0"/>
          <w:numId w:val="18"/>
        </w:numPr>
        <w:spacing w:before="120" w:line="276" w:lineRule="auto"/>
        <w:rPr>
          <w:rFonts w:cstheme="minorHAnsi"/>
          <w:color w:val="000000"/>
        </w:rPr>
      </w:pPr>
      <w:r w:rsidRPr="00A303E0">
        <w:rPr>
          <w:rFonts w:cstheme="minorHAnsi"/>
          <w:i/>
          <w:color w:val="000000"/>
        </w:rPr>
        <w:t>Attrition</w:t>
      </w:r>
      <w:r w:rsidRPr="00A303E0">
        <w:rPr>
          <w:rFonts w:cstheme="minorHAnsi"/>
          <w:color w:val="000000"/>
        </w:rPr>
        <w:t xml:space="preserve">: this would need to </w:t>
      </w:r>
      <w:proofErr w:type="gramStart"/>
      <w:r w:rsidRPr="00A303E0">
        <w:rPr>
          <w:rFonts w:cstheme="minorHAnsi"/>
          <w:color w:val="000000"/>
        </w:rPr>
        <w:t>be designed</w:t>
      </w:r>
      <w:proofErr w:type="gramEnd"/>
      <w:r w:rsidRPr="00A303E0">
        <w:rPr>
          <w:rFonts w:cstheme="minorHAnsi"/>
          <w:color w:val="000000"/>
        </w:rPr>
        <w:t xml:space="preserve"> to take into account variation in institutional mission and the characteristics of their student cohort. However, demonstrably poor and/or increasing attrition outcomes would see places returned to the reallocation pool.</w:t>
      </w:r>
    </w:p>
    <w:p w14:paraId="0FEA5398" w14:textId="77777777" w:rsidR="00E01ABE" w:rsidRPr="00A303E0" w:rsidRDefault="00E01ABE" w:rsidP="00C57E5B">
      <w:pPr>
        <w:pStyle w:val="ListParagraph"/>
        <w:numPr>
          <w:ilvl w:val="0"/>
          <w:numId w:val="18"/>
        </w:numPr>
        <w:spacing w:before="120" w:line="276" w:lineRule="auto"/>
        <w:rPr>
          <w:rFonts w:cstheme="minorHAnsi"/>
          <w:color w:val="000000"/>
        </w:rPr>
      </w:pPr>
      <w:r w:rsidRPr="00A303E0">
        <w:rPr>
          <w:rFonts w:cstheme="minorHAnsi"/>
          <w:i/>
          <w:color w:val="000000"/>
        </w:rPr>
        <w:t>Demonstrated demand</w:t>
      </w:r>
      <w:r w:rsidRPr="00A303E0">
        <w:rPr>
          <w:rFonts w:cstheme="minorHAnsi"/>
          <w:color w:val="000000"/>
        </w:rPr>
        <w:t xml:space="preserve">: this </w:t>
      </w:r>
      <w:proofErr w:type="gramStart"/>
      <w:r w:rsidRPr="00A303E0">
        <w:rPr>
          <w:rFonts w:cstheme="minorHAnsi"/>
          <w:color w:val="000000"/>
        </w:rPr>
        <w:t>could be assessed</w:t>
      </w:r>
      <w:proofErr w:type="gramEnd"/>
      <w:r w:rsidRPr="00A303E0">
        <w:rPr>
          <w:rFonts w:cstheme="minorHAnsi"/>
          <w:color w:val="000000"/>
        </w:rPr>
        <w:t xml:space="preserve"> in relation to local population growth and/or youth population. </w:t>
      </w:r>
    </w:p>
    <w:p w14:paraId="2B95A452" w14:textId="77777777" w:rsidR="00E01ABE" w:rsidRPr="00A303E0" w:rsidRDefault="00E01ABE" w:rsidP="00C57E5B">
      <w:pPr>
        <w:pStyle w:val="ListParagraph"/>
        <w:numPr>
          <w:ilvl w:val="0"/>
          <w:numId w:val="18"/>
        </w:numPr>
        <w:spacing w:before="120" w:line="276" w:lineRule="auto"/>
        <w:rPr>
          <w:rFonts w:cstheme="minorHAnsi"/>
          <w:color w:val="000000"/>
        </w:rPr>
      </w:pPr>
      <w:r w:rsidRPr="00A303E0">
        <w:rPr>
          <w:rFonts w:cstheme="minorHAnsi"/>
          <w:i/>
          <w:color w:val="000000"/>
        </w:rPr>
        <w:t>Demonstrated need</w:t>
      </w:r>
      <w:r w:rsidRPr="00A303E0">
        <w:rPr>
          <w:rFonts w:cstheme="minorHAnsi"/>
          <w:color w:val="000000"/>
        </w:rPr>
        <w:t>: this could be assessed in relation to current post-secondary provision in the region relative to national average</w:t>
      </w:r>
    </w:p>
    <w:p w14:paraId="26CD96D0" w14:textId="77777777" w:rsidR="00E01ABE" w:rsidRPr="00A303E0" w:rsidRDefault="00E01ABE" w:rsidP="00C57E5B">
      <w:pPr>
        <w:rPr>
          <w:rFonts w:cstheme="minorHAnsi"/>
          <w:color w:val="000000"/>
        </w:rPr>
      </w:pPr>
      <w:r w:rsidRPr="00A303E0">
        <w:rPr>
          <w:rFonts w:cstheme="minorHAnsi"/>
          <w:color w:val="000000"/>
        </w:rPr>
        <w:t xml:space="preserve">An issue to consider is how </w:t>
      </w:r>
      <w:proofErr w:type="gramStart"/>
      <w:r w:rsidRPr="00A303E0">
        <w:rPr>
          <w:rFonts w:cstheme="minorHAnsi"/>
          <w:color w:val="000000"/>
        </w:rPr>
        <w:t>would universities without existing allocations</w:t>
      </w:r>
      <w:proofErr w:type="gramEnd"/>
      <w:r w:rsidRPr="00A303E0">
        <w:rPr>
          <w:rFonts w:cstheme="minorHAnsi"/>
          <w:color w:val="000000"/>
        </w:rPr>
        <w:t xml:space="preserve"> demonstrate performance in these criteria. Unlike enabling and postgraduate courses, public universities may not enrol domestic students in fee</w:t>
      </w:r>
      <w:r w:rsidR="00CC10D5" w:rsidRPr="00A303E0">
        <w:rPr>
          <w:rFonts w:cstheme="minorHAnsi"/>
          <w:color w:val="000000"/>
        </w:rPr>
        <w:noBreakHyphen/>
      </w:r>
      <w:r w:rsidRPr="00A303E0">
        <w:rPr>
          <w:rFonts w:cstheme="minorHAnsi"/>
          <w:color w:val="000000"/>
        </w:rPr>
        <w:t xml:space="preserve">paying places in a sub-bachelor course. Consideration </w:t>
      </w:r>
      <w:proofErr w:type="gramStart"/>
      <w:r w:rsidRPr="00A303E0">
        <w:rPr>
          <w:rFonts w:cstheme="minorHAnsi"/>
          <w:color w:val="000000"/>
        </w:rPr>
        <w:t>could be given</w:t>
      </w:r>
      <w:proofErr w:type="gramEnd"/>
      <w:r w:rsidRPr="00A303E0">
        <w:rPr>
          <w:rFonts w:cstheme="minorHAnsi"/>
          <w:color w:val="000000"/>
        </w:rPr>
        <w:t xml:space="preserve"> to developing a process whereby all universities, including those without an existing allocation, can seek to request further places based on their proposed approach.</w:t>
      </w:r>
    </w:p>
    <w:p w14:paraId="381F65CE" w14:textId="77777777" w:rsidR="00E01ABE" w:rsidRPr="00A303E0" w:rsidRDefault="00E01ABE" w:rsidP="00C57E5B">
      <w:pPr>
        <w:pStyle w:val="Heading2"/>
      </w:pPr>
      <w:r w:rsidRPr="00A303E0">
        <w:t>2.5 Consultation issues – postgraduate places</w:t>
      </w:r>
    </w:p>
    <w:p w14:paraId="27916B2D" w14:textId="77777777" w:rsidR="00E01ABE" w:rsidRPr="00A303E0" w:rsidRDefault="00E01ABE" w:rsidP="00C57E5B">
      <w:r w:rsidRPr="00A303E0">
        <w:t xml:space="preserve">Universities can negotiate cost-neutral changes to their profile of postgraduate CSPs and such requests </w:t>
      </w:r>
      <w:proofErr w:type="gramStart"/>
      <w:r w:rsidRPr="00A303E0">
        <w:t>are assessed</w:t>
      </w:r>
      <w:proofErr w:type="gramEnd"/>
      <w:r w:rsidRPr="00A303E0">
        <w:t xml:space="preserve"> against criteria, which were announced in April 2011. Approval </w:t>
      </w:r>
      <w:proofErr w:type="gramStart"/>
      <w:r w:rsidRPr="00A303E0">
        <w:t>is granted</w:t>
      </w:r>
      <w:proofErr w:type="gramEnd"/>
      <w:r w:rsidRPr="00A303E0">
        <w:t xml:space="preserve"> on the basis that the university is able to demonstrate that the course:</w:t>
      </w:r>
    </w:p>
    <w:p w14:paraId="10C960F0" w14:textId="77777777" w:rsidR="00E01ABE" w:rsidRPr="00A303E0" w:rsidRDefault="00E01ABE" w:rsidP="00C57E5B">
      <w:pPr>
        <w:pStyle w:val="ListParagraph"/>
        <w:numPr>
          <w:ilvl w:val="0"/>
          <w:numId w:val="19"/>
        </w:numPr>
        <w:spacing w:before="120" w:line="276" w:lineRule="auto"/>
      </w:pPr>
      <w:r w:rsidRPr="00A303E0">
        <w:t>is moving towards, being an accepted entry level for a profession; or</w:t>
      </w:r>
    </w:p>
    <w:p w14:paraId="18988486" w14:textId="77777777" w:rsidR="00E01ABE" w:rsidRPr="00A303E0" w:rsidRDefault="00E01ABE" w:rsidP="00C57E5B">
      <w:pPr>
        <w:pStyle w:val="ListParagraph"/>
        <w:numPr>
          <w:ilvl w:val="0"/>
          <w:numId w:val="19"/>
        </w:numPr>
        <w:spacing w:before="120" w:line="276" w:lineRule="auto"/>
      </w:pPr>
      <w:r w:rsidRPr="00A303E0">
        <w:t>meets an identified need in an area of skills shortage; or</w:t>
      </w:r>
    </w:p>
    <w:p w14:paraId="2E20B809" w14:textId="77777777" w:rsidR="00E01ABE" w:rsidRPr="00A303E0" w:rsidRDefault="00E01ABE" w:rsidP="00C57E5B">
      <w:pPr>
        <w:pStyle w:val="ListParagraph"/>
        <w:numPr>
          <w:ilvl w:val="0"/>
          <w:numId w:val="19"/>
        </w:numPr>
        <w:spacing w:before="120" w:line="276" w:lineRule="auto"/>
      </w:pPr>
      <w:proofErr w:type="gramStart"/>
      <w:r w:rsidRPr="00A303E0">
        <w:lastRenderedPageBreak/>
        <w:t>is</w:t>
      </w:r>
      <w:proofErr w:type="gramEnd"/>
      <w:r w:rsidRPr="00A303E0">
        <w:t xml:space="preserve"> of national significance (i.e. foster high level skills relevant to Australia’s research and innovation needs, national interests or cultural development, for example, a specialist postgraduate mathematics course).</w:t>
      </w:r>
    </w:p>
    <w:p w14:paraId="38410351" w14:textId="77777777" w:rsidR="00E01ABE" w:rsidRPr="00A303E0" w:rsidRDefault="00E01ABE" w:rsidP="00C57E5B">
      <w:r w:rsidRPr="00A303E0">
        <w:t xml:space="preserve">Most universities under-enrol their postgraduate places, although some do over-enrol. The reduction of underutilised places that </w:t>
      </w:r>
      <w:proofErr w:type="gramStart"/>
      <w:r w:rsidRPr="00A303E0">
        <w:t>was given</w:t>
      </w:r>
      <w:proofErr w:type="gramEnd"/>
      <w:r w:rsidRPr="00A303E0">
        <w:t xml:space="preserve"> effect in 2018 funding agreements will substantially address this.</w:t>
      </w:r>
    </w:p>
    <w:p w14:paraId="3129104B" w14:textId="7FF156BD" w:rsidR="00E01ABE" w:rsidRPr="00A303E0" w:rsidRDefault="00E01ABE" w:rsidP="00C57E5B">
      <w:r w:rsidRPr="00A303E0">
        <w:t xml:space="preserve">The Government has been using the ‘interim’ criteria for the allocation of new or reallocation of existing postgraduate CSPs – professional entry, skills shortage or national significance – since the 2011 postgraduate places consultation process. The consultation paper released at that time noted that there are some inherent difficulties in assessing whether courses meet any of these criteria. These include difficulties in defining </w:t>
      </w:r>
      <w:proofErr w:type="gramStart"/>
      <w:r w:rsidRPr="00A303E0">
        <w:t xml:space="preserve">a profession (which is straightforward in some cases but not others), deeming which sources of information </w:t>
      </w:r>
      <w:r w:rsidR="00D904AC" w:rsidRPr="00A303E0">
        <w:t>regarding</w:t>
      </w:r>
      <w:r w:rsidRPr="00A303E0">
        <w:t xml:space="preserve"> skills shortages are appropriate, and most notably, how to define national significance</w:t>
      </w:r>
      <w:proofErr w:type="gramEnd"/>
      <w:r w:rsidRPr="00A303E0">
        <w:t xml:space="preserve">. Generally, a nationally significant course has been described </w:t>
      </w:r>
      <w:r w:rsidR="00D904AC" w:rsidRPr="00A303E0">
        <w:t xml:space="preserve">as </w:t>
      </w:r>
      <w:r w:rsidRPr="00A303E0">
        <w:t>fostering high-level skills relevant to Australia’s research and innovation needs, national interests or cultural development, for example, a specialist postgraduate mathematics course.</w:t>
      </w:r>
    </w:p>
    <w:p w14:paraId="0F62ED3C" w14:textId="77777777" w:rsidR="00E01ABE" w:rsidRPr="00A303E0" w:rsidRDefault="00E01ABE" w:rsidP="00C57E5B">
      <w:r w:rsidRPr="00A303E0">
        <w:t xml:space="preserve">While the criteria </w:t>
      </w:r>
      <w:proofErr w:type="gramStart"/>
      <w:r w:rsidRPr="00A303E0">
        <w:t>are used</w:t>
      </w:r>
      <w:proofErr w:type="gramEnd"/>
      <w:r w:rsidRPr="00A303E0">
        <w:t xml:space="preserve"> to assess requested changes to profiles, they have not been used to reassess the existing profiles. For instance, there is no process to cyclically reassess skill shortages and whether places remain </w:t>
      </w:r>
      <w:proofErr w:type="gramStart"/>
      <w:r w:rsidRPr="00A303E0">
        <w:t>allocated</w:t>
      </w:r>
      <w:proofErr w:type="gramEnd"/>
      <w:r w:rsidRPr="00A303E0">
        <w:t xml:space="preserve"> where skill shortages may have been resolved. The new arrangements would include cyclical review of course and allocation criteria in consultation with the sector and other stakeholders including employers and professional accreditation bodies.</w:t>
      </w:r>
    </w:p>
    <w:p w14:paraId="6133BE0F" w14:textId="77777777" w:rsidR="00E01ABE" w:rsidRPr="00A303E0" w:rsidRDefault="00E01ABE" w:rsidP="00C57E5B">
      <w:pPr>
        <w:rPr>
          <w:b/>
          <w:color w:val="2E74B5" w:themeColor="accent1" w:themeShade="BF"/>
        </w:rPr>
      </w:pPr>
      <w:r w:rsidRPr="00A303E0">
        <w:rPr>
          <w:b/>
          <w:color w:val="2E74B5" w:themeColor="accent1" w:themeShade="BF"/>
        </w:rPr>
        <w:t>Consultation and issues for feedback</w:t>
      </w:r>
    </w:p>
    <w:p w14:paraId="190F262F" w14:textId="77777777" w:rsidR="00E01ABE" w:rsidRPr="00A303E0" w:rsidRDefault="00E01ABE" w:rsidP="00C57E5B">
      <w:r w:rsidRPr="00A303E0">
        <w:t xml:space="preserve">Feedback </w:t>
      </w:r>
      <w:proofErr w:type="gramStart"/>
      <w:r w:rsidRPr="00A303E0">
        <w:t>is sought</w:t>
      </w:r>
      <w:proofErr w:type="gramEnd"/>
      <w:r w:rsidRPr="00A303E0">
        <w:t xml:space="preserve"> on the following criteria for the reallocation of postgraduate places:</w:t>
      </w:r>
    </w:p>
    <w:p w14:paraId="75389FA7" w14:textId="77777777" w:rsidR="00E01ABE" w:rsidRPr="00A303E0" w:rsidRDefault="00E01ABE" w:rsidP="00C57E5B">
      <w:pPr>
        <w:pStyle w:val="ListParagraph"/>
        <w:numPr>
          <w:ilvl w:val="0"/>
          <w:numId w:val="20"/>
        </w:numPr>
        <w:spacing w:before="120" w:line="276" w:lineRule="auto"/>
        <w:rPr>
          <w:rFonts w:cstheme="minorHAnsi"/>
          <w:color w:val="000000"/>
        </w:rPr>
      </w:pPr>
      <w:r w:rsidRPr="00A303E0">
        <w:rPr>
          <w:i/>
        </w:rPr>
        <w:t>Which courses are subsidised:</w:t>
      </w:r>
      <w:r w:rsidRPr="00A303E0">
        <w:t xml:space="preserve"> </w:t>
      </w:r>
      <w:r w:rsidRPr="00A303E0">
        <w:rPr>
          <w:rFonts w:cstheme="minorHAnsi"/>
          <w:color w:val="000000"/>
        </w:rPr>
        <w:t xml:space="preserve">It is important that the Government </w:t>
      </w:r>
      <w:proofErr w:type="gramStart"/>
      <w:r w:rsidRPr="00A303E0">
        <w:rPr>
          <w:rFonts w:cstheme="minorHAnsi"/>
          <w:color w:val="000000"/>
        </w:rPr>
        <w:t>continues</w:t>
      </w:r>
      <w:proofErr w:type="gramEnd"/>
      <w:r w:rsidRPr="00A303E0">
        <w:rPr>
          <w:rFonts w:cstheme="minorHAnsi"/>
          <w:color w:val="000000"/>
        </w:rPr>
        <w:t xml:space="preserve"> to support the delivery of postgraduate qualifications where these are </w:t>
      </w:r>
      <w:r w:rsidRPr="00A303E0">
        <w:t>necessary</w:t>
      </w:r>
      <w:r w:rsidRPr="00A303E0">
        <w:rPr>
          <w:rFonts w:cstheme="minorHAnsi"/>
          <w:color w:val="000000"/>
        </w:rPr>
        <w:t xml:space="preserve"> for </w:t>
      </w:r>
      <w:r w:rsidRPr="00A303E0">
        <w:t>professional</w:t>
      </w:r>
      <w:r w:rsidRPr="00A303E0">
        <w:rPr>
          <w:rFonts w:cstheme="minorHAnsi"/>
          <w:color w:val="000000"/>
        </w:rPr>
        <w:t xml:space="preserve"> entry, to support rapid retraining in areas of workforce shortage or meet other national priorities. However, it is not in the interests of students or the public to see an unjustifiable increase in initial entry requirements, because it increases forgone income and requires taxpayers to fund longer periods of study. In that context, preference could be given to courses that address one or more of the following:</w:t>
      </w:r>
    </w:p>
    <w:p w14:paraId="1851CDEB" w14:textId="77777777" w:rsidR="00E01ABE" w:rsidRPr="00A303E0" w:rsidRDefault="00E01ABE" w:rsidP="00C57E5B">
      <w:pPr>
        <w:pStyle w:val="ListParagraph"/>
        <w:numPr>
          <w:ilvl w:val="1"/>
          <w:numId w:val="20"/>
        </w:numPr>
        <w:spacing w:before="120" w:line="276" w:lineRule="auto"/>
      </w:pPr>
      <w:r w:rsidRPr="00A303E0">
        <w:t>the course delivers significant community benefit where private benefits may be more limited and where graduate salaries may be comparatively lower while demand for skills is high (</w:t>
      </w:r>
      <w:r w:rsidRPr="00A303E0">
        <w:rPr>
          <w:shd w:val="clear" w:color="auto" w:fill="FFFFFF" w:themeFill="background1"/>
        </w:rPr>
        <w:t>for example in selected health professions</w:t>
      </w:r>
      <w:r w:rsidRPr="00A303E0">
        <w:t>); or</w:t>
      </w:r>
    </w:p>
    <w:p w14:paraId="15557AC7" w14:textId="77777777" w:rsidR="00E01ABE" w:rsidRPr="00A303E0" w:rsidRDefault="00E01ABE" w:rsidP="00C57E5B">
      <w:pPr>
        <w:pStyle w:val="ListParagraph"/>
        <w:numPr>
          <w:ilvl w:val="1"/>
          <w:numId w:val="20"/>
        </w:numPr>
        <w:spacing w:before="120" w:line="276" w:lineRule="auto"/>
      </w:pPr>
      <w:proofErr w:type="gramStart"/>
      <w:r w:rsidRPr="00A303E0">
        <w:t>the</w:t>
      </w:r>
      <w:proofErr w:type="gramEnd"/>
      <w:r w:rsidRPr="00A303E0">
        <w:t xml:space="preserve"> qualification is a </w:t>
      </w:r>
      <w:r w:rsidRPr="00A303E0">
        <w:rPr>
          <w:shd w:val="clear" w:color="auto" w:fill="FFFFFF" w:themeFill="background1"/>
        </w:rPr>
        <w:t>minimum requirement for professional registration/accreditation by a recognised professional body (</w:t>
      </w:r>
      <w:proofErr w:type="spellStart"/>
      <w:r w:rsidRPr="00A303E0">
        <w:rPr>
          <w:shd w:val="clear" w:color="auto" w:fill="FFFFFF" w:themeFill="background1"/>
        </w:rPr>
        <w:t>e.g</w:t>
      </w:r>
      <w:proofErr w:type="spellEnd"/>
      <w:r w:rsidRPr="00A303E0">
        <w:rPr>
          <w:shd w:val="clear" w:color="auto" w:fill="FFFFFF" w:themeFill="background1"/>
        </w:rPr>
        <w:t xml:space="preserve"> professional organisations covered by Universities Australia agreement on Principles for Professional Accreditation Australasian such as Australian Dental Association, Charted Accountants Australia New Zealand, CPA Australia</w:t>
      </w:r>
      <w:r w:rsidRPr="00A303E0">
        <w:t>) or the minimum qualification legally required for practice in a profession.</w:t>
      </w:r>
    </w:p>
    <w:p w14:paraId="0B53E5EF" w14:textId="77777777" w:rsidR="00E01ABE" w:rsidRPr="00A303E0" w:rsidRDefault="00E01ABE" w:rsidP="00C57E5B">
      <w:pPr>
        <w:pStyle w:val="ListParagraph"/>
        <w:numPr>
          <w:ilvl w:val="1"/>
          <w:numId w:val="20"/>
        </w:numPr>
        <w:spacing w:before="120" w:line="276" w:lineRule="auto"/>
      </w:pPr>
      <w:r w:rsidRPr="00A303E0">
        <w:t>the qualification is the shortest possible pathway to a professional qualification; or</w:t>
      </w:r>
    </w:p>
    <w:p w14:paraId="2CA8B9CC" w14:textId="77777777" w:rsidR="00E01ABE" w:rsidRPr="00A303E0" w:rsidRDefault="00E01ABE" w:rsidP="00C57E5B">
      <w:pPr>
        <w:pStyle w:val="ListParagraph"/>
        <w:numPr>
          <w:ilvl w:val="1"/>
          <w:numId w:val="20"/>
        </w:numPr>
        <w:spacing w:before="120" w:line="276" w:lineRule="auto"/>
      </w:pPr>
      <w:proofErr w:type="gramStart"/>
      <w:r w:rsidRPr="00A303E0">
        <w:t>the</w:t>
      </w:r>
      <w:proofErr w:type="gramEnd"/>
      <w:r w:rsidRPr="00A303E0">
        <w:t xml:space="preserve"> qualification meets an identified skills shortage. Issues to consider include how this </w:t>
      </w:r>
      <w:proofErr w:type="gramStart"/>
      <w:r w:rsidRPr="00A303E0">
        <w:t>should be defined</w:t>
      </w:r>
      <w:proofErr w:type="gramEnd"/>
      <w:r w:rsidRPr="00A303E0">
        <w:t xml:space="preserve"> and whether it provides for sufficient flexibility to respond to emerging skills needs. </w:t>
      </w:r>
      <w:r w:rsidRPr="00A303E0">
        <w:rPr>
          <w:shd w:val="clear" w:color="auto" w:fill="FFFFFF" w:themeFill="background1"/>
        </w:rPr>
        <w:t>One approach might be that the profession appears on the Department of Jobs and Small Business Skills Shortages List (</w:t>
      </w:r>
      <w:proofErr w:type="spellStart"/>
      <w:r w:rsidRPr="00A303E0">
        <w:rPr>
          <w:shd w:val="clear" w:color="auto" w:fill="FFFFFF" w:themeFill="background1"/>
        </w:rPr>
        <w:t>e.g</w:t>
      </w:r>
      <w:proofErr w:type="spellEnd"/>
      <w:r w:rsidRPr="00A303E0">
        <w:rPr>
          <w:shd w:val="clear" w:color="auto" w:fill="FFFFFF" w:themeFill="background1"/>
        </w:rPr>
        <w:t xml:space="preserve"> architect, veterinarian, radiographer, </w:t>
      </w:r>
      <w:proofErr w:type="gramStart"/>
      <w:r w:rsidRPr="00A303E0">
        <w:rPr>
          <w:shd w:val="clear" w:color="auto" w:fill="FFFFFF" w:themeFill="background1"/>
        </w:rPr>
        <w:t>optometrist</w:t>
      </w:r>
      <w:proofErr w:type="gramEnd"/>
      <w:r w:rsidRPr="00A303E0">
        <w:rPr>
          <w:shd w:val="clear" w:color="auto" w:fill="FFFFFF" w:themeFill="background1"/>
        </w:rPr>
        <w:t>).</w:t>
      </w:r>
    </w:p>
    <w:p w14:paraId="5FEC94E2" w14:textId="77777777" w:rsidR="00E01ABE" w:rsidRPr="00A303E0" w:rsidRDefault="00E01ABE" w:rsidP="00C57E5B">
      <w:pPr>
        <w:pStyle w:val="ListParagraph"/>
        <w:numPr>
          <w:ilvl w:val="0"/>
          <w:numId w:val="20"/>
        </w:numPr>
        <w:spacing w:before="120" w:line="276" w:lineRule="auto"/>
        <w:rPr>
          <w:rFonts w:cstheme="minorHAnsi"/>
          <w:color w:val="000000"/>
        </w:rPr>
      </w:pPr>
      <w:r w:rsidRPr="00A303E0">
        <w:rPr>
          <w:i/>
        </w:rPr>
        <w:t>Existing utilisation of places</w:t>
      </w:r>
      <w:r w:rsidRPr="00A303E0">
        <w:t xml:space="preserve">: this </w:t>
      </w:r>
      <w:proofErr w:type="gramStart"/>
      <w:r w:rsidRPr="00A303E0">
        <w:t>could be measured</w:t>
      </w:r>
      <w:proofErr w:type="gramEnd"/>
      <w:r w:rsidRPr="00A303E0">
        <w:t xml:space="preserve"> by historical over and under enrolment, comparing allocations with actual use. Significant over-enrolments at an institution may indicate that there is strong demand. Issues include how to avoid creating an incentive to fill places with uncommitted students in order to maintain an allocation of places. </w:t>
      </w:r>
    </w:p>
    <w:p w14:paraId="121890C6" w14:textId="77777777" w:rsidR="00E01ABE" w:rsidRPr="00A303E0" w:rsidRDefault="00E01ABE" w:rsidP="00C57E5B">
      <w:pPr>
        <w:pStyle w:val="ListParagraph"/>
        <w:numPr>
          <w:ilvl w:val="0"/>
          <w:numId w:val="20"/>
        </w:numPr>
        <w:spacing w:before="120" w:line="276" w:lineRule="auto"/>
      </w:pPr>
      <w:r w:rsidRPr="00A303E0">
        <w:rPr>
          <w:i/>
        </w:rPr>
        <w:lastRenderedPageBreak/>
        <w:t>Student satisfaction</w:t>
      </w:r>
      <w:r w:rsidRPr="00A303E0">
        <w:t xml:space="preserve">: as measured and reported through current processes, this would provide some weighting to the quality of teaching and learning in consideration of the allocation of places. </w:t>
      </w:r>
    </w:p>
    <w:p w14:paraId="5376BA45" w14:textId="76A9BA55" w:rsidR="00E01ABE" w:rsidRPr="00A303E0" w:rsidRDefault="00E01ABE" w:rsidP="00C57E5B">
      <w:pPr>
        <w:pStyle w:val="ListParagraph"/>
        <w:numPr>
          <w:ilvl w:val="0"/>
          <w:numId w:val="20"/>
        </w:numPr>
        <w:spacing w:before="120" w:line="276" w:lineRule="auto"/>
      </w:pPr>
      <w:r w:rsidRPr="00A303E0">
        <w:rPr>
          <w:i/>
        </w:rPr>
        <w:t>Graduate employment outcomes</w:t>
      </w:r>
      <w:r w:rsidRPr="00A303E0">
        <w:t xml:space="preserve">: as measured and reported through current processes. The department acknowledges that consideration will need to be given to the range of external </w:t>
      </w:r>
      <w:proofErr w:type="gramStart"/>
      <w:r w:rsidRPr="00A303E0">
        <w:t>factors which</w:t>
      </w:r>
      <w:proofErr w:type="gramEnd"/>
      <w:r w:rsidRPr="00A303E0">
        <w:t xml:space="preserve"> influence graduate employment. Nonetheless, as employment outcomes are a key underlying rationale for Government investment in postgraduate education, they should be a consideration in the allocation of places</w:t>
      </w:r>
      <w:r w:rsidR="008F0638" w:rsidRPr="00A303E0">
        <w:t xml:space="preserve"> and the likelihood that many postgraduate students are already employed, many in industries relevant to their qualification.</w:t>
      </w:r>
    </w:p>
    <w:p w14:paraId="0CD4C7B4" w14:textId="77777777" w:rsidR="00E01ABE" w:rsidRPr="00A303E0" w:rsidRDefault="00E01ABE" w:rsidP="00C57E5B">
      <w:pPr>
        <w:pStyle w:val="ListParagraph"/>
        <w:numPr>
          <w:ilvl w:val="0"/>
          <w:numId w:val="20"/>
        </w:numPr>
        <w:spacing w:before="120" w:line="276" w:lineRule="auto"/>
      </w:pPr>
      <w:r w:rsidRPr="00A303E0">
        <w:rPr>
          <w:i/>
        </w:rPr>
        <w:t>Representation of equity groups</w:t>
      </w:r>
      <w:r w:rsidRPr="00A303E0">
        <w:t>: as collected and measured through current processes, this would provide an indication of the proportion of postgraduate students at that institution that would benefit most from a subsidised place.</w:t>
      </w:r>
    </w:p>
    <w:p w14:paraId="01795609" w14:textId="77777777" w:rsidR="00E01ABE" w:rsidRPr="00A303E0" w:rsidRDefault="00E01ABE" w:rsidP="00C57E5B">
      <w:pPr>
        <w:spacing w:after="0"/>
        <w:rPr>
          <w:b/>
          <w:color w:val="2E74B5" w:themeColor="accent1" w:themeShade="BF"/>
        </w:rPr>
      </w:pPr>
      <w:r w:rsidRPr="00A303E0">
        <w:rPr>
          <w:b/>
          <w:color w:val="2E74B5" w:themeColor="accent1" w:themeShade="BF"/>
        </w:rPr>
        <w:t>Transitional arrangements</w:t>
      </w:r>
    </w:p>
    <w:p w14:paraId="26E6571C" w14:textId="6E07DB46" w:rsidR="00E01ABE" w:rsidRPr="00A303E0" w:rsidRDefault="00E01ABE" w:rsidP="00C57E5B">
      <w:r w:rsidRPr="00A303E0">
        <w:rPr>
          <w:rFonts w:cstheme="minorHAnsi"/>
          <w:color w:val="000000"/>
        </w:rPr>
        <w:t xml:space="preserve">It </w:t>
      </w:r>
      <w:proofErr w:type="gramStart"/>
      <w:r w:rsidRPr="00A303E0">
        <w:rPr>
          <w:rFonts w:cstheme="minorHAnsi"/>
          <w:color w:val="000000"/>
        </w:rPr>
        <w:t>is proposed</w:t>
      </w:r>
      <w:proofErr w:type="gramEnd"/>
      <w:r w:rsidRPr="00A303E0">
        <w:rPr>
          <w:rFonts w:cstheme="minorHAnsi"/>
          <w:color w:val="000000"/>
        </w:rPr>
        <w:t xml:space="preserve"> that any reallocation of places will be with respect to commencing places only. This will provide certainty for current students and ensure they </w:t>
      </w:r>
      <w:proofErr w:type="gramStart"/>
      <w:r w:rsidRPr="00A303E0">
        <w:rPr>
          <w:rFonts w:cstheme="minorHAnsi"/>
          <w:color w:val="000000"/>
        </w:rPr>
        <w:t>are not disadvantaged</w:t>
      </w:r>
      <w:proofErr w:type="gramEnd"/>
      <w:r w:rsidRPr="00A303E0">
        <w:rPr>
          <w:rFonts w:cstheme="minorHAnsi"/>
          <w:color w:val="000000"/>
        </w:rPr>
        <w:t xml:space="preserve"> by a change in policy arrangements. It will also allow universities scope to better manage any transition arrangements and help with forward planning.  </w:t>
      </w:r>
    </w:p>
    <w:p w14:paraId="6DA89DB8" w14:textId="77777777" w:rsidR="00E01ABE" w:rsidRPr="00A303E0" w:rsidRDefault="00E01ABE" w:rsidP="00C57E5B">
      <w:pPr>
        <w:pStyle w:val="Heading1"/>
        <w:numPr>
          <w:ilvl w:val="0"/>
          <w:numId w:val="23"/>
        </w:numPr>
        <w:spacing w:before="120" w:after="240"/>
        <w:contextualSpacing/>
      </w:pPr>
      <w:r w:rsidRPr="00A303E0">
        <w:t>Summary of issues/questions</w:t>
      </w:r>
    </w:p>
    <w:p w14:paraId="78B78B4C" w14:textId="77777777" w:rsidR="00E01ABE" w:rsidRPr="00A303E0" w:rsidRDefault="00E01ABE" w:rsidP="00C57E5B">
      <w:r w:rsidRPr="00A303E0">
        <w:t>Views are sought on the following issues and questions canvassed above</w:t>
      </w:r>
    </w:p>
    <w:p w14:paraId="3467D6F9" w14:textId="77777777" w:rsidR="00E01ABE" w:rsidRPr="00A303E0" w:rsidRDefault="00E01ABE" w:rsidP="00C57E5B">
      <w:pPr>
        <w:pStyle w:val="ListParagraph"/>
        <w:numPr>
          <w:ilvl w:val="0"/>
          <w:numId w:val="21"/>
        </w:numPr>
        <w:spacing w:before="120" w:line="276" w:lineRule="auto"/>
      </w:pPr>
      <w:r w:rsidRPr="00A303E0">
        <w:t>Should geographical representation be a consideration in distribution of places?</w:t>
      </w:r>
    </w:p>
    <w:p w14:paraId="0EAEEBBF" w14:textId="77777777" w:rsidR="00E01ABE" w:rsidRPr="00A303E0" w:rsidRDefault="00E01ABE" w:rsidP="00C57E5B">
      <w:pPr>
        <w:pStyle w:val="ListParagraph"/>
        <w:numPr>
          <w:ilvl w:val="0"/>
          <w:numId w:val="21"/>
        </w:numPr>
        <w:spacing w:before="120" w:line="276" w:lineRule="auto"/>
      </w:pPr>
      <w:r w:rsidRPr="00A303E0">
        <w:t>What is the minimum viable allocation for enabling, sub-bachelor and postgraduate places?</w:t>
      </w:r>
    </w:p>
    <w:p w14:paraId="6796B755" w14:textId="77777777" w:rsidR="00E01ABE" w:rsidRPr="00A303E0" w:rsidRDefault="00E01ABE" w:rsidP="00C57E5B">
      <w:pPr>
        <w:pStyle w:val="ListParagraph"/>
        <w:numPr>
          <w:ilvl w:val="0"/>
          <w:numId w:val="21"/>
        </w:numPr>
        <w:spacing w:before="120" w:line="276" w:lineRule="auto"/>
      </w:pPr>
      <w:r w:rsidRPr="00A303E0">
        <w:t>How often should places be re-distributed? Should this vary for enabling, sub-bachelor and postgraduate places?</w:t>
      </w:r>
    </w:p>
    <w:p w14:paraId="1C041385" w14:textId="77777777" w:rsidR="00E01ABE" w:rsidRPr="00A303E0" w:rsidRDefault="00E01ABE" w:rsidP="00C57E5B">
      <w:pPr>
        <w:pStyle w:val="ListParagraph"/>
        <w:numPr>
          <w:ilvl w:val="0"/>
          <w:numId w:val="21"/>
        </w:numPr>
        <w:spacing w:before="120" w:line="276" w:lineRule="auto"/>
      </w:pPr>
      <w:r w:rsidRPr="00A303E0">
        <w:t xml:space="preserve">What proportion of places </w:t>
      </w:r>
      <w:proofErr w:type="gramStart"/>
      <w:r w:rsidRPr="00A303E0">
        <w:t>should be reallocated</w:t>
      </w:r>
      <w:proofErr w:type="gramEnd"/>
      <w:r w:rsidRPr="00A303E0">
        <w:t>? Should this vary for enabling, sub-bachelor and postgraduate places?</w:t>
      </w:r>
    </w:p>
    <w:p w14:paraId="636D8E69" w14:textId="77777777" w:rsidR="00E01ABE" w:rsidRPr="00A303E0" w:rsidRDefault="00E01ABE" w:rsidP="00C57E5B">
      <w:pPr>
        <w:pStyle w:val="ListParagraph"/>
        <w:numPr>
          <w:ilvl w:val="0"/>
          <w:numId w:val="21"/>
        </w:numPr>
        <w:spacing w:before="120" w:line="276" w:lineRule="auto"/>
      </w:pPr>
      <w:r w:rsidRPr="00A303E0">
        <w:t xml:space="preserve">What are stakeholders’ views on the allocation criteria suggested above? Are there other </w:t>
      </w:r>
      <w:proofErr w:type="gramStart"/>
      <w:r w:rsidRPr="00A303E0">
        <w:t>criteria which</w:t>
      </w:r>
      <w:proofErr w:type="gramEnd"/>
      <w:r w:rsidRPr="00A303E0">
        <w:t xml:space="preserve"> should be considered?</w:t>
      </w:r>
    </w:p>
    <w:p w14:paraId="7CFD3BB7" w14:textId="77777777" w:rsidR="00E01ABE" w:rsidRPr="00A303E0" w:rsidRDefault="00E01ABE" w:rsidP="00C57E5B">
      <w:pPr>
        <w:pStyle w:val="ListParagraph"/>
        <w:numPr>
          <w:ilvl w:val="0"/>
          <w:numId w:val="21"/>
        </w:numPr>
        <w:spacing w:before="120" w:line="276" w:lineRule="auto"/>
      </w:pPr>
      <w:r w:rsidRPr="00A303E0">
        <w:t xml:space="preserve">How should criteria be configured to ensure that institutions’ do not become ‘locked out’ of future reallocations, especially where they have a limited </w:t>
      </w:r>
      <w:proofErr w:type="gramStart"/>
      <w:r w:rsidRPr="00A303E0">
        <w:t>track record</w:t>
      </w:r>
      <w:proofErr w:type="gramEnd"/>
      <w:r w:rsidRPr="00A303E0">
        <w:t xml:space="preserve"> in delivery?</w:t>
      </w:r>
    </w:p>
    <w:p w14:paraId="19E8D910" w14:textId="77777777" w:rsidR="00E01ABE" w:rsidRPr="00A303E0" w:rsidRDefault="00E01ABE" w:rsidP="00C57E5B">
      <w:pPr>
        <w:pStyle w:val="Heading1"/>
        <w:numPr>
          <w:ilvl w:val="0"/>
          <w:numId w:val="23"/>
        </w:numPr>
        <w:spacing w:before="120" w:after="240"/>
        <w:contextualSpacing/>
      </w:pPr>
      <w:r w:rsidRPr="00A303E0">
        <w:t>Next steps</w:t>
      </w:r>
    </w:p>
    <w:p w14:paraId="14DBFEC7" w14:textId="1F693EDE" w:rsidR="00E01ABE" w:rsidRPr="00A303E0" w:rsidRDefault="00E01ABE" w:rsidP="00C57E5B">
      <w:r w:rsidRPr="00A303E0">
        <w:t xml:space="preserve">The department seeks stakeholders’ written submissions </w:t>
      </w:r>
      <w:proofErr w:type="gramStart"/>
      <w:r w:rsidRPr="00A303E0">
        <w:t>and also</w:t>
      </w:r>
      <w:proofErr w:type="gramEnd"/>
      <w:r w:rsidRPr="00A303E0">
        <w:t xml:space="preserve"> welcomes input on issues or approaches not specifically canvassed here. Input will inform the criteria for allocation of enabling, sub-bachelor and postgraduate places from </w:t>
      </w:r>
      <w:proofErr w:type="gramStart"/>
      <w:r w:rsidR="0031101E" w:rsidRPr="00A303E0">
        <w:t>2020</w:t>
      </w:r>
      <w:r w:rsidRPr="00A303E0">
        <w:t xml:space="preserve"> which</w:t>
      </w:r>
      <w:proofErr w:type="gramEnd"/>
      <w:r w:rsidRPr="00A303E0">
        <w:t xml:space="preserve"> will be published </w:t>
      </w:r>
      <w:r w:rsidR="00E43751" w:rsidRPr="00A303E0">
        <w:t>in 2019, at the same time applications for the process open</w:t>
      </w:r>
      <w:r w:rsidRPr="00A303E0">
        <w:t>.</w:t>
      </w:r>
    </w:p>
    <w:p w14:paraId="56C9C21A" w14:textId="77777777" w:rsidR="00E01ABE" w:rsidRPr="00A303E0" w:rsidRDefault="00E01ABE" w:rsidP="00C57E5B">
      <w:pPr>
        <w:pStyle w:val="Heading1"/>
        <w:numPr>
          <w:ilvl w:val="0"/>
          <w:numId w:val="23"/>
        </w:numPr>
        <w:spacing w:before="120" w:after="240"/>
        <w:contextualSpacing/>
      </w:pPr>
      <w:r w:rsidRPr="00A303E0">
        <w:t>Submissions</w:t>
      </w:r>
    </w:p>
    <w:p w14:paraId="152846ED" w14:textId="69E0EF0B" w:rsidR="00E01ABE" w:rsidRPr="00AC5D71" w:rsidRDefault="00E01ABE" w:rsidP="00C57E5B">
      <w:r w:rsidRPr="00A303E0">
        <w:t xml:space="preserve">Please send submissions to the Department of Education and Training at </w:t>
      </w:r>
      <w:hyperlink r:id="rId23" w:history="1">
        <w:r w:rsidRPr="00A303E0">
          <w:rPr>
            <w:rStyle w:val="Hyperlink"/>
          </w:rPr>
          <w:t>CGS@education.gov.au</w:t>
        </w:r>
      </w:hyperlink>
      <w:r w:rsidRPr="00A303E0">
        <w:t xml:space="preserve">. The closing date for submissions is </w:t>
      </w:r>
      <w:r w:rsidR="00A705C1" w:rsidRPr="00A303E0">
        <w:rPr>
          <w:b/>
          <w:sz w:val="26"/>
          <w:szCs w:val="26"/>
        </w:rPr>
        <w:t xml:space="preserve">5pm on </w:t>
      </w:r>
      <w:r w:rsidR="00805EBB" w:rsidRPr="00A303E0">
        <w:rPr>
          <w:b/>
          <w:sz w:val="26"/>
          <w:szCs w:val="26"/>
        </w:rPr>
        <w:t>15 February 2019</w:t>
      </w:r>
      <w:r w:rsidR="00A705C1" w:rsidRPr="00A303E0">
        <w:t>.</w:t>
      </w:r>
    </w:p>
    <w:p w14:paraId="282366EE" w14:textId="77777777" w:rsidR="00E81106" w:rsidRPr="00AC5D71" w:rsidRDefault="00E81106" w:rsidP="00C57E5B">
      <w:pPr>
        <w:pStyle w:val="Heading2"/>
        <w:ind w:left="360"/>
      </w:pPr>
      <w:bookmarkStart w:id="2" w:name="_GoBack"/>
      <w:bookmarkEnd w:id="0"/>
      <w:bookmarkEnd w:id="2"/>
    </w:p>
    <w:sectPr w:rsidR="00E81106" w:rsidRPr="00AC5D71" w:rsidSect="00E01ABE">
      <w:type w:val="continuous"/>
      <w:pgSz w:w="11907" w:h="16839" w:code="9"/>
      <w:pgMar w:top="1440" w:right="964" w:bottom="1440" w:left="96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134E6" w14:textId="77777777" w:rsidR="00874075" w:rsidRDefault="00874075" w:rsidP="00A04F7E">
      <w:r>
        <w:separator/>
      </w:r>
    </w:p>
    <w:p w14:paraId="0D374069" w14:textId="77777777" w:rsidR="00874075" w:rsidRDefault="00874075"/>
  </w:endnote>
  <w:endnote w:type="continuationSeparator" w:id="0">
    <w:p w14:paraId="1A62D81B" w14:textId="77777777" w:rsidR="00874075" w:rsidRDefault="00874075" w:rsidP="00A04F7E">
      <w:r>
        <w:continuationSeparator/>
      </w:r>
    </w:p>
    <w:p w14:paraId="5D093C61" w14:textId="77777777" w:rsidR="00874075" w:rsidRDefault="008740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5853A" w14:textId="1C44DCCA" w:rsidR="00874075" w:rsidRPr="00681479" w:rsidRDefault="00874075" w:rsidP="00681479">
    <w:pPr>
      <w:pStyle w:val="Footer"/>
    </w:pPr>
    <w:r>
      <w:tab/>
    </w:r>
    <w:r w:rsidRPr="00ED2E3D">
      <w:rPr>
        <w:color w:val="auto"/>
      </w:rPr>
      <w:t xml:space="preserve">                   </w:t>
    </w:r>
    <w:r w:rsidRPr="00ED2E3D">
      <w:rPr>
        <w:color w:val="auto"/>
      </w:rPr>
      <w:fldChar w:fldCharType="begin"/>
    </w:r>
    <w:r w:rsidRPr="00ED2E3D">
      <w:rPr>
        <w:color w:val="auto"/>
      </w:rPr>
      <w:instrText xml:space="preserve"> PAGE   \* MERGEFORMAT </w:instrText>
    </w:r>
    <w:r w:rsidRPr="00ED2E3D">
      <w:rPr>
        <w:color w:val="auto"/>
      </w:rPr>
      <w:fldChar w:fldCharType="separate"/>
    </w:r>
    <w:r w:rsidR="00A303E0">
      <w:rPr>
        <w:noProof/>
        <w:color w:val="auto"/>
      </w:rPr>
      <w:t>15</w:t>
    </w:r>
    <w:r w:rsidRPr="00ED2E3D">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0EBE9" w14:textId="0E23B031" w:rsidR="00874075" w:rsidRDefault="00840B9F" w:rsidP="00681479">
    <w:pPr>
      <w:pStyle w:val="Footer"/>
      <w:ind w:left="964"/>
      <w:rPr>
        <w:color w:val="auto"/>
      </w:rPr>
    </w:pPr>
    <w:r w:rsidRPr="00951D73">
      <w:rPr>
        <w:color w:val="auto"/>
      </w:rPr>
      <w:t>ISBN</w:t>
    </w:r>
    <w:r w:rsidR="00874075" w:rsidRPr="00840B9F">
      <w:rPr>
        <w:color w:val="auto"/>
      </w:rPr>
      <w:t xml:space="preserve"> </w:t>
    </w:r>
    <w:r w:rsidRPr="00840B9F">
      <w:rPr>
        <w:color w:val="auto"/>
      </w:rPr>
      <w:t>978</w:t>
    </w:r>
    <w:r>
      <w:rPr>
        <w:color w:val="auto"/>
      </w:rPr>
      <w:t>-1-76051-597-3 [PDF]; 978-1-76051-598-0 [DOCX]</w:t>
    </w:r>
  </w:p>
  <w:p w14:paraId="0E82890A" w14:textId="2C17D21B" w:rsidR="00840B9F" w:rsidRPr="00840B9F" w:rsidRDefault="00840B9F" w:rsidP="00681479">
    <w:pPr>
      <w:pStyle w:val="Footer"/>
      <w:ind w:left="964"/>
      <w:rPr>
        <w:color w:val="auto"/>
      </w:rPr>
    </w:pPr>
    <w:r>
      <w:rPr>
        <w:color w:val="aut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0597D" w14:textId="77777777" w:rsidR="00874075" w:rsidRDefault="00874075" w:rsidP="00A04F7E">
      <w:r>
        <w:separator/>
      </w:r>
    </w:p>
    <w:p w14:paraId="0C55F471" w14:textId="77777777" w:rsidR="00874075" w:rsidRDefault="00874075"/>
  </w:footnote>
  <w:footnote w:type="continuationSeparator" w:id="0">
    <w:p w14:paraId="0E65DA21" w14:textId="77777777" w:rsidR="00874075" w:rsidRDefault="00874075" w:rsidP="00A04F7E">
      <w:r>
        <w:continuationSeparator/>
      </w:r>
    </w:p>
    <w:p w14:paraId="746DD450" w14:textId="77777777" w:rsidR="00874075" w:rsidRDefault="00874075"/>
  </w:footnote>
  <w:footnote w:id="1">
    <w:p w14:paraId="3E2295EF" w14:textId="77777777" w:rsidR="00874075" w:rsidRDefault="00874075" w:rsidP="00E01ABE">
      <w:pPr>
        <w:pStyle w:val="FootnoteText"/>
      </w:pPr>
      <w:r>
        <w:rPr>
          <w:rStyle w:val="FootnoteReference"/>
        </w:rPr>
        <w:footnoteRef/>
      </w:r>
      <w:r>
        <w:t xml:space="preserve"> Reflects the minimum number of VET enrolments in tertiary preparation courses. Courses that are non-accredited or provide broader pathways have not been included in this count.</w:t>
      </w:r>
    </w:p>
  </w:footnote>
  <w:footnote w:id="2">
    <w:p w14:paraId="4FDECB4A" w14:textId="77777777" w:rsidR="00874075" w:rsidRDefault="00874075" w:rsidP="00E01ABE">
      <w:pPr>
        <w:pStyle w:val="FootnoteText"/>
      </w:pPr>
      <w:r>
        <w:rPr>
          <w:rStyle w:val="FootnoteReference"/>
        </w:rPr>
        <w:footnoteRef/>
      </w:r>
      <w:r>
        <w:t xml:space="preserve"> These include 185 places that terminated at the end of 2017, returning the annual allocation to 9501 places from 2018. These places were part of a non-ongoing measure announced in the 2013–14 Budget.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CFAC2" w14:textId="77777777" w:rsidR="00874075" w:rsidRPr="00807A8E" w:rsidRDefault="00874075" w:rsidP="00621685">
    <w:pPr>
      <w:pStyle w:val="Header"/>
      <w:spacing w:after="480"/>
      <w:rPr>
        <w:i/>
        <w:sz w:val="20"/>
        <w:szCs w:val="20"/>
      </w:rPr>
    </w:pPr>
    <w:r w:rsidRPr="00807A8E">
      <w:rPr>
        <w:i/>
        <w:sz w:val="20"/>
        <w:szCs w:val="20"/>
      </w:rPr>
      <w:t>Reallocation of Commonwealth supported places for enabling, sub bachelor and postgraduate courses</w:t>
    </w:r>
  </w:p>
  <w:p w14:paraId="37FCA5D1" w14:textId="77777777" w:rsidR="00874075" w:rsidRDefault="008740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C32DA5"/>
    <w:multiLevelType w:val="hybridMultilevel"/>
    <w:tmpl w:val="A8961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2C770F"/>
    <w:multiLevelType w:val="hybridMultilevel"/>
    <w:tmpl w:val="FD3EC8E6"/>
    <w:lvl w:ilvl="0" w:tplc="82B03BE8">
      <w:start w:val="3"/>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562C23"/>
    <w:multiLevelType w:val="hybridMultilevel"/>
    <w:tmpl w:val="F9C22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C76EDC"/>
    <w:multiLevelType w:val="hybridMultilevel"/>
    <w:tmpl w:val="82C8BE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15:restartNumberingAfterBreak="0">
    <w:nsid w:val="190F0930"/>
    <w:multiLevelType w:val="hybridMultilevel"/>
    <w:tmpl w:val="547C7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BA5C77"/>
    <w:multiLevelType w:val="multilevel"/>
    <w:tmpl w:val="EA90483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20191AB6"/>
    <w:multiLevelType w:val="hybridMultilevel"/>
    <w:tmpl w:val="3C9EDBD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62B0227"/>
    <w:multiLevelType w:val="hybridMultilevel"/>
    <w:tmpl w:val="C9821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9860F0"/>
    <w:multiLevelType w:val="hybridMultilevel"/>
    <w:tmpl w:val="32A69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956D70"/>
    <w:multiLevelType w:val="hybridMultilevel"/>
    <w:tmpl w:val="1BCCD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B16DFE"/>
    <w:multiLevelType w:val="hybridMultilevel"/>
    <w:tmpl w:val="E5E29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775E68"/>
    <w:multiLevelType w:val="hybridMultilevel"/>
    <w:tmpl w:val="199A72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9324A0"/>
    <w:multiLevelType w:val="hybridMultilevel"/>
    <w:tmpl w:val="86285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BC78EA"/>
    <w:multiLevelType w:val="hybridMultilevel"/>
    <w:tmpl w:val="02F00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107936"/>
    <w:multiLevelType w:val="hybridMultilevel"/>
    <w:tmpl w:val="8BE6669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A8F06E2"/>
    <w:multiLevelType w:val="hybridMultilevel"/>
    <w:tmpl w:val="769EFE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226932"/>
    <w:multiLevelType w:val="hybridMultilevel"/>
    <w:tmpl w:val="CC7E8F24"/>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9" w15:restartNumberingAfterBreak="0">
    <w:nsid w:val="51B73210"/>
    <w:multiLevelType w:val="multilevel"/>
    <w:tmpl w:val="2C4CE3A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CE92C41"/>
    <w:multiLevelType w:val="hybridMultilevel"/>
    <w:tmpl w:val="DFE85E9E"/>
    <w:lvl w:ilvl="0" w:tplc="427CFC3E">
      <w:start w:val="1"/>
      <w:numFmt w:val="lowerRoman"/>
      <w:pStyle w:val="Style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9D84F0A"/>
    <w:multiLevelType w:val="hybridMultilevel"/>
    <w:tmpl w:val="CBA294B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ED17185"/>
    <w:multiLevelType w:val="hybridMultilevel"/>
    <w:tmpl w:val="B0AC4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F1060A3"/>
    <w:multiLevelType w:val="hybridMultilevel"/>
    <w:tmpl w:val="3028EB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9"/>
  </w:num>
  <w:num w:numId="6">
    <w:abstractNumId w:val="11"/>
  </w:num>
  <w:num w:numId="7">
    <w:abstractNumId w:val="10"/>
  </w:num>
  <w:num w:numId="8">
    <w:abstractNumId w:val="17"/>
  </w:num>
  <w:num w:numId="9">
    <w:abstractNumId w:val="3"/>
  </w:num>
  <w:num w:numId="10">
    <w:abstractNumId w:val="4"/>
  </w:num>
  <w:num w:numId="11">
    <w:abstractNumId w:val="14"/>
  </w:num>
  <w:num w:numId="12">
    <w:abstractNumId w:val="22"/>
  </w:num>
  <w:num w:numId="1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21"/>
  </w:num>
  <w:num w:numId="15">
    <w:abstractNumId w:val="8"/>
  </w:num>
  <w:num w:numId="16">
    <w:abstractNumId w:val="1"/>
  </w:num>
  <w:num w:numId="17">
    <w:abstractNumId w:val="12"/>
  </w:num>
  <w:num w:numId="18">
    <w:abstractNumId w:val="23"/>
  </w:num>
  <w:num w:numId="19">
    <w:abstractNumId w:val="15"/>
  </w:num>
  <w:num w:numId="20">
    <w:abstractNumId w:val="13"/>
  </w:num>
  <w:num w:numId="21">
    <w:abstractNumId w:val="6"/>
  </w:num>
  <w:num w:numId="22">
    <w:abstractNumId w:val="16"/>
  </w:num>
  <w:num w:numId="23">
    <w:abstractNumId w:val="2"/>
  </w:num>
  <w:num w:numId="24">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hideSpellingErrors/>
  <w:hideGrammaticalErrors/>
  <w:proofState w:spelling="clean" w:grammar="clean"/>
  <w:stylePaneSortMethod w:val="0000"/>
  <w:defaultTabStop w:val="720"/>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C10C19"/>
    <w:rsid w:val="000000B9"/>
    <w:rsid w:val="0000270F"/>
    <w:rsid w:val="00002721"/>
    <w:rsid w:val="000036D9"/>
    <w:rsid w:val="00003FCE"/>
    <w:rsid w:val="00004636"/>
    <w:rsid w:val="00004C86"/>
    <w:rsid w:val="0001068C"/>
    <w:rsid w:val="00010E44"/>
    <w:rsid w:val="00012A5A"/>
    <w:rsid w:val="000133DB"/>
    <w:rsid w:val="00017571"/>
    <w:rsid w:val="00024E24"/>
    <w:rsid w:val="0002670E"/>
    <w:rsid w:val="000303B3"/>
    <w:rsid w:val="00032EC3"/>
    <w:rsid w:val="00034CEC"/>
    <w:rsid w:val="00034EAA"/>
    <w:rsid w:val="00035BA4"/>
    <w:rsid w:val="0004098D"/>
    <w:rsid w:val="00040DF5"/>
    <w:rsid w:val="000429E4"/>
    <w:rsid w:val="00052617"/>
    <w:rsid w:val="00052739"/>
    <w:rsid w:val="00053DCC"/>
    <w:rsid w:val="00055101"/>
    <w:rsid w:val="000551EE"/>
    <w:rsid w:val="0005592B"/>
    <w:rsid w:val="00056327"/>
    <w:rsid w:val="00062F97"/>
    <w:rsid w:val="0006500D"/>
    <w:rsid w:val="000730DF"/>
    <w:rsid w:val="000731E2"/>
    <w:rsid w:val="00074BE3"/>
    <w:rsid w:val="000754F1"/>
    <w:rsid w:val="00076323"/>
    <w:rsid w:val="000769B1"/>
    <w:rsid w:val="00077C4E"/>
    <w:rsid w:val="0008191F"/>
    <w:rsid w:val="00083634"/>
    <w:rsid w:val="00083AE4"/>
    <w:rsid w:val="000861A6"/>
    <w:rsid w:val="0009046E"/>
    <w:rsid w:val="000905A4"/>
    <w:rsid w:val="0009346F"/>
    <w:rsid w:val="00095D52"/>
    <w:rsid w:val="000A1403"/>
    <w:rsid w:val="000A3363"/>
    <w:rsid w:val="000B0419"/>
    <w:rsid w:val="000B1CE5"/>
    <w:rsid w:val="000B3A7F"/>
    <w:rsid w:val="000B4C6A"/>
    <w:rsid w:val="000B6A92"/>
    <w:rsid w:val="000C013F"/>
    <w:rsid w:val="000C13AD"/>
    <w:rsid w:val="000D016D"/>
    <w:rsid w:val="000D59A0"/>
    <w:rsid w:val="000D7610"/>
    <w:rsid w:val="000E167C"/>
    <w:rsid w:val="000E3F24"/>
    <w:rsid w:val="000E50D0"/>
    <w:rsid w:val="000E7315"/>
    <w:rsid w:val="000E7E7B"/>
    <w:rsid w:val="000F0DED"/>
    <w:rsid w:val="000F3BA2"/>
    <w:rsid w:val="000F48BF"/>
    <w:rsid w:val="000F4DC6"/>
    <w:rsid w:val="000F5B69"/>
    <w:rsid w:val="000F5FBE"/>
    <w:rsid w:val="000F6AD5"/>
    <w:rsid w:val="00101920"/>
    <w:rsid w:val="00101D6A"/>
    <w:rsid w:val="00103076"/>
    <w:rsid w:val="0010328F"/>
    <w:rsid w:val="0010617E"/>
    <w:rsid w:val="00113DB9"/>
    <w:rsid w:val="00115635"/>
    <w:rsid w:val="001175BF"/>
    <w:rsid w:val="001257A8"/>
    <w:rsid w:val="00125E78"/>
    <w:rsid w:val="00130923"/>
    <w:rsid w:val="00130EFB"/>
    <w:rsid w:val="0013188B"/>
    <w:rsid w:val="00131AB3"/>
    <w:rsid w:val="001322E8"/>
    <w:rsid w:val="001408E1"/>
    <w:rsid w:val="001414F3"/>
    <w:rsid w:val="001431BD"/>
    <w:rsid w:val="00143FCD"/>
    <w:rsid w:val="001467F5"/>
    <w:rsid w:val="001478A1"/>
    <w:rsid w:val="00151E3D"/>
    <w:rsid w:val="00152CC8"/>
    <w:rsid w:val="001553AB"/>
    <w:rsid w:val="00155EC2"/>
    <w:rsid w:val="001634C0"/>
    <w:rsid w:val="00166A0A"/>
    <w:rsid w:val="001728F7"/>
    <w:rsid w:val="00174125"/>
    <w:rsid w:val="00176B62"/>
    <w:rsid w:val="00183EAE"/>
    <w:rsid w:val="00185C2D"/>
    <w:rsid w:val="0019508E"/>
    <w:rsid w:val="001A1CC1"/>
    <w:rsid w:val="001A3DAF"/>
    <w:rsid w:val="001B6467"/>
    <w:rsid w:val="001C01D4"/>
    <w:rsid w:val="001C3109"/>
    <w:rsid w:val="001C3AB2"/>
    <w:rsid w:val="001C45C0"/>
    <w:rsid w:val="001D1CE1"/>
    <w:rsid w:val="001D1F16"/>
    <w:rsid w:val="001D36E6"/>
    <w:rsid w:val="001D3ADE"/>
    <w:rsid w:val="001D5FD1"/>
    <w:rsid w:val="001D7CFD"/>
    <w:rsid w:val="001E327E"/>
    <w:rsid w:val="001F44D0"/>
    <w:rsid w:val="001F6324"/>
    <w:rsid w:val="00202BC5"/>
    <w:rsid w:val="00210C84"/>
    <w:rsid w:val="002145EB"/>
    <w:rsid w:val="00217A60"/>
    <w:rsid w:val="00223237"/>
    <w:rsid w:val="00223CFF"/>
    <w:rsid w:val="00223EB1"/>
    <w:rsid w:val="00230B48"/>
    <w:rsid w:val="00233015"/>
    <w:rsid w:val="00234AE6"/>
    <w:rsid w:val="0023554A"/>
    <w:rsid w:val="00236917"/>
    <w:rsid w:val="00237D12"/>
    <w:rsid w:val="00243D6B"/>
    <w:rsid w:val="00245FA4"/>
    <w:rsid w:val="00254238"/>
    <w:rsid w:val="00261597"/>
    <w:rsid w:val="0026280C"/>
    <w:rsid w:val="00262C9F"/>
    <w:rsid w:val="00266BD8"/>
    <w:rsid w:val="00267735"/>
    <w:rsid w:val="002709F0"/>
    <w:rsid w:val="00271105"/>
    <w:rsid w:val="00274DAE"/>
    <w:rsid w:val="002804AE"/>
    <w:rsid w:val="00281C1C"/>
    <w:rsid w:val="00283CC4"/>
    <w:rsid w:val="002853F3"/>
    <w:rsid w:val="00287978"/>
    <w:rsid w:val="002977AC"/>
    <w:rsid w:val="00297D18"/>
    <w:rsid w:val="002A25E6"/>
    <w:rsid w:val="002A27A4"/>
    <w:rsid w:val="002A2D29"/>
    <w:rsid w:val="002A2EB5"/>
    <w:rsid w:val="002A3B7A"/>
    <w:rsid w:val="002A4711"/>
    <w:rsid w:val="002A75AF"/>
    <w:rsid w:val="002B02B5"/>
    <w:rsid w:val="002B06E6"/>
    <w:rsid w:val="002B6B98"/>
    <w:rsid w:val="002C7114"/>
    <w:rsid w:val="002D1767"/>
    <w:rsid w:val="002D271F"/>
    <w:rsid w:val="002D2CB9"/>
    <w:rsid w:val="002D2EBE"/>
    <w:rsid w:val="002D5523"/>
    <w:rsid w:val="002D5698"/>
    <w:rsid w:val="002D6386"/>
    <w:rsid w:val="002E0B06"/>
    <w:rsid w:val="002F142F"/>
    <w:rsid w:val="002F24B3"/>
    <w:rsid w:val="002F2A7B"/>
    <w:rsid w:val="002F3FAD"/>
    <w:rsid w:val="003004F9"/>
    <w:rsid w:val="00303CFA"/>
    <w:rsid w:val="00305B35"/>
    <w:rsid w:val="00306AE1"/>
    <w:rsid w:val="00310D03"/>
    <w:rsid w:val="0031101E"/>
    <w:rsid w:val="00314029"/>
    <w:rsid w:val="003166C5"/>
    <w:rsid w:val="003167D3"/>
    <w:rsid w:val="00317029"/>
    <w:rsid w:val="003208C3"/>
    <w:rsid w:val="003242B9"/>
    <w:rsid w:val="00324D28"/>
    <w:rsid w:val="003307EF"/>
    <w:rsid w:val="0033099B"/>
    <w:rsid w:val="00335B40"/>
    <w:rsid w:val="003362A4"/>
    <w:rsid w:val="003406C9"/>
    <w:rsid w:val="00342C7C"/>
    <w:rsid w:val="00344696"/>
    <w:rsid w:val="00345441"/>
    <w:rsid w:val="003457E1"/>
    <w:rsid w:val="003477FB"/>
    <w:rsid w:val="003479FC"/>
    <w:rsid w:val="003479FD"/>
    <w:rsid w:val="0035159E"/>
    <w:rsid w:val="00351BDF"/>
    <w:rsid w:val="00351E86"/>
    <w:rsid w:val="0035260F"/>
    <w:rsid w:val="003542A7"/>
    <w:rsid w:val="00356608"/>
    <w:rsid w:val="00357E96"/>
    <w:rsid w:val="00361842"/>
    <w:rsid w:val="0036482A"/>
    <w:rsid w:val="0036787F"/>
    <w:rsid w:val="00370FDF"/>
    <w:rsid w:val="003710F8"/>
    <w:rsid w:val="003711F8"/>
    <w:rsid w:val="003767E2"/>
    <w:rsid w:val="003805D4"/>
    <w:rsid w:val="00383A5B"/>
    <w:rsid w:val="0038433F"/>
    <w:rsid w:val="0039152F"/>
    <w:rsid w:val="0039375B"/>
    <w:rsid w:val="003941D4"/>
    <w:rsid w:val="00394EDF"/>
    <w:rsid w:val="00397EDA"/>
    <w:rsid w:val="003A2DB7"/>
    <w:rsid w:val="003A35B6"/>
    <w:rsid w:val="003A40CA"/>
    <w:rsid w:val="003A43F0"/>
    <w:rsid w:val="003B1A48"/>
    <w:rsid w:val="003B30C9"/>
    <w:rsid w:val="003B4E34"/>
    <w:rsid w:val="003B791A"/>
    <w:rsid w:val="003C0C6F"/>
    <w:rsid w:val="003C21AD"/>
    <w:rsid w:val="003C4BD0"/>
    <w:rsid w:val="003C5B0E"/>
    <w:rsid w:val="003C5FEF"/>
    <w:rsid w:val="003C6FE2"/>
    <w:rsid w:val="003D35AC"/>
    <w:rsid w:val="003D67FC"/>
    <w:rsid w:val="003E0E45"/>
    <w:rsid w:val="003E1A4C"/>
    <w:rsid w:val="003E3988"/>
    <w:rsid w:val="003E4C98"/>
    <w:rsid w:val="003E6B04"/>
    <w:rsid w:val="003E7FF9"/>
    <w:rsid w:val="003F3A9B"/>
    <w:rsid w:val="0040386B"/>
    <w:rsid w:val="00403F54"/>
    <w:rsid w:val="00404108"/>
    <w:rsid w:val="00404B01"/>
    <w:rsid w:val="00406894"/>
    <w:rsid w:val="00406E5A"/>
    <w:rsid w:val="00414928"/>
    <w:rsid w:val="00416805"/>
    <w:rsid w:val="00425065"/>
    <w:rsid w:val="0043159B"/>
    <w:rsid w:val="00436125"/>
    <w:rsid w:val="0044120A"/>
    <w:rsid w:val="004412D9"/>
    <w:rsid w:val="004412E8"/>
    <w:rsid w:val="00442488"/>
    <w:rsid w:val="004459F7"/>
    <w:rsid w:val="00445BE8"/>
    <w:rsid w:val="00447B0D"/>
    <w:rsid w:val="00447DC5"/>
    <w:rsid w:val="00451D55"/>
    <w:rsid w:val="00453FA2"/>
    <w:rsid w:val="0045406B"/>
    <w:rsid w:val="004540B5"/>
    <w:rsid w:val="00454576"/>
    <w:rsid w:val="00455B34"/>
    <w:rsid w:val="00456535"/>
    <w:rsid w:val="0045690B"/>
    <w:rsid w:val="00462B2A"/>
    <w:rsid w:val="00465873"/>
    <w:rsid w:val="00466B53"/>
    <w:rsid w:val="00467A9C"/>
    <w:rsid w:val="00471E56"/>
    <w:rsid w:val="00471EBF"/>
    <w:rsid w:val="00472ECB"/>
    <w:rsid w:val="00472F88"/>
    <w:rsid w:val="0047599A"/>
    <w:rsid w:val="00475A95"/>
    <w:rsid w:val="00480DE2"/>
    <w:rsid w:val="0048762C"/>
    <w:rsid w:val="0049020F"/>
    <w:rsid w:val="00490500"/>
    <w:rsid w:val="00490F19"/>
    <w:rsid w:val="004964BF"/>
    <w:rsid w:val="004A28C5"/>
    <w:rsid w:val="004A3C82"/>
    <w:rsid w:val="004A45F8"/>
    <w:rsid w:val="004B16F3"/>
    <w:rsid w:val="004B2253"/>
    <w:rsid w:val="004B256F"/>
    <w:rsid w:val="004B3313"/>
    <w:rsid w:val="004C2B41"/>
    <w:rsid w:val="004C79AF"/>
    <w:rsid w:val="004C7A31"/>
    <w:rsid w:val="004D004D"/>
    <w:rsid w:val="004D1939"/>
    <w:rsid w:val="004E1989"/>
    <w:rsid w:val="004E4F2D"/>
    <w:rsid w:val="004E7A41"/>
    <w:rsid w:val="004E7BAF"/>
    <w:rsid w:val="00501DB7"/>
    <w:rsid w:val="0050512A"/>
    <w:rsid w:val="00505809"/>
    <w:rsid w:val="00506453"/>
    <w:rsid w:val="005113B6"/>
    <w:rsid w:val="00515897"/>
    <w:rsid w:val="00520E21"/>
    <w:rsid w:val="0052206E"/>
    <w:rsid w:val="0052439C"/>
    <w:rsid w:val="00524C02"/>
    <w:rsid w:val="0052661F"/>
    <w:rsid w:val="00527469"/>
    <w:rsid w:val="00530A88"/>
    <w:rsid w:val="00531817"/>
    <w:rsid w:val="005359A3"/>
    <w:rsid w:val="00541D8C"/>
    <w:rsid w:val="00544109"/>
    <w:rsid w:val="00544868"/>
    <w:rsid w:val="00545592"/>
    <w:rsid w:val="00546FCA"/>
    <w:rsid w:val="0054799A"/>
    <w:rsid w:val="00547EEC"/>
    <w:rsid w:val="00550011"/>
    <w:rsid w:val="00560CA0"/>
    <w:rsid w:val="005624F3"/>
    <w:rsid w:val="00571E86"/>
    <w:rsid w:val="00575A6C"/>
    <w:rsid w:val="0057710A"/>
    <w:rsid w:val="005811EF"/>
    <w:rsid w:val="005818AE"/>
    <w:rsid w:val="00582167"/>
    <w:rsid w:val="005864B1"/>
    <w:rsid w:val="00594237"/>
    <w:rsid w:val="00594FD2"/>
    <w:rsid w:val="005A2205"/>
    <w:rsid w:val="005A589F"/>
    <w:rsid w:val="005A71E2"/>
    <w:rsid w:val="005B0878"/>
    <w:rsid w:val="005B362A"/>
    <w:rsid w:val="005B5EF3"/>
    <w:rsid w:val="005B62F0"/>
    <w:rsid w:val="005B7E36"/>
    <w:rsid w:val="005C15C0"/>
    <w:rsid w:val="005C215E"/>
    <w:rsid w:val="005C35CC"/>
    <w:rsid w:val="005C402E"/>
    <w:rsid w:val="005D3410"/>
    <w:rsid w:val="005D41B8"/>
    <w:rsid w:val="005D787D"/>
    <w:rsid w:val="005E19CA"/>
    <w:rsid w:val="005E68BF"/>
    <w:rsid w:val="005F5864"/>
    <w:rsid w:val="005F6214"/>
    <w:rsid w:val="00606506"/>
    <w:rsid w:val="006105EC"/>
    <w:rsid w:val="00610654"/>
    <w:rsid w:val="006107FE"/>
    <w:rsid w:val="00611A99"/>
    <w:rsid w:val="006157C6"/>
    <w:rsid w:val="006166C9"/>
    <w:rsid w:val="00621685"/>
    <w:rsid w:val="00622D74"/>
    <w:rsid w:val="00624060"/>
    <w:rsid w:val="00625CD1"/>
    <w:rsid w:val="00626774"/>
    <w:rsid w:val="006318B9"/>
    <w:rsid w:val="006329D2"/>
    <w:rsid w:val="00633A4C"/>
    <w:rsid w:val="00635700"/>
    <w:rsid w:val="0063729C"/>
    <w:rsid w:val="0064236C"/>
    <w:rsid w:val="00643FF4"/>
    <w:rsid w:val="0064775B"/>
    <w:rsid w:val="00650D98"/>
    <w:rsid w:val="00651717"/>
    <w:rsid w:val="00652865"/>
    <w:rsid w:val="006528CF"/>
    <w:rsid w:val="0065377D"/>
    <w:rsid w:val="00654953"/>
    <w:rsid w:val="0066347C"/>
    <w:rsid w:val="006645C6"/>
    <w:rsid w:val="00664716"/>
    <w:rsid w:val="0067026C"/>
    <w:rsid w:val="00673CAD"/>
    <w:rsid w:val="0068013E"/>
    <w:rsid w:val="00681479"/>
    <w:rsid w:val="006842B7"/>
    <w:rsid w:val="00691CD1"/>
    <w:rsid w:val="0069590F"/>
    <w:rsid w:val="006974B5"/>
    <w:rsid w:val="00697CB8"/>
    <w:rsid w:val="006A33AA"/>
    <w:rsid w:val="006A612B"/>
    <w:rsid w:val="006A7527"/>
    <w:rsid w:val="006B421D"/>
    <w:rsid w:val="006C6B78"/>
    <w:rsid w:val="006D0160"/>
    <w:rsid w:val="006D290D"/>
    <w:rsid w:val="006D3733"/>
    <w:rsid w:val="006E0BC4"/>
    <w:rsid w:val="006E10EC"/>
    <w:rsid w:val="006E16E0"/>
    <w:rsid w:val="006E2D49"/>
    <w:rsid w:val="006E2EB4"/>
    <w:rsid w:val="006E3A56"/>
    <w:rsid w:val="006E68AF"/>
    <w:rsid w:val="006E7550"/>
    <w:rsid w:val="006F684F"/>
    <w:rsid w:val="006F7418"/>
    <w:rsid w:val="006F7675"/>
    <w:rsid w:val="0070010B"/>
    <w:rsid w:val="00700553"/>
    <w:rsid w:val="007052A7"/>
    <w:rsid w:val="00705F06"/>
    <w:rsid w:val="00711B18"/>
    <w:rsid w:val="00714733"/>
    <w:rsid w:val="0072071D"/>
    <w:rsid w:val="0072124E"/>
    <w:rsid w:val="007219CF"/>
    <w:rsid w:val="007249F2"/>
    <w:rsid w:val="007335FB"/>
    <w:rsid w:val="00736665"/>
    <w:rsid w:val="00737DB9"/>
    <w:rsid w:val="00742C54"/>
    <w:rsid w:val="00745EE3"/>
    <w:rsid w:val="00746247"/>
    <w:rsid w:val="007468FC"/>
    <w:rsid w:val="0075264D"/>
    <w:rsid w:val="007545BA"/>
    <w:rsid w:val="007548D1"/>
    <w:rsid w:val="0076037B"/>
    <w:rsid w:val="007618C1"/>
    <w:rsid w:val="00762D18"/>
    <w:rsid w:val="007658A7"/>
    <w:rsid w:val="00765D10"/>
    <w:rsid w:val="00766CF0"/>
    <w:rsid w:val="00773B4F"/>
    <w:rsid w:val="00781B88"/>
    <w:rsid w:val="007873EF"/>
    <w:rsid w:val="00792CA3"/>
    <w:rsid w:val="007A1569"/>
    <w:rsid w:val="007B2733"/>
    <w:rsid w:val="007B2FDD"/>
    <w:rsid w:val="007B6512"/>
    <w:rsid w:val="007B6902"/>
    <w:rsid w:val="007C57B8"/>
    <w:rsid w:val="007D01DD"/>
    <w:rsid w:val="007D42D1"/>
    <w:rsid w:val="007D55F8"/>
    <w:rsid w:val="007D58FB"/>
    <w:rsid w:val="007E446C"/>
    <w:rsid w:val="007F18DA"/>
    <w:rsid w:val="007F20DD"/>
    <w:rsid w:val="007F3C35"/>
    <w:rsid w:val="007F4638"/>
    <w:rsid w:val="007F6F7C"/>
    <w:rsid w:val="00802BC6"/>
    <w:rsid w:val="00803D50"/>
    <w:rsid w:val="00805EBB"/>
    <w:rsid w:val="00805F37"/>
    <w:rsid w:val="0080696C"/>
    <w:rsid w:val="00806D54"/>
    <w:rsid w:val="008145BD"/>
    <w:rsid w:val="00820DDA"/>
    <w:rsid w:val="00820EC0"/>
    <w:rsid w:val="008234C5"/>
    <w:rsid w:val="008252CE"/>
    <w:rsid w:val="00825F7D"/>
    <w:rsid w:val="00831050"/>
    <w:rsid w:val="00831423"/>
    <w:rsid w:val="008330AD"/>
    <w:rsid w:val="00833D4C"/>
    <w:rsid w:val="0083413B"/>
    <w:rsid w:val="0083468A"/>
    <w:rsid w:val="00836CAB"/>
    <w:rsid w:val="00840638"/>
    <w:rsid w:val="00840B9F"/>
    <w:rsid w:val="00842D43"/>
    <w:rsid w:val="008461F7"/>
    <w:rsid w:val="008469C4"/>
    <w:rsid w:val="008563D9"/>
    <w:rsid w:val="00856D1C"/>
    <w:rsid w:val="008647BF"/>
    <w:rsid w:val="00865601"/>
    <w:rsid w:val="00867C39"/>
    <w:rsid w:val="00872980"/>
    <w:rsid w:val="00874075"/>
    <w:rsid w:val="008751B2"/>
    <w:rsid w:val="008756C3"/>
    <w:rsid w:val="00876AC0"/>
    <w:rsid w:val="00876EA3"/>
    <w:rsid w:val="00876FFD"/>
    <w:rsid w:val="00880170"/>
    <w:rsid w:val="00882C4B"/>
    <w:rsid w:val="008848E5"/>
    <w:rsid w:val="00891740"/>
    <w:rsid w:val="00894410"/>
    <w:rsid w:val="0089469C"/>
    <w:rsid w:val="008A5421"/>
    <w:rsid w:val="008B1094"/>
    <w:rsid w:val="008B319F"/>
    <w:rsid w:val="008B3BBB"/>
    <w:rsid w:val="008B4CEF"/>
    <w:rsid w:val="008B536C"/>
    <w:rsid w:val="008C0E65"/>
    <w:rsid w:val="008C1641"/>
    <w:rsid w:val="008C2E61"/>
    <w:rsid w:val="008C4DC6"/>
    <w:rsid w:val="008C775F"/>
    <w:rsid w:val="008D113A"/>
    <w:rsid w:val="008D187E"/>
    <w:rsid w:val="008D39DD"/>
    <w:rsid w:val="008D3F06"/>
    <w:rsid w:val="008E1771"/>
    <w:rsid w:val="008F0638"/>
    <w:rsid w:val="008F4E3C"/>
    <w:rsid w:val="008F575D"/>
    <w:rsid w:val="008F612A"/>
    <w:rsid w:val="009002CE"/>
    <w:rsid w:val="009014D4"/>
    <w:rsid w:val="00901694"/>
    <w:rsid w:val="00903408"/>
    <w:rsid w:val="0090629A"/>
    <w:rsid w:val="009116EA"/>
    <w:rsid w:val="009146EC"/>
    <w:rsid w:val="00916D01"/>
    <w:rsid w:val="00920CB0"/>
    <w:rsid w:val="009267AF"/>
    <w:rsid w:val="00927152"/>
    <w:rsid w:val="009301CA"/>
    <w:rsid w:val="00932CD7"/>
    <w:rsid w:val="00933671"/>
    <w:rsid w:val="009342C9"/>
    <w:rsid w:val="009425EE"/>
    <w:rsid w:val="009468D4"/>
    <w:rsid w:val="009470F1"/>
    <w:rsid w:val="009472A2"/>
    <w:rsid w:val="00951D73"/>
    <w:rsid w:val="00953F6E"/>
    <w:rsid w:val="009550AA"/>
    <w:rsid w:val="0095644C"/>
    <w:rsid w:val="009610AB"/>
    <w:rsid w:val="00961B62"/>
    <w:rsid w:val="00962E4E"/>
    <w:rsid w:val="00972BF7"/>
    <w:rsid w:val="00972DD5"/>
    <w:rsid w:val="0097308E"/>
    <w:rsid w:val="00974AF7"/>
    <w:rsid w:val="00984879"/>
    <w:rsid w:val="00985632"/>
    <w:rsid w:val="009858BD"/>
    <w:rsid w:val="0098735F"/>
    <w:rsid w:val="00991B63"/>
    <w:rsid w:val="009938D0"/>
    <w:rsid w:val="00993E0A"/>
    <w:rsid w:val="00994B14"/>
    <w:rsid w:val="009A3CD8"/>
    <w:rsid w:val="009B0729"/>
    <w:rsid w:val="009B07E2"/>
    <w:rsid w:val="009B17F6"/>
    <w:rsid w:val="009B2428"/>
    <w:rsid w:val="009B244B"/>
    <w:rsid w:val="009B2B1C"/>
    <w:rsid w:val="009B48B5"/>
    <w:rsid w:val="009B5CB7"/>
    <w:rsid w:val="009C262D"/>
    <w:rsid w:val="009C591B"/>
    <w:rsid w:val="009D46D2"/>
    <w:rsid w:val="009D5149"/>
    <w:rsid w:val="009D69F1"/>
    <w:rsid w:val="009E08B9"/>
    <w:rsid w:val="009E2346"/>
    <w:rsid w:val="009E34C8"/>
    <w:rsid w:val="009F4CEE"/>
    <w:rsid w:val="009F510A"/>
    <w:rsid w:val="009F541F"/>
    <w:rsid w:val="009F6991"/>
    <w:rsid w:val="00A04F7E"/>
    <w:rsid w:val="00A076BA"/>
    <w:rsid w:val="00A12A12"/>
    <w:rsid w:val="00A13E5D"/>
    <w:rsid w:val="00A1665B"/>
    <w:rsid w:val="00A17C09"/>
    <w:rsid w:val="00A217F1"/>
    <w:rsid w:val="00A22367"/>
    <w:rsid w:val="00A303E0"/>
    <w:rsid w:val="00A31242"/>
    <w:rsid w:val="00A367B2"/>
    <w:rsid w:val="00A40221"/>
    <w:rsid w:val="00A434A9"/>
    <w:rsid w:val="00A43BA6"/>
    <w:rsid w:val="00A444D5"/>
    <w:rsid w:val="00A46663"/>
    <w:rsid w:val="00A52530"/>
    <w:rsid w:val="00A551BF"/>
    <w:rsid w:val="00A64639"/>
    <w:rsid w:val="00A70524"/>
    <w:rsid w:val="00A705C1"/>
    <w:rsid w:val="00A73406"/>
    <w:rsid w:val="00A73EA8"/>
    <w:rsid w:val="00A76B4E"/>
    <w:rsid w:val="00A77E68"/>
    <w:rsid w:val="00A82156"/>
    <w:rsid w:val="00A82856"/>
    <w:rsid w:val="00A84A5D"/>
    <w:rsid w:val="00A93522"/>
    <w:rsid w:val="00AA14B0"/>
    <w:rsid w:val="00AA1847"/>
    <w:rsid w:val="00AA1B6B"/>
    <w:rsid w:val="00AA48A9"/>
    <w:rsid w:val="00AA60E4"/>
    <w:rsid w:val="00AA615C"/>
    <w:rsid w:val="00AB11F6"/>
    <w:rsid w:val="00AB20B4"/>
    <w:rsid w:val="00AB5606"/>
    <w:rsid w:val="00AB6ED4"/>
    <w:rsid w:val="00AC5D71"/>
    <w:rsid w:val="00AC65DA"/>
    <w:rsid w:val="00AC6EB9"/>
    <w:rsid w:val="00AD1EFC"/>
    <w:rsid w:val="00AD239C"/>
    <w:rsid w:val="00AD2819"/>
    <w:rsid w:val="00AD396F"/>
    <w:rsid w:val="00AD6157"/>
    <w:rsid w:val="00AD61C0"/>
    <w:rsid w:val="00AD635F"/>
    <w:rsid w:val="00AD6A7A"/>
    <w:rsid w:val="00AD70CF"/>
    <w:rsid w:val="00AE010C"/>
    <w:rsid w:val="00AE16C5"/>
    <w:rsid w:val="00AE2123"/>
    <w:rsid w:val="00AE3725"/>
    <w:rsid w:val="00AE3D51"/>
    <w:rsid w:val="00AE7064"/>
    <w:rsid w:val="00AE70B6"/>
    <w:rsid w:val="00AF22A8"/>
    <w:rsid w:val="00AF3D0E"/>
    <w:rsid w:val="00B04F6C"/>
    <w:rsid w:val="00B05F99"/>
    <w:rsid w:val="00B076A6"/>
    <w:rsid w:val="00B13B46"/>
    <w:rsid w:val="00B16579"/>
    <w:rsid w:val="00B20BFE"/>
    <w:rsid w:val="00B24672"/>
    <w:rsid w:val="00B2722A"/>
    <w:rsid w:val="00B307F6"/>
    <w:rsid w:val="00B41745"/>
    <w:rsid w:val="00B41B28"/>
    <w:rsid w:val="00B501DF"/>
    <w:rsid w:val="00B51104"/>
    <w:rsid w:val="00B542B2"/>
    <w:rsid w:val="00B57D88"/>
    <w:rsid w:val="00B618BA"/>
    <w:rsid w:val="00B61963"/>
    <w:rsid w:val="00B63145"/>
    <w:rsid w:val="00B635E1"/>
    <w:rsid w:val="00B6396A"/>
    <w:rsid w:val="00B6431A"/>
    <w:rsid w:val="00B65AB1"/>
    <w:rsid w:val="00B6733A"/>
    <w:rsid w:val="00B72000"/>
    <w:rsid w:val="00B85ADF"/>
    <w:rsid w:val="00B87BD4"/>
    <w:rsid w:val="00B904AC"/>
    <w:rsid w:val="00B90820"/>
    <w:rsid w:val="00B92843"/>
    <w:rsid w:val="00B95215"/>
    <w:rsid w:val="00BA08D5"/>
    <w:rsid w:val="00BA1BF6"/>
    <w:rsid w:val="00BA282D"/>
    <w:rsid w:val="00BA627E"/>
    <w:rsid w:val="00BB6260"/>
    <w:rsid w:val="00BB68B0"/>
    <w:rsid w:val="00BC3DC6"/>
    <w:rsid w:val="00BC3FF0"/>
    <w:rsid w:val="00BC4DAE"/>
    <w:rsid w:val="00BD0C89"/>
    <w:rsid w:val="00BD0E42"/>
    <w:rsid w:val="00BD7E83"/>
    <w:rsid w:val="00BE1A8D"/>
    <w:rsid w:val="00BE21BF"/>
    <w:rsid w:val="00BE3380"/>
    <w:rsid w:val="00BE63C6"/>
    <w:rsid w:val="00BE6AAF"/>
    <w:rsid w:val="00BF5643"/>
    <w:rsid w:val="00BF638F"/>
    <w:rsid w:val="00BF65DD"/>
    <w:rsid w:val="00BF6E2C"/>
    <w:rsid w:val="00BF7124"/>
    <w:rsid w:val="00BF78C7"/>
    <w:rsid w:val="00C00191"/>
    <w:rsid w:val="00C0218F"/>
    <w:rsid w:val="00C05E74"/>
    <w:rsid w:val="00C10C19"/>
    <w:rsid w:val="00C120B6"/>
    <w:rsid w:val="00C12352"/>
    <w:rsid w:val="00C140F5"/>
    <w:rsid w:val="00C143B8"/>
    <w:rsid w:val="00C16D6E"/>
    <w:rsid w:val="00C17D02"/>
    <w:rsid w:val="00C246E2"/>
    <w:rsid w:val="00C27DD4"/>
    <w:rsid w:val="00C30281"/>
    <w:rsid w:val="00C30726"/>
    <w:rsid w:val="00C31C16"/>
    <w:rsid w:val="00C33145"/>
    <w:rsid w:val="00C41D89"/>
    <w:rsid w:val="00C526F4"/>
    <w:rsid w:val="00C55DF8"/>
    <w:rsid w:val="00C5649C"/>
    <w:rsid w:val="00C56F37"/>
    <w:rsid w:val="00C574B9"/>
    <w:rsid w:val="00C57E5B"/>
    <w:rsid w:val="00C61B25"/>
    <w:rsid w:val="00C64071"/>
    <w:rsid w:val="00C642E6"/>
    <w:rsid w:val="00C67FC9"/>
    <w:rsid w:val="00C737AD"/>
    <w:rsid w:val="00C75486"/>
    <w:rsid w:val="00C7770A"/>
    <w:rsid w:val="00C8202C"/>
    <w:rsid w:val="00C90303"/>
    <w:rsid w:val="00C91BCD"/>
    <w:rsid w:val="00C92A5B"/>
    <w:rsid w:val="00C95B49"/>
    <w:rsid w:val="00CA0452"/>
    <w:rsid w:val="00CA29FB"/>
    <w:rsid w:val="00CA4213"/>
    <w:rsid w:val="00CA46EC"/>
    <w:rsid w:val="00CA520D"/>
    <w:rsid w:val="00CB092A"/>
    <w:rsid w:val="00CB09EC"/>
    <w:rsid w:val="00CB15AF"/>
    <w:rsid w:val="00CB32EE"/>
    <w:rsid w:val="00CB7F76"/>
    <w:rsid w:val="00CC10D5"/>
    <w:rsid w:val="00CC280B"/>
    <w:rsid w:val="00CC4402"/>
    <w:rsid w:val="00CC558C"/>
    <w:rsid w:val="00CC6F03"/>
    <w:rsid w:val="00CD17BF"/>
    <w:rsid w:val="00CD7F8F"/>
    <w:rsid w:val="00CE5156"/>
    <w:rsid w:val="00CF0DE0"/>
    <w:rsid w:val="00CF32FE"/>
    <w:rsid w:val="00CF38A1"/>
    <w:rsid w:val="00D01C60"/>
    <w:rsid w:val="00D05349"/>
    <w:rsid w:val="00D05B29"/>
    <w:rsid w:val="00D06404"/>
    <w:rsid w:val="00D0654A"/>
    <w:rsid w:val="00D10DF4"/>
    <w:rsid w:val="00D1394D"/>
    <w:rsid w:val="00D15917"/>
    <w:rsid w:val="00D163E5"/>
    <w:rsid w:val="00D202AA"/>
    <w:rsid w:val="00D26E18"/>
    <w:rsid w:val="00D27305"/>
    <w:rsid w:val="00D300A3"/>
    <w:rsid w:val="00D3074A"/>
    <w:rsid w:val="00D35075"/>
    <w:rsid w:val="00D36B05"/>
    <w:rsid w:val="00D455EC"/>
    <w:rsid w:val="00D471A9"/>
    <w:rsid w:val="00D47740"/>
    <w:rsid w:val="00D526FC"/>
    <w:rsid w:val="00D56C92"/>
    <w:rsid w:val="00D60066"/>
    <w:rsid w:val="00D61713"/>
    <w:rsid w:val="00D65524"/>
    <w:rsid w:val="00D704ED"/>
    <w:rsid w:val="00D742DE"/>
    <w:rsid w:val="00D76D9D"/>
    <w:rsid w:val="00D77EC2"/>
    <w:rsid w:val="00D80DE2"/>
    <w:rsid w:val="00D812B9"/>
    <w:rsid w:val="00D81308"/>
    <w:rsid w:val="00D903FD"/>
    <w:rsid w:val="00D904AC"/>
    <w:rsid w:val="00D91D0F"/>
    <w:rsid w:val="00D91D25"/>
    <w:rsid w:val="00D92153"/>
    <w:rsid w:val="00D925E7"/>
    <w:rsid w:val="00D92B0B"/>
    <w:rsid w:val="00D93856"/>
    <w:rsid w:val="00D946C9"/>
    <w:rsid w:val="00D94BC5"/>
    <w:rsid w:val="00D95297"/>
    <w:rsid w:val="00D95C44"/>
    <w:rsid w:val="00D96C08"/>
    <w:rsid w:val="00DA096B"/>
    <w:rsid w:val="00DA1750"/>
    <w:rsid w:val="00DA4BC2"/>
    <w:rsid w:val="00DA4E3F"/>
    <w:rsid w:val="00DA6E41"/>
    <w:rsid w:val="00DB04CC"/>
    <w:rsid w:val="00DB6CC6"/>
    <w:rsid w:val="00DC3052"/>
    <w:rsid w:val="00DC4333"/>
    <w:rsid w:val="00DC47CD"/>
    <w:rsid w:val="00DC4963"/>
    <w:rsid w:val="00DC68C5"/>
    <w:rsid w:val="00DC788B"/>
    <w:rsid w:val="00DD1552"/>
    <w:rsid w:val="00DD4044"/>
    <w:rsid w:val="00DE01B9"/>
    <w:rsid w:val="00DE4E34"/>
    <w:rsid w:val="00DE61E5"/>
    <w:rsid w:val="00DE74BF"/>
    <w:rsid w:val="00DF05FD"/>
    <w:rsid w:val="00DF46C4"/>
    <w:rsid w:val="00DF5739"/>
    <w:rsid w:val="00DF6F4E"/>
    <w:rsid w:val="00E00F65"/>
    <w:rsid w:val="00E01ABE"/>
    <w:rsid w:val="00E046BB"/>
    <w:rsid w:val="00E06B4E"/>
    <w:rsid w:val="00E13E47"/>
    <w:rsid w:val="00E14A4B"/>
    <w:rsid w:val="00E15249"/>
    <w:rsid w:val="00E24154"/>
    <w:rsid w:val="00E26D32"/>
    <w:rsid w:val="00E36A6E"/>
    <w:rsid w:val="00E40EF7"/>
    <w:rsid w:val="00E41483"/>
    <w:rsid w:val="00E42F8F"/>
    <w:rsid w:val="00E43751"/>
    <w:rsid w:val="00E5345C"/>
    <w:rsid w:val="00E5378B"/>
    <w:rsid w:val="00E5504A"/>
    <w:rsid w:val="00E619B1"/>
    <w:rsid w:val="00E632BE"/>
    <w:rsid w:val="00E65927"/>
    <w:rsid w:val="00E660EC"/>
    <w:rsid w:val="00E74EF9"/>
    <w:rsid w:val="00E81106"/>
    <w:rsid w:val="00E84B90"/>
    <w:rsid w:val="00E90CA1"/>
    <w:rsid w:val="00E970BB"/>
    <w:rsid w:val="00E975B9"/>
    <w:rsid w:val="00EA20A1"/>
    <w:rsid w:val="00EA340B"/>
    <w:rsid w:val="00EA43AD"/>
    <w:rsid w:val="00EA4AB7"/>
    <w:rsid w:val="00EA5303"/>
    <w:rsid w:val="00EA6133"/>
    <w:rsid w:val="00EB0956"/>
    <w:rsid w:val="00EB30BB"/>
    <w:rsid w:val="00EB64B9"/>
    <w:rsid w:val="00EB7338"/>
    <w:rsid w:val="00EC1BB7"/>
    <w:rsid w:val="00EC2BBE"/>
    <w:rsid w:val="00EC48D9"/>
    <w:rsid w:val="00EC78E7"/>
    <w:rsid w:val="00EC7D61"/>
    <w:rsid w:val="00EC7E87"/>
    <w:rsid w:val="00ED2C73"/>
    <w:rsid w:val="00ED2E3D"/>
    <w:rsid w:val="00ED42B4"/>
    <w:rsid w:val="00ED43D2"/>
    <w:rsid w:val="00ED443B"/>
    <w:rsid w:val="00ED7E57"/>
    <w:rsid w:val="00EE2BAF"/>
    <w:rsid w:val="00EE3B8C"/>
    <w:rsid w:val="00EE3D2F"/>
    <w:rsid w:val="00EE4BE7"/>
    <w:rsid w:val="00EE633B"/>
    <w:rsid w:val="00EE7321"/>
    <w:rsid w:val="00EE73EF"/>
    <w:rsid w:val="00EE7F1D"/>
    <w:rsid w:val="00EF2DC0"/>
    <w:rsid w:val="00EF4A38"/>
    <w:rsid w:val="00F020BD"/>
    <w:rsid w:val="00F0429A"/>
    <w:rsid w:val="00F04A97"/>
    <w:rsid w:val="00F064E4"/>
    <w:rsid w:val="00F077BE"/>
    <w:rsid w:val="00F11B8F"/>
    <w:rsid w:val="00F12FCB"/>
    <w:rsid w:val="00F14C19"/>
    <w:rsid w:val="00F1540B"/>
    <w:rsid w:val="00F155A1"/>
    <w:rsid w:val="00F170E0"/>
    <w:rsid w:val="00F21A54"/>
    <w:rsid w:val="00F21B4E"/>
    <w:rsid w:val="00F2423A"/>
    <w:rsid w:val="00F31372"/>
    <w:rsid w:val="00F33FB8"/>
    <w:rsid w:val="00F34AEB"/>
    <w:rsid w:val="00F34DFB"/>
    <w:rsid w:val="00F37E0B"/>
    <w:rsid w:val="00F404C3"/>
    <w:rsid w:val="00F40F27"/>
    <w:rsid w:val="00F4110B"/>
    <w:rsid w:val="00F41738"/>
    <w:rsid w:val="00F41A5C"/>
    <w:rsid w:val="00F42AC8"/>
    <w:rsid w:val="00F42D3B"/>
    <w:rsid w:val="00F42D95"/>
    <w:rsid w:val="00F5145D"/>
    <w:rsid w:val="00F523AC"/>
    <w:rsid w:val="00F56AC7"/>
    <w:rsid w:val="00F602B9"/>
    <w:rsid w:val="00F62899"/>
    <w:rsid w:val="00F66898"/>
    <w:rsid w:val="00F71C09"/>
    <w:rsid w:val="00F72968"/>
    <w:rsid w:val="00F73024"/>
    <w:rsid w:val="00F74011"/>
    <w:rsid w:val="00F819DD"/>
    <w:rsid w:val="00F82C35"/>
    <w:rsid w:val="00F90202"/>
    <w:rsid w:val="00F9150A"/>
    <w:rsid w:val="00F91E82"/>
    <w:rsid w:val="00F92479"/>
    <w:rsid w:val="00F952B1"/>
    <w:rsid w:val="00FA4204"/>
    <w:rsid w:val="00FB0C0B"/>
    <w:rsid w:val="00FB10CB"/>
    <w:rsid w:val="00FB468A"/>
    <w:rsid w:val="00FB5A76"/>
    <w:rsid w:val="00FB5F30"/>
    <w:rsid w:val="00FB6123"/>
    <w:rsid w:val="00FB628A"/>
    <w:rsid w:val="00FC1610"/>
    <w:rsid w:val="00FC6555"/>
    <w:rsid w:val="00FC6593"/>
    <w:rsid w:val="00FC6AB3"/>
    <w:rsid w:val="00FD47D9"/>
    <w:rsid w:val="00FD5644"/>
    <w:rsid w:val="00FF00D1"/>
    <w:rsid w:val="00FF226B"/>
    <w:rsid w:val="00FF61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6B88E83"/>
  <w15:docId w15:val="{25EB6C2A-19E4-49EC-A62D-B70AB372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77D"/>
    <w:pPr>
      <w:spacing w:after="120" w:line="240" w:lineRule="auto"/>
    </w:pPr>
    <w:rPr>
      <w:rFonts w:ascii="Calibri" w:hAnsi="Calibri"/>
    </w:rPr>
  </w:style>
  <w:style w:type="paragraph" w:styleId="Heading1">
    <w:name w:val="heading 1"/>
    <w:basedOn w:val="Normal"/>
    <w:next w:val="Normal"/>
    <w:link w:val="Heading1Char"/>
    <w:uiPriority w:val="9"/>
    <w:rsid w:val="0076037B"/>
    <w:pPr>
      <w:spacing w:before="180"/>
      <w:outlineLvl w:val="0"/>
    </w:pPr>
    <w:rPr>
      <w:rFonts w:eastAsiaTheme="majorEastAsia" w:cstheme="majorBidi"/>
      <w:b/>
      <w:bCs/>
      <w:color w:val="32375D"/>
      <w:sz w:val="36"/>
      <w:szCs w:val="28"/>
    </w:rPr>
  </w:style>
  <w:style w:type="paragraph" w:styleId="Heading2">
    <w:name w:val="heading 2"/>
    <w:basedOn w:val="Normal"/>
    <w:next w:val="Normal"/>
    <w:link w:val="Heading2Char"/>
    <w:uiPriority w:val="9"/>
    <w:qFormat/>
    <w:rsid w:val="0076037B"/>
    <w:pPr>
      <w:outlineLvl w:val="1"/>
    </w:pPr>
    <w:rPr>
      <w:rFonts w:eastAsiaTheme="majorEastAsia" w:cstheme="majorBidi"/>
      <w:b/>
      <w:bCs/>
      <w:color w:val="32375D"/>
      <w:sz w:val="28"/>
      <w:szCs w:val="26"/>
    </w:rPr>
  </w:style>
  <w:style w:type="paragraph" w:styleId="Heading3">
    <w:name w:val="heading 3"/>
    <w:basedOn w:val="Normal"/>
    <w:next w:val="Normal"/>
    <w:link w:val="Heading3Char"/>
    <w:uiPriority w:val="9"/>
    <w:qFormat/>
    <w:rsid w:val="004540B5"/>
    <w:pPr>
      <w:spacing w:before="200" w:after="60"/>
      <w:outlineLvl w:val="2"/>
    </w:pPr>
    <w:rPr>
      <w:rFonts w:eastAsiaTheme="majorEastAsia" w:cstheme="majorBidi"/>
      <w:b/>
      <w:bCs/>
      <w:sz w:val="28"/>
    </w:rPr>
  </w:style>
  <w:style w:type="paragraph" w:styleId="Heading4">
    <w:name w:val="heading 4"/>
    <w:basedOn w:val="Normal"/>
    <w:next w:val="Normal"/>
    <w:link w:val="Heading4Char"/>
    <w:uiPriority w:val="9"/>
    <w:qFormat/>
    <w:rsid w:val="004540B5"/>
    <w:pPr>
      <w:spacing w:before="200" w:after="60"/>
      <w:outlineLvl w:val="3"/>
    </w:pPr>
    <w:rPr>
      <w:rFonts w:eastAsiaTheme="majorEastAsia" w:cstheme="majorBidi"/>
      <w:b/>
      <w:bCs/>
      <w:i/>
      <w:iCs/>
      <w:sz w:val="26"/>
    </w:rPr>
  </w:style>
  <w:style w:type="paragraph" w:styleId="Heading5">
    <w:name w:val="heading 5"/>
    <w:basedOn w:val="Normal"/>
    <w:next w:val="Normal"/>
    <w:link w:val="Heading5Char"/>
    <w:uiPriority w:val="9"/>
    <w:semiHidden/>
    <w:qFormat/>
    <w:rsid w:val="001B6467"/>
    <w:pPr>
      <w:spacing w:before="200" w:after="0"/>
      <w:outlineLvl w:val="4"/>
    </w:pPr>
    <w:rPr>
      <w:rFonts w:eastAsiaTheme="majorEastAsia" w:cstheme="majorBidi"/>
      <w:b/>
      <w:bCs/>
      <w:color w:val="757575"/>
    </w:rPr>
  </w:style>
  <w:style w:type="paragraph" w:styleId="Heading6">
    <w:name w:val="heading 6"/>
    <w:basedOn w:val="Normal"/>
    <w:next w:val="Normal"/>
    <w:link w:val="Heading6Char"/>
    <w:uiPriority w:val="9"/>
    <w:semiHidden/>
    <w:qFormat/>
    <w:rsid w:val="00933671"/>
    <w:pPr>
      <w:spacing w:before="200" w:after="0"/>
      <w:outlineLvl w:val="5"/>
    </w:pPr>
    <w:rPr>
      <w:rFonts w:eastAsiaTheme="majorEastAsia"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DC4963"/>
    <w:rPr>
      <w:b w:val="0"/>
      <w:bCs/>
      <w:i/>
      <w:iCs/>
      <w:spacing w:val="0"/>
      <w:bdr w:val="none" w:sz="0" w:space="0" w:color="auto"/>
      <w:shd w:val="clear" w:color="auto" w:fill="auto"/>
    </w:rPr>
  </w:style>
  <w:style w:type="paragraph" w:styleId="Quote">
    <w:name w:val="Quote"/>
    <w:basedOn w:val="Normal"/>
    <w:next w:val="Normal"/>
    <w:link w:val="QuoteChar"/>
    <w:uiPriority w:val="29"/>
    <w:semiHidden/>
    <w:qFormat/>
    <w:rsid w:val="00C05E74"/>
    <w:pPr>
      <w:ind w:left="369" w:right="369"/>
    </w:pPr>
    <w:rPr>
      <w:i/>
      <w:iCs/>
    </w:rPr>
  </w:style>
  <w:style w:type="character" w:customStyle="1" w:styleId="QuoteChar">
    <w:name w:val="Quote Char"/>
    <w:basedOn w:val="DefaultParagraphFont"/>
    <w:link w:val="Quote"/>
    <w:uiPriority w:val="29"/>
    <w:semiHidden/>
    <w:rsid w:val="00EE3D2F"/>
    <w:rPr>
      <w:i/>
      <w:iCs/>
    </w:rPr>
  </w:style>
  <w:style w:type="character" w:customStyle="1" w:styleId="Heading1Char">
    <w:name w:val="Heading 1 Char"/>
    <w:basedOn w:val="DefaultParagraphFont"/>
    <w:link w:val="Heading1"/>
    <w:uiPriority w:val="9"/>
    <w:rsid w:val="0076037B"/>
    <w:rPr>
      <w:rFonts w:ascii="Calibri" w:eastAsiaTheme="majorEastAsia" w:hAnsi="Calibri" w:cstheme="majorBidi"/>
      <w:b/>
      <w:bCs/>
      <w:noProof/>
      <w:color w:val="32375D"/>
      <w:sz w:val="36"/>
      <w:szCs w:val="28"/>
    </w:rPr>
  </w:style>
  <w:style w:type="character" w:customStyle="1" w:styleId="Heading2Char">
    <w:name w:val="Heading 2 Char"/>
    <w:basedOn w:val="DefaultParagraphFont"/>
    <w:link w:val="Heading2"/>
    <w:uiPriority w:val="9"/>
    <w:rsid w:val="0076037B"/>
    <w:rPr>
      <w:rFonts w:ascii="Calibri" w:eastAsiaTheme="majorEastAsia" w:hAnsi="Calibri" w:cstheme="majorBidi"/>
      <w:b/>
      <w:bCs/>
      <w:noProof/>
      <w:color w:val="32375D"/>
      <w:sz w:val="28"/>
      <w:szCs w:val="26"/>
    </w:rPr>
  </w:style>
  <w:style w:type="character" w:customStyle="1" w:styleId="Heading3Char">
    <w:name w:val="Heading 3 Char"/>
    <w:basedOn w:val="DefaultParagraphFont"/>
    <w:link w:val="Heading3"/>
    <w:uiPriority w:val="9"/>
    <w:rsid w:val="004540B5"/>
    <w:rPr>
      <w:rFonts w:ascii="Calibri" w:eastAsiaTheme="majorEastAsia" w:hAnsi="Calibri" w:cstheme="majorBidi"/>
      <w:b/>
      <w:bCs/>
      <w:noProof/>
      <w:sz w:val="28"/>
    </w:rPr>
  </w:style>
  <w:style w:type="character" w:customStyle="1" w:styleId="Heading4Char">
    <w:name w:val="Heading 4 Char"/>
    <w:basedOn w:val="DefaultParagraphFont"/>
    <w:link w:val="Heading4"/>
    <w:uiPriority w:val="9"/>
    <w:rsid w:val="004540B5"/>
    <w:rPr>
      <w:rFonts w:ascii="Calibri" w:eastAsiaTheme="majorEastAsia" w:hAnsi="Calibri" w:cstheme="majorBidi"/>
      <w:b/>
      <w:bCs/>
      <w:i/>
      <w:iCs/>
      <w:noProof/>
      <w:sz w:val="26"/>
    </w:rPr>
  </w:style>
  <w:style w:type="character" w:customStyle="1" w:styleId="Heading5Char">
    <w:name w:val="Heading 5 Char"/>
    <w:basedOn w:val="DefaultParagraphFont"/>
    <w:link w:val="Heading5"/>
    <w:uiPriority w:val="9"/>
    <w:semiHidden/>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DeleteText">
    <w:name w:val="Delete Text"/>
    <w:basedOn w:val="Normal"/>
    <w:qFormat/>
    <w:rsid w:val="008C1641"/>
    <w:pPr>
      <w:spacing w:after="200" w:line="276" w:lineRule="auto"/>
    </w:pPr>
    <w:rPr>
      <w:rFonts w:asciiTheme="minorHAnsi" w:hAnsiTheme="minorHAnsi"/>
      <w:color w:val="7030A0"/>
    </w:rPr>
  </w:style>
  <w:style w:type="paragraph" w:customStyle="1" w:styleId="NormalafterTable">
    <w:name w:val="Normal after Table"/>
    <w:basedOn w:val="Normal"/>
    <w:next w:val="Normal"/>
    <w:qFormat/>
    <w:rsid w:val="00F4110B"/>
    <w:pPr>
      <w:spacing w:before="240" w:line="276" w:lineRule="auto"/>
    </w:pPr>
  </w:style>
  <w:style w:type="paragraph" w:styleId="Footer">
    <w:name w:val="footer"/>
    <w:basedOn w:val="Normal"/>
    <w:link w:val="FooterChar"/>
    <w:uiPriority w:val="99"/>
    <w:rsid w:val="0008191F"/>
    <w:pPr>
      <w:tabs>
        <w:tab w:val="center" w:pos="4513"/>
        <w:tab w:val="right" w:pos="9026"/>
      </w:tabs>
      <w:spacing w:after="0"/>
    </w:pPr>
    <w:rPr>
      <w:rFonts w:asciiTheme="minorHAnsi" w:hAnsiTheme="minorHAnsi"/>
      <w:color w:val="E7E6E6" w:themeColor="background2"/>
      <w:sz w:val="19"/>
    </w:rPr>
  </w:style>
  <w:style w:type="character" w:customStyle="1" w:styleId="FooterChar">
    <w:name w:val="Footer Char"/>
    <w:basedOn w:val="DefaultParagraphFont"/>
    <w:link w:val="Footer"/>
    <w:uiPriority w:val="99"/>
    <w:rsid w:val="0008191F"/>
    <w:rPr>
      <w:noProof/>
      <w:color w:val="E7E6E6" w:themeColor="background2"/>
      <w:sz w:val="19"/>
    </w:rPr>
  </w:style>
  <w:style w:type="paragraph" w:styleId="NoSpacing">
    <w:name w:val="No Spacing"/>
    <w:basedOn w:val="Normal"/>
    <w:link w:val="NoSpacingChar"/>
    <w:uiPriority w:val="1"/>
    <w:semiHidden/>
    <w:qFormat/>
    <w:rsid w:val="00AC65DA"/>
    <w:pPr>
      <w:spacing w:after="0"/>
    </w:pPr>
  </w:style>
  <w:style w:type="paragraph" w:styleId="ListParagraph">
    <w:name w:val="List Paragraph"/>
    <w:aliases w:val="L,List Paragraph1,List Paragraph11,Recommendation,bullet point list,Bullet point,List Paragraph Number,Bullet Point,List Bullet 1,Body Bullets 1,Bulleted Para,NFP GP Bulleted List,Bullet points,Content descriptions,List Paragraph2,0Bullet"/>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rsid w:val="005C402E"/>
    <w:pPr>
      <w:numPr>
        <w:numId w:val="1"/>
      </w:numPr>
      <w:ind w:left="369" w:hanging="369"/>
      <w:contextualSpacing/>
    </w:pPr>
  </w:style>
  <w:style w:type="paragraph" w:styleId="ListNumber2">
    <w:name w:val="List Number 2"/>
    <w:basedOn w:val="Normal"/>
    <w:uiPriority w:val="99"/>
    <w:rsid w:val="005C402E"/>
    <w:pPr>
      <w:numPr>
        <w:ilvl w:val="1"/>
        <w:numId w:val="1"/>
      </w:numPr>
      <w:tabs>
        <w:tab w:val="left" w:pos="1134"/>
      </w:tabs>
      <w:ind w:left="936" w:hanging="567"/>
      <w:contextualSpacing/>
    </w:pPr>
  </w:style>
  <w:style w:type="paragraph" w:styleId="ListBullet">
    <w:name w:val="List Bullet"/>
    <w:basedOn w:val="Normal"/>
    <w:uiPriority w:val="99"/>
    <w:rsid w:val="00AA615C"/>
    <w:pPr>
      <w:numPr>
        <w:numId w:val="2"/>
      </w:numPr>
      <w:ind w:left="369" w:hanging="369"/>
      <w:contextualSpacing/>
    </w:pPr>
  </w:style>
  <w:style w:type="paragraph" w:styleId="ListBullet2">
    <w:name w:val="List Bullet 2"/>
    <w:basedOn w:val="Normal"/>
    <w:uiPriority w:val="99"/>
    <w:rsid w:val="00AA615C"/>
    <w:pPr>
      <w:numPr>
        <w:ilvl w:val="1"/>
        <w:numId w:val="2"/>
      </w:numPr>
      <w:ind w:left="766" w:hanging="369"/>
      <w:contextualSpacing/>
    </w:pPr>
  </w:style>
  <w:style w:type="table" w:styleId="TableGrid">
    <w:name w:val="Table Grid"/>
    <w:aliases w:val="HELP_Table Style 2"/>
    <w:basedOn w:val="TableNormal"/>
    <w:rsid w:val="0076037B"/>
    <w:pPr>
      <w:spacing w:after="0" w:line="240" w:lineRule="auto"/>
    </w:pPr>
    <w:tblPr>
      <w:tblBorders>
        <w:top w:val="single" w:sz="8" w:space="0" w:color="1E3D6B"/>
        <w:left w:val="single" w:sz="8" w:space="0" w:color="1E3D6B"/>
        <w:bottom w:val="single" w:sz="8" w:space="0" w:color="1E3D6B"/>
        <w:right w:val="single" w:sz="8" w:space="0" w:color="1E3D6B"/>
        <w:insideH w:val="single" w:sz="8" w:space="0" w:color="1E3D6B"/>
        <w:insideV w:val="single" w:sz="8" w:space="0" w:color="1E3D6B"/>
      </w:tblBorders>
      <w:tblCellMar>
        <w:top w:w="28" w:type="dxa"/>
        <w:bottom w:w="28" w:type="dxa"/>
      </w:tblCellMar>
    </w:tblPr>
    <w:tblStylePr w:type="firstRow">
      <w:pPr>
        <w:wordWrap/>
        <w:jc w:val="left"/>
      </w:pPr>
      <w:rPr>
        <w:b/>
        <w:color w:val="E7E6E6" w:themeColor="background2"/>
      </w:rPr>
      <w:tblPr/>
      <w:tcPr>
        <w:shd w:val="clear" w:color="auto" w:fill="32375D"/>
      </w:tcPr>
    </w:tblStylePr>
    <w:tblStylePr w:type="firstCol">
      <w:pPr>
        <w:jc w:val="left"/>
      </w:pPr>
      <w:tblPr/>
      <w:tcPr>
        <w:vAlign w:val="center"/>
      </w:tcPr>
    </w:tblStylePr>
  </w:style>
  <w:style w:type="paragraph" w:customStyle="1" w:styleId="Default">
    <w:name w:val="Default"/>
    <w:semiHidden/>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semiHidden/>
    <w:rsid w:val="00130923"/>
    <w:rPr>
      <w:rFonts w:eastAsia="Times New Roman" w:cs="Times New Roman"/>
      <w:szCs w:val="24"/>
      <w:lang w:eastAsia="en-AU"/>
    </w:rPr>
  </w:style>
  <w:style w:type="character" w:customStyle="1" w:styleId="BodyTextChar">
    <w:name w:val="Body Text Char"/>
    <w:basedOn w:val="DefaultParagraphFont"/>
    <w:link w:val="BodyText"/>
    <w:semiHidden/>
    <w:rsid w:val="00EE3D2F"/>
    <w:rPr>
      <w:rFonts w:eastAsia="Times New Roman" w:cs="Times New Roman"/>
      <w:szCs w:val="24"/>
      <w:lang w:eastAsia="en-AU"/>
    </w:rPr>
  </w:style>
  <w:style w:type="paragraph" w:customStyle="1" w:styleId="numberedpara">
    <w:name w:val="numbered para"/>
    <w:basedOn w:val="Normal"/>
    <w:semiHidden/>
    <w:rsid w:val="00130923"/>
    <w:pPr>
      <w:numPr>
        <w:numId w:val="3"/>
      </w:numPr>
      <w:spacing w:after="0"/>
    </w:pPr>
    <w:rPr>
      <w:rFonts w:eastAsiaTheme="minorHAnsi" w:cs="Calibri"/>
      <w:lang w:eastAsia="en-AU"/>
    </w:rPr>
  </w:style>
  <w:style w:type="paragraph" w:styleId="BalloonText">
    <w:name w:val="Balloon Text"/>
    <w:basedOn w:val="Normal"/>
    <w:link w:val="BalloonTextChar"/>
    <w:uiPriority w:val="99"/>
    <w:semiHidden/>
    <w:rsid w:val="001309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rsid w:val="00F92479"/>
    <w:pPr>
      <w:tabs>
        <w:tab w:val="center" w:pos="4513"/>
        <w:tab w:val="right" w:pos="9026"/>
      </w:tabs>
      <w:spacing w:after="0"/>
      <w:jc w:val="right"/>
    </w:pPr>
  </w:style>
  <w:style w:type="character" w:customStyle="1" w:styleId="HeaderChar">
    <w:name w:val="Header Char"/>
    <w:basedOn w:val="DefaultParagraphFont"/>
    <w:link w:val="Header"/>
    <w:uiPriority w:val="99"/>
    <w:rsid w:val="00EE3D2F"/>
  </w:style>
  <w:style w:type="paragraph" w:styleId="Caption">
    <w:name w:val="caption"/>
    <w:basedOn w:val="Heading4"/>
    <w:next w:val="Normal"/>
    <w:uiPriority w:val="35"/>
    <w:qFormat/>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styleId="Title">
    <w:name w:val="Title"/>
    <w:basedOn w:val="Normal"/>
    <w:next w:val="Normal"/>
    <w:link w:val="TitleChar"/>
    <w:uiPriority w:val="10"/>
    <w:qFormat/>
    <w:rsid w:val="0076037B"/>
    <w:pPr>
      <w:spacing w:before="360" w:after="180"/>
      <w:contextualSpacing/>
    </w:pPr>
    <w:rPr>
      <w:rFonts w:eastAsiaTheme="majorEastAsia" w:cstheme="majorBidi"/>
      <w:color w:val="32375D"/>
      <w:spacing w:val="5"/>
      <w:kern w:val="28"/>
      <w:sz w:val="58"/>
      <w:szCs w:val="52"/>
    </w:rPr>
  </w:style>
  <w:style w:type="character" w:customStyle="1" w:styleId="TitleChar">
    <w:name w:val="Title Char"/>
    <w:basedOn w:val="DefaultParagraphFont"/>
    <w:link w:val="Title"/>
    <w:uiPriority w:val="10"/>
    <w:rsid w:val="0076037B"/>
    <w:rPr>
      <w:rFonts w:ascii="Calibri" w:eastAsiaTheme="majorEastAsia" w:hAnsi="Calibri" w:cstheme="majorBidi"/>
      <w:noProof/>
      <w:color w:val="32375D"/>
      <w:spacing w:val="5"/>
      <w:kern w:val="28"/>
      <w:sz w:val="58"/>
      <w:szCs w:val="52"/>
    </w:rPr>
  </w:style>
  <w:style w:type="paragraph" w:styleId="Subtitle">
    <w:name w:val="Subtitle"/>
    <w:basedOn w:val="Normal"/>
    <w:next w:val="Normal"/>
    <w:link w:val="SubtitleChar"/>
    <w:uiPriority w:val="11"/>
    <w:qFormat/>
    <w:rsid w:val="0019508E"/>
    <w:pPr>
      <w:numPr>
        <w:ilvl w:val="1"/>
      </w:numPr>
    </w:pPr>
    <w:rPr>
      <w:rFonts w:eastAsiaTheme="majorEastAsia" w:cstheme="majorBidi"/>
      <w:iCs/>
      <w:color w:val="404A9A"/>
      <w:spacing w:val="15"/>
      <w:sz w:val="24"/>
      <w:szCs w:val="24"/>
    </w:rPr>
  </w:style>
  <w:style w:type="character" w:customStyle="1" w:styleId="SubtitleChar">
    <w:name w:val="Subtitle Char"/>
    <w:basedOn w:val="DefaultParagraphFont"/>
    <w:link w:val="Subtitle"/>
    <w:uiPriority w:val="11"/>
    <w:rsid w:val="0019508E"/>
    <w:rPr>
      <w:rFonts w:ascii="Calibri" w:eastAsiaTheme="majorEastAsia" w:hAnsi="Calibri" w:cstheme="majorBidi"/>
      <w:iCs/>
      <w:noProof/>
      <w:color w:val="404A9A"/>
      <w:spacing w:val="15"/>
      <w:sz w:val="24"/>
      <w:szCs w:val="24"/>
    </w:rPr>
  </w:style>
  <w:style w:type="paragraph" w:customStyle="1" w:styleId="Style1">
    <w:name w:val="Style1"/>
    <w:basedOn w:val="Normal"/>
    <w:semiHidden/>
    <w:qFormat/>
    <w:rsid w:val="000036D9"/>
    <w:pPr>
      <w:numPr>
        <w:numId w:val="4"/>
      </w:numPr>
      <w:ind w:left="426" w:hanging="369"/>
      <w:contextualSpacing/>
    </w:pPr>
  </w:style>
  <w:style w:type="paragraph" w:customStyle="1" w:styleId="BasicParagraph">
    <w:name w:val="[Basic Paragraph]"/>
    <w:basedOn w:val="Normal"/>
    <w:uiPriority w:val="99"/>
    <w:semiHidden/>
    <w:rsid w:val="0072124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ing2FeatureBox">
    <w:name w:val="Heading 2 Feature Box"/>
    <w:basedOn w:val="Heading2"/>
    <w:semiHidden/>
    <w:qFormat/>
    <w:rsid w:val="00B904AC"/>
  </w:style>
  <w:style w:type="paragraph" w:styleId="FootnoteText">
    <w:name w:val="footnote text"/>
    <w:basedOn w:val="Normal"/>
    <w:link w:val="FootnoteTextChar"/>
    <w:uiPriority w:val="99"/>
    <w:semiHidden/>
    <w:rsid w:val="005818AE"/>
    <w:pPr>
      <w:spacing w:after="0"/>
    </w:pPr>
    <w:rPr>
      <w:sz w:val="20"/>
      <w:szCs w:val="20"/>
    </w:rPr>
  </w:style>
  <w:style w:type="character" w:customStyle="1" w:styleId="FootnoteTextChar">
    <w:name w:val="Footnote Text Char"/>
    <w:basedOn w:val="DefaultParagraphFont"/>
    <w:link w:val="FootnoteText"/>
    <w:uiPriority w:val="99"/>
    <w:semiHidden/>
    <w:rsid w:val="00EE3D2F"/>
    <w:rPr>
      <w:sz w:val="20"/>
      <w:szCs w:val="20"/>
    </w:rPr>
  </w:style>
  <w:style w:type="character" w:styleId="FootnoteReference">
    <w:name w:val="footnote reference"/>
    <w:basedOn w:val="DefaultParagraphFont"/>
    <w:uiPriority w:val="99"/>
    <w:semiHidden/>
    <w:rsid w:val="005818AE"/>
    <w:rPr>
      <w:vertAlign w:val="superscript"/>
    </w:rPr>
  </w:style>
  <w:style w:type="paragraph" w:styleId="TOC2">
    <w:name w:val="toc 2"/>
    <w:basedOn w:val="Normal"/>
    <w:next w:val="Normal"/>
    <w:autoRedefine/>
    <w:uiPriority w:val="39"/>
    <w:unhideWhenUsed/>
    <w:rsid w:val="00A04F7E"/>
    <w:pPr>
      <w:spacing w:after="100" w:line="330" w:lineRule="exact"/>
      <w:ind w:left="221"/>
    </w:pPr>
    <w:rPr>
      <w:sz w:val="26"/>
    </w:rPr>
  </w:style>
  <w:style w:type="paragraph" w:styleId="TOC1">
    <w:name w:val="toc 1"/>
    <w:basedOn w:val="Normal"/>
    <w:next w:val="Normal"/>
    <w:autoRedefine/>
    <w:uiPriority w:val="39"/>
    <w:unhideWhenUsed/>
    <w:rsid w:val="00550011"/>
    <w:pPr>
      <w:spacing w:after="100" w:line="350" w:lineRule="exact"/>
    </w:pPr>
    <w:rPr>
      <w:b/>
      <w:caps/>
      <w:color w:val="1E3D6B"/>
      <w:sz w:val="28"/>
    </w:rPr>
  </w:style>
  <w:style w:type="character" w:styleId="Hyperlink">
    <w:name w:val="Hyperlink"/>
    <w:basedOn w:val="DefaultParagraphFont"/>
    <w:uiPriority w:val="99"/>
    <w:unhideWhenUsed/>
    <w:rsid w:val="003805D4"/>
    <w:rPr>
      <w:b/>
      <w:color w:val="27426F"/>
      <w:u w:val="single"/>
    </w:rPr>
  </w:style>
  <w:style w:type="character" w:customStyle="1" w:styleId="ListParagraphChar">
    <w:name w:val="List Paragraph Char"/>
    <w:aliases w:val="L Char,List Paragraph1 Char,List Paragraph11 Char,Recommendation Char,bullet point list Char,Bullet point Char,List Paragraph Number Char,Bullet Point Char,List Bullet 1 Char,Body Bullets 1 Char,Bulleted Para Char,Bullet points Char"/>
    <w:link w:val="ListParagraph"/>
    <w:uiPriority w:val="34"/>
    <w:qFormat/>
    <w:locked/>
    <w:rsid w:val="00ED42B4"/>
    <w:rPr>
      <w:rFonts w:ascii="Calibri" w:hAnsi="Calibri"/>
      <w:noProof/>
    </w:rPr>
  </w:style>
  <w:style w:type="character" w:styleId="FollowedHyperlink">
    <w:name w:val="FollowedHyperlink"/>
    <w:basedOn w:val="DefaultParagraphFont"/>
    <w:uiPriority w:val="99"/>
    <w:semiHidden/>
    <w:unhideWhenUsed/>
    <w:rsid w:val="00CC280B"/>
    <w:rPr>
      <w:color w:val="954F72" w:themeColor="followedHyperlink"/>
      <w:u w:val="single"/>
    </w:rPr>
  </w:style>
  <w:style w:type="character" w:styleId="CommentReference">
    <w:name w:val="annotation reference"/>
    <w:basedOn w:val="DefaultParagraphFont"/>
    <w:uiPriority w:val="99"/>
    <w:semiHidden/>
    <w:unhideWhenUsed/>
    <w:rsid w:val="00E06B4E"/>
    <w:rPr>
      <w:sz w:val="16"/>
      <w:szCs w:val="16"/>
    </w:rPr>
  </w:style>
  <w:style w:type="paragraph" w:styleId="CommentText">
    <w:name w:val="annotation text"/>
    <w:basedOn w:val="Normal"/>
    <w:link w:val="CommentTextChar"/>
    <w:uiPriority w:val="99"/>
    <w:semiHidden/>
    <w:unhideWhenUsed/>
    <w:rsid w:val="00E06B4E"/>
    <w:rPr>
      <w:sz w:val="20"/>
      <w:szCs w:val="20"/>
    </w:rPr>
  </w:style>
  <w:style w:type="character" w:customStyle="1" w:styleId="CommentTextChar">
    <w:name w:val="Comment Text Char"/>
    <w:basedOn w:val="DefaultParagraphFont"/>
    <w:link w:val="CommentText"/>
    <w:uiPriority w:val="99"/>
    <w:semiHidden/>
    <w:rsid w:val="00E06B4E"/>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E06B4E"/>
    <w:rPr>
      <w:b/>
      <w:bCs/>
    </w:rPr>
  </w:style>
  <w:style w:type="character" w:customStyle="1" w:styleId="CommentSubjectChar">
    <w:name w:val="Comment Subject Char"/>
    <w:basedOn w:val="CommentTextChar"/>
    <w:link w:val="CommentSubject"/>
    <w:uiPriority w:val="99"/>
    <w:semiHidden/>
    <w:rsid w:val="00E06B4E"/>
    <w:rPr>
      <w:rFonts w:ascii="Calibri" w:hAnsi="Calibri"/>
      <w:b/>
      <w:bCs/>
      <w:sz w:val="20"/>
      <w:szCs w:val="20"/>
    </w:rPr>
  </w:style>
  <w:style w:type="paragraph" w:styleId="Revision">
    <w:name w:val="Revision"/>
    <w:hidden/>
    <w:uiPriority w:val="99"/>
    <w:semiHidden/>
    <w:rsid w:val="007873EF"/>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76706">
      <w:bodyDiv w:val="1"/>
      <w:marLeft w:val="0"/>
      <w:marRight w:val="0"/>
      <w:marTop w:val="0"/>
      <w:marBottom w:val="0"/>
      <w:divBdr>
        <w:top w:val="none" w:sz="0" w:space="0" w:color="auto"/>
        <w:left w:val="none" w:sz="0" w:space="0" w:color="auto"/>
        <w:bottom w:val="none" w:sz="0" w:space="0" w:color="auto"/>
        <w:right w:val="none" w:sz="0" w:space="0" w:color="auto"/>
      </w:divBdr>
    </w:div>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441075316">
      <w:bodyDiv w:val="1"/>
      <w:marLeft w:val="0"/>
      <w:marRight w:val="0"/>
      <w:marTop w:val="0"/>
      <w:marBottom w:val="0"/>
      <w:divBdr>
        <w:top w:val="none" w:sz="0" w:space="0" w:color="auto"/>
        <w:left w:val="none" w:sz="0" w:space="0" w:color="auto"/>
        <w:bottom w:val="none" w:sz="0" w:space="0" w:color="auto"/>
        <w:right w:val="none" w:sz="0" w:space="0" w:color="auto"/>
      </w:divBdr>
    </w:div>
    <w:div w:id="594247422">
      <w:bodyDiv w:val="1"/>
      <w:marLeft w:val="0"/>
      <w:marRight w:val="0"/>
      <w:marTop w:val="0"/>
      <w:marBottom w:val="0"/>
      <w:divBdr>
        <w:top w:val="none" w:sz="0" w:space="0" w:color="auto"/>
        <w:left w:val="none" w:sz="0" w:space="0" w:color="auto"/>
        <w:bottom w:val="none" w:sz="0" w:space="0" w:color="auto"/>
        <w:right w:val="none" w:sz="0" w:space="0" w:color="auto"/>
      </w:divBdr>
    </w:div>
    <w:div w:id="744844247">
      <w:bodyDiv w:val="1"/>
      <w:marLeft w:val="0"/>
      <w:marRight w:val="0"/>
      <w:marTop w:val="0"/>
      <w:marBottom w:val="0"/>
      <w:divBdr>
        <w:top w:val="none" w:sz="0" w:space="0" w:color="auto"/>
        <w:left w:val="none" w:sz="0" w:space="0" w:color="auto"/>
        <w:bottom w:val="none" w:sz="0" w:space="0" w:color="auto"/>
        <w:right w:val="none" w:sz="0" w:space="0" w:color="auto"/>
      </w:divBdr>
    </w:div>
    <w:div w:id="1391733848">
      <w:bodyDiv w:val="1"/>
      <w:marLeft w:val="0"/>
      <w:marRight w:val="0"/>
      <w:marTop w:val="0"/>
      <w:marBottom w:val="0"/>
      <w:divBdr>
        <w:top w:val="none" w:sz="0" w:space="0" w:color="auto"/>
        <w:left w:val="none" w:sz="0" w:space="0" w:color="auto"/>
        <w:bottom w:val="none" w:sz="0" w:space="0" w:color="auto"/>
        <w:right w:val="none" w:sz="0" w:space="0" w:color="auto"/>
      </w:divBdr>
    </w:div>
    <w:div w:id="165205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mailto:CGS@education.gov.au" TargetMode="Externa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6F8BEB73-CF0A-45C6-9A8C-D3144ACA54E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A3F24DDEA8ED341AB615F0D7A0EE2FD" ma:contentTypeVersion="" ma:contentTypeDescription="PDMS Document Site Content Type" ma:contentTypeScope="" ma:versionID="483a78ef983f2c06f4d56318543318ae">
  <xsd:schema xmlns:xsd="http://www.w3.org/2001/XMLSchema" xmlns:xs="http://www.w3.org/2001/XMLSchema" xmlns:p="http://schemas.microsoft.com/office/2006/metadata/properties" xmlns:ns2="6F8BEB73-CF0A-45C6-9A8C-D3144ACA54EA" targetNamespace="http://schemas.microsoft.com/office/2006/metadata/properties" ma:root="true" ma:fieldsID="0e98b1ae2181f4f6aa6503505f35635a" ns2:_="">
    <xsd:import namespace="6F8BEB73-CF0A-45C6-9A8C-D3144ACA54E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BEB73-CF0A-45C6-9A8C-D3144ACA54E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7342F-6049-4C58-B1A0-E5D806EDCF33}">
  <ds:schemaRefs>
    <ds:schemaRef ds:uri="http://schemas.microsoft.com/sharepoint/v3/contenttype/forms"/>
  </ds:schemaRefs>
</ds:datastoreItem>
</file>

<file path=customXml/itemProps2.xml><?xml version="1.0" encoding="utf-8"?>
<ds:datastoreItem xmlns:ds="http://schemas.openxmlformats.org/officeDocument/2006/customXml" ds:itemID="{2C0C5C0F-F400-4F1A-90A7-0A38C1272566}">
  <ds:schemaRefs>
    <ds:schemaRef ds:uri="http://schemas.microsoft.com/office/2006/documentManagement/types"/>
    <ds:schemaRef ds:uri="http://purl.org/dc/terms/"/>
    <ds:schemaRef ds:uri="http://schemas.openxmlformats.org/package/2006/metadata/core-properties"/>
    <ds:schemaRef ds:uri="6F8BEB73-CF0A-45C6-9A8C-D3144ACA54EA"/>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209508E-FB68-40A7-B279-069949A0E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BEB73-CF0A-45C6-9A8C-D3144ACA54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0BCB28-517E-45C8-9D82-B3CA9681B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AFF2E3B1.dotm</Template>
  <TotalTime>104</TotalTime>
  <Pages>15</Pages>
  <Words>4755</Words>
  <Characters>27107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THANWEER,Farzaana</dc:creator>
  <cp:lastModifiedBy>THANWEER,Farzaana</cp:lastModifiedBy>
  <cp:revision>10</cp:revision>
  <cp:lastPrinted>2018-10-03T02:53:00Z</cp:lastPrinted>
  <dcterms:created xsi:type="dcterms:W3CDTF">2018-11-06T23:09:00Z</dcterms:created>
  <dcterms:modified xsi:type="dcterms:W3CDTF">2018-11-09T03:40:00Z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0x010100266966F133664895A6EE3632470D45F500BA3F24DDEA8ED341AB615F0D7A0EE2FD</vt:lpwstr>
  </property>
</Properties>
</file>