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76B30" w14:textId="77777777" w:rsidR="00786A6F" w:rsidRPr="00FA18B7" w:rsidRDefault="00786A6F" w:rsidP="00BC36A9">
      <w:pPr>
        <w:jc w:val="left"/>
      </w:pPr>
    </w:p>
    <w:tbl>
      <w:tblPr>
        <w:tblW w:w="4985" w:type="pct"/>
        <w:tblLook w:val="01E0" w:firstRow="1" w:lastRow="1" w:firstColumn="1" w:lastColumn="1" w:noHBand="0" w:noVBand="0"/>
      </w:tblPr>
      <w:tblGrid>
        <w:gridCol w:w="2217"/>
        <w:gridCol w:w="7533"/>
      </w:tblGrid>
      <w:tr w:rsidR="00814667" w:rsidRPr="00144E99" w14:paraId="1C455422" w14:textId="77777777" w:rsidTr="00B72E65">
        <w:tc>
          <w:tcPr>
            <w:tcW w:w="5000" w:type="pct"/>
            <w:gridSpan w:val="2"/>
          </w:tcPr>
          <w:p w14:paraId="48C7C8B5" w14:textId="77777777" w:rsidR="00D93360" w:rsidRPr="00FA18B7" w:rsidRDefault="00D93360" w:rsidP="00BC36A9">
            <w:pPr>
              <w:pStyle w:val="CoverTitleMain"/>
              <w:jc w:val="left"/>
              <w:rPr>
                <w:caps w:val="0"/>
                <w:color w:val="1F497D"/>
                <w:sz w:val="72"/>
                <w:szCs w:val="72"/>
              </w:rPr>
            </w:pPr>
          </w:p>
          <w:p w14:paraId="336BB167" w14:textId="5ED4F6B4" w:rsidR="00C24179" w:rsidRPr="00144E99" w:rsidRDefault="0028414A" w:rsidP="00BC36A9">
            <w:pPr>
              <w:pStyle w:val="CoverTitleMain"/>
              <w:jc w:val="left"/>
              <w:rPr>
                <w:rFonts w:ascii="Corbel" w:hAnsi="Corbel"/>
                <w:caps w:val="0"/>
                <w:color w:val="316F72"/>
                <w:sz w:val="72"/>
                <w:szCs w:val="72"/>
              </w:rPr>
            </w:pPr>
            <w:r w:rsidRPr="00144E99">
              <w:rPr>
                <w:rFonts w:ascii="Corbel" w:hAnsi="Corbel"/>
                <w:caps w:val="0"/>
                <w:color w:val="316F72"/>
                <w:sz w:val="72"/>
                <w:szCs w:val="72"/>
              </w:rPr>
              <w:t xml:space="preserve">National </w:t>
            </w:r>
            <w:r w:rsidR="0084489A" w:rsidRPr="00144E99">
              <w:rPr>
                <w:rFonts w:ascii="Corbel" w:hAnsi="Corbel"/>
                <w:caps w:val="0"/>
                <w:color w:val="316F72"/>
                <w:sz w:val="72"/>
                <w:szCs w:val="72"/>
              </w:rPr>
              <w:t xml:space="preserve">School Reform Agreement </w:t>
            </w:r>
          </w:p>
          <w:p w14:paraId="45819A9A" w14:textId="77777777" w:rsidR="008C6B12" w:rsidRPr="00144E99" w:rsidRDefault="008C6B12" w:rsidP="008C6B12">
            <w:pPr>
              <w:pStyle w:val="CoverTitleMain"/>
              <w:jc w:val="left"/>
              <w:rPr>
                <w:rFonts w:ascii="Corbel" w:hAnsi="Corbel"/>
                <w:caps w:val="0"/>
                <w:color w:val="316F72"/>
                <w:sz w:val="72"/>
                <w:szCs w:val="72"/>
              </w:rPr>
            </w:pPr>
          </w:p>
          <w:p w14:paraId="1814EC26" w14:textId="77777777" w:rsidR="008C6B12" w:rsidRPr="00144E99" w:rsidRDefault="008C6B12" w:rsidP="008C6B12">
            <w:pPr>
              <w:pStyle w:val="CoverTitleMain"/>
              <w:jc w:val="left"/>
              <w:rPr>
                <w:rFonts w:ascii="Corbel" w:hAnsi="Corbel"/>
                <w:caps w:val="0"/>
                <w:color w:val="316F72"/>
                <w:sz w:val="72"/>
                <w:szCs w:val="72"/>
              </w:rPr>
            </w:pPr>
          </w:p>
          <w:p w14:paraId="75B43E5A" w14:textId="77777777" w:rsidR="008C6B12" w:rsidRPr="00144E99" w:rsidRDefault="008C6B12" w:rsidP="008C6B12">
            <w:pPr>
              <w:pStyle w:val="CoverTitleMain"/>
              <w:jc w:val="left"/>
              <w:rPr>
                <w:rFonts w:ascii="Corbel" w:hAnsi="Corbel"/>
                <w:caps w:val="0"/>
                <w:color w:val="316F72"/>
                <w:sz w:val="72"/>
                <w:szCs w:val="72"/>
              </w:rPr>
            </w:pPr>
          </w:p>
          <w:p w14:paraId="1EC8E6A7" w14:textId="77777777" w:rsidR="004A2788" w:rsidRPr="00144E99" w:rsidRDefault="004A2788" w:rsidP="00291AF2">
            <w:pPr>
              <w:pStyle w:val="CoverTitleMain"/>
              <w:jc w:val="left"/>
            </w:pPr>
          </w:p>
        </w:tc>
      </w:tr>
      <w:tr w:rsidR="00554BC9" w:rsidRPr="00144E99" w14:paraId="4615ACC4" w14:textId="77777777" w:rsidTr="00B72E65">
        <w:tc>
          <w:tcPr>
            <w:tcW w:w="1137" w:type="pct"/>
          </w:tcPr>
          <w:p w14:paraId="2AB9706C" w14:textId="77777777" w:rsidR="00554BC9" w:rsidRPr="00144E99" w:rsidRDefault="00554BC9" w:rsidP="00BC36A9">
            <w:pPr>
              <w:pStyle w:val="SingleParagraph"/>
              <w:tabs>
                <w:tab w:val="num" w:pos="1134"/>
              </w:tabs>
              <w:spacing w:after="240"/>
              <w:ind w:left="1134" w:hanging="567"/>
              <w:jc w:val="left"/>
              <w:rPr>
                <w:rFonts w:ascii="Calibri" w:hAnsi="Calibri"/>
                <w:color w:val="auto"/>
              </w:rPr>
            </w:pPr>
          </w:p>
        </w:tc>
        <w:tc>
          <w:tcPr>
            <w:tcW w:w="3863" w:type="pct"/>
          </w:tcPr>
          <w:p w14:paraId="271AB16F" w14:textId="77777777" w:rsidR="00554BC9" w:rsidRPr="00144E99" w:rsidRDefault="00554BC9" w:rsidP="00BC36A9">
            <w:pPr>
              <w:pStyle w:val="SingleParagraph"/>
              <w:tabs>
                <w:tab w:val="num" w:pos="1134"/>
              </w:tabs>
              <w:spacing w:after="240"/>
              <w:jc w:val="left"/>
              <w:rPr>
                <w:rFonts w:ascii="Calibri" w:hAnsi="Calibri"/>
                <w:color w:val="auto"/>
              </w:rPr>
            </w:pPr>
          </w:p>
        </w:tc>
      </w:tr>
      <w:tr w:rsidR="00E3089F" w:rsidRPr="00144E99" w14:paraId="188ABC4B" w14:textId="77777777" w:rsidTr="001862B5">
        <w:trPr>
          <w:trHeight w:val="1110"/>
        </w:trPr>
        <w:tc>
          <w:tcPr>
            <w:tcW w:w="1" w:type="pct"/>
            <w:gridSpan w:val="2"/>
            <w:shd w:val="clear" w:color="auto" w:fill="316F72"/>
            <w:vAlign w:val="center"/>
          </w:tcPr>
          <w:p w14:paraId="4891B2F2" w14:textId="77777777" w:rsidR="00E3089F" w:rsidRPr="00144E99" w:rsidRDefault="00E3089F" w:rsidP="00BC36A9">
            <w:pPr>
              <w:pStyle w:val="CoverTitleSub"/>
            </w:pPr>
            <w:r w:rsidRPr="00144E99">
              <w:rPr>
                <w:rFonts w:ascii="Calibri" w:hAnsi="Calibri"/>
                <w:spacing w:val="20"/>
                <w:sz w:val="24"/>
              </w:rPr>
              <w:t>Council of Australian Governments</w:t>
            </w:r>
          </w:p>
        </w:tc>
      </w:tr>
      <w:tr w:rsidR="00814667" w:rsidRPr="00144E99" w14:paraId="7468FB58" w14:textId="77777777" w:rsidTr="00B72E65">
        <w:tc>
          <w:tcPr>
            <w:tcW w:w="1137" w:type="pct"/>
          </w:tcPr>
          <w:p w14:paraId="1D663C93" w14:textId="77777777" w:rsidR="00814667" w:rsidRPr="00144E99" w:rsidRDefault="00814667" w:rsidP="00BC36A9">
            <w:pPr>
              <w:pStyle w:val="SingleParagraph"/>
              <w:tabs>
                <w:tab w:val="num" w:pos="1134"/>
              </w:tabs>
              <w:spacing w:after="240"/>
              <w:ind w:left="1134" w:hanging="567"/>
              <w:jc w:val="left"/>
              <w:rPr>
                <w:rFonts w:ascii="Calibri" w:hAnsi="Calibri"/>
                <w:color w:val="auto"/>
              </w:rPr>
            </w:pPr>
          </w:p>
        </w:tc>
        <w:tc>
          <w:tcPr>
            <w:tcW w:w="3863" w:type="pct"/>
          </w:tcPr>
          <w:p w14:paraId="762E9722" w14:textId="77777777" w:rsidR="00814667" w:rsidRPr="00144E99" w:rsidRDefault="00814667" w:rsidP="00BC36A9">
            <w:pPr>
              <w:pStyle w:val="SingleParagraph"/>
              <w:tabs>
                <w:tab w:val="num" w:pos="1134"/>
              </w:tabs>
              <w:spacing w:after="240"/>
              <w:jc w:val="left"/>
              <w:rPr>
                <w:rFonts w:ascii="Calibri" w:hAnsi="Calibri"/>
                <w:color w:val="auto"/>
              </w:rPr>
            </w:pPr>
          </w:p>
        </w:tc>
      </w:tr>
    </w:tbl>
    <w:p w14:paraId="7A7F52E1" w14:textId="77777777" w:rsidR="001E6672" w:rsidRPr="00144E99" w:rsidRDefault="001E6672" w:rsidP="00BC36A9">
      <w:pPr>
        <w:jc w:val="left"/>
        <w:rPr>
          <w:rFonts w:ascii="Calibri" w:hAnsi="Calibri"/>
          <w:b/>
          <w:sz w:val="22"/>
          <w:szCs w:val="22"/>
        </w:rPr>
      </w:pPr>
    </w:p>
    <w:p w14:paraId="019B81F2" w14:textId="77777777" w:rsidR="00E616E9" w:rsidRPr="00144E99" w:rsidRDefault="00E616E9" w:rsidP="00E616E9">
      <w:pPr>
        <w:pStyle w:val="TOCHeading"/>
        <w:jc w:val="right"/>
      </w:pPr>
    </w:p>
    <w:p w14:paraId="2E1DEC3D" w14:textId="77777777" w:rsidR="00CF1844" w:rsidRDefault="00CF1844" w:rsidP="002F1C60">
      <w:pPr>
        <w:jc w:val="left"/>
        <w:rPr>
          <w:b/>
          <w:color w:val="316F72"/>
        </w:rPr>
      </w:pPr>
      <w:bookmarkStart w:id="0" w:name="_Toc473897493"/>
    </w:p>
    <w:p w14:paraId="42E2FC70" w14:textId="77777777" w:rsidR="00CF1844" w:rsidRDefault="00CF1844">
      <w:pPr>
        <w:spacing w:after="0" w:line="240" w:lineRule="auto"/>
        <w:jc w:val="left"/>
        <w:rPr>
          <w:b/>
          <w:color w:val="316F72"/>
        </w:rPr>
      </w:pPr>
      <w:r>
        <w:rPr>
          <w:b/>
          <w:color w:val="316F72"/>
        </w:rPr>
        <w:br w:type="page"/>
      </w:r>
    </w:p>
    <w:p w14:paraId="0FAE5FF9" w14:textId="5C04E571" w:rsidR="001E6672" w:rsidRPr="00144E99" w:rsidRDefault="001E6672" w:rsidP="002F1C60">
      <w:pPr>
        <w:jc w:val="left"/>
        <w:rPr>
          <w:rFonts w:eastAsia="MS Gothic"/>
          <w:lang w:eastAsia="ja-JP"/>
        </w:rPr>
      </w:pPr>
      <w:r w:rsidRPr="00144E99">
        <w:rPr>
          <w:rFonts w:eastAsia="MS Gothic"/>
          <w:lang w:eastAsia="ja-JP"/>
        </w:rPr>
        <w:lastRenderedPageBreak/>
        <w:t>Table of Contents</w:t>
      </w:r>
      <w:bookmarkEnd w:id="0"/>
    </w:p>
    <w:p w14:paraId="270EB1F9" w14:textId="23C11B4D" w:rsidR="0062434F" w:rsidRDefault="0062434F">
      <w:pPr>
        <w:pStyle w:val="TOC1"/>
        <w:rPr>
          <w:rFonts w:asciiTheme="minorHAnsi" w:eastAsiaTheme="minorEastAsia" w:hAnsiTheme="minorHAnsi" w:cstheme="minorBidi"/>
          <w:b w:val="0"/>
          <w:bCs w:val="0"/>
          <w:smallCaps w:val="0"/>
          <w:color w:val="auto"/>
        </w:rPr>
      </w:pPr>
      <w:r w:rsidRPr="00BD1CB9">
        <w:rPr>
          <w:b w:val="0"/>
          <w:smallCaps w:val="0"/>
          <w:color w:val="316F72"/>
        </w:rPr>
        <w:fldChar w:fldCharType="begin"/>
      </w:r>
      <w:r>
        <w:rPr>
          <w:b w:val="0"/>
          <w:bCs w:val="0"/>
          <w:smallCaps w:val="0"/>
          <w:color w:val="316F72"/>
          <w:lang w:eastAsia="ja-JP"/>
        </w:rPr>
        <w:instrText xml:space="preserve"> TOC \o "1-2" \h \z \u </w:instrText>
      </w:r>
      <w:r w:rsidRPr="00BD1CB9">
        <w:rPr>
          <w:b w:val="0"/>
          <w:smallCaps w:val="0"/>
          <w:color w:val="316F72"/>
        </w:rPr>
        <w:fldChar w:fldCharType="separate"/>
      </w:r>
      <w:hyperlink w:anchor="_Toc525144587" w:history="1">
        <w:r w:rsidRPr="00497F28">
          <w:rPr>
            <w:rStyle w:val="Hyperlink"/>
          </w:rPr>
          <w:t>PRELIMINARIES</w:t>
        </w:r>
        <w:r>
          <w:rPr>
            <w:webHidden/>
          </w:rPr>
          <w:tab/>
        </w:r>
        <w:r>
          <w:rPr>
            <w:webHidden/>
          </w:rPr>
          <w:fldChar w:fldCharType="begin"/>
        </w:r>
        <w:r>
          <w:rPr>
            <w:webHidden/>
          </w:rPr>
          <w:instrText xml:space="preserve"> PAGEREF _Toc525144587 \h </w:instrText>
        </w:r>
        <w:r>
          <w:rPr>
            <w:webHidden/>
          </w:rPr>
        </w:r>
        <w:r>
          <w:rPr>
            <w:webHidden/>
          </w:rPr>
          <w:fldChar w:fldCharType="separate"/>
        </w:r>
        <w:r w:rsidR="00A17FB0">
          <w:rPr>
            <w:webHidden/>
          </w:rPr>
          <w:t>3</w:t>
        </w:r>
        <w:r>
          <w:rPr>
            <w:webHidden/>
          </w:rPr>
          <w:fldChar w:fldCharType="end"/>
        </w:r>
      </w:hyperlink>
    </w:p>
    <w:p w14:paraId="79CE5952" w14:textId="2272741E" w:rsidR="0062434F" w:rsidRDefault="00F25354">
      <w:pPr>
        <w:pStyle w:val="TOC1"/>
        <w:rPr>
          <w:rFonts w:asciiTheme="minorHAnsi" w:eastAsiaTheme="minorEastAsia" w:hAnsiTheme="minorHAnsi" w:cstheme="minorBidi"/>
          <w:b w:val="0"/>
          <w:bCs w:val="0"/>
          <w:smallCaps w:val="0"/>
          <w:color w:val="auto"/>
        </w:rPr>
      </w:pPr>
      <w:hyperlink w:anchor="_Toc525144588" w:history="1">
        <w:r w:rsidR="0062434F" w:rsidRPr="00497F28">
          <w:rPr>
            <w:rStyle w:val="Hyperlink"/>
          </w:rPr>
          <w:t>PART 1 — PARTIES AND OPERATION</w:t>
        </w:r>
        <w:r w:rsidR="0062434F">
          <w:rPr>
            <w:webHidden/>
          </w:rPr>
          <w:tab/>
        </w:r>
        <w:r w:rsidR="0062434F">
          <w:rPr>
            <w:webHidden/>
          </w:rPr>
          <w:fldChar w:fldCharType="begin"/>
        </w:r>
        <w:r w:rsidR="0062434F">
          <w:rPr>
            <w:webHidden/>
          </w:rPr>
          <w:instrText xml:space="preserve"> PAGEREF _Toc525144588 \h </w:instrText>
        </w:r>
        <w:r w:rsidR="0062434F">
          <w:rPr>
            <w:webHidden/>
          </w:rPr>
        </w:r>
        <w:r w:rsidR="0062434F">
          <w:rPr>
            <w:webHidden/>
          </w:rPr>
          <w:fldChar w:fldCharType="separate"/>
        </w:r>
        <w:r w:rsidR="00A17FB0">
          <w:rPr>
            <w:webHidden/>
          </w:rPr>
          <w:t>5</w:t>
        </w:r>
        <w:r w:rsidR="0062434F">
          <w:rPr>
            <w:webHidden/>
          </w:rPr>
          <w:fldChar w:fldCharType="end"/>
        </w:r>
      </w:hyperlink>
    </w:p>
    <w:p w14:paraId="7C45A402" w14:textId="19AE3FDB" w:rsidR="0062434F" w:rsidRDefault="00F25354">
      <w:pPr>
        <w:pStyle w:val="TOC2"/>
        <w:rPr>
          <w:rFonts w:asciiTheme="minorHAnsi" w:eastAsiaTheme="minorEastAsia" w:hAnsiTheme="minorHAnsi" w:cstheme="minorBidi"/>
          <w:noProof/>
          <w:color w:val="auto"/>
          <w:sz w:val="22"/>
          <w:szCs w:val="22"/>
        </w:rPr>
      </w:pPr>
      <w:hyperlink w:anchor="_Toc525144589" w:history="1">
        <w:r w:rsidR="0062434F" w:rsidRPr="00497F28">
          <w:rPr>
            <w:rStyle w:val="Hyperlink"/>
            <w:noProof/>
          </w:rPr>
          <w:t>Parties</w:t>
        </w:r>
        <w:r w:rsidR="0062434F">
          <w:rPr>
            <w:noProof/>
            <w:webHidden/>
          </w:rPr>
          <w:tab/>
        </w:r>
        <w:r w:rsidR="0062434F">
          <w:rPr>
            <w:noProof/>
            <w:webHidden/>
          </w:rPr>
          <w:fldChar w:fldCharType="begin"/>
        </w:r>
        <w:r w:rsidR="0062434F">
          <w:rPr>
            <w:noProof/>
            <w:webHidden/>
          </w:rPr>
          <w:instrText xml:space="preserve"> PAGEREF _Toc525144589 \h </w:instrText>
        </w:r>
        <w:r w:rsidR="0062434F">
          <w:rPr>
            <w:noProof/>
            <w:webHidden/>
          </w:rPr>
        </w:r>
        <w:r w:rsidR="0062434F">
          <w:rPr>
            <w:noProof/>
            <w:webHidden/>
          </w:rPr>
          <w:fldChar w:fldCharType="separate"/>
        </w:r>
        <w:r w:rsidR="00A17FB0">
          <w:rPr>
            <w:noProof/>
            <w:webHidden/>
          </w:rPr>
          <w:t>5</w:t>
        </w:r>
        <w:r w:rsidR="0062434F">
          <w:rPr>
            <w:noProof/>
            <w:webHidden/>
          </w:rPr>
          <w:fldChar w:fldCharType="end"/>
        </w:r>
      </w:hyperlink>
    </w:p>
    <w:p w14:paraId="16B1DF6F" w14:textId="0AF5BAF7" w:rsidR="0062434F" w:rsidRDefault="00F25354">
      <w:pPr>
        <w:pStyle w:val="TOC2"/>
        <w:rPr>
          <w:rFonts w:asciiTheme="minorHAnsi" w:eastAsiaTheme="minorEastAsia" w:hAnsiTheme="minorHAnsi" w:cstheme="minorBidi"/>
          <w:noProof/>
          <w:color w:val="auto"/>
          <w:sz w:val="22"/>
          <w:szCs w:val="22"/>
        </w:rPr>
      </w:pPr>
      <w:hyperlink w:anchor="_Toc525144590" w:history="1">
        <w:r w:rsidR="0062434F" w:rsidRPr="00497F28">
          <w:rPr>
            <w:rStyle w:val="Hyperlink"/>
            <w:noProof/>
          </w:rPr>
          <w:t>Term</w:t>
        </w:r>
        <w:r w:rsidR="0062434F">
          <w:rPr>
            <w:noProof/>
            <w:webHidden/>
          </w:rPr>
          <w:tab/>
        </w:r>
        <w:r w:rsidR="0062434F">
          <w:rPr>
            <w:noProof/>
            <w:webHidden/>
          </w:rPr>
          <w:fldChar w:fldCharType="begin"/>
        </w:r>
        <w:r w:rsidR="0062434F">
          <w:rPr>
            <w:noProof/>
            <w:webHidden/>
          </w:rPr>
          <w:instrText xml:space="preserve"> PAGEREF _Toc525144590 \h </w:instrText>
        </w:r>
        <w:r w:rsidR="0062434F">
          <w:rPr>
            <w:noProof/>
            <w:webHidden/>
          </w:rPr>
        </w:r>
        <w:r w:rsidR="0062434F">
          <w:rPr>
            <w:noProof/>
            <w:webHidden/>
          </w:rPr>
          <w:fldChar w:fldCharType="separate"/>
        </w:r>
        <w:r w:rsidR="00A17FB0">
          <w:rPr>
            <w:noProof/>
            <w:webHidden/>
          </w:rPr>
          <w:t>5</w:t>
        </w:r>
        <w:r w:rsidR="0062434F">
          <w:rPr>
            <w:noProof/>
            <w:webHidden/>
          </w:rPr>
          <w:fldChar w:fldCharType="end"/>
        </w:r>
      </w:hyperlink>
    </w:p>
    <w:p w14:paraId="40D55ECB" w14:textId="2689DF35" w:rsidR="0062434F" w:rsidRDefault="00F25354">
      <w:pPr>
        <w:pStyle w:val="TOC2"/>
        <w:rPr>
          <w:rFonts w:asciiTheme="minorHAnsi" w:eastAsiaTheme="minorEastAsia" w:hAnsiTheme="minorHAnsi" w:cstheme="minorBidi"/>
          <w:noProof/>
          <w:color w:val="auto"/>
          <w:sz w:val="22"/>
          <w:szCs w:val="22"/>
        </w:rPr>
      </w:pPr>
      <w:hyperlink w:anchor="_Toc525144591" w:history="1">
        <w:r w:rsidR="0062434F" w:rsidRPr="00497F28">
          <w:rPr>
            <w:rStyle w:val="Hyperlink"/>
            <w:noProof/>
          </w:rPr>
          <w:t>Variations</w:t>
        </w:r>
        <w:r w:rsidR="0062434F">
          <w:rPr>
            <w:noProof/>
            <w:webHidden/>
          </w:rPr>
          <w:tab/>
        </w:r>
        <w:r w:rsidR="0062434F">
          <w:rPr>
            <w:noProof/>
            <w:webHidden/>
          </w:rPr>
          <w:fldChar w:fldCharType="begin"/>
        </w:r>
        <w:r w:rsidR="0062434F">
          <w:rPr>
            <w:noProof/>
            <w:webHidden/>
          </w:rPr>
          <w:instrText xml:space="preserve"> PAGEREF _Toc525144591 \h </w:instrText>
        </w:r>
        <w:r w:rsidR="0062434F">
          <w:rPr>
            <w:noProof/>
            <w:webHidden/>
          </w:rPr>
        </w:r>
        <w:r w:rsidR="0062434F">
          <w:rPr>
            <w:noProof/>
            <w:webHidden/>
          </w:rPr>
          <w:fldChar w:fldCharType="separate"/>
        </w:r>
        <w:r w:rsidR="00A17FB0">
          <w:rPr>
            <w:noProof/>
            <w:webHidden/>
          </w:rPr>
          <w:t>5</w:t>
        </w:r>
        <w:r w:rsidR="0062434F">
          <w:rPr>
            <w:noProof/>
            <w:webHidden/>
          </w:rPr>
          <w:fldChar w:fldCharType="end"/>
        </w:r>
      </w:hyperlink>
    </w:p>
    <w:p w14:paraId="54A277CC" w14:textId="70C0AD22" w:rsidR="0062434F" w:rsidRDefault="00F25354">
      <w:pPr>
        <w:pStyle w:val="TOC2"/>
        <w:rPr>
          <w:rFonts w:asciiTheme="minorHAnsi" w:eastAsiaTheme="minorEastAsia" w:hAnsiTheme="minorHAnsi" w:cstheme="minorBidi"/>
          <w:noProof/>
          <w:color w:val="auto"/>
          <w:sz w:val="22"/>
          <w:szCs w:val="22"/>
        </w:rPr>
      </w:pPr>
      <w:hyperlink w:anchor="_Toc525144592" w:history="1">
        <w:r w:rsidR="0062434F" w:rsidRPr="00497F28">
          <w:rPr>
            <w:rStyle w:val="Hyperlink"/>
            <w:noProof/>
          </w:rPr>
          <w:t>Withdrawal of Parties</w:t>
        </w:r>
        <w:r w:rsidR="0062434F">
          <w:rPr>
            <w:noProof/>
            <w:webHidden/>
          </w:rPr>
          <w:tab/>
        </w:r>
        <w:r w:rsidR="0062434F">
          <w:rPr>
            <w:noProof/>
            <w:webHidden/>
          </w:rPr>
          <w:fldChar w:fldCharType="begin"/>
        </w:r>
        <w:r w:rsidR="0062434F">
          <w:rPr>
            <w:noProof/>
            <w:webHidden/>
          </w:rPr>
          <w:instrText xml:space="preserve"> PAGEREF _Toc525144592 \h </w:instrText>
        </w:r>
        <w:r w:rsidR="0062434F">
          <w:rPr>
            <w:noProof/>
            <w:webHidden/>
          </w:rPr>
        </w:r>
        <w:r w:rsidR="0062434F">
          <w:rPr>
            <w:noProof/>
            <w:webHidden/>
          </w:rPr>
          <w:fldChar w:fldCharType="separate"/>
        </w:r>
        <w:r w:rsidR="00A17FB0">
          <w:rPr>
            <w:noProof/>
            <w:webHidden/>
          </w:rPr>
          <w:t>5</w:t>
        </w:r>
        <w:r w:rsidR="0062434F">
          <w:rPr>
            <w:noProof/>
            <w:webHidden/>
          </w:rPr>
          <w:fldChar w:fldCharType="end"/>
        </w:r>
      </w:hyperlink>
    </w:p>
    <w:p w14:paraId="77DAB615" w14:textId="7B2B9BFC" w:rsidR="0062434F" w:rsidRDefault="00F25354">
      <w:pPr>
        <w:pStyle w:val="TOC2"/>
        <w:rPr>
          <w:rFonts w:asciiTheme="minorHAnsi" w:eastAsiaTheme="minorEastAsia" w:hAnsiTheme="minorHAnsi" w:cstheme="minorBidi"/>
          <w:noProof/>
          <w:color w:val="auto"/>
          <w:sz w:val="22"/>
          <w:szCs w:val="22"/>
        </w:rPr>
      </w:pPr>
      <w:hyperlink w:anchor="_Toc525144593" w:history="1">
        <w:r w:rsidR="0062434F" w:rsidRPr="00497F28">
          <w:rPr>
            <w:rStyle w:val="Hyperlink"/>
            <w:noProof/>
          </w:rPr>
          <w:t>Dispute resolution</w:t>
        </w:r>
        <w:r w:rsidR="0062434F">
          <w:rPr>
            <w:noProof/>
            <w:webHidden/>
          </w:rPr>
          <w:tab/>
        </w:r>
        <w:r w:rsidR="0062434F">
          <w:rPr>
            <w:noProof/>
            <w:webHidden/>
          </w:rPr>
          <w:fldChar w:fldCharType="begin"/>
        </w:r>
        <w:r w:rsidR="0062434F">
          <w:rPr>
            <w:noProof/>
            <w:webHidden/>
          </w:rPr>
          <w:instrText xml:space="preserve"> PAGEREF _Toc525144593 \h </w:instrText>
        </w:r>
        <w:r w:rsidR="0062434F">
          <w:rPr>
            <w:noProof/>
            <w:webHidden/>
          </w:rPr>
        </w:r>
        <w:r w:rsidR="0062434F">
          <w:rPr>
            <w:noProof/>
            <w:webHidden/>
          </w:rPr>
          <w:fldChar w:fldCharType="separate"/>
        </w:r>
        <w:r w:rsidR="00A17FB0">
          <w:rPr>
            <w:noProof/>
            <w:webHidden/>
          </w:rPr>
          <w:t>6</w:t>
        </w:r>
        <w:r w:rsidR="0062434F">
          <w:rPr>
            <w:noProof/>
            <w:webHidden/>
          </w:rPr>
          <w:fldChar w:fldCharType="end"/>
        </w:r>
      </w:hyperlink>
    </w:p>
    <w:p w14:paraId="1C882FD4" w14:textId="0EC85DA4" w:rsidR="0062434F" w:rsidRDefault="00F25354">
      <w:pPr>
        <w:pStyle w:val="TOC2"/>
        <w:rPr>
          <w:rFonts w:asciiTheme="minorHAnsi" w:eastAsiaTheme="minorEastAsia" w:hAnsiTheme="minorHAnsi" w:cstheme="minorBidi"/>
          <w:noProof/>
          <w:color w:val="auto"/>
          <w:sz w:val="22"/>
          <w:szCs w:val="22"/>
        </w:rPr>
      </w:pPr>
      <w:hyperlink w:anchor="_Toc525144594" w:history="1">
        <w:r w:rsidR="0062434F" w:rsidRPr="00497F28">
          <w:rPr>
            <w:rStyle w:val="Hyperlink"/>
            <w:noProof/>
          </w:rPr>
          <w:t>Review</w:t>
        </w:r>
        <w:r w:rsidR="0062434F">
          <w:rPr>
            <w:noProof/>
            <w:webHidden/>
          </w:rPr>
          <w:tab/>
        </w:r>
        <w:r w:rsidR="0062434F">
          <w:rPr>
            <w:noProof/>
            <w:webHidden/>
          </w:rPr>
          <w:fldChar w:fldCharType="begin"/>
        </w:r>
        <w:r w:rsidR="0062434F">
          <w:rPr>
            <w:noProof/>
            <w:webHidden/>
          </w:rPr>
          <w:instrText xml:space="preserve"> PAGEREF _Toc525144594 \h </w:instrText>
        </w:r>
        <w:r w:rsidR="0062434F">
          <w:rPr>
            <w:noProof/>
            <w:webHidden/>
          </w:rPr>
        </w:r>
        <w:r w:rsidR="0062434F">
          <w:rPr>
            <w:noProof/>
            <w:webHidden/>
          </w:rPr>
          <w:fldChar w:fldCharType="separate"/>
        </w:r>
        <w:r w:rsidR="00A17FB0">
          <w:rPr>
            <w:noProof/>
            <w:webHidden/>
          </w:rPr>
          <w:t>6</w:t>
        </w:r>
        <w:r w:rsidR="0062434F">
          <w:rPr>
            <w:noProof/>
            <w:webHidden/>
          </w:rPr>
          <w:fldChar w:fldCharType="end"/>
        </w:r>
      </w:hyperlink>
    </w:p>
    <w:p w14:paraId="2F9F9695" w14:textId="692C7121" w:rsidR="0062434F" w:rsidRDefault="00F25354">
      <w:pPr>
        <w:pStyle w:val="TOC1"/>
        <w:rPr>
          <w:rFonts w:asciiTheme="minorHAnsi" w:eastAsiaTheme="minorEastAsia" w:hAnsiTheme="minorHAnsi" w:cstheme="minorBidi"/>
          <w:b w:val="0"/>
          <w:bCs w:val="0"/>
          <w:smallCaps w:val="0"/>
          <w:color w:val="auto"/>
        </w:rPr>
      </w:pPr>
      <w:hyperlink w:anchor="_Toc525144595" w:history="1">
        <w:r w:rsidR="0062434F" w:rsidRPr="00497F28">
          <w:rPr>
            <w:rStyle w:val="Hyperlink"/>
          </w:rPr>
          <w:t>Part 2 – Objectives, Outcomes, TARGETs and measures</w:t>
        </w:r>
        <w:r w:rsidR="0062434F">
          <w:rPr>
            <w:webHidden/>
          </w:rPr>
          <w:tab/>
        </w:r>
        <w:r w:rsidR="0062434F">
          <w:rPr>
            <w:webHidden/>
          </w:rPr>
          <w:fldChar w:fldCharType="begin"/>
        </w:r>
        <w:r w:rsidR="0062434F">
          <w:rPr>
            <w:webHidden/>
          </w:rPr>
          <w:instrText xml:space="preserve"> PAGEREF _Toc525144595 \h </w:instrText>
        </w:r>
        <w:r w:rsidR="0062434F">
          <w:rPr>
            <w:webHidden/>
          </w:rPr>
        </w:r>
        <w:r w:rsidR="0062434F">
          <w:rPr>
            <w:webHidden/>
          </w:rPr>
          <w:fldChar w:fldCharType="separate"/>
        </w:r>
        <w:r w:rsidR="00A17FB0">
          <w:rPr>
            <w:webHidden/>
          </w:rPr>
          <w:t>6</w:t>
        </w:r>
        <w:r w:rsidR="0062434F">
          <w:rPr>
            <w:webHidden/>
          </w:rPr>
          <w:fldChar w:fldCharType="end"/>
        </w:r>
      </w:hyperlink>
    </w:p>
    <w:p w14:paraId="18609F4F" w14:textId="4A6148CB" w:rsidR="0062434F" w:rsidRDefault="00F25354">
      <w:pPr>
        <w:pStyle w:val="TOC2"/>
        <w:rPr>
          <w:rFonts w:asciiTheme="minorHAnsi" w:eastAsiaTheme="minorEastAsia" w:hAnsiTheme="minorHAnsi" w:cstheme="minorBidi"/>
          <w:noProof/>
          <w:color w:val="auto"/>
          <w:sz w:val="22"/>
          <w:szCs w:val="22"/>
        </w:rPr>
      </w:pPr>
      <w:hyperlink w:anchor="_Toc525144596" w:history="1">
        <w:r w:rsidR="0062434F" w:rsidRPr="00497F28">
          <w:rPr>
            <w:rStyle w:val="Hyperlink"/>
            <w:noProof/>
          </w:rPr>
          <w:t>Objectives</w:t>
        </w:r>
        <w:r w:rsidR="0062434F">
          <w:rPr>
            <w:noProof/>
            <w:webHidden/>
          </w:rPr>
          <w:tab/>
        </w:r>
        <w:r w:rsidR="0062434F">
          <w:rPr>
            <w:noProof/>
            <w:webHidden/>
          </w:rPr>
          <w:fldChar w:fldCharType="begin"/>
        </w:r>
        <w:r w:rsidR="0062434F">
          <w:rPr>
            <w:noProof/>
            <w:webHidden/>
          </w:rPr>
          <w:instrText xml:space="preserve"> PAGEREF _Toc525144596 \h </w:instrText>
        </w:r>
        <w:r w:rsidR="0062434F">
          <w:rPr>
            <w:noProof/>
            <w:webHidden/>
          </w:rPr>
        </w:r>
        <w:r w:rsidR="0062434F">
          <w:rPr>
            <w:noProof/>
            <w:webHidden/>
          </w:rPr>
          <w:fldChar w:fldCharType="separate"/>
        </w:r>
        <w:r w:rsidR="00A17FB0">
          <w:rPr>
            <w:noProof/>
            <w:webHidden/>
          </w:rPr>
          <w:t>6</w:t>
        </w:r>
        <w:r w:rsidR="0062434F">
          <w:rPr>
            <w:noProof/>
            <w:webHidden/>
          </w:rPr>
          <w:fldChar w:fldCharType="end"/>
        </w:r>
      </w:hyperlink>
    </w:p>
    <w:p w14:paraId="4DCC509F" w14:textId="5996E326" w:rsidR="0062434F" w:rsidRDefault="00F25354">
      <w:pPr>
        <w:pStyle w:val="TOC2"/>
        <w:rPr>
          <w:rFonts w:asciiTheme="minorHAnsi" w:eastAsiaTheme="minorEastAsia" w:hAnsiTheme="minorHAnsi" w:cstheme="minorBidi"/>
          <w:noProof/>
          <w:color w:val="auto"/>
          <w:sz w:val="22"/>
          <w:szCs w:val="22"/>
        </w:rPr>
      </w:pPr>
      <w:hyperlink w:anchor="_Toc525144597" w:history="1">
        <w:r w:rsidR="0062434F" w:rsidRPr="00497F28">
          <w:rPr>
            <w:rStyle w:val="Hyperlink"/>
            <w:noProof/>
          </w:rPr>
          <w:t>Outcomes</w:t>
        </w:r>
        <w:r w:rsidR="0062434F">
          <w:rPr>
            <w:noProof/>
            <w:webHidden/>
          </w:rPr>
          <w:tab/>
        </w:r>
        <w:r w:rsidR="0062434F">
          <w:rPr>
            <w:noProof/>
            <w:webHidden/>
          </w:rPr>
          <w:fldChar w:fldCharType="begin"/>
        </w:r>
        <w:r w:rsidR="0062434F">
          <w:rPr>
            <w:noProof/>
            <w:webHidden/>
          </w:rPr>
          <w:instrText xml:space="preserve"> PAGEREF _Toc525144597 \h </w:instrText>
        </w:r>
        <w:r w:rsidR="0062434F">
          <w:rPr>
            <w:noProof/>
            <w:webHidden/>
          </w:rPr>
        </w:r>
        <w:r w:rsidR="0062434F">
          <w:rPr>
            <w:noProof/>
            <w:webHidden/>
          </w:rPr>
          <w:fldChar w:fldCharType="separate"/>
        </w:r>
        <w:r w:rsidR="00A17FB0">
          <w:rPr>
            <w:noProof/>
            <w:webHidden/>
          </w:rPr>
          <w:t>6</w:t>
        </w:r>
        <w:r w:rsidR="0062434F">
          <w:rPr>
            <w:noProof/>
            <w:webHidden/>
          </w:rPr>
          <w:fldChar w:fldCharType="end"/>
        </w:r>
      </w:hyperlink>
    </w:p>
    <w:p w14:paraId="323DC312" w14:textId="4FCEF4DB" w:rsidR="0062434F" w:rsidRDefault="00F25354">
      <w:pPr>
        <w:pStyle w:val="TOC2"/>
        <w:rPr>
          <w:rFonts w:asciiTheme="minorHAnsi" w:eastAsiaTheme="minorEastAsia" w:hAnsiTheme="minorHAnsi" w:cstheme="minorBidi"/>
          <w:noProof/>
          <w:color w:val="auto"/>
          <w:sz w:val="22"/>
          <w:szCs w:val="22"/>
        </w:rPr>
      </w:pPr>
      <w:hyperlink w:anchor="_Toc525144598" w:history="1">
        <w:r w:rsidR="0062434F" w:rsidRPr="00497F28">
          <w:rPr>
            <w:rStyle w:val="Hyperlink"/>
            <w:noProof/>
          </w:rPr>
          <w:t>Targets</w:t>
        </w:r>
        <w:r w:rsidR="0062434F">
          <w:rPr>
            <w:noProof/>
            <w:webHidden/>
          </w:rPr>
          <w:tab/>
        </w:r>
        <w:r w:rsidR="0062434F">
          <w:rPr>
            <w:noProof/>
            <w:webHidden/>
          </w:rPr>
          <w:fldChar w:fldCharType="begin"/>
        </w:r>
        <w:r w:rsidR="0062434F">
          <w:rPr>
            <w:noProof/>
            <w:webHidden/>
          </w:rPr>
          <w:instrText xml:space="preserve"> PAGEREF _Toc525144598 \h </w:instrText>
        </w:r>
        <w:r w:rsidR="0062434F">
          <w:rPr>
            <w:noProof/>
            <w:webHidden/>
          </w:rPr>
        </w:r>
        <w:r w:rsidR="0062434F">
          <w:rPr>
            <w:noProof/>
            <w:webHidden/>
          </w:rPr>
          <w:fldChar w:fldCharType="separate"/>
        </w:r>
        <w:r w:rsidR="00A17FB0">
          <w:rPr>
            <w:noProof/>
            <w:webHidden/>
          </w:rPr>
          <w:t>7</w:t>
        </w:r>
        <w:r w:rsidR="0062434F">
          <w:rPr>
            <w:noProof/>
            <w:webHidden/>
          </w:rPr>
          <w:fldChar w:fldCharType="end"/>
        </w:r>
      </w:hyperlink>
    </w:p>
    <w:p w14:paraId="0671652E" w14:textId="44884D44" w:rsidR="0062434F" w:rsidRDefault="00F25354">
      <w:pPr>
        <w:pStyle w:val="TOC2"/>
        <w:rPr>
          <w:rFonts w:asciiTheme="minorHAnsi" w:eastAsiaTheme="minorEastAsia" w:hAnsiTheme="minorHAnsi" w:cstheme="minorBidi"/>
          <w:noProof/>
          <w:color w:val="auto"/>
          <w:sz w:val="22"/>
          <w:szCs w:val="22"/>
        </w:rPr>
      </w:pPr>
      <w:hyperlink w:anchor="_Toc525144599" w:history="1">
        <w:r w:rsidR="0062434F" w:rsidRPr="00497F28">
          <w:rPr>
            <w:rStyle w:val="Hyperlink"/>
            <w:noProof/>
          </w:rPr>
          <w:t>National measures</w:t>
        </w:r>
        <w:r w:rsidR="0062434F">
          <w:rPr>
            <w:noProof/>
            <w:webHidden/>
          </w:rPr>
          <w:tab/>
        </w:r>
        <w:r w:rsidR="0062434F">
          <w:rPr>
            <w:noProof/>
            <w:webHidden/>
          </w:rPr>
          <w:fldChar w:fldCharType="begin"/>
        </w:r>
        <w:r w:rsidR="0062434F">
          <w:rPr>
            <w:noProof/>
            <w:webHidden/>
          </w:rPr>
          <w:instrText xml:space="preserve"> PAGEREF _Toc525144599 \h </w:instrText>
        </w:r>
        <w:r w:rsidR="0062434F">
          <w:rPr>
            <w:noProof/>
            <w:webHidden/>
          </w:rPr>
        </w:r>
        <w:r w:rsidR="0062434F">
          <w:rPr>
            <w:noProof/>
            <w:webHidden/>
          </w:rPr>
          <w:fldChar w:fldCharType="separate"/>
        </w:r>
        <w:r w:rsidR="00A17FB0">
          <w:rPr>
            <w:noProof/>
            <w:webHidden/>
          </w:rPr>
          <w:t>7</w:t>
        </w:r>
        <w:r w:rsidR="0062434F">
          <w:rPr>
            <w:noProof/>
            <w:webHidden/>
          </w:rPr>
          <w:fldChar w:fldCharType="end"/>
        </w:r>
      </w:hyperlink>
    </w:p>
    <w:p w14:paraId="47434ECE" w14:textId="40FF1B7D" w:rsidR="0062434F" w:rsidRDefault="00F25354">
      <w:pPr>
        <w:pStyle w:val="TOC1"/>
        <w:rPr>
          <w:rFonts w:asciiTheme="minorHAnsi" w:eastAsiaTheme="minorEastAsia" w:hAnsiTheme="minorHAnsi" w:cstheme="minorBidi"/>
          <w:b w:val="0"/>
          <w:bCs w:val="0"/>
          <w:smallCaps w:val="0"/>
          <w:color w:val="auto"/>
        </w:rPr>
      </w:pPr>
      <w:hyperlink w:anchor="_Toc525144600" w:history="1">
        <w:r w:rsidR="0062434F" w:rsidRPr="00497F28">
          <w:rPr>
            <w:rStyle w:val="Hyperlink"/>
          </w:rPr>
          <w:t>Part 3 — REFORM ACTIVITY</w:t>
        </w:r>
        <w:r w:rsidR="0062434F">
          <w:rPr>
            <w:webHidden/>
          </w:rPr>
          <w:tab/>
        </w:r>
        <w:r w:rsidR="0062434F">
          <w:rPr>
            <w:webHidden/>
          </w:rPr>
          <w:fldChar w:fldCharType="begin"/>
        </w:r>
        <w:r w:rsidR="0062434F">
          <w:rPr>
            <w:webHidden/>
          </w:rPr>
          <w:instrText xml:space="preserve"> PAGEREF _Toc525144600 \h </w:instrText>
        </w:r>
        <w:r w:rsidR="0062434F">
          <w:rPr>
            <w:webHidden/>
          </w:rPr>
        </w:r>
        <w:r w:rsidR="0062434F">
          <w:rPr>
            <w:webHidden/>
          </w:rPr>
          <w:fldChar w:fldCharType="separate"/>
        </w:r>
        <w:r w:rsidR="00A17FB0">
          <w:rPr>
            <w:webHidden/>
          </w:rPr>
          <w:t>8</w:t>
        </w:r>
        <w:r w:rsidR="0062434F">
          <w:rPr>
            <w:webHidden/>
          </w:rPr>
          <w:fldChar w:fldCharType="end"/>
        </w:r>
      </w:hyperlink>
    </w:p>
    <w:p w14:paraId="7C331E68" w14:textId="278FF7F4" w:rsidR="0062434F" w:rsidRDefault="00F25354">
      <w:pPr>
        <w:pStyle w:val="TOC2"/>
        <w:rPr>
          <w:rFonts w:asciiTheme="minorHAnsi" w:eastAsiaTheme="minorEastAsia" w:hAnsiTheme="minorHAnsi" w:cstheme="minorBidi"/>
          <w:noProof/>
          <w:color w:val="auto"/>
          <w:sz w:val="22"/>
          <w:szCs w:val="22"/>
        </w:rPr>
      </w:pPr>
      <w:hyperlink w:anchor="_Toc525144601" w:history="1">
        <w:r w:rsidR="0062434F" w:rsidRPr="00497F28">
          <w:rPr>
            <w:rStyle w:val="Hyperlink"/>
            <w:noProof/>
          </w:rPr>
          <w:t>Reform directions</w:t>
        </w:r>
        <w:r w:rsidR="0062434F">
          <w:rPr>
            <w:noProof/>
            <w:webHidden/>
          </w:rPr>
          <w:tab/>
        </w:r>
        <w:r w:rsidR="0062434F">
          <w:rPr>
            <w:noProof/>
            <w:webHidden/>
          </w:rPr>
          <w:fldChar w:fldCharType="begin"/>
        </w:r>
        <w:r w:rsidR="0062434F">
          <w:rPr>
            <w:noProof/>
            <w:webHidden/>
          </w:rPr>
          <w:instrText xml:space="preserve"> PAGEREF _Toc525144601 \h </w:instrText>
        </w:r>
        <w:r w:rsidR="0062434F">
          <w:rPr>
            <w:noProof/>
            <w:webHidden/>
          </w:rPr>
        </w:r>
        <w:r w:rsidR="0062434F">
          <w:rPr>
            <w:noProof/>
            <w:webHidden/>
          </w:rPr>
          <w:fldChar w:fldCharType="separate"/>
        </w:r>
        <w:r w:rsidR="00A17FB0">
          <w:rPr>
            <w:noProof/>
            <w:webHidden/>
          </w:rPr>
          <w:t>8</w:t>
        </w:r>
        <w:r w:rsidR="0062434F">
          <w:rPr>
            <w:noProof/>
            <w:webHidden/>
          </w:rPr>
          <w:fldChar w:fldCharType="end"/>
        </w:r>
      </w:hyperlink>
    </w:p>
    <w:p w14:paraId="5022795C" w14:textId="70F9B678" w:rsidR="0062434F" w:rsidRDefault="00F25354">
      <w:pPr>
        <w:pStyle w:val="TOC2"/>
        <w:rPr>
          <w:rFonts w:asciiTheme="minorHAnsi" w:eastAsiaTheme="minorEastAsia" w:hAnsiTheme="minorHAnsi" w:cstheme="minorBidi"/>
          <w:noProof/>
          <w:color w:val="auto"/>
          <w:sz w:val="22"/>
          <w:szCs w:val="22"/>
        </w:rPr>
      </w:pPr>
      <w:hyperlink w:anchor="_Toc525144602" w:history="1">
        <w:r w:rsidR="0062434F" w:rsidRPr="00497F28">
          <w:rPr>
            <w:rStyle w:val="Hyperlink"/>
            <w:noProof/>
          </w:rPr>
          <w:t>National policy initiatives</w:t>
        </w:r>
        <w:r w:rsidR="0062434F">
          <w:rPr>
            <w:noProof/>
            <w:webHidden/>
          </w:rPr>
          <w:tab/>
        </w:r>
        <w:r w:rsidR="0062434F">
          <w:rPr>
            <w:noProof/>
            <w:webHidden/>
          </w:rPr>
          <w:fldChar w:fldCharType="begin"/>
        </w:r>
        <w:r w:rsidR="0062434F">
          <w:rPr>
            <w:noProof/>
            <w:webHidden/>
          </w:rPr>
          <w:instrText xml:space="preserve"> PAGEREF _Toc525144602 \h </w:instrText>
        </w:r>
        <w:r w:rsidR="0062434F">
          <w:rPr>
            <w:noProof/>
            <w:webHidden/>
          </w:rPr>
        </w:r>
        <w:r w:rsidR="0062434F">
          <w:rPr>
            <w:noProof/>
            <w:webHidden/>
          </w:rPr>
          <w:fldChar w:fldCharType="separate"/>
        </w:r>
        <w:r w:rsidR="00A17FB0">
          <w:rPr>
            <w:noProof/>
            <w:webHidden/>
          </w:rPr>
          <w:t>8</w:t>
        </w:r>
        <w:r w:rsidR="0062434F">
          <w:rPr>
            <w:noProof/>
            <w:webHidden/>
          </w:rPr>
          <w:fldChar w:fldCharType="end"/>
        </w:r>
      </w:hyperlink>
    </w:p>
    <w:p w14:paraId="5596A8BE" w14:textId="671124F5" w:rsidR="0062434F" w:rsidRDefault="00F25354">
      <w:pPr>
        <w:pStyle w:val="TOC2"/>
        <w:rPr>
          <w:rFonts w:asciiTheme="minorHAnsi" w:eastAsiaTheme="minorEastAsia" w:hAnsiTheme="minorHAnsi" w:cstheme="minorBidi"/>
          <w:noProof/>
          <w:color w:val="auto"/>
          <w:sz w:val="22"/>
          <w:szCs w:val="22"/>
        </w:rPr>
      </w:pPr>
      <w:hyperlink w:anchor="_Toc525144603" w:history="1">
        <w:r w:rsidR="0062434F" w:rsidRPr="00497F28">
          <w:rPr>
            <w:rStyle w:val="Hyperlink"/>
            <w:noProof/>
          </w:rPr>
          <w:t>State-specific reform initiatives</w:t>
        </w:r>
        <w:r w:rsidR="0062434F">
          <w:rPr>
            <w:noProof/>
            <w:webHidden/>
          </w:rPr>
          <w:tab/>
        </w:r>
        <w:r w:rsidR="0062434F">
          <w:rPr>
            <w:noProof/>
            <w:webHidden/>
          </w:rPr>
          <w:fldChar w:fldCharType="begin"/>
        </w:r>
        <w:r w:rsidR="0062434F">
          <w:rPr>
            <w:noProof/>
            <w:webHidden/>
          </w:rPr>
          <w:instrText xml:space="preserve"> PAGEREF _Toc525144603 \h </w:instrText>
        </w:r>
        <w:r w:rsidR="0062434F">
          <w:rPr>
            <w:noProof/>
            <w:webHidden/>
          </w:rPr>
        </w:r>
        <w:r w:rsidR="0062434F">
          <w:rPr>
            <w:noProof/>
            <w:webHidden/>
          </w:rPr>
          <w:fldChar w:fldCharType="separate"/>
        </w:r>
        <w:r w:rsidR="00A17FB0">
          <w:rPr>
            <w:noProof/>
            <w:webHidden/>
          </w:rPr>
          <w:t>10</w:t>
        </w:r>
        <w:r w:rsidR="0062434F">
          <w:rPr>
            <w:noProof/>
            <w:webHidden/>
          </w:rPr>
          <w:fldChar w:fldCharType="end"/>
        </w:r>
      </w:hyperlink>
    </w:p>
    <w:p w14:paraId="0FD47790" w14:textId="498ECD82" w:rsidR="0062434F" w:rsidRDefault="00F25354">
      <w:pPr>
        <w:pStyle w:val="TOC1"/>
        <w:rPr>
          <w:rFonts w:asciiTheme="minorHAnsi" w:eastAsiaTheme="minorEastAsia" w:hAnsiTheme="minorHAnsi" w:cstheme="minorBidi"/>
          <w:b w:val="0"/>
          <w:bCs w:val="0"/>
          <w:smallCaps w:val="0"/>
          <w:color w:val="auto"/>
        </w:rPr>
      </w:pPr>
      <w:hyperlink w:anchor="_Toc525144604" w:history="1">
        <w:r w:rsidR="0062434F" w:rsidRPr="00497F28">
          <w:rPr>
            <w:rStyle w:val="Hyperlink"/>
          </w:rPr>
          <w:t>Part 4 — REPORTING AND PUBLIC TRANSPARENCY</w:t>
        </w:r>
        <w:r w:rsidR="0062434F">
          <w:rPr>
            <w:webHidden/>
          </w:rPr>
          <w:tab/>
        </w:r>
        <w:r w:rsidR="0062434F">
          <w:rPr>
            <w:webHidden/>
          </w:rPr>
          <w:fldChar w:fldCharType="begin"/>
        </w:r>
        <w:r w:rsidR="0062434F">
          <w:rPr>
            <w:webHidden/>
          </w:rPr>
          <w:instrText xml:space="preserve"> PAGEREF _Toc525144604 \h </w:instrText>
        </w:r>
        <w:r w:rsidR="0062434F">
          <w:rPr>
            <w:webHidden/>
          </w:rPr>
        </w:r>
        <w:r w:rsidR="0062434F">
          <w:rPr>
            <w:webHidden/>
          </w:rPr>
          <w:fldChar w:fldCharType="separate"/>
        </w:r>
        <w:r w:rsidR="00A17FB0">
          <w:rPr>
            <w:webHidden/>
          </w:rPr>
          <w:t>10</w:t>
        </w:r>
        <w:r w:rsidR="0062434F">
          <w:rPr>
            <w:webHidden/>
          </w:rPr>
          <w:fldChar w:fldCharType="end"/>
        </w:r>
      </w:hyperlink>
    </w:p>
    <w:p w14:paraId="64FB906C" w14:textId="64FB074D" w:rsidR="0062434F" w:rsidRDefault="00F25354">
      <w:pPr>
        <w:pStyle w:val="TOC1"/>
        <w:rPr>
          <w:rFonts w:asciiTheme="minorHAnsi" w:eastAsiaTheme="minorEastAsia" w:hAnsiTheme="minorHAnsi" w:cstheme="minorBidi"/>
          <w:b w:val="0"/>
          <w:bCs w:val="0"/>
          <w:smallCaps w:val="0"/>
          <w:color w:val="auto"/>
        </w:rPr>
      </w:pPr>
      <w:hyperlink w:anchor="_Toc525144605" w:history="1">
        <w:r w:rsidR="0062434F" w:rsidRPr="00497F28">
          <w:rPr>
            <w:rStyle w:val="Hyperlink"/>
          </w:rPr>
          <w:t>PART 5 — RESPONSIBILITIES</w:t>
        </w:r>
        <w:r w:rsidR="0062434F">
          <w:rPr>
            <w:webHidden/>
          </w:rPr>
          <w:tab/>
        </w:r>
        <w:r w:rsidR="0062434F">
          <w:rPr>
            <w:webHidden/>
          </w:rPr>
          <w:fldChar w:fldCharType="begin"/>
        </w:r>
        <w:r w:rsidR="0062434F">
          <w:rPr>
            <w:webHidden/>
          </w:rPr>
          <w:instrText xml:space="preserve"> PAGEREF _Toc525144605 \h </w:instrText>
        </w:r>
        <w:r w:rsidR="0062434F">
          <w:rPr>
            <w:webHidden/>
          </w:rPr>
        </w:r>
        <w:r w:rsidR="0062434F">
          <w:rPr>
            <w:webHidden/>
          </w:rPr>
          <w:fldChar w:fldCharType="separate"/>
        </w:r>
        <w:r w:rsidR="00A17FB0">
          <w:rPr>
            <w:webHidden/>
          </w:rPr>
          <w:t>11</w:t>
        </w:r>
        <w:r w:rsidR="0062434F">
          <w:rPr>
            <w:webHidden/>
          </w:rPr>
          <w:fldChar w:fldCharType="end"/>
        </w:r>
      </w:hyperlink>
    </w:p>
    <w:p w14:paraId="21E07985" w14:textId="6B41ED99" w:rsidR="0062434F" w:rsidRDefault="00F25354">
      <w:pPr>
        <w:pStyle w:val="TOC2"/>
        <w:rPr>
          <w:rFonts w:asciiTheme="minorHAnsi" w:eastAsiaTheme="minorEastAsia" w:hAnsiTheme="minorHAnsi" w:cstheme="minorBidi"/>
          <w:noProof/>
          <w:color w:val="auto"/>
          <w:sz w:val="22"/>
          <w:szCs w:val="22"/>
        </w:rPr>
      </w:pPr>
      <w:hyperlink w:anchor="_Toc525144606" w:history="1">
        <w:r w:rsidR="0062434F" w:rsidRPr="00497F28">
          <w:rPr>
            <w:rStyle w:val="Hyperlink"/>
            <w:noProof/>
          </w:rPr>
          <w:t>Shared responsibilities of the Commonwealth and the States and Territories</w:t>
        </w:r>
        <w:r w:rsidR="0062434F">
          <w:rPr>
            <w:noProof/>
            <w:webHidden/>
          </w:rPr>
          <w:tab/>
        </w:r>
        <w:r w:rsidR="0062434F">
          <w:rPr>
            <w:noProof/>
            <w:webHidden/>
          </w:rPr>
          <w:fldChar w:fldCharType="begin"/>
        </w:r>
        <w:r w:rsidR="0062434F">
          <w:rPr>
            <w:noProof/>
            <w:webHidden/>
          </w:rPr>
          <w:instrText xml:space="preserve"> PAGEREF _Toc525144606 \h </w:instrText>
        </w:r>
        <w:r w:rsidR="0062434F">
          <w:rPr>
            <w:noProof/>
            <w:webHidden/>
          </w:rPr>
        </w:r>
        <w:r w:rsidR="0062434F">
          <w:rPr>
            <w:noProof/>
            <w:webHidden/>
          </w:rPr>
          <w:fldChar w:fldCharType="separate"/>
        </w:r>
        <w:r w:rsidR="00A17FB0">
          <w:rPr>
            <w:noProof/>
            <w:webHidden/>
          </w:rPr>
          <w:t>11</w:t>
        </w:r>
        <w:r w:rsidR="0062434F">
          <w:rPr>
            <w:noProof/>
            <w:webHidden/>
          </w:rPr>
          <w:fldChar w:fldCharType="end"/>
        </w:r>
      </w:hyperlink>
    </w:p>
    <w:p w14:paraId="3BA2A794" w14:textId="009290AC" w:rsidR="0062434F" w:rsidRDefault="00F25354">
      <w:pPr>
        <w:pStyle w:val="TOC2"/>
        <w:rPr>
          <w:rFonts w:asciiTheme="minorHAnsi" w:eastAsiaTheme="minorEastAsia" w:hAnsiTheme="minorHAnsi" w:cstheme="minorBidi"/>
          <w:noProof/>
          <w:color w:val="auto"/>
          <w:sz w:val="22"/>
          <w:szCs w:val="22"/>
        </w:rPr>
      </w:pPr>
      <w:hyperlink w:anchor="_Toc525144607" w:history="1">
        <w:r w:rsidR="0062434F" w:rsidRPr="00497F28">
          <w:rPr>
            <w:rStyle w:val="Hyperlink"/>
            <w:noProof/>
          </w:rPr>
          <w:t>Responsibilities of the Commonwealth</w:t>
        </w:r>
        <w:r w:rsidR="0062434F">
          <w:rPr>
            <w:noProof/>
            <w:webHidden/>
          </w:rPr>
          <w:tab/>
        </w:r>
        <w:r w:rsidR="0062434F">
          <w:rPr>
            <w:noProof/>
            <w:webHidden/>
          </w:rPr>
          <w:fldChar w:fldCharType="begin"/>
        </w:r>
        <w:r w:rsidR="0062434F">
          <w:rPr>
            <w:noProof/>
            <w:webHidden/>
          </w:rPr>
          <w:instrText xml:space="preserve"> PAGEREF _Toc525144607 \h </w:instrText>
        </w:r>
        <w:r w:rsidR="0062434F">
          <w:rPr>
            <w:noProof/>
            <w:webHidden/>
          </w:rPr>
        </w:r>
        <w:r w:rsidR="0062434F">
          <w:rPr>
            <w:noProof/>
            <w:webHidden/>
          </w:rPr>
          <w:fldChar w:fldCharType="separate"/>
        </w:r>
        <w:r w:rsidR="00A17FB0">
          <w:rPr>
            <w:noProof/>
            <w:webHidden/>
          </w:rPr>
          <w:t>12</w:t>
        </w:r>
        <w:r w:rsidR="0062434F">
          <w:rPr>
            <w:noProof/>
            <w:webHidden/>
          </w:rPr>
          <w:fldChar w:fldCharType="end"/>
        </w:r>
      </w:hyperlink>
    </w:p>
    <w:p w14:paraId="6A039E72" w14:textId="450ED958" w:rsidR="0062434F" w:rsidRDefault="00F25354">
      <w:pPr>
        <w:pStyle w:val="TOC2"/>
        <w:rPr>
          <w:rFonts w:asciiTheme="minorHAnsi" w:eastAsiaTheme="minorEastAsia" w:hAnsiTheme="minorHAnsi" w:cstheme="minorBidi"/>
          <w:noProof/>
          <w:color w:val="auto"/>
          <w:sz w:val="22"/>
          <w:szCs w:val="22"/>
        </w:rPr>
      </w:pPr>
      <w:hyperlink w:anchor="_Toc525144608" w:history="1">
        <w:r w:rsidR="0062434F" w:rsidRPr="00497F28">
          <w:rPr>
            <w:rStyle w:val="Hyperlink"/>
            <w:noProof/>
          </w:rPr>
          <w:t>Responsibilities of the States and Territories</w:t>
        </w:r>
        <w:r w:rsidR="0062434F">
          <w:rPr>
            <w:noProof/>
            <w:webHidden/>
          </w:rPr>
          <w:tab/>
        </w:r>
        <w:r w:rsidR="0062434F">
          <w:rPr>
            <w:noProof/>
            <w:webHidden/>
          </w:rPr>
          <w:fldChar w:fldCharType="begin"/>
        </w:r>
        <w:r w:rsidR="0062434F">
          <w:rPr>
            <w:noProof/>
            <w:webHidden/>
          </w:rPr>
          <w:instrText xml:space="preserve"> PAGEREF _Toc525144608 \h </w:instrText>
        </w:r>
        <w:r w:rsidR="0062434F">
          <w:rPr>
            <w:noProof/>
            <w:webHidden/>
          </w:rPr>
        </w:r>
        <w:r w:rsidR="0062434F">
          <w:rPr>
            <w:noProof/>
            <w:webHidden/>
          </w:rPr>
          <w:fldChar w:fldCharType="separate"/>
        </w:r>
        <w:r w:rsidR="00A17FB0">
          <w:rPr>
            <w:noProof/>
            <w:webHidden/>
          </w:rPr>
          <w:t>13</w:t>
        </w:r>
        <w:r w:rsidR="0062434F">
          <w:rPr>
            <w:noProof/>
            <w:webHidden/>
          </w:rPr>
          <w:fldChar w:fldCharType="end"/>
        </w:r>
      </w:hyperlink>
    </w:p>
    <w:p w14:paraId="27E278C5" w14:textId="650FC133" w:rsidR="0062434F" w:rsidRDefault="00F25354">
      <w:pPr>
        <w:pStyle w:val="TOC1"/>
        <w:rPr>
          <w:rFonts w:asciiTheme="minorHAnsi" w:eastAsiaTheme="minorEastAsia" w:hAnsiTheme="minorHAnsi" w:cstheme="minorBidi"/>
          <w:b w:val="0"/>
          <w:bCs w:val="0"/>
          <w:smallCaps w:val="0"/>
          <w:color w:val="auto"/>
        </w:rPr>
      </w:pPr>
      <w:hyperlink w:anchor="_Toc525144609" w:history="1">
        <w:r w:rsidR="0062434F" w:rsidRPr="00497F28">
          <w:rPr>
            <w:rStyle w:val="Hyperlink"/>
          </w:rPr>
          <w:t>PART 6 — ROLE OF THE NON-GOVERNMENT SECTOR</w:t>
        </w:r>
        <w:r w:rsidR="0062434F">
          <w:rPr>
            <w:webHidden/>
          </w:rPr>
          <w:tab/>
        </w:r>
        <w:r w:rsidR="0062434F">
          <w:rPr>
            <w:webHidden/>
          </w:rPr>
          <w:fldChar w:fldCharType="begin"/>
        </w:r>
        <w:r w:rsidR="0062434F">
          <w:rPr>
            <w:webHidden/>
          </w:rPr>
          <w:instrText xml:space="preserve"> PAGEREF _Toc525144609 \h </w:instrText>
        </w:r>
        <w:r w:rsidR="0062434F">
          <w:rPr>
            <w:webHidden/>
          </w:rPr>
        </w:r>
        <w:r w:rsidR="0062434F">
          <w:rPr>
            <w:webHidden/>
          </w:rPr>
          <w:fldChar w:fldCharType="separate"/>
        </w:r>
        <w:r w:rsidR="00A17FB0">
          <w:rPr>
            <w:webHidden/>
          </w:rPr>
          <w:t>14</w:t>
        </w:r>
        <w:r w:rsidR="0062434F">
          <w:rPr>
            <w:webHidden/>
          </w:rPr>
          <w:fldChar w:fldCharType="end"/>
        </w:r>
      </w:hyperlink>
    </w:p>
    <w:p w14:paraId="363FF2FC" w14:textId="7ACDC0C2" w:rsidR="0062434F" w:rsidRDefault="00F25354">
      <w:pPr>
        <w:pStyle w:val="TOC1"/>
        <w:rPr>
          <w:rFonts w:asciiTheme="minorHAnsi" w:eastAsiaTheme="minorEastAsia" w:hAnsiTheme="minorHAnsi" w:cstheme="minorBidi"/>
          <w:b w:val="0"/>
          <w:bCs w:val="0"/>
          <w:smallCaps w:val="0"/>
          <w:color w:val="auto"/>
        </w:rPr>
      </w:pPr>
      <w:hyperlink w:anchor="_Toc525144610" w:history="1">
        <w:r w:rsidR="0062434F" w:rsidRPr="00497F28">
          <w:rPr>
            <w:rStyle w:val="Hyperlink"/>
          </w:rPr>
          <w:t>PART 7 — SIGNATURES</w:t>
        </w:r>
        <w:r w:rsidR="0062434F">
          <w:rPr>
            <w:webHidden/>
          </w:rPr>
          <w:tab/>
        </w:r>
        <w:r w:rsidR="0062434F">
          <w:rPr>
            <w:webHidden/>
          </w:rPr>
          <w:fldChar w:fldCharType="begin"/>
        </w:r>
        <w:r w:rsidR="0062434F">
          <w:rPr>
            <w:webHidden/>
          </w:rPr>
          <w:instrText xml:space="preserve"> PAGEREF _Toc525144610 \h </w:instrText>
        </w:r>
        <w:r w:rsidR="0062434F">
          <w:rPr>
            <w:webHidden/>
          </w:rPr>
        </w:r>
        <w:r w:rsidR="0062434F">
          <w:rPr>
            <w:webHidden/>
          </w:rPr>
          <w:fldChar w:fldCharType="separate"/>
        </w:r>
        <w:r w:rsidR="00A17FB0">
          <w:rPr>
            <w:webHidden/>
          </w:rPr>
          <w:t>15</w:t>
        </w:r>
        <w:r w:rsidR="0062434F">
          <w:rPr>
            <w:webHidden/>
          </w:rPr>
          <w:fldChar w:fldCharType="end"/>
        </w:r>
      </w:hyperlink>
    </w:p>
    <w:p w14:paraId="4E598A15" w14:textId="0496AA28" w:rsidR="0062434F" w:rsidRDefault="00F25354">
      <w:pPr>
        <w:pStyle w:val="TOC1"/>
        <w:rPr>
          <w:rFonts w:asciiTheme="minorHAnsi" w:eastAsiaTheme="minorEastAsia" w:hAnsiTheme="minorHAnsi" w:cstheme="minorBidi"/>
          <w:b w:val="0"/>
          <w:bCs w:val="0"/>
          <w:smallCaps w:val="0"/>
          <w:color w:val="auto"/>
        </w:rPr>
      </w:pPr>
      <w:hyperlink w:anchor="_Toc525144611" w:history="1">
        <w:r w:rsidR="0062434F" w:rsidRPr="00497F28">
          <w:rPr>
            <w:rStyle w:val="Hyperlink"/>
          </w:rPr>
          <w:t>PART 8 — SCHEDULES</w:t>
        </w:r>
        <w:r w:rsidR="0062434F">
          <w:rPr>
            <w:webHidden/>
          </w:rPr>
          <w:tab/>
        </w:r>
        <w:r w:rsidR="00E92A3D">
          <w:rPr>
            <w:webHidden/>
          </w:rPr>
          <w:t>16</w:t>
        </w:r>
      </w:hyperlink>
    </w:p>
    <w:p w14:paraId="2E4CA446" w14:textId="0632A9BF" w:rsidR="00EB45E1" w:rsidRPr="00144E99" w:rsidRDefault="0062434F" w:rsidP="001D7EF8">
      <w:pPr>
        <w:rPr>
          <w:b/>
          <w:color w:val="316F72"/>
          <w:lang w:eastAsia="ja-JP"/>
        </w:rPr>
      </w:pPr>
      <w:r w:rsidRPr="00BD1CB9">
        <w:rPr>
          <w:rFonts w:ascii="Arial Bold" w:hAnsi="Arial Bold"/>
          <w:b/>
          <w:smallCaps/>
          <w:color w:val="316F72"/>
          <w:sz w:val="22"/>
        </w:rPr>
        <w:fldChar w:fldCharType="end"/>
      </w:r>
    </w:p>
    <w:p w14:paraId="4D46D829" w14:textId="539034C9" w:rsidR="0019717E" w:rsidRPr="00144E99" w:rsidRDefault="00146A69" w:rsidP="00BC36A9">
      <w:pPr>
        <w:pStyle w:val="Title"/>
        <w:pageBreakBefore/>
        <w:rPr>
          <w:rFonts w:ascii="Corbel" w:hAnsi="Corbel"/>
          <w:sz w:val="72"/>
        </w:rPr>
      </w:pPr>
      <w:r w:rsidRPr="00144E99">
        <w:rPr>
          <w:rFonts w:ascii="Corbel" w:hAnsi="Corbel"/>
          <w:sz w:val="72"/>
        </w:rPr>
        <w:lastRenderedPageBreak/>
        <w:t>National</w:t>
      </w:r>
      <w:r w:rsidR="006303F7" w:rsidRPr="00144E99">
        <w:rPr>
          <w:rFonts w:ascii="Corbel" w:hAnsi="Corbel"/>
          <w:sz w:val="72"/>
        </w:rPr>
        <w:t xml:space="preserve"> </w:t>
      </w:r>
      <w:r w:rsidR="0084489A" w:rsidRPr="00144E99">
        <w:rPr>
          <w:rFonts w:ascii="Corbel" w:hAnsi="Corbel"/>
          <w:sz w:val="72"/>
        </w:rPr>
        <w:t>School Reform Agreement</w:t>
      </w:r>
    </w:p>
    <w:p w14:paraId="31DF88B8" w14:textId="77777777" w:rsidR="00275654" w:rsidRPr="00144E99" w:rsidRDefault="00275654" w:rsidP="00275654">
      <w:pPr>
        <w:pStyle w:val="Heading1"/>
        <w:rPr>
          <w:color w:val="1F497D"/>
        </w:rPr>
      </w:pPr>
      <w:bookmarkStart w:id="1" w:name="_Toc525144587"/>
      <w:bookmarkStart w:id="2" w:name="_Toc525030936"/>
      <w:r w:rsidRPr="00144E99">
        <w:t>PRELIMINARIES</w:t>
      </w:r>
      <w:bookmarkEnd w:id="1"/>
      <w:bookmarkEnd w:id="2"/>
    </w:p>
    <w:p w14:paraId="678CBCEE" w14:textId="77777777" w:rsidR="00BC67FC" w:rsidRPr="00144E99" w:rsidRDefault="00BC67FC" w:rsidP="00BC67FC">
      <w:pPr>
        <w:numPr>
          <w:ilvl w:val="0"/>
          <w:numId w:val="17"/>
        </w:numPr>
        <w:jc w:val="left"/>
      </w:pPr>
      <w:r w:rsidRPr="00144E99">
        <w:rPr>
          <w:rFonts w:cs="Calibri"/>
        </w:rPr>
        <w:t xml:space="preserve">All Governments have agreed common goals for schooling in Australia through the </w:t>
      </w:r>
      <w:r w:rsidRPr="00144E99">
        <w:rPr>
          <w:rFonts w:cs="Calibri"/>
          <w:i/>
        </w:rPr>
        <w:t>Melbourne Declaration on Educational Goals for Young Australians</w:t>
      </w:r>
      <w:r w:rsidRPr="00144E99">
        <w:rPr>
          <w:rFonts w:cs="Calibri"/>
        </w:rPr>
        <w:t xml:space="preserve">. These shared goals provide that schooling in Australia will be founded on the twin principles of equity and excellence. While school education is delivered in diverse contexts across eight </w:t>
      </w:r>
      <w:r w:rsidR="0094442E" w:rsidRPr="00144E99">
        <w:rPr>
          <w:rFonts w:cs="Calibri"/>
        </w:rPr>
        <w:t xml:space="preserve">States and Territories </w:t>
      </w:r>
      <w:r w:rsidRPr="00144E99">
        <w:rPr>
          <w:rFonts w:cs="Calibri"/>
        </w:rPr>
        <w:t xml:space="preserve">in </w:t>
      </w:r>
      <w:r w:rsidR="0031238A" w:rsidRPr="00144E99">
        <w:rPr>
          <w:rFonts w:cs="Calibri"/>
        </w:rPr>
        <w:t xml:space="preserve">government and </w:t>
      </w:r>
      <w:r w:rsidRPr="00144E99">
        <w:rPr>
          <w:rFonts w:cs="Calibri"/>
        </w:rPr>
        <w:t>non-government schools, our common aspiration is that all young Australians will become successful learners, confident and creative individuals and active and informed citizens.</w:t>
      </w:r>
    </w:p>
    <w:p w14:paraId="1D38D83F" w14:textId="77777777" w:rsidR="00BC67FC" w:rsidRPr="00144E99" w:rsidRDefault="00BC67FC" w:rsidP="00BC67FC">
      <w:pPr>
        <w:numPr>
          <w:ilvl w:val="0"/>
          <w:numId w:val="17"/>
        </w:numPr>
        <w:jc w:val="left"/>
      </w:pPr>
      <w:r w:rsidRPr="00144E99">
        <w:rPr>
          <w:rFonts w:cs="Calibri"/>
        </w:rPr>
        <w:t>A high quality school education will equip Australians to succeed in an increasingly complex world. Australia’s future stability and economic prosperity is reliant on an equitable and inclusive school system that instils in our children and young adults the values, knowledge and skills required to be active, informed citizens and prepares them for the challenges of tomorrow.</w:t>
      </w:r>
    </w:p>
    <w:p w14:paraId="28CC9DF0" w14:textId="77777777" w:rsidR="00BC67FC" w:rsidRPr="00144E99" w:rsidRDefault="00BC67FC" w:rsidP="00BC67FC">
      <w:pPr>
        <w:numPr>
          <w:ilvl w:val="0"/>
          <w:numId w:val="17"/>
        </w:numPr>
        <w:jc w:val="left"/>
      </w:pPr>
      <w:r w:rsidRPr="00144E99">
        <w:rPr>
          <w:rFonts w:cs="Calibri"/>
        </w:rPr>
        <w:t xml:space="preserve">The Parties recognise that the constitutional responsibility for school education lies with States and Territories and that each State and Territory as well as non-government schools have in place their own </w:t>
      </w:r>
      <w:r w:rsidR="00556A1E" w:rsidRPr="00144E99">
        <w:rPr>
          <w:rFonts w:cs="Calibri"/>
        </w:rPr>
        <w:t xml:space="preserve">regulatory frameworks, </w:t>
      </w:r>
      <w:r w:rsidRPr="00144E99">
        <w:rPr>
          <w:rFonts w:cs="Calibri"/>
        </w:rPr>
        <w:t>local policies and priorities intended to maximise local students’ educational outcomes.</w:t>
      </w:r>
      <w:r w:rsidR="007F3858" w:rsidRPr="00144E99">
        <w:rPr>
          <w:rFonts w:cs="Calibri"/>
        </w:rPr>
        <w:t xml:space="preserve"> </w:t>
      </w:r>
    </w:p>
    <w:p w14:paraId="4CD3CABE" w14:textId="4B5F5800" w:rsidR="00BC67FC" w:rsidRPr="00144E99" w:rsidRDefault="00BC67FC" w:rsidP="00BC67FC">
      <w:pPr>
        <w:numPr>
          <w:ilvl w:val="0"/>
          <w:numId w:val="17"/>
        </w:numPr>
        <w:jc w:val="left"/>
      </w:pPr>
      <w:r w:rsidRPr="00144E99">
        <w:rPr>
          <w:rFonts w:cs="Calibri"/>
        </w:rPr>
        <w:t>Working together, the Parties have already</w:t>
      </w:r>
      <w:r w:rsidRPr="00144E99">
        <w:t xml:space="preserve"> </w:t>
      </w:r>
      <w:r w:rsidRPr="00144E99">
        <w:rPr>
          <w:rFonts w:cs="Calibri"/>
        </w:rPr>
        <w:t>established</w:t>
      </w:r>
      <w:r w:rsidRPr="00144E99">
        <w:t xml:space="preserve"> a number of key strategic initiatives in areas where national collaboration provides the best means to achieve outcomes. Jurisdictions have collaborated to produce </w:t>
      </w:r>
      <w:r w:rsidR="00087967" w:rsidRPr="00144E99">
        <w:t xml:space="preserve">a </w:t>
      </w:r>
      <w:r w:rsidRPr="00144E99">
        <w:t>national curriculum that provides the core knowledge that students need to succeed. National teaching standards underpin reforms across the country to support the highest quality teaching profession. A program of national assessments and a common reporting framework provides the means for measuring progress against our national goals.</w:t>
      </w:r>
      <w:r w:rsidR="007F3858" w:rsidRPr="00144E99">
        <w:t xml:space="preserve"> </w:t>
      </w:r>
      <w:r w:rsidR="007C421E" w:rsidRPr="00144E99">
        <w:t>Ongoing i</w:t>
      </w:r>
      <w:r w:rsidR="00266C13" w:rsidRPr="00144E99">
        <w:t xml:space="preserve">mplementation of these shared commitments remains a condition of funding under the </w:t>
      </w:r>
      <w:r w:rsidR="00266C13" w:rsidRPr="00144E99">
        <w:rPr>
          <w:i/>
        </w:rPr>
        <w:t>Australian Education Act 2013</w:t>
      </w:r>
      <w:r w:rsidR="007F3858" w:rsidRPr="00144E99">
        <w:rPr>
          <w:i/>
        </w:rPr>
        <w:t xml:space="preserve"> </w:t>
      </w:r>
      <w:r w:rsidR="00B15D7F" w:rsidRPr="00144E99">
        <w:t>(the Act)</w:t>
      </w:r>
      <w:r w:rsidR="00266C13" w:rsidRPr="00144E99">
        <w:t>.</w:t>
      </w:r>
    </w:p>
    <w:p w14:paraId="7415AA98" w14:textId="77777777" w:rsidR="00BC67FC" w:rsidRPr="00144E99" w:rsidRDefault="00BC67FC" w:rsidP="00CF29C1">
      <w:pPr>
        <w:numPr>
          <w:ilvl w:val="0"/>
          <w:numId w:val="17"/>
        </w:numPr>
        <w:jc w:val="left"/>
      </w:pPr>
      <w:r w:rsidRPr="00144E99">
        <w:rPr>
          <w:rFonts w:cs="Calibri"/>
        </w:rPr>
        <w:t xml:space="preserve">Reflecting the long-standing practice of collaboration between all governments to deliver school education reform, the Council of Australian Governments (COAG) has established the </w:t>
      </w:r>
      <w:r w:rsidR="0007387E" w:rsidRPr="00144E99">
        <w:rPr>
          <w:rFonts w:cs="Calibri"/>
        </w:rPr>
        <w:t xml:space="preserve">National School Reform Agreement </w:t>
      </w:r>
      <w:r w:rsidRPr="00144E99">
        <w:rPr>
          <w:rFonts w:cs="Calibri"/>
        </w:rPr>
        <w:t>(the Agreement)</w:t>
      </w:r>
      <w:r w:rsidR="0007387E" w:rsidRPr="00144E99">
        <w:rPr>
          <w:rFonts w:cs="Calibri"/>
        </w:rPr>
        <w:t>.</w:t>
      </w:r>
      <w:r w:rsidR="007F3858" w:rsidRPr="00144E99">
        <w:rPr>
          <w:rFonts w:cs="Calibri"/>
        </w:rPr>
        <w:t xml:space="preserve"> </w:t>
      </w:r>
      <w:r w:rsidR="0007387E" w:rsidRPr="00144E99">
        <w:rPr>
          <w:rFonts w:cs="Calibri"/>
        </w:rPr>
        <w:t>Th</w:t>
      </w:r>
      <w:r w:rsidR="001D550A" w:rsidRPr="00144E99">
        <w:rPr>
          <w:rFonts w:cs="Calibri"/>
        </w:rPr>
        <w:t>is</w:t>
      </w:r>
      <w:r w:rsidR="0007387E" w:rsidRPr="00144E99">
        <w:rPr>
          <w:rFonts w:cs="Calibri"/>
        </w:rPr>
        <w:t xml:space="preserve"> Agreement </w:t>
      </w:r>
      <w:r w:rsidR="0007387E" w:rsidRPr="00144E99">
        <w:t>outlines a set of strategic reforms in areas where national collaboration will have the greatest impact, builds on current national reform efforts, complements State and Territory leadership in each jurisdiction and supports local implementation.</w:t>
      </w:r>
      <w:r w:rsidR="007F3858" w:rsidRPr="00144E99">
        <w:t xml:space="preserve"> </w:t>
      </w:r>
      <w:r w:rsidR="0007387E" w:rsidRPr="00144E99">
        <w:t xml:space="preserve">The </w:t>
      </w:r>
      <w:r w:rsidRPr="00144E99">
        <w:rPr>
          <w:rFonts w:cs="Calibri"/>
        </w:rPr>
        <w:t>Education Council</w:t>
      </w:r>
      <w:r w:rsidRPr="00144E99">
        <w:rPr>
          <w:rStyle w:val="FootnoteReference"/>
        </w:rPr>
        <w:footnoteReference w:id="2"/>
      </w:r>
      <w:r w:rsidRPr="00144E99">
        <w:rPr>
          <w:rFonts w:cs="Calibri"/>
        </w:rPr>
        <w:t xml:space="preserve"> of COAG</w:t>
      </w:r>
      <w:r w:rsidR="0007387E" w:rsidRPr="00144E99">
        <w:rPr>
          <w:rFonts w:cs="Calibri"/>
        </w:rPr>
        <w:t xml:space="preserve"> is </w:t>
      </w:r>
      <w:r w:rsidRPr="00144E99">
        <w:rPr>
          <w:rFonts w:cs="Calibri"/>
        </w:rPr>
        <w:t>responsible for overseeing implementation</w:t>
      </w:r>
      <w:r w:rsidR="0007387E" w:rsidRPr="00144E99">
        <w:t xml:space="preserve"> of th</w:t>
      </w:r>
      <w:r w:rsidR="001D550A" w:rsidRPr="00144E99">
        <w:t>is</w:t>
      </w:r>
      <w:r w:rsidRPr="00144E99">
        <w:t xml:space="preserve"> Agreement.</w:t>
      </w:r>
    </w:p>
    <w:p w14:paraId="7E3E85AC" w14:textId="77777777" w:rsidR="00BC67FC" w:rsidRPr="00144E99" w:rsidRDefault="00BC67FC" w:rsidP="00BC67FC">
      <w:pPr>
        <w:numPr>
          <w:ilvl w:val="0"/>
          <w:numId w:val="17"/>
        </w:numPr>
        <w:jc w:val="left"/>
      </w:pPr>
      <w:r w:rsidRPr="00144E99">
        <w:rPr>
          <w:rFonts w:cs="Calibri"/>
        </w:rPr>
        <w:t xml:space="preserve">This Agreement </w:t>
      </w:r>
      <w:r w:rsidR="00745005" w:rsidRPr="00144E99">
        <w:rPr>
          <w:rFonts w:cs="Calibri"/>
        </w:rPr>
        <w:t>replaces all previous agreements.</w:t>
      </w:r>
    </w:p>
    <w:p w14:paraId="3F9B0C73" w14:textId="77777777" w:rsidR="001D3D59" w:rsidRPr="00144E99" w:rsidRDefault="00EC06B9" w:rsidP="00087967">
      <w:pPr>
        <w:numPr>
          <w:ilvl w:val="0"/>
          <w:numId w:val="17"/>
        </w:numPr>
        <w:jc w:val="left"/>
      </w:pPr>
      <w:r w:rsidRPr="00144E99">
        <w:rPr>
          <w:color w:val="auto"/>
        </w:rPr>
        <w:t>This</w:t>
      </w:r>
      <w:r w:rsidR="00BC67FC" w:rsidRPr="00144E99">
        <w:rPr>
          <w:rFonts w:cs="Calibri"/>
        </w:rPr>
        <w:t xml:space="preserve"> Agreement </w:t>
      </w:r>
      <w:r w:rsidR="00556A1E" w:rsidRPr="00144E99">
        <w:rPr>
          <w:rFonts w:cs="Calibri"/>
        </w:rPr>
        <w:t>operates in the context of</w:t>
      </w:r>
      <w:r w:rsidR="00087967" w:rsidRPr="00144E99">
        <w:rPr>
          <w:rFonts w:cs="Calibri"/>
        </w:rPr>
        <w:t>,</w:t>
      </w:r>
      <w:r w:rsidR="00556A1E" w:rsidRPr="00144E99">
        <w:rPr>
          <w:rFonts w:cs="Calibri"/>
        </w:rPr>
        <w:t xml:space="preserve"> and </w:t>
      </w:r>
      <w:r w:rsidR="00BC67FC" w:rsidRPr="00144E99">
        <w:rPr>
          <w:rFonts w:cs="Calibri"/>
        </w:rPr>
        <w:t>gives effect to</w:t>
      </w:r>
      <w:r w:rsidR="00087967" w:rsidRPr="00144E99">
        <w:rPr>
          <w:rFonts w:cs="Calibri"/>
        </w:rPr>
        <w:t>,</w:t>
      </w:r>
      <w:r w:rsidR="00BC67FC" w:rsidRPr="00144E99">
        <w:rPr>
          <w:rFonts w:cs="Calibri"/>
        </w:rPr>
        <w:t xml:space="preserve"> requirements under the</w:t>
      </w:r>
      <w:r w:rsidR="003F0975" w:rsidRPr="00144E99">
        <w:rPr>
          <w:rFonts w:cs="Calibri"/>
        </w:rPr>
        <w:t xml:space="preserve"> </w:t>
      </w:r>
      <w:r w:rsidR="00BC67FC" w:rsidRPr="00144E99">
        <w:rPr>
          <w:rFonts w:cs="Calibri"/>
        </w:rPr>
        <w:t xml:space="preserve">Act. The Act sets out conditions on States and Territories for grants of financial assistance. This Agreement and </w:t>
      </w:r>
      <w:r w:rsidR="00BC67FC" w:rsidRPr="00144E99">
        <w:rPr>
          <w:rFonts w:cs="Calibri"/>
        </w:rPr>
        <w:lastRenderedPageBreak/>
        <w:t>its Schedules satisfy the requirements of subsection 22(2)(a) and (b) of the Act in respect of Commonwealth school funding for the period th</w:t>
      </w:r>
      <w:r w:rsidR="001D550A" w:rsidRPr="00144E99">
        <w:rPr>
          <w:rFonts w:cs="Calibri"/>
        </w:rPr>
        <w:t>is</w:t>
      </w:r>
      <w:r w:rsidR="00BC67FC" w:rsidRPr="00144E99">
        <w:rPr>
          <w:rFonts w:cs="Calibri"/>
        </w:rPr>
        <w:t xml:space="preserve"> agreement is in operation.</w:t>
      </w:r>
      <w:r w:rsidR="00087967" w:rsidRPr="00144E99">
        <w:rPr>
          <w:rFonts w:cs="Calibri"/>
        </w:rPr>
        <w:t xml:space="preserve"> </w:t>
      </w:r>
    </w:p>
    <w:p w14:paraId="3A396015" w14:textId="77777777" w:rsidR="00BC67FC" w:rsidRPr="00144E99" w:rsidRDefault="00BC67FC" w:rsidP="00087967">
      <w:pPr>
        <w:numPr>
          <w:ilvl w:val="0"/>
          <w:numId w:val="17"/>
        </w:numPr>
        <w:jc w:val="left"/>
      </w:pPr>
      <w:r w:rsidRPr="00144E99">
        <w:rPr>
          <w:rFonts w:cs="Calibri"/>
        </w:rPr>
        <w:t>Th</w:t>
      </w:r>
      <w:r w:rsidR="00A15EDF" w:rsidRPr="00144E99">
        <w:rPr>
          <w:rFonts w:cs="Calibri"/>
        </w:rPr>
        <w:t>is</w:t>
      </w:r>
      <w:r w:rsidRPr="00144E99">
        <w:rPr>
          <w:rFonts w:cs="Calibri"/>
        </w:rPr>
        <w:t xml:space="preserve"> Agreement has </w:t>
      </w:r>
      <w:r w:rsidRPr="00144E99">
        <w:t xml:space="preserve">been guided by COAG’s ‘Closing the Gap’ agenda, including the </w:t>
      </w:r>
      <w:r w:rsidRPr="00BD1CB9">
        <w:rPr>
          <w:i/>
        </w:rPr>
        <w:t>National Aboriginal and Torres Strait Islander Education Strategy 2015</w:t>
      </w:r>
      <w:r w:rsidRPr="00144E99">
        <w:t xml:space="preserve"> and the </w:t>
      </w:r>
      <w:r w:rsidRPr="00BD1CB9">
        <w:rPr>
          <w:i/>
        </w:rPr>
        <w:t>National Indigenous Reform Agreement</w:t>
      </w:r>
      <w:r w:rsidRPr="00144E99">
        <w:t xml:space="preserve"> and sets out actions that will support efforts to lift outcomes for </w:t>
      </w:r>
      <w:r w:rsidR="00393165" w:rsidRPr="00144E99">
        <w:t>Aboriginal and Torres Strait Islander</w:t>
      </w:r>
      <w:r w:rsidRPr="00144E99">
        <w:t xml:space="preserve"> students. </w:t>
      </w:r>
      <w:r w:rsidRPr="00144E99">
        <w:rPr>
          <w:rFonts w:cs="Calibri"/>
        </w:rPr>
        <w:t xml:space="preserve">It </w:t>
      </w:r>
      <w:r w:rsidRPr="00144E99">
        <w:t xml:space="preserve">has been informed by the findings of the </w:t>
      </w:r>
      <w:r w:rsidRPr="00144E99">
        <w:rPr>
          <w:i/>
        </w:rPr>
        <w:t xml:space="preserve">Review to Achieve Educational Excellence in Australian Schools, </w:t>
      </w:r>
      <w:r w:rsidRPr="00144E99">
        <w:t xml:space="preserve">the </w:t>
      </w:r>
      <w:r w:rsidRPr="00144E99">
        <w:rPr>
          <w:i/>
        </w:rPr>
        <w:t>Independent Review into Regional, Rural and Remote Education,</w:t>
      </w:r>
      <w:r w:rsidRPr="00144E99">
        <w:t xml:space="preserve"> the </w:t>
      </w:r>
      <w:r w:rsidRPr="00144E99">
        <w:rPr>
          <w:i/>
        </w:rPr>
        <w:t xml:space="preserve">Review to Achieve Educational Excellence in Australian Schools through Early Childhood Interventions </w:t>
      </w:r>
      <w:r w:rsidRPr="00144E99">
        <w:t>and the STEM Partnerships Forum.</w:t>
      </w:r>
    </w:p>
    <w:p w14:paraId="4627EA55" w14:textId="77777777" w:rsidR="00E01052" w:rsidRPr="00144E99" w:rsidRDefault="00465721" w:rsidP="00BC67FC">
      <w:pPr>
        <w:numPr>
          <w:ilvl w:val="0"/>
          <w:numId w:val="17"/>
        </w:numPr>
        <w:jc w:val="left"/>
        <w:rPr>
          <w:rFonts w:cs="Calibri"/>
        </w:rPr>
      </w:pPr>
      <w:r w:rsidRPr="00144E99">
        <w:rPr>
          <w:rFonts w:cs="Calibri"/>
        </w:rPr>
        <w:t xml:space="preserve">The wellbeing of all students is fundamental to successful education outcomes. </w:t>
      </w:r>
      <w:r w:rsidR="00FC638B" w:rsidRPr="00144E99">
        <w:rPr>
          <w:rFonts w:cs="Calibri"/>
        </w:rPr>
        <w:t>Parties</w:t>
      </w:r>
      <w:r w:rsidRPr="00144E99">
        <w:rPr>
          <w:rFonts w:cs="Calibri"/>
        </w:rPr>
        <w:t xml:space="preserve"> recognise the</w:t>
      </w:r>
      <w:r w:rsidR="0087101E" w:rsidRPr="00144E99">
        <w:rPr>
          <w:rFonts w:cs="Calibri"/>
        </w:rPr>
        <w:t xml:space="preserve"> critical importance of supporting and facilitating the achievement</w:t>
      </w:r>
      <w:r w:rsidRPr="00144E99">
        <w:rPr>
          <w:rFonts w:cs="Calibri"/>
        </w:rPr>
        <w:t xml:space="preserve"> of</w:t>
      </w:r>
      <w:r w:rsidR="0087101E" w:rsidRPr="00144E99">
        <w:rPr>
          <w:rFonts w:cs="Calibri"/>
        </w:rPr>
        <w:t xml:space="preserve"> priority equity</w:t>
      </w:r>
      <w:r w:rsidRPr="00144E99">
        <w:rPr>
          <w:rFonts w:cs="Calibri"/>
        </w:rPr>
        <w:t xml:space="preserve"> cohorts, including </w:t>
      </w:r>
      <w:r w:rsidR="00745005" w:rsidRPr="00144E99">
        <w:rPr>
          <w:rFonts w:cs="Calibri"/>
        </w:rPr>
        <w:t xml:space="preserve">Aboriginal and Torres Strait Islander students, </w:t>
      </w:r>
      <w:r w:rsidRPr="00144E99">
        <w:rPr>
          <w:rFonts w:cs="Calibri"/>
        </w:rPr>
        <w:t>students living in region</w:t>
      </w:r>
      <w:r w:rsidR="00745005" w:rsidRPr="00144E99">
        <w:rPr>
          <w:rFonts w:cs="Calibri"/>
        </w:rPr>
        <w:t xml:space="preserve">al, rural and remote locations, </w:t>
      </w:r>
      <w:r w:rsidRPr="00144E99">
        <w:rPr>
          <w:rFonts w:cs="Calibri"/>
        </w:rPr>
        <w:t xml:space="preserve">students with </w:t>
      </w:r>
      <w:r w:rsidR="0087101E" w:rsidRPr="00144E99">
        <w:rPr>
          <w:rFonts w:cs="Calibri"/>
        </w:rPr>
        <w:t xml:space="preserve">a </w:t>
      </w:r>
      <w:r w:rsidRPr="00144E99">
        <w:rPr>
          <w:rFonts w:cs="Calibri"/>
        </w:rPr>
        <w:t>disability</w:t>
      </w:r>
      <w:r w:rsidR="00556A1E" w:rsidRPr="00144E99">
        <w:rPr>
          <w:rFonts w:cs="Calibri"/>
        </w:rPr>
        <w:t xml:space="preserve"> and </w:t>
      </w:r>
      <w:r w:rsidRPr="00144E99">
        <w:rPr>
          <w:rFonts w:cs="Calibri"/>
        </w:rPr>
        <w:t>students from</w:t>
      </w:r>
      <w:r w:rsidR="00556A1E" w:rsidRPr="00144E99">
        <w:rPr>
          <w:rFonts w:cs="Calibri"/>
        </w:rPr>
        <w:t xml:space="preserve"> educationally disadvantaged</w:t>
      </w:r>
      <w:r w:rsidRPr="00144E99">
        <w:rPr>
          <w:rFonts w:cs="Calibri"/>
        </w:rPr>
        <w:t xml:space="preserve"> backgrounds.</w:t>
      </w:r>
      <w:r w:rsidR="00556A1E" w:rsidRPr="00144E99">
        <w:rPr>
          <w:rFonts w:cs="Calibri"/>
        </w:rPr>
        <w:t xml:space="preserve"> </w:t>
      </w:r>
    </w:p>
    <w:p w14:paraId="04559D84" w14:textId="77777777" w:rsidR="00465721" w:rsidRPr="00144E99" w:rsidRDefault="00FC638B" w:rsidP="00BC67FC">
      <w:pPr>
        <w:numPr>
          <w:ilvl w:val="0"/>
          <w:numId w:val="17"/>
        </w:numPr>
        <w:jc w:val="left"/>
        <w:rPr>
          <w:rFonts w:cs="Calibri"/>
        </w:rPr>
      </w:pPr>
      <w:r w:rsidRPr="00144E99">
        <w:rPr>
          <w:rFonts w:cs="Calibri"/>
        </w:rPr>
        <w:t>Parties</w:t>
      </w:r>
      <w:r w:rsidR="00556A1E" w:rsidRPr="00144E99">
        <w:rPr>
          <w:rFonts w:cs="Calibri"/>
        </w:rPr>
        <w:t xml:space="preserve"> also recognise </w:t>
      </w:r>
      <w:r w:rsidR="006B1167" w:rsidRPr="00144E99">
        <w:rPr>
          <w:rFonts w:cs="Calibri"/>
        </w:rPr>
        <w:t xml:space="preserve">the crucial role that teachers play in preparing young people to lead successful and productive lives. This agreement recognises the competing demands on teachers’ </w:t>
      </w:r>
      <w:r w:rsidR="002A25F2" w:rsidRPr="00144E99">
        <w:rPr>
          <w:rFonts w:cs="Calibri"/>
        </w:rPr>
        <w:t xml:space="preserve">and school leaders’ </w:t>
      </w:r>
      <w:r w:rsidR="006B1167" w:rsidRPr="00144E99">
        <w:rPr>
          <w:rFonts w:cs="Calibri"/>
        </w:rPr>
        <w:t xml:space="preserve">time and provides support for </w:t>
      </w:r>
      <w:r w:rsidR="002A25F2" w:rsidRPr="00144E99">
        <w:rPr>
          <w:rFonts w:cs="Calibri"/>
        </w:rPr>
        <w:t>them</w:t>
      </w:r>
      <w:r w:rsidR="006B1167" w:rsidRPr="00144E99">
        <w:rPr>
          <w:rFonts w:cs="Calibri"/>
        </w:rPr>
        <w:t xml:space="preserve"> to focus on </w:t>
      </w:r>
      <w:r w:rsidR="002A25F2" w:rsidRPr="00144E99">
        <w:rPr>
          <w:rFonts w:cs="Calibri"/>
        </w:rPr>
        <w:t>high quality teaching and leading,</w:t>
      </w:r>
      <w:r w:rsidR="006B1167" w:rsidRPr="00144E99">
        <w:rPr>
          <w:rFonts w:cs="Calibri"/>
        </w:rPr>
        <w:t xml:space="preserve"> maximis</w:t>
      </w:r>
      <w:r w:rsidR="002A25F2" w:rsidRPr="00144E99">
        <w:rPr>
          <w:rFonts w:cs="Calibri"/>
        </w:rPr>
        <w:t>ing</w:t>
      </w:r>
      <w:r w:rsidR="006B1167" w:rsidRPr="00144E99">
        <w:rPr>
          <w:rFonts w:cs="Calibri"/>
        </w:rPr>
        <w:t xml:space="preserve"> student-learning growth. The reforms allow teachers to build on their professional judgement and implement high-impact teaching and learning practices that benefit all students. A high quality schooling system is also supported through </w:t>
      </w:r>
      <w:r w:rsidR="00556A1E" w:rsidRPr="00144E99">
        <w:rPr>
          <w:rFonts w:cs="Calibri"/>
        </w:rPr>
        <w:t>partnerships</w:t>
      </w:r>
      <w:r w:rsidR="00DA3C4F" w:rsidRPr="00144E99">
        <w:rPr>
          <w:rFonts w:cs="Calibri"/>
        </w:rPr>
        <w:t xml:space="preserve"> with the </w:t>
      </w:r>
      <w:r w:rsidR="00A41C85" w:rsidRPr="00144E99">
        <w:rPr>
          <w:rFonts w:cs="Calibri"/>
        </w:rPr>
        <w:t xml:space="preserve">broader </w:t>
      </w:r>
      <w:r w:rsidR="00DA3C4F" w:rsidRPr="00144E99">
        <w:rPr>
          <w:rFonts w:cs="Calibri"/>
        </w:rPr>
        <w:t>community and employers</w:t>
      </w:r>
      <w:r w:rsidR="00E01052" w:rsidRPr="00144E99">
        <w:rPr>
          <w:rFonts w:cs="Calibri"/>
        </w:rPr>
        <w:t>, extra-curricular activities, volunteering</w:t>
      </w:r>
      <w:r w:rsidR="00556A1E" w:rsidRPr="00144E99">
        <w:rPr>
          <w:rFonts w:cs="Calibri"/>
        </w:rPr>
        <w:t xml:space="preserve"> and parent engagement.</w:t>
      </w:r>
    </w:p>
    <w:p w14:paraId="6388943D" w14:textId="77777777" w:rsidR="00BC67FC" w:rsidRPr="00144E99" w:rsidRDefault="00BC67FC" w:rsidP="00BC67FC">
      <w:pPr>
        <w:numPr>
          <w:ilvl w:val="0"/>
          <w:numId w:val="17"/>
        </w:numPr>
        <w:jc w:val="left"/>
        <w:rPr>
          <w:rFonts w:cs="Calibri"/>
        </w:rPr>
      </w:pPr>
      <w:r w:rsidRPr="00144E99">
        <w:rPr>
          <w:rFonts w:cs="Calibri"/>
        </w:rPr>
        <w:t>Th</w:t>
      </w:r>
      <w:r w:rsidR="00A15EDF" w:rsidRPr="00144E99">
        <w:rPr>
          <w:rFonts w:cs="Calibri"/>
        </w:rPr>
        <w:t>is</w:t>
      </w:r>
      <w:r w:rsidRPr="00144E99">
        <w:rPr>
          <w:rFonts w:cs="Calibri"/>
        </w:rPr>
        <w:t xml:space="preserve"> Agreement sets out long-term national outcomes for school education in Australia and national targets </w:t>
      </w:r>
      <w:r w:rsidR="0029150A" w:rsidRPr="00144E99">
        <w:rPr>
          <w:rFonts w:cs="Calibri"/>
        </w:rPr>
        <w:t xml:space="preserve">and sub-outcomes </w:t>
      </w:r>
      <w:r w:rsidRPr="00144E99">
        <w:rPr>
          <w:rFonts w:cs="Calibri"/>
        </w:rPr>
        <w:t xml:space="preserve">to track progress towards these. To achieve the outcomes, the Agreement sets out reform directions supported by national policy initiatives and bilateral actions that are based on evidence of what works. </w:t>
      </w:r>
    </w:p>
    <w:p w14:paraId="09ABC659" w14:textId="77777777" w:rsidR="00BC67FC" w:rsidRPr="00144E99" w:rsidRDefault="00BC67FC" w:rsidP="00BC67FC">
      <w:pPr>
        <w:numPr>
          <w:ilvl w:val="0"/>
          <w:numId w:val="17"/>
        </w:numPr>
        <w:jc w:val="left"/>
        <w:rPr>
          <w:rFonts w:cs="Calibri"/>
        </w:rPr>
      </w:pPr>
      <w:r w:rsidRPr="00144E99">
        <w:rPr>
          <w:rFonts w:cs="Calibri"/>
        </w:rPr>
        <w:t>The Parties recognise that achieving the outcomes of th</w:t>
      </w:r>
      <w:r w:rsidR="00A15EDF" w:rsidRPr="00144E99">
        <w:rPr>
          <w:rFonts w:cs="Calibri"/>
        </w:rPr>
        <w:t>is</w:t>
      </w:r>
      <w:r w:rsidRPr="00144E99">
        <w:rPr>
          <w:rFonts w:cs="Calibri"/>
        </w:rPr>
        <w:t xml:space="preserve"> Agreement requires sustained reform effort and the actions set out in the Agreement will pave the way for future arrangements. The Parties acknowledge the different local contexts and starting points of each jurisdiction.</w:t>
      </w:r>
    </w:p>
    <w:p w14:paraId="1DE5042C" w14:textId="77777777" w:rsidR="00BC67FC" w:rsidRPr="00144E99" w:rsidRDefault="00BC67FC" w:rsidP="00BC67FC">
      <w:pPr>
        <w:numPr>
          <w:ilvl w:val="0"/>
          <w:numId w:val="17"/>
        </w:numPr>
        <w:jc w:val="left"/>
        <w:rPr>
          <w:rFonts w:cs="Calibri"/>
        </w:rPr>
      </w:pPr>
      <w:r w:rsidRPr="00144E99">
        <w:rPr>
          <w:rFonts w:cs="Calibri"/>
        </w:rPr>
        <w:t xml:space="preserve">The Commonwealth provides funding to States and Territories to distribute to all eligible schools through the Act, </w:t>
      </w:r>
      <w:r w:rsidRPr="00144E99">
        <w:t xml:space="preserve">based on the </w:t>
      </w:r>
      <w:hyperlink r:id="rId11" w:history="1">
        <w:r w:rsidRPr="00144E99">
          <w:t>Schooling Resource Standard (SRS)</w:t>
        </w:r>
      </w:hyperlink>
      <w:r w:rsidRPr="00144E99">
        <w:t xml:space="preserve">. The SRS is made up of a base funding amount for every student plus six additional loadings that provide extra funding to meet the needs of all students. </w:t>
      </w:r>
    </w:p>
    <w:p w14:paraId="75DDDC88" w14:textId="77777777" w:rsidR="00B85885" w:rsidRPr="00144E99" w:rsidRDefault="00FC638B" w:rsidP="00B85885">
      <w:pPr>
        <w:numPr>
          <w:ilvl w:val="0"/>
          <w:numId w:val="17"/>
        </w:numPr>
        <w:jc w:val="left"/>
        <w:rPr>
          <w:rFonts w:cs="Calibri"/>
        </w:rPr>
      </w:pPr>
      <w:r w:rsidRPr="00144E99">
        <w:t xml:space="preserve">Parties recognise that States and Territories provide the majority of public funding for school education. </w:t>
      </w:r>
      <w:r w:rsidR="00EC06B9" w:rsidRPr="00144E99">
        <w:t>As specified in the Act, t</w:t>
      </w:r>
      <w:r w:rsidR="003869CC" w:rsidRPr="00144E99">
        <w:t xml:space="preserve">he </w:t>
      </w:r>
      <w:r w:rsidR="00933538" w:rsidRPr="00144E99">
        <w:t>Commonwealth</w:t>
      </w:r>
      <w:r w:rsidR="003869CC" w:rsidRPr="00144E99">
        <w:t xml:space="preserve"> will contribute at least 20 per cent of the SRS for all government schools by 2023, and</w:t>
      </w:r>
      <w:r w:rsidR="00EC06B9" w:rsidRPr="00144E99">
        <w:t xml:space="preserve"> at least</w:t>
      </w:r>
      <w:r w:rsidR="007F3858" w:rsidRPr="00144E99">
        <w:t xml:space="preserve"> </w:t>
      </w:r>
      <w:r w:rsidR="003869CC" w:rsidRPr="00144E99">
        <w:t xml:space="preserve">80 per cent of the SRS for all </w:t>
      </w:r>
      <w:r w:rsidR="00B17771" w:rsidRPr="00144E99">
        <w:br/>
      </w:r>
      <w:r w:rsidR="003869CC" w:rsidRPr="00144E99">
        <w:t>non-government schools (Catholic and independent schools) by 2023.</w:t>
      </w:r>
      <w:r w:rsidR="00B85885" w:rsidRPr="00144E99">
        <w:t xml:space="preserve"> </w:t>
      </w:r>
      <w:r w:rsidR="00B85885" w:rsidRPr="00144E99">
        <w:rPr>
          <w:rFonts w:cs="Calibri"/>
        </w:rPr>
        <w:t xml:space="preserve">For most non-government schools, the base per student </w:t>
      </w:r>
      <w:r w:rsidR="00B17771" w:rsidRPr="00144E99">
        <w:rPr>
          <w:rFonts w:cs="Calibri"/>
        </w:rPr>
        <w:t>SRS</w:t>
      </w:r>
      <w:r w:rsidR="00B85885" w:rsidRPr="00144E99">
        <w:rPr>
          <w:rFonts w:cs="Calibri"/>
        </w:rPr>
        <w:t xml:space="preserve"> amount is reduced by the anticipated capacity of their school community to financially contribute towards the school’s operating costs.</w:t>
      </w:r>
    </w:p>
    <w:p w14:paraId="5B62315C" w14:textId="77777777" w:rsidR="0059022A" w:rsidRPr="00144E99" w:rsidRDefault="00764F26" w:rsidP="0059022A">
      <w:pPr>
        <w:numPr>
          <w:ilvl w:val="0"/>
          <w:numId w:val="17"/>
        </w:numPr>
        <w:jc w:val="left"/>
      </w:pPr>
      <w:r w:rsidRPr="00144E99">
        <w:t>The Parties recognise the important role of the non-government sector in school education</w:t>
      </w:r>
      <w:r w:rsidR="00833705" w:rsidRPr="00144E99">
        <w:t xml:space="preserve"> outlined in Part 6</w:t>
      </w:r>
      <w:r w:rsidR="00FE6450" w:rsidRPr="00144E99">
        <w:t xml:space="preserve">, including </w:t>
      </w:r>
      <w:r w:rsidR="007D54A6" w:rsidRPr="00144E99">
        <w:t xml:space="preserve">non-government school </w:t>
      </w:r>
      <w:r w:rsidR="00FE6450" w:rsidRPr="00144E99">
        <w:t>approved authorities and the non-government representative bodies that represent them,</w:t>
      </w:r>
      <w:r w:rsidR="007D54A6" w:rsidRPr="00144E99">
        <w:t xml:space="preserve"> </w:t>
      </w:r>
      <w:r w:rsidRPr="00144E99">
        <w:t>and commit to working with the non-government sector</w:t>
      </w:r>
      <w:r w:rsidRPr="00144E99" w:rsidDel="001025E7">
        <w:t xml:space="preserve"> </w:t>
      </w:r>
      <w:r w:rsidRPr="00144E99">
        <w:t xml:space="preserve">to implement </w:t>
      </w:r>
      <w:r w:rsidR="00571698" w:rsidRPr="00144E99">
        <w:t>bilateral a</w:t>
      </w:r>
      <w:r w:rsidRPr="00144E99">
        <w:t>greement</w:t>
      </w:r>
      <w:r w:rsidR="00571698" w:rsidRPr="00144E99">
        <w:t xml:space="preserve">s as detailed and agreed at </w:t>
      </w:r>
      <w:r w:rsidR="00974B9F" w:rsidRPr="00144E99">
        <w:t xml:space="preserve">Schedule </w:t>
      </w:r>
      <w:r w:rsidR="008E6EED" w:rsidRPr="00144E99">
        <w:t>E</w:t>
      </w:r>
      <w:r w:rsidRPr="00144E99">
        <w:t>.</w:t>
      </w:r>
    </w:p>
    <w:p w14:paraId="610C7C3F" w14:textId="77777777" w:rsidR="00704634" w:rsidRPr="00144E99" w:rsidRDefault="000E5DE1" w:rsidP="00B85885">
      <w:pPr>
        <w:pStyle w:val="Normalnumbered"/>
        <w:numPr>
          <w:ilvl w:val="0"/>
          <w:numId w:val="17"/>
        </w:numPr>
        <w:jc w:val="left"/>
        <w:rPr>
          <w:rFonts w:cs="Consolas"/>
          <w:b/>
          <w:caps/>
          <w:color w:val="316F72"/>
          <w:kern w:val="32"/>
          <w:sz w:val="32"/>
          <w:szCs w:val="32"/>
        </w:rPr>
      </w:pPr>
      <w:r w:rsidRPr="00144E99">
        <w:rPr>
          <w:rFonts w:ascii="Corbel" w:hAnsi="Corbel"/>
        </w:rPr>
        <w:t>Except where otherwise expressly indicated, th</w:t>
      </w:r>
      <w:r w:rsidR="00A15EDF" w:rsidRPr="00144E99">
        <w:rPr>
          <w:rFonts w:ascii="Corbel" w:hAnsi="Corbel"/>
        </w:rPr>
        <w:t>is</w:t>
      </w:r>
      <w:r w:rsidRPr="00144E99">
        <w:rPr>
          <w:rFonts w:ascii="Corbel" w:hAnsi="Corbel"/>
        </w:rPr>
        <w:t xml:space="preserve"> Agreement and all </w:t>
      </w:r>
      <w:r w:rsidR="00933538" w:rsidRPr="00144E99">
        <w:rPr>
          <w:rFonts w:ascii="Corbel" w:hAnsi="Corbel"/>
        </w:rPr>
        <w:t>s</w:t>
      </w:r>
      <w:r w:rsidRPr="00144E99">
        <w:rPr>
          <w:rFonts w:ascii="Corbel" w:hAnsi="Corbel"/>
        </w:rPr>
        <w:t xml:space="preserve">chedules to the Agreement </w:t>
      </w:r>
      <w:r w:rsidR="00AA19A6" w:rsidRPr="00144E99">
        <w:rPr>
          <w:rFonts w:ascii="Corbel" w:hAnsi="Corbel"/>
        </w:rPr>
        <w:t xml:space="preserve">are </w:t>
      </w:r>
      <w:r w:rsidRPr="00144E99">
        <w:rPr>
          <w:rFonts w:ascii="Corbel" w:hAnsi="Corbel"/>
        </w:rPr>
        <w:t xml:space="preserve">not intended to limit the operation of the Act and the </w:t>
      </w:r>
      <w:r w:rsidRPr="00144E99">
        <w:rPr>
          <w:rFonts w:ascii="Corbel" w:hAnsi="Corbel"/>
          <w:i/>
        </w:rPr>
        <w:t>Australian Education Regulation 2013</w:t>
      </w:r>
      <w:r w:rsidR="000D20B3" w:rsidRPr="00144E99">
        <w:rPr>
          <w:rFonts w:ascii="Corbel" w:hAnsi="Corbel"/>
        </w:rPr>
        <w:t xml:space="preserve"> (the Regulation)</w:t>
      </w:r>
      <w:r w:rsidRPr="00144E99">
        <w:rPr>
          <w:rFonts w:ascii="Corbel" w:hAnsi="Corbel"/>
        </w:rPr>
        <w:t>, including decision</w:t>
      </w:r>
      <w:r w:rsidR="00A0321E" w:rsidRPr="00144E99">
        <w:rPr>
          <w:rFonts w:ascii="Corbel" w:hAnsi="Corbel"/>
        </w:rPr>
        <w:t>s</w:t>
      </w:r>
      <w:r w:rsidRPr="00144E99">
        <w:rPr>
          <w:rFonts w:ascii="Corbel" w:hAnsi="Corbel"/>
        </w:rPr>
        <w:t xml:space="preserve"> made under that legislation. </w:t>
      </w:r>
      <w:bookmarkStart w:id="3" w:name="_Toc352229933"/>
    </w:p>
    <w:p w14:paraId="37077752" w14:textId="77777777" w:rsidR="0019717E" w:rsidRPr="00144E99" w:rsidRDefault="00502BE6">
      <w:pPr>
        <w:pStyle w:val="Heading1"/>
      </w:pPr>
      <w:bookmarkStart w:id="4" w:name="_Toc525144588"/>
      <w:bookmarkStart w:id="5" w:name="_Toc525030937"/>
      <w:r w:rsidRPr="00144E99">
        <w:lastRenderedPageBreak/>
        <w:t xml:space="preserve">PART </w:t>
      </w:r>
      <w:r w:rsidR="00BC0EE5" w:rsidRPr="00144E99">
        <w:t>1</w:t>
      </w:r>
      <w:r w:rsidRPr="00144E99">
        <w:t xml:space="preserve"> — </w:t>
      </w:r>
      <w:r w:rsidR="00EB45E1" w:rsidRPr="00144E99">
        <w:t>PARTIES AND OPERATION</w:t>
      </w:r>
      <w:bookmarkEnd w:id="3"/>
      <w:bookmarkEnd w:id="4"/>
      <w:bookmarkEnd w:id="5"/>
    </w:p>
    <w:p w14:paraId="347956FD" w14:textId="77777777" w:rsidR="0019717E" w:rsidRPr="00144E99" w:rsidRDefault="0019717E" w:rsidP="007805DB">
      <w:pPr>
        <w:pStyle w:val="Heading2"/>
      </w:pPr>
      <w:bookmarkStart w:id="6" w:name="_Toc352229934"/>
      <w:bookmarkStart w:id="7" w:name="_Toc525144589"/>
      <w:bookmarkStart w:id="8" w:name="_Toc525030938"/>
      <w:r w:rsidRPr="00144E99">
        <w:t>Parties</w:t>
      </w:r>
      <w:bookmarkEnd w:id="6"/>
      <w:bookmarkEnd w:id="7"/>
      <w:bookmarkEnd w:id="8"/>
    </w:p>
    <w:p w14:paraId="2E0AE55A" w14:textId="77777777" w:rsidR="0019717E" w:rsidRPr="00144E99" w:rsidRDefault="0019717E" w:rsidP="00146A69">
      <w:pPr>
        <w:pStyle w:val="Normalnumbered"/>
        <w:numPr>
          <w:ilvl w:val="0"/>
          <w:numId w:val="17"/>
        </w:numPr>
        <w:jc w:val="left"/>
        <w:rPr>
          <w:rFonts w:ascii="Corbel" w:hAnsi="Corbel"/>
        </w:rPr>
      </w:pPr>
      <w:r w:rsidRPr="00144E99">
        <w:rPr>
          <w:rFonts w:ascii="Corbel" w:hAnsi="Corbel" w:cs="Calibri"/>
          <w:color w:val="000000"/>
        </w:rPr>
        <w:t>The Parties to this Agreement (the Parties) are:</w:t>
      </w:r>
      <w:r w:rsidR="00465C21" w:rsidRPr="00144E99">
        <w:rPr>
          <w:rFonts w:ascii="Corbel" w:hAnsi="Corbel" w:cs="Calibri"/>
          <w:color w:val="000000"/>
        </w:rPr>
        <w:t xml:space="preserve"> </w:t>
      </w:r>
    </w:p>
    <w:p w14:paraId="730D856F" w14:textId="77777777" w:rsidR="0019717E" w:rsidRPr="00144E99" w:rsidRDefault="0019717E" w:rsidP="00BA5818">
      <w:pPr>
        <w:pStyle w:val="Normalnumbered"/>
        <w:numPr>
          <w:ilvl w:val="1"/>
          <w:numId w:val="20"/>
        </w:numPr>
        <w:jc w:val="left"/>
        <w:rPr>
          <w:rFonts w:ascii="Corbel" w:hAnsi="Corbel"/>
        </w:rPr>
      </w:pPr>
      <w:r w:rsidRPr="00144E99">
        <w:rPr>
          <w:rFonts w:ascii="Corbel" w:hAnsi="Corbel"/>
        </w:rPr>
        <w:t>the Commonwealth of Australia (the Commonwealth); and</w:t>
      </w:r>
    </w:p>
    <w:p w14:paraId="68C4E80F" w14:textId="77777777" w:rsidR="0019717E" w:rsidRPr="00144E99" w:rsidRDefault="0019717E" w:rsidP="00BA5818">
      <w:pPr>
        <w:pStyle w:val="Normalnumbered"/>
        <w:numPr>
          <w:ilvl w:val="1"/>
          <w:numId w:val="20"/>
        </w:numPr>
        <w:jc w:val="left"/>
        <w:rPr>
          <w:rFonts w:ascii="Corbel" w:hAnsi="Corbel"/>
        </w:rPr>
      </w:pPr>
      <w:r w:rsidRPr="00144E99">
        <w:rPr>
          <w:rFonts w:ascii="Corbel" w:hAnsi="Corbel"/>
        </w:rPr>
        <w:t>the States and Territories, being:</w:t>
      </w:r>
    </w:p>
    <w:p w14:paraId="650787A6" w14:textId="77777777" w:rsidR="0019717E" w:rsidRPr="00144E99" w:rsidRDefault="00F15C58" w:rsidP="00BA5818">
      <w:pPr>
        <w:pStyle w:val="Normalnumbered"/>
        <w:numPr>
          <w:ilvl w:val="2"/>
          <w:numId w:val="20"/>
        </w:numPr>
        <w:ind w:left="1803" w:hanging="181"/>
        <w:contextualSpacing/>
        <w:jc w:val="left"/>
        <w:rPr>
          <w:rFonts w:ascii="Corbel" w:hAnsi="Corbel"/>
        </w:rPr>
      </w:pPr>
      <w:r w:rsidRPr="00144E99">
        <w:rPr>
          <w:rFonts w:ascii="Corbel" w:hAnsi="Corbel"/>
        </w:rPr>
        <w:t xml:space="preserve">the </w:t>
      </w:r>
      <w:r w:rsidR="0019717E" w:rsidRPr="00144E99">
        <w:rPr>
          <w:rFonts w:ascii="Corbel" w:hAnsi="Corbel"/>
        </w:rPr>
        <w:t>State of New South Wales;</w:t>
      </w:r>
    </w:p>
    <w:p w14:paraId="6CEBE356" w14:textId="77777777" w:rsidR="0019717E" w:rsidRPr="00144E99" w:rsidRDefault="00F15C58" w:rsidP="00BA5818">
      <w:pPr>
        <w:pStyle w:val="Normalnumbered"/>
        <w:numPr>
          <w:ilvl w:val="2"/>
          <w:numId w:val="20"/>
        </w:numPr>
        <w:ind w:left="1803" w:hanging="181"/>
        <w:contextualSpacing/>
        <w:jc w:val="left"/>
        <w:rPr>
          <w:rFonts w:ascii="Corbel" w:hAnsi="Corbel"/>
        </w:rPr>
      </w:pPr>
      <w:r w:rsidRPr="00144E99">
        <w:rPr>
          <w:rFonts w:ascii="Corbel" w:hAnsi="Corbel"/>
        </w:rPr>
        <w:t xml:space="preserve">the </w:t>
      </w:r>
      <w:r w:rsidR="0019717E" w:rsidRPr="00144E99">
        <w:rPr>
          <w:rFonts w:ascii="Corbel" w:hAnsi="Corbel"/>
        </w:rPr>
        <w:t>State of Victoria;</w:t>
      </w:r>
    </w:p>
    <w:p w14:paraId="307D59FF" w14:textId="77777777" w:rsidR="0019717E" w:rsidRPr="00144E99" w:rsidRDefault="00F15C58" w:rsidP="00BA5818">
      <w:pPr>
        <w:pStyle w:val="Normalnumbered"/>
        <w:numPr>
          <w:ilvl w:val="2"/>
          <w:numId w:val="20"/>
        </w:numPr>
        <w:ind w:left="1803" w:hanging="181"/>
        <w:contextualSpacing/>
        <w:jc w:val="left"/>
        <w:rPr>
          <w:rFonts w:ascii="Corbel" w:hAnsi="Corbel"/>
        </w:rPr>
      </w:pPr>
      <w:r w:rsidRPr="00144E99">
        <w:rPr>
          <w:rFonts w:ascii="Corbel" w:hAnsi="Corbel"/>
        </w:rPr>
        <w:t xml:space="preserve">the </w:t>
      </w:r>
      <w:r w:rsidR="0019717E" w:rsidRPr="00144E99">
        <w:rPr>
          <w:rFonts w:ascii="Corbel" w:hAnsi="Corbel"/>
        </w:rPr>
        <w:t>State of Queensland;</w:t>
      </w:r>
    </w:p>
    <w:p w14:paraId="53F259F0" w14:textId="77777777" w:rsidR="0019717E" w:rsidRPr="00144E99" w:rsidRDefault="00F15C58" w:rsidP="00BA5818">
      <w:pPr>
        <w:pStyle w:val="Normalnumbered"/>
        <w:numPr>
          <w:ilvl w:val="2"/>
          <w:numId w:val="20"/>
        </w:numPr>
        <w:ind w:left="1803" w:hanging="181"/>
        <w:contextualSpacing/>
        <w:jc w:val="left"/>
        <w:rPr>
          <w:rFonts w:ascii="Corbel" w:hAnsi="Corbel"/>
        </w:rPr>
      </w:pPr>
      <w:r w:rsidRPr="00144E99">
        <w:rPr>
          <w:rFonts w:ascii="Corbel" w:hAnsi="Corbel"/>
        </w:rPr>
        <w:t xml:space="preserve">the </w:t>
      </w:r>
      <w:r w:rsidR="0019717E" w:rsidRPr="00144E99">
        <w:rPr>
          <w:rFonts w:ascii="Corbel" w:hAnsi="Corbel"/>
        </w:rPr>
        <w:t>State of Western Australia;</w:t>
      </w:r>
    </w:p>
    <w:p w14:paraId="13711EE9" w14:textId="77777777" w:rsidR="0019717E" w:rsidRPr="00144E99" w:rsidRDefault="00F15C58" w:rsidP="00BA5818">
      <w:pPr>
        <w:pStyle w:val="Normalnumbered"/>
        <w:numPr>
          <w:ilvl w:val="2"/>
          <w:numId w:val="20"/>
        </w:numPr>
        <w:ind w:left="1803" w:hanging="181"/>
        <w:contextualSpacing/>
        <w:jc w:val="left"/>
        <w:rPr>
          <w:rFonts w:ascii="Corbel" w:hAnsi="Corbel"/>
        </w:rPr>
      </w:pPr>
      <w:r w:rsidRPr="00144E99">
        <w:rPr>
          <w:rFonts w:ascii="Corbel" w:hAnsi="Corbel"/>
        </w:rPr>
        <w:t xml:space="preserve">the </w:t>
      </w:r>
      <w:r w:rsidR="0019717E" w:rsidRPr="00144E99">
        <w:rPr>
          <w:rFonts w:ascii="Corbel" w:hAnsi="Corbel"/>
        </w:rPr>
        <w:t>State of South Australia;</w:t>
      </w:r>
    </w:p>
    <w:p w14:paraId="75BB987F" w14:textId="77777777" w:rsidR="0019717E" w:rsidRPr="00144E99" w:rsidRDefault="00F15C58" w:rsidP="00BA5818">
      <w:pPr>
        <w:pStyle w:val="Normalnumbered"/>
        <w:numPr>
          <w:ilvl w:val="2"/>
          <w:numId w:val="20"/>
        </w:numPr>
        <w:ind w:left="1803" w:hanging="181"/>
        <w:contextualSpacing/>
        <w:jc w:val="left"/>
        <w:rPr>
          <w:rFonts w:ascii="Corbel" w:hAnsi="Corbel"/>
        </w:rPr>
      </w:pPr>
      <w:r w:rsidRPr="00144E99">
        <w:rPr>
          <w:rFonts w:ascii="Corbel" w:hAnsi="Corbel"/>
        </w:rPr>
        <w:t xml:space="preserve">the </w:t>
      </w:r>
      <w:r w:rsidR="0019717E" w:rsidRPr="00144E99">
        <w:rPr>
          <w:rFonts w:ascii="Corbel" w:hAnsi="Corbel"/>
        </w:rPr>
        <w:t>State of Tasmania;</w:t>
      </w:r>
    </w:p>
    <w:p w14:paraId="38D647C2" w14:textId="77777777" w:rsidR="0019717E" w:rsidRPr="00144E99" w:rsidRDefault="00F15C58" w:rsidP="00BA5818">
      <w:pPr>
        <w:pStyle w:val="Normalnumbered"/>
        <w:numPr>
          <w:ilvl w:val="2"/>
          <w:numId w:val="20"/>
        </w:numPr>
        <w:ind w:left="1803" w:hanging="181"/>
        <w:contextualSpacing/>
        <w:jc w:val="left"/>
        <w:rPr>
          <w:rFonts w:ascii="Corbel" w:hAnsi="Corbel"/>
        </w:rPr>
      </w:pPr>
      <w:r w:rsidRPr="00144E99">
        <w:rPr>
          <w:rFonts w:ascii="Corbel" w:hAnsi="Corbel"/>
        </w:rPr>
        <w:t xml:space="preserve">the </w:t>
      </w:r>
      <w:r w:rsidR="0019717E" w:rsidRPr="00144E99">
        <w:rPr>
          <w:rFonts w:ascii="Corbel" w:hAnsi="Corbel"/>
        </w:rPr>
        <w:t>Australian Capital Territory; and</w:t>
      </w:r>
    </w:p>
    <w:p w14:paraId="0F8BAEA1" w14:textId="77777777" w:rsidR="0019717E" w:rsidRPr="00144E99" w:rsidRDefault="00F15C58" w:rsidP="00BA5818">
      <w:pPr>
        <w:pStyle w:val="Normalnumbered"/>
        <w:numPr>
          <w:ilvl w:val="2"/>
          <w:numId w:val="20"/>
        </w:numPr>
        <w:ind w:left="1803" w:hanging="181"/>
        <w:contextualSpacing/>
        <w:jc w:val="left"/>
        <w:rPr>
          <w:rFonts w:ascii="Corbel" w:hAnsi="Corbel"/>
        </w:rPr>
      </w:pPr>
      <w:r w:rsidRPr="00144E99">
        <w:rPr>
          <w:rFonts w:ascii="Corbel" w:hAnsi="Corbel"/>
        </w:rPr>
        <w:t xml:space="preserve">the </w:t>
      </w:r>
      <w:r w:rsidR="0019717E" w:rsidRPr="00144E99">
        <w:rPr>
          <w:rFonts w:ascii="Corbel" w:hAnsi="Corbel"/>
        </w:rPr>
        <w:t>Northern Territory.</w:t>
      </w:r>
    </w:p>
    <w:p w14:paraId="7CB6FF19" w14:textId="77777777" w:rsidR="0019717E" w:rsidRPr="00144E99" w:rsidRDefault="0019717E">
      <w:pPr>
        <w:pStyle w:val="Heading2"/>
      </w:pPr>
      <w:bookmarkStart w:id="9" w:name="_Toc352229935"/>
      <w:bookmarkStart w:id="10" w:name="_Toc525144590"/>
      <w:bookmarkStart w:id="11" w:name="_Toc525030939"/>
      <w:r w:rsidRPr="00144E99">
        <w:t>Term</w:t>
      </w:r>
      <w:bookmarkEnd w:id="9"/>
      <w:bookmarkEnd w:id="10"/>
      <w:bookmarkEnd w:id="11"/>
    </w:p>
    <w:p w14:paraId="13654D28" w14:textId="77777777" w:rsidR="00AA19A6" w:rsidRPr="00144E99" w:rsidRDefault="0019717E" w:rsidP="00146A69">
      <w:pPr>
        <w:pStyle w:val="Normalnumbered"/>
        <w:numPr>
          <w:ilvl w:val="0"/>
          <w:numId w:val="17"/>
        </w:numPr>
        <w:jc w:val="left"/>
        <w:rPr>
          <w:rFonts w:ascii="Corbel" w:hAnsi="Corbel"/>
        </w:rPr>
      </w:pPr>
      <w:r w:rsidRPr="00144E99">
        <w:rPr>
          <w:rFonts w:ascii="Corbel" w:hAnsi="Corbel"/>
        </w:rPr>
        <w:t xml:space="preserve">This Agreement </w:t>
      </w:r>
      <w:r w:rsidR="00BB39F2" w:rsidRPr="00144E99">
        <w:rPr>
          <w:rFonts w:ascii="Corbel" w:hAnsi="Corbel"/>
        </w:rPr>
        <w:t>and any schedule</w:t>
      </w:r>
      <w:r w:rsidR="00D624AD" w:rsidRPr="00144E99">
        <w:rPr>
          <w:rFonts w:ascii="Corbel" w:hAnsi="Corbel"/>
        </w:rPr>
        <w:t xml:space="preserve"> (except </w:t>
      </w:r>
      <w:r w:rsidR="00974B9F" w:rsidRPr="00144E99">
        <w:rPr>
          <w:rFonts w:ascii="Corbel" w:hAnsi="Corbel"/>
        </w:rPr>
        <w:t xml:space="preserve">Schedule </w:t>
      </w:r>
      <w:r w:rsidR="008E6EED" w:rsidRPr="00144E99">
        <w:rPr>
          <w:rFonts w:ascii="Corbel" w:hAnsi="Corbel"/>
        </w:rPr>
        <w:t>E</w:t>
      </w:r>
      <w:r w:rsidR="00D624AD" w:rsidRPr="00144E99">
        <w:rPr>
          <w:rFonts w:ascii="Corbel" w:hAnsi="Corbel"/>
        </w:rPr>
        <w:t>)</w:t>
      </w:r>
      <w:r w:rsidR="00BB39F2" w:rsidRPr="00144E99">
        <w:rPr>
          <w:rFonts w:ascii="Corbel" w:hAnsi="Corbel"/>
        </w:rPr>
        <w:t xml:space="preserve"> to the </w:t>
      </w:r>
      <w:r w:rsidR="00F20A02" w:rsidRPr="00144E99">
        <w:rPr>
          <w:rFonts w:ascii="Corbel" w:hAnsi="Corbel"/>
        </w:rPr>
        <w:t>A</w:t>
      </w:r>
      <w:r w:rsidR="00BB39F2" w:rsidRPr="00144E99">
        <w:rPr>
          <w:rFonts w:ascii="Corbel" w:hAnsi="Corbel"/>
        </w:rPr>
        <w:t xml:space="preserve">greement </w:t>
      </w:r>
      <w:r w:rsidRPr="00144E99">
        <w:rPr>
          <w:rFonts w:ascii="Corbel" w:hAnsi="Corbel"/>
        </w:rPr>
        <w:t xml:space="preserve">will </w:t>
      </w:r>
      <w:r w:rsidR="00601320" w:rsidRPr="00144E99">
        <w:rPr>
          <w:rFonts w:ascii="Corbel" w:hAnsi="Corbel"/>
        </w:rPr>
        <w:t xml:space="preserve">commence </w:t>
      </w:r>
      <w:r w:rsidR="00A85E8B" w:rsidRPr="00144E99">
        <w:rPr>
          <w:rFonts w:ascii="Corbel" w:hAnsi="Corbel"/>
        </w:rPr>
        <w:t>on 1</w:t>
      </w:r>
      <w:r w:rsidR="00740157">
        <w:rPr>
          <w:rFonts w:ascii="Corbel" w:hAnsi="Corbel"/>
        </w:rPr>
        <w:t> </w:t>
      </w:r>
      <w:r w:rsidR="00A85E8B" w:rsidRPr="00144E99">
        <w:rPr>
          <w:rFonts w:ascii="Corbel" w:hAnsi="Corbel"/>
        </w:rPr>
        <w:t>January 2019</w:t>
      </w:r>
      <w:r w:rsidR="00BB39F2" w:rsidRPr="00144E99">
        <w:rPr>
          <w:rFonts w:ascii="Corbel" w:hAnsi="Corbel"/>
        </w:rPr>
        <w:t xml:space="preserve"> and </w:t>
      </w:r>
      <w:r w:rsidR="00C25197" w:rsidRPr="00144E99">
        <w:rPr>
          <w:rFonts w:ascii="Corbel" w:hAnsi="Corbel"/>
        </w:rPr>
        <w:t>will expire on 31</w:t>
      </w:r>
      <w:r w:rsidR="00BB39F2" w:rsidRPr="00144E99">
        <w:rPr>
          <w:rFonts w:ascii="Corbel" w:hAnsi="Corbel"/>
        </w:rPr>
        <w:t> </w:t>
      </w:r>
      <w:r w:rsidR="00C25197" w:rsidRPr="00144E99">
        <w:rPr>
          <w:rFonts w:ascii="Corbel" w:hAnsi="Corbel"/>
        </w:rPr>
        <w:t xml:space="preserve">December 2023. </w:t>
      </w:r>
    </w:p>
    <w:p w14:paraId="304DC0BD" w14:textId="0503C973" w:rsidR="00D624AD" w:rsidRPr="00144E99" w:rsidRDefault="00D624AD" w:rsidP="003906E6">
      <w:pPr>
        <w:pStyle w:val="Normalnumbered"/>
        <w:numPr>
          <w:ilvl w:val="0"/>
          <w:numId w:val="17"/>
        </w:numPr>
        <w:jc w:val="left"/>
        <w:rPr>
          <w:rFonts w:ascii="Corbel" w:hAnsi="Corbel"/>
        </w:rPr>
      </w:pPr>
      <w:r w:rsidRPr="00144E99">
        <w:rPr>
          <w:rFonts w:ascii="Corbel" w:hAnsi="Corbel"/>
        </w:rPr>
        <w:t xml:space="preserve">Bilateral agreements between the Commonwealth and a State or Territory </w:t>
      </w:r>
      <w:r w:rsidR="003906E6" w:rsidRPr="00144E99">
        <w:rPr>
          <w:rFonts w:ascii="Corbel" w:hAnsi="Corbel"/>
        </w:rPr>
        <w:t xml:space="preserve">(which </w:t>
      </w:r>
      <w:r w:rsidRPr="00144E99">
        <w:rPr>
          <w:rFonts w:ascii="Corbel" w:hAnsi="Corbel"/>
        </w:rPr>
        <w:t xml:space="preserve">will be included at </w:t>
      </w:r>
      <w:r w:rsidR="00974B9F" w:rsidRPr="00144E99">
        <w:rPr>
          <w:rFonts w:ascii="Corbel" w:hAnsi="Corbel"/>
        </w:rPr>
        <w:t xml:space="preserve">Schedule </w:t>
      </w:r>
      <w:r w:rsidR="00AC4BC7" w:rsidRPr="00144E99">
        <w:rPr>
          <w:rFonts w:ascii="Corbel" w:hAnsi="Corbel"/>
        </w:rPr>
        <w:t>E</w:t>
      </w:r>
      <w:r w:rsidR="003906E6" w:rsidRPr="00144E99">
        <w:rPr>
          <w:rFonts w:ascii="Corbel" w:hAnsi="Corbel"/>
        </w:rPr>
        <w:t xml:space="preserve">) will commence on 1 January 2019, and </w:t>
      </w:r>
      <w:r w:rsidRPr="00144E99">
        <w:rPr>
          <w:rFonts w:ascii="Corbel" w:hAnsi="Corbel"/>
        </w:rPr>
        <w:t>expire on 31</w:t>
      </w:r>
      <w:r w:rsidR="00F4420E" w:rsidRPr="00144E99">
        <w:rPr>
          <w:rFonts w:ascii="Corbel" w:hAnsi="Corbel"/>
        </w:rPr>
        <w:t> </w:t>
      </w:r>
      <w:r w:rsidRPr="00144E99">
        <w:rPr>
          <w:rFonts w:ascii="Corbel" w:hAnsi="Corbel"/>
        </w:rPr>
        <w:t>December 2023</w:t>
      </w:r>
      <w:r w:rsidR="00143766" w:rsidRPr="00144E99">
        <w:rPr>
          <w:rFonts w:ascii="Corbel" w:hAnsi="Corbel"/>
        </w:rPr>
        <w:t xml:space="preserve"> unless otherwise specified in the agreement.</w:t>
      </w:r>
      <w:r w:rsidR="003906E6" w:rsidRPr="00144E99">
        <w:rPr>
          <w:rFonts w:ascii="Corbel" w:hAnsi="Corbel"/>
        </w:rPr>
        <w:t xml:space="preserve"> </w:t>
      </w:r>
    </w:p>
    <w:p w14:paraId="31E7D7E5" w14:textId="77777777" w:rsidR="0019717E" w:rsidRPr="00144E99" w:rsidRDefault="0019717E">
      <w:pPr>
        <w:pStyle w:val="Heading2"/>
      </w:pPr>
      <w:bookmarkStart w:id="12" w:name="_Toc352229936"/>
      <w:bookmarkStart w:id="13" w:name="_Toc525144591"/>
      <w:bookmarkStart w:id="14" w:name="_Toc525030940"/>
      <w:r w:rsidRPr="00144E99">
        <w:t>Variation</w:t>
      </w:r>
      <w:bookmarkStart w:id="15" w:name="_Ref351981362"/>
      <w:r w:rsidRPr="00144E99">
        <w:t>s</w:t>
      </w:r>
      <w:bookmarkEnd w:id="12"/>
      <w:bookmarkEnd w:id="13"/>
      <w:bookmarkEnd w:id="14"/>
    </w:p>
    <w:p w14:paraId="26523FBD" w14:textId="77777777" w:rsidR="0019717E" w:rsidRPr="00144E99" w:rsidRDefault="0019717E" w:rsidP="00146A69">
      <w:pPr>
        <w:pStyle w:val="Normalnumbered"/>
        <w:numPr>
          <w:ilvl w:val="0"/>
          <w:numId w:val="17"/>
        </w:numPr>
        <w:jc w:val="left"/>
        <w:rPr>
          <w:rFonts w:ascii="Corbel" w:hAnsi="Corbel"/>
        </w:rPr>
      </w:pPr>
      <w:bookmarkStart w:id="16" w:name="_Ref352002737"/>
      <w:r w:rsidRPr="00144E99">
        <w:rPr>
          <w:rFonts w:ascii="Corbel" w:hAnsi="Corbel"/>
        </w:rPr>
        <w:t xml:space="preserve">This Agreement may be </w:t>
      </w:r>
      <w:r w:rsidR="00B0386F" w:rsidRPr="00144E99">
        <w:rPr>
          <w:rFonts w:ascii="Corbel" w:hAnsi="Corbel"/>
        </w:rPr>
        <w:t xml:space="preserve">varied </w:t>
      </w:r>
      <w:r w:rsidR="00CE0BA6" w:rsidRPr="00144E99">
        <w:rPr>
          <w:rFonts w:ascii="Corbel" w:hAnsi="Corbel"/>
        </w:rPr>
        <w:t>or extended</w:t>
      </w:r>
      <w:r w:rsidRPr="00144E99">
        <w:rPr>
          <w:rFonts w:ascii="Corbel" w:hAnsi="Corbel"/>
        </w:rPr>
        <w:t xml:space="preserve"> at any time with the agreement in writing of First Ministers and with terms and conditions as agreed by all the Parties.</w:t>
      </w:r>
      <w:bookmarkEnd w:id="15"/>
      <w:bookmarkEnd w:id="16"/>
    </w:p>
    <w:p w14:paraId="3C63FD71" w14:textId="77777777" w:rsidR="00B21B8A" w:rsidRPr="00144E99" w:rsidRDefault="00B21B8A" w:rsidP="00146A69">
      <w:pPr>
        <w:pStyle w:val="Normalnumbered"/>
        <w:keepLines/>
        <w:numPr>
          <w:ilvl w:val="0"/>
          <w:numId w:val="17"/>
        </w:numPr>
        <w:jc w:val="left"/>
        <w:rPr>
          <w:rFonts w:ascii="Corbel" w:hAnsi="Corbel"/>
        </w:rPr>
      </w:pPr>
      <w:r w:rsidRPr="00144E99">
        <w:rPr>
          <w:rFonts w:ascii="Corbel" w:hAnsi="Corbel"/>
        </w:rPr>
        <w:t xml:space="preserve">Unless otherwise specified, the </w:t>
      </w:r>
      <w:r w:rsidR="00C73491" w:rsidRPr="00144E99">
        <w:rPr>
          <w:rFonts w:ascii="Corbel" w:hAnsi="Corbel"/>
        </w:rPr>
        <w:t xml:space="preserve">schedules </w:t>
      </w:r>
      <w:r w:rsidRPr="00144E99">
        <w:rPr>
          <w:rFonts w:ascii="Corbel" w:hAnsi="Corbel"/>
        </w:rPr>
        <w:t xml:space="preserve">to this Agreement </w:t>
      </w:r>
      <w:r w:rsidR="00D624AD" w:rsidRPr="00144E99">
        <w:rPr>
          <w:rFonts w:ascii="Corbel" w:hAnsi="Corbel"/>
        </w:rPr>
        <w:t xml:space="preserve">(except </w:t>
      </w:r>
      <w:r w:rsidR="00974B9F" w:rsidRPr="00144E99">
        <w:rPr>
          <w:rFonts w:ascii="Corbel" w:hAnsi="Corbel"/>
        </w:rPr>
        <w:t xml:space="preserve">Schedule </w:t>
      </w:r>
      <w:r w:rsidR="00AC4BC7" w:rsidRPr="00144E99">
        <w:rPr>
          <w:rFonts w:ascii="Corbel" w:hAnsi="Corbel"/>
        </w:rPr>
        <w:t>E</w:t>
      </w:r>
      <w:r w:rsidR="00D624AD" w:rsidRPr="00144E99">
        <w:rPr>
          <w:rFonts w:ascii="Corbel" w:hAnsi="Corbel"/>
        </w:rPr>
        <w:t xml:space="preserve">) </w:t>
      </w:r>
      <w:r w:rsidRPr="00144E99">
        <w:rPr>
          <w:rFonts w:ascii="Corbel" w:hAnsi="Corbel"/>
        </w:rPr>
        <w:t xml:space="preserve">may be varied or revoked, and new </w:t>
      </w:r>
      <w:r w:rsidR="00C73491" w:rsidRPr="00144E99">
        <w:rPr>
          <w:rFonts w:ascii="Corbel" w:hAnsi="Corbel"/>
        </w:rPr>
        <w:t xml:space="preserve">schedules </w:t>
      </w:r>
      <w:r w:rsidRPr="00144E99">
        <w:rPr>
          <w:rFonts w:ascii="Corbel" w:hAnsi="Corbel"/>
        </w:rPr>
        <w:t>may be added, at any time with the agreement of the relevant portfolio Commonwealth Minister and all relevant State and Territory Ministers for school education.</w:t>
      </w:r>
      <w:r w:rsidR="002B1989" w:rsidRPr="00144E99">
        <w:rPr>
          <w:rFonts w:ascii="Corbel" w:hAnsi="Corbel"/>
        </w:rPr>
        <w:t xml:space="preserve"> New schedules will</w:t>
      </w:r>
      <w:r w:rsidRPr="00144E99">
        <w:rPr>
          <w:rFonts w:ascii="Corbel" w:hAnsi="Corbel"/>
        </w:rPr>
        <w:t xml:space="preserve"> </w:t>
      </w:r>
      <w:r w:rsidR="002B1989" w:rsidRPr="00144E99">
        <w:rPr>
          <w:rFonts w:ascii="Corbel" w:hAnsi="Corbel"/>
        </w:rPr>
        <w:t>be developed through</w:t>
      </w:r>
      <w:r w:rsidR="00BB39F2" w:rsidRPr="00144E99">
        <w:rPr>
          <w:rFonts w:ascii="Corbel" w:hAnsi="Corbel"/>
        </w:rPr>
        <w:t xml:space="preserve"> the Education Council</w:t>
      </w:r>
      <w:r w:rsidR="00BE5F66" w:rsidRPr="00144E99">
        <w:rPr>
          <w:rFonts w:ascii="Corbel" w:hAnsi="Corbel"/>
        </w:rPr>
        <w:t xml:space="preserve"> in line with Education Council decision</w:t>
      </w:r>
      <w:r w:rsidR="001D780B" w:rsidRPr="00144E99">
        <w:rPr>
          <w:rFonts w:ascii="Corbel" w:hAnsi="Corbel"/>
        </w:rPr>
        <w:t>-</w:t>
      </w:r>
      <w:r w:rsidR="00BE5F66" w:rsidRPr="00144E99">
        <w:rPr>
          <w:rFonts w:ascii="Corbel" w:hAnsi="Corbel"/>
        </w:rPr>
        <w:t>making protocols</w:t>
      </w:r>
      <w:r w:rsidR="00044A31" w:rsidRPr="00144E99">
        <w:rPr>
          <w:rFonts w:ascii="Corbel" w:hAnsi="Corbel"/>
        </w:rPr>
        <w:t>.</w:t>
      </w:r>
    </w:p>
    <w:p w14:paraId="62FEB256" w14:textId="77777777" w:rsidR="0019717E" w:rsidRPr="00144E99" w:rsidRDefault="00D624AD" w:rsidP="00146A69">
      <w:pPr>
        <w:pStyle w:val="Normalnumbered"/>
        <w:keepLines/>
        <w:numPr>
          <w:ilvl w:val="0"/>
          <w:numId w:val="17"/>
        </w:numPr>
        <w:jc w:val="left"/>
        <w:rPr>
          <w:rFonts w:ascii="Corbel" w:hAnsi="Corbel"/>
        </w:rPr>
      </w:pPr>
      <w:r w:rsidRPr="00144E99">
        <w:rPr>
          <w:rFonts w:ascii="Corbel" w:hAnsi="Corbel"/>
        </w:rPr>
        <w:t>B</w:t>
      </w:r>
      <w:r w:rsidR="00B21B8A" w:rsidRPr="00144E99">
        <w:rPr>
          <w:rFonts w:ascii="Corbel" w:hAnsi="Corbel"/>
        </w:rPr>
        <w:t>ilateral agreement</w:t>
      </w:r>
      <w:r w:rsidRPr="00144E99">
        <w:rPr>
          <w:rFonts w:ascii="Corbel" w:hAnsi="Corbel"/>
        </w:rPr>
        <w:t>s</w:t>
      </w:r>
      <w:r w:rsidR="00B21B8A" w:rsidRPr="00144E99">
        <w:rPr>
          <w:rFonts w:ascii="Corbel" w:hAnsi="Corbel"/>
        </w:rPr>
        <w:t xml:space="preserve"> between the Commonwealth and a State or Territory </w:t>
      </w:r>
      <w:r w:rsidRPr="00144E99">
        <w:rPr>
          <w:rFonts w:ascii="Corbel" w:hAnsi="Corbel"/>
        </w:rPr>
        <w:t xml:space="preserve">(included at </w:t>
      </w:r>
      <w:r w:rsidR="00974B9F" w:rsidRPr="00144E99">
        <w:rPr>
          <w:rFonts w:ascii="Corbel" w:hAnsi="Corbel"/>
        </w:rPr>
        <w:t xml:space="preserve">Schedule </w:t>
      </w:r>
      <w:r w:rsidR="00AC4BC7" w:rsidRPr="00144E99">
        <w:rPr>
          <w:rFonts w:ascii="Corbel" w:hAnsi="Corbel"/>
        </w:rPr>
        <w:t>E</w:t>
      </w:r>
      <w:r w:rsidRPr="00144E99">
        <w:rPr>
          <w:rFonts w:ascii="Corbel" w:hAnsi="Corbel"/>
        </w:rPr>
        <w:t>)</w:t>
      </w:r>
      <w:r w:rsidR="00B21B8A" w:rsidRPr="00144E99">
        <w:rPr>
          <w:rFonts w:ascii="Corbel" w:hAnsi="Corbel"/>
        </w:rPr>
        <w:t xml:space="preserve"> may be varied with the written agreement of the relevant portfolio Commonwealth Minister and </w:t>
      </w:r>
      <w:r w:rsidR="00AE3EED" w:rsidRPr="00144E99">
        <w:rPr>
          <w:rFonts w:ascii="Corbel" w:hAnsi="Corbel"/>
        </w:rPr>
        <w:t xml:space="preserve">the </w:t>
      </w:r>
      <w:r w:rsidR="00B21B8A" w:rsidRPr="00144E99">
        <w:rPr>
          <w:rFonts w:ascii="Corbel" w:hAnsi="Corbel"/>
        </w:rPr>
        <w:t>State or Territory Minister for school education for the State or Territory to which the bilateral agreement relates.</w:t>
      </w:r>
    </w:p>
    <w:p w14:paraId="600C88B9" w14:textId="5924F403" w:rsidR="00833705" w:rsidRPr="00144E99" w:rsidRDefault="00833705" w:rsidP="00146A69">
      <w:pPr>
        <w:pStyle w:val="Normalnumbered"/>
        <w:keepLines/>
        <w:numPr>
          <w:ilvl w:val="0"/>
          <w:numId w:val="17"/>
        </w:numPr>
        <w:jc w:val="left"/>
        <w:rPr>
          <w:rFonts w:ascii="Corbel" w:hAnsi="Corbel"/>
        </w:rPr>
      </w:pPr>
      <w:bookmarkStart w:id="17" w:name="_Toc352229939"/>
      <w:r w:rsidRPr="00144E99">
        <w:rPr>
          <w:rFonts w:ascii="Corbel" w:hAnsi="Corbel"/>
        </w:rPr>
        <w:t xml:space="preserve">Where variations impact the non-government sector, Parties agree to consult with </w:t>
      </w:r>
      <w:r w:rsidR="00E23F74" w:rsidRPr="00144E99">
        <w:rPr>
          <w:rFonts w:ascii="Corbel" w:hAnsi="Corbel"/>
        </w:rPr>
        <w:t xml:space="preserve">relevant </w:t>
      </w:r>
      <w:r w:rsidR="00B17771" w:rsidRPr="00144E99">
        <w:rPr>
          <w:rFonts w:ascii="Corbel" w:hAnsi="Corbel"/>
        </w:rPr>
        <w:br/>
      </w:r>
      <w:r w:rsidRPr="00144E99">
        <w:rPr>
          <w:rFonts w:ascii="Corbel" w:hAnsi="Corbel"/>
        </w:rPr>
        <w:t>non-government representative bodies on proposed variations</w:t>
      </w:r>
      <w:r w:rsidR="00F1347D">
        <w:rPr>
          <w:rFonts w:ascii="Corbel" w:hAnsi="Corbel"/>
        </w:rPr>
        <w:t xml:space="preserve"> on a national or state </w:t>
      </w:r>
      <w:r w:rsidR="00A20900" w:rsidRPr="00144E99">
        <w:rPr>
          <w:rFonts w:ascii="Corbel" w:hAnsi="Corbel"/>
        </w:rPr>
        <w:t>level, as appropriate</w:t>
      </w:r>
      <w:r w:rsidRPr="00144E99">
        <w:rPr>
          <w:rFonts w:ascii="Corbel" w:hAnsi="Corbel"/>
        </w:rPr>
        <w:t xml:space="preserve">. </w:t>
      </w:r>
    </w:p>
    <w:p w14:paraId="5BE6083B" w14:textId="77777777" w:rsidR="00FA18B7" w:rsidRPr="00144E99" w:rsidRDefault="00FA18B7" w:rsidP="00C25197">
      <w:pPr>
        <w:pStyle w:val="Heading2"/>
      </w:pPr>
      <w:bookmarkStart w:id="18" w:name="_Toc525144592"/>
      <w:bookmarkStart w:id="19" w:name="_Toc525030941"/>
      <w:r w:rsidRPr="00144E99">
        <w:t>Withdrawal of Parties</w:t>
      </w:r>
      <w:bookmarkEnd w:id="18"/>
      <w:bookmarkEnd w:id="19"/>
    </w:p>
    <w:p w14:paraId="22D6B646" w14:textId="77777777" w:rsidR="00FA18B7" w:rsidRPr="00144E99" w:rsidRDefault="00FA18B7" w:rsidP="00E97545">
      <w:pPr>
        <w:pStyle w:val="Normalnumbered"/>
        <w:numPr>
          <w:ilvl w:val="0"/>
          <w:numId w:val="17"/>
        </w:numPr>
        <w:jc w:val="left"/>
        <w:rPr>
          <w:rFonts w:ascii="Corbel" w:hAnsi="Corbel"/>
        </w:rPr>
      </w:pPr>
      <w:r w:rsidRPr="00144E99">
        <w:rPr>
          <w:rFonts w:ascii="Corbel" w:hAnsi="Corbel"/>
        </w:rPr>
        <w:t>A Party to the Agreement may terminate its participation in this Agreement at any time by notifying all the other Parties in writing.</w:t>
      </w:r>
      <w:r w:rsidR="00764F26" w:rsidRPr="00144E99">
        <w:rPr>
          <w:rFonts w:ascii="Corbel" w:hAnsi="Corbel"/>
        </w:rPr>
        <w:t xml:space="preserve"> </w:t>
      </w:r>
      <w:r w:rsidR="00F20A02" w:rsidRPr="00144E99">
        <w:rPr>
          <w:rFonts w:ascii="Corbel" w:hAnsi="Corbel"/>
        </w:rPr>
        <w:t>If a Party intends to withdraw, it should provide as much notice as possible before withdrawing and a minimum of three months.</w:t>
      </w:r>
    </w:p>
    <w:p w14:paraId="221B520E" w14:textId="77777777" w:rsidR="0019717E" w:rsidRPr="00144E99" w:rsidRDefault="0019717E">
      <w:pPr>
        <w:pStyle w:val="Heading2"/>
      </w:pPr>
      <w:bookmarkStart w:id="20" w:name="_Toc525144593"/>
      <w:bookmarkStart w:id="21" w:name="_Toc525030942"/>
      <w:r w:rsidRPr="00144E99">
        <w:lastRenderedPageBreak/>
        <w:t xml:space="preserve">Dispute </w:t>
      </w:r>
      <w:r w:rsidR="005A2E68" w:rsidRPr="00144E99">
        <w:t>r</w:t>
      </w:r>
      <w:r w:rsidRPr="00144E99">
        <w:t>esolution</w:t>
      </w:r>
      <w:bookmarkEnd w:id="17"/>
      <w:bookmarkEnd w:id="20"/>
      <w:bookmarkEnd w:id="21"/>
      <w:r w:rsidRPr="00144E99">
        <w:t xml:space="preserve"> </w:t>
      </w:r>
    </w:p>
    <w:p w14:paraId="0D27A686" w14:textId="77777777" w:rsidR="0019717E" w:rsidRPr="00144E99" w:rsidRDefault="0019717E" w:rsidP="00146A69">
      <w:pPr>
        <w:pStyle w:val="Normalnumbered"/>
        <w:numPr>
          <w:ilvl w:val="0"/>
          <w:numId w:val="17"/>
        </w:numPr>
        <w:jc w:val="left"/>
        <w:rPr>
          <w:rFonts w:ascii="Corbel" w:hAnsi="Corbel"/>
        </w:rPr>
      </w:pPr>
      <w:r w:rsidRPr="00144E99">
        <w:rPr>
          <w:rFonts w:ascii="Corbel" w:hAnsi="Corbel"/>
        </w:rPr>
        <w:t>Any Party may give notice to the other Parties of a dispute under this Agreement</w:t>
      </w:r>
      <w:r w:rsidR="00FA18B7" w:rsidRPr="00144E99">
        <w:rPr>
          <w:rFonts w:ascii="Corbel" w:hAnsi="Corbel"/>
        </w:rPr>
        <w:t xml:space="preserve"> or any schedule to the Agreement, except </w:t>
      </w:r>
      <w:r w:rsidR="00974B9F" w:rsidRPr="00144E99">
        <w:rPr>
          <w:rFonts w:ascii="Corbel" w:hAnsi="Corbel"/>
        </w:rPr>
        <w:t xml:space="preserve">Schedule </w:t>
      </w:r>
      <w:r w:rsidR="00AC4BC7" w:rsidRPr="00144E99">
        <w:rPr>
          <w:rFonts w:ascii="Corbel" w:hAnsi="Corbel"/>
        </w:rPr>
        <w:t>E</w:t>
      </w:r>
      <w:r w:rsidRPr="00144E99">
        <w:rPr>
          <w:rFonts w:ascii="Corbel" w:hAnsi="Corbel"/>
        </w:rPr>
        <w:t>.</w:t>
      </w:r>
    </w:p>
    <w:p w14:paraId="452C2870" w14:textId="77777777" w:rsidR="0019717E" w:rsidRPr="00144E99" w:rsidRDefault="0019717E" w:rsidP="00146A69">
      <w:pPr>
        <w:pStyle w:val="Normalnumbered"/>
        <w:numPr>
          <w:ilvl w:val="0"/>
          <w:numId w:val="17"/>
        </w:numPr>
        <w:jc w:val="left"/>
        <w:rPr>
          <w:rFonts w:ascii="Corbel" w:hAnsi="Corbel"/>
        </w:rPr>
      </w:pPr>
      <w:r w:rsidRPr="00144E99">
        <w:rPr>
          <w:rFonts w:ascii="Corbel" w:hAnsi="Corbel"/>
        </w:rPr>
        <w:t xml:space="preserve">Officials of relevant </w:t>
      </w:r>
      <w:r w:rsidR="00CE0BA6" w:rsidRPr="00144E99">
        <w:rPr>
          <w:rFonts w:ascii="Corbel" w:hAnsi="Corbel"/>
        </w:rPr>
        <w:t>P</w:t>
      </w:r>
      <w:r w:rsidRPr="00144E99">
        <w:rPr>
          <w:rFonts w:ascii="Corbel" w:hAnsi="Corbel"/>
        </w:rPr>
        <w:t xml:space="preserve">arties will attempt to resolve any dispute </w:t>
      </w:r>
      <w:r w:rsidR="00721EAF" w:rsidRPr="00144E99">
        <w:rPr>
          <w:rFonts w:ascii="Corbel" w:hAnsi="Corbel"/>
        </w:rPr>
        <w:t xml:space="preserve">under this Agreement </w:t>
      </w:r>
      <w:r w:rsidRPr="00144E99">
        <w:rPr>
          <w:rFonts w:ascii="Corbel" w:hAnsi="Corbel"/>
        </w:rPr>
        <w:t xml:space="preserve">in the first instance. If a dispute cannot be resolved by officials it may be escalated to the relevant </w:t>
      </w:r>
      <w:r w:rsidR="00B0386F" w:rsidRPr="00144E99">
        <w:rPr>
          <w:rFonts w:ascii="Corbel" w:hAnsi="Corbel"/>
        </w:rPr>
        <w:t>school education portfolio Ministers</w:t>
      </w:r>
      <w:r w:rsidRPr="00144E99">
        <w:rPr>
          <w:rFonts w:ascii="Corbel" w:hAnsi="Corbel"/>
        </w:rPr>
        <w:t xml:space="preserve">, and if necessary, </w:t>
      </w:r>
      <w:r w:rsidR="00CE0BA6" w:rsidRPr="00144E99">
        <w:rPr>
          <w:rFonts w:ascii="Corbel" w:hAnsi="Corbel"/>
        </w:rPr>
        <w:t>to the Education Council</w:t>
      </w:r>
      <w:r w:rsidRPr="00144E99">
        <w:rPr>
          <w:rFonts w:ascii="Corbel" w:hAnsi="Corbel"/>
        </w:rPr>
        <w:t>.</w:t>
      </w:r>
      <w:r w:rsidR="00202BC6" w:rsidRPr="00144E99">
        <w:rPr>
          <w:rFonts w:ascii="Corbel" w:hAnsi="Corbel"/>
        </w:rPr>
        <w:t xml:space="preserve"> </w:t>
      </w:r>
      <w:r w:rsidRPr="00144E99">
        <w:rPr>
          <w:rFonts w:ascii="Corbel" w:hAnsi="Corbel"/>
        </w:rPr>
        <w:t xml:space="preserve">If a dispute cannot be resolved by the relevant </w:t>
      </w:r>
      <w:r w:rsidR="00B0386F" w:rsidRPr="00144E99">
        <w:rPr>
          <w:rFonts w:ascii="Corbel" w:hAnsi="Corbel"/>
        </w:rPr>
        <w:t xml:space="preserve">school education portfolio </w:t>
      </w:r>
      <w:r w:rsidRPr="00144E99">
        <w:rPr>
          <w:rFonts w:ascii="Corbel" w:hAnsi="Corbel"/>
        </w:rPr>
        <w:t>Ministers, it may be referred to the relevant First Ministers and, if necessary, to COAG for consideration.</w:t>
      </w:r>
    </w:p>
    <w:p w14:paraId="4A182EA6" w14:textId="77777777" w:rsidR="00FA18B7" w:rsidRPr="00144E99" w:rsidRDefault="00FA18B7" w:rsidP="00146A69">
      <w:pPr>
        <w:pStyle w:val="Normalnumbered"/>
        <w:numPr>
          <w:ilvl w:val="0"/>
          <w:numId w:val="17"/>
        </w:numPr>
        <w:jc w:val="left"/>
        <w:rPr>
          <w:rFonts w:ascii="Corbel" w:hAnsi="Corbel"/>
        </w:rPr>
      </w:pPr>
      <w:r w:rsidRPr="00144E99">
        <w:rPr>
          <w:rFonts w:ascii="Corbel" w:hAnsi="Corbel"/>
        </w:rPr>
        <w:t xml:space="preserve">In the case of a dispute related to a bilateral agreement between the Commonwealth and a State or Territory, </w:t>
      </w:r>
      <w:r w:rsidR="00A84038" w:rsidRPr="00144E99">
        <w:rPr>
          <w:rFonts w:ascii="Corbel" w:hAnsi="Corbel"/>
        </w:rPr>
        <w:t xml:space="preserve">officials of relevant Parties will attempt to resolve any dispute </w:t>
      </w:r>
      <w:r w:rsidR="00E15129" w:rsidRPr="00144E99">
        <w:rPr>
          <w:rFonts w:ascii="Corbel" w:hAnsi="Corbel"/>
        </w:rPr>
        <w:t xml:space="preserve">relating to this Agreement </w:t>
      </w:r>
      <w:r w:rsidR="00A84038" w:rsidRPr="00144E99">
        <w:rPr>
          <w:rFonts w:ascii="Corbel" w:hAnsi="Corbel"/>
        </w:rPr>
        <w:t>in the first instance. If a dispute cannot be resolved by officials</w:t>
      </w:r>
      <w:r w:rsidR="00145C75" w:rsidRPr="00144E99">
        <w:rPr>
          <w:rFonts w:ascii="Corbel" w:hAnsi="Corbel"/>
        </w:rPr>
        <w:t>,</w:t>
      </w:r>
      <w:r w:rsidR="00A84038" w:rsidRPr="00144E99">
        <w:rPr>
          <w:rFonts w:ascii="Corbel" w:hAnsi="Corbel"/>
        </w:rPr>
        <w:t xml:space="preserve"> it may be escalated to the relevant school education portfolio Ministers and</w:t>
      </w:r>
      <w:r w:rsidR="00145C75" w:rsidRPr="00144E99">
        <w:rPr>
          <w:rFonts w:ascii="Corbel" w:hAnsi="Corbel"/>
        </w:rPr>
        <w:t>,</w:t>
      </w:r>
      <w:r w:rsidR="00A84038" w:rsidRPr="00144E99">
        <w:rPr>
          <w:rFonts w:ascii="Corbel" w:hAnsi="Corbel"/>
        </w:rPr>
        <w:t xml:space="preserve"> if necessary, to relevant First Ministers.</w:t>
      </w:r>
    </w:p>
    <w:p w14:paraId="1CC2679B" w14:textId="77777777" w:rsidR="00202BC6" w:rsidRPr="00144E99" w:rsidRDefault="00804FFE" w:rsidP="00146A69">
      <w:pPr>
        <w:pStyle w:val="Normalnumbered"/>
        <w:numPr>
          <w:ilvl w:val="0"/>
          <w:numId w:val="17"/>
        </w:numPr>
        <w:jc w:val="left"/>
        <w:rPr>
          <w:rFonts w:ascii="Corbel" w:hAnsi="Corbel"/>
        </w:rPr>
      </w:pPr>
      <w:r w:rsidRPr="00144E99">
        <w:rPr>
          <w:rFonts w:ascii="Corbel" w:hAnsi="Corbel"/>
        </w:rPr>
        <w:t>A</w:t>
      </w:r>
      <w:r w:rsidR="00202BC6" w:rsidRPr="00144E99">
        <w:rPr>
          <w:rFonts w:ascii="Corbel" w:hAnsi="Corbel"/>
        </w:rPr>
        <w:t xml:space="preserve"> dispute does not, of itself, constitute failure to implement the </w:t>
      </w:r>
      <w:r w:rsidR="00D961F2" w:rsidRPr="00144E99">
        <w:rPr>
          <w:rFonts w:ascii="Corbel" w:hAnsi="Corbel"/>
        </w:rPr>
        <w:t>Agreement</w:t>
      </w:r>
      <w:r w:rsidR="00202BC6" w:rsidRPr="00144E99">
        <w:rPr>
          <w:rFonts w:ascii="Corbel" w:hAnsi="Corbel"/>
        </w:rPr>
        <w:t xml:space="preserve">. </w:t>
      </w:r>
    </w:p>
    <w:p w14:paraId="690D5BDB" w14:textId="77777777" w:rsidR="007805DB" w:rsidRPr="00144E99" w:rsidRDefault="00B0386F" w:rsidP="00DE7DB2">
      <w:pPr>
        <w:pStyle w:val="Heading2"/>
      </w:pPr>
      <w:bookmarkStart w:id="22" w:name="_Toc525144594"/>
      <w:bookmarkStart w:id="23" w:name="_Toc525030943"/>
      <w:r w:rsidRPr="00144E99">
        <w:t>Review</w:t>
      </w:r>
      <w:bookmarkEnd w:id="22"/>
      <w:bookmarkEnd w:id="23"/>
    </w:p>
    <w:p w14:paraId="4089C364" w14:textId="77777777" w:rsidR="00BE7911" w:rsidRPr="00144E99" w:rsidRDefault="00DA7BAD" w:rsidP="00146A69">
      <w:pPr>
        <w:pStyle w:val="Normalnumbered"/>
        <w:numPr>
          <w:ilvl w:val="0"/>
          <w:numId w:val="17"/>
        </w:numPr>
        <w:jc w:val="left"/>
        <w:rPr>
          <w:rFonts w:ascii="Corbel" w:hAnsi="Corbel"/>
        </w:rPr>
      </w:pPr>
      <w:r w:rsidRPr="00144E99">
        <w:rPr>
          <w:rFonts w:ascii="Corbel" w:hAnsi="Corbel"/>
        </w:rPr>
        <w:t xml:space="preserve">An independent review will be </w:t>
      </w:r>
      <w:r w:rsidR="00DF2B88" w:rsidRPr="00144E99">
        <w:rPr>
          <w:rFonts w:ascii="Corbel" w:hAnsi="Corbel"/>
        </w:rPr>
        <w:t xml:space="preserve">commissioned on behalf of Education Council </w:t>
      </w:r>
      <w:r w:rsidRPr="00144E99">
        <w:rPr>
          <w:rFonts w:ascii="Corbel" w:hAnsi="Corbel"/>
        </w:rPr>
        <w:t xml:space="preserve">to </w:t>
      </w:r>
      <w:r w:rsidR="009D7C6E" w:rsidRPr="00144E99">
        <w:rPr>
          <w:rFonts w:ascii="Corbel" w:hAnsi="Corbel"/>
        </w:rPr>
        <w:t>assess</w:t>
      </w:r>
      <w:r w:rsidR="00BE7911" w:rsidRPr="00144E99">
        <w:rPr>
          <w:rFonts w:ascii="Corbel" w:hAnsi="Corbel"/>
        </w:rPr>
        <w:t>:</w:t>
      </w:r>
    </w:p>
    <w:p w14:paraId="00199D36" w14:textId="77777777" w:rsidR="00BE7911" w:rsidRPr="00144E99" w:rsidRDefault="00CF36FC" w:rsidP="007A2455">
      <w:pPr>
        <w:numPr>
          <w:ilvl w:val="1"/>
          <w:numId w:val="17"/>
        </w:numPr>
      </w:pPr>
      <w:r w:rsidRPr="00144E99">
        <w:t xml:space="preserve">the effectiveness of the </w:t>
      </w:r>
      <w:r w:rsidR="007C24DF" w:rsidRPr="00144E99">
        <w:t xml:space="preserve">national policy initiatives </w:t>
      </w:r>
      <w:r w:rsidRPr="00144E99">
        <w:t xml:space="preserve">outlined in Part </w:t>
      </w:r>
      <w:r w:rsidR="000F7575" w:rsidRPr="00144E99">
        <w:t>3</w:t>
      </w:r>
      <w:r w:rsidR="00F324C4" w:rsidRPr="00144E99">
        <w:t>, recognising</w:t>
      </w:r>
      <w:r w:rsidR="002F1C60" w:rsidRPr="00144E99">
        <w:t xml:space="preserve"> </w:t>
      </w:r>
      <w:r w:rsidR="00F324C4" w:rsidRPr="00144E99">
        <w:t>that national reform takes time to implement and mature, and for the effects of nationally coordinated reform efforts to materialise</w:t>
      </w:r>
    </w:p>
    <w:p w14:paraId="71B0D7D6" w14:textId="77777777" w:rsidR="0024016F" w:rsidRPr="00144E99" w:rsidRDefault="000C2CD8" w:rsidP="007A2455">
      <w:pPr>
        <w:numPr>
          <w:ilvl w:val="1"/>
          <w:numId w:val="17"/>
        </w:numPr>
      </w:pPr>
      <w:r w:rsidRPr="00144E99">
        <w:t xml:space="preserve">the appropriateness of the National Measurement Framework for Schooling </w:t>
      </w:r>
      <w:r w:rsidR="00140C57" w:rsidRPr="00144E99">
        <w:t xml:space="preserve">(Measurement Framework) </w:t>
      </w:r>
      <w:r w:rsidR="00F324C4" w:rsidRPr="00144E99">
        <w:t>in measuring progress towards achieving the outcomes of this Agreement</w:t>
      </w:r>
      <w:r w:rsidR="00A008AF" w:rsidRPr="00144E99">
        <w:t xml:space="preserve">. </w:t>
      </w:r>
    </w:p>
    <w:p w14:paraId="285527ED" w14:textId="77777777" w:rsidR="00AE31D0" w:rsidRPr="00144E99" w:rsidRDefault="00AE31D0" w:rsidP="00146A69">
      <w:pPr>
        <w:pStyle w:val="Normalnumbered"/>
        <w:numPr>
          <w:ilvl w:val="0"/>
          <w:numId w:val="17"/>
        </w:numPr>
        <w:jc w:val="left"/>
        <w:rPr>
          <w:rFonts w:ascii="Corbel" w:hAnsi="Corbel"/>
        </w:rPr>
      </w:pPr>
      <w:r w:rsidRPr="00144E99">
        <w:rPr>
          <w:rFonts w:ascii="Corbel" w:hAnsi="Corbel"/>
        </w:rPr>
        <w:t>The review will not include any assessment of compliance with s</w:t>
      </w:r>
      <w:r w:rsidR="00F3726F" w:rsidRPr="00144E99">
        <w:rPr>
          <w:rFonts w:ascii="Corbel" w:hAnsi="Corbel"/>
        </w:rPr>
        <w:t xml:space="preserve">ection </w:t>
      </w:r>
      <w:r w:rsidRPr="00144E99">
        <w:rPr>
          <w:rFonts w:ascii="Corbel" w:hAnsi="Corbel"/>
        </w:rPr>
        <w:t>22A of the Act.</w:t>
      </w:r>
    </w:p>
    <w:p w14:paraId="65E98809" w14:textId="77777777" w:rsidR="000E5DE1" w:rsidRPr="00144E99" w:rsidRDefault="00DA0F2E" w:rsidP="00146A69">
      <w:pPr>
        <w:pStyle w:val="Normalnumbered"/>
        <w:numPr>
          <w:ilvl w:val="0"/>
          <w:numId w:val="17"/>
        </w:numPr>
        <w:jc w:val="left"/>
        <w:rPr>
          <w:rFonts w:ascii="Corbel" w:hAnsi="Corbel"/>
        </w:rPr>
      </w:pPr>
      <w:r w:rsidRPr="00144E99">
        <w:rPr>
          <w:rFonts w:ascii="Corbel" w:hAnsi="Corbel"/>
        </w:rPr>
        <w:t xml:space="preserve">The </w:t>
      </w:r>
      <w:r w:rsidR="009D7C6E" w:rsidRPr="00144E99">
        <w:rPr>
          <w:rFonts w:ascii="Corbel" w:hAnsi="Corbel"/>
        </w:rPr>
        <w:t>reviewer</w:t>
      </w:r>
      <w:r w:rsidR="003A50EB" w:rsidRPr="00144E99">
        <w:rPr>
          <w:rFonts w:ascii="Corbel" w:hAnsi="Corbel"/>
        </w:rPr>
        <w:t>(s)</w:t>
      </w:r>
      <w:r w:rsidR="009D7C6E" w:rsidRPr="00144E99">
        <w:rPr>
          <w:rFonts w:ascii="Corbel" w:hAnsi="Corbel"/>
        </w:rPr>
        <w:t xml:space="preserve"> and the </w:t>
      </w:r>
      <w:r w:rsidRPr="00144E99">
        <w:rPr>
          <w:rFonts w:ascii="Corbel" w:hAnsi="Corbel"/>
        </w:rPr>
        <w:t>terms of reference for the review are to be agreed by the Education Council.</w:t>
      </w:r>
      <w:r w:rsidR="00BE7911" w:rsidRPr="00144E99">
        <w:rPr>
          <w:rFonts w:ascii="Corbel" w:hAnsi="Corbel"/>
        </w:rPr>
        <w:t xml:space="preserve"> The review will be completed by 31 December 2022 </w:t>
      </w:r>
      <w:r w:rsidR="00520A29" w:rsidRPr="00144E99">
        <w:rPr>
          <w:rFonts w:ascii="Corbel" w:hAnsi="Corbel"/>
        </w:rPr>
        <w:t xml:space="preserve">for consideration of Education Council and COAG </w:t>
      </w:r>
      <w:r w:rsidR="00BE7911" w:rsidRPr="00144E99">
        <w:rPr>
          <w:rFonts w:ascii="Corbel" w:hAnsi="Corbel"/>
        </w:rPr>
        <w:t>to inform the development of a new national reform agreement.</w:t>
      </w:r>
    </w:p>
    <w:p w14:paraId="4B14B269" w14:textId="77777777" w:rsidR="00986BD4" w:rsidRDefault="004856D9" w:rsidP="00986BD4">
      <w:pPr>
        <w:pStyle w:val="Normalnumbered"/>
        <w:numPr>
          <w:ilvl w:val="0"/>
          <w:numId w:val="17"/>
        </w:numPr>
        <w:jc w:val="left"/>
        <w:rPr>
          <w:rFonts w:ascii="Corbel" w:hAnsi="Corbel"/>
        </w:rPr>
      </w:pPr>
      <w:r w:rsidRPr="00144E99">
        <w:rPr>
          <w:rFonts w:ascii="Corbel" w:hAnsi="Corbel"/>
        </w:rPr>
        <w:t xml:space="preserve">The reviewer(s) will present the </w:t>
      </w:r>
      <w:r w:rsidR="00394AF3" w:rsidRPr="00144E99">
        <w:rPr>
          <w:rFonts w:ascii="Corbel" w:hAnsi="Corbel"/>
        </w:rPr>
        <w:t>r</w:t>
      </w:r>
      <w:r w:rsidRPr="00144E99">
        <w:rPr>
          <w:rFonts w:ascii="Corbel" w:hAnsi="Corbel"/>
        </w:rPr>
        <w:t xml:space="preserve">eport to Education Council prior to publication. </w:t>
      </w:r>
    </w:p>
    <w:p w14:paraId="740D4A9F" w14:textId="77777777" w:rsidR="00DA5F91" w:rsidRPr="00144E99" w:rsidRDefault="00DA5F91" w:rsidP="00986BD4">
      <w:pPr>
        <w:pStyle w:val="Normalnumbered"/>
        <w:numPr>
          <w:ilvl w:val="0"/>
          <w:numId w:val="17"/>
        </w:numPr>
        <w:jc w:val="left"/>
        <w:rPr>
          <w:rFonts w:ascii="Corbel" w:hAnsi="Corbel"/>
        </w:rPr>
      </w:pPr>
      <w:r w:rsidRPr="00CF1844">
        <w:rPr>
          <w:rFonts w:ascii="Corbel" w:hAnsi="Corbel"/>
        </w:rPr>
        <w:t>The Commonwealth will commission the National School Resourcing Board to review the SRS indexation arrangements. The terms of reference for the review are to be agreed by the Education Council.  The review will be completed and presented to Education Council in 2023.</w:t>
      </w:r>
    </w:p>
    <w:p w14:paraId="3CF4A5DB" w14:textId="77777777" w:rsidR="00556A1E" w:rsidRPr="00144E99" w:rsidRDefault="00B7498B">
      <w:pPr>
        <w:pStyle w:val="Heading1"/>
      </w:pPr>
      <w:bookmarkStart w:id="24" w:name="_Toc525144595"/>
      <w:bookmarkStart w:id="25" w:name="_Toc525030944"/>
      <w:bookmarkStart w:id="26" w:name="_Toc352229940"/>
      <w:r w:rsidRPr="00144E99">
        <w:t xml:space="preserve">Part 2 – </w:t>
      </w:r>
      <w:r w:rsidR="00B726EA" w:rsidRPr="00144E99">
        <w:t xml:space="preserve">Objectives, </w:t>
      </w:r>
      <w:r w:rsidR="009D59FD" w:rsidRPr="00144E99">
        <w:t>Outcomes, TARGETs and measures</w:t>
      </w:r>
      <w:bookmarkEnd w:id="24"/>
      <w:bookmarkEnd w:id="25"/>
      <w:r w:rsidR="009D59FD" w:rsidRPr="00144E99" w:rsidDel="009D59FD">
        <w:t xml:space="preserve"> </w:t>
      </w:r>
    </w:p>
    <w:p w14:paraId="108B9236" w14:textId="77777777" w:rsidR="004C16B4" w:rsidRPr="00144E99" w:rsidRDefault="004C16B4" w:rsidP="004C16B4">
      <w:pPr>
        <w:pStyle w:val="Heading2"/>
      </w:pPr>
      <w:bookmarkStart w:id="27" w:name="_Toc525144596"/>
      <w:bookmarkStart w:id="28" w:name="_Toc525030945"/>
      <w:r w:rsidRPr="00144E99">
        <w:t>Objectives</w:t>
      </w:r>
      <w:bookmarkEnd w:id="27"/>
      <w:bookmarkEnd w:id="28"/>
    </w:p>
    <w:p w14:paraId="5574D850" w14:textId="77777777" w:rsidR="004C16B4" w:rsidRPr="00144E99" w:rsidRDefault="004C16B4" w:rsidP="004C16B4">
      <w:pPr>
        <w:numPr>
          <w:ilvl w:val="0"/>
          <w:numId w:val="17"/>
        </w:numPr>
        <w:rPr>
          <w:rFonts w:cs="Calibri"/>
        </w:rPr>
      </w:pPr>
      <w:r w:rsidRPr="00144E99">
        <w:rPr>
          <w:rFonts w:cs="Calibri"/>
        </w:rPr>
        <w:t>The Parties commit this Agreement should contribute to the following objective:</w:t>
      </w:r>
    </w:p>
    <w:p w14:paraId="7E9B65D3" w14:textId="1E876B7F" w:rsidR="00F8442C" w:rsidRPr="00144E99" w:rsidRDefault="00F8442C" w:rsidP="00F8442C">
      <w:pPr>
        <w:numPr>
          <w:ilvl w:val="1"/>
          <w:numId w:val="17"/>
        </w:numPr>
      </w:pPr>
      <w:r w:rsidRPr="00144E99">
        <w:t>Australian schooling provides a high quality and equitable education for all students</w:t>
      </w:r>
      <w:r w:rsidR="00F1347D">
        <w:t>.</w:t>
      </w:r>
      <w:r w:rsidR="004C16B4" w:rsidRPr="00144E99">
        <w:t xml:space="preserve"> </w:t>
      </w:r>
    </w:p>
    <w:p w14:paraId="2A9E5E05" w14:textId="77777777" w:rsidR="009D59FD" w:rsidRPr="00144E99" w:rsidRDefault="009D59FD" w:rsidP="009D59FD">
      <w:pPr>
        <w:pStyle w:val="Heading2"/>
      </w:pPr>
      <w:bookmarkStart w:id="29" w:name="_Toc508375778"/>
      <w:bookmarkStart w:id="30" w:name="_Toc525144597"/>
      <w:bookmarkStart w:id="31" w:name="_Toc525030946"/>
      <w:bookmarkStart w:id="32" w:name="_Toc508821939"/>
      <w:bookmarkStart w:id="33" w:name="_Toc515370886"/>
      <w:r w:rsidRPr="00144E99">
        <w:t>Outcomes</w:t>
      </w:r>
      <w:bookmarkEnd w:id="29"/>
      <w:bookmarkEnd w:id="30"/>
      <w:bookmarkEnd w:id="31"/>
      <w:r w:rsidRPr="00144E99">
        <w:t xml:space="preserve"> </w:t>
      </w:r>
      <w:bookmarkEnd w:id="32"/>
    </w:p>
    <w:p w14:paraId="18899DCA" w14:textId="77777777" w:rsidR="009D59FD" w:rsidRPr="00144E99" w:rsidRDefault="009D59FD" w:rsidP="009D59FD">
      <w:pPr>
        <w:numPr>
          <w:ilvl w:val="0"/>
          <w:numId w:val="17"/>
        </w:numPr>
        <w:rPr>
          <w:rFonts w:cs="Times New Roman"/>
          <w:color w:val="auto"/>
          <w:szCs w:val="20"/>
          <w:lang w:eastAsia="en-US"/>
        </w:rPr>
      </w:pPr>
      <w:r w:rsidRPr="00144E99">
        <w:t>The Parties commit to the following outcomes, which collectively articulate Parties’ high ambition for Australian school education:</w:t>
      </w:r>
    </w:p>
    <w:p w14:paraId="72771C28" w14:textId="77777777" w:rsidR="009D59FD" w:rsidRPr="00144E99" w:rsidRDefault="009D59FD" w:rsidP="007A2455">
      <w:pPr>
        <w:numPr>
          <w:ilvl w:val="1"/>
          <w:numId w:val="17"/>
        </w:numPr>
      </w:pPr>
      <w:r w:rsidRPr="00144E99">
        <w:lastRenderedPageBreak/>
        <w:t xml:space="preserve">Academic achievement improves for all students, including priority equity cohorts; </w:t>
      </w:r>
    </w:p>
    <w:p w14:paraId="5E801933" w14:textId="77777777" w:rsidR="009D59FD" w:rsidRPr="00144E99" w:rsidRDefault="009D59FD" w:rsidP="007A2455">
      <w:pPr>
        <w:numPr>
          <w:ilvl w:val="1"/>
          <w:numId w:val="17"/>
        </w:numPr>
      </w:pPr>
      <w:r w:rsidRPr="00144E99">
        <w:t xml:space="preserve">All students are engaged in their schooling; and </w:t>
      </w:r>
    </w:p>
    <w:p w14:paraId="73539E4E" w14:textId="77777777" w:rsidR="009D59FD" w:rsidRPr="00144E99" w:rsidRDefault="009D59FD" w:rsidP="007A2455">
      <w:pPr>
        <w:numPr>
          <w:ilvl w:val="1"/>
          <w:numId w:val="17"/>
        </w:numPr>
      </w:pPr>
      <w:r w:rsidRPr="00144E99">
        <w:t xml:space="preserve">Students gain the skills they need to transition to further study and/or work and life success. </w:t>
      </w:r>
    </w:p>
    <w:p w14:paraId="69ECFBF0" w14:textId="77777777" w:rsidR="009D59FD" w:rsidRPr="00144E99" w:rsidRDefault="009D59FD" w:rsidP="009D59FD">
      <w:pPr>
        <w:pStyle w:val="Heading2"/>
      </w:pPr>
      <w:bookmarkStart w:id="34" w:name="_Toc525144598"/>
      <w:bookmarkStart w:id="35" w:name="_Toc525030947"/>
      <w:bookmarkStart w:id="36" w:name="_Toc508821940"/>
      <w:bookmarkStart w:id="37" w:name="_Toc508375779"/>
      <w:r w:rsidRPr="00144E99">
        <w:t>Targets</w:t>
      </w:r>
      <w:bookmarkEnd w:id="34"/>
      <w:bookmarkEnd w:id="35"/>
    </w:p>
    <w:p w14:paraId="438A0BB7" w14:textId="77777777" w:rsidR="009D59FD" w:rsidRPr="00144E99" w:rsidRDefault="009D59FD" w:rsidP="009D59FD">
      <w:pPr>
        <w:numPr>
          <w:ilvl w:val="0"/>
          <w:numId w:val="17"/>
        </w:numPr>
        <w:rPr>
          <w:rFonts w:cs="Times New Roman"/>
          <w:color w:val="auto"/>
          <w:szCs w:val="20"/>
          <w:lang w:eastAsia="en-US"/>
        </w:rPr>
      </w:pPr>
      <w:r w:rsidRPr="00144E99">
        <w:t xml:space="preserve">The Parties have </w:t>
      </w:r>
      <w:r w:rsidRPr="00144E99">
        <w:rPr>
          <w:rFonts w:cs="Calibri"/>
        </w:rPr>
        <w:t xml:space="preserve">previously </w:t>
      </w:r>
      <w:r w:rsidRPr="00144E99">
        <w:t xml:space="preserve">agreed to the following national targets which are critical to the achievement of the outcomes: </w:t>
      </w:r>
    </w:p>
    <w:p w14:paraId="21F04A0B" w14:textId="77777777" w:rsidR="009D59FD" w:rsidRPr="00144E99" w:rsidRDefault="009D59FD" w:rsidP="007A2455">
      <w:pPr>
        <w:numPr>
          <w:ilvl w:val="1"/>
          <w:numId w:val="17"/>
        </w:numPr>
      </w:pPr>
      <w:r w:rsidRPr="00144E99">
        <w:t xml:space="preserve">Australia considered to be a high quality and high equity schooling system by international standards by 2025; </w:t>
      </w:r>
    </w:p>
    <w:p w14:paraId="1A554451" w14:textId="77777777" w:rsidR="009D59FD" w:rsidRPr="00144E99" w:rsidRDefault="009D59FD" w:rsidP="007A2455">
      <w:pPr>
        <w:numPr>
          <w:ilvl w:val="1"/>
          <w:numId w:val="17"/>
        </w:numPr>
      </w:pPr>
      <w:r w:rsidRPr="00144E99">
        <w:t>lift the Year 12 (or equivalent) or Certificate III attainment rate to 90 per cent by 2020; and</w:t>
      </w:r>
    </w:p>
    <w:p w14:paraId="542A935E" w14:textId="77777777" w:rsidR="009D59FD" w:rsidRPr="00144E99" w:rsidRDefault="009D59FD" w:rsidP="007A2455">
      <w:pPr>
        <w:numPr>
          <w:ilvl w:val="1"/>
          <w:numId w:val="17"/>
        </w:numPr>
      </w:pPr>
      <w:r w:rsidRPr="00144E99">
        <w:t xml:space="preserve">at least halve the gap for Aboriginal and Torres Strait Islander students in Year 12 or equivalent attainment rates by 2020, from the 2006 baseline. </w:t>
      </w:r>
    </w:p>
    <w:p w14:paraId="006462FB" w14:textId="77777777" w:rsidR="009D59FD" w:rsidRPr="00144E99" w:rsidRDefault="009D59FD" w:rsidP="002039FC">
      <w:pPr>
        <w:pStyle w:val="Heading2"/>
      </w:pPr>
      <w:bookmarkStart w:id="38" w:name="_Toc525144599"/>
      <w:bookmarkStart w:id="39" w:name="_Toc525030948"/>
      <w:r w:rsidRPr="00144E99">
        <w:t>National measures</w:t>
      </w:r>
      <w:bookmarkEnd w:id="38"/>
      <w:bookmarkEnd w:id="39"/>
    </w:p>
    <w:bookmarkEnd w:id="36"/>
    <w:bookmarkEnd w:id="37"/>
    <w:p w14:paraId="2635E4E4" w14:textId="77777777" w:rsidR="009D59FD" w:rsidRPr="00144E99" w:rsidRDefault="009D59FD" w:rsidP="009D59FD">
      <w:pPr>
        <w:numPr>
          <w:ilvl w:val="0"/>
          <w:numId w:val="17"/>
        </w:numPr>
        <w:rPr>
          <w:rFonts w:cs="Times New Roman"/>
          <w:color w:val="auto"/>
          <w:szCs w:val="20"/>
          <w:lang w:eastAsia="en-US"/>
        </w:rPr>
      </w:pPr>
      <w:r w:rsidRPr="00144E99">
        <w:t>The Parties will track progress against the following sub-outcomes. These incorporate, as well as build on and supersede existing COAG education targets and aim to promote a culture that strives for continuous improvement in the performance of Australia’s schooling system.</w:t>
      </w:r>
    </w:p>
    <w:tbl>
      <w:tblPr>
        <w:tblStyle w:val="TableGridLight1"/>
        <w:tblW w:w="9634" w:type="dxa"/>
        <w:tblLook w:val="04A0" w:firstRow="1" w:lastRow="0" w:firstColumn="1" w:lastColumn="0" w:noHBand="0" w:noVBand="1"/>
      </w:tblPr>
      <w:tblGrid>
        <w:gridCol w:w="3256"/>
        <w:gridCol w:w="6378"/>
      </w:tblGrid>
      <w:tr w:rsidR="009D59FD" w:rsidRPr="00144E99" w14:paraId="0E0DA076" w14:textId="77777777" w:rsidTr="007A2455">
        <w:trPr>
          <w:trHeight w:val="309"/>
          <w:tblHeader/>
        </w:trPr>
        <w:tc>
          <w:tcPr>
            <w:tcW w:w="3256" w:type="dxa"/>
            <w:vAlign w:val="bottom"/>
          </w:tcPr>
          <w:p w14:paraId="7C9AD106" w14:textId="77777777" w:rsidR="009D59FD" w:rsidRPr="00144E99" w:rsidRDefault="009D59FD" w:rsidP="007A2455">
            <w:pPr>
              <w:jc w:val="left"/>
              <w:rPr>
                <w:b/>
                <w:color w:val="316F72"/>
              </w:rPr>
            </w:pPr>
            <w:bookmarkStart w:id="40" w:name="_Toc516742120"/>
            <w:r w:rsidRPr="00144E99">
              <w:rPr>
                <w:b/>
                <w:color w:val="316F72"/>
              </w:rPr>
              <w:t>Outcome</w:t>
            </w:r>
            <w:bookmarkEnd w:id="40"/>
          </w:p>
        </w:tc>
        <w:tc>
          <w:tcPr>
            <w:tcW w:w="6378" w:type="dxa"/>
            <w:vAlign w:val="bottom"/>
          </w:tcPr>
          <w:p w14:paraId="5A51C55E" w14:textId="77777777" w:rsidR="009D59FD" w:rsidRPr="00144E99" w:rsidRDefault="009D59FD" w:rsidP="007A2455">
            <w:pPr>
              <w:jc w:val="left"/>
              <w:rPr>
                <w:b/>
                <w:color w:val="316F72"/>
              </w:rPr>
            </w:pPr>
            <w:r w:rsidRPr="00144E99">
              <w:rPr>
                <w:b/>
                <w:color w:val="316F72"/>
              </w:rPr>
              <w:t>Sub-outcome</w:t>
            </w:r>
          </w:p>
        </w:tc>
      </w:tr>
      <w:tr w:rsidR="009D59FD" w:rsidRPr="00144E99" w14:paraId="3EF0FDB4" w14:textId="77777777" w:rsidTr="007A2455">
        <w:tc>
          <w:tcPr>
            <w:tcW w:w="3256" w:type="dxa"/>
            <w:vMerge w:val="restart"/>
          </w:tcPr>
          <w:p w14:paraId="3BD18544" w14:textId="77777777" w:rsidR="009D59FD" w:rsidRPr="00144E99" w:rsidRDefault="009D59FD" w:rsidP="007A2455">
            <w:pPr>
              <w:jc w:val="left"/>
              <w:rPr>
                <w:b/>
                <w:color w:val="316F72"/>
                <w:sz w:val="20"/>
              </w:rPr>
            </w:pPr>
            <w:r w:rsidRPr="00144E99">
              <w:rPr>
                <w:b/>
                <w:color w:val="316F72"/>
                <w:sz w:val="20"/>
              </w:rPr>
              <w:t>Academic achievement improves for all students, including priority equity cohorts.</w:t>
            </w:r>
          </w:p>
        </w:tc>
        <w:tc>
          <w:tcPr>
            <w:tcW w:w="6378" w:type="dxa"/>
          </w:tcPr>
          <w:p w14:paraId="6FF25698" w14:textId="77777777" w:rsidR="009D59FD" w:rsidRPr="00144E99" w:rsidRDefault="009D59FD" w:rsidP="007A2455">
            <w:pPr>
              <w:jc w:val="left"/>
              <w:rPr>
                <w:sz w:val="20"/>
              </w:rPr>
            </w:pPr>
            <w:r w:rsidRPr="00144E99">
              <w:rPr>
                <w:sz w:val="20"/>
              </w:rPr>
              <w:t xml:space="preserve">Lower the proportion of students in the bottom levels and increase the proportion of students in the top levels of performance (bottom two and top two bands) in </w:t>
            </w:r>
            <w:r w:rsidR="001D4C51" w:rsidRPr="00144E99">
              <w:rPr>
                <w:sz w:val="20"/>
              </w:rPr>
              <w:t xml:space="preserve">the </w:t>
            </w:r>
            <w:r w:rsidRPr="00144E99">
              <w:rPr>
                <w:sz w:val="20"/>
              </w:rPr>
              <w:t>National Assessment Program–Literacy and Numeracy (NAPLAN) Literacy and Numeracy, of Years 3, 5, 7 and 9.</w:t>
            </w:r>
          </w:p>
        </w:tc>
      </w:tr>
      <w:tr w:rsidR="009D59FD" w:rsidRPr="00144E99" w14:paraId="116E71D4" w14:textId="77777777" w:rsidTr="007A2455">
        <w:tc>
          <w:tcPr>
            <w:tcW w:w="3256" w:type="dxa"/>
            <w:vMerge/>
          </w:tcPr>
          <w:p w14:paraId="3E41BF3A" w14:textId="77777777" w:rsidR="009D59FD" w:rsidRPr="00144E99" w:rsidRDefault="009D59FD" w:rsidP="007A2455">
            <w:pPr>
              <w:jc w:val="left"/>
              <w:rPr>
                <w:b/>
                <w:color w:val="316F72"/>
                <w:sz w:val="20"/>
              </w:rPr>
            </w:pPr>
          </w:p>
        </w:tc>
        <w:tc>
          <w:tcPr>
            <w:tcW w:w="6378" w:type="dxa"/>
          </w:tcPr>
          <w:p w14:paraId="7B51EFEE" w14:textId="77777777" w:rsidR="009D59FD" w:rsidRPr="00144E99" w:rsidRDefault="009D59FD" w:rsidP="007A2455">
            <w:pPr>
              <w:jc w:val="left"/>
              <w:rPr>
                <w:sz w:val="20"/>
              </w:rPr>
            </w:pPr>
            <w:r w:rsidRPr="00144E99">
              <w:rPr>
                <w:sz w:val="20"/>
              </w:rPr>
              <w:t xml:space="preserve">Lower the proportion of Australian students in the bottom levels and increase the proportion of students in the top levels of performance (proficiency Levels 1 and 2 and proficiency Levels 5 and 6) for the Organisation for Economic Cooperation and Development’s (OECD) Programme for International Student Assessment (PISA) testing in reading, mathematics and science. </w:t>
            </w:r>
          </w:p>
        </w:tc>
      </w:tr>
      <w:tr w:rsidR="009D59FD" w:rsidRPr="00144E99" w14:paraId="6FCD69C5" w14:textId="77777777" w:rsidTr="007A2455">
        <w:tc>
          <w:tcPr>
            <w:tcW w:w="3256" w:type="dxa"/>
            <w:vMerge/>
          </w:tcPr>
          <w:p w14:paraId="551188F0" w14:textId="77777777" w:rsidR="009D59FD" w:rsidRPr="00144E99" w:rsidRDefault="009D59FD" w:rsidP="007A2455">
            <w:pPr>
              <w:jc w:val="left"/>
              <w:rPr>
                <w:b/>
                <w:color w:val="316F72"/>
                <w:sz w:val="20"/>
              </w:rPr>
            </w:pPr>
          </w:p>
        </w:tc>
        <w:tc>
          <w:tcPr>
            <w:tcW w:w="6378" w:type="dxa"/>
          </w:tcPr>
          <w:p w14:paraId="1CBF3E80" w14:textId="77777777" w:rsidR="009D59FD" w:rsidRPr="00144E99" w:rsidRDefault="009D59FD" w:rsidP="007A2455">
            <w:pPr>
              <w:jc w:val="left"/>
              <w:rPr>
                <w:sz w:val="20"/>
              </w:rPr>
            </w:pPr>
            <w:r w:rsidRPr="00144E99">
              <w:rPr>
                <w:sz w:val="20"/>
              </w:rPr>
              <w:t xml:space="preserve">Lower the proportion of students from priority equity cohorts in the bottom levels and increase the proportion of students in the top levels of performance (bottom two and top two bands) in NAPLAN Literacy and Numeracy, for Years 3, 5, 7 and 9. </w:t>
            </w:r>
          </w:p>
        </w:tc>
      </w:tr>
      <w:tr w:rsidR="009D59FD" w:rsidRPr="00144E99" w14:paraId="38A6D817" w14:textId="77777777" w:rsidTr="007A2455">
        <w:tc>
          <w:tcPr>
            <w:tcW w:w="3256" w:type="dxa"/>
            <w:vMerge/>
          </w:tcPr>
          <w:p w14:paraId="365FB064" w14:textId="77777777" w:rsidR="009D59FD" w:rsidRPr="00144E99" w:rsidRDefault="009D59FD" w:rsidP="007A2455">
            <w:pPr>
              <w:jc w:val="left"/>
              <w:rPr>
                <w:b/>
                <w:color w:val="316F72"/>
                <w:sz w:val="20"/>
              </w:rPr>
            </w:pPr>
          </w:p>
        </w:tc>
        <w:tc>
          <w:tcPr>
            <w:tcW w:w="6378" w:type="dxa"/>
          </w:tcPr>
          <w:p w14:paraId="0FFEAFB1" w14:textId="77777777" w:rsidR="009D59FD" w:rsidRPr="00144E99" w:rsidRDefault="009D59FD" w:rsidP="007A2455">
            <w:pPr>
              <w:jc w:val="left"/>
              <w:rPr>
                <w:sz w:val="20"/>
              </w:rPr>
            </w:pPr>
            <w:r w:rsidRPr="00144E99">
              <w:rPr>
                <w:sz w:val="20"/>
              </w:rPr>
              <w:t>Reduce the gap in achievement between students from various socio-economic backgrounds in Australia’s PISA educational performance compared to other countries and the OECD average.</w:t>
            </w:r>
          </w:p>
        </w:tc>
      </w:tr>
      <w:tr w:rsidR="009D59FD" w:rsidRPr="00144E99" w14:paraId="4F73021B" w14:textId="77777777" w:rsidTr="007A2455">
        <w:tc>
          <w:tcPr>
            <w:tcW w:w="3256" w:type="dxa"/>
            <w:vMerge/>
          </w:tcPr>
          <w:p w14:paraId="73BCCC6F" w14:textId="77777777" w:rsidR="009D59FD" w:rsidRPr="00144E99" w:rsidRDefault="009D59FD" w:rsidP="007A2455">
            <w:pPr>
              <w:jc w:val="left"/>
              <w:rPr>
                <w:b/>
                <w:color w:val="316F72"/>
                <w:sz w:val="20"/>
              </w:rPr>
            </w:pPr>
          </w:p>
        </w:tc>
        <w:tc>
          <w:tcPr>
            <w:tcW w:w="6378" w:type="dxa"/>
          </w:tcPr>
          <w:p w14:paraId="2CFBB59D" w14:textId="77777777" w:rsidR="00A432DE" w:rsidRPr="00144E99" w:rsidRDefault="009D59FD" w:rsidP="007A2455">
            <w:pPr>
              <w:jc w:val="left"/>
              <w:rPr>
                <w:sz w:val="20"/>
              </w:rPr>
            </w:pPr>
            <w:r w:rsidRPr="00144E99">
              <w:rPr>
                <w:sz w:val="20"/>
              </w:rPr>
              <w:t>Increase the proportion of young people from priority equity cohorts, who have completed year 12 or equivalent or gained a qualification at</w:t>
            </w:r>
            <w:r w:rsidR="001D4C51" w:rsidRPr="00144E99">
              <w:rPr>
                <w:sz w:val="20"/>
              </w:rPr>
              <w:t xml:space="preserve"> the</w:t>
            </w:r>
            <w:r w:rsidRPr="00144E99">
              <w:rPr>
                <w:sz w:val="20"/>
              </w:rPr>
              <w:t xml:space="preserve"> </w:t>
            </w:r>
            <w:r w:rsidR="001D4C51" w:rsidRPr="00144E99">
              <w:rPr>
                <w:sz w:val="20"/>
              </w:rPr>
              <w:t>Australian Qualifications Framework (</w:t>
            </w:r>
            <w:r w:rsidRPr="00144E99">
              <w:rPr>
                <w:sz w:val="20"/>
              </w:rPr>
              <w:t>AQF</w:t>
            </w:r>
            <w:r w:rsidR="001D4C51" w:rsidRPr="00144E99">
              <w:rPr>
                <w:sz w:val="20"/>
              </w:rPr>
              <w:t>)</w:t>
            </w:r>
            <w:r w:rsidRPr="00144E99">
              <w:rPr>
                <w:sz w:val="20"/>
              </w:rPr>
              <w:t xml:space="preserve"> Certificate III or above.</w:t>
            </w:r>
          </w:p>
        </w:tc>
      </w:tr>
      <w:tr w:rsidR="009D59FD" w:rsidRPr="00144E99" w14:paraId="4B1F0F00" w14:textId="77777777" w:rsidTr="007A2455">
        <w:tc>
          <w:tcPr>
            <w:tcW w:w="3256" w:type="dxa"/>
          </w:tcPr>
          <w:p w14:paraId="0A2496E2" w14:textId="77777777" w:rsidR="009D59FD" w:rsidRPr="00144E99" w:rsidRDefault="009D59FD" w:rsidP="007A2455">
            <w:pPr>
              <w:jc w:val="left"/>
              <w:rPr>
                <w:b/>
                <w:color w:val="316F72"/>
                <w:sz w:val="20"/>
              </w:rPr>
            </w:pPr>
            <w:r w:rsidRPr="00144E99">
              <w:rPr>
                <w:b/>
                <w:color w:val="316F72"/>
                <w:sz w:val="20"/>
              </w:rPr>
              <w:lastRenderedPageBreak/>
              <w:t>All students are engaged in their schooling.</w:t>
            </w:r>
          </w:p>
        </w:tc>
        <w:tc>
          <w:tcPr>
            <w:tcW w:w="6378" w:type="dxa"/>
          </w:tcPr>
          <w:p w14:paraId="38BD241C" w14:textId="77777777" w:rsidR="009D59FD" w:rsidRPr="00144E99" w:rsidRDefault="00C071C1" w:rsidP="007A2455">
            <w:pPr>
              <w:jc w:val="left"/>
              <w:rPr>
                <w:sz w:val="20"/>
              </w:rPr>
            </w:pPr>
            <w:r w:rsidRPr="00144E99">
              <w:rPr>
                <w:sz w:val="20"/>
                <w:szCs w:val="20"/>
              </w:rPr>
              <w:t>Increase the proportion of students attending school 90 per cent or more of the time, including students from priority equity cohorts</w:t>
            </w:r>
          </w:p>
        </w:tc>
      </w:tr>
      <w:tr w:rsidR="009D59FD" w:rsidRPr="00144E99" w14:paraId="389915A2" w14:textId="77777777" w:rsidTr="007A2455">
        <w:tc>
          <w:tcPr>
            <w:tcW w:w="3256" w:type="dxa"/>
          </w:tcPr>
          <w:p w14:paraId="018F621F" w14:textId="77777777" w:rsidR="009D59FD" w:rsidRPr="00144E99" w:rsidRDefault="009D59FD" w:rsidP="007A2455">
            <w:pPr>
              <w:jc w:val="left"/>
              <w:rPr>
                <w:b/>
                <w:color w:val="316F72"/>
                <w:sz w:val="20"/>
              </w:rPr>
            </w:pPr>
            <w:r w:rsidRPr="00144E99">
              <w:rPr>
                <w:b/>
                <w:color w:val="316F72"/>
                <w:sz w:val="20"/>
              </w:rPr>
              <w:t>Students gain the skills they need to transition to further study and/or work and life success.</w:t>
            </w:r>
          </w:p>
        </w:tc>
        <w:tc>
          <w:tcPr>
            <w:tcW w:w="6378" w:type="dxa"/>
          </w:tcPr>
          <w:p w14:paraId="74B4010C" w14:textId="77777777" w:rsidR="009D59FD" w:rsidRPr="00144E99" w:rsidRDefault="009D59FD" w:rsidP="007A2455">
            <w:pPr>
              <w:jc w:val="left"/>
              <w:rPr>
                <w:sz w:val="20"/>
              </w:rPr>
            </w:pPr>
            <w:r w:rsidRPr="00144E99">
              <w:rPr>
                <w:sz w:val="20"/>
              </w:rPr>
              <w:t>Increase the proportion of young people who have completed year 12 or equivalent or gained a qualification at AQF Certificate III or above.</w:t>
            </w:r>
          </w:p>
        </w:tc>
      </w:tr>
    </w:tbl>
    <w:p w14:paraId="63DFB8FF" w14:textId="77777777" w:rsidR="009D59FD" w:rsidRPr="00144E99" w:rsidRDefault="009D59FD" w:rsidP="009D59FD">
      <w:pPr>
        <w:ind w:left="851" w:hanging="567"/>
        <w:rPr>
          <w:rFonts w:ascii="Arial Narrow" w:hAnsi="Arial Narrow"/>
          <w:sz w:val="20"/>
        </w:rPr>
      </w:pPr>
    </w:p>
    <w:p w14:paraId="18C903FA" w14:textId="77777777" w:rsidR="009D59FD" w:rsidRPr="00144E99" w:rsidRDefault="009D59FD" w:rsidP="002039FC">
      <w:pPr>
        <w:numPr>
          <w:ilvl w:val="0"/>
          <w:numId w:val="17"/>
        </w:numPr>
        <w:ind w:left="357" w:hanging="357"/>
        <w:rPr>
          <w:rFonts w:cs="Times New Roman"/>
          <w:color w:val="auto"/>
          <w:szCs w:val="20"/>
          <w:lang w:eastAsia="en-US"/>
        </w:rPr>
      </w:pPr>
      <w:r w:rsidRPr="00144E99">
        <w:t>For the purpose of this Agreement, priority equity cohorts i</w:t>
      </w:r>
      <w:r w:rsidR="0029150A" w:rsidRPr="00144E99">
        <w:rPr>
          <w:rFonts w:cs="Calibri"/>
        </w:rPr>
        <w:t>nclud</w:t>
      </w:r>
      <w:r w:rsidR="00121214" w:rsidRPr="00144E99">
        <w:rPr>
          <w:rFonts w:cs="Calibri"/>
        </w:rPr>
        <w:t>e</w:t>
      </w:r>
      <w:r w:rsidR="0029150A" w:rsidRPr="00144E99">
        <w:rPr>
          <w:rFonts w:cs="Calibri"/>
        </w:rPr>
        <w:t xml:space="preserve"> Aboriginal and Torres Strait Islander students, students living in regional, rural and remote locations, students with a disability and students from educationally disadvantaged backgrounds</w:t>
      </w:r>
      <w:r w:rsidRPr="00144E99">
        <w:t xml:space="preserve">. All Parties agree that </w:t>
      </w:r>
      <w:r w:rsidR="0029150A" w:rsidRPr="00144E99">
        <w:t xml:space="preserve">sub-outcomes </w:t>
      </w:r>
      <w:r w:rsidRPr="00144E99">
        <w:t>will be disaggregated by cohorts where available.</w:t>
      </w:r>
    </w:p>
    <w:p w14:paraId="72AA5287" w14:textId="77777777" w:rsidR="009D59FD" w:rsidRPr="00144E99" w:rsidRDefault="009D59FD" w:rsidP="002039FC">
      <w:pPr>
        <w:numPr>
          <w:ilvl w:val="0"/>
          <w:numId w:val="17"/>
        </w:numPr>
        <w:ind w:left="357" w:hanging="357"/>
        <w:rPr>
          <w:rFonts w:cs="Times New Roman"/>
          <w:color w:val="auto"/>
          <w:szCs w:val="20"/>
          <w:lang w:eastAsia="en-US"/>
        </w:rPr>
      </w:pPr>
      <w:r w:rsidRPr="00144E99">
        <w:t xml:space="preserve">All Parties agree to consider improvements to these </w:t>
      </w:r>
      <w:r w:rsidR="005B1412" w:rsidRPr="00144E99">
        <w:t xml:space="preserve">outcomes and </w:t>
      </w:r>
      <w:r w:rsidR="0029150A" w:rsidRPr="00144E99">
        <w:t>sub-outcomes</w:t>
      </w:r>
      <w:r w:rsidRPr="00144E99">
        <w:t xml:space="preserve"> over time, including enhancements to the existing performance measures and developing further performance measures reflecting priority areas, such as measures of learning gain</w:t>
      </w:r>
      <w:r w:rsidRPr="00144E99">
        <w:rPr>
          <w:color w:val="auto"/>
        </w:rPr>
        <w:t>, early years foundation skills and student engagement. All Parties agree t</w:t>
      </w:r>
      <w:r w:rsidRPr="00144E99">
        <w:t xml:space="preserve">o adopt updated COAG targets should they be endorsed by COAG during the life of the </w:t>
      </w:r>
      <w:r w:rsidR="00A15EDF" w:rsidRPr="00144E99">
        <w:t>A</w:t>
      </w:r>
      <w:r w:rsidRPr="00144E99">
        <w:t xml:space="preserve">greement. </w:t>
      </w:r>
    </w:p>
    <w:p w14:paraId="0B2CF48A" w14:textId="77777777" w:rsidR="009D59FD" w:rsidRPr="00144E99" w:rsidRDefault="009D59FD" w:rsidP="009D59FD">
      <w:pPr>
        <w:numPr>
          <w:ilvl w:val="0"/>
          <w:numId w:val="17"/>
        </w:numPr>
      </w:pPr>
      <w:r w:rsidRPr="00144E99">
        <w:rPr>
          <w:color w:val="auto"/>
        </w:rPr>
        <w:t xml:space="preserve">All </w:t>
      </w:r>
      <w:r w:rsidRPr="00144E99">
        <w:t xml:space="preserve">Parties agree to the public reporting of progress towards achievement of the above </w:t>
      </w:r>
      <w:r w:rsidR="005B1412" w:rsidRPr="00144E99">
        <w:t xml:space="preserve">outcomes and </w:t>
      </w:r>
      <w:r w:rsidR="0029150A" w:rsidRPr="00144E99">
        <w:t>sub-outcomes</w:t>
      </w:r>
      <w:r w:rsidRPr="00144E99">
        <w:t xml:space="preserve"> through agreed COAG performance reporting arrangements.</w:t>
      </w:r>
      <w:bookmarkEnd w:id="33"/>
    </w:p>
    <w:p w14:paraId="56AE1066" w14:textId="77777777" w:rsidR="00DE20AA" w:rsidRPr="00144E99" w:rsidRDefault="00DE20AA" w:rsidP="00121214">
      <w:pPr>
        <w:numPr>
          <w:ilvl w:val="0"/>
          <w:numId w:val="17"/>
        </w:numPr>
        <w:ind w:left="357" w:hanging="357"/>
      </w:pPr>
      <w:r w:rsidRPr="00144E99">
        <w:rPr>
          <w:rFonts w:cs="Calibri"/>
          <w:color w:val="auto"/>
        </w:rPr>
        <w:t xml:space="preserve">All Parties are </w:t>
      </w:r>
      <w:r w:rsidRPr="00144E99">
        <w:t>responsible</w:t>
      </w:r>
      <w:r w:rsidRPr="00144E99">
        <w:rPr>
          <w:rFonts w:cs="Calibri"/>
          <w:color w:val="auto"/>
        </w:rPr>
        <w:t xml:space="preserve"> for working together to achieve the objectives and outcomes of this Agreement. While the Parties are collectively committed to the achievement of the objectives, outcomes and targets outlined above, Commonwealth school funding to States and Territories under the Act is not conditional on the achievement of these objectives, outcomes and targets.</w:t>
      </w:r>
    </w:p>
    <w:p w14:paraId="6EB7F0B8" w14:textId="77777777" w:rsidR="002A4175" w:rsidRPr="00144E99" w:rsidRDefault="002A4175" w:rsidP="002A6162">
      <w:pPr>
        <w:pStyle w:val="Heading1"/>
      </w:pPr>
      <w:bookmarkStart w:id="41" w:name="_Toc525144600"/>
      <w:bookmarkStart w:id="42" w:name="_Toc525030949"/>
      <w:bookmarkStart w:id="43" w:name="_Toc469474068"/>
      <w:bookmarkStart w:id="44" w:name="_Toc352229944"/>
      <w:bookmarkEnd w:id="26"/>
      <w:r w:rsidRPr="00144E99">
        <w:t xml:space="preserve">Part </w:t>
      </w:r>
      <w:r w:rsidR="008B18C2" w:rsidRPr="00144E99">
        <w:t>3</w:t>
      </w:r>
      <w:r w:rsidRPr="00144E99">
        <w:t xml:space="preserve"> — R</w:t>
      </w:r>
      <w:r w:rsidR="003E198B" w:rsidRPr="00144E99">
        <w:t>EFORM ACTIVITY</w:t>
      </w:r>
      <w:bookmarkEnd w:id="41"/>
      <w:bookmarkEnd w:id="42"/>
    </w:p>
    <w:p w14:paraId="219AB09E" w14:textId="77777777" w:rsidR="00043D7E" w:rsidRPr="00144E99" w:rsidRDefault="00043D7E" w:rsidP="00043D7E">
      <w:pPr>
        <w:pStyle w:val="Heading2"/>
      </w:pPr>
      <w:bookmarkStart w:id="45" w:name="_Toc525144601"/>
      <w:bookmarkStart w:id="46" w:name="_Toc525030950"/>
      <w:bookmarkEnd w:id="43"/>
      <w:r w:rsidRPr="00144E99">
        <w:t>Reform directions</w:t>
      </w:r>
      <w:bookmarkEnd w:id="45"/>
      <w:bookmarkEnd w:id="46"/>
    </w:p>
    <w:p w14:paraId="467654EC" w14:textId="2CB429E3" w:rsidR="00043D7E" w:rsidRPr="00144E99" w:rsidRDefault="00043D7E" w:rsidP="00146A69">
      <w:pPr>
        <w:pStyle w:val="Default"/>
        <w:numPr>
          <w:ilvl w:val="0"/>
          <w:numId w:val="17"/>
        </w:numPr>
        <w:spacing w:after="139"/>
        <w:rPr>
          <w:sz w:val="23"/>
          <w:szCs w:val="23"/>
        </w:rPr>
      </w:pPr>
      <w:r w:rsidRPr="00144E99">
        <w:rPr>
          <w:sz w:val="23"/>
          <w:szCs w:val="23"/>
        </w:rPr>
        <w:t>Parties agree to build on existing efforts in each of the following reform directions, and implement national policy initiatives</w:t>
      </w:r>
      <w:r w:rsidR="008C684B" w:rsidRPr="00144E99">
        <w:rPr>
          <w:sz w:val="23"/>
          <w:szCs w:val="23"/>
        </w:rPr>
        <w:t xml:space="preserve"> as agreed in Schedule B</w:t>
      </w:r>
      <w:r w:rsidRPr="00144E99">
        <w:rPr>
          <w:sz w:val="23"/>
          <w:szCs w:val="23"/>
        </w:rPr>
        <w:t xml:space="preserve"> and state-specific activities</w:t>
      </w:r>
      <w:r w:rsidR="005C7633" w:rsidRPr="00144E99">
        <w:rPr>
          <w:sz w:val="23"/>
          <w:szCs w:val="23"/>
        </w:rPr>
        <w:t xml:space="preserve"> as agreed in </w:t>
      </w:r>
      <w:r w:rsidR="00974B9F" w:rsidRPr="00144E99">
        <w:rPr>
          <w:sz w:val="23"/>
          <w:szCs w:val="23"/>
        </w:rPr>
        <w:t>Schedule</w:t>
      </w:r>
      <w:r w:rsidR="0084489A">
        <w:rPr>
          <w:sz w:val="23"/>
          <w:szCs w:val="23"/>
        </w:rPr>
        <w:t> </w:t>
      </w:r>
      <w:r w:rsidR="00AC4BC7" w:rsidRPr="00144E99">
        <w:rPr>
          <w:sz w:val="23"/>
          <w:szCs w:val="23"/>
        </w:rPr>
        <w:t>E</w:t>
      </w:r>
      <w:r w:rsidRPr="00144E99">
        <w:rPr>
          <w:sz w:val="23"/>
          <w:szCs w:val="23"/>
        </w:rPr>
        <w:t xml:space="preserve">: </w:t>
      </w:r>
    </w:p>
    <w:p w14:paraId="44A4AC10" w14:textId="77777777" w:rsidR="00043D7E" w:rsidRPr="00144E99" w:rsidRDefault="00043D7E" w:rsidP="00BA5818">
      <w:pPr>
        <w:pStyle w:val="ListParagraph"/>
        <w:numPr>
          <w:ilvl w:val="0"/>
          <w:numId w:val="21"/>
        </w:numPr>
        <w:contextualSpacing/>
        <w:rPr>
          <w:rFonts w:cs="Calibri"/>
          <w:sz w:val="23"/>
          <w:szCs w:val="23"/>
        </w:rPr>
      </w:pPr>
      <w:r w:rsidRPr="00144E99">
        <w:rPr>
          <w:rFonts w:cs="Calibri"/>
          <w:sz w:val="23"/>
          <w:szCs w:val="23"/>
        </w:rPr>
        <w:t>Support</w:t>
      </w:r>
      <w:r w:rsidR="004F6865" w:rsidRPr="00144E99">
        <w:rPr>
          <w:rFonts w:cs="Calibri"/>
          <w:sz w:val="23"/>
          <w:szCs w:val="23"/>
        </w:rPr>
        <w:t>ing</w:t>
      </w:r>
      <w:r w:rsidRPr="00144E99">
        <w:rPr>
          <w:rFonts w:cs="Calibri"/>
          <w:sz w:val="23"/>
          <w:szCs w:val="23"/>
        </w:rPr>
        <w:t xml:space="preserve"> students</w:t>
      </w:r>
      <w:r w:rsidR="00AB3D15" w:rsidRPr="00144E99">
        <w:rPr>
          <w:rFonts w:cs="Calibri"/>
          <w:sz w:val="23"/>
          <w:szCs w:val="23"/>
        </w:rPr>
        <w:t>,</w:t>
      </w:r>
      <w:r w:rsidR="007F3858" w:rsidRPr="00144E99">
        <w:rPr>
          <w:rFonts w:cs="Calibri"/>
          <w:sz w:val="23"/>
          <w:szCs w:val="23"/>
        </w:rPr>
        <w:t xml:space="preserve"> </w:t>
      </w:r>
      <w:r w:rsidRPr="00144E99">
        <w:rPr>
          <w:rFonts w:cs="Calibri"/>
          <w:sz w:val="23"/>
          <w:szCs w:val="23"/>
        </w:rPr>
        <w:t>student learning</w:t>
      </w:r>
      <w:r w:rsidR="00AB3D15" w:rsidRPr="00144E99">
        <w:rPr>
          <w:rFonts w:cs="Calibri"/>
          <w:sz w:val="23"/>
          <w:szCs w:val="23"/>
        </w:rPr>
        <w:t xml:space="preserve"> and student achievement</w:t>
      </w:r>
      <w:r w:rsidRPr="00144E99">
        <w:rPr>
          <w:rFonts w:cs="Calibri"/>
          <w:sz w:val="23"/>
          <w:szCs w:val="23"/>
        </w:rPr>
        <w:t>;</w:t>
      </w:r>
    </w:p>
    <w:p w14:paraId="7C69C2D7" w14:textId="77777777" w:rsidR="00043D7E" w:rsidRPr="00144E99" w:rsidRDefault="00043D7E" w:rsidP="00BA5818">
      <w:pPr>
        <w:pStyle w:val="ListParagraph"/>
        <w:numPr>
          <w:ilvl w:val="0"/>
          <w:numId w:val="21"/>
        </w:numPr>
        <w:contextualSpacing/>
        <w:rPr>
          <w:rFonts w:cs="Calibri"/>
          <w:sz w:val="23"/>
          <w:szCs w:val="23"/>
        </w:rPr>
      </w:pPr>
      <w:r w:rsidRPr="00144E99">
        <w:rPr>
          <w:rFonts w:cs="Calibri"/>
          <w:sz w:val="23"/>
          <w:szCs w:val="23"/>
        </w:rPr>
        <w:t>Support</w:t>
      </w:r>
      <w:r w:rsidR="004F6865" w:rsidRPr="00144E99">
        <w:rPr>
          <w:rFonts w:cs="Calibri"/>
          <w:sz w:val="23"/>
          <w:szCs w:val="23"/>
        </w:rPr>
        <w:t>ing</w:t>
      </w:r>
      <w:r w:rsidRPr="00144E99">
        <w:rPr>
          <w:rFonts w:cs="Calibri"/>
          <w:sz w:val="23"/>
          <w:szCs w:val="23"/>
        </w:rPr>
        <w:t xml:space="preserve"> teaching, school leadership and school improvement; and</w:t>
      </w:r>
    </w:p>
    <w:p w14:paraId="0064BAEE" w14:textId="77777777" w:rsidR="00043D7E" w:rsidRPr="00144E99" w:rsidRDefault="004F6865" w:rsidP="00BA5818">
      <w:pPr>
        <w:pStyle w:val="ListParagraph"/>
        <w:numPr>
          <w:ilvl w:val="0"/>
          <w:numId w:val="21"/>
        </w:numPr>
        <w:contextualSpacing/>
        <w:rPr>
          <w:rFonts w:cs="Calibri"/>
          <w:sz w:val="23"/>
          <w:szCs w:val="23"/>
        </w:rPr>
      </w:pPr>
      <w:r w:rsidRPr="00144E99">
        <w:rPr>
          <w:rFonts w:cs="Calibri"/>
          <w:sz w:val="23"/>
          <w:szCs w:val="23"/>
        </w:rPr>
        <w:t>Enhancing the national evidence base</w:t>
      </w:r>
      <w:r w:rsidR="00043D7E" w:rsidRPr="00144E99">
        <w:rPr>
          <w:rFonts w:cs="Calibri"/>
          <w:sz w:val="23"/>
          <w:szCs w:val="23"/>
        </w:rPr>
        <w:t>.</w:t>
      </w:r>
    </w:p>
    <w:p w14:paraId="3363E3A6" w14:textId="77777777" w:rsidR="00043D7E" w:rsidRPr="00144E99" w:rsidRDefault="00043D7E" w:rsidP="00043D7E">
      <w:pPr>
        <w:pStyle w:val="Heading2"/>
        <w:rPr>
          <w:color w:val="000000"/>
        </w:rPr>
      </w:pPr>
      <w:bookmarkStart w:id="47" w:name="_Toc525144602"/>
      <w:bookmarkStart w:id="48" w:name="_Toc525030951"/>
      <w:r w:rsidRPr="00144E99">
        <w:t>National policy initiatives</w:t>
      </w:r>
      <w:bookmarkEnd w:id="47"/>
      <w:bookmarkEnd w:id="48"/>
      <w:r w:rsidRPr="00144E99">
        <w:t xml:space="preserve"> </w:t>
      </w:r>
    </w:p>
    <w:p w14:paraId="1A213113" w14:textId="77777777" w:rsidR="00043D7E" w:rsidRPr="00144E99" w:rsidRDefault="00734F21" w:rsidP="00146A69">
      <w:pPr>
        <w:keepNext/>
        <w:keepLines/>
        <w:numPr>
          <w:ilvl w:val="0"/>
          <w:numId w:val="17"/>
        </w:numPr>
        <w:jc w:val="left"/>
      </w:pPr>
      <w:r w:rsidRPr="00144E99">
        <w:rPr>
          <w:color w:val="auto"/>
        </w:rPr>
        <w:t>The</w:t>
      </w:r>
      <w:r w:rsidR="00043D7E" w:rsidRPr="00144E99">
        <w:rPr>
          <w:color w:val="auto"/>
        </w:rPr>
        <w:t xml:space="preserve"> reform</w:t>
      </w:r>
      <w:r w:rsidRPr="00144E99">
        <w:rPr>
          <w:color w:val="auto"/>
        </w:rPr>
        <w:t xml:space="preserve"> direction</w:t>
      </w:r>
      <w:r w:rsidR="00043D7E" w:rsidRPr="00144E99">
        <w:rPr>
          <w:color w:val="auto"/>
        </w:rPr>
        <w:t xml:space="preserve">s will be progressed nationally through </w:t>
      </w:r>
      <w:r w:rsidR="00043D7E" w:rsidRPr="00144E99">
        <w:t>national policy initiatives that:</w:t>
      </w:r>
    </w:p>
    <w:p w14:paraId="066458A2" w14:textId="77777777" w:rsidR="00043D7E" w:rsidRPr="00144E99" w:rsidRDefault="00043D7E" w:rsidP="007A2455">
      <w:pPr>
        <w:numPr>
          <w:ilvl w:val="1"/>
          <w:numId w:val="17"/>
        </w:numPr>
      </w:pPr>
      <w:r w:rsidRPr="00144E99">
        <w:t>recognise and build on existing national</w:t>
      </w:r>
      <w:r w:rsidR="00E23F74" w:rsidRPr="00144E99">
        <w:t>,</w:t>
      </w:r>
      <w:r w:rsidRPr="00144E99">
        <w:t xml:space="preserve"> </w:t>
      </w:r>
      <w:r w:rsidR="00437EF1" w:rsidRPr="00144E99">
        <w:t>S</w:t>
      </w:r>
      <w:r w:rsidRPr="00144E99">
        <w:t xml:space="preserve">tate and </w:t>
      </w:r>
      <w:r w:rsidR="00437EF1" w:rsidRPr="00144E99">
        <w:t>T</w:t>
      </w:r>
      <w:r w:rsidRPr="00144E99">
        <w:t>erritory</w:t>
      </w:r>
      <w:r w:rsidR="00E23F74" w:rsidRPr="00144E99">
        <w:t xml:space="preserve"> and sectoral</w:t>
      </w:r>
      <w:r w:rsidRPr="00144E99">
        <w:t xml:space="preserve"> reform activities that are proven to be lifting outcomes for students</w:t>
      </w:r>
    </w:p>
    <w:p w14:paraId="52A8F134" w14:textId="77777777" w:rsidR="00043D7E" w:rsidRPr="00144E99" w:rsidRDefault="00043D7E" w:rsidP="007A2455">
      <w:pPr>
        <w:numPr>
          <w:ilvl w:val="1"/>
          <w:numId w:val="17"/>
        </w:numPr>
      </w:pPr>
      <w:r w:rsidRPr="00144E99">
        <w:t>have a robust and evidence-based rationale for how national policy initiatives will directly or indirectly improve outcomes through national coordinated effort</w:t>
      </w:r>
    </w:p>
    <w:p w14:paraId="363A3421" w14:textId="77777777" w:rsidR="00043D7E" w:rsidRPr="00144E99" w:rsidRDefault="00043D7E" w:rsidP="007A2455">
      <w:pPr>
        <w:numPr>
          <w:ilvl w:val="1"/>
          <w:numId w:val="17"/>
        </w:numPr>
      </w:pPr>
      <w:r w:rsidRPr="00144E99">
        <w:t>concentrate reform efforts on the key enablers that drive improvement in educational outcomes</w:t>
      </w:r>
    </w:p>
    <w:p w14:paraId="71EEA077" w14:textId="77777777" w:rsidR="00043D7E" w:rsidRPr="00144E99" w:rsidRDefault="00043D7E" w:rsidP="007A2455">
      <w:pPr>
        <w:numPr>
          <w:ilvl w:val="1"/>
          <w:numId w:val="17"/>
        </w:numPr>
      </w:pPr>
      <w:r w:rsidRPr="00144E99">
        <w:lastRenderedPageBreak/>
        <w:t xml:space="preserve">take into account jurisdictional and sectoral context and allow for jurisdictional </w:t>
      </w:r>
      <w:r w:rsidR="00E23F74" w:rsidRPr="00144E99">
        <w:t xml:space="preserve">and sectoral </w:t>
      </w:r>
      <w:r w:rsidRPr="00144E99">
        <w:t>flexibility in implementation of national policy initiatives, including in resource allocation.</w:t>
      </w:r>
    </w:p>
    <w:p w14:paraId="6A8EE432" w14:textId="77777777" w:rsidR="00043D7E" w:rsidRPr="00144E99" w:rsidRDefault="00043D7E" w:rsidP="00146A69">
      <w:pPr>
        <w:numPr>
          <w:ilvl w:val="0"/>
          <w:numId w:val="17"/>
        </w:numPr>
        <w:jc w:val="left"/>
        <w:rPr>
          <w:rFonts w:cs="Calibri"/>
        </w:rPr>
      </w:pPr>
      <w:r w:rsidRPr="00144E99">
        <w:rPr>
          <w:color w:val="auto"/>
        </w:rPr>
        <w:t xml:space="preserve">The Parties agree to the following national policy initiatives that support the three reform directions: </w:t>
      </w:r>
    </w:p>
    <w:p w14:paraId="06D552D2" w14:textId="77777777" w:rsidR="00043D7E" w:rsidRPr="00144E99" w:rsidRDefault="00043D7E" w:rsidP="00BA5818">
      <w:pPr>
        <w:pStyle w:val="ListParagraph"/>
        <w:numPr>
          <w:ilvl w:val="0"/>
          <w:numId w:val="22"/>
        </w:numPr>
        <w:contextualSpacing/>
        <w:rPr>
          <w:rFonts w:cs="Calibri"/>
        </w:rPr>
      </w:pPr>
      <w:r w:rsidRPr="00144E99">
        <w:rPr>
          <w:rFonts w:cs="Calibri"/>
        </w:rPr>
        <w:t>Support</w:t>
      </w:r>
      <w:r w:rsidR="00601878" w:rsidRPr="00144E99">
        <w:rPr>
          <w:rFonts w:cs="Calibri"/>
        </w:rPr>
        <w:t>ing</w:t>
      </w:r>
      <w:r w:rsidRPr="00144E99">
        <w:rPr>
          <w:rFonts w:cs="Calibri"/>
        </w:rPr>
        <w:t xml:space="preserve"> students</w:t>
      </w:r>
      <w:r w:rsidR="00AB3D15" w:rsidRPr="00144E99">
        <w:rPr>
          <w:rFonts w:cs="Calibri"/>
        </w:rPr>
        <w:t>,</w:t>
      </w:r>
      <w:r w:rsidR="007F3858" w:rsidRPr="00144E99">
        <w:rPr>
          <w:rFonts w:cs="Calibri"/>
        </w:rPr>
        <w:t xml:space="preserve"> </w:t>
      </w:r>
      <w:r w:rsidRPr="00144E99">
        <w:rPr>
          <w:rFonts w:cs="Calibri"/>
        </w:rPr>
        <w:t>student learning</w:t>
      </w:r>
      <w:r w:rsidR="00AB3D15" w:rsidRPr="00144E99">
        <w:rPr>
          <w:rFonts w:cs="Calibri"/>
        </w:rPr>
        <w:t xml:space="preserve"> and student achievement</w:t>
      </w:r>
    </w:p>
    <w:p w14:paraId="40D6F10B" w14:textId="77777777" w:rsidR="00043D7E" w:rsidRPr="00144E99" w:rsidRDefault="00043D7E" w:rsidP="00043D7E">
      <w:pPr>
        <w:pStyle w:val="ListParagraph"/>
        <w:ind w:left="1080"/>
        <w:contextualSpacing/>
        <w:rPr>
          <w:rFonts w:cs="Calibri"/>
        </w:rPr>
      </w:pPr>
    </w:p>
    <w:p w14:paraId="10EA1A07" w14:textId="77777777" w:rsidR="00777C04" w:rsidRPr="00144E99" w:rsidRDefault="00777C04" w:rsidP="00777C04">
      <w:pPr>
        <w:numPr>
          <w:ilvl w:val="1"/>
          <w:numId w:val="23"/>
        </w:numPr>
        <w:jc w:val="left"/>
        <w:rPr>
          <w:rFonts w:cs="Calibri"/>
        </w:rPr>
      </w:pPr>
      <w:r w:rsidRPr="00144E99">
        <w:rPr>
          <w:rFonts w:cs="Calibri"/>
        </w:rPr>
        <w:t xml:space="preserve">Enhancing the Australian Curriculum to </w:t>
      </w:r>
      <w:r w:rsidRPr="00144E99">
        <w:rPr>
          <w:rFonts w:cs="Segoe UI"/>
        </w:rPr>
        <w:t xml:space="preserve">support teacher assessment of student attainment and growth against clear </w:t>
      </w:r>
      <w:r w:rsidR="005600A4">
        <w:rPr>
          <w:rFonts w:cs="Segoe UI"/>
        </w:rPr>
        <w:t xml:space="preserve">descriptors </w:t>
      </w:r>
      <w:r w:rsidRPr="00144E99">
        <w:rPr>
          <w:rFonts w:cs="Segoe UI"/>
        </w:rPr>
        <w:t xml:space="preserve"> </w:t>
      </w:r>
    </w:p>
    <w:p w14:paraId="7FF528A6" w14:textId="77777777" w:rsidR="002854CF" w:rsidRPr="00144E99" w:rsidRDefault="004C16B4" w:rsidP="00BA5818">
      <w:pPr>
        <w:numPr>
          <w:ilvl w:val="1"/>
          <w:numId w:val="23"/>
        </w:numPr>
        <w:jc w:val="left"/>
        <w:rPr>
          <w:rFonts w:cs="Calibri"/>
        </w:rPr>
      </w:pPr>
      <w:r w:rsidRPr="00144E99">
        <w:rPr>
          <w:color w:val="auto"/>
        </w:rPr>
        <w:t xml:space="preserve">Assisting teachers monitor individual </w:t>
      </w:r>
      <w:r w:rsidR="00392D18" w:rsidRPr="00144E99">
        <w:rPr>
          <w:color w:val="auto"/>
        </w:rPr>
        <w:t xml:space="preserve">student </w:t>
      </w:r>
      <w:r w:rsidRPr="00144E99">
        <w:rPr>
          <w:color w:val="auto"/>
        </w:rPr>
        <w:t>progress and identify</w:t>
      </w:r>
      <w:r w:rsidR="00392D18" w:rsidRPr="00144E99">
        <w:rPr>
          <w:color w:val="auto"/>
        </w:rPr>
        <w:t xml:space="preserve"> student</w:t>
      </w:r>
      <w:r w:rsidRPr="00144E99">
        <w:rPr>
          <w:color w:val="auto"/>
        </w:rPr>
        <w:t xml:space="preserve"> learning needs through </w:t>
      </w:r>
      <w:r w:rsidR="003B048F" w:rsidRPr="00144E99">
        <w:rPr>
          <w:color w:val="auto"/>
        </w:rPr>
        <w:t xml:space="preserve">opt-in </w:t>
      </w:r>
      <w:r w:rsidRPr="00144E99">
        <w:rPr>
          <w:color w:val="auto"/>
        </w:rPr>
        <w:t>online and on demand student learning assessment tools with links to student learning resources</w:t>
      </w:r>
      <w:r w:rsidR="007A2455" w:rsidRPr="00144E99">
        <w:rPr>
          <w:color w:val="auto"/>
        </w:rPr>
        <w:t>, prioritising early years foundation skills</w:t>
      </w:r>
      <w:r w:rsidRPr="00144E99">
        <w:rPr>
          <w:color w:val="auto"/>
        </w:rPr>
        <w:t xml:space="preserve"> </w:t>
      </w:r>
    </w:p>
    <w:p w14:paraId="7B256BA7" w14:textId="77777777" w:rsidR="006E1942" w:rsidRPr="00144E99" w:rsidRDefault="002D7F58" w:rsidP="00BA5818">
      <w:pPr>
        <w:numPr>
          <w:ilvl w:val="1"/>
          <w:numId w:val="23"/>
        </w:numPr>
        <w:jc w:val="left"/>
        <w:rPr>
          <w:rFonts w:cs="Calibri"/>
        </w:rPr>
      </w:pPr>
      <w:r w:rsidRPr="00144E99">
        <w:t>Review</w:t>
      </w:r>
      <w:r w:rsidR="006E1942" w:rsidRPr="00144E99">
        <w:t xml:space="preserve">ing </w:t>
      </w:r>
      <w:r w:rsidR="00BD5665" w:rsidRPr="00144E99">
        <w:t xml:space="preserve">senior </w:t>
      </w:r>
      <w:r w:rsidR="006E1942" w:rsidRPr="00144E99">
        <w:rPr>
          <w:rFonts w:cs="Calibri"/>
        </w:rPr>
        <w:t xml:space="preserve">secondary pathways into work, further education and training </w:t>
      </w:r>
    </w:p>
    <w:p w14:paraId="659FCF8A" w14:textId="77777777" w:rsidR="00043D7E" w:rsidRPr="00144E99" w:rsidRDefault="00043D7E" w:rsidP="00BA5818">
      <w:pPr>
        <w:pStyle w:val="ListParagraph"/>
        <w:numPr>
          <w:ilvl w:val="0"/>
          <w:numId w:val="22"/>
        </w:numPr>
        <w:contextualSpacing/>
        <w:rPr>
          <w:rFonts w:cs="Calibri"/>
        </w:rPr>
      </w:pPr>
      <w:r w:rsidRPr="00144E99">
        <w:rPr>
          <w:rFonts w:cs="Calibri"/>
        </w:rPr>
        <w:t>Support</w:t>
      </w:r>
      <w:r w:rsidR="00601878" w:rsidRPr="00144E99">
        <w:rPr>
          <w:rFonts w:cs="Calibri"/>
        </w:rPr>
        <w:t>ing</w:t>
      </w:r>
      <w:r w:rsidRPr="00144E99">
        <w:rPr>
          <w:rFonts w:cs="Calibri"/>
        </w:rPr>
        <w:t xml:space="preserve"> teaching, school leadership and school improvement</w:t>
      </w:r>
    </w:p>
    <w:p w14:paraId="3EE9D44C" w14:textId="77777777" w:rsidR="00043D7E" w:rsidRPr="00144E99" w:rsidRDefault="00043D7E" w:rsidP="00043D7E">
      <w:pPr>
        <w:pStyle w:val="ListParagraph"/>
        <w:ind w:left="1080"/>
        <w:contextualSpacing/>
        <w:rPr>
          <w:rFonts w:cs="Calibri"/>
        </w:rPr>
      </w:pPr>
    </w:p>
    <w:p w14:paraId="2B82486B" w14:textId="4DB73D4A" w:rsidR="00043D7E" w:rsidRPr="00144E99" w:rsidRDefault="005858A0" w:rsidP="00BA5818">
      <w:pPr>
        <w:numPr>
          <w:ilvl w:val="0"/>
          <w:numId w:val="24"/>
        </w:numPr>
        <w:jc w:val="left"/>
        <w:rPr>
          <w:rFonts w:cs="Calibri"/>
        </w:rPr>
      </w:pPr>
      <w:r w:rsidRPr="00144E99">
        <w:rPr>
          <w:rFonts w:cs="Calibri"/>
        </w:rPr>
        <w:t>Reviewing</w:t>
      </w:r>
      <w:r w:rsidR="00E50A49" w:rsidRPr="00144E99">
        <w:rPr>
          <w:rFonts w:cs="Calibri"/>
        </w:rPr>
        <w:t xml:space="preserve"> teacher workforce needs of the future</w:t>
      </w:r>
      <w:r w:rsidR="001B4A90" w:rsidRPr="00144E99">
        <w:rPr>
          <w:rFonts w:cs="Calibri"/>
        </w:rPr>
        <w:t xml:space="preserve"> to</w:t>
      </w:r>
      <w:r w:rsidR="00E50A49" w:rsidRPr="00144E99">
        <w:rPr>
          <w:rFonts w:cs="Calibri"/>
        </w:rPr>
        <w:t xml:space="preserve"> </w:t>
      </w:r>
      <w:r w:rsidR="002176A0" w:rsidRPr="00144E99">
        <w:rPr>
          <w:rFonts w:cs="Calibri"/>
        </w:rPr>
        <w:t xml:space="preserve">attract and retain the best and brightest to </w:t>
      </w:r>
      <w:r w:rsidR="00FC638B" w:rsidRPr="00144E99">
        <w:rPr>
          <w:rFonts w:cs="Calibri"/>
        </w:rPr>
        <w:t xml:space="preserve">the </w:t>
      </w:r>
      <w:r w:rsidR="002176A0" w:rsidRPr="00144E99">
        <w:rPr>
          <w:rFonts w:cs="Calibri"/>
        </w:rPr>
        <w:t xml:space="preserve">teaching </w:t>
      </w:r>
      <w:r w:rsidR="00FC638B" w:rsidRPr="00144E99">
        <w:rPr>
          <w:rFonts w:cs="Calibri"/>
        </w:rPr>
        <w:t>profession</w:t>
      </w:r>
      <w:r w:rsidR="002D7F58" w:rsidRPr="00144E99">
        <w:rPr>
          <w:rFonts w:cs="Calibri"/>
        </w:rPr>
        <w:t xml:space="preserve"> and at</w:t>
      </w:r>
      <w:r w:rsidR="00F1347D">
        <w:rPr>
          <w:rFonts w:cs="Calibri"/>
        </w:rPr>
        <w:t>tract teachers to areas of need</w:t>
      </w:r>
    </w:p>
    <w:p w14:paraId="4020FE6C" w14:textId="7D53ECAF" w:rsidR="002176A0" w:rsidRPr="00144E99" w:rsidRDefault="00043D7E" w:rsidP="00BA5818">
      <w:pPr>
        <w:numPr>
          <w:ilvl w:val="0"/>
          <w:numId w:val="24"/>
        </w:numPr>
        <w:jc w:val="left"/>
        <w:rPr>
          <w:rFonts w:cs="Calibri"/>
        </w:rPr>
      </w:pPr>
      <w:r w:rsidRPr="00144E99">
        <w:rPr>
          <w:rFonts w:cs="Calibri"/>
        </w:rPr>
        <w:t>Strengthe</w:t>
      </w:r>
      <w:r w:rsidR="006F33D3" w:rsidRPr="00144E99">
        <w:rPr>
          <w:rFonts w:cs="Calibri"/>
        </w:rPr>
        <w:t>n</w:t>
      </w:r>
      <w:r w:rsidR="00C01752" w:rsidRPr="00144E99">
        <w:rPr>
          <w:rFonts w:cs="Calibri"/>
        </w:rPr>
        <w:t>ing</w:t>
      </w:r>
      <w:r w:rsidRPr="00144E99">
        <w:rPr>
          <w:rFonts w:cs="Calibri"/>
        </w:rPr>
        <w:t xml:space="preserve"> the initial teacher education accreditation system </w:t>
      </w:r>
    </w:p>
    <w:p w14:paraId="4CCD4EFF" w14:textId="77777777" w:rsidR="00043D7E" w:rsidRPr="00144E99" w:rsidRDefault="00601878" w:rsidP="00BA5818">
      <w:pPr>
        <w:pStyle w:val="ListParagraph"/>
        <w:numPr>
          <w:ilvl w:val="0"/>
          <w:numId w:val="22"/>
        </w:numPr>
        <w:contextualSpacing/>
        <w:rPr>
          <w:rFonts w:cs="Calibri"/>
        </w:rPr>
      </w:pPr>
      <w:r w:rsidRPr="00144E99">
        <w:rPr>
          <w:rFonts w:cs="Calibri"/>
        </w:rPr>
        <w:t xml:space="preserve">Enhancing the national evidence </w:t>
      </w:r>
      <w:r w:rsidR="004F6865" w:rsidRPr="00144E99">
        <w:rPr>
          <w:rFonts w:cs="Calibri"/>
        </w:rPr>
        <w:t>base</w:t>
      </w:r>
    </w:p>
    <w:p w14:paraId="7B5C7DB3" w14:textId="77777777" w:rsidR="00043D7E" w:rsidRPr="00144E99" w:rsidRDefault="00043D7E" w:rsidP="00043D7E">
      <w:pPr>
        <w:pStyle w:val="ListParagraph"/>
        <w:ind w:left="1080"/>
        <w:contextualSpacing/>
        <w:rPr>
          <w:rFonts w:cs="Calibri"/>
        </w:rPr>
      </w:pPr>
    </w:p>
    <w:p w14:paraId="264F3FE7" w14:textId="77777777" w:rsidR="00043D7E" w:rsidRPr="00144E99" w:rsidRDefault="00043D7E" w:rsidP="00BA5818">
      <w:pPr>
        <w:numPr>
          <w:ilvl w:val="0"/>
          <w:numId w:val="25"/>
        </w:numPr>
        <w:jc w:val="left"/>
        <w:rPr>
          <w:rFonts w:cs="Calibri"/>
        </w:rPr>
      </w:pPr>
      <w:r w:rsidRPr="00144E99">
        <w:rPr>
          <w:rFonts w:cs="Calibri"/>
        </w:rPr>
        <w:t>Implement</w:t>
      </w:r>
      <w:r w:rsidR="00C01752" w:rsidRPr="00144E99">
        <w:rPr>
          <w:rFonts w:cs="Calibri"/>
        </w:rPr>
        <w:t>ing</w:t>
      </w:r>
      <w:r w:rsidRPr="00144E99">
        <w:rPr>
          <w:rFonts w:cs="Calibri"/>
        </w:rPr>
        <w:t xml:space="preserve"> a national unique student identifier (USI)</w:t>
      </w:r>
      <w:r w:rsidR="002D7F58" w:rsidRPr="00144E99">
        <w:rPr>
          <w:rFonts w:cs="Calibri"/>
        </w:rPr>
        <w:t xml:space="preserve"> that meets national privacy requirements in order</w:t>
      </w:r>
      <w:r w:rsidR="003F0975" w:rsidRPr="00144E99">
        <w:rPr>
          <w:rFonts w:cs="Calibri"/>
        </w:rPr>
        <w:t xml:space="preserve"> </w:t>
      </w:r>
      <w:r w:rsidR="004B5F91" w:rsidRPr="00144E99">
        <w:rPr>
          <w:rFonts w:cs="Calibri"/>
        </w:rPr>
        <w:t>to support better understanding of student progression and improve the national evidence base</w:t>
      </w:r>
    </w:p>
    <w:p w14:paraId="49534EC5" w14:textId="77777777" w:rsidR="00043D7E" w:rsidRPr="00144E99" w:rsidRDefault="00043D7E" w:rsidP="00BA5818">
      <w:pPr>
        <w:numPr>
          <w:ilvl w:val="0"/>
          <w:numId w:val="25"/>
        </w:numPr>
        <w:jc w:val="left"/>
        <w:rPr>
          <w:rFonts w:cs="Calibri"/>
        </w:rPr>
      </w:pPr>
      <w:r w:rsidRPr="00144E99">
        <w:rPr>
          <w:rFonts w:cs="Calibri"/>
        </w:rPr>
        <w:t>Establish</w:t>
      </w:r>
      <w:r w:rsidR="00B875CA" w:rsidRPr="00144E99">
        <w:rPr>
          <w:rFonts w:cs="Calibri"/>
        </w:rPr>
        <w:t>ing</w:t>
      </w:r>
      <w:r w:rsidRPr="00144E99">
        <w:rPr>
          <w:rFonts w:cs="Calibri"/>
        </w:rPr>
        <w:t xml:space="preserve"> an independent </w:t>
      </w:r>
      <w:r w:rsidR="00263244" w:rsidRPr="00144E99">
        <w:rPr>
          <w:rFonts w:cs="Calibri"/>
        </w:rPr>
        <w:t>n</w:t>
      </w:r>
      <w:r w:rsidRPr="00144E99">
        <w:rPr>
          <w:rFonts w:cs="Calibri"/>
        </w:rPr>
        <w:t xml:space="preserve">ational </w:t>
      </w:r>
      <w:r w:rsidR="00107FE9" w:rsidRPr="00144E99">
        <w:rPr>
          <w:rFonts w:cs="Calibri"/>
        </w:rPr>
        <w:t xml:space="preserve">evidence </w:t>
      </w:r>
      <w:r w:rsidR="00263244" w:rsidRPr="00144E99">
        <w:rPr>
          <w:rFonts w:cs="Calibri"/>
        </w:rPr>
        <w:t>i</w:t>
      </w:r>
      <w:r w:rsidRPr="00144E99">
        <w:rPr>
          <w:rFonts w:cs="Calibri"/>
        </w:rPr>
        <w:t>nstitute to inform teacher practice</w:t>
      </w:r>
      <w:r w:rsidR="00107FE9" w:rsidRPr="00144E99">
        <w:rPr>
          <w:rFonts w:cs="Calibri"/>
        </w:rPr>
        <w:t>, system improvement</w:t>
      </w:r>
      <w:r w:rsidRPr="00144E99">
        <w:rPr>
          <w:rFonts w:cs="Calibri"/>
        </w:rPr>
        <w:t xml:space="preserve"> and policy development </w:t>
      </w:r>
    </w:p>
    <w:p w14:paraId="1C01AAD8" w14:textId="77777777" w:rsidR="00043D7E" w:rsidRPr="00144E99" w:rsidRDefault="00043D7E" w:rsidP="00BA5818">
      <w:pPr>
        <w:numPr>
          <w:ilvl w:val="0"/>
          <w:numId w:val="25"/>
        </w:numPr>
        <w:jc w:val="left"/>
        <w:rPr>
          <w:rFonts w:cs="Calibri"/>
        </w:rPr>
      </w:pPr>
      <w:r w:rsidRPr="00144E99">
        <w:rPr>
          <w:rFonts w:cs="Calibri"/>
        </w:rPr>
        <w:t>Improv</w:t>
      </w:r>
      <w:r w:rsidR="00B875CA" w:rsidRPr="00144E99">
        <w:rPr>
          <w:rFonts w:cs="Calibri"/>
        </w:rPr>
        <w:t>ing</w:t>
      </w:r>
      <w:r w:rsidRPr="00144E99">
        <w:rPr>
          <w:rFonts w:cs="Calibri"/>
        </w:rPr>
        <w:t xml:space="preserve"> national data quality, consistency and collection to improve the national evidence base and inform policy development</w:t>
      </w:r>
      <w:r w:rsidR="006F33D3" w:rsidRPr="00144E99">
        <w:rPr>
          <w:rFonts w:cs="Calibri"/>
        </w:rPr>
        <w:t>.</w:t>
      </w:r>
    </w:p>
    <w:p w14:paraId="0703DAB1" w14:textId="77777777" w:rsidR="000E025A" w:rsidRPr="00144E99" w:rsidRDefault="00043D7E" w:rsidP="000E025A">
      <w:pPr>
        <w:numPr>
          <w:ilvl w:val="0"/>
          <w:numId w:val="17"/>
        </w:numPr>
        <w:jc w:val="left"/>
        <w:rPr>
          <w:rFonts w:cs="Calibri"/>
        </w:rPr>
      </w:pPr>
      <w:r w:rsidRPr="00144E99">
        <w:rPr>
          <w:rFonts w:cs="Calibri"/>
        </w:rPr>
        <w:t xml:space="preserve">The implementation of these national policy initiatives as outlined in </w:t>
      </w:r>
      <w:r w:rsidR="00974B9F" w:rsidRPr="00144E99">
        <w:rPr>
          <w:rFonts w:cs="Calibri"/>
        </w:rPr>
        <w:t>Schedule B</w:t>
      </w:r>
      <w:r w:rsidRPr="00144E99">
        <w:rPr>
          <w:rFonts w:cs="Calibri"/>
        </w:rPr>
        <w:t xml:space="preserve"> is a condition of Commonwealth funding to States and Territories under section 22(2) of the Act.</w:t>
      </w:r>
      <w:r w:rsidR="007F3858" w:rsidRPr="00144E99">
        <w:rPr>
          <w:rFonts w:cs="Calibri"/>
        </w:rPr>
        <w:t xml:space="preserve"> </w:t>
      </w:r>
      <w:r w:rsidR="00A365FE" w:rsidRPr="00144E99">
        <w:rPr>
          <w:rFonts w:cs="Calibri"/>
        </w:rPr>
        <w:t xml:space="preserve">It is anticipated that </w:t>
      </w:r>
      <w:r w:rsidR="000E025A" w:rsidRPr="00144E99">
        <w:rPr>
          <w:rFonts w:cs="Calibri"/>
        </w:rPr>
        <w:t xml:space="preserve">Education Council </w:t>
      </w:r>
      <w:r w:rsidR="00A365FE" w:rsidRPr="00144E99">
        <w:rPr>
          <w:rFonts w:cs="Calibri"/>
        </w:rPr>
        <w:t xml:space="preserve">will </w:t>
      </w:r>
      <w:r w:rsidR="000E025A" w:rsidRPr="00144E99">
        <w:rPr>
          <w:rFonts w:cs="Calibri"/>
        </w:rPr>
        <w:t xml:space="preserve">vary </w:t>
      </w:r>
      <w:r w:rsidR="00974B9F" w:rsidRPr="00144E99">
        <w:rPr>
          <w:rFonts w:cs="Calibri"/>
        </w:rPr>
        <w:t>Schedule B</w:t>
      </w:r>
      <w:r w:rsidR="000E025A" w:rsidRPr="00144E99">
        <w:rPr>
          <w:rFonts w:cs="Calibri"/>
        </w:rPr>
        <w:t xml:space="preserve"> over time as national policy initiatives are further developed and considered</w:t>
      </w:r>
      <w:r w:rsidR="00793BDC" w:rsidRPr="00144E99">
        <w:rPr>
          <w:rFonts w:cs="Calibri"/>
        </w:rPr>
        <w:t>.</w:t>
      </w:r>
      <w:r w:rsidR="000E025A" w:rsidRPr="00144E99">
        <w:rPr>
          <w:rFonts w:cs="Calibri"/>
        </w:rPr>
        <w:t xml:space="preserve"> </w:t>
      </w:r>
    </w:p>
    <w:p w14:paraId="39E970F3" w14:textId="77777777" w:rsidR="002D09E2" w:rsidRPr="00144E99" w:rsidRDefault="002D09E2" w:rsidP="000E025A">
      <w:pPr>
        <w:numPr>
          <w:ilvl w:val="0"/>
          <w:numId w:val="17"/>
        </w:numPr>
        <w:jc w:val="left"/>
        <w:rPr>
          <w:rFonts w:cs="Calibri"/>
        </w:rPr>
      </w:pPr>
      <w:r w:rsidRPr="00144E99">
        <w:rPr>
          <w:rFonts w:cs="Calibri"/>
        </w:rPr>
        <w:t xml:space="preserve">The cost of national policy initiatives will be met by Parties according to the cost sharing principles outlined in Schedule </w:t>
      </w:r>
      <w:r w:rsidR="002A42BE" w:rsidRPr="00144E99">
        <w:rPr>
          <w:rFonts w:cs="Calibri"/>
        </w:rPr>
        <w:t>C</w:t>
      </w:r>
      <w:r w:rsidRPr="00144E99">
        <w:rPr>
          <w:rFonts w:cs="Calibri"/>
        </w:rPr>
        <w:t>.</w:t>
      </w:r>
    </w:p>
    <w:p w14:paraId="4B9EDA0A" w14:textId="77777777" w:rsidR="00043D7E" w:rsidRPr="00144E99" w:rsidRDefault="00043D7E" w:rsidP="00146A69">
      <w:pPr>
        <w:numPr>
          <w:ilvl w:val="0"/>
          <w:numId w:val="17"/>
        </w:numPr>
        <w:jc w:val="left"/>
        <w:rPr>
          <w:rFonts w:cs="Calibri"/>
        </w:rPr>
      </w:pPr>
      <w:r w:rsidRPr="00144E99">
        <w:rPr>
          <w:rFonts w:cs="Calibri"/>
        </w:rPr>
        <w:t>If the Education Council agrees in future, to any new national policy initiatives as related to section</w:t>
      </w:r>
      <w:r w:rsidR="001C333E" w:rsidRPr="00144E99">
        <w:rPr>
          <w:rFonts w:cs="Calibri"/>
        </w:rPr>
        <w:t>s</w:t>
      </w:r>
      <w:r w:rsidRPr="00144E99">
        <w:rPr>
          <w:rFonts w:cs="Calibri"/>
        </w:rPr>
        <w:t xml:space="preserve"> 22(1)(a) and 77(2A) of the Act, these will be separately progressed through Education Council processes.</w:t>
      </w:r>
    </w:p>
    <w:p w14:paraId="281FA194" w14:textId="77777777" w:rsidR="00CA510E" w:rsidRPr="00144E99" w:rsidRDefault="00F512B9" w:rsidP="00C914AE">
      <w:pPr>
        <w:numPr>
          <w:ilvl w:val="0"/>
          <w:numId w:val="17"/>
        </w:numPr>
        <w:jc w:val="left"/>
        <w:rPr>
          <w:rFonts w:cs="Calibri"/>
        </w:rPr>
      </w:pPr>
      <w:r w:rsidRPr="00144E99">
        <w:rPr>
          <w:rFonts w:cs="Calibri"/>
        </w:rPr>
        <w:t xml:space="preserve">Existing initiatives will continue to progress through Education Council processes, but are not considered </w:t>
      </w:r>
      <w:r w:rsidR="00521E10" w:rsidRPr="00144E99">
        <w:rPr>
          <w:rFonts w:cs="Calibri"/>
        </w:rPr>
        <w:t>national policy i</w:t>
      </w:r>
      <w:r w:rsidRPr="00144E99">
        <w:rPr>
          <w:rFonts w:cs="Calibri"/>
        </w:rPr>
        <w:t>nitiatives for the purposes of section 22 of the Act. This includes, but is not limited to, the National STEM School Education Strategy, the National Career Education Strategy,</w:t>
      </w:r>
      <w:r w:rsidR="00C914AE" w:rsidRPr="00144E99">
        <w:rPr>
          <w:rFonts w:cs="Calibri"/>
        </w:rPr>
        <w:t xml:space="preserve"> </w:t>
      </w:r>
      <w:r w:rsidR="007C421E" w:rsidRPr="00144E99">
        <w:rPr>
          <w:rFonts w:cs="Calibri"/>
        </w:rPr>
        <w:t xml:space="preserve">the National Aboriginal and Torres Strait Islander Education Strategy 2015, </w:t>
      </w:r>
      <w:r w:rsidR="00C914AE" w:rsidRPr="00144E99">
        <w:rPr>
          <w:rFonts w:cs="Calibri"/>
        </w:rPr>
        <w:t xml:space="preserve">the Nationally Consistent Collection of Data on School Students with Disability, </w:t>
      </w:r>
      <w:r w:rsidRPr="00144E99">
        <w:rPr>
          <w:rFonts w:cs="Calibri"/>
        </w:rPr>
        <w:t xml:space="preserve">work to combat bullying and </w:t>
      </w:r>
      <w:r w:rsidRPr="00144E99">
        <w:rPr>
          <w:rFonts w:cs="Calibri"/>
        </w:rPr>
        <w:lastRenderedPageBreak/>
        <w:t>cyberbullying and consideration of the recommendations of the Royal Commission into Institutional Responses to Child Sexual Abuse.</w:t>
      </w:r>
    </w:p>
    <w:p w14:paraId="60866C7A" w14:textId="77777777" w:rsidR="00043D7E" w:rsidRPr="00144E99" w:rsidRDefault="00043D7E" w:rsidP="00043D7E">
      <w:pPr>
        <w:pStyle w:val="Heading2"/>
      </w:pPr>
      <w:bookmarkStart w:id="49" w:name="_Toc525144603"/>
      <w:bookmarkStart w:id="50" w:name="_Toc525030952"/>
      <w:r w:rsidRPr="00144E99">
        <w:t>State-specific reform initiatives</w:t>
      </w:r>
      <w:bookmarkEnd w:id="49"/>
      <w:bookmarkEnd w:id="50"/>
    </w:p>
    <w:p w14:paraId="1FFC69A0" w14:textId="77777777" w:rsidR="003F565D" w:rsidRPr="00144E99" w:rsidRDefault="00043D7E" w:rsidP="00C22F56">
      <w:pPr>
        <w:numPr>
          <w:ilvl w:val="0"/>
          <w:numId w:val="17"/>
        </w:numPr>
        <w:jc w:val="left"/>
        <w:rPr>
          <w:rFonts w:cs="Calibri"/>
        </w:rPr>
      </w:pPr>
      <w:r w:rsidRPr="00144E99">
        <w:rPr>
          <w:rFonts w:cs="Calibri"/>
        </w:rPr>
        <w:t xml:space="preserve">Bilateral agreements </w:t>
      </w:r>
      <w:r w:rsidRPr="00144E99">
        <w:t xml:space="preserve">in </w:t>
      </w:r>
      <w:r w:rsidR="00974B9F" w:rsidRPr="00144E99">
        <w:t xml:space="preserve">Schedule </w:t>
      </w:r>
      <w:r w:rsidR="00AC4BC7" w:rsidRPr="00144E99">
        <w:t>E</w:t>
      </w:r>
      <w:r w:rsidRPr="00144E99">
        <w:t xml:space="preserve"> </w:t>
      </w:r>
      <w:r w:rsidRPr="00144E99">
        <w:rPr>
          <w:rFonts w:cs="Calibri"/>
        </w:rPr>
        <w:t xml:space="preserve">recognise that </w:t>
      </w:r>
      <w:r w:rsidR="00E23F74" w:rsidRPr="00144E99">
        <w:rPr>
          <w:rFonts w:cs="Calibri"/>
        </w:rPr>
        <w:t xml:space="preserve">constitutional </w:t>
      </w:r>
      <w:r w:rsidRPr="00144E99">
        <w:rPr>
          <w:rFonts w:cs="Calibri"/>
        </w:rPr>
        <w:t xml:space="preserve">responsibility for school education rests with each State or Territory. The bilateral agreements take into account the </w:t>
      </w:r>
      <w:r w:rsidRPr="00144E99">
        <w:t xml:space="preserve">specific contexts, existing reform efforts and starting points </w:t>
      </w:r>
      <w:r w:rsidRPr="00144E99">
        <w:rPr>
          <w:rFonts w:cs="Calibri"/>
        </w:rPr>
        <w:t>for the relevant State or Territory</w:t>
      </w:r>
      <w:r w:rsidRPr="00144E99">
        <w:t xml:space="preserve"> </w:t>
      </w:r>
      <w:r w:rsidRPr="00144E99">
        <w:rPr>
          <w:rFonts w:cs="Calibri"/>
        </w:rPr>
        <w:t>and set out:</w:t>
      </w:r>
    </w:p>
    <w:p w14:paraId="316CE8C8" w14:textId="77777777" w:rsidR="00043D7E" w:rsidRPr="00144E99" w:rsidRDefault="00043D7E" w:rsidP="007A2455">
      <w:pPr>
        <w:numPr>
          <w:ilvl w:val="1"/>
          <w:numId w:val="17"/>
        </w:numPr>
      </w:pPr>
      <w:r w:rsidRPr="00144E99">
        <w:t xml:space="preserve">reform initiatives the State or Territory </w:t>
      </w:r>
      <w:r w:rsidR="008B6217" w:rsidRPr="00144E99">
        <w:t xml:space="preserve">agrees to </w:t>
      </w:r>
      <w:r w:rsidRPr="00144E99">
        <w:t xml:space="preserve">take to progress the national reform directions, </w:t>
      </w:r>
      <w:r w:rsidR="00C22F56" w:rsidRPr="00144E99">
        <w:t xml:space="preserve">in government and non-government sectors, </w:t>
      </w:r>
      <w:r w:rsidRPr="00144E99">
        <w:t>including actions to support the implementation of agreed national policy initiatives</w:t>
      </w:r>
    </w:p>
    <w:p w14:paraId="3A2B0956" w14:textId="77777777" w:rsidR="00043D7E" w:rsidRPr="00144E99" w:rsidRDefault="00043D7E" w:rsidP="007A2455">
      <w:pPr>
        <w:numPr>
          <w:ilvl w:val="1"/>
          <w:numId w:val="17"/>
        </w:numPr>
      </w:pPr>
      <w:r w:rsidRPr="00144E99">
        <w:t xml:space="preserve">any commitments of the Commonwealth to support the </w:t>
      </w:r>
      <w:r w:rsidR="00181ABF" w:rsidRPr="00144E99">
        <w:t>S</w:t>
      </w:r>
      <w:r w:rsidRPr="00144E99">
        <w:t xml:space="preserve">tate or </w:t>
      </w:r>
      <w:r w:rsidR="00181ABF" w:rsidRPr="00144E99">
        <w:t>T</w:t>
      </w:r>
      <w:r w:rsidRPr="00144E99">
        <w:t xml:space="preserve">erritory </w:t>
      </w:r>
      <w:r w:rsidR="0031211B" w:rsidRPr="00144E99">
        <w:t xml:space="preserve">to </w:t>
      </w:r>
      <w:r w:rsidRPr="00144E99">
        <w:t xml:space="preserve">progress national reform directions, </w:t>
      </w:r>
      <w:r w:rsidR="0023754F" w:rsidRPr="00144E99">
        <w:t>including</w:t>
      </w:r>
      <w:r w:rsidRPr="00144E99">
        <w:t xml:space="preserve"> reporting obligations of the Commonwealth </w:t>
      </w:r>
      <w:r w:rsidR="0023754F" w:rsidRPr="00144E99">
        <w:t>as set out in the relevant bilateral agreement</w:t>
      </w:r>
    </w:p>
    <w:p w14:paraId="2012096D" w14:textId="77777777" w:rsidR="000209BB" w:rsidRPr="00144E99" w:rsidRDefault="000209BB" w:rsidP="007A2455">
      <w:pPr>
        <w:numPr>
          <w:ilvl w:val="1"/>
          <w:numId w:val="17"/>
        </w:numPr>
      </w:pPr>
      <w:r w:rsidRPr="00144E99">
        <w:t>existing and/or new reforms to</w:t>
      </w:r>
      <w:r w:rsidR="007F3858" w:rsidRPr="00144E99">
        <w:t xml:space="preserve"> </w:t>
      </w:r>
      <w:r w:rsidRPr="00144E99">
        <w:t xml:space="preserve">lift outcomes for </w:t>
      </w:r>
      <w:r w:rsidR="002D09E2" w:rsidRPr="00144E99">
        <w:t xml:space="preserve">priority equity </w:t>
      </w:r>
      <w:r w:rsidR="00E07382" w:rsidRPr="00144E99">
        <w:t>cohorts</w:t>
      </w:r>
      <w:r w:rsidR="002D09E2" w:rsidRPr="00144E99">
        <w:t xml:space="preserve"> including </w:t>
      </w:r>
      <w:r w:rsidR="002D09E2" w:rsidRPr="00144E99">
        <w:rPr>
          <w:rFonts w:cs="Calibri"/>
        </w:rPr>
        <w:t>Aboriginal and Torres Strait Islander students, students living in regional, rural and remote locations, students with a disability and students from educationally disadvantaged backgrounds</w:t>
      </w:r>
      <w:r w:rsidR="0020482F" w:rsidRPr="00144E99">
        <w:t>, as agreed by Parties</w:t>
      </w:r>
    </w:p>
    <w:p w14:paraId="6F0064A0" w14:textId="77777777" w:rsidR="00043D7E" w:rsidRPr="00144E99" w:rsidRDefault="00043D7E" w:rsidP="007A2455">
      <w:pPr>
        <w:numPr>
          <w:ilvl w:val="1"/>
          <w:numId w:val="17"/>
        </w:numPr>
      </w:pPr>
      <w:r w:rsidRPr="00144E99">
        <w:t xml:space="preserve">State </w:t>
      </w:r>
      <w:r w:rsidR="000118C0" w:rsidRPr="00144E99">
        <w:t xml:space="preserve">or Territory </w:t>
      </w:r>
      <w:r w:rsidRPr="00144E99">
        <w:t xml:space="preserve">funding contributions </w:t>
      </w:r>
      <w:r w:rsidR="00392D18" w:rsidRPr="00144E99">
        <w:t>where</w:t>
      </w:r>
      <w:r w:rsidRPr="00144E99">
        <w:t xml:space="preserve"> arrangements vary from the default in section 22A of the Act.</w:t>
      </w:r>
    </w:p>
    <w:p w14:paraId="7D2139A5" w14:textId="77777777" w:rsidR="00043D7E" w:rsidRPr="00144E99" w:rsidRDefault="00043D7E" w:rsidP="00191D88">
      <w:pPr>
        <w:numPr>
          <w:ilvl w:val="0"/>
          <w:numId w:val="17"/>
        </w:numPr>
        <w:jc w:val="left"/>
        <w:rPr>
          <w:rFonts w:cs="Calibri"/>
        </w:rPr>
      </w:pPr>
      <w:r w:rsidRPr="00144E99">
        <w:rPr>
          <w:rFonts w:cs="Calibri"/>
        </w:rPr>
        <w:t>The implementation of bilateral agreements is a condition of Commonwealth funding to States and Territories under section 22(2) of the Act. The Commonwealth will not impose sanction</w:t>
      </w:r>
      <w:r w:rsidR="00C13ECE" w:rsidRPr="00144E99">
        <w:rPr>
          <w:rFonts w:cs="Calibri"/>
        </w:rPr>
        <w:t>s</w:t>
      </w:r>
      <w:r w:rsidRPr="00144E99">
        <w:rPr>
          <w:rFonts w:cs="Calibri"/>
        </w:rPr>
        <w:t xml:space="preserve"> on States or Territories for a failure by the non-government school sector to </w:t>
      </w:r>
      <w:r w:rsidR="00191D88" w:rsidRPr="00144E99">
        <w:rPr>
          <w:rFonts w:cs="Calibri"/>
        </w:rPr>
        <w:t xml:space="preserve">comply with the requirement in section 77(2A) of the Act to </w:t>
      </w:r>
      <w:r w:rsidRPr="00144E99">
        <w:rPr>
          <w:rFonts w:cs="Calibri"/>
        </w:rPr>
        <w:t>cooperate with this Agreement or the applicable bilateral agreement. Nor will the Commonwealth impose sanction</w:t>
      </w:r>
      <w:r w:rsidR="0023754F" w:rsidRPr="00144E99">
        <w:rPr>
          <w:rFonts w:cs="Calibri"/>
        </w:rPr>
        <w:t>s</w:t>
      </w:r>
      <w:r w:rsidRPr="00144E99">
        <w:rPr>
          <w:rFonts w:cs="Calibri"/>
        </w:rPr>
        <w:t xml:space="preserve"> on the non-government school sector for a failure of a State or Territory to </w:t>
      </w:r>
      <w:r w:rsidR="0023754F" w:rsidRPr="00144E99">
        <w:rPr>
          <w:rFonts w:cs="Calibri"/>
        </w:rPr>
        <w:t>implement this Agreement</w:t>
      </w:r>
      <w:r w:rsidRPr="00144E99">
        <w:rPr>
          <w:rFonts w:cs="Calibri"/>
        </w:rPr>
        <w:t>.</w:t>
      </w:r>
    </w:p>
    <w:p w14:paraId="7EAD61F4" w14:textId="77777777" w:rsidR="008E6C06" w:rsidRPr="00144E99" w:rsidRDefault="003B38DB" w:rsidP="008E6C06">
      <w:pPr>
        <w:pStyle w:val="Heading1"/>
      </w:pPr>
      <w:bookmarkStart w:id="51" w:name="_Toc525144604"/>
      <w:bookmarkStart w:id="52" w:name="_Toc525030953"/>
      <w:r w:rsidRPr="00144E99">
        <w:t xml:space="preserve">Part </w:t>
      </w:r>
      <w:r w:rsidR="000B2122" w:rsidRPr="00144E99">
        <w:t>4</w:t>
      </w:r>
      <w:r w:rsidR="008E6C06" w:rsidRPr="00144E99">
        <w:t xml:space="preserve"> — </w:t>
      </w:r>
      <w:r w:rsidR="004F3439" w:rsidRPr="00144E99">
        <w:t>REPORTING</w:t>
      </w:r>
      <w:r w:rsidR="001217D7" w:rsidRPr="00144E99">
        <w:t xml:space="preserve"> AND PUBLIC TRANSPARENCY</w:t>
      </w:r>
      <w:bookmarkEnd w:id="51"/>
      <w:bookmarkEnd w:id="52"/>
    </w:p>
    <w:p w14:paraId="5C93C6F3" w14:textId="77777777" w:rsidR="008E6C06" w:rsidRPr="00144E99" w:rsidRDefault="00B84731" w:rsidP="00146A69">
      <w:pPr>
        <w:numPr>
          <w:ilvl w:val="0"/>
          <w:numId w:val="17"/>
        </w:numPr>
        <w:jc w:val="left"/>
        <w:rPr>
          <w:rFonts w:cs="Calibri"/>
        </w:rPr>
      </w:pPr>
      <w:r>
        <w:rPr>
          <w:rFonts w:cs="Calibri"/>
        </w:rPr>
        <w:t>Shared a</w:t>
      </w:r>
      <w:r w:rsidR="008E6C06" w:rsidRPr="00144E99">
        <w:rPr>
          <w:rFonts w:cs="Calibri"/>
        </w:rPr>
        <w:t xml:space="preserve">ccountability through reporting </w:t>
      </w:r>
      <w:r w:rsidR="001217D7" w:rsidRPr="00144E99">
        <w:rPr>
          <w:rFonts w:cs="Calibri"/>
        </w:rPr>
        <w:t>and public transparency are</w:t>
      </w:r>
      <w:r w:rsidR="008E6C06" w:rsidRPr="00144E99">
        <w:rPr>
          <w:rFonts w:cs="Calibri"/>
        </w:rPr>
        <w:t xml:space="preserve"> key mechanism</w:t>
      </w:r>
      <w:r w:rsidR="001217D7" w:rsidRPr="00144E99">
        <w:rPr>
          <w:rFonts w:cs="Calibri"/>
        </w:rPr>
        <w:t>s</w:t>
      </w:r>
      <w:r w:rsidR="008E6C06" w:rsidRPr="00144E99">
        <w:rPr>
          <w:rFonts w:cs="Calibri"/>
        </w:rPr>
        <w:t xml:space="preserve"> to give the community confidence that </w:t>
      </w:r>
      <w:r w:rsidR="008E6C06" w:rsidRPr="00144E99">
        <w:rPr>
          <w:rFonts w:eastAsia="Calibri"/>
        </w:rPr>
        <w:t>outcomes</w:t>
      </w:r>
      <w:r w:rsidR="008E6C06" w:rsidRPr="00144E99">
        <w:rPr>
          <w:rFonts w:cs="Calibri"/>
        </w:rPr>
        <w:t xml:space="preserve"> are </w:t>
      </w:r>
      <w:r w:rsidR="008E6C06" w:rsidRPr="00144E99">
        <w:rPr>
          <w:rFonts w:eastAsia="Calibri"/>
        </w:rPr>
        <w:t>being achieved</w:t>
      </w:r>
      <w:r w:rsidR="008E6C06" w:rsidRPr="00144E99">
        <w:rPr>
          <w:rFonts w:cs="Calibri"/>
        </w:rPr>
        <w:t xml:space="preserve"> </w:t>
      </w:r>
      <w:r w:rsidR="00010FFD" w:rsidRPr="00144E99">
        <w:rPr>
          <w:rFonts w:cs="Calibri"/>
        </w:rPr>
        <w:t xml:space="preserve">and reforms </w:t>
      </w:r>
      <w:r w:rsidR="008E6C06" w:rsidRPr="00144E99">
        <w:rPr>
          <w:rFonts w:cs="Calibri"/>
        </w:rPr>
        <w:t>to improve the quality and equity of Australia’s schooling system</w:t>
      </w:r>
      <w:r w:rsidR="001E57AC" w:rsidRPr="00144E99">
        <w:rPr>
          <w:rFonts w:cs="Calibri"/>
        </w:rPr>
        <w:t xml:space="preserve"> </w:t>
      </w:r>
      <w:r w:rsidR="00010FFD" w:rsidRPr="00144E99">
        <w:rPr>
          <w:rFonts w:cs="Calibri"/>
        </w:rPr>
        <w:t>are being</w:t>
      </w:r>
      <w:r w:rsidR="001E57AC" w:rsidRPr="00144E99">
        <w:rPr>
          <w:rFonts w:cs="Calibri"/>
        </w:rPr>
        <w:t xml:space="preserve"> implement</w:t>
      </w:r>
      <w:r w:rsidR="00010FFD" w:rsidRPr="00144E99">
        <w:rPr>
          <w:rFonts w:cs="Calibri"/>
        </w:rPr>
        <w:t>ed</w:t>
      </w:r>
      <w:r>
        <w:rPr>
          <w:rFonts w:cs="Calibri"/>
        </w:rPr>
        <w:t xml:space="preserve"> by all Parties</w:t>
      </w:r>
      <w:r w:rsidR="001E57AC" w:rsidRPr="00144E99">
        <w:rPr>
          <w:rFonts w:cs="Calibri"/>
        </w:rPr>
        <w:t>.</w:t>
      </w:r>
    </w:p>
    <w:p w14:paraId="2C44351D" w14:textId="77777777" w:rsidR="001217D7" w:rsidRPr="00144E99" w:rsidRDefault="001217D7" w:rsidP="00146A69">
      <w:pPr>
        <w:keepNext/>
        <w:numPr>
          <w:ilvl w:val="0"/>
          <w:numId w:val="17"/>
        </w:numPr>
        <w:jc w:val="left"/>
        <w:rPr>
          <w:rFonts w:cs="Calibri"/>
        </w:rPr>
      </w:pPr>
      <w:r w:rsidRPr="00144E99">
        <w:rPr>
          <w:rFonts w:cs="Calibri"/>
        </w:rPr>
        <w:t xml:space="preserve">Parties agree this Agreement and its </w:t>
      </w:r>
      <w:r w:rsidR="003B6835" w:rsidRPr="00144E99">
        <w:rPr>
          <w:rFonts w:cs="Calibri"/>
        </w:rPr>
        <w:t>S</w:t>
      </w:r>
      <w:r w:rsidRPr="00144E99">
        <w:rPr>
          <w:rFonts w:cs="Calibri"/>
        </w:rPr>
        <w:t>chedules</w:t>
      </w:r>
      <w:r w:rsidR="00512CA9" w:rsidRPr="00144E99">
        <w:rPr>
          <w:rFonts w:cs="Calibri"/>
        </w:rPr>
        <w:t xml:space="preserve">, including bilateral agreements at </w:t>
      </w:r>
      <w:r w:rsidR="00974B9F" w:rsidRPr="00144E99">
        <w:rPr>
          <w:rFonts w:cs="Calibri"/>
        </w:rPr>
        <w:t xml:space="preserve">Schedule </w:t>
      </w:r>
      <w:r w:rsidR="00AC4BC7" w:rsidRPr="00144E99">
        <w:rPr>
          <w:rFonts w:cs="Calibri"/>
        </w:rPr>
        <w:t>E</w:t>
      </w:r>
      <w:r w:rsidR="00512CA9" w:rsidRPr="00144E99">
        <w:rPr>
          <w:rFonts w:cs="Calibri"/>
        </w:rPr>
        <w:t>,</w:t>
      </w:r>
      <w:r w:rsidRPr="00144E99">
        <w:rPr>
          <w:rFonts w:cs="Calibri"/>
        </w:rPr>
        <w:t xml:space="preserve"> will be made publicly available.</w:t>
      </w:r>
    </w:p>
    <w:p w14:paraId="4FB67566" w14:textId="77777777" w:rsidR="003D5E8C" w:rsidRPr="00144E99" w:rsidRDefault="001217D7" w:rsidP="00146A69">
      <w:pPr>
        <w:keepNext/>
        <w:numPr>
          <w:ilvl w:val="0"/>
          <w:numId w:val="17"/>
        </w:numPr>
        <w:jc w:val="left"/>
        <w:rPr>
          <w:rFonts w:cs="Calibri"/>
        </w:rPr>
      </w:pPr>
      <w:r w:rsidRPr="00144E99">
        <w:rPr>
          <w:rFonts w:cs="Calibri"/>
        </w:rPr>
        <w:t xml:space="preserve">Parties further agree the following </w:t>
      </w:r>
      <w:r w:rsidR="003D5E8C" w:rsidRPr="00144E99">
        <w:rPr>
          <w:rFonts w:cs="Calibri"/>
        </w:rPr>
        <w:t>reporting</w:t>
      </w:r>
      <w:r w:rsidRPr="00144E99">
        <w:rPr>
          <w:rFonts w:cs="Calibri"/>
        </w:rPr>
        <w:t xml:space="preserve"> and public transparency arrangements</w:t>
      </w:r>
      <w:r w:rsidR="003D5E8C" w:rsidRPr="00144E99">
        <w:rPr>
          <w:rFonts w:cs="Calibri"/>
        </w:rPr>
        <w:t xml:space="preserve">: </w:t>
      </w:r>
    </w:p>
    <w:p w14:paraId="25C2980F" w14:textId="77777777" w:rsidR="00291237" w:rsidRPr="00144E99" w:rsidRDefault="00B43B08" w:rsidP="007A2455">
      <w:pPr>
        <w:numPr>
          <w:ilvl w:val="1"/>
          <w:numId w:val="17"/>
        </w:numPr>
      </w:pPr>
      <w:r w:rsidRPr="00144E99">
        <w:t xml:space="preserve">an </w:t>
      </w:r>
      <w:r w:rsidR="003D5E8C" w:rsidRPr="00144E99">
        <w:t xml:space="preserve">annual </w:t>
      </w:r>
      <w:r w:rsidR="001217D7" w:rsidRPr="00144E99">
        <w:t xml:space="preserve">public </w:t>
      </w:r>
      <w:r w:rsidR="003D5E8C" w:rsidRPr="00144E99">
        <w:t>report from Education Council to COAG</w:t>
      </w:r>
      <w:r w:rsidR="00C559BD" w:rsidRPr="00144E99">
        <w:t xml:space="preserve"> </w:t>
      </w:r>
      <w:r w:rsidR="003D5E8C" w:rsidRPr="00144E99">
        <w:t>outlining</w:t>
      </w:r>
      <w:r w:rsidR="0023754F" w:rsidRPr="00144E99">
        <w:t xml:space="preserve"> Education Council’s</w:t>
      </w:r>
      <w:r w:rsidR="003D5E8C" w:rsidRPr="00144E99">
        <w:t xml:space="preserve"> progress towards implementing the </w:t>
      </w:r>
      <w:r w:rsidR="00F30EF0" w:rsidRPr="00144E99">
        <w:t>national policy initiatives</w:t>
      </w:r>
      <w:r w:rsidR="007E507A" w:rsidRPr="00144E99">
        <w:t xml:space="preserve"> </w:t>
      </w:r>
      <w:r w:rsidR="00291237" w:rsidRPr="00144E99">
        <w:t xml:space="preserve">against agreed milestones as detailed in </w:t>
      </w:r>
      <w:r w:rsidR="00974B9F" w:rsidRPr="00144E99">
        <w:t>Schedule B</w:t>
      </w:r>
      <w:r w:rsidR="00291237" w:rsidRPr="00144E99">
        <w:t xml:space="preserve"> </w:t>
      </w:r>
      <w:r w:rsidR="003B6835" w:rsidRPr="00144E99">
        <w:t xml:space="preserve">and </w:t>
      </w:r>
      <w:r w:rsidR="00395769" w:rsidRPr="00144E99">
        <w:t xml:space="preserve">outlined </w:t>
      </w:r>
      <w:r w:rsidR="00291237" w:rsidRPr="00144E99">
        <w:t xml:space="preserve">in </w:t>
      </w:r>
      <w:r w:rsidR="00974B9F" w:rsidRPr="00144E99">
        <w:t xml:space="preserve">Schedule </w:t>
      </w:r>
      <w:r w:rsidR="005C24ED" w:rsidRPr="00144E99">
        <w:t>D</w:t>
      </w:r>
    </w:p>
    <w:p w14:paraId="35502E4C" w14:textId="77777777" w:rsidR="00291237" w:rsidRPr="00085B2F" w:rsidRDefault="00291237" w:rsidP="007A2455">
      <w:pPr>
        <w:numPr>
          <w:ilvl w:val="1"/>
          <w:numId w:val="17"/>
        </w:numPr>
      </w:pPr>
      <w:r w:rsidRPr="00085B2F">
        <w:t xml:space="preserve">an annual report from each State or Territory to the Commonwealth outlining progress towards implementing state-specific reform initiatives against agreed milestones as detailed in the relevant bilateral agreement at </w:t>
      </w:r>
      <w:r w:rsidR="00974B9F" w:rsidRPr="00085B2F">
        <w:t xml:space="preserve">Schedule </w:t>
      </w:r>
      <w:r w:rsidR="00AC4BC7" w:rsidRPr="00085B2F">
        <w:t>E</w:t>
      </w:r>
      <w:r w:rsidRPr="00085B2F">
        <w:t xml:space="preserve"> for the purposes of assessing compliance with section 22(2)(c) of the Act</w:t>
      </w:r>
    </w:p>
    <w:p w14:paraId="600CF1F3" w14:textId="77777777" w:rsidR="005E32DD" w:rsidRPr="00144E99" w:rsidRDefault="00DA18C8" w:rsidP="007A2455">
      <w:pPr>
        <w:numPr>
          <w:ilvl w:val="1"/>
          <w:numId w:val="17"/>
        </w:numPr>
      </w:pPr>
      <w:r w:rsidRPr="00144E99">
        <w:lastRenderedPageBreak/>
        <w:t xml:space="preserve">continuing public accountability </w:t>
      </w:r>
      <w:r w:rsidR="001505A9" w:rsidRPr="00144E99">
        <w:t xml:space="preserve">on progress towards meeting targets </w:t>
      </w:r>
      <w:r w:rsidRPr="00144E99">
        <w:t xml:space="preserve">through </w:t>
      </w:r>
      <w:r w:rsidR="001505A9" w:rsidRPr="00144E99">
        <w:t>existing COAG performance reporting arrangements</w:t>
      </w:r>
    </w:p>
    <w:p w14:paraId="6BAAD709" w14:textId="701E0442" w:rsidR="003D5E8C" w:rsidRPr="00144E99" w:rsidRDefault="00B43B08" w:rsidP="007A2455">
      <w:pPr>
        <w:numPr>
          <w:ilvl w:val="1"/>
          <w:numId w:val="17"/>
        </w:numPr>
        <w:rPr>
          <w:rFonts w:cs="Calibri"/>
        </w:rPr>
      </w:pPr>
      <w:r w:rsidRPr="00144E99">
        <w:t xml:space="preserve">publication </w:t>
      </w:r>
      <w:r w:rsidR="005E32DD" w:rsidRPr="00144E99">
        <w:t xml:space="preserve">of the report of the independent review set out at </w:t>
      </w:r>
      <w:r w:rsidR="006121FC" w:rsidRPr="00144E99">
        <w:t xml:space="preserve">clause </w:t>
      </w:r>
      <w:r w:rsidR="000A1CE5" w:rsidRPr="00144E99">
        <w:t>3</w:t>
      </w:r>
      <w:r w:rsidR="004F0A00" w:rsidRPr="00144E99">
        <w:t>2</w:t>
      </w:r>
      <w:r w:rsidR="005E32DD" w:rsidRPr="00144E99">
        <w:t xml:space="preserve"> o</w:t>
      </w:r>
      <w:r w:rsidR="001C333E" w:rsidRPr="00144E99">
        <w:t>n</w:t>
      </w:r>
      <w:r w:rsidR="005E32DD" w:rsidRPr="00144E99">
        <w:t xml:space="preserve"> the effectiveness of the</w:t>
      </w:r>
      <w:r w:rsidR="007E507A" w:rsidRPr="00144E99">
        <w:t xml:space="preserve"> </w:t>
      </w:r>
      <w:r w:rsidR="003C0224" w:rsidRPr="00144E99">
        <w:t>national policy initiatives</w:t>
      </w:r>
      <w:r w:rsidR="007E507A" w:rsidRPr="00144E99">
        <w:t>.</w:t>
      </w:r>
      <w:r w:rsidR="005E32DD" w:rsidRPr="00144E99">
        <w:t xml:space="preserve"> </w:t>
      </w:r>
    </w:p>
    <w:p w14:paraId="1408535B" w14:textId="77777777" w:rsidR="00516B2D" w:rsidRPr="00144E99" w:rsidRDefault="003520D3" w:rsidP="00146A69">
      <w:pPr>
        <w:keepNext/>
        <w:numPr>
          <w:ilvl w:val="0"/>
          <w:numId w:val="17"/>
        </w:numPr>
        <w:jc w:val="left"/>
        <w:rPr>
          <w:rFonts w:cs="Calibri"/>
          <w:color w:val="auto"/>
        </w:rPr>
      </w:pPr>
      <w:r>
        <w:rPr>
          <w:rFonts w:cs="Calibri"/>
          <w:color w:val="auto"/>
        </w:rPr>
        <w:t>Recognising that the constitutional authority for school education lies with States and Territories, p</w:t>
      </w:r>
      <w:r w:rsidR="00516B2D" w:rsidRPr="00144E99">
        <w:rPr>
          <w:rFonts w:cs="Calibri"/>
          <w:color w:val="auto"/>
        </w:rPr>
        <w:t>arties</w:t>
      </w:r>
      <w:r w:rsidR="00516B2D" w:rsidRPr="00144E99">
        <w:rPr>
          <w:color w:val="auto"/>
        </w:rPr>
        <w:t xml:space="preserve"> agree that as far as practical reporting requirements under th</w:t>
      </w:r>
      <w:r w:rsidR="00A15EDF" w:rsidRPr="00144E99">
        <w:rPr>
          <w:color w:val="auto"/>
        </w:rPr>
        <w:t>is</w:t>
      </w:r>
      <w:r w:rsidR="00516B2D" w:rsidRPr="00144E99">
        <w:rPr>
          <w:color w:val="auto"/>
        </w:rPr>
        <w:t xml:space="preserve"> Agreement and the Act will leverage existing reporting process</w:t>
      </w:r>
      <w:r w:rsidR="00F55B59" w:rsidRPr="00144E99">
        <w:rPr>
          <w:color w:val="auto"/>
        </w:rPr>
        <w:t>es</w:t>
      </w:r>
      <w:r w:rsidR="00516B2D" w:rsidRPr="00144E99">
        <w:rPr>
          <w:color w:val="auto"/>
        </w:rPr>
        <w:t xml:space="preserve"> and data sources and minimise reporting burdens on school systems and individual schools.</w:t>
      </w:r>
      <w:r w:rsidR="007F3858" w:rsidRPr="00144E99">
        <w:rPr>
          <w:color w:val="auto"/>
        </w:rPr>
        <w:t xml:space="preserve"> </w:t>
      </w:r>
      <w:r w:rsidR="00516B2D" w:rsidRPr="00144E99">
        <w:rPr>
          <w:color w:val="auto"/>
        </w:rPr>
        <w:t>Requests to provide data and information to support public reporting will provide reasonable timeframes to respond and ensure the accuracy and integrity of data provided.</w:t>
      </w:r>
    </w:p>
    <w:p w14:paraId="1E7290DE" w14:textId="434B57C8" w:rsidR="0054568A" w:rsidRPr="00144E99" w:rsidDel="00FD719B" w:rsidRDefault="0054568A" w:rsidP="00146A69">
      <w:pPr>
        <w:numPr>
          <w:ilvl w:val="0"/>
          <w:numId w:val="17"/>
        </w:numPr>
        <w:jc w:val="left"/>
        <w:rPr>
          <w:rFonts w:cs="Calibri"/>
        </w:rPr>
      </w:pPr>
      <w:bookmarkStart w:id="53" w:name="_Toc352229947"/>
      <w:bookmarkEnd w:id="44"/>
      <w:r w:rsidRPr="00144E99">
        <w:rPr>
          <w:rFonts w:cs="Calibri"/>
        </w:rPr>
        <w:t>Requirements for annual reporting to the Commonwealth on State and Territory funding for government and non-government schools for the purposes of assessing compliance with section 22A of the Act</w:t>
      </w:r>
      <w:r w:rsidR="000118C0" w:rsidRPr="00144E99">
        <w:rPr>
          <w:rFonts w:cs="Calibri"/>
        </w:rPr>
        <w:t>, including timelines,</w:t>
      </w:r>
      <w:r w:rsidRPr="00144E99">
        <w:rPr>
          <w:rFonts w:cs="Calibri"/>
        </w:rPr>
        <w:t xml:space="preserve"> </w:t>
      </w:r>
      <w:r w:rsidR="000118C0" w:rsidRPr="00144E99">
        <w:rPr>
          <w:rFonts w:cs="Calibri"/>
        </w:rPr>
        <w:t xml:space="preserve">will be </w:t>
      </w:r>
      <w:r w:rsidRPr="00144E99">
        <w:rPr>
          <w:rFonts w:cs="Calibri"/>
        </w:rPr>
        <w:t xml:space="preserve">set out </w:t>
      </w:r>
      <w:r w:rsidR="00392D18" w:rsidRPr="00144E99">
        <w:rPr>
          <w:rFonts w:cs="Calibri"/>
          <w:color w:val="auto"/>
        </w:rPr>
        <w:t>in the relevant State or Territor</w:t>
      </w:r>
      <w:r w:rsidR="00BE0065" w:rsidRPr="00144E99">
        <w:rPr>
          <w:rFonts w:cs="Calibri"/>
          <w:color w:val="auto"/>
        </w:rPr>
        <w:t>y’</w:t>
      </w:r>
      <w:r w:rsidR="00392D18" w:rsidRPr="00144E99">
        <w:rPr>
          <w:rFonts w:cs="Calibri"/>
          <w:color w:val="auto"/>
        </w:rPr>
        <w:t xml:space="preserve">s </w:t>
      </w:r>
      <w:r w:rsidR="00F1347D" w:rsidRPr="00144E99">
        <w:rPr>
          <w:rFonts w:cs="Calibri"/>
          <w:color w:val="auto"/>
        </w:rPr>
        <w:t>bilateral agreement</w:t>
      </w:r>
      <w:r w:rsidR="00392D18" w:rsidRPr="00144E99">
        <w:rPr>
          <w:rFonts w:cs="Calibri"/>
        </w:rPr>
        <w:t>.</w:t>
      </w:r>
      <w:r w:rsidR="000118C0" w:rsidRPr="00144E99">
        <w:rPr>
          <w:rFonts w:cs="Calibri"/>
        </w:rPr>
        <w:t xml:space="preserve"> </w:t>
      </w:r>
    </w:p>
    <w:p w14:paraId="2C2C6114" w14:textId="77777777" w:rsidR="000D3BB1" w:rsidRPr="00144E99" w:rsidRDefault="000D3BB1" w:rsidP="001D7EF8">
      <w:pPr>
        <w:pStyle w:val="Heading1"/>
      </w:pPr>
      <w:bookmarkStart w:id="54" w:name="_Toc525144605"/>
      <w:bookmarkStart w:id="55" w:name="_Toc525030954"/>
      <w:r w:rsidRPr="00144E99">
        <w:t xml:space="preserve">PART </w:t>
      </w:r>
      <w:r w:rsidR="000B2122" w:rsidRPr="00144E99">
        <w:t>5</w:t>
      </w:r>
      <w:r w:rsidR="00E043B1" w:rsidRPr="00144E99">
        <w:t xml:space="preserve"> —</w:t>
      </w:r>
      <w:r w:rsidRPr="00144E99">
        <w:t xml:space="preserve"> RESPONSIBILITIES</w:t>
      </w:r>
      <w:bookmarkEnd w:id="54"/>
      <w:bookmarkEnd w:id="55"/>
      <w:r w:rsidRPr="00144E99">
        <w:t xml:space="preserve"> </w:t>
      </w:r>
    </w:p>
    <w:p w14:paraId="3D94FA3B" w14:textId="77777777" w:rsidR="0019717E" w:rsidRPr="00144E99" w:rsidRDefault="0019717E" w:rsidP="007805DB">
      <w:pPr>
        <w:pStyle w:val="Heading2"/>
        <w:rPr>
          <w:color w:val="1F497D"/>
        </w:rPr>
      </w:pPr>
      <w:bookmarkStart w:id="56" w:name="_Toc525144606"/>
      <w:bookmarkStart w:id="57" w:name="_Toc525030955"/>
      <w:r w:rsidRPr="00144E99">
        <w:t xml:space="preserve">Shared </w:t>
      </w:r>
      <w:r w:rsidR="005A2E68" w:rsidRPr="00144E99">
        <w:t>r</w:t>
      </w:r>
      <w:r w:rsidRPr="00144E99">
        <w:t>esponsibilities of the Commonwealth and the States and Territories</w:t>
      </w:r>
      <w:bookmarkEnd w:id="53"/>
      <w:bookmarkEnd w:id="56"/>
      <w:bookmarkEnd w:id="57"/>
    </w:p>
    <w:p w14:paraId="17508B98" w14:textId="77777777" w:rsidR="0019717E" w:rsidRPr="00144E99" w:rsidRDefault="0019717E" w:rsidP="00146A69">
      <w:pPr>
        <w:pStyle w:val="Normalnumbered"/>
        <w:numPr>
          <w:ilvl w:val="0"/>
          <w:numId w:val="17"/>
        </w:numPr>
        <w:jc w:val="left"/>
        <w:rPr>
          <w:rFonts w:ascii="Corbel" w:hAnsi="Corbel"/>
        </w:rPr>
      </w:pPr>
      <w:r w:rsidRPr="00144E99">
        <w:rPr>
          <w:rFonts w:ascii="Corbel" w:hAnsi="Corbel"/>
        </w:rPr>
        <w:t xml:space="preserve">The Commonwealth and the States and Territories </w:t>
      </w:r>
      <w:r w:rsidR="0073335F" w:rsidRPr="00144E99">
        <w:rPr>
          <w:rFonts w:ascii="Corbel" w:hAnsi="Corbel"/>
        </w:rPr>
        <w:t>commit to</w:t>
      </w:r>
      <w:r w:rsidRPr="00144E99">
        <w:rPr>
          <w:rFonts w:ascii="Corbel" w:hAnsi="Corbel"/>
        </w:rPr>
        <w:t>:</w:t>
      </w:r>
    </w:p>
    <w:p w14:paraId="0807F7C0" w14:textId="77777777" w:rsidR="007B2D82" w:rsidRPr="00144E99" w:rsidRDefault="004D2683" w:rsidP="007A2455">
      <w:pPr>
        <w:numPr>
          <w:ilvl w:val="1"/>
          <w:numId w:val="17"/>
        </w:numPr>
      </w:pPr>
      <w:r w:rsidRPr="00144E99">
        <w:t xml:space="preserve">continue to </w:t>
      </w:r>
      <w:r w:rsidR="007B2D82" w:rsidRPr="00144E99">
        <w:t xml:space="preserve">work together </w:t>
      </w:r>
      <w:r w:rsidRPr="00144E99">
        <w:t xml:space="preserve">through Education Council, recognising </w:t>
      </w:r>
      <w:r w:rsidR="007B2D82" w:rsidRPr="00144E99">
        <w:t xml:space="preserve">their complementary roles in the federation </w:t>
      </w:r>
    </w:p>
    <w:p w14:paraId="34B836B3" w14:textId="77777777" w:rsidR="004D2683" w:rsidRPr="00144E99" w:rsidRDefault="004D2683" w:rsidP="007A2455">
      <w:pPr>
        <w:numPr>
          <w:ilvl w:val="1"/>
          <w:numId w:val="17"/>
        </w:numPr>
      </w:pPr>
      <w:r w:rsidRPr="00144E99">
        <w:t xml:space="preserve">commission the national education agencies and bodies (ACARA, AITSL and ESA) </w:t>
      </w:r>
      <w:r w:rsidR="005E32DD" w:rsidRPr="00144E99">
        <w:t xml:space="preserve">to assist in delivery of national policy initiatives </w:t>
      </w:r>
      <w:r w:rsidR="00C5628C" w:rsidRPr="00144E99">
        <w:t>as appropriate</w:t>
      </w:r>
      <w:r w:rsidR="00F875A8" w:rsidRPr="00144E99">
        <w:t xml:space="preserve">, noting that </w:t>
      </w:r>
      <w:r w:rsidR="00CB0FB1" w:rsidRPr="00144E99">
        <w:t>S</w:t>
      </w:r>
      <w:r w:rsidR="00F75A41" w:rsidRPr="00144E99">
        <w:t xml:space="preserve">tates </w:t>
      </w:r>
      <w:r w:rsidR="00390EF9" w:rsidRPr="00144E99">
        <w:t xml:space="preserve">and Territories </w:t>
      </w:r>
      <w:r w:rsidR="00F75A41" w:rsidRPr="00144E99">
        <w:t xml:space="preserve">will not be held accountable for </w:t>
      </w:r>
      <w:r w:rsidR="00F875A8" w:rsidRPr="00144E99">
        <w:t xml:space="preserve">a failure of a national agency to deliver </w:t>
      </w:r>
      <w:r w:rsidR="007A59E3" w:rsidRPr="00144E99">
        <w:t>agreed actions</w:t>
      </w:r>
      <w:r w:rsidR="00542DA6" w:rsidRPr="00144E99">
        <w:t xml:space="preserve"> </w:t>
      </w:r>
    </w:p>
    <w:p w14:paraId="1A17427A" w14:textId="77777777" w:rsidR="002D09E2" w:rsidRPr="00144E99" w:rsidRDefault="002D09E2" w:rsidP="007A2455">
      <w:pPr>
        <w:numPr>
          <w:ilvl w:val="1"/>
          <w:numId w:val="17"/>
        </w:numPr>
      </w:pPr>
      <w:r w:rsidRPr="00144E99">
        <w:t>ensure consultation as appropriate with education stakeholders in the development and implementation of national policy initiatives</w:t>
      </w:r>
    </w:p>
    <w:p w14:paraId="095E06CF" w14:textId="77777777" w:rsidR="00AB01DC" w:rsidRPr="00144E99" w:rsidRDefault="00AB01DC" w:rsidP="007A2455">
      <w:pPr>
        <w:numPr>
          <w:ilvl w:val="1"/>
          <w:numId w:val="17"/>
        </w:numPr>
      </w:pPr>
      <w:r w:rsidRPr="00144E99">
        <w:t xml:space="preserve">work together to improve the quality and timeliness of the data that supports the achievement of the </w:t>
      </w:r>
      <w:r w:rsidR="00C559BD" w:rsidRPr="00144E99">
        <w:t>outcomes</w:t>
      </w:r>
      <w:r w:rsidRPr="00144E99">
        <w:t xml:space="preserve"> </w:t>
      </w:r>
    </w:p>
    <w:p w14:paraId="7737E76C" w14:textId="77777777" w:rsidR="008521F4" w:rsidRPr="00144E99" w:rsidRDefault="008521F4" w:rsidP="007A2455">
      <w:pPr>
        <w:numPr>
          <w:ilvl w:val="1"/>
          <w:numId w:val="17"/>
        </w:numPr>
      </w:pPr>
      <w:r w:rsidRPr="00144E99">
        <w:t>share best practice and school improvement strategies to support continuous improvement of school systems and individual schools</w:t>
      </w:r>
    </w:p>
    <w:p w14:paraId="36B60B3A" w14:textId="77777777" w:rsidR="00DD1C75" w:rsidRPr="00144E99" w:rsidRDefault="00DD1C75" w:rsidP="007A2455">
      <w:pPr>
        <w:numPr>
          <w:ilvl w:val="1"/>
          <w:numId w:val="17"/>
        </w:numPr>
      </w:pPr>
      <w:r w:rsidRPr="00144E99">
        <w:t xml:space="preserve">provide public leadership that encourages the community to recognise and embrace the importance of the </w:t>
      </w:r>
      <w:r w:rsidR="003F7CEF" w:rsidRPr="00144E99">
        <w:t xml:space="preserve">national </w:t>
      </w:r>
      <w:r w:rsidR="009A7823" w:rsidRPr="00144E99">
        <w:t xml:space="preserve">school </w:t>
      </w:r>
      <w:r w:rsidR="003F7CEF" w:rsidRPr="00144E99">
        <w:t>reform agenda</w:t>
      </w:r>
      <w:r w:rsidR="00152926" w:rsidRPr="00144E99">
        <w:t xml:space="preserve"> to improve outcomes for Australia’s children and young people</w:t>
      </w:r>
      <w:r w:rsidRPr="00144E99">
        <w:t>.</w:t>
      </w:r>
    </w:p>
    <w:p w14:paraId="00D9869E" w14:textId="4308DBC3" w:rsidR="000118C0" w:rsidRDefault="000118C0" w:rsidP="002A42BE">
      <w:pPr>
        <w:pStyle w:val="Normalnumbered"/>
        <w:keepNext/>
        <w:numPr>
          <w:ilvl w:val="0"/>
          <w:numId w:val="17"/>
        </w:numPr>
        <w:jc w:val="left"/>
        <w:rPr>
          <w:rFonts w:ascii="Corbel" w:hAnsi="Corbel"/>
        </w:rPr>
      </w:pPr>
      <w:r w:rsidRPr="00144E99">
        <w:rPr>
          <w:rFonts w:ascii="Corbel" w:hAnsi="Corbel"/>
        </w:rPr>
        <w:t xml:space="preserve">The Act provides that schools currently below the consistent Commonwealth share will transition within six years to the final Commonwealth </w:t>
      </w:r>
      <w:r w:rsidR="00F1347D">
        <w:rPr>
          <w:rFonts w:ascii="Corbel" w:hAnsi="Corbel"/>
        </w:rPr>
        <w:t>s</w:t>
      </w:r>
      <w:r w:rsidRPr="00144E99">
        <w:rPr>
          <w:rFonts w:ascii="Corbel" w:hAnsi="Corbel"/>
        </w:rPr>
        <w:t xml:space="preserve">hare, while those above will transition over ten years. </w:t>
      </w:r>
      <w:r w:rsidR="00A612EF">
        <w:rPr>
          <w:rFonts w:ascii="Corbel" w:hAnsi="Corbel"/>
        </w:rPr>
        <w:t xml:space="preserve">Parties agree that States and Territories should consider a needs-based approach as the guiding </w:t>
      </w:r>
      <w:r w:rsidR="00A612EF">
        <w:rPr>
          <w:rFonts w:ascii="Corbel" w:hAnsi="Corbel"/>
        </w:rPr>
        <w:lastRenderedPageBreak/>
        <w:t xml:space="preserve">principle for the allocation of any additional funds to schools and systems as a result of their </w:t>
      </w:r>
      <w:r w:rsidR="00EF2427">
        <w:rPr>
          <w:rFonts w:ascii="Corbel" w:hAnsi="Corbel"/>
        </w:rPr>
        <w:t xml:space="preserve">bilateral agreement </w:t>
      </w:r>
      <w:r w:rsidR="00A612EF">
        <w:rPr>
          <w:rFonts w:ascii="Corbel" w:hAnsi="Corbel"/>
        </w:rPr>
        <w:t>or requirements</w:t>
      </w:r>
      <w:r w:rsidR="009924BD">
        <w:rPr>
          <w:rFonts w:ascii="Corbel" w:hAnsi="Corbel"/>
        </w:rPr>
        <w:t xml:space="preserve"> under the Act</w:t>
      </w:r>
      <w:r w:rsidR="00A612EF">
        <w:rPr>
          <w:rFonts w:ascii="Corbel" w:hAnsi="Corbel"/>
        </w:rPr>
        <w:t>.</w:t>
      </w:r>
    </w:p>
    <w:p w14:paraId="192FA6A1" w14:textId="77777777" w:rsidR="00696E87" w:rsidRPr="00144E99" w:rsidRDefault="00696E87" w:rsidP="00696E87">
      <w:pPr>
        <w:pStyle w:val="Heading2"/>
      </w:pPr>
      <w:bookmarkStart w:id="58" w:name="_Toc525144607"/>
      <w:bookmarkStart w:id="59" w:name="_Toc525030956"/>
      <w:bookmarkStart w:id="60" w:name="_Toc352229948"/>
      <w:r w:rsidRPr="00144E99">
        <w:t>Responsibilities of the Commonwealth</w:t>
      </w:r>
      <w:bookmarkEnd w:id="58"/>
      <w:bookmarkEnd w:id="59"/>
    </w:p>
    <w:p w14:paraId="541837BB" w14:textId="77777777" w:rsidR="00696E87" w:rsidRPr="00144E99" w:rsidRDefault="00696E87" w:rsidP="00146A69">
      <w:pPr>
        <w:pStyle w:val="Normalnumbered"/>
        <w:keepNext/>
        <w:numPr>
          <w:ilvl w:val="0"/>
          <w:numId w:val="17"/>
        </w:numPr>
        <w:jc w:val="left"/>
        <w:rPr>
          <w:rFonts w:ascii="Corbel" w:hAnsi="Corbel"/>
        </w:rPr>
      </w:pPr>
      <w:r w:rsidRPr="00144E99">
        <w:rPr>
          <w:rFonts w:ascii="Corbel" w:hAnsi="Corbel"/>
        </w:rPr>
        <w:t>The Commonwealth will:</w:t>
      </w:r>
    </w:p>
    <w:p w14:paraId="401EDCD5" w14:textId="77777777" w:rsidR="00696E87" w:rsidRPr="00144E99" w:rsidRDefault="00E81937" w:rsidP="007A2455">
      <w:pPr>
        <w:numPr>
          <w:ilvl w:val="1"/>
          <w:numId w:val="17"/>
        </w:numPr>
      </w:pPr>
      <w:r w:rsidRPr="00144E99">
        <w:t>m</w:t>
      </w:r>
      <w:r w:rsidR="00696E87" w:rsidRPr="00144E99">
        <w:t>aintain and administer the</w:t>
      </w:r>
      <w:r w:rsidR="00C559BD" w:rsidRPr="00144E99">
        <w:t xml:space="preserve"> Act</w:t>
      </w:r>
      <w:r w:rsidR="00696E87" w:rsidRPr="00144E99">
        <w:t xml:space="preserve"> and associated legislative instruments </w:t>
      </w:r>
    </w:p>
    <w:p w14:paraId="7B0ABC14" w14:textId="77777777" w:rsidR="00327DBE" w:rsidRPr="00144E99" w:rsidRDefault="00E81937" w:rsidP="007A2455">
      <w:pPr>
        <w:numPr>
          <w:ilvl w:val="1"/>
          <w:numId w:val="17"/>
        </w:numPr>
      </w:pPr>
      <w:r w:rsidRPr="00144E99">
        <w:t>consult, collaborate and s</w:t>
      </w:r>
      <w:r w:rsidR="00327DBE" w:rsidRPr="00144E99">
        <w:t>eek agreement from Education Council, as the key body for making decisions</w:t>
      </w:r>
      <w:r w:rsidRPr="00144E99">
        <w:t xml:space="preserve"> and in recognition of the significant impact of new Commonwealth funding arrangements on State and Territory investment</w:t>
      </w:r>
      <w:r w:rsidR="00327DBE" w:rsidRPr="00144E99">
        <w:t>, about</w:t>
      </w:r>
      <w:r w:rsidRPr="00144E99">
        <w:t xml:space="preserve">: </w:t>
      </w:r>
    </w:p>
    <w:p w14:paraId="65DE5043" w14:textId="77777777" w:rsidR="00327DBE" w:rsidRPr="00144E99" w:rsidRDefault="00327DBE" w:rsidP="00BA5818">
      <w:pPr>
        <w:pStyle w:val="Normalnumbered"/>
        <w:numPr>
          <w:ilvl w:val="1"/>
          <w:numId w:val="19"/>
        </w:numPr>
        <w:jc w:val="left"/>
        <w:rPr>
          <w:rFonts w:ascii="Corbel" w:hAnsi="Corbel"/>
        </w:rPr>
      </w:pPr>
      <w:r w:rsidRPr="00144E99">
        <w:rPr>
          <w:rFonts w:ascii="Corbel" w:hAnsi="Corbel"/>
        </w:rPr>
        <w:t xml:space="preserve">amendments to the </w:t>
      </w:r>
      <w:r w:rsidR="00F77D95" w:rsidRPr="00144E99">
        <w:rPr>
          <w:rFonts w:ascii="Corbel" w:hAnsi="Corbel"/>
        </w:rPr>
        <w:t xml:space="preserve">Act, </w:t>
      </w:r>
      <w:r w:rsidRPr="00144E99">
        <w:rPr>
          <w:rFonts w:ascii="Corbel" w:hAnsi="Corbel"/>
        </w:rPr>
        <w:t>Regulation and policy guidelines that underpin the operation of the Regulation and Act</w:t>
      </w:r>
    </w:p>
    <w:p w14:paraId="1CBA0411" w14:textId="77777777" w:rsidR="00327DBE" w:rsidRPr="00144E99" w:rsidRDefault="00E81937" w:rsidP="00BA5818">
      <w:pPr>
        <w:pStyle w:val="Normalnumbered"/>
        <w:numPr>
          <w:ilvl w:val="1"/>
          <w:numId w:val="19"/>
        </w:numPr>
        <w:jc w:val="left"/>
        <w:rPr>
          <w:rFonts w:ascii="Corbel" w:hAnsi="Corbel"/>
        </w:rPr>
      </w:pPr>
      <w:r w:rsidRPr="00144E99">
        <w:rPr>
          <w:rFonts w:ascii="Corbel" w:hAnsi="Corbel"/>
        </w:rPr>
        <w:t xml:space="preserve">terms of reference for reviews by the </w:t>
      </w:r>
      <w:r w:rsidR="00327DBE" w:rsidRPr="00144E99">
        <w:rPr>
          <w:rFonts w:ascii="Corbel" w:hAnsi="Corbel"/>
        </w:rPr>
        <w:t xml:space="preserve">National School Resourcing Board established under section 128 of the Act </w:t>
      </w:r>
    </w:p>
    <w:p w14:paraId="273ABEF8" w14:textId="77777777" w:rsidR="00327DBE" w:rsidRPr="00144E99" w:rsidRDefault="00327DBE" w:rsidP="00BA5818">
      <w:pPr>
        <w:pStyle w:val="Normalnumbered"/>
        <w:numPr>
          <w:ilvl w:val="1"/>
          <w:numId w:val="19"/>
        </w:numPr>
        <w:jc w:val="left"/>
        <w:rPr>
          <w:rFonts w:ascii="Corbel" w:hAnsi="Corbel"/>
        </w:rPr>
      </w:pPr>
      <w:r w:rsidRPr="00144E99">
        <w:rPr>
          <w:rFonts w:ascii="Corbel" w:hAnsi="Corbel"/>
        </w:rPr>
        <w:t xml:space="preserve">any changes that impact the operation and calculation of the </w:t>
      </w:r>
      <w:r w:rsidR="00B43B08" w:rsidRPr="00144E99">
        <w:rPr>
          <w:rFonts w:ascii="Corbel" w:hAnsi="Corbel"/>
        </w:rPr>
        <w:t>SRS</w:t>
      </w:r>
    </w:p>
    <w:p w14:paraId="13BCEBD1" w14:textId="77777777" w:rsidR="001A6899" w:rsidRPr="00144E99" w:rsidRDefault="00516B2D" w:rsidP="00A25B1D">
      <w:pPr>
        <w:numPr>
          <w:ilvl w:val="1"/>
          <w:numId w:val="17"/>
        </w:numPr>
      </w:pPr>
      <w:r w:rsidRPr="00144E99">
        <w:t xml:space="preserve">provide assistance as required to support the operation of the National School Resourcing Board </w:t>
      </w:r>
    </w:p>
    <w:p w14:paraId="51AF5B7C" w14:textId="77777777" w:rsidR="00030734" w:rsidRPr="00144E99" w:rsidRDefault="00030734" w:rsidP="007A2455">
      <w:pPr>
        <w:numPr>
          <w:ilvl w:val="1"/>
          <w:numId w:val="17"/>
        </w:numPr>
      </w:pPr>
      <w:r w:rsidRPr="00144E99">
        <w:t xml:space="preserve">provide timely access to </w:t>
      </w:r>
      <w:r w:rsidR="00616A00" w:rsidRPr="00144E99">
        <w:t xml:space="preserve">Commonwealth funding and SRS </w:t>
      </w:r>
      <w:r w:rsidRPr="00144E99">
        <w:t>data to assist States and Territories to</w:t>
      </w:r>
      <w:r w:rsidR="007D3015" w:rsidRPr="00144E99">
        <w:t xml:space="preserve"> meet the requirements of section 22</w:t>
      </w:r>
      <w:r w:rsidR="00542DA6" w:rsidRPr="00144E99">
        <w:t xml:space="preserve">A </w:t>
      </w:r>
      <w:r w:rsidR="003F5540" w:rsidRPr="00144E99">
        <w:t>of the Act</w:t>
      </w:r>
    </w:p>
    <w:p w14:paraId="4F55847B" w14:textId="77777777" w:rsidR="00F21934" w:rsidRPr="00144E99" w:rsidRDefault="00E81937" w:rsidP="007A2455">
      <w:pPr>
        <w:numPr>
          <w:ilvl w:val="1"/>
          <w:numId w:val="17"/>
        </w:numPr>
      </w:pPr>
      <w:r w:rsidRPr="00144E99">
        <w:t>s</w:t>
      </w:r>
      <w:r w:rsidR="00696E87" w:rsidRPr="00144E99">
        <w:t xml:space="preserve">upport the non-government school sector to work with each State or Territory Government to </w:t>
      </w:r>
      <w:r w:rsidR="00F21934" w:rsidRPr="00144E99">
        <w:t>implement national policy initiatives under this Agreement</w:t>
      </w:r>
    </w:p>
    <w:p w14:paraId="1EC833C2" w14:textId="77777777" w:rsidR="003F5540" w:rsidRPr="00144E99" w:rsidRDefault="003F5540" w:rsidP="007A2455">
      <w:pPr>
        <w:numPr>
          <w:ilvl w:val="1"/>
          <w:numId w:val="17"/>
        </w:numPr>
      </w:pPr>
      <w:r w:rsidRPr="00144E99">
        <w:t>continue to monitor the non-government school sector’s compliance with the Act and the Regulation</w:t>
      </w:r>
    </w:p>
    <w:p w14:paraId="0176617D" w14:textId="77777777" w:rsidR="007B2D82" w:rsidRPr="00144E99" w:rsidRDefault="00F21934" w:rsidP="007A2455">
      <w:pPr>
        <w:numPr>
          <w:ilvl w:val="1"/>
          <w:numId w:val="17"/>
        </w:numPr>
      </w:pPr>
      <w:r w:rsidRPr="00144E99">
        <w:t>facilitate</w:t>
      </w:r>
      <w:r w:rsidR="00696E87" w:rsidRPr="00144E99">
        <w:t xml:space="preserve"> Australia’s international engagement on educational matters, including the international assessment programs of the </w:t>
      </w:r>
      <w:r w:rsidR="0020482F" w:rsidRPr="00144E99">
        <w:t>OECD</w:t>
      </w:r>
    </w:p>
    <w:p w14:paraId="35869AE1" w14:textId="77777777" w:rsidR="00696E87" w:rsidRPr="00144E99" w:rsidRDefault="007B2D82" w:rsidP="007A2455">
      <w:pPr>
        <w:numPr>
          <w:ilvl w:val="1"/>
          <w:numId w:val="17"/>
        </w:numPr>
      </w:pPr>
      <w:r w:rsidRPr="00144E99">
        <w:t xml:space="preserve">continue to lead </w:t>
      </w:r>
      <w:r w:rsidR="00784B57" w:rsidRPr="00144E99">
        <w:t xml:space="preserve">and meet milestones of the </w:t>
      </w:r>
      <w:r w:rsidR="00847BD9" w:rsidRPr="00144E99">
        <w:t xml:space="preserve">national policy initiatives </w:t>
      </w:r>
      <w:r w:rsidR="009416B4" w:rsidRPr="00144E99">
        <w:t>for which the Commonwealth has primary responsibility</w:t>
      </w:r>
      <w:r w:rsidR="00696E87" w:rsidRPr="00144E99">
        <w:t>.</w:t>
      </w:r>
    </w:p>
    <w:p w14:paraId="07F07280" w14:textId="77777777" w:rsidR="0014093F" w:rsidRPr="00144E99" w:rsidRDefault="0014093F" w:rsidP="00146A69">
      <w:pPr>
        <w:numPr>
          <w:ilvl w:val="0"/>
          <w:numId w:val="17"/>
        </w:numPr>
        <w:jc w:val="left"/>
      </w:pPr>
      <w:r w:rsidRPr="00144E99">
        <w:t xml:space="preserve">Where the Commonwealth proposes to take a compliance response in relation to a </w:t>
      </w:r>
      <w:r w:rsidR="00CB0FB1" w:rsidRPr="00144E99">
        <w:t>S</w:t>
      </w:r>
      <w:r w:rsidRPr="00144E99">
        <w:t xml:space="preserve">tate or </w:t>
      </w:r>
      <w:r w:rsidR="00CB0FB1" w:rsidRPr="00144E99">
        <w:t>T</w:t>
      </w:r>
      <w:r w:rsidRPr="00144E99">
        <w:t xml:space="preserve">erritory under the Act, the Commonwealth will ensure that the terms of that proposed response are provided to the </w:t>
      </w:r>
      <w:r w:rsidR="006A3976" w:rsidRPr="00144E99">
        <w:t>State or Territory</w:t>
      </w:r>
      <w:r w:rsidR="00E23F74" w:rsidRPr="00144E99">
        <w:t xml:space="preserve"> </w:t>
      </w:r>
      <w:r w:rsidRPr="00144E99">
        <w:t xml:space="preserve">concerned and the views of that </w:t>
      </w:r>
      <w:r w:rsidR="006A3976" w:rsidRPr="00144E99">
        <w:t>State or Territory</w:t>
      </w:r>
      <w:r w:rsidR="00E23F74" w:rsidRPr="00144E99">
        <w:t xml:space="preserve"> </w:t>
      </w:r>
      <w:r w:rsidRPr="00144E99">
        <w:t xml:space="preserve">are sought </w:t>
      </w:r>
      <w:r w:rsidR="00784B57" w:rsidRPr="00144E99">
        <w:t xml:space="preserve">and taken into consideration </w:t>
      </w:r>
      <w:r w:rsidRPr="00144E99">
        <w:t xml:space="preserve">prior to any final decision. </w:t>
      </w:r>
    </w:p>
    <w:p w14:paraId="2E653F64" w14:textId="39D08516" w:rsidR="009924BD" w:rsidRPr="00144E99" w:rsidRDefault="009924BD" w:rsidP="009924BD">
      <w:pPr>
        <w:pStyle w:val="Normalnumbered"/>
        <w:keepNext/>
        <w:numPr>
          <w:ilvl w:val="0"/>
          <w:numId w:val="17"/>
        </w:numPr>
        <w:jc w:val="left"/>
        <w:rPr>
          <w:rFonts w:ascii="Corbel" w:hAnsi="Corbel"/>
        </w:rPr>
      </w:pPr>
      <w:r>
        <w:rPr>
          <w:rFonts w:ascii="Corbel" w:hAnsi="Corbel"/>
        </w:rPr>
        <w:t>The Australian Government has established a National School Resourcing Board to provide greater independent oversight over Commonwealth school funding and the operation of the Act. The Act provides a legislative relationship with the Commonwealth. Given the significance to all jurisdictions of the advice provided by the Board, the Board will consult with the COAG Education Council, in addition to requirements for consultation with states and territories in undertaking each review.</w:t>
      </w:r>
    </w:p>
    <w:p w14:paraId="7D3D9D37" w14:textId="77777777" w:rsidR="007C49FF" w:rsidRPr="00144E99" w:rsidRDefault="00556344" w:rsidP="00146A69">
      <w:pPr>
        <w:numPr>
          <w:ilvl w:val="0"/>
          <w:numId w:val="17"/>
        </w:numPr>
        <w:jc w:val="left"/>
      </w:pPr>
      <w:r w:rsidRPr="00144E99">
        <w:t xml:space="preserve">In the event of a change to any of the following components of the SRS arising as a direct result of amendments to the Act or Regulation after January 2018, the Commonwealth will ensure State and Territory </w:t>
      </w:r>
      <w:r w:rsidR="006A3976" w:rsidRPr="00144E99">
        <w:t>shares</w:t>
      </w:r>
      <w:r w:rsidRPr="00144E99">
        <w:t xml:space="preserve"> under section 22A of the Act and agreed in </w:t>
      </w:r>
      <w:r w:rsidR="00974B9F" w:rsidRPr="00144E99">
        <w:t xml:space="preserve">Schedule </w:t>
      </w:r>
      <w:r w:rsidR="00AC4BC7" w:rsidRPr="00144E99">
        <w:t>E</w:t>
      </w:r>
      <w:r w:rsidRPr="00144E99">
        <w:t xml:space="preserve"> will not be impacted</w:t>
      </w:r>
      <w:r w:rsidR="00C14A75" w:rsidRPr="00144E99">
        <w:t xml:space="preserve"> by the following</w:t>
      </w:r>
      <w:r w:rsidRPr="00144E99">
        <w:t>, unless otherwise agreed:</w:t>
      </w:r>
    </w:p>
    <w:p w14:paraId="3FC54888" w14:textId="77777777" w:rsidR="000F0348" w:rsidRPr="00144E99" w:rsidRDefault="000F0348" w:rsidP="007A2455">
      <w:pPr>
        <w:numPr>
          <w:ilvl w:val="1"/>
          <w:numId w:val="17"/>
        </w:numPr>
      </w:pPr>
      <w:r w:rsidRPr="00144E99">
        <w:lastRenderedPageBreak/>
        <w:t>the SRS indexation factor (see section 11A of the Act);</w:t>
      </w:r>
    </w:p>
    <w:p w14:paraId="0E7C657F" w14:textId="77777777" w:rsidR="000F0348" w:rsidRPr="00144E99" w:rsidRDefault="000F0348" w:rsidP="007A2455">
      <w:pPr>
        <w:numPr>
          <w:ilvl w:val="1"/>
          <w:numId w:val="17"/>
        </w:numPr>
      </w:pPr>
      <w:r w:rsidRPr="00144E99">
        <w:t>the SRS</w:t>
      </w:r>
      <w:r w:rsidR="00931408" w:rsidRPr="00144E99">
        <w:t xml:space="preserve"> base and</w:t>
      </w:r>
      <w:r w:rsidRPr="00144E99">
        <w:t xml:space="preserve"> funding amounts (see section </w:t>
      </w:r>
      <w:r w:rsidR="00931408" w:rsidRPr="00144E99">
        <w:t xml:space="preserve">33 and </w:t>
      </w:r>
      <w:r w:rsidRPr="00144E99">
        <w:t>34 of the Act);</w:t>
      </w:r>
    </w:p>
    <w:p w14:paraId="554E75AE" w14:textId="77777777" w:rsidR="000F0348" w:rsidRPr="00144E99" w:rsidRDefault="000F0348" w:rsidP="007A2455">
      <w:pPr>
        <w:numPr>
          <w:ilvl w:val="1"/>
          <w:numId w:val="17"/>
        </w:numPr>
      </w:pPr>
      <w:r w:rsidRPr="00144E99">
        <w:t xml:space="preserve">the Commonwealth’s </w:t>
      </w:r>
      <w:r w:rsidR="00556344" w:rsidRPr="00144E99">
        <w:t>and states</w:t>
      </w:r>
      <w:r w:rsidR="00213A5D" w:rsidRPr="00144E99">
        <w:t>’</w:t>
      </w:r>
      <w:r w:rsidR="00556344" w:rsidRPr="00144E99">
        <w:t xml:space="preserve"> annual </w:t>
      </w:r>
      <w:r w:rsidRPr="00144E99">
        <w:t>share</w:t>
      </w:r>
      <w:r w:rsidR="00556344" w:rsidRPr="00144E99">
        <w:t>s</w:t>
      </w:r>
      <w:r w:rsidRPr="00144E99">
        <w:t xml:space="preserve"> (see section 35A </w:t>
      </w:r>
      <w:r w:rsidR="00D5254A" w:rsidRPr="00144E99">
        <w:t xml:space="preserve">and 22A </w:t>
      </w:r>
      <w:r w:rsidRPr="00144E99">
        <w:t>of the Act);</w:t>
      </w:r>
    </w:p>
    <w:p w14:paraId="3E05650F" w14:textId="77777777" w:rsidR="000F0348" w:rsidRPr="00144E99" w:rsidRDefault="000F0348" w:rsidP="007A2455">
      <w:pPr>
        <w:numPr>
          <w:ilvl w:val="1"/>
          <w:numId w:val="17"/>
        </w:numPr>
      </w:pPr>
      <w:r w:rsidRPr="00144E99">
        <w:t>the student with disability loading (see section 36 of the Act);</w:t>
      </w:r>
    </w:p>
    <w:p w14:paraId="7002C9E9" w14:textId="77777777" w:rsidR="00EA6DC6" w:rsidRPr="00144E99" w:rsidRDefault="001D780B" w:rsidP="007A2455">
      <w:pPr>
        <w:numPr>
          <w:ilvl w:val="1"/>
          <w:numId w:val="17"/>
        </w:numPr>
      </w:pPr>
      <w:r w:rsidRPr="00144E99">
        <w:t xml:space="preserve">the </w:t>
      </w:r>
      <w:r w:rsidR="00EA6DC6" w:rsidRPr="00144E99">
        <w:t xml:space="preserve">Aboriginal and Torres Strait Islander loading </w:t>
      </w:r>
      <w:r w:rsidRPr="00144E99">
        <w:t>(</w:t>
      </w:r>
      <w:r w:rsidR="00EA6DC6" w:rsidRPr="00144E99">
        <w:t>see section 37 of the Act);</w:t>
      </w:r>
    </w:p>
    <w:p w14:paraId="3608EB34" w14:textId="77777777" w:rsidR="000F0348" w:rsidRPr="00144E99" w:rsidRDefault="000F0348" w:rsidP="007A2455">
      <w:pPr>
        <w:numPr>
          <w:ilvl w:val="1"/>
          <w:numId w:val="17"/>
        </w:numPr>
      </w:pPr>
      <w:r w:rsidRPr="00144E99">
        <w:t>the socio-educational disadvantage loading (see section 38 of the Act);</w:t>
      </w:r>
    </w:p>
    <w:p w14:paraId="0F33F19A" w14:textId="77777777" w:rsidR="000F0348" w:rsidRPr="00144E99" w:rsidRDefault="000F0348" w:rsidP="007A2455">
      <w:pPr>
        <w:numPr>
          <w:ilvl w:val="1"/>
          <w:numId w:val="17"/>
        </w:numPr>
      </w:pPr>
      <w:r w:rsidRPr="00144E99">
        <w:t>the low English proficiency loading (see section 39 of the Act);</w:t>
      </w:r>
    </w:p>
    <w:p w14:paraId="56C84DE7" w14:textId="77777777" w:rsidR="000F0348" w:rsidRPr="00144E99" w:rsidRDefault="000F0348" w:rsidP="007A2455">
      <w:pPr>
        <w:numPr>
          <w:ilvl w:val="1"/>
          <w:numId w:val="17"/>
        </w:numPr>
      </w:pPr>
      <w:r w:rsidRPr="00144E99">
        <w:t>the location loading (see section 40 and 41 of the and Act);</w:t>
      </w:r>
    </w:p>
    <w:p w14:paraId="5D617028" w14:textId="4B052EE9" w:rsidR="000F0348" w:rsidRPr="00144E99" w:rsidRDefault="000F0348" w:rsidP="007A2455">
      <w:pPr>
        <w:numPr>
          <w:ilvl w:val="1"/>
          <w:numId w:val="17"/>
        </w:numPr>
      </w:pPr>
      <w:r w:rsidRPr="00144E99">
        <w:t>the size loading (see section 42 – 51 of the Act);</w:t>
      </w:r>
      <w:r w:rsidR="0084489A">
        <w:t xml:space="preserve"> and</w:t>
      </w:r>
    </w:p>
    <w:p w14:paraId="7E18952E" w14:textId="77777777" w:rsidR="004E02DC" w:rsidRPr="00144E99" w:rsidRDefault="004E02DC" w:rsidP="007A2455">
      <w:pPr>
        <w:numPr>
          <w:ilvl w:val="1"/>
          <w:numId w:val="17"/>
        </w:numPr>
      </w:pPr>
      <w:r w:rsidRPr="00144E99">
        <w:t xml:space="preserve">the methodology for calculation of </w:t>
      </w:r>
      <w:r w:rsidR="000D7D90" w:rsidRPr="00144E99">
        <w:t xml:space="preserve">SES </w:t>
      </w:r>
      <w:r w:rsidRPr="00144E99">
        <w:t>scores and capacity to contribute settings (see section 23 of the Regulation</w:t>
      </w:r>
      <w:r w:rsidR="00D5254A" w:rsidRPr="00144E99">
        <w:t xml:space="preserve"> and section 54 of the Act</w:t>
      </w:r>
      <w:r w:rsidRPr="00144E99">
        <w:t>).</w:t>
      </w:r>
    </w:p>
    <w:p w14:paraId="10200012" w14:textId="77777777" w:rsidR="00C9534E" w:rsidRPr="00144E99" w:rsidRDefault="00ED1FBD" w:rsidP="00A25B1D">
      <w:pPr>
        <w:numPr>
          <w:ilvl w:val="0"/>
          <w:numId w:val="17"/>
        </w:numPr>
        <w:jc w:val="left"/>
      </w:pPr>
      <w:r w:rsidRPr="00144E99">
        <w:t>The Commonwealth will provide an annual report</w:t>
      </w:r>
      <w:r w:rsidR="00ED41D7" w:rsidRPr="00144E99">
        <w:t xml:space="preserve"> to</w:t>
      </w:r>
      <w:r w:rsidRPr="00144E99">
        <w:t xml:space="preserve"> </w:t>
      </w:r>
      <w:r w:rsidR="0049788C" w:rsidRPr="00144E99">
        <w:t xml:space="preserve">the Federal Parliament </w:t>
      </w:r>
      <w:r w:rsidRPr="00144E99">
        <w:t xml:space="preserve">on </w:t>
      </w:r>
      <w:r w:rsidR="00933538" w:rsidRPr="00144E99">
        <w:t>Commonwealth</w:t>
      </w:r>
      <w:r w:rsidRPr="00144E99">
        <w:t xml:space="preserve"> funding for government and non-government approved authorities as required under section 127 of the Act. </w:t>
      </w:r>
    </w:p>
    <w:p w14:paraId="36AF7DD8" w14:textId="77777777" w:rsidR="0019717E" w:rsidRPr="00144E99" w:rsidRDefault="000D3BB1" w:rsidP="007805DB">
      <w:pPr>
        <w:pStyle w:val="Heading2"/>
      </w:pPr>
      <w:bookmarkStart w:id="61" w:name="_Toc525144608"/>
      <w:bookmarkStart w:id="62" w:name="_Toc525030957"/>
      <w:r w:rsidRPr="00144E99">
        <w:t xml:space="preserve">Responsibilities </w:t>
      </w:r>
      <w:r w:rsidR="0019717E" w:rsidRPr="00144E99">
        <w:t>of the States and Territories</w:t>
      </w:r>
      <w:bookmarkEnd w:id="60"/>
      <w:bookmarkEnd w:id="61"/>
      <w:bookmarkEnd w:id="62"/>
    </w:p>
    <w:p w14:paraId="057B9001" w14:textId="77777777" w:rsidR="00DB700E" w:rsidRPr="00144E99" w:rsidRDefault="00DB700E" w:rsidP="00146A69">
      <w:pPr>
        <w:numPr>
          <w:ilvl w:val="0"/>
          <w:numId w:val="17"/>
        </w:numPr>
        <w:jc w:val="left"/>
      </w:pPr>
      <w:r w:rsidRPr="00144E99">
        <w:t>States and Territories are</w:t>
      </w:r>
      <w:r w:rsidR="001B4A90" w:rsidRPr="00144E99">
        <w:t xml:space="preserve"> </w:t>
      </w:r>
      <w:r w:rsidR="005A1A4A" w:rsidRPr="00144E99">
        <w:t>responsibl</w:t>
      </w:r>
      <w:r w:rsidRPr="00144E99">
        <w:t>e</w:t>
      </w:r>
      <w:r w:rsidR="005A1A4A" w:rsidRPr="00144E99">
        <w:t xml:space="preserve"> for</w:t>
      </w:r>
      <w:r w:rsidR="001B4A90" w:rsidRPr="00144E99">
        <w:t xml:space="preserve"> schooling in their </w:t>
      </w:r>
      <w:r w:rsidR="005A1A4A" w:rsidRPr="00144E99">
        <w:t>S</w:t>
      </w:r>
      <w:r w:rsidR="001B4A90" w:rsidRPr="00144E99">
        <w:t xml:space="preserve">tate or </w:t>
      </w:r>
      <w:r w:rsidR="005A1A4A" w:rsidRPr="00144E99">
        <w:t>T</w:t>
      </w:r>
      <w:r w:rsidR="001B4A90" w:rsidRPr="00144E99">
        <w:t>erritory, including</w:t>
      </w:r>
      <w:r w:rsidR="005A1A4A" w:rsidRPr="00144E99">
        <w:t xml:space="preserve"> </w:t>
      </w:r>
      <w:r w:rsidRPr="00144E99">
        <w:t>the regulatory framework for all schools</w:t>
      </w:r>
      <w:r w:rsidR="00361E4D" w:rsidRPr="00144E99">
        <w:t>. States and Territories are also responsible for d</w:t>
      </w:r>
      <w:r w:rsidR="005A1A4A" w:rsidRPr="00144E99">
        <w:t xml:space="preserve">eveloping policy, delivering services, monitoring and </w:t>
      </w:r>
      <w:r w:rsidRPr="00144E99">
        <w:t xml:space="preserve">reporting on </w:t>
      </w:r>
      <w:r w:rsidR="005A1A4A" w:rsidRPr="00144E99">
        <w:t xml:space="preserve">performance and the employment </w:t>
      </w:r>
      <w:r w:rsidRPr="00144E99">
        <w:t xml:space="preserve">conditions </w:t>
      </w:r>
      <w:r w:rsidR="005A1A4A" w:rsidRPr="00144E99">
        <w:t xml:space="preserve">of teachers in the government school sector. </w:t>
      </w:r>
    </w:p>
    <w:p w14:paraId="7050233E" w14:textId="77777777" w:rsidR="005E32DD" w:rsidRPr="00144E99" w:rsidRDefault="005A1A4A" w:rsidP="00146A69">
      <w:pPr>
        <w:numPr>
          <w:ilvl w:val="0"/>
          <w:numId w:val="17"/>
        </w:numPr>
        <w:jc w:val="left"/>
      </w:pPr>
      <w:r w:rsidRPr="00144E99">
        <w:t>In this context, States and Territories will</w:t>
      </w:r>
      <w:r w:rsidR="00BC6DAE" w:rsidRPr="00144E99">
        <w:t xml:space="preserve">: </w:t>
      </w:r>
    </w:p>
    <w:p w14:paraId="4D64FA28" w14:textId="77777777" w:rsidR="00AB3D15" w:rsidRPr="00144E99" w:rsidRDefault="00745005" w:rsidP="007A2455">
      <w:pPr>
        <w:numPr>
          <w:ilvl w:val="1"/>
          <w:numId w:val="17"/>
        </w:numPr>
      </w:pPr>
      <w:r w:rsidRPr="00144E99">
        <w:t>deliver</w:t>
      </w:r>
      <w:r w:rsidR="00AB3D15" w:rsidRPr="00144E99">
        <w:t xml:space="preserve"> </w:t>
      </w:r>
      <w:r w:rsidR="00E07382" w:rsidRPr="00144E99">
        <w:t>state</w:t>
      </w:r>
      <w:r w:rsidR="001D550A" w:rsidRPr="00144E99">
        <w:t>-</w:t>
      </w:r>
      <w:r w:rsidR="00E07382" w:rsidRPr="00144E99">
        <w:t xml:space="preserve">specific reform initiatives, including actions to support the implementation of agreed </w:t>
      </w:r>
      <w:r w:rsidR="00AB3D15" w:rsidRPr="00144E99">
        <w:t>national policy initiatives</w:t>
      </w:r>
      <w:r w:rsidR="00E07382" w:rsidRPr="00144E99">
        <w:t>,</w:t>
      </w:r>
      <w:r w:rsidR="00AB3D15" w:rsidRPr="00144E99">
        <w:t xml:space="preserve"> as agreed in bilateral agreements</w:t>
      </w:r>
      <w:r w:rsidRPr="00144E99">
        <w:t>, and monitor progress of state-specific reform implementation and report against agreed milestones</w:t>
      </w:r>
      <w:r w:rsidR="00AB3D15" w:rsidRPr="00144E99">
        <w:t xml:space="preserve"> </w:t>
      </w:r>
    </w:p>
    <w:p w14:paraId="35DDBB74" w14:textId="77777777" w:rsidR="00082FE3" w:rsidRPr="00144E99" w:rsidRDefault="00082FE3" w:rsidP="007A2455">
      <w:pPr>
        <w:numPr>
          <w:ilvl w:val="1"/>
          <w:numId w:val="17"/>
        </w:numPr>
      </w:pPr>
      <w:r w:rsidRPr="00144E99">
        <w:t xml:space="preserve">work with the Commonwealth to </w:t>
      </w:r>
      <w:r w:rsidR="00213A5D" w:rsidRPr="00144E99">
        <w:t xml:space="preserve">encourage </w:t>
      </w:r>
      <w:r w:rsidRPr="00144E99">
        <w:t xml:space="preserve">participation </w:t>
      </w:r>
      <w:r w:rsidR="00721077" w:rsidRPr="00144E99">
        <w:t xml:space="preserve">of </w:t>
      </w:r>
      <w:r w:rsidR="00F15C58" w:rsidRPr="00144E99">
        <w:t xml:space="preserve">the </w:t>
      </w:r>
      <w:r w:rsidR="00721077" w:rsidRPr="00144E99">
        <w:t>non-government school</w:t>
      </w:r>
      <w:r w:rsidR="00F15C58" w:rsidRPr="00144E99">
        <w:t xml:space="preserve"> sector</w:t>
      </w:r>
      <w:r w:rsidR="00721077" w:rsidRPr="00144E99">
        <w:t xml:space="preserve"> </w:t>
      </w:r>
      <w:r w:rsidRPr="00144E99">
        <w:t>in relevant aspects of this Agreement</w:t>
      </w:r>
    </w:p>
    <w:p w14:paraId="166D32B3" w14:textId="77777777" w:rsidR="005E3C16" w:rsidRPr="00144E99" w:rsidRDefault="00E23F74" w:rsidP="007A2455">
      <w:pPr>
        <w:numPr>
          <w:ilvl w:val="1"/>
          <w:numId w:val="17"/>
        </w:numPr>
      </w:pPr>
      <w:r w:rsidRPr="00144E99">
        <w:t>cooperate</w:t>
      </w:r>
      <w:r w:rsidR="006A5831" w:rsidRPr="00144E99">
        <w:t xml:space="preserve"> with</w:t>
      </w:r>
      <w:r w:rsidRPr="00144E99">
        <w:t xml:space="preserve"> </w:t>
      </w:r>
      <w:r w:rsidR="005E3C16" w:rsidRPr="00144E99">
        <w:t>the non-government school sector in their</w:t>
      </w:r>
      <w:r w:rsidR="00AB01DC" w:rsidRPr="00144E99">
        <w:t xml:space="preserve"> jurisdiction</w:t>
      </w:r>
      <w:r w:rsidR="005E70D6" w:rsidRPr="00144E99">
        <w:t xml:space="preserve"> </w:t>
      </w:r>
      <w:r w:rsidR="00F21934" w:rsidRPr="00144E99">
        <w:t>in</w:t>
      </w:r>
      <w:r w:rsidR="00AB01DC" w:rsidRPr="00144E99">
        <w:t xml:space="preserve"> </w:t>
      </w:r>
      <w:r w:rsidR="005E3C16" w:rsidRPr="00144E99">
        <w:t xml:space="preserve">implementation of </w:t>
      </w:r>
      <w:r w:rsidR="00F21934" w:rsidRPr="00144E99">
        <w:t xml:space="preserve">national policy </w:t>
      </w:r>
      <w:r w:rsidR="00693EFF" w:rsidRPr="00144E99">
        <w:t xml:space="preserve">initiatives </w:t>
      </w:r>
      <w:r w:rsidR="0040305B" w:rsidRPr="00144E99">
        <w:t xml:space="preserve">as </w:t>
      </w:r>
      <w:r w:rsidR="005E3C16" w:rsidRPr="00144E99">
        <w:t>agreed in bilateral agreements</w:t>
      </w:r>
      <w:r w:rsidR="00C9534E" w:rsidRPr="00144E99">
        <w:t>, noting that States and Territories will not be held accountable for a failure of a non-government school or sector to implement</w:t>
      </w:r>
      <w:r w:rsidR="001A6899" w:rsidRPr="00144E99">
        <w:t>, or report on,</w:t>
      </w:r>
      <w:r w:rsidR="00C9534E" w:rsidRPr="00144E99">
        <w:t xml:space="preserve"> national policy initiatives as agreed in bilateral agreements</w:t>
      </w:r>
    </w:p>
    <w:p w14:paraId="763EC388" w14:textId="77777777" w:rsidR="001D780B" w:rsidRPr="00144E99" w:rsidRDefault="001D780B" w:rsidP="007A2455">
      <w:pPr>
        <w:numPr>
          <w:ilvl w:val="1"/>
          <w:numId w:val="17"/>
        </w:numPr>
      </w:pPr>
      <w:r w:rsidRPr="00144E99">
        <w:t>engage with Aboriginal and Torres Strait Islander communities regarding the i</w:t>
      </w:r>
      <w:r w:rsidR="00A22F9F" w:rsidRPr="00144E99">
        <w:t xml:space="preserve">mplementation of </w:t>
      </w:r>
      <w:r w:rsidR="00F32F51" w:rsidRPr="00144E99">
        <w:t xml:space="preserve">national </w:t>
      </w:r>
      <w:r w:rsidR="00931408" w:rsidRPr="00144E99">
        <w:t>and state-specific reform</w:t>
      </w:r>
      <w:r w:rsidR="00F32F51" w:rsidRPr="00144E99">
        <w:t xml:space="preserve"> initiatives</w:t>
      </w:r>
      <w:r w:rsidR="00DE008B" w:rsidRPr="00144E99">
        <w:t>,</w:t>
      </w:r>
      <w:r w:rsidR="00C9534E" w:rsidRPr="00144E99">
        <w:t xml:space="preserve"> as appropriate</w:t>
      </w:r>
      <w:r w:rsidR="003F0975" w:rsidRPr="00144E99">
        <w:t xml:space="preserve"> </w:t>
      </w:r>
    </w:p>
    <w:p w14:paraId="60E035AF" w14:textId="77777777" w:rsidR="00AB3D15" w:rsidRPr="00144E99" w:rsidRDefault="0019717E" w:rsidP="007A2455">
      <w:pPr>
        <w:numPr>
          <w:ilvl w:val="1"/>
          <w:numId w:val="17"/>
        </w:numPr>
      </w:pPr>
      <w:r w:rsidRPr="00144E99">
        <w:t>provid</w:t>
      </w:r>
      <w:r w:rsidR="00496D1B" w:rsidRPr="00144E99">
        <w:t>e</w:t>
      </w:r>
      <w:r w:rsidRPr="00144E99">
        <w:t xml:space="preserve"> financial and student data from government systems to the relevant national education body and ensur</w:t>
      </w:r>
      <w:r w:rsidR="00496D1B" w:rsidRPr="00144E99">
        <w:t>e</w:t>
      </w:r>
      <w:r w:rsidRPr="00144E99">
        <w:t xml:space="preserve"> that it is of the quality </w:t>
      </w:r>
      <w:r w:rsidR="000F6F6A" w:rsidRPr="00144E99">
        <w:t xml:space="preserve">and within the timelines </w:t>
      </w:r>
      <w:r w:rsidRPr="00144E99">
        <w:t>agreed by the</w:t>
      </w:r>
      <w:r w:rsidR="001A6899" w:rsidRPr="00144E99">
        <w:t xml:space="preserve"> Education</w:t>
      </w:r>
      <w:r w:rsidR="00FF1F9E" w:rsidRPr="00144E99">
        <w:t xml:space="preserve"> </w:t>
      </w:r>
      <w:r w:rsidRPr="00144E99">
        <w:t>C</w:t>
      </w:r>
      <w:r w:rsidR="00E81937" w:rsidRPr="00144E99">
        <w:t>ouncil</w:t>
      </w:r>
      <w:r w:rsidR="001D780B" w:rsidRPr="00144E99">
        <w:t>.</w:t>
      </w:r>
    </w:p>
    <w:p w14:paraId="14786F64" w14:textId="77777777" w:rsidR="00736F22" w:rsidRPr="00144E99" w:rsidRDefault="00736F22" w:rsidP="00736F22">
      <w:pPr>
        <w:pStyle w:val="Heading1"/>
      </w:pPr>
      <w:bookmarkStart w:id="63" w:name="_Toc525144609"/>
      <w:bookmarkStart w:id="64" w:name="_Toc525030958"/>
      <w:r w:rsidRPr="00144E99">
        <w:lastRenderedPageBreak/>
        <w:t>PART 6 — ROLE OF THE NON-GOVERNMENT SECTOR</w:t>
      </w:r>
      <w:bookmarkEnd w:id="63"/>
      <w:bookmarkEnd w:id="64"/>
      <w:r w:rsidRPr="00144E99">
        <w:t xml:space="preserve"> </w:t>
      </w:r>
    </w:p>
    <w:p w14:paraId="6B56099F" w14:textId="77777777" w:rsidR="00736F22" w:rsidRPr="00144E99" w:rsidRDefault="00736F22" w:rsidP="00146A69">
      <w:pPr>
        <w:numPr>
          <w:ilvl w:val="0"/>
          <w:numId w:val="17"/>
        </w:numPr>
        <w:jc w:val="left"/>
        <w:rPr>
          <w:rFonts w:cs="Calibri"/>
        </w:rPr>
      </w:pPr>
      <w:r w:rsidRPr="00144E99">
        <w:t>Parties recognise that the participation of the non-government sector will be important in achieving progress against the reform directions outlined in this agreement.</w:t>
      </w:r>
    </w:p>
    <w:p w14:paraId="5EBBFEBD" w14:textId="14C937D5" w:rsidR="00736F22" w:rsidRPr="00144E99" w:rsidRDefault="00736F22" w:rsidP="00146A69">
      <w:pPr>
        <w:numPr>
          <w:ilvl w:val="0"/>
          <w:numId w:val="17"/>
        </w:numPr>
        <w:jc w:val="left"/>
        <w:rPr>
          <w:rFonts w:cs="Calibri"/>
        </w:rPr>
      </w:pPr>
      <w:r w:rsidRPr="00144E99">
        <w:t>T</w:t>
      </w:r>
      <w:r w:rsidRPr="00144E99">
        <w:rPr>
          <w:rFonts w:cs="Calibri"/>
        </w:rPr>
        <w:t>he Act sets out ongoing policy requirements for all approved authorities for the schools for which an authority is approved. These include requirements to implement the Australian Curriculum, participate in the national assessment program and provide information in accordance with the Regulation.</w:t>
      </w:r>
    </w:p>
    <w:p w14:paraId="6D287ABD" w14:textId="077233A7" w:rsidR="00736F22" w:rsidRPr="00144E99" w:rsidRDefault="00736F22" w:rsidP="00146A69">
      <w:pPr>
        <w:numPr>
          <w:ilvl w:val="0"/>
          <w:numId w:val="17"/>
        </w:numPr>
        <w:jc w:val="left"/>
        <w:rPr>
          <w:rFonts w:cs="Calibri"/>
        </w:rPr>
      </w:pPr>
      <w:r w:rsidRPr="00144E99">
        <w:t xml:space="preserve">In addition to these </w:t>
      </w:r>
      <w:r w:rsidRPr="00144E99">
        <w:rPr>
          <w:rFonts w:cs="Calibri"/>
        </w:rPr>
        <w:t xml:space="preserve">requirements, </w:t>
      </w:r>
      <w:r w:rsidR="00C653F7" w:rsidRPr="00144E99">
        <w:rPr>
          <w:rFonts w:cs="Calibri"/>
        </w:rPr>
        <w:t xml:space="preserve">under section 77 (2A) of the Act </w:t>
      </w:r>
      <w:r w:rsidRPr="00144E99">
        <w:rPr>
          <w:rFonts w:cs="Calibri"/>
        </w:rPr>
        <w:t xml:space="preserve">non-government approved authorities are required to cooperate with their local State or Territory government in the implementation of </w:t>
      </w:r>
      <w:r w:rsidRPr="00144E99">
        <w:t xml:space="preserve">this agreement and the relevant bilateral agreement at </w:t>
      </w:r>
      <w:r w:rsidR="00974B9F" w:rsidRPr="00144E99">
        <w:t xml:space="preserve">Schedule </w:t>
      </w:r>
      <w:r w:rsidR="00AC4BC7" w:rsidRPr="00144E99">
        <w:t>E</w:t>
      </w:r>
      <w:r w:rsidRPr="00144E99">
        <w:t xml:space="preserve">. </w:t>
      </w:r>
    </w:p>
    <w:p w14:paraId="44F99BF2" w14:textId="0426D94C" w:rsidR="00736F22" w:rsidRPr="00144E99" w:rsidRDefault="007E0833" w:rsidP="00146A69">
      <w:pPr>
        <w:numPr>
          <w:ilvl w:val="0"/>
          <w:numId w:val="17"/>
        </w:numPr>
        <w:jc w:val="left"/>
        <w:rPr>
          <w:rFonts w:cs="Calibri"/>
        </w:rPr>
      </w:pPr>
      <w:r w:rsidRPr="00144E99">
        <w:t>T</w:t>
      </w:r>
      <w:r w:rsidR="00736F22" w:rsidRPr="00144E99">
        <w:t xml:space="preserve">he Commonwealth provides funding to approved non-government representative bodies to support </w:t>
      </w:r>
      <w:r w:rsidR="00867A9F" w:rsidRPr="00144E99">
        <w:t>non-government</w:t>
      </w:r>
      <w:r w:rsidR="00736F22" w:rsidRPr="00144E99">
        <w:t xml:space="preserve"> schools in the implementation of these agreements. </w:t>
      </w:r>
    </w:p>
    <w:p w14:paraId="36E07359" w14:textId="14569906" w:rsidR="007E0833" w:rsidRPr="00144E99" w:rsidRDefault="00736F22" w:rsidP="007E0833">
      <w:pPr>
        <w:numPr>
          <w:ilvl w:val="0"/>
          <w:numId w:val="17"/>
        </w:numPr>
        <w:jc w:val="left"/>
        <w:rPr>
          <w:rFonts w:cs="Calibri"/>
        </w:rPr>
      </w:pPr>
      <w:r w:rsidRPr="00144E99">
        <w:rPr>
          <w:rFonts w:cs="Calibri"/>
        </w:rPr>
        <w:t xml:space="preserve">Non-government representative bodies are required to develop a work plan each year </w:t>
      </w:r>
      <w:r w:rsidR="007E0833" w:rsidRPr="00144E99">
        <w:rPr>
          <w:rFonts w:cs="Calibri"/>
        </w:rPr>
        <w:t xml:space="preserve">in consultation with the State or Territory and to be approved by the Commonwealth Minister. The work plan should </w:t>
      </w:r>
      <w:r w:rsidRPr="00144E99">
        <w:rPr>
          <w:rFonts w:cs="Calibri"/>
        </w:rPr>
        <w:t>align to the national reform directions</w:t>
      </w:r>
      <w:r w:rsidR="00E23F74" w:rsidRPr="00144E99">
        <w:rPr>
          <w:rFonts w:cs="Calibri"/>
        </w:rPr>
        <w:t xml:space="preserve"> and</w:t>
      </w:r>
      <w:r w:rsidR="007E0833" w:rsidRPr="00144E99">
        <w:rPr>
          <w:rFonts w:cs="Calibri"/>
        </w:rPr>
        <w:t xml:space="preserve"> include </w:t>
      </w:r>
      <w:r w:rsidR="00E23F74" w:rsidRPr="00144E99">
        <w:rPr>
          <w:rFonts w:cs="Calibri"/>
        </w:rPr>
        <w:t>non-government actions identified in the relevant bilateral agreement</w:t>
      </w:r>
      <w:r w:rsidRPr="00144E99">
        <w:rPr>
          <w:rFonts w:cs="Calibri"/>
        </w:rPr>
        <w:t>.</w:t>
      </w:r>
    </w:p>
    <w:p w14:paraId="5BB5EE67" w14:textId="01BFD0D2" w:rsidR="0074413D" w:rsidRPr="00144E99" w:rsidRDefault="007E0833" w:rsidP="007A2455">
      <w:pPr>
        <w:numPr>
          <w:ilvl w:val="0"/>
          <w:numId w:val="17"/>
        </w:numPr>
        <w:spacing w:after="0" w:line="240" w:lineRule="auto"/>
        <w:jc w:val="left"/>
        <w:rPr>
          <w:rFonts w:cs="Consolas"/>
          <w:b/>
          <w:caps/>
          <w:color w:val="316F72"/>
          <w:kern w:val="32"/>
          <w:sz w:val="32"/>
          <w:szCs w:val="32"/>
        </w:rPr>
      </w:pPr>
      <w:r w:rsidRPr="00144E99">
        <w:rPr>
          <w:rFonts w:cs="Calibri"/>
        </w:rPr>
        <w:t xml:space="preserve">Non-government representative bodies will be required to </w:t>
      </w:r>
      <w:r w:rsidR="00D26C3E" w:rsidRPr="00144E99">
        <w:rPr>
          <w:rFonts w:cs="Calibri"/>
        </w:rPr>
        <w:t xml:space="preserve">contribute to the State and Territory </w:t>
      </w:r>
      <w:r w:rsidRPr="00144E99">
        <w:rPr>
          <w:rFonts w:cs="Calibri"/>
        </w:rPr>
        <w:t>report</w:t>
      </w:r>
      <w:r w:rsidR="00D26C3E" w:rsidRPr="00144E99">
        <w:rPr>
          <w:rFonts w:cs="Calibri"/>
        </w:rPr>
        <w:t>s</w:t>
      </w:r>
      <w:r w:rsidRPr="00144E99">
        <w:rPr>
          <w:rFonts w:cs="Calibri"/>
        </w:rPr>
        <w:t xml:space="preserve"> </w:t>
      </w:r>
      <w:r w:rsidR="00D26C3E" w:rsidRPr="00144E99">
        <w:rPr>
          <w:rFonts w:cs="Calibri"/>
        </w:rPr>
        <w:t xml:space="preserve">to the Commonwealth </w:t>
      </w:r>
      <w:r w:rsidRPr="00144E99">
        <w:rPr>
          <w:rFonts w:cs="Calibri"/>
        </w:rPr>
        <w:t>on progress against milestones in the relevant bilateral agreement and report against the work plan to the Commonwealth.</w:t>
      </w:r>
      <w:r w:rsidR="0074413D" w:rsidRPr="00144E99">
        <w:br w:type="page"/>
      </w:r>
    </w:p>
    <w:p w14:paraId="690D4441" w14:textId="77777777" w:rsidR="002B694B" w:rsidRDefault="00BC0EE5" w:rsidP="001D7EF8">
      <w:pPr>
        <w:pStyle w:val="Heading1"/>
      </w:pPr>
      <w:bookmarkStart w:id="65" w:name="_Toc525144610"/>
      <w:bookmarkStart w:id="66" w:name="_Toc525030959"/>
      <w:r w:rsidRPr="00144E99">
        <w:lastRenderedPageBreak/>
        <w:t xml:space="preserve">PART </w:t>
      </w:r>
      <w:r w:rsidR="000F7EDB" w:rsidRPr="00144E99">
        <w:t>7</w:t>
      </w:r>
      <w:r w:rsidRPr="00144E99">
        <w:t xml:space="preserve"> — </w:t>
      </w:r>
      <w:r w:rsidR="00EB45E1" w:rsidRPr="00144E99">
        <w:t>SIGNATURES</w:t>
      </w:r>
      <w:bookmarkEnd w:id="65"/>
      <w:bookmarkEnd w:id="66"/>
      <w:r w:rsidR="00535D66" w:rsidRPr="00144E99">
        <w:t xml:space="preserve"> </w:t>
      </w:r>
      <w:bookmarkStart w:id="67" w:name="_Toc525144611"/>
      <w:bookmarkStart w:id="68" w:name="_Toc525030960"/>
      <w:bookmarkStart w:id="69" w:name="_Toc352229967"/>
    </w:p>
    <w:p w14:paraId="1E6B73D0" w14:textId="39E7E389" w:rsidR="002B694B" w:rsidRDefault="002B694B">
      <w:pPr>
        <w:spacing w:after="0" w:line="240" w:lineRule="auto"/>
        <w:jc w:val="left"/>
      </w:pPr>
      <w:r>
        <w:rPr>
          <w:noProof/>
        </w:rPr>
        <w:drawing>
          <wp:inline distT="0" distB="0" distL="0" distR="0" wp14:anchorId="621FF5DA" wp14:editId="79562026">
            <wp:extent cx="5505892" cy="7468235"/>
            <wp:effectExtent l="0" t="0" r="0" b="0"/>
            <wp:docPr id="8" name="Picture 8" descr="Signature of the Honourable Scott Morrison MP, Prime Minister of Australia. Signature of the Honourable Steven Marshall MP, Premier of South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ignature of the Honourable Scott Morrison MP, Prime Minister of Australia. Signature of the Honourable Steven Marshall MP, Premier of South Australia."/>
                    <pic:cNvPicPr/>
                  </pic:nvPicPr>
                  <pic:blipFill rotWithShape="1">
                    <a:blip r:embed="rId12">
                      <a:extLst>
                        <a:ext uri="{28A0092B-C50C-407E-A947-70E740481C1C}">
                          <a14:useLocalDpi xmlns:a14="http://schemas.microsoft.com/office/drawing/2010/main" val="0"/>
                        </a:ext>
                      </a:extLst>
                    </a:blip>
                    <a:srcRect t="5541"/>
                    <a:stretch/>
                  </pic:blipFill>
                  <pic:spPr bwMode="auto">
                    <a:xfrm>
                      <a:off x="0" y="0"/>
                      <a:ext cx="5506218" cy="7468677"/>
                    </a:xfrm>
                    <a:prstGeom prst="rect">
                      <a:avLst/>
                    </a:prstGeom>
                    <a:ln>
                      <a:noFill/>
                    </a:ln>
                    <a:extLst>
                      <a:ext uri="{53640926-AAD7-44D8-BBD7-CCE9431645EC}">
                        <a14:shadowObscured xmlns:a14="http://schemas.microsoft.com/office/drawing/2010/main"/>
                      </a:ext>
                    </a:extLst>
                  </pic:spPr>
                </pic:pic>
              </a:graphicData>
            </a:graphic>
          </wp:inline>
        </w:drawing>
      </w:r>
    </w:p>
    <w:p w14:paraId="1010C85A" w14:textId="39B67AB9" w:rsidR="002B694B" w:rsidRDefault="002B694B">
      <w:pPr>
        <w:spacing w:after="0" w:line="240" w:lineRule="auto"/>
        <w:jc w:val="left"/>
      </w:pPr>
    </w:p>
    <w:p w14:paraId="710B2338" w14:textId="77777777" w:rsidR="002B694B" w:rsidRDefault="002B694B">
      <w:pPr>
        <w:spacing w:after="0" w:line="240" w:lineRule="auto"/>
        <w:jc w:val="left"/>
        <w:sectPr w:rsidR="002B694B" w:rsidSect="002B694B">
          <w:headerReference w:type="default" r:id="rId13"/>
          <w:footerReference w:type="default" r:id="rId14"/>
          <w:footerReference w:type="first" r:id="rId15"/>
          <w:pgSz w:w="11906" w:h="16838"/>
          <w:pgMar w:top="1440" w:right="1134" w:bottom="1440" w:left="993" w:header="708" w:footer="708" w:gutter="0"/>
          <w:cols w:space="708"/>
          <w:titlePg/>
          <w:docGrid w:linePitch="360"/>
        </w:sectPr>
      </w:pPr>
    </w:p>
    <w:p w14:paraId="288EEE30" w14:textId="116BD65B" w:rsidR="002B694B" w:rsidRDefault="002B694B">
      <w:pPr>
        <w:spacing w:after="0" w:line="240" w:lineRule="auto"/>
        <w:jc w:val="left"/>
      </w:pPr>
    </w:p>
    <w:p w14:paraId="23DC9BAE" w14:textId="77777777" w:rsidR="002B694B" w:rsidRDefault="002B694B">
      <w:pPr>
        <w:spacing w:after="0" w:line="240" w:lineRule="auto"/>
        <w:jc w:val="left"/>
        <w:rPr>
          <w:rFonts w:cs="Consolas"/>
          <w:b/>
          <w:caps/>
          <w:color w:val="316F72"/>
          <w:kern w:val="32"/>
          <w:sz w:val="32"/>
          <w:szCs w:val="32"/>
        </w:rPr>
      </w:pPr>
    </w:p>
    <w:p w14:paraId="5D6879E3" w14:textId="77777777" w:rsidR="00B9327B" w:rsidRDefault="002B694B">
      <w:pPr>
        <w:spacing w:after="0" w:line="240" w:lineRule="auto"/>
        <w:jc w:val="left"/>
        <w:rPr>
          <w:rFonts w:cs="Consolas"/>
          <w:b/>
          <w:caps/>
          <w:color w:val="316F72"/>
          <w:kern w:val="32"/>
          <w:sz w:val="32"/>
          <w:szCs w:val="32"/>
        </w:rPr>
        <w:sectPr w:rsidR="00B9327B" w:rsidSect="002B694B">
          <w:footerReference w:type="default" r:id="rId16"/>
          <w:footerReference w:type="first" r:id="rId17"/>
          <w:pgSz w:w="11906" w:h="16838"/>
          <w:pgMar w:top="1440" w:right="1134" w:bottom="1440" w:left="993" w:header="708" w:footer="708" w:gutter="0"/>
          <w:pgNumType w:start="15"/>
          <w:cols w:space="708"/>
          <w:titlePg/>
          <w:docGrid w:linePitch="360"/>
        </w:sectPr>
      </w:pPr>
      <w:r>
        <w:rPr>
          <w:noProof/>
        </w:rPr>
        <w:drawing>
          <wp:inline distT="0" distB="0" distL="0" distR="0" wp14:anchorId="11EE24DC" wp14:editId="328454B5">
            <wp:extent cx="5506218" cy="7611537"/>
            <wp:effectExtent l="0" t="0" r="0" b="8890"/>
            <wp:docPr id="9" name="Picture 9" descr="Signature of the Honourable Scott Morrison MP, Prime Minister of Australia. Signature of the Honourable Gladys Berejiklian MP, Premier of New South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ignature of the Honourable Scott Morrison MP, Prime Minister of Australia. Signature of the Honourable Gladys Berejiklian MP, Premier of New South Wales."/>
                    <pic:cNvPicPr/>
                  </pic:nvPicPr>
                  <pic:blipFill>
                    <a:blip r:embed="rId18">
                      <a:extLst>
                        <a:ext uri="{28A0092B-C50C-407E-A947-70E740481C1C}">
                          <a14:useLocalDpi xmlns:a14="http://schemas.microsoft.com/office/drawing/2010/main" val="0"/>
                        </a:ext>
                      </a:extLst>
                    </a:blip>
                    <a:stretch>
                      <a:fillRect/>
                    </a:stretch>
                  </pic:blipFill>
                  <pic:spPr>
                    <a:xfrm>
                      <a:off x="0" y="0"/>
                      <a:ext cx="5506218" cy="7611537"/>
                    </a:xfrm>
                    <a:prstGeom prst="rect">
                      <a:avLst/>
                    </a:prstGeom>
                  </pic:spPr>
                </pic:pic>
              </a:graphicData>
            </a:graphic>
          </wp:inline>
        </w:drawing>
      </w:r>
    </w:p>
    <w:p w14:paraId="62337FDC" w14:textId="00732BEB" w:rsidR="002B694B" w:rsidRDefault="002B694B">
      <w:pPr>
        <w:spacing w:after="0" w:line="240" w:lineRule="auto"/>
        <w:jc w:val="left"/>
        <w:rPr>
          <w:rFonts w:cs="Consolas"/>
          <w:b/>
          <w:caps/>
          <w:color w:val="316F72"/>
          <w:kern w:val="32"/>
          <w:sz w:val="32"/>
          <w:szCs w:val="32"/>
        </w:rPr>
      </w:pPr>
    </w:p>
    <w:p w14:paraId="0DBF790C" w14:textId="77777777" w:rsidR="00634318" w:rsidRDefault="009F4E91">
      <w:pPr>
        <w:spacing w:after="0" w:line="240" w:lineRule="auto"/>
        <w:jc w:val="left"/>
        <w:rPr>
          <w:rFonts w:cs="Consolas"/>
          <w:b/>
          <w:caps/>
          <w:color w:val="316F72"/>
          <w:kern w:val="32"/>
          <w:sz w:val="32"/>
          <w:szCs w:val="32"/>
        </w:rPr>
        <w:sectPr w:rsidR="00634318" w:rsidSect="002B694B">
          <w:pgSz w:w="11906" w:h="16838"/>
          <w:pgMar w:top="1440" w:right="1134" w:bottom="1440" w:left="993" w:header="708" w:footer="708" w:gutter="0"/>
          <w:pgNumType w:start="15"/>
          <w:cols w:space="708"/>
          <w:titlePg/>
          <w:docGrid w:linePitch="360"/>
        </w:sectPr>
      </w:pPr>
      <w:r>
        <w:rPr>
          <w:noProof/>
        </w:rPr>
        <w:drawing>
          <wp:inline distT="0" distB="0" distL="0" distR="0" wp14:anchorId="50D84DA9" wp14:editId="1983CF94">
            <wp:extent cx="5467350" cy="7734300"/>
            <wp:effectExtent l="0" t="0" r="0" b="0"/>
            <wp:docPr id="1" name="Picture 1" descr="Signature of the Honourable Scott Morrison MP, Prime Minister of Australia. Signature of the Honourable Mark McGowan MP, Premier of Wester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 of the Honourable Scott Morrison MP, Prime Minister of Australia. Signature of the Honourable Mark McGowan MP, Premier of Western Australia."/>
                    <pic:cNvPicPr/>
                  </pic:nvPicPr>
                  <pic:blipFill>
                    <a:blip r:embed="rId19"/>
                    <a:stretch>
                      <a:fillRect/>
                    </a:stretch>
                  </pic:blipFill>
                  <pic:spPr>
                    <a:xfrm>
                      <a:off x="0" y="0"/>
                      <a:ext cx="5467350" cy="7734300"/>
                    </a:xfrm>
                    <a:prstGeom prst="rect">
                      <a:avLst/>
                    </a:prstGeom>
                  </pic:spPr>
                </pic:pic>
              </a:graphicData>
            </a:graphic>
          </wp:inline>
        </w:drawing>
      </w:r>
    </w:p>
    <w:p w14:paraId="55D58024" w14:textId="77777777" w:rsidR="001A6705" w:rsidRDefault="001A6705">
      <w:pPr>
        <w:spacing w:after="0" w:line="240" w:lineRule="auto"/>
        <w:jc w:val="left"/>
        <w:rPr>
          <w:rFonts w:cs="Consolas"/>
          <w:b/>
          <w:caps/>
          <w:color w:val="316F72"/>
          <w:kern w:val="32"/>
          <w:sz w:val="32"/>
          <w:szCs w:val="32"/>
        </w:rPr>
      </w:pPr>
    </w:p>
    <w:p w14:paraId="43F675CD" w14:textId="77777777" w:rsidR="007C12F2" w:rsidRDefault="00C26092">
      <w:pPr>
        <w:spacing w:after="0" w:line="240" w:lineRule="auto"/>
        <w:jc w:val="left"/>
        <w:rPr>
          <w:rFonts w:cs="Consolas"/>
          <w:b/>
          <w:caps/>
          <w:color w:val="316F72"/>
          <w:kern w:val="32"/>
          <w:sz w:val="32"/>
          <w:szCs w:val="32"/>
        </w:rPr>
        <w:sectPr w:rsidR="007C12F2" w:rsidSect="002B694B">
          <w:pgSz w:w="11906" w:h="16838"/>
          <w:pgMar w:top="1440" w:right="1134" w:bottom="1440" w:left="993" w:header="708" w:footer="708" w:gutter="0"/>
          <w:pgNumType w:start="15"/>
          <w:cols w:space="708"/>
          <w:titlePg/>
          <w:docGrid w:linePitch="360"/>
        </w:sectPr>
      </w:pPr>
      <w:r>
        <w:rPr>
          <w:noProof/>
        </w:rPr>
        <w:drawing>
          <wp:inline distT="0" distB="0" distL="0" distR="0" wp14:anchorId="3DB2830C" wp14:editId="24E5F83E">
            <wp:extent cx="5306725" cy="7485380"/>
            <wp:effectExtent l="0" t="0" r="8255" b="1270"/>
            <wp:docPr id="2" name="Picture 2" descr="Signature of the Honourable Scott Morrison MP, Prime Minister of Australia. Signature of the Honourable Michael Gunner MLA, Chief Minister of the Northern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nature of the Honourable Scott Morrison MP, Prime Minister of Australia. Signature of the Honourable Michael Gunner MLA, Chief Minister of the Northern Territory."/>
                    <pic:cNvPicPr/>
                  </pic:nvPicPr>
                  <pic:blipFill>
                    <a:blip r:embed="rId20"/>
                    <a:stretch>
                      <a:fillRect/>
                    </a:stretch>
                  </pic:blipFill>
                  <pic:spPr>
                    <a:xfrm>
                      <a:off x="0" y="0"/>
                      <a:ext cx="5336610" cy="7527534"/>
                    </a:xfrm>
                    <a:prstGeom prst="rect">
                      <a:avLst/>
                    </a:prstGeom>
                  </pic:spPr>
                </pic:pic>
              </a:graphicData>
            </a:graphic>
          </wp:inline>
        </w:drawing>
      </w:r>
    </w:p>
    <w:p w14:paraId="0A901DF8" w14:textId="77777777" w:rsidR="00216F8B" w:rsidRDefault="007C12F2">
      <w:pPr>
        <w:spacing w:after="0" w:line="240" w:lineRule="auto"/>
        <w:jc w:val="left"/>
        <w:rPr>
          <w:rFonts w:cs="Consolas"/>
          <w:b/>
          <w:caps/>
          <w:color w:val="316F72"/>
          <w:kern w:val="32"/>
          <w:sz w:val="32"/>
          <w:szCs w:val="32"/>
        </w:rPr>
        <w:sectPr w:rsidR="00216F8B" w:rsidSect="002B694B">
          <w:pgSz w:w="11906" w:h="16838"/>
          <w:pgMar w:top="1440" w:right="1134" w:bottom="1440" w:left="993" w:header="708" w:footer="708" w:gutter="0"/>
          <w:pgNumType w:start="15"/>
          <w:cols w:space="708"/>
          <w:titlePg/>
          <w:docGrid w:linePitch="360"/>
        </w:sectPr>
      </w:pPr>
      <w:r>
        <w:rPr>
          <w:noProof/>
        </w:rPr>
        <w:lastRenderedPageBreak/>
        <w:drawing>
          <wp:inline distT="0" distB="0" distL="0" distR="0" wp14:anchorId="18DE8D92" wp14:editId="6F976F92">
            <wp:extent cx="5248275" cy="7734300"/>
            <wp:effectExtent l="0" t="0" r="9525" b="0"/>
            <wp:docPr id="3" name="Picture 3" descr="Signature of the Honourable Scott Morrison MP, Prime Minister of Australia. Signature of the Honourable Will Hodgman MP, Premier of Tas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ignature of the Honourable Scott Morrison MP, Prime Minister of Australia. Signature of the Honourable Will Hodgman MP, Premier of Tasmania."/>
                    <pic:cNvPicPr/>
                  </pic:nvPicPr>
                  <pic:blipFill>
                    <a:blip r:embed="rId21"/>
                    <a:stretch>
                      <a:fillRect/>
                    </a:stretch>
                  </pic:blipFill>
                  <pic:spPr>
                    <a:xfrm>
                      <a:off x="0" y="0"/>
                      <a:ext cx="5248275" cy="7734300"/>
                    </a:xfrm>
                    <a:prstGeom prst="rect">
                      <a:avLst/>
                    </a:prstGeom>
                  </pic:spPr>
                </pic:pic>
              </a:graphicData>
            </a:graphic>
          </wp:inline>
        </w:drawing>
      </w:r>
    </w:p>
    <w:p w14:paraId="29BB6980" w14:textId="77777777" w:rsidR="00E92A3D" w:rsidRDefault="00216F8B">
      <w:pPr>
        <w:spacing w:after="0" w:line="240" w:lineRule="auto"/>
        <w:jc w:val="left"/>
        <w:rPr>
          <w:rFonts w:cs="Consolas"/>
          <w:b/>
          <w:caps/>
          <w:color w:val="316F72"/>
          <w:kern w:val="32"/>
          <w:sz w:val="32"/>
          <w:szCs w:val="32"/>
        </w:rPr>
        <w:sectPr w:rsidR="00E92A3D" w:rsidSect="002B694B">
          <w:pgSz w:w="11906" w:h="16838"/>
          <w:pgMar w:top="1440" w:right="1134" w:bottom="1440" w:left="993" w:header="708" w:footer="708" w:gutter="0"/>
          <w:pgNumType w:start="15"/>
          <w:cols w:space="708"/>
          <w:titlePg/>
          <w:docGrid w:linePitch="360"/>
        </w:sectPr>
      </w:pPr>
      <w:r>
        <w:rPr>
          <w:noProof/>
        </w:rPr>
        <w:lastRenderedPageBreak/>
        <w:drawing>
          <wp:inline distT="0" distB="0" distL="0" distR="0" wp14:anchorId="0358537F" wp14:editId="2F08ECA4">
            <wp:extent cx="5591175" cy="7896225"/>
            <wp:effectExtent l="0" t="0" r="9525" b="9525"/>
            <wp:docPr id="4" name="Picture 4" descr="Signature of the Honourable Scott Morrison MP, Prime Minister of Australia. Signature of Andrew Barr MLA, Premier of New South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ignature of the Honourable Scott Morrison MP, Prime Minister of Australia. Signature of Andrew Barr MLA, Premier of New South Wales."/>
                    <pic:cNvPicPr/>
                  </pic:nvPicPr>
                  <pic:blipFill>
                    <a:blip r:embed="rId22"/>
                    <a:stretch>
                      <a:fillRect/>
                    </a:stretch>
                  </pic:blipFill>
                  <pic:spPr>
                    <a:xfrm>
                      <a:off x="0" y="0"/>
                      <a:ext cx="5591175" cy="7896225"/>
                    </a:xfrm>
                    <a:prstGeom prst="rect">
                      <a:avLst/>
                    </a:prstGeom>
                  </pic:spPr>
                </pic:pic>
              </a:graphicData>
            </a:graphic>
          </wp:inline>
        </w:drawing>
      </w:r>
    </w:p>
    <w:p w14:paraId="76AC8256" w14:textId="77777777" w:rsidR="000061F5" w:rsidRDefault="00E92A3D">
      <w:pPr>
        <w:spacing w:after="0" w:line="240" w:lineRule="auto"/>
        <w:jc w:val="left"/>
        <w:rPr>
          <w:rFonts w:cs="Consolas"/>
          <w:b/>
          <w:caps/>
          <w:color w:val="316F72"/>
          <w:kern w:val="32"/>
          <w:sz w:val="32"/>
          <w:szCs w:val="32"/>
        </w:rPr>
        <w:sectPr w:rsidR="000061F5" w:rsidSect="002B694B">
          <w:pgSz w:w="11906" w:h="16838"/>
          <w:pgMar w:top="1440" w:right="1134" w:bottom="1440" w:left="993" w:header="708" w:footer="708" w:gutter="0"/>
          <w:pgNumType w:start="15"/>
          <w:cols w:space="708"/>
          <w:titlePg/>
          <w:docGrid w:linePitch="360"/>
        </w:sectPr>
      </w:pPr>
      <w:r>
        <w:rPr>
          <w:noProof/>
        </w:rPr>
        <w:lastRenderedPageBreak/>
        <w:drawing>
          <wp:inline distT="0" distB="0" distL="0" distR="0" wp14:anchorId="0D2BDD3B" wp14:editId="1EDC78BE">
            <wp:extent cx="5475728" cy="7372350"/>
            <wp:effectExtent l="0" t="0" r="0" b="0"/>
            <wp:docPr id="5" name="Picture 5" descr="Signature of the Honourable Scott Morrison MP, Prime Minister of Australia. Signature of the Honourable Annastacia Palaszczuk MP, Premier of Queen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ignature of the Honourable Scott Morrison MP, Prime Minister of Australia. Signature of the Honourable Annastacia Palaszczuk MP, Premier of Queensland."/>
                    <pic:cNvPicPr/>
                  </pic:nvPicPr>
                  <pic:blipFill>
                    <a:blip r:embed="rId23"/>
                    <a:stretch>
                      <a:fillRect/>
                    </a:stretch>
                  </pic:blipFill>
                  <pic:spPr>
                    <a:xfrm>
                      <a:off x="0" y="0"/>
                      <a:ext cx="5481119" cy="7379608"/>
                    </a:xfrm>
                    <a:prstGeom prst="rect">
                      <a:avLst/>
                    </a:prstGeom>
                  </pic:spPr>
                </pic:pic>
              </a:graphicData>
            </a:graphic>
          </wp:inline>
        </w:drawing>
      </w:r>
    </w:p>
    <w:p w14:paraId="303466C4" w14:textId="1D166329" w:rsidR="000061F5" w:rsidRDefault="000061F5">
      <w:pPr>
        <w:spacing w:after="0" w:line="240" w:lineRule="auto"/>
        <w:jc w:val="left"/>
        <w:rPr>
          <w:rFonts w:cs="Consolas"/>
          <w:b/>
          <w:caps/>
          <w:color w:val="316F72"/>
          <w:kern w:val="32"/>
          <w:sz w:val="32"/>
          <w:szCs w:val="32"/>
        </w:rPr>
        <w:sectPr w:rsidR="000061F5" w:rsidSect="002B694B">
          <w:pgSz w:w="11906" w:h="16838"/>
          <w:pgMar w:top="1440" w:right="1134" w:bottom="1440" w:left="993" w:header="708" w:footer="708" w:gutter="0"/>
          <w:pgNumType w:start="15"/>
          <w:cols w:space="708"/>
          <w:titlePg/>
          <w:docGrid w:linePitch="360"/>
        </w:sectPr>
      </w:pPr>
      <w:r>
        <w:rPr>
          <w:noProof/>
        </w:rPr>
        <w:lastRenderedPageBreak/>
        <w:drawing>
          <wp:inline distT="0" distB="0" distL="0" distR="0" wp14:anchorId="7EE6EB9D" wp14:editId="5F40AA31">
            <wp:extent cx="5419725" cy="7439025"/>
            <wp:effectExtent l="0" t="0" r="9525" b="9525"/>
            <wp:docPr id="12" name="Picture 12" descr="Signature of the Honourable Scott Morrison MP, Prime Minister of Australia. Signature of the Honourable Daniel Andrews MP, Premier of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ignature of the Honourable Scott Morrison MP, Prime Minister of Australia. Signature of the Honourable Daniel Andrews MP, Premier of Victoria."/>
                    <pic:cNvPicPr/>
                  </pic:nvPicPr>
                  <pic:blipFill>
                    <a:blip r:embed="rId24"/>
                    <a:stretch>
                      <a:fillRect/>
                    </a:stretch>
                  </pic:blipFill>
                  <pic:spPr>
                    <a:xfrm>
                      <a:off x="0" y="0"/>
                      <a:ext cx="5419725" cy="7439025"/>
                    </a:xfrm>
                    <a:prstGeom prst="rect">
                      <a:avLst/>
                    </a:prstGeom>
                  </pic:spPr>
                </pic:pic>
              </a:graphicData>
            </a:graphic>
          </wp:inline>
        </w:drawing>
      </w:r>
    </w:p>
    <w:p w14:paraId="3DF94167" w14:textId="0760E339" w:rsidR="009F4E91" w:rsidRDefault="009F4E91" w:rsidP="00657681"/>
    <w:p w14:paraId="5CE62788" w14:textId="16F13133" w:rsidR="000B7DB6" w:rsidRPr="00144E99" w:rsidRDefault="00EB45E1" w:rsidP="001D7EF8">
      <w:pPr>
        <w:pStyle w:val="Heading1"/>
      </w:pPr>
      <w:r w:rsidRPr="00144E99">
        <w:t xml:space="preserve">PART </w:t>
      </w:r>
      <w:r w:rsidR="000F7EDB" w:rsidRPr="00144E99">
        <w:t>8</w:t>
      </w:r>
      <w:r w:rsidRPr="00144E99">
        <w:t xml:space="preserve"> — SCHEDULES</w:t>
      </w:r>
      <w:bookmarkEnd w:id="67"/>
      <w:bookmarkEnd w:id="68"/>
    </w:p>
    <w:p w14:paraId="04876606" w14:textId="77777777" w:rsidR="003A50EB" w:rsidRPr="00144E99" w:rsidRDefault="003A50EB" w:rsidP="003A50EB">
      <w:pPr>
        <w:jc w:val="left"/>
        <w:rPr>
          <w:rFonts w:cs="Calibri"/>
        </w:rPr>
      </w:pPr>
      <w:r w:rsidRPr="00144E99">
        <w:t xml:space="preserve">Schedule A – </w:t>
      </w:r>
      <w:r w:rsidRPr="00144E99">
        <w:rPr>
          <w:rFonts w:cs="Calibri"/>
        </w:rPr>
        <w:t>Definitions</w:t>
      </w:r>
    </w:p>
    <w:p w14:paraId="5961B0F2" w14:textId="77777777" w:rsidR="000B7DB6" w:rsidRPr="00144E99" w:rsidRDefault="00A54517" w:rsidP="002F1C60">
      <w:pPr>
        <w:jc w:val="left"/>
        <w:rPr>
          <w:rFonts w:cs="Calibri"/>
        </w:rPr>
      </w:pPr>
      <w:r w:rsidRPr="00144E99">
        <w:t xml:space="preserve">Schedule </w:t>
      </w:r>
      <w:r w:rsidR="00963B52" w:rsidRPr="00144E99">
        <w:t>B</w:t>
      </w:r>
      <w:r w:rsidR="002E79FC" w:rsidRPr="00144E99">
        <w:t xml:space="preserve"> </w:t>
      </w:r>
      <w:r w:rsidR="000B7DB6" w:rsidRPr="00144E99">
        <w:t xml:space="preserve">– </w:t>
      </w:r>
      <w:r w:rsidR="00AB2F82" w:rsidRPr="00144E99">
        <w:t>National Policy Initiatives</w:t>
      </w:r>
      <w:r w:rsidR="00AB2F82" w:rsidRPr="00144E99" w:rsidDel="00AB2F82">
        <w:rPr>
          <w:rFonts w:cs="Calibri"/>
        </w:rPr>
        <w:t xml:space="preserve"> </w:t>
      </w:r>
    </w:p>
    <w:p w14:paraId="13CE19AB" w14:textId="6C62978E" w:rsidR="001A6899" w:rsidRPr="00144E99" w:rsidRDefault="001A6899" w:rsidP="002F1C60">
      <w:pPr>
        <w:jc w:val="left"/>
      </w:pPr>
      <w:r w:rsidRPr="00144E99">
        <w:rPr>
          <w:rFonts w:cs="Calibri"/>
        </w:rPr>
        <w:t xml:space="preserve">Schedule C – Cost </w:t>
      </w:r>
      <w:r w:rsidR="0084489A" w:rsidRPr="00144E99">
        <w:rPr>
          <w:rFonts w:cs="Calibri"/>
        </w:rPr>
        <w:t>Sharing Principles</w:t>
      </w:r>
    </w:p>
    <w:p w14:paraId="64BB8238" w14:textId="77777777" w:rsidR="003A50EB" w:rsidRPr="00144E99" w:rsidRDefault="003A50EB" w:rsidP="002F1C60">
      <w:pPr>
        <w:jc w:val="left"/>
      </w:pPr>
      <w:r w:rsidRPr="00144E99">
        <w:t xml:space="preserve">Schedule </w:t>
      </w:r>
      <w:r w:rsidR="00513ED9" w:rsidRPr="00144E99">
        <w:t xml:space="preserve">D </w:t>
      </w:r>
      <w:r w:rsidRPr="00144E99">
        <w:t xml:space="preserve">– </w:t>
      </w:r>
      <w:r w:rsidR="00875752" w:rsidRPr="00144E99">
        <w:t>Reporting on National Policy Initiatives</w:t>
      </w:r>
    </w:p>
    <w:p w14:paraId="02FE255D" w14:textId="77777777" w:rsidR="00BF2AB6" w:rsidRDefault="00A54517" w:rsidP="00BF2AB6">
      <w:pPr>
        <w:jc w:val="left"/>
      </w:pPr>
      <w:r w:rsidRPr="00144E99">
        <w:t xml:space="preserve">Schedule </w:t>
      </w:r>
      <w:r w:rsidR="00513ED9" w:rsidRPr="00144E99">
        <w:t xml:space="preserve">E </w:t>
      </w:r>
      <w:r w:rsidR="003D0265" w:rsidRPr="00144E99">
        <w:t>– Bilateral</w:t>
      </w:r>
      <w:r w:rsidR="008B18C2" w:rsidRPr="00144E99">
        <w:t xml:space="preserve"> </w:t>
      </w:r>
      <w:r w:rsidR="00B01079" w:rsidRPr="00144E99">
        <w:t xml:space="preserve">reform </w:t>
      </w:r>
      <w:r w:rsidR="004D5667" w:rsidRPr="00144E99">
        <w:t>agreements</w:t>
      </w:r>
    </w:p>
    <w:p w14:paraId="3F2A0D49" w14:textId="5F764574" w:rsidR="00BF2AB6" w:rsidRDefault="00BF2AB6" w:rsidP="00BF2AB6">
      <w:pPr>
        <w:jc w:val="left"/>
      </w:pPr>
      <w:r w:rsidRPr="00E97031">
        <w:t>Schedule F – Targets</w:t>
      </w:r>
    </w:p>
    <w:p w14:paraId="087F9B07" w14:textId="0B28EED5" w:rsidR="009E3211" w:rsidRPr="00144E99" w:rsidRDefault="004110F6">
      <w:pPr>
        <w:spacing w:after="0" w:line="240" w:lineRule="auto"/>
        <w:jc w:val="left"/>
        <w:rPr>
          <w:rFonts w:cs="Consolas"/>
          <w:caps/>
          <w:color w:val="365F91"/>
          <w:kern w:val="32"/>
          <w:sz w:val="32"/>
          <w:szCs w:val="32"/>
        </w:rPr>
      </w:pPr>
      <w:r w:rsidRPr="00144E99">
        <w:br w:type="page"/>
      </w:r>
    </w:p>
    <w:tbl>
      <w:tblPr>
        <w:tblpPr w:leftFromText="180" w:rightFromText="180" w:vertAnchor="text" w:horzAnchor="margin" w:tblpY="136"/>
        <w:tblW w:w="4985" w:type="pct"/>
        <w:tblLook w:val="01E0" w:firstRow="1" w:lastRow="1" w:firstColumn="1" w:lastColumn="1" w:noHBand="0" w:noVBand="0"/>
      </w:tblPr>
      <w:tblGrid>
        <w:gridCol w:w="2046"/>
        <w:gridCol w:w="6953"/>
      </w:tblGrid>
      <w:tr w:rsidR="00875752" w:rsidRPr="00144E99" w14:paraId="56E9FACE" w14:textId="77777777" w:rsidTr="00875752">
        <w:tc>
          <w:tcPr>
            <w:tcW w:w="5000" w:type="pct"/>
            <w:gridSpan w:val="2"/>
          </w:tcPr>
          <w:p w14:paraId="226B189D" w14:textId="77777777" w:rsidR="000D2A58" w:rsidRPr="00144E99" w:rsidRDefault="00875752" w:rsidP="00875752">
            <w:pPr>
              <w:pStyle w:val="CoverTitleMain"/>
              <w:jc w:val="left"/>
              <w:rPr>
                <w:rFonts w:ascii="Corbel" w:hAnsi="Corbel"/>
                <w:caps w:val="0"/>
                <w:color w:val="316F72"/>
                <w:sz w:val="72"/>
                <w:szCs w:val="72"/>
              </w:rPr>
            </w:pPr>
            <w:bookmarkStart w:id="70" w:name="_Toc469481321"/>
            <w:bookmarkEnd w:id="69"/>
            <w:r w:rsidRPr="00144E99">
              <w:rPr>
                <w:rFonts w:ascii="Corbel" w:hAnsi="Corbel"/>
                <w:caps w:val="0"/>
                <w:color w:val="316F72"/>
                <w:sz w:val="72"/>
                <w:szCs w:val="72"/>
              </w:rPr>
              <w:lastRenderedPageBreak/>
              <w:t>Schedule A:</w:t>
            </w:r>
            <w:r w:rsidR="000D2A58" w:rsidRPr="00144E99">
              <w:rPr>
                <w:rFonts w:ascii="Corbel" w:hAnsi="Corbel"/>
                <w:caps w:val="0"/>
                <w:color w:val="316F72"/>
                <w:sz w:val="72"/>
                <w:szCs w:val="72"/>
              </w:rPr>
              <w:t xml:space="preserve"> </w:t>
            </w:r>
          </w:p>
          <w:p w14:paraId="019BF3F0" w14:textId="77777777" w:rsidR="00875752" w:rsidRPr="00144E99" w:rsidRDefault="000D2A58" w:rsidP="00875752">
            <w:pPr>
              <w:pStyle w:val="CoverTitleMain"/>
              <w:jc w:val="left"/>
            </w:pPr>
            <w:r w:rsidRPr="00144E99">
              <w:rPr>
                <w:rFonts w:ascii="Corbel" w:hAnsi="Corbel"/>
                <w:caps w:val="0"/>
                <w:color w:val="316F72"/>
                <w:sz w:val="72"/>
                <w:szCs w:val="72"/>
              </w:rPr>
              <w:t>Definitions</w:t>
            </w:r>
          </w:p>
        </w:tc>
      </w:tr>
      <w:tr w:rsidR="00875752" w:rsidRPr="00144E99" w14:paraId="08BFC8E0" w14:textId="77777777" w:rsidTr="00875752">
        <w:tc>
          <w:tcPr>
            <w:tcW w:w="1137" w:type="pct"/>
          </w:tcPr>
          <w:p w14:paraId="694788A7" w14:textId="77777777" w:rsidR="00875752" w:rsidRPr="00144E99" w:rsidRDefault="00875752" w:rsidP="00875752"/>
        </w:tc>
        <w:tc>
          <w:tcPr>
            <w:tcW w:w="3863" w:type="pct"/>
          </w:tcPr>
          <w:p w14:paraId="78524F79" w14:textId="77777777" w:rsidR="00875752" w:rsidRPr="00144E99" w:rsidRDefault="00875752" w:rsidP="00875752"/>
        </w:tc>
      </w:tr>
      <w:tr w:rsidR="00875752" w:rsidRPr="00144E99" w14:paraId="4EA2760A" w14:textId="77777777" w:rsidTr="00875752">
        <w:tc>
          <w:tcPr>
            <w:tcW w:w="1137" w:type="pct"/>
          </w:tcPr>
          <w:p w14:paraId="4089ECDA" w14:textId="77777777" w:rsidR="00875752" w:rsidRPr="00144E99" w:rsidRDefault="00875752" w:rsidP="00875752"/>
        </w:tc>
        <w:tc>
          <w:tcPr>
            <w:tcW w:w="3863" w:type="pct"/>
          </w:tcPr>
          <w:p w14:paraId="065038DF" w14:textId="77777777" w:rsidR="00875752" w:rsidRPr="00144E99" w:rsidRDefault="00875752" w:rsidP="00875752"/>
        </w:tc>
      </w:tr>
      <w:tr w:rsidR="00875752" w:rsidRPr="00144E99" w14:paraId="4EFE4989" w14:textId="77777777" w:rsidTr="00875752">
        <w:tc>
          <w:tcPr>
            <w:tcW w:w="1137" w:type="pct"/>
            <w:shd w:val="clear" w:color="auto" w:fill="316F72"/>
          </w:tcPr>
          <w:p w14:paraId="49972BDC" w14:textId="77777777" w:rsidR="00875752" w:rsidRPr="00144E99" w:rsidRDefault="00875752" w:rsidP="00875752"/>
          <w:p w14:paraId="477A62AD" w14:textId="77777777" w:rsidR="00875752" w:rsidRPr="00144E99" w:rsidRDefault="00875752" w:rsidP="00875752"/>
        </w:tc>
        <w:tc>
          <w:tcPr>
            <w:tcW w:w="3863" w:type="pct"/>
            <w:shd w:val="clear" w:color="auto" w:fill="316F72"/>
          </w:tcPr>
          <w:p w14:paraId="3D2852D3" w14:textId="77777777" w:rsidR="00875752" w:rsidRPr="00144E99" w:rsidRDefault="00875752" w:rsidP="00875752"/>
        </w:tc>
      </w:tr>
      <w:tr w:rsidR="00875752" w:rsidRPr="00144E99" w14:paraId="70F66B1E" w14:textId="77777777" w:rsidTr="000D2A58">
        <w:tc>
          <w:tcPr>
            <w:tcW w:w="1137" w:type="pct"/>
          </w:tcPr>
          <w:p w14:paraId="0C57E14B" w14:textId="77777777" w:rsidR="00875752" w:rsidRPr="00144E99" w:rsidRDefault="00875752" w:rsidP="00875752"/>
        </w:tc>
        <w:tc>
          <w:tcPr>
            <w:tcW w:w="3863" w:type="pct"/>
          </w:tcPr>
          <w:p w14:paraId="226AA987" w14:textId="77777777" w:rsidR="00875752" w:rsidRPr="00144E99" w:rsidRDefault="00875752" w:rsidP="00875752"/>
        </w:tc>
      </w:tr>
      <w:tr w:rsidR="00875752" w:rsidRPr="00144E99" w14:paraId="1DC554F1" w14:textId="77777777" w:rsidTr="00875752">
        <w:tc>
          <w:tcPr>
            <w:tcW w:w="1137" w:type="pct"/>
          </w:tcPr>
          <w:p w14:paraId="38785E40" w14:textId="77777777" w:rsidR="00875752" w:rsidRPr="00144E99" w:rsidRDefault="00875752" w:rsidP="00875752"/>
        </w:tc>
        <w:tc>
          <w:tcPr>
            <w:tcW w:w="3863" w:type="pct"/>
          </w:tcPr>
          <w:p w14:paraId="7CC49CEE" w14:textId="77777777" w:rsidR="00875752" w:rsidRPr="00144E99" w:rsidRDefault="00875752" w:rsidP="00875752"/>
        </w:tc>
      </w:tr>
    </w:tbl>
    <w:tbl>
      <w:tblPr>
        <w:tblW w:w="5000" w:type="pct"/>
        <w:tblCellMar>
          <w:top w:w="57" w:type="dxa"/>
          <w:bottom w:w="57" w:type="dxa"/>
        </w:tblCellMar>
        <w:tblLook w:val="04A0" w:firstRow="1" w:lastRow="0" w:firstColumn="1" w:lastColumn="0" w:noHBand="0" w:noVBand="1"/>
      </w:tblPr>
      <w:tblGrid>
        <w:gridCol w:w="2338"/>
        <w:gridCol w:w="6688"/>
      </w:tblGrid>
      <w:tr w:rsidR="00ED78C0" w:rsidRPr="00144E99" w14:paraId="561B1C13" w14:textId="77777777" w:rsidTr="000D2A58">
        <w:trPr>
          <w:cantSplit/>
        </w:trPr>
        <w:tc>
          <w:tcPr>
            <w:tcW w:w="1295" w:type="pct"/>
            <w:tcBorders>
              <w:top w:val="dashed" w:sz="4" w:space="0" w:color="365F91"/>
              <w:bottom w:val="dashed" w:sz="4" w:space="0" w:color="365F91"/>
            </w:tcBorders>
            <w:shd w:val="clear" w:color="auto" w:fill="auto"/>
          </w:tcPr>
          <w:bookmarkEnd w:id="70"/>
          <w:p w14:paraId="794396DD" w14:textId="77777777" w:rsidR="00ED78C0" w:rsidRPr="00144E99" w:rsidRDefault="00ED78C0" w:rsidP="00ED78C0">
            <w:pPr>
              <w:spacing w:before="120" w:after="120"/>
              <w:ind w:left="-76"/>
              <w:jc w:val="left"/>
              <w:rPr>
                <w:rFonts w:cs="Calibri"/>
                <w:b/>
              </w:rPr>
            </w:pPr>
            <w:r w:rsidRPr="00144E99">
              <w:rPr>
                <w:rFonts w:cs="Calibri"/>
                <w:b/>
              </w:rPr>
              <w:t>Approved authority</w:t>
            </w:r>
          </w:p>
        </w:tc>
        <w:tc>
          <w:tcPr>
            <w:tcW w:w="3705" w:type="pct"/>
            <w:tcBorders>
              <w:top w:val="dashed" w:sz="4" w:space="0" w:color="365F91"/>
              <w:bottom w:val="dashed" w:sz="4" w:space="0" w:color="365F91"/>
            </w:tcBorders>
            <w:shd w:val="clear" w:color="auto" w:fill="auto"/>
          </w:tcPr>
          <w:p w14:paraId="30FF8842" w14:textId="77777777" w:rsidR="00ED78C0" w:rsidRPr="00144E99" w:rsidRDefault="00ED78C0" w:rsidP="00A15EDF">
            <w:pPr>
              <w:jc w:val="left"/>
              <w:rPr>
                <w:rStyle w:val="st1"/>
                <w:rFonts w:cs="Calibri"/>
                <w:bCs/>
              </w:rPr>
            </w:pPr>
            <w:r w:rsidRPr="00144E99">
              <w:rPr>
                <w:rStyle w:val="st1"/>
                <w:rFonts w:cs="Calibri"/>
              </w:rPr>
              <w:t xml:space="preserve">An approved authority is a legal entity that the </w:t>
            </w:r>
            <w:r w:rsidR="00933538" w:rsidRPr="00144E99">
              <w:rPr>
                <w:rStyle w:val="st1"/>
                <w:rFonts w:cs="Calibri"/>
              </w:rPr>
              <w:t xml:space="preserve">Commonwealth </w:t>
            </w:r>
            <w:r w:rsidRPr="00144E99">
              <w:rPr>
                <w:rStyle w:val="st1"/>
                <w:rFonts w:cs="Calibri"/>
              </w:rPr>
              <w:t xml:space="preserve">has approved to receive and administer Commonwealth funding for one or more schools. The approved authority for a government school is its relevant </w:t>
            </w:r>
            <w:r w:rsidR="001D550A" w:rsidRPr="00144E99">
              <w:rPr>
                <w:rStyle w:val="st1"/>
                <w:rFonts w:cs="Calibri"/>
              </w:rPr>
              <w:t>S</w:t>
            </w:r>
            <w:r w:rsidRPr="00144E99">
              <w:rPr>
                <w:rStyle w:val="st1"/>
                <w:rFonts w:cs="Calibri"/>
              </w:rPr>
              <w:t xml:space="preserve">tate or </w:t>
            </w:r>
            <w:r w:rsidR="001D550A" w:rsidRPr="00144E99">
              <w:rPr>
                <w:rStyle w:val="st1"/>
                <w:rFonts w:cs="Calibri"/>
              </w:rPr>
              <w:t>T</w:t>
            </w:r>
            <w:r w:rsidRPr="00144E99">
              <w:rPr>
                <w:rStyle w:val="st1"/>
                <w:rFonts w:cs="Calibri"/>
              </w:rPr>
              <w:t>erritory government. The approved authority for a non-government school is the body corporate approved by the Minister for that school.</w:t>
            </w:r>
          </w:p>
        </w:tc>
      </w:tr>
      <w:tr w:rsidR="0019717E" w:rsidRPr="00144E99" w14:paraId="04C28654" w14:textId="77777777" w:rsidTr="000D2A58">
        <w:trPr>
          <w:cantSplit/>
        </w:trPr>
        <w:tc>
          <w:tcPr>
            <w:tcW w:w="1295" w:type="pct"/>
            <w:tcBorders>
              <w:top w:val="dashed" w:sz="4" w:space="0" w:color="365F91"/>
              <w:bottom w:val="dashed" w:sz="4" w:space="0" w:color="365F91"/>
            </w:tcBorders>
            <w:shd w:val="clear" w:color="auto" w:fill="auto"/>
          </w:tcPr>
          <w:p w14:paraId="6910E568" w14:textId="77777777" w:rsidR="0019717E" w:rsidRPr="00144E99" w:rsidRDefault="0019717E" w:rsidP="00BC36A9">
            <w:pPr>
              <w:spacing w:before="120" w:after="120"/>
              <w:ind w:left="-76"/>
              <w:jc w:val="left"/>
              <w:rPr>
                <w:rFonts w:cs="Calibri"/>
                <w:b/>
              </w:rPr>
            </w:pPr>
            <w:r w:rsidRPr="00144E99">
              <w:rPr>
                <w:rFonts w:cs="Calibri"/>
                <w:b/>
              </w:rPr>
              <w:t>Australian Curriculum, Assessment and Reporting Authority (ACARA)</w:t>
            </w:r>
          </w:p>
        </w:tc>
        <w:tc>
          <w:tcPr>
            <w:tcW w:w="3705" w:type="pct"/>
            <w:tcBorders>
              <w:top w:val="dashed" w:sz="4" w:space="0" w:color="365F91"/>
              <w:bottom w:val="dashed" w:sz="4" w:space="0" w:color="365F91"/>
            </w:tcBorders>
            <w:shd w:val="clear" w:color="auto" w:fill="auto"/>
          </w:tcPr>
          <w:p w14:paraId="5096798A" w14:textId="1522ED3C" w:rsidR="0019717E" w:rsidRPr="001916A0" w:rsidRDefault="0019717E" w:rsidP="00633C9A">
            <w:pPr>
              <w:jc w:val="left"/>
              <w:rPr>
                <w:rFonts w:cs="Calibri"/>
              </w:rPr>
            </w:pPr>
            <w:r w:rsidRPr="00144E99">
              <w:rPr>
                <w:rStyle w:val="st1"/>
                <w:rFonts w:cs="Calibri"/>
                <w:bCs/>
              </w:rPr>
              <w:t>ACARA</w:t>
            </w:r>
            <w:r w:rsidRPr="00144E99">
              <w:rPr>
                <w:rStyle w:val="st1"/>
                <w:rFonts w:cs="Calibri"/>
              </w:rPr>
              <w:t xml:space="preserve"> is the independent authority responsible for the development of a national curriculum (</w:t>
            </w:r>
            <w:r w:rsidR="00A1124C" w:rsidRPr="00144E99">
              <w:rPr>
                <w:rStyle w:val="st1"/>
                <w:rFonts w:cs="Calibri"/>
              </w:rPr>
              <w:t>K</w:t>
            </w:r>
            <w:r w:rsidRPr="00144E99">
              <w:rPr>
                <w:rStyle w:val="st1"/>
                <w:rFonts w:cs="Calibri"/>
              </w:rPr>
              <w:t xml:space="preserve">indergarten to Year 12), and a national assessment program, including managing the </w:t>
            </w:r>
            <w:r w:rsidRPr="00144E99">
              <w:rPr>
                <w:rFonts w:cs="Calibri"/>
                <w:color w:val="auto"/>
              </w:rPr>
              <w:t>National Assessment Program</w:t>
            </w:r>
            <w:r w:rsidR="0020482F" w:rsidRPr="00144E99">
              <w:rPr>
                <w:rFonts w:cs="Calibri"/>
                <w:color w:val="auto"/>
              </w:rPr>
              <w:t xml:space="preserve"> Literacy and Numeracy (NAPLAN)</w:t>
            </w:r>
            <w:r w:rsidRPr="00144E99">
              <w:rPr>
                <w:rFonts w:cs="Calibri"/>
                <w:color w:val="auto"/>
              </w:rPr>
              <w:t xml:space="preserve">. </w:t>
            </w:r>
            <w:r w:rsidRPr="00144E99">
              <w:rPr>
                <w:rFonts w:cs="Calibri"/>
                <w:color w:val="333333"/>
              </w:rPr>
              <w:t xml:space="preserve">ACARA also manages </w:t>
            </w:r>
            <w:r w:rsidRPr="00144E99">
              <w:rPr>
                <w:rStyle w:val="st1"/>
                <w:rFonts w:cs="Calibri"/>
              </w:rPr>
              <w:t xml:space="preserve">the </w:t>
            </w:r>
            <w:r w:rsidRPr="00144E99">
              <w:rPr>
                <w:rStyle w:val="st1"/>
                <w:rFonts w:cs="Calibri"/>
                <w:i/>
              </w:rPr>
              <w:t>My School</w:t>
            </w:r>
            <w:r w:rsidRPr="00144E99">
              <w:rPr>
                <w:rStyle w:val="st1"/>
                <w:rFonts w:cs="Calibri"/>
              </w:rPr>
              <w:t xml:space="preserve"> website </w:t>
            </w:r>
            <w:r w:rsidRPr="00144E99">
              <w:rPr>
                <w:rFonts w:cs="Calibri"/>
              </w:rPr>
              <w:t>(</w:t>
            </w:r>
            <w:hyperlink r:id="rId25" w:history="1">
              <w:r w:rsidRPr="00144E99">
                <w:rPr>
                  <w:rStyle w:val="Hyperlink"/>
                  <w:rFonts w:cs="Calibri"/>
                </w:rPr>
                <w:t>www.myschool.edu.au</w:t>
              </w:r>
            </w:hyperlink>
            <w:r w:rsidR="00BC36A9" w:rsidRPr="00144E99">
              <w:rPr>
                <w:rFonts w:cs="Calibri"/>
              </w:rPr>
              <w:t>).</w:t>
            </w:r>
          </w:p>
        </w:tc>
      </w:tr>
      <w:tr w:rsidR="001B6FFB" w:rsidRPr="00144E99" w14:paraId="543EF593" w14:textId="77777777" w:rsidTr="000D2A58">
        <w:trPr>
          <w:cantSplit/>
        </w:trPr>
        <w:tc>
          <w:tcPr>
            <w:tcW w:w="1295" w:type="pct"/>
            <w:tcBorders>
              <w:top w:val="dashed" w:sz="4" w:space="0" w:color="365F91"/>
              <w:bottom w:val="dashed" w:sz="4" w:space="0" w:color="365F91"/>
            </w:tcBorders>
            <w:shd w:val="clear" w:color="auto" w:fill="auto"/>
          </w:tcPr>
          <w:p w14:paraId="35A7E75C" w14:textId="77777777" w:rsidR="001B6FFB" w:rsidRPr="00144E99" w:rsidRDefault="001B6FFB" w:rsidP="00AC7724">
            <w:pPr>
              <w:spacing w:before="120" w:after="120"/>
              <w:ind w:left="-76"/>
              <w:jc w:val="left"/>
              <w:rPr>
                <w:rFonts w:cs="Calibri"/>
                <w:b/>
              </w:rPr>
            </w:pPr>
            <w:r w:rsidRPr="00144E99">
              <w:rPr>
                <w:rFonts w:cs="Calibri"/>
                <w:b/>
              </w:rPr>
              <w:t>Australian Institute for Teaching and School Leadership (AITSL)</w:t>
            </w:r>
          </w:p>
        </w:tc>
        <w:tc>
          <w:tcPr>
            <w:tcW w:w="3705" w:type="pct"/>
            <w:tcBorders>
              <w:top w:val="dashed" w:sz="4" w:space="0" w:color="365F91"/>
              <w:bottom w:val="dashed" w:sz="4" w:space="0" w:color="365F91"/>
            </w:tcBorders>
            <w:shd w:val="clear" w:color="auto" w:fill="auto"/>
          </w:tcPr>
          <w:p w14:paraId="056379A9" w14:textId="15F300E6" w:rsidR="001916A0" w:rsidRDefault="00CB4322" w:rsidP="00672C65">
            <w:pPr>
              <w:tabs>
                <w:tab w:val="left" w:pos="4916"/>
              </w:tabs>
              <w:spacing w:before="120" w:after="120"/>
              <w:jc w:val="left"/>
              <w:rPr>
                <w:rFonts w:cs="Calibri"/>
              </w:rPr>
            </w:pPr>
            <w:r w:rsidRPr="00144E99">
              <w:rPr>
                <w:rFonts w:cs="Calibri"/>
              </w:rPr>
              <w:t xml:space="preserve">A </w:t>
            </w:r>
            <w:r w:rsidR="001B6FFB" w:rsidRPr="00144E99">
              <w:rPr>
                <w:rFonts w:cs="Calibri"/>
              </w:rPr>
              <w:t>Commonwealth controlled company that provides national leadership for the Australian, State</w:t>
            </w:r>
            <w:r w:rsidR="002E79FC" w:rsidRPr="00144E99">
              <w:rPr>
                <w:rFonts w:cs="Calibri"/>
              </w:rPr>
              <w:t xml:space="preserve"> </w:t>
            </w:r>
            <w:r w:rsidR="001B6FFB" w:rsidRPr="00144E99">
              <w:rPr>
                <w:rFonts w:cs="Calibri"/>
              </w:rPr>
              <w:t>and Territory Governments in promoting excellence in the teaching and school leadership profession.</w:t>
            </w:r>
          </w:p>
          <w:p w14:paraId="267634B3" w14:textId="564BEE28" w:rsidR="001B6FFB" w:rsidRPr="001916A0" w:rsidRDefault="001B6FFB" w:rsidP="001916A0">
            <w:pPr>
              <w:rPr>
                <w:rFonts w:cs="Calibri"/>
              </w:rPr>
            </w:pPr>
          </w:p>
        </w:tc>
      </w:tr>
      <w:tr w:rsidR="001B6FFB" w:rsidRPr="00144E99" w14:paraId="65AFFDC2" w14:textId="77777777" w:rsidTr="000D2A58">
        <w:trPr>
          <w:cantSplit/>
        </w:trPr>
        <w:tc>
          <w:tcPr>
            <w:tcW w:w="1295" w:type="pct"/>
            <w:tcBorders>
              <w:top w:val="dashed" w:sz="4" w:space="0" w:color="365F91"/>
              <w:bottom w:val="dashed" w:sz="4" w:space="0" w:color="365F91"/>
            </w:tcBorders>
            <w:shd w:val="clear" w:color="auto" w:fill="auto"/>
          </w:tcPr>
          <w:p w14:paraId="0E5FF68D" w14:textId="77777777" w:rsidR="001B6FFB" w:rsidRPr="00144E99" w:rsidRDefault="001B6FFB" w:rsidP="00BC36A9">
            <w:pPr>
              <w:spacing w:before="120" w:after="120"/>
              <w:ind w:left="-76"/>
              <w:jc w:val="left"/>
              <w:rPr>
                <w:rFonts w:cs="Calibri"/>
                <w:b/>
              </w:rPr>
            </w:pPr>
            <w:r w:rsidRPr="00144E99">
              <w:rPr>
                <w:rFonts w:cs="Calibri"/>
                <w:b/>
              </w:rPr>
              <w:t xml:space="preserve">Council of Australian Governments (COAG) </w:t>
            </w:r>
          </w:p>
          <w:p w14:paraId="12823327" w14:textId="77777777" w:rsidR="001B6FFB" w:rsidRPr="00144E99" w:rsidRDefault="001B6FFB" w:rsidP="00BC36A9">
            <w:pPr>
              <w:spacing w:before="120" w:after="120"/>
              <w:ind w:left="-76"/>
              <w:jc w:val="left"/>
              <w:rPr>
                <w:rFonts w:cs="Calibri"/>
                <w:b/>
              </w:rPr>
            </w:pPr>
          </w:p>
        </w:tc>
        <w:tc>
          <w:tcPr>
            <w:tcW w:w="3705" w:type="pct"/>
            <w:tcBorders>
              <w:top w:val="dashed" w:sz="4" w:space="0" w:color="365F91"/>
              <w:bottom w:val="dashed" w:sz="4" w:space="0" w:color="365F91"/>
            </w:tcBorders>
            <w:shd w:val="clear" w:color="auto" w:fill="auto"/>
          </w:tcPr>
          <w:p w14:paraId="27F10DED" w14:textId="281C9FD2" w:rsidR="001916A0" w:rsidRDefault="001B6FFB" w:rsidP="00BC36A9">
            <w:pPr>
              <w:spacing w:before="120" w:after="120"/>
              <w:jc w:val="left"/>
              <w:rPr>
                <w:rFonts w:cs="Calibri"/>
              </w:rPr>
            </w:pPr>
            <w:r w:rsidRPr="00144E99">
              <w:rPr>
                <w:rFonts w:cs="Calibri"/>
              </w:rPr>
              <w:t xml:space="preserve">The Council of Australian Governments, being the peak intergovernmental forum in Australia, comprising the Prime Minister, State Premiers, Territory Chief Ministers and the President of the Australian Local Government Association (ALGA). </w:t>
            </w:r>
          </w:p>
          <w:p w14:paraId="6D2C0DDC" w14:textId="78227098" w:rsidR="001B6FFB" w:rsidRPr="001916A0" w:rsidRDefault="001B6FFB" w:rsidP="001916A0">
            <w:pPr>
              <w:rPr>
                <w:rFonts w:cs="Calibri"/>
              </w:rPr>
            </w:pPr>
          </w:p>
        </w:tc>
      </w:tr>
      <w:tr w:rsidR="001B6FFB" w:rsidRPr="00144E99" w14:paraId="382FEA29" w14:textId="77777777" w:rsidTr="000D2A58">
        <w:trPr>
          <w:cantSplit/>
        </w:trPr>
        <w:tc>
          <w:tcPr>
            <w:tcW w:w="1295" w:type="pct"/>
            <w:tcBorders>
              <w:top w:val="dashed" w:sz="4" w:space="0" w:color="365F91"/>
              <w:bottom w:val="dashed" w:sz="4" w:space="0" w:color="365F91"/>
            </w:tcBorders>
            <w:shd w:val="clear" w:color="auto" w:fill="auto"/>
          </w:tcPr>
          <w:p w14:paraId="2BA6F250" w14:textId="77777777" w:rsidR="001B6FFB" w:rsidRPr="00144E99" w:rsidRDefault="001B6FFB" w:rsidP="00BC36A9">
            <w:pPr>
              <w:spacing w:before="120" w:after="120"/>
              <w:ind w:left="-76"/>
              <w:jc w:val="left"/>
              <w:rPr>
                <w:rFonts w:cs="Calibri"/>
                <w:b/>
              </w:rPr>
            </w:pPr>
            <w:r w:rsidRPr="00144E99">
              <w:rPr>
                <w:rFonts w:cs="Calibri"/>
                <w:b/>
              </w:rPr>
              <w:lastRenderedPageBreak/>
              <w:t>Education Council</w:t>
            </w:r>
          </w:p>
        </w:tc>
        <w:tc>
          <w:tcPr>
            <w:tcW w:w="3705" w:type="pct"/>
            <w:tcBorders>
              <w:top w:val="dashed" w:sz="4" w:space="0" w:color="365F91"/>
              <w:bottom w:val="dashed" w:sz="4" w:space="0" w:color="365F91"/>
            </w:tcBorders>
            <w:shd w:val="clear" w:color="auto" w:fill="auto"/>
          </w:tcPr>
          <w:p w14:paraId="3EAAC40D" w14:textId="77777777" w:rsidR="001B6FFB" w:rsidRPr="00144E99" w:rsidRDefault="001B6FFB" w:rsidP="00D52381">
            <w:pPr>
              <w:spacing w:before="120" w:after="120"/>
              <w:jc w:val="left"/>
              <w:rPr>
                <w:rFonts w:cs="Calibri"/>
              </w:rPr>
            </w:pPr>
            <w:r w:rsidRPr="00144E99">
              <w:rPr>
                <w:rFonts w:cs="Calibri"/>
              </w:rPr>
              <w:t xml:space="preserve">Education Council was established under Council of Australian Governments (COAG) arrangements. </w:t>
            </w:r>
            <w:r w:rsidR="00DE048A" w:rsidRPr="00144E99">
              <w:rPr>
                <w:rFonts w:cs="Calibri"/>
                <w:color w:val="auto"/>
                <w:w w:val="105"/>
              </w:rPr>
              <w:t>Membership includes State, Territory, Australian Government and New Zealand Ministers with portfolio responsibility for school education, early childhood and/or higher education, as nominated by their respective First Ministers.</w:t>
            </w:r>
            <w:r w:rsidR="00DE048A" w:rsidRPr="00144E99">
              <w:rPr>
                <w:color w:val="auto"/>
                <w:w w:val="105"/>
              </w:rPr>
              <w:t xml:space="preserve"> </w:t>
            </w:r>
            <w:r w:rsidRPr="00144E99">
              <w:rPr>
                <w:rFonts w:cs="Calibri"/>
              </w:rPr>
              <w:t>It provides a forum through which strategic policy on school education, early childhood and higher education can be coordinated at the national level and through which information can be shared, and resources used collaboratively, to address issues of national significance.</w:t>
            </w:r>
          </w:p>
        </w:tc>
      </w:tr>
      <w:tr w:rsidR="001B6FFB" w:rsidRPr="00144E99" w14:paraId="4C1C11C9" w14:textId="77777777" w:rsidTr="000D2A58">
        <w:trPr>
          <w:cantSplit/>
        </w:trPr>
        <w:tc>
          <w:tcPr>
            <w:tcW w:w="1295" w:type="pct"/>
            <w:tcBorders>
              <w:top w:val="dashed" w:sz="4" w:space="0" w:color="365F91"/>
              <w:bottom w:val="dashed" w:sz="4" w:space="0" w:color="365F91"/>
            </w:tcBorders>
            <w:shd w:val="clear" w:color="auto" w:fill="auto"/>
          </w:tcPr>
          <w:p w14:paraId="2136ECA8" w14:textId="77777777" w:rsidR="001B6FFB" w:rsidRPr="00144E99" w:rsidRDefault="001B6FFB" w:rsidP="00BC36A9">
            <w:pPr>
              <w:spacing w:before="120" w:after="120"/>
              <w:ind w:left="-76"/>
              <w:jc w:val="left"/>
              <w:rPr>
                <w:rFonts w:cs="Calibri"/>
                <w:b/>
              </w:rPr>
            </w:pPr>
            <w:r w:rsidRPr="00144E99">
              <w:rPr>
                <w:rFonts w:cs="Calibri"/>
                <w:b/>
              </w:rPr>
              <w:t>Education Services Australia (ESA)</w:t>
            </w:r>
          </w:p>
        </w:tc>
        <w:tc>
          <w:tcPr>
            <w:tcW w:w="3705" w:type="pct"/>
            <w:tcBorders>
              <w:top w:val="dashed" w:sz="4" w:space="0" w:color="365F91"/>
              <w:bottom w:val="dashed" w:sz="4" w:space="0" w:color="365F91"/>
            </w:tcBorders>
            <w:shd w:val="clear" w:color="auto" w:fill="auto"/>
          </w:tcPr>
          <w:p w14:paraId="5321A0A1" w14:textId="77777777" w:rsidR="001B6FFB" w:rsidRPr="00144E99" w:rsidRDefault="00CB4322" w:rsidP="00CB4322">
            <w:pPr>
              <w:spacing w:before="120" w:after="120"/>
              <w:jc w:val="left"/>
              <w:rPr>
                <w:rFonts w:cs="Calibri"/>
              </w:rPr>
            </w:pPr>
            <w:r w:rsidRPr="00144E99">
              <w:rPr>
                <w:rFonts w:cs="Calibri"/>
              </w:rPr>
              <w:t>A</w:t>
            </w:r>
            <w:r w:rsidR="001B6FFB" w:rsidRPr="00144E99">
              <w:rPr>
                <w:rFonts w:cs="Calibri"/>
              </w:rPr>
              <w:t xml:space="preserve"> company whose members consist of all State</w:t>
            </w:r>
            <w:r w:rsidR="002E79FC" w:rsidRPr="00144E99">
              <w:rPr>
                <w:rFonts w:cs="Calibri"/>
              </w:rPr>
              <w:t xml:space="preserve">, </w:t>
            </w:r>
            <w:r w:rsidR="001B6FFB" w:rsidRPr="00144E99">
              <w:rPr>
                <w:rFonts w:cs="Calibri"/>
              </w:rPr>
              <w:t>Territory and Federal Education Ministers. It supports delivery of national priorities and initiatives in schools, training and higher education sectors</w:t>
            </w:r>
            <w:r w:rsidR="00672C65" w:rsidRPr="00144E99">
              <w:rPr>
                <w:rFonts w:cs="Calibri"/>
              </w:rPr>
              <w:t>.</w:t>
            </w:r>
          </w:p>
        </w:tc>
      </w:tr>
      <w:tr w:rsidR="00C73491" w:rsidRPr="00144E99" w14:paraId="728BA833" w14:textId="77777777" w:rsidTr="00B9327B">
        <w:trPr>
          <w:cantSplit/>
          <w:trHeight w:val="817"/>
        </w:trPr>
        <w:tc>
          <w:tcPr>
            <w:tcW w:w="1295" w:type="pct"/>
            <w:tcBorders>
              <w:top w:val="dashed" w:sz="4" w:space="0" w:color="365F91"/>
              <w:bottom w:val="dashed" w:sz="4" w:space="0" w:color="365F91"/>
            </w:tcBorders>
            <w:shd w:val="clear" w:color="auto" w:fill="auto"/>
          </w:tcPr>
          <w:p w14:paraId="6BE328EE" w14:textId="77777777" w:rsidR="00C73491" w:rsidRPr="00144E99" w:rsidRDefault="00C73491" w:rsidP="00C73491">
            <w:pPr>
              <w:spacing w:before="120" w:after="120"/>
              <w:ind w:left="-76"/>
              <w:jc w:val="left"/>
              <w:rPr>
                <w:rFonts w:cs="Calibri"/>
                <w:b/>
              </w:rPr>
            </w:pPr>
            <w:r w:rsidRPr="00144E99">
              <w:rPr>
                <w:rFonts w:cs="Calibri"/>
                <w:b/>
              </w:rPr>
              <w:t>First Ministers</w:t>
            </w:r>
          </w:p>
        </w:tc>
        <w:tc>
          <w:tcPr>
            <w:tcW w:w="3705" w:type="pct"/>
            <w:tcBorders>
              <w:top w:val="dashed" w:sz="4" w:space="0" w:color="365F91"/>
              <w:bottom w:val="dashed" w:sz="4" w:space="0" w:color="365F91"/>
            </w:tcBorders>
            <w:shd w:val="clear" w:color="auto" w:fill="auto"/>
          </w:tcPr>
          <w:p w14:paraId="04A6154C" w14:textId="77777777" w:rsidR="00C73491" w:rsidRPr="00144E99" w:rsidRDefault="00C73491" w:rsidP="00CB0FB1">
            <w:pPr>
              <w:spacing w:before="120" w:after="120"/>
              <w:jc w:val="left"/>
              <w:rPr>
                <w:rFonts w:cs="Calibri"/>
              </w:rPr>
            </w:pPr>
            <w:r w:rsidRPr="00144E99">
              <w:rPr>
                <w:rFonts w:cs="Calibri"/>
              </w:rPr>
              <w:t xml:space="preserve">The Premiers of each Australian </w:t>
            </w:r>
            <w:r w:rsidR="00CB0FB1" w:rsidRPr="00144E99">
              <w:rPr>
                <w:rFonts w:cs="Calibri"/>
              </w:rPr>
              <w:t>S</w:t>
            </w:r>
            <w:r w:rsidRPr="00144E99">
              <w:rPr>
                <w:rFonts w:cs="Calibri"/>
              </w:rPr>
              <w:t>tate and the Chief Ministers of the Northern Territory and the Australian Capital Territory.</w:t>
            </w:r>
          </w:p>
        </w:tc>
      </w:tr>
      <w:tr w:rsidR="00C73491" w:rsidRPr="00144E99" w14:paraId="41AE58DC" w14:textId="77777777" w:rsidTr="00E80782">
        <w:trPr>
          <w:cantSplit/>
        </w:trPr>
        <w:tc>
          <w:tcPr>
            <w:tcW w:w="1295" w:type="pct"/>
            <w:tcBorders>
              <w:top w:val="dashed" w:sz="4" w:space="0" w:color="365F91"/>
              <w:bottom w:val="dashed" w:sz="4" w:space="0" w:color="365F91"/>
            </w:tcBorders>
            <w:shd w:val="clear" w:color="auto" w:fill="auto"/>
          </w:tcPr>
          <w:p w14:paraId="72C09114" w14:textId="77777777" w:rsidR="00C73491" w:rsidRPr="00144E99" w:rsidRDefault="00C73491" w:rsidP="00C73491">
            <w:pPr>
              <w:spacing w:before="120" w:after="120"/>
              <w:ind w:left="-76"/>
              <w:jc w:val="left"/>
              <w:rPr>
                <w:rFonts w:cs="Calibri"/>
                <w:b/>
              </w:rPr>
            </w:pPr>
            <w:r w:rsidRPr="00144E99">
              <w:rPr>
                <w:rFonts w:cs="Calibri"/>
                <w:b/>
              </w:rPr>
              <w:t xml:space="preserve">National policy initiative </w:t>
            </w:r>
          </w:p>
        </w:tc>
        <w:tc>
          <w:tcPr>
            <w:tcW w:w="3705" w:type="pct"/>
            <w:tcBorders>
              <w:top w:val="dashed" w:sz="4" w:space="0" w:color="365F91"/>
              <w:bottom w:val="dashed" w:sz="4" w:space="0" w:color="365F91"/>
            </w:tcBorders>
            <w:shd w:val="clear" w:color="auto" w:fill="auto"/>
          </w:tcPr>
          <w:p w14:paraId="608AA37A" w14:textId="77777777" w:rsidR="00C73491" w:rsidRPr="00144E99" w:rsidRDefault="00C73491" w:rsidP="00E37477">
            <w:pPr>
              <w:spacing w:before="120" w:after="120"/>
              <w:jc w:val="left"/>
              <w:rPr>
                <w:rFonts w:cs="Calibri"/>
              </w:rPr>
            </w:pPr>
            <w:r w:rsidRPr="00144E99">
              <w:rPr>
                <w:rFonts w:cs="Calibri"/>
              </w:rPr>
              <w:t>A matter set out in the national school reform agreement for which Education Council has agreed an approach and timetable for national implementation and is overseeing its implementation.</w:t>
            </w:r>
            <w:r w:rsidR="00E37477" w:rsidRPr="00144E99">
              <w:rPr>
                <w:rFonts w:cs="Calibri"/>
              </w:rPr>
              <w:t xml:space="preserve"> Implementation of national policy initiatives in the national school reform agreement is a condition of funding under sections 22(2) and 77(2A) of the Act.</w:t>
            </w:r>
          </w:p>
        </w:tc>
      </w:tr>
      <w:tr w:rsidR="00C73491" w:rsidRPr="00144E99" w14:paraId="2FD6C097" w14:textId="77777777" w:rsidTr="00E80782">
        <w:trPr>
          <w:cantSplit/>
        </w:trPr>
        <w:tc>
          <w:tcPr>
            <w:tcW w:w="1295" w:type="pct"/>
            <w:tcBorders>
              <w:top w:val="dashed" w:sz="4" w:space="0" w:color="365F91"/>
              <w:bottom w:val="dashed" w:sz="4" w:space="0" w:color="365F91"/>
            </w:tcBorders>
            <w:shd w:val="clear" w:color="auto" w:fill="auto"/>
          </w:tcPr>
          <w:p w14:paraId="5893CC15" w14:textId="77777777" w:rsidR="00C73491" w:rsidRPr="00144E99" w:rsidRDefault="00C73491" w:rsidP="00C73491">
            <w:pPr>
              <w:spacing w:before="120" w:after="120"/>
              <w:ind w:left="-76"/>
              <w:jc w:val="left"/>
              <w:rPr>
                <w:rFonts w:cs="Calibri"/>
                <w:b/>
              </w:rPr>
            </w:pPr>
            <w:r w:rsidRPr="00144E99">
              <w:rPr>
                <w:rFonts w:cs="Calibri"/>
                <w:b/>
              </w:rPr>
              <w:t>National policy initiative (new)</w:t>
            </w:r>
          </w:p>
        </w:tc>
        <w:tc>
          <w:tcPr>
            <w:tcW w:w="3705" w:type="pct"/>
            <w:tcBorders>
              <w:top w:val="dashed" w:sz="4" w:space="0" w:color="365F91"/>
              <w:bottom w:val="dashed" w:sz="4" w:space="0" w:color="365F91"/>
            </w:tcBorders>
            <w:shd w:val="clear" w:color="auto" w:fill="auto"/>
          </w:tcPr>
          <w:p w14:paraId="39092B81" w14:textId="77777777" w:rsidR="001B1C58" w:rsidRPr="00144E99" w:rsidRDefault="00C73491" w:rsidP="001B0C3C">
            <w:pPr>
              <w:spacing w:before="120" w:after="120"/>
              <w:jc w:val="left"/>
            </w:pPr>
            <w:r w:rsidRPr="00144E99">
              <w:t>Any future matter not set out in the national school reform agreement that Education Council agrees to explore and consider an approach and timetable for its national implementation.</w:t>
            </w:r>
            <w:r w:rsidR="00E37477" w:rsidRPr="00144E99">
              <w:t xml:space="preserve"> </w:t>
            </w:r>
            <w:r w:rsidR="00E37477" w:rsidRPr="00144E99">
              <w:rPr>
                <w:rFonts w:cs="Calibri"/>
              </w:rPr>
              <w:t xml:space="preserve">Implementation of </w:t>
            </w:r>
            <w:r w:rsidR="001B0C3C" w:rsidRPr="00144E99">
              <w:rPr>
                <w:rFonts w:cs="Calibri"/>
              </w:rPr>
              <w:t xml:space="preserve">new </w:t>
            </w:r>
            <w:r w:rsidR="00E37477" w:rsidRPr="00144E99">
              <w:rPr>
                <w:rFonts w:cs="Calibri"/>
              </w:rPr>
              <w:t>national policy initiatives</w:t>
            </w:r>
            <w:r w:rsidR="001B0C3C" w:rsidRPr="00144E99">
              <w:rPr>
                <w:rFonts w:cs="Calibri"/>
              </w:rPr>
              <w:t xml:space="preserve"> agreed by Education Council subsequent to the national school </w:t>
            </w:r>
            <w:r w:rsidR="00E37477" w:rsidRPr="00144E99">
              <w:rPr>
                <w:rFonts w:cs="Calibri"/>
              </w:rPr>
              <w:t>reform agreement</w:t>
            </w:r>
            <w:r w:rsidR="001B0C3C" w:rsidRPr="00144E99">
              <w:rPr>
                <w:rFonts w:cs="Calibri"/>
              </w:rPr>
              <w:t xml:space="preserve"> </w:t>
            </w:r>
            <w:r w:rsidR="00E37477" w:rsidRPr="00144E99">
              <w:rPr>
                <w:rFonts w:cs="Calibri"/>
              </w:rPr>
              <w:t>is a condition of funding under sections 22(</w:t>
            </w:r>
            <w:r w:rsidR="001B0C3C" w:rsidRPr="00144E99">
              <w:rPr>
                <w:rFonts w:cs="Calibri"/>
              </w:rPr>
              <w:t>1</w:t>
            </w:r>
            <w:r w:rsidR="00E37477" w:rsidRPr="00144E99">
              <w:rPr>
                <w:rFonts w:cs="Calibri"/>
              </w:rPr>
              <w:t>) and 77(2A) of the Act</w:t>
            </w:r>
            <w:r w:rsidR="001B0C3C" w:rsidRPr="00144E99">
              <w:rPr>
                <w:rFonts w:cs="Calibri"/>
              </w:rPr>
              <w:t>.</w:t>
            </w:r>
          </w:p>
        </w:tc>
      </w:tr>
      <w:tr w:rsidR="00C73491" w:rsidRPr="00144E99" w14:paraId="50450CA2" w14:textId="77777777" w:rsidTr="000D2A58">
        <w:trPr>
          <w:cantSplit/>
        </w:trPr>
        <w:tc>
          <w:tcPr>
            <w:tcW w:w="1295" w:type="pct"/>
            <w:tcBorders>
              <w:top w:val="dashed" w:sz="4" w:space="0" w:color="365F91"/>
              <w:bottom w:val="dashed" w:sz="4" w:space="0" w:color="365F91"/>
            </w:tcBorders>
            <w:shd w:val="clear" w:color="auto" w:fill="auto"/>
          </w:tcPr>
          <w:p w14:paraId="5CA73AB1" w14:textId="77777777" w:rsidR="00C73491" w:rsidRPr="00144E99" w:rsidRDefault="00C73491" w:rsidP="00C73491">
            <w:pPr>
              <w:spacing w:before="120" w:after="120"/>
              <w:ind w:left="-76"/>
              <w:jc w:val="left"/>
              <w:rPr>
                <w:rFonts w:cs="Calibri"/>
                <w:b/>
              </w:rPr>
            </w:pPr>
            <w:r w:rsidRPr="00144E99">
              <w:rPr>
                <w:rFonts w:cs="Calibri"/>
                <w:b/>
              </w:rPr>
              <w:t>National School Resourcing Board</w:t>
            </w:r>
          </w:p>
        </w:tc>
        <w:tc>
          <w:tcPr>
            <w:tcW w:w="3705" w:type="pct"/>
            <w:tcBorders>
              <w:top w:val="dashed" w:sz="4" w:space="0" w:color="365F91"/>
              <w:bottom w:val="dashed" w:sz="4" w:space="0" w:color="365F91"/>
            </w:tcBorders>
            <w:shd w:val="clear" w:color="auto" w:fill="auto"/>
          </w:tcPr>
          <w:p w14:paraId="16839057" w14:textId="77777777" w:rsidR="00C73491" w:rsidRPr="00144E99" w:rsidRDefault="00C73491" w:rsidP="00DE048A">
            <w:pPr>
              <w:spacing w:before="120" w:after="120"/>
              <w:jc w:val="left"/>
              <w:rPr>
                <w:rFonts w:cs="Calibri"/>
              </w:rPr>
            </w:pPr>
            <w:r w:rsidRPr="00144E99">
              <w:rPr>
                <w:rFonts w:cs="Calibri"/>
              </w:rPr>
              <w:t xml:space="preserve">The Commonwealth has established a National School Resourcing Board (the Board) to provide greater independent oversight over Commonwealth school funding. The Board will undertake reviews of different parts of the funding model under section 128(1) </w:t>
            </w:r>
            <w:r w:rsidR="00B07B3D" w:rsidRPr="00144E99">
              <w:rPr>
                <w:rFonts w:cs="Calibri"/>
              </w:rPr>
              <w:t xml:space="preserve">of </w:t>
            </w:r>
            <w:r w:rsidRPr="00144E99">
              <w:rPr>
                <w:rFonts w:cs="Calibri"/>
              </w:rPr>
              <w:t>the</w:t>
            </w:r>
            <w:r w:rsidR="00DE048A" w:rsidRPr="00144E99">
              <w:rPr>
                <w:rFonts w:cs="Calibri"/>
              </w:rPr>
              <w:t xml:space="preserve"> Act</w:t>
            </w:r>
            <w:r w:rsidRPr="00144E99">
              <w:rPr>
                <w:rFonts w:cs="Calibri"/>
              </w:rPr>
              <w:t xml:space="preserve">. </w:t>
            </w:r>
          </w:p>
        </w:tc>
      </w:tr>
      <w:tr w:rsidR="00C73491" w:rsidRPr="00144E99" w14:paraId="0A4403CC" w14:textId="77777777" w:rsidTr="000D2A58">
        <w:trPr>
          <w:cantSplit/>
        </w:trPr>
        <w:tc>
          <w:tcPr>
            <w:tcW w:w="1295" w:type="pct"/>
            <w:tcBorders>
              <w:top w:val="dashed" w:sz="4" w:space="0" w:color="365F91"/>
              <w:bottom w:val="dashed" w:sz="4" w:space="0" w:color="365F91"/>
            </w:tcBorders>
            <w:shd w:val="clear" w:color="auto" w:fill="auto"/>
          </w:tcPr>
          <w:p w14:paraId="04027115" w14:textId="77777777" w:rsidR="00C73491" w:rsidRPr="00144E99" w:rsidRDefault="00C73491" w:rsidP="00C73491">
            <w:pPr>
              <w:spacing w:before="120" w:after="120"/>
              <w:ind w:left="-76"/>
              <w:jc w:val="left"/>
              <w:rPr>
                <w:rFonts w:cs="Calibri"/>
                <w:b/>
              </w:rPr>
            </w:pPr>
            <w:r w:rsidRPr="00144E99">
              <w:rPr>
                <w:rFonts w:cs="Calibri"/>
                <w:b/>
              </w:rPr>
              <w:t>Non-government representative body</w:t>
            </w:r>
          </w:p>
        </w:tc>
        <w:tc>
          <w:tcPr>
            <w:tcW w:w="3705" w:type="pct"/>
            <w:tcBorders>
              <w:top w:val="dashed" w:sz="4" w:space="0" w:color="365F91"/>
              <w:bottom w:val="dashed" w:sz="4" w:space="0" w:color="365F91"/>
            </w:tcBorders>
            <w:shd w:val="clear" w:color="auto" w:fill="auto"/>
          </w:tcPr>
          <w:p w14:paraId="6CB8D804" w14:textId="77777777" w:rsidR="00C73491" w:rsidRPr="00144E99" w:rsidRDefault="00C73491" w:rsidP="00427842">
            <w:pPr>
              <w:spacing w:after="120" w:line="240" w:lineRule="auto"/>
              <w:rPr>
                <w:rFonts w:cs="Calibri"/>
              </w:rPr>
            </w:pPr>
            <w:r w:rsidRPr="00144E99">
              <w:rPr>
                <w:rFonts w:cstheme="minorHAnsi"/>
                <w:szCs w:val="24"/>
              </w:rPr>
              <w:t xml:space="preserve">Non-government representative bodies </w:t>
            </w:r>
            <w:r w:rsidRPr="00144E99">
              <w:rPr>
                <w:rFonts w:cs="Times New Roman"/>
                <w:szCs w:val="24"/>
              </w:rPr>
              <w:t xml:space="preserve">are bodies corporate approved by the Minister for Education and Training under section 91 of the </w:t>
            </w:r>
            <w:r w:rsidR="00DE048A" w:rsidRPr="00144E99">
              <w:rPr>
                <w:rFonts w:cs="Times New Roman"/>
                <w:szCs w:val="24"/>
              </w:rPr>
              <w:t xml:space="preserve">Act </w:t>
            </w:r>
            <w:r w:rsidRPr="00144E99">
              <w:rPr>
                <w:rFonts w:cs="Times New Roman"/>
                <w:szCs w:val="24"/>
              </w:rPr>
              <w:t>to receive funding to support the implementation of the Commonwea</w:t>
            </w:r>
            <w:r w:rsidR="00164CD8" w:rsidRPr="00144E99">
              <w:rPr>
                <w:rFonts w:cs="Times New Roman"/>
                <w:szCs w:val="24"/>
              </w:rPr>
              <w:t>l</w:t>
            </w:r>
            <w:r w:rsidRPr="00144E99">
              <w:rPr>
                <w:rFonts w:cs="Times New Roman"/>
                <w:szCs w:val="24"/>
              </w:rPr>
              <w:t>th’s school education reform priorities in non-government schools.</w:t>
            </w:r>
          </w:p>
        </w:tc>
      </w:tr>
      <w:tr w:rsidR="00C73491" w:rsidRPr="00144E99" w14:paraId="1F2BB24E" w14:textId="77777777" w:rsidTr="000D2A58">
        <w:trPr>
          <w:cantSplit/>
        </w:trPr>
        <w:tc>
          <w:tcPr>
            <w:tcW w:w="1295" w:type="pct"/>
            <w:tcBorders>
              <w:top w:val="dashed" w:sz="4" w:space="0" w:color="365F91"/>
              <w:bottom w:val="dashed" w:sz="4" w:space="0" w:color="365F91"/>
            </w:tcBorders>
            <w:shd w:val="clear" w:color="auto" w:fill="auto"/>
          </w:tcPr>
          <w:p w14:paraId="6E5263C7" w14:textId="77777777" w:rsidR="00C73491" w:rsidRPr="00144E99" w:rsidRDefault="00C73491" w:rsidP="00C73491">
            <w:pPr>
              <w:spacing w:before="120" w:after="120"/>
              <w:ind w:left="-76"/>
              <w:jc w:val="left"/>
              <w:rPr>
                <w:rFonts w:cs="Calibri"/>
                <w:b/>
              </w:rPr>
            </w:pPr>
            <w:r w:rsidRPr="00144E99">
              <w:rPr>
                <w:rFonts w:cs="Calibri"/>
                <w:b/>
              </w:rPr>
              <w:t>State-specific reform</w:t>
            </w:r>
          </w:p>
        </w:tc>
        <w:tc>
          <w:tcPr>
            <w:tcW w:w="3705" w:type="pct"/>
            <w:tcBorders>
              <w:top w:val="dashed" w:sz="4" w:space="0" w:color="365F91"/>
              <w:bottom w:val="dashed" w:sz="4" w:space="0" w:color="365F91"/>
            </w:tcBorders>
            <w:shd w:val="clear" w:color="auto" w:fill="auto"/>
          </w:tcPr>
          <w:p w14:paraId="69CAABBF" w14:textId="77777777" w:rsidR="00C73491" w:rsidRPr="00144E99" w:rsidRDefault="00C73491" w:rsidP="00CB0FB1">
            <w:pPr>
              <w:spacing w:before="120" w:after="120"/>
              <w:jc w:val="left"/>
              <w:rPr>
                <w:rFonts w:cs="Calibri"/>
              </w:rPr>
            </w:pPr>
            <w:r w:rsidRPr="00144E99">
              <w:rPr>
                <w:rFonts w:cs="Calibri"/>
              </w:rPr>
              <w:t xml:space="preserve">A matter without Education Council oversight for which a </w:t>
            </w:r>
            <w:r w:rsidR="00CB0FB1" w:rsidRPr="00144E99">
              <w:rPr>
                <w:rFonts w:cs="Calibri"/>
              </w:rPr>
              <w:t>S</w:t>
            </w:r>
            <w:r w:rsidRPr="00144E99">
              <w:rPr>
                <w:rFonts w:cs="Calibri"/>
              </w:rPr>
              <w:t>tate has agreed to develop an approach and timetable for its local implementation, and/or is in the process of implementing locally.</w:t>
            </w:r>
          </w:p>
        </w:tc>
      </w:tr>
      <w:tr w:rsidR="00C73491" w:rsidRPr="00144E99" w14:paraId="2C7F8B4C" w14:textId="77777777" w:rsidTr="000D2A58">
        <w:trPr>
          <w:cantSplit/>
        </w:trPr>
        <w:tc>
          <w:tcPr>
            <w:tcW w:w="1295" w:type="pct"/>
            <w:tcBorders>
              <w:top w:val="dashed" w:sz="4" w:space="0" w:color="365F91"/>
              <w:bottom w:val="dashed" w:sz="4" w:space="0" w:color="365F91"/>
            </w:tcBorders>
            <w:shd w:val="clear" w:color="auto" w:fill="auto"/>
          </w:tcPr>
          <w:p w14:paraId="6A640DBC" w14:textId="77777777" w:rsidR="00C73491" w:rsidRPr="00144E99" w:rsidRDefault="00C73491" w:rsidP="00C73491">
            <w:pPr>
              <w:spacing w:before="120" w:after="120"/>
              <w:ind w:left="-76"/>
              <w:jc w:val="left"/>
              <w:rPr>
                <w:rFonts w:cs="Calibri"/>
                <w:b/>
              </w:rPr>
            </w:pPr>
            <w:r w:rsidRPr="00144E99">
              <w:rPr>
                <w:rFonts w:cs="Calibri"/>
                <w:b/>
              </w:rPr>
              <w:t>State</w:t>
            </w:r>
          </w:p>
        </w:tc>
        <w:tc>
          <w:tcPr>
            <w:tcW w:w="3705" w:type="pct"/>
            <w:tcBorders>
              <w:top w:val="dashed" w:sz="4" w:space="0" w:color="365F91"/>
              <w:bottom w:val="dashed" w:sz="4" w:space="0" w:color="365F91"/>
            </w:tcBorders>
            <w:shd w:val="clear" w:color="auto" w:fill="auto"/>
          </w:tcPr>
          <w:p w14:paraId="1B6FD65E" w14:textId="77777777" w:rsidR="00C73491" w:rsidRPr="00144E99" w:rsidRDefault="00C73491" w:rsidP="00CB0FB1">
            <w:pPr>
              <w:spacing w:before="120" w:after="120"/>
              <w:jc w:val="left"/>
              <w:rPr>
                <w:rFonts w:cs="Calibri"/>
              </w:rPr>
            </w:pPr>
            <w:r w:rsidRPr="00144E99">
              <w:rPr>
                <w:rFonts w:cs="Calibri"/>
              </w:rPr>
              <w:t xml:space="preserve">Where the term </w:t>
            </w:r>
            <w:r w:rsidR="00CB0FB1" w:rsidRPr="00144E99">
              <w:rPr>
                <w:rFonts w:cs="Calibri"/>
              </w:rPr>
              <w:t>S</w:t>
            </w:r>
            <w:r w:rsidRPr="00144E99">
              <w:rPr>
                <w:rFonts w:cs="Calibri"/>
              </w:rPr>
              <w:t xml:space="preserve">tate is used, it is should be taken to apply to both a </w:t>
            </w:r>
            <w:r w:rsidR="00CB0FB1" w:rsidRPr="00144E99">
              <w:rPr>
                <w:rFonts w:cs="Calibri"/>
              </w:rPr>
              <w:t>S</w:t>
            </w:r>
            <w:r w:rsidRPr="00144E99">
              <w:rPr>
                <w:rFonts w:cs="Calibri"/>
              </w:rPr>
              <w:t xml:space="preserve">tate and </w:t>
            </w:r>
            <w:r w:rsidR="00CB0FB1" w:rsidRPr="00144E99">
              <w:rPr>
                <w:rFonts w:cs="Calibri"/>
              </w:rPr>
              <w:t>T</w:t>
            </w:r>
            <w:r w:rsidRPr="00144E99">
              <w:rPr>
                <w:rFonts w:cs="Calibri"/>
              </w:rPr>
              <w:t>erritory.</w:t>
            </w:r>
          </w:p>
        </w:tc>
      </w:tr>
    </w:tbl>
    <w:p w14:paraId="4B5725BA" w14:textId="77777777" w:rsidR="00B9327B" w:rsidRDefault="00B9327B">
      <w:pPr>
        <w:sectPr w:rsidR="00B9327B" w:rsidSect="001916A0">
          <w:headerReference w:type="default" r:id="rId26"/>
          <w:footerReference w:type="default" r:id="rId27"/>
          <w:pgSz w:w="11906" w:h="16838"/>
          <w:pgMar w:top="993" w:right="1440" w:bottom="1276" w:left="1440" w:header="708" w:footer="708" w:gutter="0"/>
          <w:cols w:space="708"/>
          <w:docGrid w:linePitch="360"/>
        </w:sectPr>
      </w:pPr>
      <w:bookmarkStart w:id="71" w:name="_Toc353879083"/>
    </w:p>
    <w:p w14:paraId="406328DC" w14:textId="340BFF8A" w:rsidR="00540DB9" w:rsidRDefault="00540DB9" w:rsidP="00633C9A"/>
    <w:tbl>
      <w:tblPr>
        <w:tblpPr w:leftFromText="180" w:rightFromText="180" w:vertAnchor="text" w:horzAnchor="margin" w:tblpY="136"/>
        <w:tblW w:w="4985" w:type="pct"/>
        <w:tblLook w:val="01E0" w:firstRow="1" w:lastRow="1" w:firstColumn="1" w:lastColumn="1" w:noHBand="0" w:noVBand="0"/>
      </w:tblPr>
      <w:tblGrid>
        <w:gridCol w:w="2046"/>
        <w:gridCol w:w="6953"/>
      </w:tblGrid>
      <w:tr w:rsidR="00C82A64" w:rsidRPr="00144E99" w14:paraId="4CCCA167" w14:textId="77777777" w:rsidTr="00B85885">
        <w:tc>
          <w:tcPr>
            <w:tcW w:w="5000" w:type="pct"/>
            <w:gridSpan w:val="2"/>
          </w:tcPr>
          <w:p w14:paraId="58F16E24" w14:textId="126178C7" w:rsidR="00C82A64" w:rsidRPr="00144E99" w:rsidRDefault="00C82A64" w:rsidP="00B85885">
            <w:pPr>
              <w:pStyle w:val="CoverTitleMain"/>
              <w:jc w:val="left"/>
              <w:rPr>
                <w:rFonts w:ascii="Corbel" w:hAnsi="Corbel"/>
                <w:caps w:val="0"/>
                <w:color w:val="316F72"/>
                <w:sz w:val="72"/>
                <w:szCs w:val="72"/>
              </w:rPr>
            </w:pPr>
            <w:r w:rsidRPr="00144E99">
              <w:rPr>
                <w:rFonts w:ascii="Corbel" w:hAnsi="Corbel"/>
                <w:caps w:val="0"/>
                <w:color w:val="316F72"/>
                <w:sz w:val="72"/>
                <w:szCs w:val="72"/>
              </w:rPr>
              <w:t xml:space="preserve">Schedule </w:t>
            </w:r>
            <w:r w:rsidR="00963B52" w:rsidRPr="00144E99">
              <w:rPr>
                <w:rFonts w:ascii="Corbel" w:hAnsi="Corbel"/>
                <w:caps w:val="0"/>
                <w:color w:val="316F72"/>
                <w:sz w:val="72"/>
                <w:szCs w:val="72"/>
              </w:rPr>
              <w:t>B</w:t>
            </w:r>
            <w:r w:rsidRPr="00144E99">
              <w:rPr>
                <w:rFonts w:ascii="Corbel" w:hAnsi="Corbel"/>
                <w:caps w:val="0"/>
                <w:color w:val="316F72"/>
                <w:sz w:val="72"/>
                <w:szCs w:val="72"/>
              </w:rPr>
              <w:t>:</w:t>
            </w:r>
          </w:p>
          <w:p w14:paraId="411B3BA9" w14:textId="77777777" w:rsidR="00C82A64" w:rsidRPr="00144E99" w:rsidRDefault="00C82A64" w:rsidP="00B85885">
            <w:pPr>
              <w:pStyle w:val="CoverTitleMain"/>
              <w:jc w:val="left"/>
            </w:pPr>
            <w:r w:rsidRPr="00144E99">
              <w:rPr>
                <w:rFonts w:ascii="Corbel" w:hAnsi="Corbel"/>
                <w:caps w:val="0"/>
                <w:color w:val="316F72"/>
                <w:sz w:val="72"/>
                <w:szCs w:val="72"/>
              </w:rPr>
              <w:t>National Policy Initiatives</w:t>
            </w:r>
          </w:p>
        </w:tc>
      </w:tr>
      <w:tr w:rsidR="00C82A64" w:rsidRPr="00144E99" w14:paraId="2940C6C4" w14:textId="77777777" w:rsidTr="00B85885">
        <w:tc>
          <w:tcPr>
            <w:tcW w:w="1137" w:type="pct"/>
          </w:tcPr>
          <w:p w14:paraId="6158D28B" w14:textId="77777777" w:rsidR="00C82A64" w:rsidRPr="00144E99" w:rsidRDefault="00C82A64" w:rsidP="00B85885"/>
        </w:tc>
        <w:tc>
          <w:tcPr>
            <w:tcW w:w="3863" w:type="pct"/>
          </w:tcPr>
          <w:p w14:paraId="27920E71" w14:textId="77777777" w:rsidR="00C82A64" w:rsidRPr="00144E99" w:rsidRDefault="00C82A64" w:rsidP="00B85885"/>
        </w:tc>
      </w:tr>
      <w:tr w:rsidR="00C82A64" w:rsidRPr="00144E99" w14:paraId="40291E06" w14:textId="77777777" w:rsidTr="00B85885">
        <w:tc>
          <w:tcPr>
            <w:tcW w:w="1137" w:type="pct"/>
            <w:shd w:val="clear" w:color="auto" w:fill="316F72"/>
          </w:tcPr>
          <w:p w14:paraId="35160C25" w14:textId="77777777" w:rsidR="00C82A64" w:rsidRPr="00144E99" w:rsidRDefault="00C82A64" w:rsidP="00B85885"/>
          <w:p w14:paraId="29DCB119" w14:textId="77777777" w:rsidR="00C82A64" w:rsidRPr="00144E99" w:rsidRDefault="00C82A64" w:rsidP="00B85885"/>
        </w:tc>
        <w:tc>
          <w:tcPr>
            <w:tcW w:w="3863" w:type="pct"/>
            <w:shd w:val="clear" w:color="auto" w:fill="316F72"/>
          </w:tcPr>
          <w:p w14:paraId="1282D4C4" w14:textId="77777777" w:rsidR="00C82A64" w:rsidRPr="00144E99" w:rsidRDefault="00C82A64" w:rsidP="00B85885"/>
        </w:tc>
      </w:tr>
      <w:tr w:rsidR="00C82A64" w:rsidRPr="00144E99" w14:paraId="4D5350DF" w14:textId="77777777" w:rsidTr="00B85885">
        <w:tc>
          <w:tcPr>
            <w:tcW w:w="1137" w:type="pct"/>
          </w:tcPr>
          <w:p w14:paraId="04719636" w14:textId="77777777" w:rsidR="00C82A64" w:rsidRPr="00144E99" w:rsidRDefault="00C82A64" w:rsidP="00B85885"/>
        </w:tc>
        <w:tc>
          <w:tcPr>
            <w:tcW w:w="3863" w:type="pct"/>
          </w:tcPr>
          <w:p w14:paraId="149C5AC7" w14:textId="77777777" w:rsidR="00C82A64" w:rsidRPr="00144E99" w:rsidRDefault="00C82A64" w:rsidP="00B85885"/>
        </w:tc>
      </w:tr>
    </w:tbl>
    <w:bookmarkEnd w:id="71"/>
    <w:p w14:paraId="105246EB" w14:textId="7490223B" w:rsidR="003D0265" w:rsidRPr="00144E99" w:rsidRDefault="003D0265" w:rsidP="003D0265">
      <w:pPr>
        <w:spacing w:before="120" w:after="120"/>
        <w:rPr>
          <w:rFonts w:cs="Arial"/>
        </w:rPr>
      </w:pPr>
      <w:r w:rsidRPr="00144E99">
        <w:rPr>
          <w:rFonts w:cs="Arial"/>
        </w:rPr>
        <w:t xml:space="preserve">Under </w:t>
      </w:r>
      <w:r w:rsidR="00470221" w:rsidRPr="00144E99">
        <w:rPr>
          <w:rFonts w:cs="Arial"/>
        </w:rPr>
        <w:t>clauses 4</w:t>
      </w:r>
      <w:r w:rsidR="009924BD">
        <w:rPr>
          <w:rFonts w:cs="Arial"/>
        </w:rPr>
        <w:t>3</w:t>
      </w:r>
      <w:r w:rsidR="00B82157" w:rsidRPr="00144E99">
        <w:rPr>
          <w:rFonts w:cs="Arial"/>
        </w:rPr>
        <w:t>-</w:t>
      </w:r>
      <w:r w:rsidR="004F0A00" w:rsidRPr="00144E99">
        <w:rPr>
          <w:rFonts w:cs="Arial"/>
        </w:rPr>
        <w:t>4</w:t>
      </w:r>
      <w:r w:rsidR="009924BD">
        <w:rPr>
          <w:rFonts w:cs="Arial"/>
        </w:rPr>
        <w:t>8</w:t>
      </w:r>
      <w:r w:rsidRPr="00144E99">
        <w:rPr>
          <w:rFonts w:cs="Arial"/>
        </w:rPr>
        <w:t xml:space="preserve"> of the Agreement, parties commit to implement the following set of evidence-based reforms within the terms of this Agreement to achieve the long-term </w:t>
      </w:r>
      <w:r w:rsidR="00E567EC" w:rsidRPr="00144E99">
        <w:rPr>
          <w:rFonts w:cs="Arial"/>
        </w:rPr>
        <w:t xml:space="preserve">outcomes </w:t>
      </w:r>
      <w:r w:rsidRPr="00144E99">
        <w:rPr>
          <w:rFonts w:cs="Arial"/>
        </w:rPr>
        <w:t xml:space="preserve">of this Agreement. These reforms complement the extensive local </w:t>
      </w:r>
      <w:r w:rsidR="0063138B" w:rsidRPr="00144E99">
        <w:rPr>
          <w:rFonts w:cs="Arial"/>
        </w:rPr>
        <w:t xml:space="preserve">and national </w:t>
      </w:r>
      <w:r w:rsidRPr="00144E99">
        <w:rPr>
          <w:rFonts w:cs="Arial"/>
        </w:rPr>
        <w:t xml:space="preserve">reform efforts underway across </w:t>
      </w:r>
      <w:r w:rsidR="001D550A" w:rsidRPr="00144E99">
        <w:rPr>
          <w:rFonts w:cs="Arial"/>
        </w:rPr>
        <w:t>S</w:t>
      </w:r>
      <w:r w:rsidRPr="00144E99">
        <w:rPr>
          <w:rFonts w:cs="Arial"/>
        </w:rPr>
        <w:t xml:space="preserve">tates and </w:t>
      </w:r>
      <w:r w:rsidR="001D550A" w:rsidRPr="00144E99">
        <w:rPr>
          <w:rFonts w:cs="Arial"/>
        </w:rPr>
        <w:t>T</w:t>
      </w:r>
      <w:r w:rsidRPr="00144E99">
        <w:rPr>
          <w:rFonts w:cs="Arial"/>
        </w:rPr>
        <w:t xml:space="preserve">erritories. </w:t>
      </w:r>
    </w:p>
    <w:p w14:paraId="3F7758EC" w14:textId="77777777" w:rsidR="003D0265" w:rsidRPr="00144E99" w:rsidRDefault="000209BB" w:rsidP="003D0265">
      <w:pPr>
        <w:spacing w:before="120" w:after="120"/>
        <w:jc w:val="left"/>
        <w:rPr>
          <w:rFonts w:cs="Arial"/>
        </w:rPr>
      </w:pPr>
      <w:r w:rsidRPr="00144E99">
        <w:rPr>
          <w:rFonts w:cs="Arial"/>
        </w:rPr>
        <w:t>T</w:t>
      </w:r>
      <w:r w:rsidR="003D0265" w:rsidRPr="00144E99">
        <w:rPr>
          <w:rFonts w:cs="Arial"/>
        </w:rPr>
        <w:t>he national policy initiatives</w:t>
      </w:r>
      <w:r w:rsidRPr="00144E99">
        <w:rPr>
          <w:rFonts w:cs="Arial"/>
        </w:rPr>
        <w:t xml:space="preserve"> will be developed in consideration of the reviews outlined in </w:t>
      </w:r>
      <w:r w:rsidR="00DB38DA" w:rsidRPr="00144E99">
        <w:rPr>
          <w:rFonts w:cs="Arial"/>
        </w:rPr>
        <w:t>clause 8</w:t>
      </w:r>
      <w:r w:rsidRPr="00144E99">
        <w:rPr>
          <w:rFonts w:cs="Arial"/>
        </w:rPr>
        <w:t xml:space="preserve"> of the Agreement and in</w:t>
      </w:r>
      <w:r w:rsidR="003D0265" w:rsidRPr="00144E99">
        <w:rPr>
          <w:rFonts w:cs="Arial"/>
        </w:rPr>
        <w:t xml:space="preserve"> close </w:t>
      </w:r>
      <w:r w:rsidRPr="00144E99">
        <w:rPr>
          <w:rFonts w:cs="Arial"/>
        </w:rPr>
        <w:t xml:space="preserve">consultation and collaboration </w:t>
      </w:r>
      <w:r w:rsidR="003D0265" w:rsidRPr="00144E99">
        <w:rPr>
          <w:rFonts w:cs="Arial"/>
        </w:rPr>
        <w:t xml:space="preserve">with government and non-government education authorities and broader education stakeholders </w:t>
      </w:r>
      <w:r w:rsidR="00427842" w:rsidRPr="00144E99">
        <w:rPr>
          <w:rFonts w:cs="Arial"/>
        </w:rPr>
        <w:t>including</w:t>
      </w:r>
      <w:r w:rsidR="009E06A0" w:rsidRPr="00144E99">
        <w:rPr>
          <w:rFonts w:cs="Arial"/>
        </w:rPr>
        <w:t>, but not limited to</w:t>
      </w:r>
      <w:r w:rsidR="00427842" w:rsidRPr="00144E99">
        <w:rPr>
          <w:rFonts w:cs="Arial"/>
        </w:rPr>
        <w:t xml:space="preserve"> teachers</w:t>
      </w:r>
      <w:r w:rsidR="009E06A0" w:rsidRPr="00144E99">
        <w:rPr>
          <w:rFonts w:cs="Arial"/>
        </w:rPr>
        <w:t xml:space="preserve">, </w:t>
      </w:r>
      <w:r w:rsidR="00427842" w:rsidRPr="00144E99">
        <w:rPr>
          <w:rFonts w:cs="Arial"/>
        </w:rPr>
        <w:t>school leaders</w:t>
      </w:r>
      <w:r w:rsidR="009E06A0" w:rsidRPr="00144E99">
        <w:rPr>
          <w:rFonts w:cs="Arial"/>
        </w:rPr>
        <w:t xml:space="preserve"> and parents</w:t>
      </w:r>
      <w:r w:rsidR="003D0265" w:rsidRPr="00144E99">
        <w:rPr>
          <w:rFonts w:cs="Arial"/>
        </w:rPr>
        <w:t>.</w:t>
      </w:r>
    </w:p>
    <w:p w14:paraId="609B2E5F" w14:textId="37C5C618" w:rsidR="003D0265" w:rsidRPr="00144E99" w:rsidRDefault="003D0265" w:rsidP="003D0265">
      <w:pPr>
        <w:spacing w:before="120"/>
        <w:jc w:val="left"/>
      </w:pPr>
      <w:r w:rsidRPr="00144E99">
        <w:rPr>
          <w:rFonts w:cs="Arial"/>
        </w:rPr>
        <w:t>P</w:t>
      </w:r>
      <w:r w:rsidR="00470221" w:rsidRPr="00144E99">
        <w:rPr>
          <w:rFonts w:cs="Arial"/>
        </w:rPr>
        <w:t xml:space="preserve">arties note that, under clause </w:t>
      </w:r>
      <w:r w:rsidR="00F54183" w:rsidRPr="00144E99">
        <w:rPr>
          <w:rFonts w:cs="Arial"/>
        </w:rPr>
        <w:t>21</w:t>
      </w:r>
      <w:r w:rsidRPr="00144E99">
        <w:rPr>
          <w:rFonts w:cs="Arial"/>
        </w:rPr>
        <w:t xml:space="preserve"> of the Agreement, schedules to the Agreement </w:t>
      </w:r>
      <w:r w:rsidRPr="00144E99">
        <w:t xml:space="preserve">may be varied or revoked, and new schedules may be added, at any time with the agreement of the relevant portfolio Commonwealth Minister and all relevant State and Territory Ministers for school education. Variations to Schedule </w:t>
      </w:r>
      <w:r w:rsidR="00F54F71" w:rsidRPr="00144E99">
        <w:t xml:space="preserve">B </w:t>
      </w:r>
      <w:r w:rsidRPr="00144E99">
        <w:t>will include the addition or amendment of milestones as national policy initiatives are further developed and considered and decisions are made through Education Council</w:t>
      </w:r>
      <w:r w:rsidR="00203F38">
        <w:rPr>
          <w:rStyle w:val="FootnoteReference"/>
        </w:rPr>
        <w:footnoteReference w:id="3"/>
      </w:r>
      <w:r w:rsidRPr="00144E99">
        <w:t>.</w:t>
      </w:r>
    </w:p>
    <w:p w14:paraId="3C4EEE25" w14:textId="77777777" w:rsidR="00427842" w:rsidRPr="00144E99" w:rsidRDefault="00427842" w:rsidP="00427842">
      <w:pPr>
        <w:spacing w:before="120"/>
        <w:jc w:val="left"/>
      </w:pPr>
      <w:r w:rsidRPr="00144E99">
        <w:t>Implementation</w:t>
      </w:r>
      <w:r w:rsidR="009E06A0" w:rsidRPr="00144E99">
        <w:t xml:space="preserve"> and timing</w:t>
      </w:r>
      <w:r w:rsidRPr="00144E99">
        <w:t xml:space="preserve"> of milestones is subject to Education Council considering and agreeing the cost and cost sharing arrangements, scope and governance of each national policy initiative, acknowledging the different local contexts and starting points of each jurisdiction. </w:t>
      </w:r>
    </w:p>
    <w:tbl>
      <w:tblPr>
        <w:tblW w:w="5000" w:type="pct"/>
        <w:tblBorders>
          <w:top w:val="single" w:sz="8" w:space="0" w:color="316F72"/>
          <w:left w:val="single" w:sz="8" w:space="0" w:color="316F72"/>
          <w:bottom w:val="single" w:sz="8" w:space="0" w:color="316F72"/>
          <w:right w:val="single" w:sz="8" w:space="0" w:color="316F72"/>
          <w:insideH w:val="single" w:sz="8" w:space="0" w:color="316F72"/>
          <w:insideV w:val="single" w:sz="8" w:space="0" w:color="316F72"/>
        </w:tblBorders>
        <w:tblLook w:val="04A0" w:firstRow="1" w:lastRow="0" w:firstColumn="1" w:lastColumn="0" w:noHBand="0" w:noVBand="1"/>
      </w:tblPr>
      <w:tblGrid>
        <w:gridCol w:w="1879"/>
        <w:gridCol w:w="5382"/>
        <w:gridCol w:w="1745"/>
      </w:tblGrid>
      <w:tr w:rsidR="003D0265" w:rsidRPr="00144E99" w14:paraId="667CC597" w14:textId="77777777" w:rsidTr="00F351F4">
        <w:trPr>
          <w:cantSplit/>
          <w:tblHeader/>
        </w:trPr>
        <w:tc>
          <w:tcPr>
            <w:tcW w:w="1043" w:type="pct"/>
            <w:tcBorders>
              <w:top w:val="single" w:sz="24" w:space="0" w:color="316F72"/>
              <w:bottom w:val="single" w:sz="24" w:space="0" w:color="316F72"/>
            </w:tcBorders>
            <w:shd w:val="clear" w:color="auto" w:fill="auto"/>
          </w:tcPr>
          <w:p w14:paraId="3B12D00B" w14:textId="76DE2EFC" w:rsidR="003D0265" w:rsidRPr="00144E99" w:rsidRDefault="003D0265" w:rsidP="000209BB">
            <w:pPr>
              <w:spacing w:before="120" w:after="120" w:line="240" w:lineRule="auto"/>
              <w:jc w:val="left"/>
              <w:rPr>
                <w:b/>
              </w:rPr>
            </w:pPr>
            <w:r w:rsidRPr="00144E99">
              <w:rPr>
                <w:b/>
              </w:rPr>
              <w:t>National Policy Initiative</w:t>
            </w:r>
          </w:p>
        </w:tc>
        <w:tc>
          <w:tcPr>
            <w:tcW w:w="2988" w:type="pct"/>
            <w:tcBorders>
              <w:top w:val="single" w:sz="24" w:space="0" w:color="316F72"/>
              <w:bottom w:val="single" w:sz="24" w:space="0" w:color="316F72"/>
            </w:tcBorders>
            <w:shd w:val="clear" w:color="auto" w:fill="auto"/>
          </w:tcPr>
          <w:p w14:paraId="5BC3FE3A" w14:textId="3AD0576A" w:rsidR="003D0265" w:rsidRPr="00144E99" w:rsidRDefault="0084489A" w:rsidP="000209BB">
            <w:pPr>
              <w:spacing w:before="120" w:after="120" w:line="240" w:lineRule="auto"/>
              <w:jc w:val="left"/>
              <w:rPr>
                <w:b/>
              </w:rPr>
            </w:pPr>
            <w:r>
              <w:rPr>
                <w:b/>
              </w:rPr>
              <w:t>Milestone</w:t>
            </w:r>
          </w:p>
        </w:tc>
        <w:tc>
          <w:tcPr>
            <w:tcW w:w="969" w:type="pct"/>
            <w:tcBorders>
              <w:top w:val="single" w:sz="24" w:space="0" w:color="316F72"/>
              <w:bottom w:val="single" w:sz="24" w:space="0" w:color="316F72"/>
            </w:tcBorders>
            <w:shd w:val="clear" w:color="auto" w:fill="auto"/>
          </w:tcPr>
          <w:p w14:paraId="08FCD4CF" w14:textId="77777777" w:rsidR="003D0265" w:rsidRPr="00144E99" w:rsidRDefault="003D0265" w:rsidP="000209BB">
            <w:pPr>
              <w:spacing w:before="120" w:after="120" w:line="240" w:lineRule="auto"/>
              <w:jc w:val="left"/>
              <w:rPr>
                <w:b/>
              </w:rPr>
            </w:pPr>
            <w:r w:rsidRPr="00144E99">
              <w:rPr>
                <w:b/>
              </w:rPr>
              <w:t>Timing</w:t>
            </w:r>
          </w:p>
        </w:tc>
      </w:tr>
      <w:tr w:rsidR="00777C04" w:rsidRPr="00144E99" w14:paraId="34F80FD9" w14:textId="77777777" w:rsidTr="00F351F4">
        <w:trPr>
          <w:cantSplit/>
          <w:trHeight w:val="660"/>
        </w:trPr>
        <w:tc>
          <w:tcPr>
            <w:tcW w:w="1043" w:type="pct"/>
            <w:vMerge w:val="restart"/>
            <w:tcBorders>
              <w:top w:val="single" w:sz="2" w:space="0" w:color="316F72"/>
            </w:tcBorders>
            <w:shd w:val="clear" w:color="auto" w:fill="auto"/>
          </w:tcPr>
          <w:p w14:paraId="5BB51B21" w14:textId="77777777" w:rsidR="00777C04" w:rsidRPr="00144E99" w:rsidRDefault="00777C04" w:rsidP="007E6793">
            <w:pPr>
              <w:spacing w:before="120" w:after="120" w:line="240" w:lineRule="auto"/>
              <w:jc w:val="left"/>
            </w:pPr>
            <w:r w:rsidRPr="00144E99">
              <w:t xml:space="preserve">A (i) </w:t>
            </w:r>
            <w:r w:rsidRPr="00144E99">
              <w:rPr>
                <w:rFonts w:cs="Segoe UI"/>
              </w:rPr>
              <w:t xml:space="preserve">Enhancing the Australian Curriculum to support teacher assessment of </w:t>
            </w:r>
            <w:r w:rsidRPr="00144E99">
              <w:rPr>
                <w:rFonts w:cs="Segoe UI"/>
              </w:rPr>
              <w:lastRenderedPageBreak/>
              <w:t xml:space="preserve">student attainment and growth against clear </w:t>
            </w:r>
            <w:r w:rsidR="007E6793">
              <w:rPr>
                <w:rFonts w:cs="Segoe UI"/>
              </w:rPr>
              <w:t xml:space="preserve">descriptors </w:t>
            </w:r>
          </w:p>
        </w:tc>
        <w:tc>
          <w:tcPr>
            <w:tcW w:w="2988" w:type="pct"/>
            <w:tcBorders>
              <w:top w:val="single" w:sz="2" w:space="0" w:color="316F72"/>
            </w:tcBorders>
            <w:shd w:val="clear" w:color="auto" w:fill="auto"/>
          </w:tcPr>
          <w:p w14:paraId="4DDEA2B2" w14:textId="23A23A35" w:rsidR="00777C04" w:rsidRPr="00144E99" w:rsidRDefault="00777C04" w:rsidP="00BD119C">
            <w:pPr>
              <w:pStyle w:val="ListParagraph"/>
              <w:numPr>
                <w:ilvl w:val="0"/>
                <w:numId w:val="27"/>
              </w:numPr>
              <w:spacing w:before="120" w:after="120"/>
              <w:ind w:left="357" w:hanging="357"/>
              <w:rPr>
                <w:sz w:val="23"/>
                <w:szCs w:val="23"/>
                <w:lang w:val="en-US"/>
              </w:rPr>
            </w:pPr>
            <w:r w:rsidRPr="00144E99">
              <w:rPr>
                <w:rFonts w:cs="Calibri"/>
                <w:sz w:val="23"/>
                <w:szCs w:val="23"/>
                <w:lang w:val="en-US"/>
              </w:rPr>
              <w:lastRenderedPageBreak/>
              <w:t xml:space="preserve">Education Council consider proposal(s) for the development of learning progressions across the Australian Curriculum learning areas and general capabilities, including consideration of existing progressions and development stages, timelines and estimated costs. </w:t>
            </w:r>
          </w:p>
        </w:tc>
        <w:tc>
          <w:tcPr>
            <w:tcW w:w="969" w:type="pct"/>
            <w:tcBorders>
              <w:top w:val="single" w:sz="2" w:space="0" w:color="316F72"/>
            </w:tcBorders>
            <w:shd w:val="clear" w:color="auto" w:fill="auto"/>
          </w:tcPr>
          <w:p w14:paraId="71145B1B" w14:textId="77777777" w:rsidR="00777C04" w:rsidRPr="00144E99" w:rsidRDefault="00E06E7A" w:rsidP="00777C04">
            <w:pPr>
              <w:spacing w:before="120" w:after="120" w:line="240" w:lineRule="auto"/>
              <w:jc w:val="left"/>
              <w:rPr>
                <w:rFonts w:cs="Arial"/>
              </w:rPr>
            </w:pPr>
            <w:r>
              <w:t xml:space="preserve"> E</w:t>
            </w:r>
            <w:r w:rsidR="003B048F" w:rsidRPr="00144E99">
              <w:t>arly 2019</w:t>
            </w:r>
          </w:p>
        </w:tc>
      </w:tr>
      <w:tr w:rsidR="00777C04" w:rsidRPr="00144E99" w14:paraId="23A9E876" w14:textId="77777777" w:rsidTr="00F351F4">
        <w:trPr>
          <w:cantSplit/>
          <w:trHeight w:val="660"/>
        </w:trPr>
        <w:tc>
          <w:tcPr>
            <w:tcW w:w="1043" w:type="pct"/>
            <w:vMerge/>
            <w:shd w:val="clear" w:color="auto" w:fill="auto"/>
          </w:tcPr>
          <w:p w14:paraId="2B84C72F" w14:textId="77777777" w:rsidR="00777C04" w:rsidRPr="00144E99" w:rsidRDefault="00777C04" w:rsidP="00777C04">
            <w:pPr>
              <w:spacing w:before="120" w:after="120" w:line="240" w:lineRule="auto"/>
              <w:jc w:val="left"/>
            </w:pPr>
          </w:p>
        </w:tc>
        <w:tc>
          <w:tcPr>
            <w:tcW w:w="2988" w:type="pct"/>
            <w:tcBorders>
              <w:top w:val="single" w:sz="2" w:space="0" w:color="316F72"/>
            </w:tcBorders>
            <w:shd w:val="clear" w:color="auto" w:fill="auto"/>
          </w:tcPr>
          <w:p w14:paraId="1FDA1744" w14:textId="219FB84E" w:rsidR="00777C04" w:rsidRPr="00144E99" w:rsidRDefault="00777C04" w:rsidP="00BD119C">
            <w:pPr>
              <w:pStyle w:val="ListParagraph"/>
              <w:numPr>
                <w:ilvl w:val="0"/>
                <w:numId w:val="27"/>
              </w:numPr>
              <w:spacing w:before="120" w:after="120"/>
              <w:ind w:left="357" w:hanging="357"/>
              <w:rPr>
                <w:sz w:val="23"/>
                <w:szCs w:val="23"/>
                <w:lang w:val="en-US"/>
              </w:rPr>
            </w:pPr>
            <w:r w:rsidRPr="00144E99">
              <w:rPr>
                <w:rFonts w:cs="Calibri"/>
                <w:sz w:val="23"/>
                <w:szCs w:val="23"/>
                <w:lang w:val="en-US"/>
              </w:rPr>
              <w:t>Subject to Education Council agreement at a), develop and trial learning progressions and formative assessment capability for learning areas and general capabilities, with priority on literacy and numeracy in the early years of schooling.</w:t>
            </w:r>
          </w:p>
        </w:tc>
        <w:tc>
          <w:tcPr>
            <w:tcW w:w="969" w:type="pct"/>
            <w:tcBorders>
              <w:top w:val="single" w:sz="2" w:space="0" w:color="316F72"/>
            </w:tcBorders>
            <w:shd w:val="clear" w:color="auto" w:fill="auto"/>
          </w:tcPr>
          <w:p w14:paraId="069BD793" w14:textId="6A717982" w:rsidR="00777C04" w:rsidRPr="00144E99" w:rsidRDefault="00BD119C" w:rsidP="00F351F4">
            <w:pPr>
              <w:spacing w:before="120" w:after="120" w:line="240" w:lineRule="auto"/>
              <w:jc w:val="left"/>
              <w:rPr>
                <w:rFonts w:cs="Arial"/>
              </w:rPr>
            </w:pPr>
            <w:r>
              <w:rPr>
                <w:rFonts w:cs="Calibri"/>
                <w:lang w:val="en-US"/>
              </w:rPr>
              <w:t>Early 2021</w:t>
            </w:r>
          </w:p>
        </w:tc>
      </w:tr>
      <w:tr w:rsidR="00777C04" w:rsidRPr="00144E99" w14:paraId="437A15E6" w14:textId="77777777" w:rsidTr="00F351F4">
        <w:trPr>
          <w:cantSplit/>
          <w:trHeight w:val="660"/>
        </w:trPr>
        <w:tc>
          <w:tcPr>
            <w:tcW w:w="1043" w:type="pct"/>
            <w:vMerge/>
            <w:shd w:val="clear" w:color="auto" w:fill="auto"/>
          </w:tcPr>
          <w:p w14:paraId="4847CA56" w14:textId="77777777" w:rsidR="00777C04" w:rsidRPr="00144E99" w:rsidRDefault="00777C04" w:rsidP="00777C04">
            <w:pPr>
              <w:spacing w:before="120" w:after="120" w:line="240" w:lineRule="auto"/>
              <w:jc w:val="left"/>
            </w:pPr>
          </w:p>
        </w:tc>
        <w:tc>
          <w:tcPr>
            <w:tcW w:w="2988" w:type="pct"/>
            <w:tcBorders>
              <w:top w:val="single" w:sz="2" w:space="0" w:color="316F72"/>
            </w:tcBorders>
            <w:shd w:val="clear" w:color="auto" w:fill="auto"/>
          </w:tcPr>
          <w:p w14:paraId="052A2C6C" w14:textId="77777777" w:rsidR="00777C04" w:rsidRPr="00144E99" w:rsidRDefault="00777C04" w:rsidP="00F351F4">
            <w:pPr>
              <w:pStyle w:val="ListParagraph"/>
              <w:numPr>
                <w:ilvl w:val="0"/>
                <w:numId w:val="27"/>
              </w:numPr>
              <w:spacing w:before="120" w:after="120"/>
              <w:ind w:left="357" w:hanging="357"/>
              <w:rPr>
                <w:sz w:val="23"/>
                <w:szCs w:val="23"/>
                <w:lang w:val="en-US"/>
              </w:rPr>
            </w:pPr>
            <w:r w:rsidRPr="00144E99">
              <w:rPr>
                <w:rFonts w:cs="Calibri"/>
                <w:sz w:val="23"/>
                <w:szCs w:val="23"/>
                <w:lang w:val="en-US"/>
              </w:rPr>
              <w:t>Subject to Education Council agreement to a) and b) above, existing and new learning progressions and formative assessment capability for agreed Australian Curriculum learning areas and general capabilities are progressively made available.</w:t>
            </w:r>
          </w:p>
        </w:tc>
        <w:tc>
          <w:tcPr>
            <w:tcW w:w="969" w:type="pct"/>
            <w:tcBorders>
              <w:top w:val="single" w:sz="2" w:space="0" w:color="316F72"/>
            </w:tcBorders>
            <w:shd w:val="clear" w:color="auto" w:fill="auto"/>
          </w:tcPr>
          <w:p w14:paraId="3DF6E348" w14:textId="1E4F651E" w:rsidR="00777C04" w:rsidRPr="00144E99" w:rsidRDefault="00777C04" w:rsidP="00453252">
            <w:pPr>
              <w:spacing w:before="120" w:after="120" w:line="240" w:lineRule="auto"/>
              <w:jc w:val="left"/>
              <w:rPr>
                <w:rFonts w:cs="Arial"/>
              </w:rPr>
            </w:pPr>
            <w:r w:rsidRPr="00144E99">
              <w:rPr>
                <w:rFonts w:cs="Calibri"/>
                <w:lang w:val="en-US"/>
              </w:rPr>
              <w:t xml:space="preserve">From </w:t>
            </w:r>
            <w:r w:rsidR="00453252">
              <w:rPr>
                <w:rFonts w:cs="Calibri"/>
                <w:lang w:val="en-US"/>
              </w:rPr>
              <w:t>2022</w:t>
            </w:r>
            <w:r w:rsidRPr="00144E99">
              <w:rPr>
                <w:rFonts w:cs="Calibri"/>
                <w:lang w:val="en-US"/>
              </w:rPr>
              <w:t xml:space="preserve"> </w:t>
            </w:r>
          </w:p>
        </w:tc>
      </w:tr>
      <w:tr w:rsidR="009E06A0" w:rsidRPr="00144E99" w14:paraId="5C87BCCA" w14:textId="77777777" w:rsidTr="00F351F4">
        <w:trPr>
          <w:cantSplit/>
          <w:trHeight w:val="660"/>
        </w:trPr>
        <w:tc>
          <w:tcPr>
            <w:tcW w:w="1043" w:type="pct"/>
            <w:vMerge w:val="restart"/>
            <w:tcBorders>
              <w:top w:val="single" w:sz="2" w:space="0" w:color="316F72"/>
            </w:tcBorders>
            <w:shd w:val="clear" w:color="auto" w:fill="auto"/>
          </w:tcPr>
          <w:p w14:paraId="3DA7031A" w14:textId="77777777" w:rsidR="009E06A0" w:rsidRPr="00144E99" w:rsidRDefault="009E06A0" w:rsidP="003B048F">
            <w:pPr>
              <w:spacing w:before="120" w:after="120" w:line="240" w:lineRule="auto"/>
              <w:jc w:val="left"/>
            </w:pPr>
            <w:r w:rsidRPr="00144E99">
              <w:t>A</w:t>
            </w:r>
            <w:r w:rsidR="00484B5A" w:rsidRPr="00144E99">
              <w:t xml:space="preserve"> </w:t>
            </w:r>
            <w:r w:rsidRPr="00144E99">
              <w:t>(i</w:t>
            </w:r>
            <w:r w:rsidR="00777C04" w:rsidRPr="00144E99">
              <w:t>i</w:t>
            </w:r>
            <w:r w:rsidRPr="00144E99">
              <w:t xml:space="preserve">) </w:t>
            </w:r>
            <w:r w:rsidRPr="00144E99">
              <w:rPr>
                <w:color w:val="auto"/>
              </w:rPr>
              <w:t xml:space="preserve">Assisting teachers monitor individual </w:t>
            </w:r>
            <w:r w:rsidR="00931D5F" w:rsidRPr="00144E99">
              <w:rPr>
                <w:color w:val="auto"/>
              </w:rPr>
              <w:t xml:space="preserve">student </w:t>
            </w:r>
            <w:r w:rsidRPr="00144E99">
              <w:rPr>
                <w:color w:val="auto"/>
              </w:rPr>
              <w:t xml:space="preserve">progress and identify </w:t>
            </w:r>
            <w:r w:rsidR="00931D5F" w:rsidRPr="00144E99">
              <w:rPr>
                <w:color w:val="auto"/>
              </w:rPr>
              <w:t xml:space="preserve">student </w:t>
            </w:r>
            <w:r w:rsidRPr="00144E99">
              <w:rPr>
                <w:color w:val="auto"/>
              </w:rPr>
              <w:t>learning needs through</w:t>
            </w:r>
            <w:r w:rsidR="00A85E8B" w:rsidRPr="00144E99">
              <w:rPr>
                <w:color w:val="auto"/>
              </w:rPr>
              <w:t xml:space="preserve"> opt-in </w:t>
            </w:r>
            <w:r w:rsidRPr="00144E99">
              <w:rPr>
                <w:color w:val="auto"/>
              </w:rPr>
              <w:t xml:space="preserve">online and on demand student learning assessment tools with links to student learning resources, prioritising early years foundation skills </w:t>
            </w:r>
          </w:p>
        </w:tc>
        <w:tc>
          <w:tcPr>
            <w:tcW w:w="2988" w:type="pct"/>
            <w:tcBorders>
              <w:top w:val="single" w:sz="2" w:space="0" w:color="316F72"/>
            </w:tcBorders>
            <w:shd w:val="clear" w:color="auto" w:fill="auto"/>
          </w:tcPr>
          <w:p w14:paraId="4B2EE186" w14:textId="44BE93C0" w:rsidR="009E06A0" w:rsidRPr="00144E99" w:rsidRDefault="009E06A0" w:rsidP="00453252">
            <w:pPr>
              <w:pStyle w:val="ListParagraph"/>
              <w:numPr>
                <w:ilvl w:val="0"/>
                <w:numId w:val="48"/>
              </w:numPr>
              <w:spacing w:before="120" w:after="120"/>
              <w:ind w:left="417"/>
              <w:rPr>
                <w:sz w:val="23"/>
                <w:szCs w:val="23"/>
              </w:rPr>
            </w:pPr>
            <w:r w:rsidRPr="00144E99">
              <w:rPr>
                <w:rFonts w:cs="Calibri"/>
                <w:sz w:val="23"/>
                <w:szCs w:val="23"/>
                <w:lang w:val="en-US"/>
              </w:rPr>
              <w:t>Education Council consider a proposal for the enhancement of formative assessment capabilities, including consideration of existing IT solutions, online assessment resources and digital learning resources and potential benefits to students, teachers and school leaders. It is</w:t>
            </w:r>
            <w:r w:rsidR="00DA5D1F">
              <w:rPr>
                <w:rFonts w:cs="Calibri"/>
                <w:sz w:val="23"/>
                <w:szCs w:val="23"/>
                <w:lang w:val="en-US"/>
              </w:rPr>
              <w:t xml:space="preserve"> </w:t>
            </w:r>
            <w:r w:rsidRPr="00144E99">
              <w:rPr>
                <w:rFonts w:cs="Calibri"/>
                <w:sz w:val="23"/>
                <w:szCs w:val="23"/>
                <w:lang w:val="en-US"/>
              </w:rPr>
              <w:t>expected the proposal will include development stages, timelines, governance arrangements and estimated costs.</w:t>
            </w:r>
            <w:r w:rsidRPr="00144E99">
              <w:rPr>
                <w:rFonts w:cs="Calibri"/>
                <w:sz w:val="23"/>
                <w:szCs w:val="23"/>
              </w:rPr>
              <w:t> </w:t>
            </w:r>
          </w:p>
        </w:tc>
        <w:tc>
          <w:tcPr>
            <w:tcW w:w="969" w:type="pct"/>
            <w:tcBorders>
              <w:top w:val="single" w:sz="2" w:space="0" w:color="316F72"/>
            </w:tcBorders>
            <w:shd w:val="clear" w:color="auto" w:fill="auto"/>
          </w:tcPr>
          <w:p w14:paraId="608EACCA" w14:textId="77777777" w:rsidR="009E06A0" w:rsidRPr="00144E99" w:rsidRDefault="00885DD9" w:rsidP="00EC18ED">
            <w:pPr>
              <w:spacing w:before="120" w:after="120" w:line="240" w:lineRule="auto"/>
              <w:jc w:val="left"/>
            </w:pPr>
            <w:r>
              <w:rPr>
                <w:rFonts w:cs="Arial"/>
              </w:rPr>
              <w:t xml:space="preserve"> E</w:t>
            </w:r>
            <w:r w:rsidR="003B048F" w:rsidRPr="00144E99">
              <w:rPr>
                <w:rFonts w:cs="Arial"/>
              </w:rPr>
              <w:t>arly 2019</w:t>
            </w:r>
          </w:p>
        </w:tc>
      </w:tr>
      <w:tr w:rsidR="009E06A0" w:rsidRPr="00144E99" w14:paraId="27873AB0" w14:textId="77777777" w:rsidTr="00F351F4">
        <w:trPr>
          <w:cantSplit/>
          <w:trHeight w:val="979"/>
        </w:trPr>
        <w:tc>
          <w:tcPr>
            <w:tcW w:w="1043" w:type="pct"/>
            <w:vMerge/>
            <w:shd w:val="clear" w:color="auto" w:fill="auto"/>
          </w:tcPr>
          <w:p w14:paraId="5E627170" w14:textId="77777777" w:rsidR="009E06A0" w:rsidRPr="00144E99" w:rsidRDefault="009E06A0" w:rsidP="00EC18ED">
            <w:pPr>
              <w:spacing w:before="120" w:after="120" w:line="240" w:lineRule="auto"/>
              <w:jc w:val="left"/>
            </w:pPr>
          </w:p>
        </w:tc>
        <w:tc>
          <w:tcPr>
            <w:tcW w:w="2988" w:type="pct"/>
            <w:tcBorders>
              <w:top w:val="single" w:sz="2" w:space="0" w:color="316F72"/>
            </w:tcBorders>
            <w:shd w:val="clear" w:color="auto" w:fill="auto"/>
          </w:tcPr>
          <w:p w14:paraId="01A6D0A6" w14:textId="77777777" w:rsidR="009E06A0" w:rsidRPr="00144E99" w:rsidRDefault="009E06A0" w:rsidP="00F351F4">
            <w:pPr>
              <w:pStyle w:val="ListParagraph"/>
              <w:numPr>
                <w:ilvl w:val="0"/>
                <w:numId w:val="48"/>
              </w:numPr>
              <w:spacing w:before="120" w:after="120"/>
              <w:ind w:left="357" w:hanging="357"/>
              <w:rPr>
                <w:sz w:val="23"/>
                <w:szCs w:val="23"/>
              </w:rPr>
            </w:pPr>
            <w:r w:rsidRPr="00144E99">
              <w:rPr>
                <w:sz w:val="23"/>
                <w:szCs w:val="23"/>
              </w:rPr>
              <w:t>Subject to Education Council agreement at a), Education Council commission the:</w:t>
            </w:r>
          </w:p>
          <w:p w14:paraId="779F268D" w14:textId="5E370F21" w:rsidR="009E06A0" w:rsidRPr="00144E99" w:rsidRDefault="009E06A0" w:rsidP="00513ED9">
            <w:pPr>
              <w:pStyle w:val="ListParagraph"/>
              <w:numPr>
                <w:ilvl w:val="0"/>
                <w:numId w:val="35"/>
              </w:numPr>
              <w:spacing w:before="120" w:after="120"/>
              <w:rPr>
                <w:sz w:val="23"/>
                <w:szCs w:val="23"/>
              </w:rPr>
            </w:pPr>
            <w:r w:rsidRPr="00144E99">
              <w:rPr>
                <w:sz w:val="23"/>
                <w:szCs w:val="23"/>
              </w:rPr>
              <w:t>design, build and piloting of a</w:t>
            </w:r>
            <w:r w:rsidR="00A85E8B" w:rsidRPr="00144E99">
              <w:rPr>
                <w:sz w:val="23"/>
                <w:szCs w:val="23"/>
              </w:rPr>
              <w:t>n opt-in formative assessment facility</w:t>
            </w:r>
            <w:r w:rsidR="00E15B9E">
              <w:rPr>
                <w:sz w:val="23"/>
                <w:szCs w:val="23"/>
              </w:rPr>
              <w:t xml:space="preserve"> </w:t>
            </w:r>
            <w:r w:rsidRPr="00144E99">
              <w:rPr>
                <w:sz w:val="23"/>
                <w:szCs w:val="23"/>
              </w:rPr>
              <w:t xml:space="preserve">with priority on early years literacy and numeracy. Assessments should be matched to </w:t>
            </w:r>
            <w:r w:rsidR="00453252">
              <w:rPr>
                <w:sz w:val="23"/>
                <w:szCs w:val="23"/>
              </w:rPr>
              <w:t xml:space="preserve">agreed </w:t>
            </w:r>
            <w:r w:rsidRPr="00144E99">
              <w:rPr>
                <w:sz w:val="23"/>
                <w:szCs w:val="23"/>
              </w:rPr>
              <w:t>learning progressions (such as English, mathematics, science and critical and creative thinking), and</w:t>
            </w:r>
          </w:p>
          <w:p w14:paraId="2F96DC8C" w14:textId="77777777" w:rsidR="009E06A0" w:rsidRPr="00144E99" w:rsidRDefault="009E06A0" w:rsidP="00513ED9">
            <w:pPr>
              <w:pStyle w:val="ListParagraph"/>
              <w:numPr>
                <w:ilvl w:val="0"/>
                <w:numId w:val="35"/>
              </w:numPr>
              <w:spacing w:before="120" w:after="120"/>
              <w:rPr>
                <w:sz w:val="23"/>
                <w:szCs w:val="23"/>
              </w:rPr>
            </w:pPr>
            <w:r w:rsidRPr="00144E99">
              <w:rPr>
                <w:sz w:val="23"/>
                <w:szCs w:val="23"/>
              </w:rPr>
              <w:t xml:space="preserve">the development of supporting professional learning modules to build teacher and school leader capacity and capability to use effective formative assessment practices. </w:t>
            </w:r>
          </w:p>
        </w:tc>
        <w:tc>
          <w:tcPr>
            <w:tcW w:w="969" w:type="pct"/>
            <w:shd w:val="clear" w:color="auto" w:fill="auto"/>
          </w:tcPr>
          <w:p w14:paraId="59DA51F6" w14:textId="67EA5BF7" w:rsidR="009E06A0" w:rsidRPr="00144E99" w:rsidRDefault="00453252" w:rsidP="00EC18ED">
            <w:pPr>
              <w:spacing w:before="120" w:after="120" w:line="240" w:lineRule="auto"/>
              <w:jc w:val="left"/>
            </w:pPr>
            <w:r>
              <w:t>Early 2021</w:t>
            </w:r>
          </w:p>
        </w:tc>
      </w:tr>
      <w:tr w:rsidR="009E06A0" w:rsidRPr="00144E99" w14:paraId="22D693AB" w14:textId="77777777" w:rsidTr="00F351F4">
        <w:trPr>
          <w:cantSplit/>
          <w:trHeight w:val="828"/>
        </w:trPr>
        <w:tc>
          <w:tcPr>
            <w:tcW w:w="1043" w:type="pct"/>
            <w:vMerge/>
            <w:shd w:val="clear" w:color="auto" w:fill="auto"/>
          </w:tcPr>
          <w:p w14:paraId="09E33022" w14:textId="77777777" w:rsidR="009E06A0" w:rsidRPr="00144E99" w:rsidRDefault="009E06A0" w:rsidP="00EC18ED">
            <w:pPr>
              <w:spacing w:before="120" w:after="120" w:line="240" w:lineRule="auto"/>
              <w:jc w:val="left"/>
            </w:pPr>
          </w:p>
        </w:tc>
        <w:tc>
          <w:tcPr>
            <w:tcW w:w="2988" w:type="pct"/>
            <w:tcBorders>
              <w:top w:val="single" w:sz="2" w:space="0" w:color="316F72"/>
            </w:tcBorders>
            <w:shd w:val="clear" w:color="auto" w:fill="auto"/>
          </w:tcPr>
          <w:p w14:paraId="6BBA32AF" w14:textId="77777777" w:rsidR="009E06A0" w:rsidRPr="00144E99" w:rsidRDefault="009E06A0" w:rsidP="00F351F4">
            <w:pPr>
              <w:pStyle w:val="ListParagraph"/>
              <w:numPr>
                <w:ilvl w:val="0"/>
                <w:numId w:val="48"/>
              </w:numPr>
              <w:spacing w:before="120" w:after="120"/>
              <w:ind w:left="357" w:hanging="357"/>
              <w:rPr>
                <w:sz w:val="23"/>
                <w:szCs w:val="23"/>
              </w:rPr>
            </w:pPr>
            <w:r w:rsidRPr="00144E99">
              <w:rPr>
                <w:rFonts w:cs="Calibri"/>
                <w:sz w:val="23"/>
                <w:szCs w:val="23"/>
                <w:lang w:val="en-US"/>
              </w:rPr>
              <w:t>Subject to Education Council agreement at a) and b), progressively develop and release nationally available online on-demand formative assessment resources (linked to the development schedule for learning progressions across Australian Curriculum learning areas and general capabilities), refine the online formative assessment facility based on feedback from the pilot and align digital teaching resources to the learning progressions.</w:t>
            </w:r>
            <w:r w:rsidRPr="00144E99">
              <w:rPr>
                <w:rFonts w:cs="Calibri"/>
                <w:sz w:val="23"/>
                <w:szCs w:val="23"/>
              </w:rPr>
              <w:t> </w:t>
            </w:r>
          </w:p>
        </w:tc>
        <w:tc>
          <w:tcPr>
            <w:tcW w:w="969" w:type="pct"/>
            <w:shd w:val="clear" w:color="auto" w:fill="auto"/>
          </w:tcPr>
          <w:p w14:paraId="61375577" w14:textId="10078A59" w:rsidR="009E06A0" w:rsidRPr="00144E99" w:rsidRDefault="009E06A0" w:rsidP="00453252">
            <w:pPr>
              <w:spacing w:before="120" w:after="120" w:line="240" w:lineRule="auto"/>
              <w:jc w:val="left"/>
              <w:rPr>
                <w:rFonts w:cs="Arial"/>
              </w:rPr>
            </w:pPr>
            <w:r w:rsidRPr="00144E99">
              <w:rPr>
                <w:rFonts w:cs="Segoe UI"/>
              </w:rPr>
              <w:t>From 202</w:t>
            </w:r>
            <w:r w:rsidR="00453252">
              <w:rPr>
                <w:rFonts w:cs="Segoe UI"/>
              </w:rPr>
              <w:t>2</w:t>
            </w:r>
          </w:p>
        </w:tc>
      </w:tr>
      <w:tr w:rsidR="003D0265" w:rsidRPr="00144E99" w14:paraId="5EDF8D1A" w14:textId="77777777" w:rsidTr="00F351F4">
        <w:trPr>
          <w:cantSplit/>
          <w:trHeight w:val="542"/>
        </w:trPr>
        <w:tc>
          <w:tcPr>
            <w:tcW w:w="1043" w:type="pct"/>
            <w:vMerge w:val="restart"/>
            <w:tcBorders>
              <w:top w:val="single" w:sz="2" w:space="0" w:color="316F72"/>
            </w:tcBorders>
            <w:shd w:val="clear" w:color="auto" w:fill="auto"/>
          </w:tcPr>
          <w:p w14:paraId="1CEBCE01" w14:textId="77777777" w:rsidR="003D0265" w:rsidRPr="00144E99" w:rsidRDefault="003D0265" w:rsidP="00885DD9">
            <w:pPr>
              <w:spacing w:before="120" w:after="120" w:line="240" w:lineRule="auto"/>
              <w:jc w:val="left"/>
            </w:pPr>
            <w:r w:rsidRPr="00144E99">
              <w:t xml:space="preserve">A (iii) </w:t>
            </w:r>
            <w:r w:rsidR="00931D5F" w:rsidRPr="00144E99">
              <w:t>Review</w:t>
            </w:r>
            <w:r w:rsidR="006E1942" w:rsidRPr="00144E99">
              <w:t>ing</w:t>
            </w:r>
            <w:r w:rsidRPr="00144E99">
              <w:rPr>
                <w:rFonts w:cs="Calibri"/>
              </w:rPr>
              <w:t xml:space="preserve"> senior secondary</w:t>
            </w:r>
            <w:r w:rsidR="0083199D" w:rsidRPr="00144E99">
              <w:rPr>
                <w:rFonts w:cs="Calibri"/>
              </w:rPr>
              <w:t xml:space="preserve"> </w:t>
            </w:r>
            <w:r w:rsidRPr="00144E99">
              <w:rPr>
                <w:rFonts w:cs="Calibri"/>
              </w:rPr>
              <w:t>pathways into work, further education and training</w:t>
            </w:r>
            <w:r w:rsidR="0083199D" w:rsidRPr="00144E99">
              <w:rPr>
                <w:rFonts w:cs="Calibri"/>
              </w:rPr>
              <w:t xml:space="preserve"> </w:t>
            </w:r>
          </w:p>
        </w:tc>
        <w:tc>
          <w:tcPr>
            <w:tcW w:w="2988" w:type="pct"/>
            <w:tcBorders>
              <w:top w:val="single" w:sz="2" w:space="0" w:color="316F72"/>
            </w:tcBorders>
            <w:shd w:val="clear" w:color="auto" w:fill="auto"/>
          </w:tcPr>
          <w:p w14:paraId="1D4ACFC3" w14:textId="77777777" w:rsidR="003D0265" w:rsidRPr="00144E99" w:rsidRDefault="003D0265" w:rsidP="00885DD9">
            <w:pPr>
              <w:pStyle w:val="ListParagraph"/>
              <w:numPr>
                <w:ilvl w:val="0"/>
                <w:numId w:val="28"/>
              </w:numPr>
              <w:spacing w:before="120" w:after="120"/>
              <w:ind w:left="357" w:hanging="357"/>
              <w:rPr>
                <w:sz w:val="23"/>
                <w:szCs w:val="23"/>
              </w:rPr>
            </w:pPr>
            <w:r w:rsidRPr="00144E99">
              <w:rPr>
                <w:sz w:val="23"/>
                <w:szCs w:val="23"/>
              </w:rPr>
              <w:t>Education Council agree panel membership and terms of reference for a review of senior secondary education</w:t>
            </w:r>
            <w:r w:rsidR="0083199D" w:rsidRPr="00144E99">
              <w:rPr>
                <w:sz w:val="23"/>
                <w:szCs w:val="23"/>
              </w:rPr>
              <w:t xml:space="preserve">, </w:t>
            </w:r>
            <w:r w:rsidRPr="00144E99">
              <w:rPr>
                <w:sz w:val="23"/>
                <w:szCs w:val="23"/>
              </w:rPr>
              <w:t xml:space="preserve">pathways to work, </w:t>
            </w:r>
            <w:r w:rsidRPr="00144E99">
              <w:rPr>
                <w:rFonts w:cs="Calibri"/>
                <w:sz w:val="23"/>
                <w:szCs w:val="23"/>
              </w:rPr>
              <w:t>further education and training</w:t>
            </w:r>
            <w:r w:rsidR="0083199D" w:rsidRPr="00144E99">
              <w:rPr>
                <w:rFonts w:cs="Calibri"/>
                <w:sz w:val="23"/>
                <w:szCs w:val="23"/>
              </w:rPr>
              <w:t xml:space="preserve"> and</w:t>
            </w:r>
            <w:r w:rsidR="00885DD9">
              <w:rPr>
                <w:rFonts w:cs="Calibri"/>
                <w:sz w:val="23"/>
                <w:szCs w:val="23"/>
              </w:rPr>
              <w:t xml:space="preserve"> consideration of</w:t>
            </w:r>
            <w:r w:rsidR="0083199D" w:rsidRPr="00144E99">
              <w:rPr>
                <w:rFonts w:cs="Calibri"/>
                <w:sz w:val="23"/>
                <w:szCs w:val="23"/>
              </w:rPr>
              <w:t xml:space="preserve"> prerequisites for university entry</w:t>
            </w:r>
            <w:r w:rsidR="009F4097" w:rsidRPr="00144E99">
              <w:rPr>
                <w:sz w:val="23"/>
                <w:szCs w:val="23"/>
              </w:rPr>
              <w:t>.</w:t>
            </w:r>
          </w:p>
        </w:tc>
        <w:tc>
          <w:tcPr>
            <w:tcW w:w="969" w:type="pct"/>
            <w:tcBorders>
              <w:top w:val="single" w:sz="2" w:space="0" w:color="316F72"/>
            </w:tcBorders>
            <w:shd w:val="clear" w:color="auto" w:fill="auto"/>
          </w:tcPr>
          <w:p w14:paraId="5A1125AF" w14:textId="77777777" w:rsidR="003D0265" w:rsidRPr="00144E99" w:rsidRDefault="003D0265" w:rsidP="000209BB">
            <w:pPr>
              <w:spacing w:before="120" w:after="120" w:line="240" w:lineRule="auto"/>
              <w:jc w:val="left"/>
            </w:pPr>
            <w:r w:rsidRPr="00144E99">
              <w:t>Early 2019</w:t>
            </w:r>
          </w:p>
        </w:tc>
      </w:tr>
      <w:tr w:rsidR="003D0265" w:rsidRPr="00144E99" w14:paraId="3637A60B" w14:textId="77777777" w:rsidTr="00F351F4">
        <w:trPr>
          <w:cantSplit/>
          <w:trHeight w:val="540"/>
        </w:trPr>
        <w:tc>
          <w:tcPr>
            <w:tcW w:w="1043" w:type="pct"/>
            <w:vMerge/>
            <w:shd w:val="clear" w:color="auto" w:fill="auto"/>
          </w:tcPr>
          <w:p w14:paraId="4135192E" w14:textId="77777777" w:rsidR="003D0265" w:rsidRPr="00144E99" w:rsidRDefault="003D0265" w:rsidP="000209BB">
            <w:pPr>
              <w:spacing w:before="120" w:after="120" w:line="240" w:lineRule="auto"/>
              <w:jc w:val="left"/>
            </w:pPr>
          </w:p>
        </w:tc>
        <w:tc>
          <w:tcPr>
            <w:tcW w:w="2988" w:type="pct"/>
            <w:tcBorders>
              <w:top w:val="single" w:sz="2" w:space="0" w:color="316F72"/>
            </w:tcBorders>
            <w:shd w:val="clear" w:color="auto" w:fill="auto"/>
          </w:tcPr>
          <w:p w14:paraId="2D13C16B" w14:textId="77777777" w:rsidR="003D0265" w:rsidRPr="00144E99" w:rsidRDefault="003D0265" w:rsidP="00BA5818">
            <w:pPr>
              <w:pStyle w:val="ListParagraph"/>
              <w:numPr>
                <w:ilvl w:val="0"/>
                <w:numId w:val="28"/>
              </w:numPr>
              <w:spacing w:before="120" w:after="120"/>
              <w:ind w:left="357" w:hanging="357"/>
              <w:rPr>
                <w:sz w:val="23"/>
                <w:szCs w:val="23"/>
              </w:rPr>
            </w:pPr>
            <w:r w:rsidRPr="00144E99">
              <w:rPr>
                <w:sz w:val="23"/>
                <w:szCs w:val="23"/>
              </w:rPr>
              <w:t xml:space="preserve">Subject to Education Council agreement </w:t>
            </w:r>
            <w:r w:rsidR="008B3C4B" w:rsidRPr="00144E99">
              <w:rPr>
                <w:sz w:val="23"/>
                <w:szCs w:val="23"/>
              </w:rPr>
              <w:t>at</w:t>
            </w:r>
            <w:r w:rsidRPr="00144E99">
              <w:rPr>
                <w:sz w:val="23"/>
                <w:szCs w:val="23"/>
              </w:rPr>
              <w:t xml:space="preserve"> a), Education Council receive review report and consider recommendations for any national initiatives to strengthen student pathways, with </w:t>
            </w:r>
            <w:r w:rsidR="001D550A" w:rsidRPr="00144E99">
              <w:rPr>
                <w:sz w:val="23"/>
                <w:szCs w:val="23"/>
              </w:rPr>
              <w:t>S</w:t>
            </w:r>
            <w:r w:rsidRPr="00144E99">
              <w:rPr>
                <w:sz w:val="23"/>
                <w:szCs w:val="23"/>
              </w:rPr>
              <w:t xml:space="preserve">tates and </w:t>
            </w:r>
            <w:r w:rsidR="001D550A" w:rsidRPr="00144E99">
              <w:rPr>
                <w:sz w:val="23"/>
                <w:szCs w:val="23"/>
              </w:rPr>
              <w:t>T</w:t>
            </w:r>
            <w:r w:rsidRPr="00144E99">
              <w:rPr>
                <w:sz w:val="23"/>
                <w:szCs w:val="23"/>
              </w:rPr>
              <w:t>erritories to independently consider recommendations for local response.</w:t>
            </w:r>
          </w:p>
        </w:tc>
        <w:tc>
          <w:tcPr>
            <w:tcW w:w="969" w:type="pct"/>
            <w:shd w:val="clear" w:color="auto" w:fill="auto"/>
          </w:tcPr>
          <w:p w14:paraId="69EFF930" w14:textId="0C5337E0" w:rsidR="003D0265" w:rsidRPr="00144E99" w:rsidRDefault="00453252" w:rsidP="000209BB">
            <w:pPr>
              <w:spacing w:before="120" w:after="120" w:line="240" w:lineRule="auto"/>
              <w:jc w:val="left"/>
            </w:pPr>
            <w:r>
              <w:t>June</w:t>
            </w:r>
            <w:r w:rsidR="003D0265" w:rsidRPr="00144E99">
              <w:t xml:space="preserve"> 2020</w:t>
            </w:r>
          </w:p>
        </w:tc>
      </w:tr>
      <w:tr w:rsidR="003D0265" w:rsidRPr="00144E99" w14:paraId="19489BA4" w14:textId="77777777" w:rsidTr="00F351F4">
        <w:trPr>
          <w:cantSplit/>
          <w:trHeight w:val="540"/>
        </w:trPr>
        <w:tc>
          <w:tcPr>
            <w:tcW w:w="1043" w:type="pct"/>
            <w:vMerge/>
            <w:shd w:val="clear" w:color="auto" w:fill="auto"/>
          </w:tcPr>
          <w:p w14:paraId="0FE9B44A" w14:textId="77777777" w:rsidR="003D0265" w:rsidRPr="00144E99" w:rsidRDefault="003D0265" w:rsidP="000209BB">
            <w:pPr>
              <w:spacing w:before="120" w:after="120" w:line="240" w:lineRule="auto"/>
              <w:jc w:val="left"/>
            </w:pPr>
          </w:p>
        </w:tc>
        <w:tc>
          <w:tcPr>
            <w:tcW w:w="2988" w:type="pct"/>
            <w:tcBorders>
              <w:top w:val="single" w:sz="2" w:space="0" w:color="316F72"/>
            </w:tcBorders>
            <w:shd w:val="clear" w:color="auto" w:fill="auto"/>
          </w:tcPr>
          <w:p w14:paraId="13B62884" w14:textId="77777777" w:rsidR="003D0265" w:rsidRPr="00144E99" w:rsidRDefault="003D0265" w:rsidP="00BA5818">
            <w:pPr>
              <w:pStyle w:val="ListParagraph"/>
              <w:numPr>
                <w:ilvl w:val="0"/>
                <w:numId w:val="28"/>
              </w:numPr>
              <w:spacing w:before="120" w:after="120"/>
              <w:ind w:left="357" w:hanging="357"/>
              <w:rPr>
                <w:sz w:val="23"/>
                <w:szCs w:val="23"/>
              </w:rPr>
            </w:pPr>
            <w:r w:rsidRPr="00144E99">
              <w:rPr>
                <w:sz w:val="23"/>
                <w:szCs w:val="23"/>
              </w:rPr>
              <w:t>Subject to Education Council agreement at a) and b), Education Council has implemented, or is progressing, agreed recommendations as appropriate.</w:t>
            </w:r>
          </w:p>
        </w:tc>
        <w:tc>
          <w:tcPr>
            <w:tcW w:w="969" w:type="pct"/>
            <w:shd w:val="clear" w:color="auto" w:fill="auto"/>
          </w:tcPr>
          <w:p w14:paraId="4E3D1B2E" w14:textId="77777777" w:rsidR="003D0265" w:rsidRPr="00144E99" w:rsidRDefault="003D0265" w:rsidP="000209BB">
            <w:pPr>
              <w:spacing w:before="120" w:after="120" w:line="240" w:lineRule="auto"/>
              <w:jc w:val="left"/>
            </w:pPr>
            <w:r w:rsidRPr="00144E99">
              <w:t xml:space="preserve">End of the agreement </w:t>
            </w:r>
          </w:p>
        </w:tc>
      </w:tr>
      <w:tr w:rsidR="003D0265" w:rsidRPr="00144E99" w14:paraId="3B69AEF4" w14:textId="77777777" w:rsidTr="00F351F4">
        <w:trPr>
          <w:cantSplit/>
          <w:trHeight w:val="697"/>
        </w:trPr>
        <w:tc>
          <w:tcPr>
            <w:tcW w:w="1043" w:type="pct"/>
            <w:vMerge w:val="restart"/>
            <w:tcBorders>
              <w:top w:val="single" w:sz="2" w:space="0" w:color="316F72"/>
            </w:tcBorders>
            <w:shd w:val="clear" w:color="auto" w:fill="auto"/>
          </w:tcPr>
          <w:p w14:paraId="11879396" w14:textId="77777777" w:rsidR="003D0265" w:rsidRPr="00144E99" w:rsidRDefault="003D0265" w:rsidP="000209BB">
            <w:pPr>
              <w:spacing w:before="120" w:after="120" w:line="240" w:lineRule="auto"/>
              <w:jc w:val="left"/>
              <w:rPr>
                <w:i/>
              </w:rPr>
            </w:pPr>
            <w:r w:rsidRPr="00144E99">
              <w:t xml:space="preserve">B (i) </w:t>
            </w:r>
            <w:r w:rsidR="005858A0" w:rsidRPr="00144E99">
              <w:rPr>
                <w:rFonts w:cs="Calibri"/>
              </w:rPr>
              <w:t>Reviewing</w:t>
            </w:r>
            <w:r w:rsidRPr="00144E99">
              <w:rPr>
                <w:rFonts w:cs="Calibri"/>
              </w:rPr>
              <w:t xml:space="preserve"> teacher workforce needs of the future </w:t>
            </w:r>
            <w:r w:rsidR="001B4A90" w:rsidRPr="00144E99">
              <w:rPr>
                <w:rFonts w:cs="Calibri"/>
              </w:rPr>
              <w:t xml:space="preserve">to attract and retain the best and brightest to </w:t>
            </w:r>
            <w:r w:rsidR="00FC638B" w:rsidRPr="00144E99">
              <w:rPr>
                <w:rFonts w:cs="Calibri"/>
              </w:rPr>
              <w:t xml:space="preserve">the </w:t>
            </w:r>
            <w:r w:rsidR="001B4A90" w:rsidRPr="00144E99">
              <w:rPr>
                <w:rFonts w:cs="Calibri"/>
              </w:rPr>
              <w:t>teaching</w:t>
            </w:r>
            <w:r w:rsidR="00FC638B" w:rsidRPr="00144E99">
              <w:rPr>
                <w:rFonts w:cs="Calibri"/>
              </w:rPr>
              <w:t xml:space="preserve"> profession</w:t>
            </w:r>
            <w:r w:rsidR="001B4A90" w:rsidRPr="00144E99">
              <w:rPr>
                <w:rFonts w:cs="Calibri"/>
              </w:rPr>
              <w:t xml:space="preserve"> </w:t>
            </w:r>
            <w:r w:rsidR="00931D5F" w:rsidRPr="00144E99">
              <w:rPr>
                <w:rFonts w:cs="Calibri"/>
              </w:rPr>
              <w:t>and attract teachers to areas of need</w:t>
            </w:r>
          </w:p>
          <w:p w14:paraId="19358D07" w14:textId="77777777" w:rsidR="003D0265" w:rsidRPr="00144E99" w:rsidRDefault="003D0265" w:rsidP="000209BB">
            <w:pPr>
              <w:spacing w:before="120" w:after="120" w:line="240" w:lineRule="auto"/>
              <w:jc w:val="left"/>
            </w:pPr>
          </w:p>
        </w:tc>
        <w:tc>
          <w:tcPr>
            <w:tcW w:w="2988" w:type="pct"/>
            <w:tcBorders>
              <w:top w:val="single" w:sz="2" w:space="0" w:color="316F72"/>
            </w:tcBorders>
            <w:shd w:val="clear" w:color="auto" w:fill="auto"/>
          </w:tcPr>
          <w:p w14:paraId="36700D7A" w14:textId="77777777" w:rsidR="003D0265" w:rsidRPr="00144E99" w:rsidRDefault="003D0265" w:rsidP="00DA6792">
            <w:pPr>
              <w:pStyle w:val="ListParagraph"/>
              <w:numPr>
                <w:ilvl w:val="0"/>
                <w:numId w:val="29"/>
              </w:numPr>
              <w:spacing w:before="120" w:after="120"/>
              <w:ind w:left="357" w:hanging="357"/>
              <w:rPr>
                <w:sz w:val="23"/>
                <w:szCs w:val="23"/>
              </w:rPr>
            </w:pPr>
            <w:r w:rsidRPr="00144E99">
              <w:rPr>
                <w:sz w:val="23"/>
                <w:szCs w:val="23"/>
              </w:rPr>
              <w:t>Education Council consider</w:t>
            </w:r>
            <w:r w:rsidR="00DA6792">
              <w:rPr>
                <w:sz w:val="23"/>
                <w:szCs w:val="23"/>
              </w:rPr>
              <w:t xml:space="preserve"> an implementation strategy for the recommendation</w:t>
            </w:r>
            <w:r w:rsidR="00A944E1">
              <w:rPr>
                <w:sz w:val="23"/>
                <w:szCs w:val="23"/>
              </w:rPr>
              <w:t>s</w:t>
            </w:r>
            <w:r w:rsidR="00DA6792">
              <w:rPr>
                <w:sz w:val="23"/>
                <w:szCs w:val="23"/>
              </w:rPr>
              <w:t xml:space="preserve"> </w:t>
            </w:r>
            <w:r w:rsidRPr="00144E99">
              <w:rPr>
                <w:sz w:val="23"/>
                <w:szCs w:val="23"/>
              </w:rPr>
              <w:t>of the National Review of Teacher Registration.</w:t>
            </w:r>
          </w:p>
        </w:tc>
        <w:tc>
          <w:tcPr>
            <w:tcW w:w="969" w:type="pct"/>
            <w:tcBorders>
              <w:top w:val="single" w:sz="2" w:space="0" w:color="316F72"/>
            </w:tcBorders>
            <w:shd w:val="clear" w:color="auto" w:fill="auto"/>
          </w:tcPr>
          <w:p w14:paraId="03C1C330" w14:textId="77777777" w:rsidR="003D0265" w:rsidRPr="00144E99" w:rsidRDefault="00DE1EFC" w:rsidP="000209BB">
            <w:pPr>
              <w:spacing w:before="120" w:after="120" w:line="240" w:lineRule="auto"/>
              <w:jc w:val="left"/>
            </w:pPr>
            <w:r w:rsidRPr="00144E99">
              <w:t>Early 2019</w:t>
            </w:r>
          </w:p>
        </w:tc>
      </w:tr>
      <w:tr w:rsidR="000209BB" w:rsidRPr="00144E99" w14:paraId="13D053E7" w14:textId="77777777" w:rsidTr="00F351F4">
        <w:trPr>
          <w:cantSplit/>
          <w:trHeight w:val="697"/>
        </w:trPr>
        <w:tc>
          <w:tcPr>
            <w:tcW w:w="1043" w:type="pct"/>
            <w:vMerge/>
            <w:tcBorders>
              <w:top w:val="single" w:sz="2" w:space="0" w:color="316F72"/>
            </w:tcBorders>
            <w:shd w:val="clear" w:color="auto" w:fill="auto"/>
          </w:tcPr>
          <w:p w14:paraId="6069880D" w14:textId="77777777" w:rsidR="000209BB" w:rsidRPr="00144E99" w:rsidRDefault="000209BB" w:rsidP="000209BB">
            <w:pPr>
              <w:spacing w:before="120" w:after="120" w:line="240" w:lineRule="auto"/>
              <w:jc w:val="left"/>
            </w:pPr>
          </w:p>
        </w:tc>
        <w:tc>
          <w:tcPr>
            <w:tcW w:w="2988" w:type="pct"/>
            <w:tcBorders>
              <w:top w:val="single" w:sz="2" w:space="0" w:color="316F72"/>
            </w:tcBorders>
            <w:shd w:val="clear" w:color="auto" w:fill="auto"/>
          </w:tcPr>
          <w:p w14:paraId="4B954A84" w14:textId="77777777" w:rsidR="000209BB" w:rsidRPr="00144E99" w:rsidRDefault="000209BB" w:rsidP="005858A0">
            <w:pPr>
              <w:pStyle w:val="ListParagraph"/>
              <w:numPr>
                <w:ilvl w:val="0"/>
                <w:numId w:val="29"/>
              </w:numPr>
              <w:spacing w:before="120" w:after="120"/>
              <w:ind w:left="357" w:hanging="357"/>
              <w:rPr>
                <w:sz w:val="23"/>
                <w:szCs w:val="23"/>
              </w:rPr>
            </w:pPr>
            <w:r w:rsidRPr="00144E99">
              <w:rPr>
                <w:sz w:val="23"/>
                <w:szCs w:val="23"/>
              </w:rPr>
              <w:t xml:space="preserve">Education Council </w:t>
            </w:r>
            <w:r w:rsidR="0063138B" w:rsidRPr="00144E99">
              <w:rPr>
                <w:sz w:val="23"/>
                <w:szCs w:val="23"/>
              </w:rPr>
              <w:t>begin to develop</w:t>
            </w:r>
            <w:r w:rsidRPr="00144E99">
              <w:rPr>
                <w:sz w:val="23"/>
                <w:szCs w:val="23"/>
              </w:rPr>
              <w:t xml:space="preserve"> options for a national teacher workforce strategy</w:t>
            </w:r>
          </w:p>
        </w:tc>
        <w:tc>
          <w:tcPr>
            <w:tcW w:w="969" w:type="pct"/>
            <w:tcBorders>
              <w:top w:val="single" w:sz="2" w:space="0" w:color="316F72"/>
            </w:tcBorders>
            <w:shd w:val="clear" w:color="auto" w:fill="auto"/>
          </w:tcPr>
          <w:p w14:paraId="39588418" w14:textId="77777777" w:rsidR="000209BB" w:rsidRPr="00144E99" w:rsidRDefault="00DE1EFC" w:rsidP="000209BB">
            <w:pPr>
              <w:spacing w:before="120" w:after="120" w:line="240" w:lineRule="auto"/>
              <w:jc w:val="left"/>
            </w:pPr>
            <w:r w:rsidRPr="00144E99">
              <w:t>Mid</w:t>
            </w:r>
            <w:r w:rsidR="000209BB" w:rsidRPr="00144E99">
              <w:t xml:space="preserve"> 2019</w:t>
            </w:r>
          </w:p>
        </w:tc>
      </w:tr>
      <w:tr w:rsidR="003D0265" w:rsidRPr="00144E99" w14:paraId="5956D7B0" w14:textId="77777777" w:rsidTr="00F351F4">
        <w:trPr>
          <w:cantSplit/>
          <w:trHeight w:val="777"/>
        </w:trPr>
        <w:tc>
          <w:tcPr>
            <w:tcW w:w="1043" w:type="pct"/>
            <w:vMerge/>
            <w:shd w:val="clear" w:color="auto" w:fill="auto"/>
          </w:tcPr>
          <w:p w14:paraId="3A2F8DD3" w14:textId="77777777" w:rsidR="003D0265" w:rsidRPr="00144E99" w:rsidRDefault="003D0265" w:rsidP="000209BB">
            <w:pPr>
              <w:spacing w:before="120" w:after="120" w:line="240" w:lineRule="auto"/>
              <w:jc w:val="left"/>
            </w:pPr>
          </w:p>
        </w:tc>
        <w:tc>
          <w:tcPr>
            <w:tcW w:w="2988" w:type="pct"/>
            <w:tcBorders>
              <w:top w:val="single" w:sz="2" w:space="0" w:color="316F72"/>
            </w:tcBorders>
            <w:shd w:val="clear" w:color="auto" w:fill="auto"/>
          </w:tcPr>
          <w:p w14:paraId="4D60A760" w14:textId="77777777" w:rsidR="003D0265" w:rsidRPr="00144E99" w:rsidRDefault="003D0265" w:rsidP="007E6793">
            <w:pPr>
              <w:pStyle w:val="ListParagraph"/>
              <w:numPr>
                <w:ilvl w:val="0"/>
                <w:numId w:val="29"/>
              </w:numPr>
              <w:spacing w:before="120" w:after="120"/>
              <w:ind w:left="357" w:hanging="357"/>
              <w:rPr>
                <w:sz w:val="23"/>
                <w:szCs w:val="23"/>
              </w:rPr>
            </w:pPr>
            <w:r w:rsidRPr="00144E99">
              <w:rPr>
                <w:sz w:val="23"/>
                <w:szCs w:val="23"/>
              </w:rPr>
              <w:t xml:space="preserve">Subject to </w:t>
            </w:r>
            <w:r w:rsidR="00CC5E5F" w:rsidRPr="00144E99">
              <w:rPr>
                <w:sz w:val="23"/>
                <w:szCs w:val="23"/>
              </w:rPr>
              <w:t>b</w:t>
            </w:r>
            <w:r w:rsidRPr="00144E99">
              <w:rPr>
                <w:sz w:val="23"/>
                <w:szCs w:val="23"/>
              </w:rPr>
              <w:t xml:space="preserve">), Education Council agree to an option for a national teacher workforce strategy to support decision making of teacher employers and </w:t>
            </w:r>
            <w:r w:rsidR="008B3C4B" w:rsidRPr="00144E99">
              <w:rPr>
                <w:sz w:val="23"/>
                <w:szCs w:val="23"/>
              </w:rPr>
              <w:t>initial teacher education</w:t>
            </w:r>
            <w:r w:rsidR="00B415CC" w:rsidRPr="00144E99">
              <w:rPr>
                <w:sz w:val="23"/>
                <w:szCs w:val="23"/>
              </w:rPr>
              <w:t xml:space="preserve"> (</w:t>
            </w:r>
            <w:r w:rsidRPr="00144E99">
              <w:rPr>
                <w:sz w:val="23"/>
                <w:szCs w:val="23"/>
              </w:rPr>
              <w:t>ITE</w:t>
            </w:r>
            <w:r w:rsidR="00B415CC" w:rsidRPr="00144E99">
              <w:rPr>
                <w:sz w:val="23"/>
                <w:szCs w:val="23"/>
              </w:rPr>
              <w:t>)</w:t>
            </w:r>
            <w:r w:rsidRPr="00144E99">
              <w:rPr>
                <w:sz w:val="23"/>
                <w:szCs w:val="23"/>
              </w:rPr>
              <w:t xml:space="preserve"> providers. </w:t>
            </w:r>
            <w:r w:rsidR="00B415CC" w:rsidRPr="00144E99">
              <w:rPr>
                <w:sz w:val="23"/>
                <w:szCs w:val="23"/>
              </w:rPr>
              <w:t>It is anticipated t</w:t>
            </w:r>
            <w:r w:rsidRPr="00144E99">
              <w:rPr>
                <w:sz w:val="23"/>
                <w:szCs w:val="23"/>
              </w:rPr>
              <w:t xml:space="preserve">he strategy would </w:t>
            </w:r>
            <w:r w:rsidR="002D600C" w:rsidRPr="00144E99">
              <w:rPr>
                <w:sz w:val="23"/>
                <w:szCs w:val="23"/>
              </w:rPr>
              <w:t xml:space="preserve">identify requirements to address </w:t>
            </w:r>
            <w:r w:rsidRPr="00144E99">
              <w:rPr>
                <w:sz w:val="23"/>
                <w:szCs w:val="23"/>
              </w:rPr>
              <w:t>workforce issues of supply, demand, retention, attrition, hard to staff schools, specialisation, teaching out of field, rural and remote workforce and any gaps in data identified by Parties and sectors.</w:t>
            </w:r>
          </w:p>
        </w:tc>
        <w:tc>
          <w:tcPr>
            <w:tcW w:w="969" w:type="pct"/>
            <w:shd w:val="clear" w:color="auto" w:fill="auto"/>
          </w:tcPr>
          <w:p w14:paraId="35AA1791" w14:textId="7F335DCB" w:rsidR="003D0265" w:rsidRPr="00144E99" w:rsidRDefault="00453252" w:rsidP="00453252">
            <w:pPr>
              <w:spacing w:before="120" w:after="120" w:line="240" w:lineRule="auto"/>
              <w:jc w:val="left"/>
            </w:pPr>
            <w:r>
              <w:t>September 2020</w:t>
            </w:r>
          </w:p>
        </w:tc>
      </w:tr>
      <w:tr w:rsidR="003D0265" w:rsidRPr="00144E99" w14:paraId="61634E11" w14:textId="77777777" w:rsidTr="00F351F4">
        <w:trPr>
          <w:cantSplit/>
          <w:trHeight w:val="777"/>
        </w:trPr>
        <w:tc>
          <w:tcPr>
            <w:tcW w:w="1043" w:type="pct"/>
            <w:vMerge/>
            <w:shd w:val="clear" w:color="auto" w:fill="auto"/>
          </w:tcPr>
          <w:p w14:paraId="739D55BF" w14:textId="77777777" w:rsidR="003D0265" w:rsidRPr="00144E99" w:rsidRDefault="003D0265" w:rsidP="000209BB">
            <w:pPr>
              <w:spacing w:before="120" w:after="120" w:line="240" w:lineRule="auto"/>
              <w:jc w:val="left"/>
            </w:pPr>
          </w:p>
        </w:tc>
        <w:tc>
          <w:tcPr>
            <w:tcW w:w="2988" w:type="pct"/>
            <w:shd w:val="clear" w:color="auto" w:fill="auto"/>
          </w:tcPr>
          <w:p w14:paraId="75EF8648" w14:textId="77777777" w:rsidR="003D0265" w:rsidRPr="00144E99" w:rsidRDefault="003D0265" w:rsidP="007E6793">
            <w:pPr>
              <w:pStyle w:val="ListParagraph"/>
              <w:numPr>
                <w:ilvl w:val="0"/>
                <w:numId w:val="29"/>
              </w:numPr>
              <w:spacing w:before="120" w:after="120"/>
              <w:ind w:left="357" w:hanging="357"/>
              <w:rPr>
                <w:sz w:val="23"/>
                <w:szCs w:val="23"/>
              </w:rPr>
            </w:pPr>
            <w:r w:rsidRPr="00144E99">
              <w:rPr>
                <w:sz w:val="23"/>
                <w:szCs w:val="23"/>
              </w:rPr>
              <w:t xml:space="preserve">Subject to Education Council agreement </w:t>
            </w:r>
            <w:r w:rsidR="00B415CC" w:rsidRPr="00144E99">
              <w:rPr>
                <w:sz w:val="23"/>
                <w:szCs w:val="23"/>
              </w:rPr>
              <w:t>at</w:t>
            </w:r>
            <w:r w:rsidR="0063138B" w:rsidRPr="00144E99">
              <w:rPr>
                <w:sz w:val="23"/>
                <w:szCs w:val="23"/>
              </w:rPr>
              <w:t xml:space="preserve"> b) </w:t>
            </w:r>
            <w:r w:rsidR="003B4923" w:rsidRPr="00144E99">
              <w:rPr>
                <w:sz w:val="23"/>
                <w:szCs w:val="23"/>
              </w:rPr>
              <w:t xml:space="preserve">and </w:t>
            </w:r>
            <w:r w:rsidR="00CC5E5F" w:rsidRPr="00144E99">
              <w:rPr>
                <w:sz w:val="23"/>
                <w:szCs w:val="23"/>
              </w:rPr>
              <w:t>c</w:t>
            </w:r>
            <w:r w:rsidRPr="00144E99">
              <w:rPr>
                <w:sz w:val="23"/>
                <w:szCs w:val="23"/>
              </w:rPr>
              <w:t xml:space="preserve">), Education Council implement a national teacher workforce strategy to respond to </w:t>
            </w:r>
            <w:r w:rsidR="00B415CC" w:rsidRPr="00144E99">
              <w:rPr>
                <w:sz w:val="23"/>
                <w:szCs w:val="23"/>
              </w:rPr>
              <w:t xml:space="preserve">teacher </w:t>
            </w:r>
            <w:r w:rsidRPr="00144E99">
              <w:rPr>
                <w:sz w:val="23"/>
                <w:szCs w:val="23"/>
              </w:rPr>
              <w:t>workforce needs of the future and support decision making of teacher employers and ITE providers.</w:t>
            </w:r>
          </w:p>
        </w:tc>
        <w:tc>
          <w:tcPr>
            <w:tcW w:w="969" w:type="pct"/>
            <w:shd w:val="clear" w:color="auto" w:fill="auto"/>
          </w:tcPr>
          <w:p w14:paraId="00FF68C7" w14:textId="70A23F70" w:rsidR="003D0265" w:rsidRPr="00144E99" w:rsidRDefault="00453252" w:rsidP="000209BB">
            <w:pPr>
              <w:spacing w:before="120" w:after="120" w:line="240" w:lineRule="auto"/>
              <w:jc w:val="left"/>
            </w:pPr>
            <w:r>
              <w:t>From December 2020</w:t>
            </w:r>
          </w:p>
        </w:tc>
      </w:tr>
      <w:tr w:rsidR="00CF1844" w:rsidRPr="00144E99" w14:paraId="70666245" w14:textId="77777777" w:rsidTr="00F351F4">
        <w:trPr>
          <w:cantSplit/>
          <w:trHeight w:val="388"/>
        </w:trPr>
        <w:tc>
          <w:tcPr>
            <w:tcW w:w="1043" w:type="pct"/>
            <w:vMerge w:val="restart"/>
            <w:shd w:val="clear" w:color="auto" w:fill="auto"/>
          </w:tcPr>
          <w:p w14:paraId="52E117A9" w14:textId="77777777" w:rsidR="00CF1844" w:rsidRPr="005C15C5" w:rsidRDefault="00CF1844" w:rsidP="00CF1844">
            <w:pPr>
              <w:spacing w:before="120" w:after="120" w:line="240" w:lineRule="auto"/>
              <w:jc w:val="left"/>
            </w:pPr>
            <w:r w:rsidRPr="00144E99">
              <w:t xml:space="preserve">B (ii) Strengthening the initial teacher education accreditation system </w:t>
            </w:r>
          </w:p>
          <w:p w14:paraId="2A67652C" w14:textId="77777777" w:rsidR="00CF1844" w:rsidRPr="00144E99" w:rsidRDefault="00CF1844" w:rsidP="000209BB">
            <w:pPr>
              <w:spacing w:before="120" w:after="120" w:line="240" w:lineRule="auto"/>
              <w:jc w:val="left"/>
            </w:pPr>
          </w:p>
        </w:tc>
        <w:tc>
          <w:tcPr>
            <w:tcW w:w="2988" w:type="pct"/>
            <w:tcBorders>
              <w:top w:val="single" w:sz="2" w:space="0" w:color="316F72"/>
            </w:tcBorders>
            <w:shd w:val="clear" w:color="auto" w:fill="auto"/>
          </w:tcPr>
          <w:p w14:paraId="5BA1175C" w14:textId="1B688DEC" w:rsidR="00CF1844" w:rsidRPr="005C15C5" w:rsidRDefault="00CF1844" w:rsidP="00453252">
            <w:pPr>
              <w:pStyle w:val="ListParagraph"/>
              <w:numPr>
                <w:ilvl w:val="0"/>
                <w:numId w:val="83"/>
              </w:numPr>
              <w:spacing w:before="120" w:after="120"/>
              <w:ind w:left="357" w:hanging="357"/>
              <w:rPr>
                <w:rFonts w:cs="Corbel"/>
                <w:color w:val="000000"/>
                <w:sz w:val="23"/>
                <w:szCs w:val="23"/>
              </w:rPr>
            </w:pPr>
            <w:r w:rsidRPr="005C15C5">
              <w:rPr>
                <w:rFonts w:cs="Corbel"/>
                <w:color w:val="000000"/>
                <w:sz w:val="23"/>
                <w:szCs w:val="23"/>
              </w:rPr>
              <w:t>States and Territories ensure that accredited initial teacher education programs require pre-service teachers to have successfully completed a</w:t>
            </w:r>
            <w:r w:rsidR="00453252" w:rsidRPr="005C15C5">
              <w:rPr>
                <w:rFonts w:cs="Corbel"/>
                <w:color w:val="000000"/>
                <w:sz w:val="23"/>
                <w:szCs w:val="23"/>
              </w:rPr>
              <w:t>n endorsed</w:t>
            </w:r>
            <w:r w:rsidRPr="005C15C5">
              <w:rPr>
                <w:rFonts w:cs="Corbel"/>
                <w:color w:val="000000"/>
                <w:sz w:val="23"/>
                <w:szCs w:val="23"/>
              </w:rPr>
              <w:t xml:space="preserve"> final-year teaching performance assessment prior to graduation.</w:t>
            </w:r>
          </w:p>
        </w:tc>
        <w:tc>
          <w:tcPr>
            <w:tcW w:w="969" w:type="pct"/>
            <w:shd w:val="clear" w:color="auto" w:fill="auto"/>
          </w:tcPr>
          <w:p w14:paraId="4E09FE1C" w14:textId="389F72F6" w:rsidR="00CF1844" w:rsidRPr="00144E99" w:rsidRDefault="00CF1844" w:rsidP="000209BB">
            <w:pPr>
              <w:spacing w:before="120" w:after="120" w:line="240" w:lineRule="auto"/>
              <w:jc w:val="left"/>
            </w:pPr>
            <w:r w:rsidRPr="00144E99">
              <w:t>From January 2019</w:t>
            </w:r>
          </w:p>
        </w:tc>
      </w:tr>
      <w:tr w:rsidR="00CF1844" w:rsidRPr="00144E99" w14:paraId="5A642CDA" w14:textId="77777777" w:rsidTr="00F351F4">
        <w:trPr>
          <w:cantSplit/>
          <w:trHeight w:val="388"/>
        </w:trPr>
        <w:tc>
          <w:tcPr>
            <w:tcW w:w="1043" w:type="pct"/>
            <w:vMerge/>
            <w:shd w:val="clear" w:color="auto" w:fill="auto"/>
          </w:tcPr>
          <w:p w14:paraId="36859FC1" w14:textId="77777777" w:rsidR="00CF1844" w:rsidRPr="00144E99" w:rsidRDefault="00CF1844" w:rsidP="00CF1844">
            <w:pPr>
              <w:spacing w:before="120" w:after="120" w:line="240" w:lineRule="auto"/>
              <w:jc w:val="left"/>
            </w:pPr>
          </w:p>
        </w:tc>
        <w:tc>
          <w:tcPr>
            <w:tcW w:w="2988" w:type="pct"/>
            <w:tcBorders>
              <w:top w:val="single" w:sz="2" w:space="0" w:color="316F72"/>
            </w:tcBorders>
            <w:shd w:val="clear" w:color="auto" w:fill="auto"/>
          </w:tcPr>
          <w:p w14:paraId="3F4E7DB7" w14:textId="22A0C3EE" w:rsidR="00CF1844" w:rsidRPr="005C15C5" w:rsidRDefault="003516C9" w:rsidP="003516C9">
            <w:pPr>
              <w:pStyle w:val="ListParagraph"/>
              <w:numPr>
                <w:ilvl w:val="0"/>
                <w:numId w:val="83"/>
              </w:numPr>
              <w:spacing w:before="120" w:after="120"/>
              <w:ind w:left="357" w:hanging="357"/>
              <w:rPr>
                <w:rFonts w:cs="Corbel"/>
                <w:color w:val="000000"/>
                <w:sz w:val="23"/>
                <w:szCs w:val="23"/>
              </w:rPr>
            </w:pPr>
            <w:r w:rsidRPr="005C15C5">
              <w:rPr>
                <w:rFonts w:cs="Corbel"/>
                <w:color w:val="000000"/>
                <w:sz w:val="23"/>
                <w:szCs w:val="23"/>
              </w:rPr>
              <w:t>C</w:t>
            </w:r>
            <w:r w:rsidR="00CF1844" w:rsidRPr="005C15C5">
              <w:rPr>
                <w:rFonts w:cs="Corbel"/>
                <w:color w:val="000000"/>
                <w:sz w:val="23"/>
                <w:szCs w:val="23"/>
              </w:rPr>
              <w:t>ommence national quality assurance activities in cooperation with all jurisdictional authorities</w:t>
            </w:r>
            <w:r w:rsidR="00DE50E2" w:rsidRPr="005C15C5">
              <w:rPr>
                <w:rFonts w:cs="Corbel"/>
                <w:color w:val="000000"/>
                <w:sz w:val="23"/>
                <w:szCs w:val="23"/>
              </w:rPr>
              <w:t>.</w:t>
            </w:r>
          </w:p>
        </w:tc>
        <w:tc>
          <w:tcPr>
            <w:tcW w:w="969" w:type="pct"/>
            <w:shd w:val="clear" w:color="auto" w:fill="auto"/>
          </w:tcPr>
          <w:p w14:paraId="41399DB6" w14:textId="1614BDC6" w:rsidR="00CF1844" w:rsidRPr="00144E99" w:rsidRDefault="00CF1844" w:rsidP="000209BB">
            <w:pPr>
              <w:spacing w:before="120" w:after="120" w:line="240" w:lineRule="auto"/>
              <w:jc w:val="left"/>
            </w:pPr>
            <w:r w:rsidRPr="00144E99">
              <w:t>From January 2019</w:t>
            </w:r>
          </w:p>
        </w:tc>
      </w:tr>
      <w:tr w:rsidR="003D0265" w:rsidRPr="00144E99" w14:paraId="529AEACD" w14:textId="77777777" w:rsidTr="00F351F4">
        <w:trPr>
          <w:cantSplit/>
        </w:trPr>
        <w:tc>
          <w:tcPr>
            <w:tcW w:w="1043" w:type="pct"/>
            <w:vMerge w:val="restart"/>
            <w:tcBorders>
              <w:top w:val="single" w:sz="2" w:space="0" w:color="316F72"/>
            </w:tcBorders>
            <w:shd w:val="clear" w:color="auto" w:fill="auto"/>
          </w:tcPr>
          <w:p w14:paraId="4335C4DA" w14:textId="77777777" w:rsidR="003D0265" w:rsidRPr="00144E99" w:rsidRDefault="003D0265" w:rsidP="000209BB">
            <w:pPr>
              <w:spacing w:before="120" w:after="120" w:line="240" w:lineRule="auto"/>
              <w:ind w:left="1"/>
              <w:jc w:val="left"/>
            </w:pPr>
            <w:r w:rsidRPr="00144E99">
              <w:t xml:space="preserve">C (i) </w:t>
            </w:r>
            <w:r w:rsidRPr="00144E99">
              <w:rPr>
                <w:rFonts w:cs="Calibri"/>
              </w:rPr>
              <w:t xml:space="preserve">Implementing </w:t>
            </w:r>
            <w:r w:rsidRPr="00144E99">
              <w:t xml:space="preserve">a national unique student identifier (USI) </w:t>
            </w:r>
            <w:r w:rsidR="00931D5F" w:rsidRPr="00144E99">
              <w:rPr>
                <w:rFonts w:cs="Calibri"/>
              </w:rPr>
              <w:t xml:space="preserve">that meets national privacy requirements in order </w:t>
            </w:r>
            <w:r w:rsidRPr="00144E99">
              <w:t>to support better understanding of student progression and improve the national evidence base</w:t>
            </w:r>
          </w:p>
        </w:tc>
        <w:tc>
          <w:tcPr>
            <w:tcW w:w="2988" w:type="pct"/>
            <w:tcBorders>
              <w:top w:val="single" w:sz="2" w:space="0" w:color="316F72"/>
              <w:bottom w:val="single" w:sz="2" w:space="0" w:color="316F72"/>
            </w:tcBorders>
            <w:shd w:val="clear" w:color="auto" w:fill="auto"/>
          </w:tcPr>
          <w:p w14:paraId="5739EE15" w14:textId="77777777" w:rsidR="00DC4EDF" w:rsidRDefault="003D0265" w:rsidP="00BA5818">
            <w:pPr>
              <w:pStyle w:val="ListParagraph"/>
              <w:numPr>
                <w:ilvl w:val="0"/>
                <w:numId w:val="32"/>
              </w:numPr>
              <w:spacing w:before="120" w:after="120"/>
              <w:ind w:left="360"/>
              <w:rPr>
                <w:sz w:val="23"/>
                <w:szCs w:val="23"/>
              </w:rPr>
            </w:pPr>
            <w:r w:rsidRPr="00144E99">
              <w:rPr>
                <w:sz w:val="23"/>
                <w:szCs w:val="23"/>
              </w:rPr>
              <w:t>Education Council consider</w:t>
            </w:r>
            <w:r w:rsidR="00DC4EDF">
              <w:rPr>
                <w:sz w:val="23"/>
                <w:szCs w:val="23"/>
              </w:rPr>
              <w:t>:</w:t>
            </w:r>
          </w:p>
          <w:p w14:paraId="488E4FD6" w14:textId="15194F4F" w:rsidR="00DC4EDF" w:rsidRDefault="003D0265" w:rsidP="00346615">
            <w:pPr>
              <w:pStyle w:val="ListParagraph"/>
              <w:numPr>
                <w:ilvl w:val="0"/>
                <w:numId w:val="84"/>
              </w:numPr>
              <w:spacing w:before="120" w:after="120"/>
              <w:rPr>
                <w:sz w:val="23"/>
                <w:szCs w:val="23"/>
              </w:rPr>
            </w:pPr>
            <w:r w:rsidRPr="00144E99">
              <w:rPr>
                <w:sz w:val="23"/>
                <w:szCs w:val="23"/>
              </w:rPr>
              <w:t>a proposal for a national USI</w:t>
            </w:r>
            <w:r w:rsidR="005964DC" w:rsidRPr="00144E99">
              <w:rPr>
                <w:sz w:val="23"/>
                <w:szCs w:val="23"/>
              </w:rPr>
              <w:t xml:space="preserve"> to enhance school and system self-review and external quality </w:t>
            </w:r>
            <w:r w:rsidR="0083199D" w:rsidRPr="00144E99">
              <w:rPr>
                <w:sz w:val="23"/>
                <w:szCs w:val="23"/>
              </w:rPr>
              <w:t>assurance</w:t>
            </w:r>
            <w:r w:rsidRPr="00144E99">
              <w:rPr>
                <w:sz w:val="23"/>
                <w:szCs w:val="23"/>
              </w:rPr>
              <w:t>, including proposed approach</w:t>
            </w:r>
            <w:r w:rsidR="00DC4EDF">
              <w:rPr>
                <w:sz w:val="23"/>
                <w:szCs w:val="23"/>
              </w:rPr>
              <w:t xml:space="preserve"> and compatibility with existing USIs</w:t>
            </w:r>
          </w:p>
          <w:p w14:paraId="00CDBC8F" w14:textId="4977CFD6" w:rsidR="003D0265" w:rsidRPr="00346615" w:rsidRDefault="003D0265" w:rsidP="00346615">
            <w:pPr>
              <w:pStyle w:val="ListParagraph"/>
              <w:numPr>
                <w:ilvl w:val="0"/>
                <w:numId w:val="84"/>
              </w:numPr>
              <w:spacing w:before="120" w:after="120"/>
              <w:rPr>
                <w:sz w:val="23"/>
                <w:szCs w:val="23"/>
              </w:rPr>
            </w:pPr>
            <w:r w:rsidRPr="00346615">
              <w:rPr>
                <w:sz w:val="23"/>
                <w:szCs w:val="23"/>
              </w:rPr>
              <w:t>governance, privacy protections, national data access protocols and protections and estimates and proposed allocations of costs.</w:t>
            </w:r>
          </w:p>
        </w:tc>
        <w:tc>
          <w:tcPr>
            <w:tcW w:w="969" w:type="pct"/>
            <w:tcBorders>
              <w:top w:val="single" w:sz="2" w:space="0" w:color="316F72"/>
              <w:bottom w:val="single" w:sz="2" w:space="0" w:color="316F72"/>
            </w:tcBorders>
            <w:shd w:val="clear" w:color="auto" w:fill="auto"/>
          </w:tcPr>
          <w:p w14:paraId="73108864" w14:textId="77777777" w:rsidR="00DC4EDF" w:rsidRDefault="00DC4EDF" w:rsidP="000209BB">
            <w:pPr>
              <w:spacing w:before="120" w:after="120" w:line="240" w:lineRule="auto"/>
              <w:jc w:val="left"/>
            </w:pPr>
          </w:p>
          <w:p w14:paraId="386F06E9" w14:textId="146D2C72" w:rsidR="003D0265" w:rsidRDefault="00DC4EDF" w:rsidP="000209BB">
            <w:pPr>
              <w:spacing w:before="120" w:after="120" w:line="240" w:lineRule="auto"/>
              <w:jc w:val="left"/>
            </w:pPr>
            <w:r>
              <w:t>Late</w:t>
            </w:r>
            <w:r w:rsidR="00DE1EFC" w:rsidRPr="00144E99">
              <w:t xml:space="preserve"> 2019</w:t>
            </w:r>
          </w:p>
          <w:p w14:paraId="41193929" w14:textId="77777777" w:rsidR="00DC4EDF" w:rsidRDefault="00DC4EDF" w:rsidP="000209BB">
            <w:pPr>
              <w:spacing w:before="120" w:after="120" w:line="240" w:lineRule="auto"/>
              <w:jc w:val="left"/>
            </w:pPr>
          </w:p>
          <w:p w14:paraId="15290EE8" w14:textId="77777777" w:rsidR="00DC4EDF" w:rsidRDefault="00DC4EDF" w:rsidP="000209BB">
            <w:pPr>
              <w:spacing w:before="120" w:after="120" w:line="240" w:lineRule="auto"/>
              <w:jc w:val="left"/>
            </w:pPr>
          </w:p>
          <w:p w14:paraId="6FC779DC" w14:textId="48566223" w:rsidR="00DC4EDF" w:rsidRPr="00144E99" w:rsidRDefault="00DC4EDF" w:rsidP="000209BB">
            <w:pPr>
              <w:spacing w:before="120" w:after="120" w:line="240" w:lineRule="auto"/>
              <w:jc w:val="left"/>
            </w:pPr>
            <w:r>
              <w:t>September 2020</w:t>
            </w:r>
          </w:p>
        </w:tc>
      </w:tr>
      <w:tr w:rsidR="003D0265" w:rsidRPr="00144E99" w14:paraId="48A5F09C" w14:textId="77777777" w:rsidTr="00F351F4">
        <w:trPr>
          <w:cantSplit/>
        </w:trPr>
        <w:tc>
          <w:tcPr>
            <w:tcW w:w="1043" w:type="pct"/>
            <w:vMerge/>
            <w:shd w:val="clear" w:color="auto" w:fill="auto"/>
          </w:tcPr>
          <w:p w14:paraId="1C2EA5D9" w14:textId="77777777" w:rsidR="003D0265" w:rsidRPr="00144E99" w:rsidRDefault="003D0265" w:rsidP="000209BB">
            <w:pPr>
              <w:spacing w:before="120" w:after="120" w:line="240" w:lineRule="auto"/>
              <w:ind w:left="1"/>
              <w:jc w:val="left"/>
            </w:pPr>
          </w:p>
        </w:tc>
        <w:tc>
          <w:tcPr>
            <w:tcW w:w="2988" w:type="pct"/>
            <w:tcBorders>
              <w:top w:val="single" w:sz="2" w:space="0" w:color="316F72"/>
              <w:bottom w:val="single" w:sz="2" w:space="0" w:color="316F72"/>
            </w:tcBorders>
            <w:shd w:val="clear" w:color="auto" w:fill="auto"/>
          </w:tcPr>
          <w:p w14:paraId="449D3479" w14:textId="77777777" w:rsidR="003D0265" w:rsidRPr="00144E99" w:rsidRDefault="003D0265" w:rsidP="00BA5818">
            <w:pPr>
              <w:pStyle w:val="ListParagraph"/>
              <w:numPr>
                <w:ilvl w:val="0"/>
                <w:numId w:val="32"/>
              </w:numPr>
              <w:spacing w:before="120" w:after="120"/>
              <w:ind w:left="357" w:hanging="357"/>
              <w:rPr>
                <w:sz w:val="23"/>
                <w:szCs w:val="23"/>
              </w:rPr>
            </w:pPr>
            <w:r w:rsidRPr="00144E99">
              <w:rPr>
                <w:sz w:val="23"/>
                <w:szCs w:val="23"/>
              </w:rPr>
              <w:t xml:space="preserve">Subject to Education Council agreement </w:t>
            </w:r>
            <w:r w:rsidR="000F6C77" w:rsidRPr="00144E99">
              <w:rPr>
                <w:sz w:val="23"/>
                <w:szCs w:val="23"/>
              </w:rPr>
              <w:t>at</w:t>
            </w:r>
            <w:r w:rsidR="003F0975" w:rsidRPr="00144E99">
              <w:rPr>
                <w:sz w:val="23"/>
                <w:szCs w:val="23"/>
              </w:rPr>
              <w:t xml:space="preserve"> </w:t>
            </w:r>
            <w:r w:rsidRPr="00144E99">
              <w:rPr>
                <w:sz w:val="23"/>
                <w:szCs w:val="23"/>
              </w:rPr>
              <w:t xml:space="preserve">a), implement the institutional arrangements necessary to support the implementation of a </w:t>
            </w:r>
            <w:r w:rsidR="00D20F6E" w:rsidRPr="00144E99">
              <w:rPr>
                <w:sz w:val="23"/>
                <w:szCs w:val="23"/>
              </w:rPr>
              <w:t xml:space="preserve">national </w:t>
            </w:r>
            <w:r w:rsidRPr="00144E99">
              <w:rPr>
                <w:sz w:val="23"/>
                <w:szCs w:val="23"/>
              </w:rPr>
              <w:t>USI.</w:t>
            </w:r>
          </w:p>
        </w:tc>
        <w:tc>
          <w:tcPr>
            <w:tcW w:w="969" w:type="pct"/>
            <w:tcBorders>
              <w:top w:val="single" w:sz="2" w:space="0" w:color="316F72"/>
              <w:bottom w:val="single" w:sz="2" w:space="0" w:color="316F72"/>
            </w:tcBorders>
            <w:shd w:val="clear" w:color="auto" w:fill="auto"/>
          </w:tcPr>
          <w:p w14:paraId="5DF2DA1A" w14:textId="3B4ED3E0" w:rsidR="003D0265" w:rsidRPr="00144E99" w:rsidRDefault="00453252" w:rsidP="000209BB">
            <w:pPr>
              <w:spacing w:before="120" w:after="120" w:line="240" w:lineRule="auto"/>
              <w:jc w:val="left"/>
            </w:pPr>
            <w:r>
              <w:t>March 2021</w:t>
            </w:r>
          </w:p>
        </w:tc>
      </w:tr>
      <w:tr w:rsidR="003D0265" w:rsidRPr="00144E99" w14:paraId="1DDB180D" w14:textId="77777777" w:rsidTr="00F351F4">
        <w:trPr>
          <w:cantSplit/>
        </w:trPr>
        <w:tc>
          <w:tcPr>
            <w:tcW w:w="1043" w:type="pct"/>
            <w:vMerge/>
            <w:tcBorders>
              <w:bottom w:val="single" w:sz="8" w:space="0" w:color="316F72"/>
            </w:tcBorders>
            <w:shd w:val="clear" w:color="auto" w:fill="auto"/>
          </w:tcPr>
          <w:p w14:paraId="210C705C" w14:textId="77777777" w:rsidR="003D0265" w:rsidRPr="00144E99" w:rsidRDefault="003D0265" w:rsidP="000209BB">
            <w:pPr>
              <w:spacing w:before="120" w:after="120" w:line="240" w:lineRule="auto"/>
              <w:ind w:left="1"/>
              <w:jc w:val="left"/>
            </w:pPr>
          </w:p>
        </w:tc>
        <w:tc>
          <w:tcPr>
            <w:tcW w:w="2988" w:type="pct"/>
            <w:tcBorders>
              <w:top w:val="single" w:sz="2" w:space="0" w:color="316F72"/>
              <w:bottom w:val="single" w:sz="8" w:space="0" w:color="316F72"/>
            </w:tcBorders>
            <w:shd w:val="clear" w:color="auto" w:fill="auto"/>
          </w:tcPr>
          <w:p w14:paraId="753F2B2C" w14:textId="5A2316A2" w:rsidR="003D0265" w:rsidRPr="00144E99" w:rsidRDefault="003D0265" w:rsidP="00BA5818">
            <w:pPr>
              <w:pStyle w:val="ListParagraph"/>
              <w:numPr>
                <w:ilvl w:val="0"/>
                <w:numId w:val="32"/>
              </w:numPr>
              <w:spacing w:before="120" w:after="120"/>
              <w:ind w:left="357" w:hanging="357"/>
              <w:rPr>
                <w:sz w:val="23"/>
                <w:szCs w:val="23"/>
              </w:rPr>
            </w:pPr>
            <w:r w:rsidRPr="00144E99">
              <w:rPr>
                <w:sz w:val="23"/>
                <w:szCs w:val="23"/>
              </w:rPr>
              <w:t xml:space="preserve">Subject to Education Council agreement </w:t>
            </w:r>
            <w:r w:rsidR="000F6C77" w:rsidRPr="00144E99">
              <w:rPr>
                <w:sz w:val="23"/>
                <w:szCs w:val="23"/>
              </w:rPr>
              <w:t>at</w:t>
            </w:r>
            <w:r w:rsidR="003F0975" w:rsidRPr="00144E99">
              <w:rPr>
                <w:sz w:val="23"/>
                <w:szCs w:val="23"/>
              </w:rPr>
              <w:t xml:space="preserve"> </w:t>
            </w:r>
            <w:r w:rsidRPr="00144E99">
              <w:rPr>
                <w:sz w:val="23"/>
                <w:szCs w:val="23"/>
              </w:rPr>
              <w:t>a) and b),</w:t>
            </w:r>
            <w:r w:rsidR="000C1631" w:rsidRPr="00144E99">
              <w:rPr>
                <w:sz w:val="23"/>
                <w:szCs w:val="23"/>
              </w:rPr>
              <w:t xml:space="preserve"> and subject to meeting national privacy requirements,</w:t>
            </w:r>
            <w:r w:rsidRPr="00144E99">
              <w:rPr>
                <w:sz w:val="23"/>
                <w:szCs w:val="23"/>
              </w:rPr>
              <w:t xml:space="preserve"> schools and systems to progressively work to create a </w:t>
            </w:r>
            <w:r w:rsidR="00D20F6E" w:rsidRPr="00144E99">
              <w:rPr>
                <w:sz w:val="23"/>
                <w:szCs w:val="23"/>
              </w:rPr>
              <w:t xml:space="preserve">national </w:t>
            </w:r>
            <w:r w:rsidRPr="00144E99">
              <w:rPr>
                <w:sz w:val="23"/>
                <w:szCs w:val="23"/>
              </w:rPr>
              <w:t xml:space="preserve">USI for each student from </w:t>
            </w:r>
            <w:r w:rsidR="00453252">
              <w:rPr>
                <w:sz w:val="23"/>
                <w:szCs w:val="23"/>
              </w:rPr>
              <w:t>2021</w:t>
            </w:r>
            <w:r w:rsidRPr="00144E99">
              <w:rPr>
                <w:sz w:val="23"/>
                <w:szCs w:val="23"/>
              </w:rPr>
              <w:t>.</w:t>
            </w:r>
          </w:p>
        </w:tc>
        <w:tc>
          <w:tcPr>
            <w:tcW w:w="969" w:type="pct"/>
            <w:tcBorders>
              <w:top w:val="single" w:sz="2" w:space="0" w:color="316F72"/>
              <w:bottom w:val="single" w:sz="8" w:space="0" w:color="316F72"/>
            </w:tcBorders>
            <w:shd w:val="clear" w:color="auto" w:fill="auto"/>
          </w:tcPr>
          <w:p w14:paraId="13682834" w14:textId="77777777" w:rsidR="003D0265" w:rsidRPr="00144E99" w:rsidRDefault="003D0265" w:rsidP="000209BB">
            <w:pPr>
              <w:spacing w:before="120" w:after="120" w:line="240" w:lineRule="auto"/>
              <w:jc w:val="left"/>
            </w:pPr>
            <w:r w:rsidRPr="00144E99">
              <w:t>All students to have a USI by the end of the agreement</w:t>
            </w:r>
          </w:p>
        </w:tc>
      </w:tr>
      <w:tr w:rsidR="003D0265" w:rsidRPr="00144E99" w14:paraId="383DF9D7" w14:textId="77777777" w:rsidTr="00F351F4">
        <w:trPr>
          <w:cantSplit/>
          <w:trHeight w:val="258"/>
        </w:trPr>
        <w:tc>
          <w:tcPr>
            <w:tcW w:w="1043" w:type="pct"/>
            <w:vMerge w:val="restart"/>
            <w:tcBorders>
              <w:top w:val="single" w:sz="8" w:space="0" w:color="316F72"/>
            </w:tcBorders>
            <w:shd w:val="clear" w:color="auto" w:fill="auto"/>
          </w:tcPr>
          <w:p w14:paraId="7936774C" w14:textId="77777777" w:rsidR="003D0265" w:rsidRPr="00144E99" w:rsidRDefault="003D0265" w:rsidP="000209BB">
            <w:pPr>
              <w:spacing w:before="120" w:after="120" w:line="240" w:lineRule="auto"/>
              <w:jc w:val="left"/>
            </w:pPr>
            <w:r w:rsidRPr="00144E99">
              <w:t xml:space="preserve">C (ii) Establishing an independent national evidence institute to inform teacher </w:t>
            </w:r>
            <w:r w:rsidRPr="00144E99">
              <w:lastRenderedPageBreak/>
              <w:t>practice, system improvement and policy development</w:t>
            </w:r>
          </w:p>
          <w:p w14:paraId="398B90E0" w14:textId="77777777" w:rsidR="003D0265" w:rsidRPr="00144E99" w:rsidRDefault="003D0265" w:rsidP="000209BB">
            <w:pPr>
              <w:spacing w:before="120" w:after="120" w:line="240" w:lineRule="auto"/>
              <w:ind w:left="1"/>
              <w:jc w:val="left"/>
            </w:pPr>
          </w:p>
        </w:tc>
        <w:tc>
          <w:tcPr>
            <w:tcW w:w="2988" w:type="pct"/>
            <w:tcBorders>
              <w:top w:val="single" w:sz="8" w:space="0" w:color="316F72"/>
              <w:bottom w:val="single" w:sz="2" w:space="0" w:color="316F72"/>
            </w:tcBorders>
            <w:shd w:val="clear" w:color="auto" w:fill="auto"/>
          </w:tcPr>
          <w:p w14:paraId="3A41BB5D" w14:textId="77777777" w:rsidR="003D0265" w:rsidRPr="00144E99" w:rsidRDefault="003D0265" w:rsidP="00BA5818">
            <w:pPr>
              <w:pStyle w:val="ListParagraph"/>
              <w:numPr>
                <w:ilvl w:val="0"/>
                <w:numId w:val="33"/>
              </w:numPr>
              <w:spacing w:before="120" w:after="120"/>
              <w:ind w:left="357" w:hanging="357"/>
              <w:rPr>
                <w:sz w:val="23"/>
                <w:szCs w:val="23"/>
              </w:rPr>
            </w:pPr>
            <w:r w:rsidRPr="00144E99">
              <w:rPr>
                <w:sz w:val="23"/>
                <w:szCs w:val="23"/>
              </w:rPr>
              <w:lastRenderedPageBreak/>
              <w:t>Education Council consider</w:t>
            </w:r>
            <w:r w:rsidR="000C1631" w:rsidRPr="00144E99">
              <w:rPr>
                <w:sz w:val="23"/>
                <w:szCs w:val="23"/>
              </w:rPr>
              <w:t xml:space="preserve"> options</w:t>
            </w:r>
            <w:r w:rsidRPr="00144E99">
              <w:rPr>
                <w:sz w:val="23"/>
                <w:szCs w:val="23"/>
              </w:rPr>
              <w:t xml:space="preserve"> for an independent national evidence institute, including scope of functions, potential for expansion of existing capabilities, interaction with existing national bodies, funding and governance arrangements.</w:t>
            </w:r>
          </w:p>
        </w:tc>
        <w:tc>
          <w:tcPr>
            <w:tcW w:w="969" w:type="pct"/>
            <w:tcBorders>
              <w:top w:val="single" w:sz="8" w:space="0" w:color="316F72"/>
              <w:bottom w:val="single" w:sz="2" w:space="0" w:color="316F72"/>
            </w:tcBorders>
            <w:shd w:val="clear" w:color="auto" w:fill="auto"/>
          </w:tcPr>
          <w:p w14:paraId="06BDBE66" w14:textId="1413DC9C" w:rsidR="003D0265" w:rsidRPr="00144E99" w:rsidRDefault="00453252" w:rsidP="000209BB">
            <w:pPr>
              <w:spacing w:before="120" w:after="120" w:line="240" w:lineRule="auto"/>
              <w:jc w:val="left"/>
            </w:pPr>
            <w:r>
              <w:t>Late</w:t>
            </w:r>
            <w:r w:rsidRPr="00144E99">
              <w:t xml:space="preserve"> </w:t>
            </w:r>
            <w:r w:rsidR="003B048F" w:rsidRPr="00144E99">
              <w:t>2019</w:t>
            </w:r>
          </w:p>
        </w:tc>
      </w:tr>
      <w:tr w:rsidR="003D0265" w:rsidRPr="00144E99" w14:paraId="521780ED" w14:textId="77777777" w:rsidTr="00F351F4">
        <w:trPr>
          <w:cantSplit/>
          <w:trHeight w:val="912"/>
        </w:trPr>
        <w:tc>
          <w:tcPr>
            <w:tcW w:w="1043" w:type="pct"/>
            <w:vMerge/>
            <w:shd w:val="clear" w:color="auto" w:fill="auto"/>
          </w:tcPr>
          <w:p w14:paraId="3CA67C15" w14:textId="77777777" w:rsidR="003D0265" w:rsidRPr="00144E99" w:rsidRDefault="003D0265" w:rsidP="000209BB">
            <w:pPr>
              <w:spacing w:before="120" w:after="120" w:line="240" w:lineRule="auto"/>
              <w:jc w:val="left"/>
            </w:pPr>
          </w:p>
        </w:tc>
        <w:tc>
          <w:tcPr>
            <w:tcW w:w="2988" w:type="pct"/>
            <w:tcBorders>
              <w:top w:val="single" w:sz="2" w:space="0" w:color="316F72"/>
              <w:bottom w:val="single" w:sz="2" w:space="0" w:color="316F72"/>
            </w:tcBorders>
            <w:shd w:val="clear" w:color="auto" w:fill="auto"/>
          </w:tcPr>
          <w:p w14:paraId="59F2F656" w14:textId="77777777" w:rsidR="003D0265" w:rsidRPr="00144E99" w:rsidRDefault="003D0265" w:rsidP="00BA5818">
            <w:pPr>
              <w:pStyle w:val="ListParagraph"/>
              <w:numPr>
                <w:ilvl w:val="0"/>
                <w:numId w:val="33"/>
              </w:numPr>
              <w:spacing w:before="120" w:after="120"/>
              <w:ind w:left="357" w:hanging="357"/>
              <w:rPr>
                <w:sz w:val="23"/>
                <w:szCs w:val="23"/>
              </w:rPr>
            </w:pPr>
            <w:r w:rsidRPr="00144E99">
              <w:rPr>
                <w:sz w:val="23"/>
                <w:szCs w:val="23"/>
              </w:rPr>
              <w:t>Subject to Education Council agreement to</w:t>
            </w:r>
            <w:r w:rsidR="000C1631" w:rsidRPr="00144E99">
              <w:rPr>
                <w:sz w:val="23"/>
                <w:szCs w:val="23"/>
              </w:rPr>
              <w:t xml:space="preserve"> an option at</w:t>
            </w:r>
            <w:r w:rsidRPr="00144E99">
              <w:rPr>
                <w:sz w:val="23"/>
                <w:szCs w:val="23"/>
              </w:rPr>
              <w:t xml:space="preserve"> a), implement the institutional arrangements necessary to support an independent national evidence institute. </w:t>
            </w:r>
          </w:p>
        </w:tc>
        <w:tc>
          <w:tcPr>
            <w:tcW w:w="969" w:type="pct"/>
            <w:tcBorders>
              <w:top w:val="single" w:sz="2" w:space="0" w:color="316F72"/>
              <w:bottom w:val="single" w:sz="2" w:space="0" w:color="316F72"/>
            </w:tcBorders>
            <w:shd w:val="clear" w:color="auto" w:fill="auto"/>
          </w:tcPr>
          <w:p w14:paraId="58E130BC" w14:textId="59030AA3" w:rsidR="003D0265" w:rsidRPr="00144E99" w:rsidRDefault="003D0265" w:rsidP="000209BB">
            <w:pPr>
              <w:spacing w:before="120" w:after="120" w:line="240" w:lineRule="auto"/>
              <w:jc w:val="left"/>
            </w:pPr>
            <w:r w:rsidRPr="00144E99">
              <w:t xml:space="preserve">Mid </w:t>
            </w:r>
            <w:r w:rsidR="00D73738">
              <w:t>2020</w:t>
            </w:r>
          </w:p>
        </w:tc>
      </w:tr>
      <w:tr w:rsidR="003D0265" w:rsidRPr="00144E99" w14:paraId="6E5CFB68" w14:textId="77777777" w:rsidTr="00F351F4">
        <w:trPr>
          <w:cantSplit/>
          <w:trHeight w:val="400"/>
        </w:trPr>
        <w:tc>
          <w:tcPr>
            <w:tcW w:w="1043" w:type="pct"/>
            <w:vMerge/>
            <w:shd w:val="clear" w:color="auto" w:fill="auto"/>
          </w:tcPr>
          <w:p w14:paraId="6AB9DBC3" w14:textId="77777777" w:rsidR="003D0265" w:rsidRPr="00144E99" w:rsidRDefault="003D0265" w:rsidP="000209BB">
            <w:pPr>
              <w:spacing w:before="120" w:after="120" w:line="240" w:lineRule="auto"/>
              <w:jc w:val="left"/>
            </w:pPr>
          </w:p>
        </w:tc>
        <w:tc>
          <w:tcPr>
            <w:tcW w:w="2988" w:type="pct"/>
            <w:tcBorders>
              <w:top w:val="single" w:sz="2" w:space="0" w:color="316F72"/>
              <w:bottom w:val="single" w:sz="2" w:space="0" w:color="316F72"/>
            </w:tcBorders>
            <w:shd w:val="clear" w:color="auto" w:fill="auto"/>
          </w:tcPr>
          <w:p w14:paraId="7730B59B" w14:textId="77777777" w:rsidR="003D0265" w:rsidRPr="00144E99" w:rsidRDefault="003D0265" w:rsidP="00BA5818">
            <w:pPr>
              <w:pStyle w:val="ListParagraph"/>
              <w:numPr>
                <w:ilvl w:val="0"/>
                <w:numId w:val="33"/>
              </w:numPr>
              <w:spacing w:before="120" w:after="120"/>
              <w:ind w:left="357" w:hanging="357"/>
              <w:rPr>
                <w:sz w:val="23"/>
                <w:szCs w:val="23"/>
              </w:rPr>
            </w:pPr>
            <w:r w:rsidRPr="00144E99">
              <w:rPr>
                <w:sz w:val="23"/>
                <w:szCs w:val="23"/>
              </w:rPr>
              <w:t xml:space="preserve">Subject to Education Council agreement </w:t>
            </w:r>
            <w:r w:rsidR="00B90DC7" w:rsidRPr="00144E99">
              <w:rPr>
                <w:sz w:val="23"/>
                <w:szCs w:val="23"/>
              </w:rPr>
              <w:t>a</w:t>
            </w:r>
            <w:r w:rsidRPr="00144E99">
              <w:rPr>
                <w:sz w:val="23"/>
                <w:szCs w:val="23"/>
              </w:rPr>
              <w:t xml:space="preserve">t a) and b), </w:t>
            </w:r>
            <w:r w:rsidR="000C1631" w:rsidRPr="00144E99">
              <w:rPr>
                <w:sz w:val="23"/>
                <w:szCs w:val="23"/>
              </w:rPr>
              <w:t xml:space="preserve">the </w:t>
            </w:r>
            <w:r w:rsidRPr="00144E99">
              <w:rPr>
                <w:sz w:val="23"/>
                <w:szCs w:val="23"/>
              </w:rPr>
              <w:t xml:space="preserve">national evidence institute commences operations from 2020, and inter alia, develops and implements a national research </w:t>
            </w:r>
            <w:r w:rsidRPr="00144E99">
              <w:rPr>
                <w:rFonts w:cstheme="minorHAnsi"/>
                <w:sz w:val="23"/>
                <w:szCs w:val="23"/>
              </w:rPr>
              <w:t xml:space="preserve">and evidence </w:t>
            </w:r>
            <w:r w:rsidRPr="00144E99">
              <w:rPr>
                <w:sz w:val="23"/>
                <w:szCs w:val="23"/>
              </w:rPr>
              <w:t>plan.</w:t>
            </w:r>
          </w:p>
        </w:tc>
        <w:tc>
          <w:tcPr>
            <w:tcW w:w="969" w:type="pct"/>
            <w:tcBorders>
              <w:top w:val="single" w:sz="2" w:space="0" w:color="316F72"/>
              <w:bottom w:val="single" w:sz="2" w:space="0" w:color="316F72"/>
            </w:tcBorders>
            <w:shd w:val="clear" w:color="auto" w:fill="auto"/>
          </w:tcPr>
          <w:p w14:paraId="22B3FF7C" w14:textId="77777777" w:rsidR="003D0265" w:rsidRPr="00144E99" w:rsidRDefault="003D0265" w:rsidP="000209BB">
            <w:pPr>
              <w:spacing w:before="120" w:after="120" w:line="240" w:lineRule="auto"/>
              <w:jc w:val="left"/>
            </w:pPr>
            <w:r w:rsidRPr="00144E99">
              <w:t>From 2020</w:t>
            </w:r>
          </w:p>
        </w:tc>
      </w:tr>
      <w:tr w:rsidR="003D0265" w:rsidRPr="00144E99" w14:paraId="3A72BD7E" w14:textId="77777777" w:rsidTr="00E20AAE">
        <w:trPr>
          <w:cantSplit/>
        </w:trPr>
        <w:tc>
          <w:tcPr>
            <w:tcW w:w="1043" w:type="pct"/>
            <w:vMerge w:val="restart"/>
            <w:tcBorders>
              <w:top w:val="single" w:sz="8" w:space="0" w:color="316F72"/>
            </w:tcBorders>
            <w:shd w:val="clear" w:color="auto" w:fill="auto"/>
          </w:tcPr>
          <w:p w14:paraId="0025A9F0" w14:textId="77777777" w:rsidR="003D0265" w:rsidRPr="00144E99" w:rsidRDefault="003D0265" w:rsidP="000209BB">
            <w:pPr>
              <w:spacing w:before="120" w:after="120" w:line="240" w:lineRule="auto"/>
              <w:ind w:left="1"/>
              <w:jc w:val="left"/>
            </w:pPr>
            <w:r w:rsidRPr="00144E99">
              <w:t>C (iii) Improving national data quality, consistency and collection to improve the national evidence base and inform policy development.</w:t>
            </w:r>
          </w:p>
        </w:tc>
        <w:tc>
          <w:tcPr>
            <w:tcW w:w="2988" w:type="pct"/>
            <w:tcBorders>
              <w:top w:val="single" w:sz="8" w:space="0" w:color="316F72"/>
              <w:bottom w:val="single" w:sz="2" w:space="0" w:color="316F72"/>
            </w:tcBorders>
            <w:shd w:val="clear" w:color="auto" w:fill="auto"/>
          </w:tcPr>
          <w:p w14:paraId="3FF5180E" w14:textId="77777777" w:rsidR="003D0265" w:rsidRPr="00144E99" w:rsidRDefault="003D0265" w:rsidP="00BA5818">
            <w:pPr>
              <w:pStyle w:val="ListParagraph"/>
              <w:numPr>
                <w:ilvl w:val="0"/>
                <w:numId w:val="34"/>
              </w:numPr>
              <w:spacing w:before="120" w:after="120"/>
              <w:ind w:left="357" w:hanging="357"/>
              <w:rPr>
                <w:sz w:val="23"/>
                <w:szCs w:val="23"/>
              </w:rPr>
            </w:pPr>
            <w:r w:rsidRPr="00144E99">
              <w:rPr>
                <w:sz w:val="23"/>
                <w:szCs w:val="23"/>
              </w:rPr>
              <w:t xml:space="preserve">Education Council </w:t>
            </w:r>
            <w:r w:rsidR="002D600C" w:rsidRPr="00144E99">
              <w:rPr>
                <w:sz w:val="23"/>
                <w:szCs w:val="23"/>
              </w:rPr>
              <w:t xml:space="preserve">agree </w:t>
            </w:r>
            <w:r w:rsidRPr="00144E99">
              <w:rPr>
                <w:sz w:val="23"/>
                <w:szCs w:val="23"/>
              </w:rPr>
              <w:t xml:space="preserve">equity and proficiency standards (for numeracy and literacy assessed by NAPLAN) as part of the scheduled review of the National Measurement Framework for Schooling. </w:t>
            </w:r>
          </w:p>
        </w:tc>
        <w:tc>
          <w:tcPr>
            <w:tcW w:w="969" w:type="pct"/>
            <w:tcBorders>
              <w:top w:val="single" w:sz="8" w:space="0" w:color="316F72"/>
              <w:bottom w:val="single" w:sz="2" w:space="0" w:color="316F72"/>
            </w:tcBorders>
            <w:shd w:val="clear" w:color="auto" w:fill="auto"/>
          </w:tcPr>
          <w:p w14:paraId="38A8AFF3" w14:textId="77777777" w:rsidR="003D0265" w:rsidRPr="00144E99" w:rsidRDefault="003D0265" w:rsidP="000209BB">
            <w:pPr>
              <w:spacing w:before="120" w:after="120" w:line="240" w:lineRule="auto"/>
              <w:jc w:val="left"/>
            </w:pPr>
            <w:r w:rsidRPr="00144E99">
              <w:t>December 2018</w:t>
            </w:r>
          </w:p>
        </w:tc>
      </w:tr>
      <w:tr w:rsidR="003D0265" w:rsidRPr="00144E99" w14:paraId="748347FE" w14:textId="77777777" w:rsidTr="00F351F4">
        <w:trPr>
          <w:cantSplit/>
          <w:trHeight w:val="1046"/>
        </w:trPr>
        <w:tc>
          <w:tcPr>
            <w:tcW w:w="1043" w:type="pct"/>
            <w:vMerge/>
            <w:shd w:val="clear" w:color="auto" w:fill="auto"/>
          </w:tcPr>
          <w:p w14:paraId="5EDC57CC" w14:textId="77777777" w:rsidR="003D0265" w:rsidRPr="00144E99" w:rsidRDefault="003D0265" w:rsidP="000209BB">
            <w:pPr>
              <w:spacing w:before="120" w:after="120" w:line="240" w:lineRule="auto"/>
              <w:ind w:left="1"/>
              <w:jc w:val="left"/>
            </w:pPr>
          </w:p>
        </w:tc>
        <w:tc>
          <w:tcPr>
            <w:tcW w:w="2988" w:type="pct"/>
            <w:tcBorders>
              <w:top w:val="single" w:sz="2" w:space="0" w:color="316F72"/>
              <w:bottom w:val="single" w:sz="2" w:space="0" w:color="316F72"/>
            </w:tcBorders>
            <w:shd w:val="clear" w:color="auto" w:fill="auto"/>
          </w:tcPr>
          <w:p w14:paraId="462122D2" w14:textId="77777777" w:rsidR="003D0265" w:rsidRPr="00144E99" w:rsidRDefault="00DE1EFC" w:rsidP="00F40335">
            <w:pPr>
              <w:pStyle w:val="ListParagraph"/>
              <w:numPr>
                <w:ilvl w:val="0"/>
                <w:numId w:val="34"/>
              </w:numPr>
              <w:spacing w:before="120" w:after="120"/>
              <w:ind w:left="357" w:hanging="357"/>
              <w:rPr>
                <w:sz w:val="23"/>
                <w:szCs w:val="23"/>
              </w:rPr>
            </w:pPr>
            <w:r w:rsidRPr="00144E99">
              <w:rPr>
                <w:sz w:val="23"/>
                <w:szCs w:val="23"/>
              </w:rPr>
              <w:t xml:space="preserve">Education Council consider strategic opportunities </w:t>
            </w:r>
            <w:r w:rsidR="003D0265" w:rsidRPr="00144E99">
              <w:rPr>
                <w:sz w:val="23"/>
                <w:szCs w:val="23"/>
              </w:rPr>
              <w:t xml:space="preserve">to enhance the national evidence base, </w:t>
            </w:r>
            <w:r w:rsidRPr="00144E99">
              <w:rPr>
                <w:sz w:val="23"/>
                <w:szCs w:val="23"/>
              </w:rPr>
              <w:t xml:space="preserve">including </w:t>
            </w:r>
            <w:r w:rsidR="003D0265" w:rsidRPr="00144E99">
              <w:rPr>
                <w:sz w:val="23"/>
                <w:szCs w:val="23"/>
              </w:rPr>
              <w:t xml:space="preserve">options for measures of </w:t>
            </w:r>
            <w:r w:rsidR="00B90DC7" w:rsidRPr="00144E99">
              <w:rPr>
                <w:sz w:val="23"/>
                <w:szCs w:val="23"/>
              </w:rPr>
              <w:t>child development status at school entry</w:t>
            </w:r>
            <w:r w:rsidR="000209BB" w:rsidRPr="00144E99">
              <w:rPr>
                <w:sz w:val="23"/>
                <w:szCs w:val="23"/>
              </w:rPr>
              <w:t xml:space="preserve">, </w:t>
            </w:r>
            <w:r w:rsidR="003D0265" w:rsidRPr="00144E99">
              <w:rPr>
                <w:sz w:val="23"/>
                <w:szCs w:val="23"/>
              </w:rPr>
              <w:t>student learning gain, general capabilities, post-school destination information, attainment, retention, wellbeing, post-school outcomes.</w:t>
            </w:r>
          </w:p>
        </w:tc>
        <w:tc>
          <w:tcPr>
            <w:tcW w:w="969" w:type="pct"/>
            <w:shd w:val="clear" w:color="auto" w:fill="auto"/>
          </w:tcPr>
          <w:p w14:paraId="0041B9D8" w14:textId="77777777" w:rsidR="003D0265" w:rsidRPr="00144E99" w:rsidRDefault="003D0265" w:rsidP="000209BB">
            <w:pPr>
              <w:spacing w:before="120" w:after="120" w:line="240" w:lineRule="auto"/>
              <w:jc w:val="left"/>
              <w:rPr>
                <w:rFonts w:cs="Arial"/>
              </w:rPr>
            </w:pPr>
            <w:r w:rsidRPr="00144E99">
              <w:rPr>
                <w:rFonts w:cs="Arial"/>
              </w:rPr>
              <w:t>Life of the agreement</w:t>
            </w:r>
          </w:p>
        </w:tc>
      </w:tr>
    </w:tbl>
    <w:p w14:paraId="50A6E42B" w14:textId="77777777" w:rsidR="00B9327B" w:rsidRDefault="00B9327B">
      <w:pPr>
        <w:spacing w:after="0" w:line="240" w:lineRule="auto"/>
        <w:jc w:val="left"/>
        <w:rPr>
          <w:sz w:val="22"/>
        </w:rPr>
        <w:sectPr w:rsidR="00B9327B">
          <w:footerReference w:type="default" r:id="rId28"/>
          <w:pgSz w:w="11906" w:h="16838"/>
          <w:pgMar w:top="1440" w:right="1440" w:bottom="1440" w:left="1440" w:header="708" w:footer="708" w:gutter="0"/>
          <w:cols w:space="708"/>
          <w:docGrid w:linePitch="360"/>
        </w:sectPr>
      </w:pPr>
    </w:p>
    <w:p w14:paraId="6B6DC1C6" w14:textId="0FEEA119" w:rsidR="00513ED9" w:rsidRPr="00144E99" w:rsidRDefault="00513ED9">
      <w:pPr>
        <w:spacing w:after="0" w:line="240" w:lineRule="auto"/>
        <w:jc w:val="left"/>
        <w:rPr>
          <w:sz w:val="22"/>
        </w:rPr>
      </w:pPr>
    </w:p>
    <w:p w14:paraId="6CAFC3BC" w14:textId="77777777" w:rsidR="00BA5818" w:rsidRPr="00144E99" w:rsidRDefault="00513ED9" w:rsidP="00EE6402">
      <w:pPr>
        <w:pStyle w:val="CoverTitleMain"/>
        <w:framePr w:w="9493" w:h="2593" w:hRule="exact" w:hSpace="180" w:wrap="around" w:vAnchor="text" w:hAnchor="margin" w:y="133"/>
        <w:jc w:val="left"/>
        <w:rPr>
          <w:rFonts w:ascii="Corbel" w:hAnsi="Corbel"/>
          <w:caps w:val="0"/>
          <w:color w:val="316F72"/>
          <w:sz w:val="72"/>
          <w:szCs w:val="72"/>
        </w:rPr>
      </w:pPr>
      <w:r w:rsidRPr="00144E99">
        <w:rPr>
          <w:rFonts w:ascii="Corbel" w:hAnsi="Corbel"/>
          <w:caps w:val="0"/>
          <w:color w:val="316F72"/>
          <w:sz w:val="72"/>
          <w:szCs w:val="72"/>
        </w:rPr>
        <w:t>Schedule C:</w:t>
      </w:r>
      <w:r w:rsidR="00BA5818" w:rsidRPr="00144E99">
        <w:rPr>
          <w:rFonts w:ascii="Corbel" w:hAnsi="Corbel"/>
          <w:caps w:val="0"/>
          <w:color w:val="316F72"/>
          <w:sz w:val="72"/>
          <w:szCs w:val="72"/>
        </w:rPr>
        <w:t xml:space="preserve"> </w:t>
      </w:r>
    </w:p>
    <w:p w14:paraId="2DF4F869" w14:textId="77777777" w:rsidR="00BA5818" w:rsidRPr="00144E99" w:rsidRDefault="00BA5818" w:rsidP="00EE6402">
      <w:pPr>
        <w:pStyle w:val="CoverTitleMain"/>
        <w:framePr w:w="9493" w:h="2593" w:hRule="exact" w:hSpace="180" w:wrap="around" w:vAnchor="text" w:hAnchor="margin" w:y="133"/>
        <w:jc w:val="left"/>
      </w:pPr>
      <w:r w:rsidRPr="00144E99">
        <w:rPr>
          <w:rFonts w:ascii="Corbel" w:hAnsi="Corbel"/>
          <w:caps w:val="0"/>
          <w:color w:val="316F72"/>
          <w:sz w:val="72"/>
          <w:szCs w:val="72"/>
        </w:rPr>
        <w:t>Cost Sharing Principles</w:t>
      </w:r>
    </w:p>
    <w:p w14:paraId="29EAAA63" w14:textId="2B15AE37" w:rsidR="00174314" w:rsidRPr="00144E99" w:rsidRDefault="00174314" w:rsidP="00174314">
      <w:pPr>
        <w:pStyle w:val="ListParagraph"/>
        <w:widowControl w:val="0"/>
        <w:numPr>
          <w:ilvl w:val="0"/>
          <w:numId w:val="47"/>
        </w:numPr>
        <w:tabs>
          <w:tab w:val="left" w:pos="861"/>
        </w:tabs>
        <w:autoSpaceDE w:val="0"/>
        <w:autoSpaceDN w:val="0"/>
        <w:spacing w:before="200"/>
        <w:ind w:right="664"/>
        <w:jc w:val="both"/>
        <w:rPr>
          <w:sz w:val="23"/>
          <w:szCs w:val="23"/>
        </w:rPr>
      </w:pPr>
      <w:r w:rsidRPr="00144E99">
        <w:rPr>
          <w:sz w:val="23"/>
          <w:szCs w:val="23"/>
        </w:rPr>
        <w:t xml:space="preserve">The Parties recognise that the agreed national </w:t>
      </w:r>
      <w:r w:rsidR="0084489A">
        <w:rPr>
          <w:sz w:val="23"/>
          <w:szCs w:val="23"/>
        </w:rPr>
        <w:t xml:space="preserve">policy </w:t>
      </w:r>
      <w:r w:rsidRPr="00144E99">
        <w:rPr>
          <w:sz w:val="23"/>
          <w:szCs w:val="23"/>
        </w:rPr>
        <w:t>initiatives will likely require investment by the parties to meet our national reform ambitions. Parties will consider the fully costed initiatives when finalised, along with anticipated benefits, before</w:t>
      </w:r>
      <w:r w:rsidRPr="00144E99">
        <w:rPr>
          <w:spacing w:val="-1"/>
          <w:sz w:val="23"/>
          <w:szCs w:val="23"/>
        </w:rPr>
        <w:t xml:space="preserve"> </w:t>
      </w:r>
      <w:r w:rsidRPr="00144E99">
        <w:rPr>
          <w:sz w:val="23"/>
          <w:szCs w:val="23"/>
        </w:rPr>
        <w:t>implementation.</w:t>
      </w:r>
    </w:p>
    <w:p w14:paraId="2A97746E" w14:textId="77777777" w:rsidR="00174314" w:rsidRPr="00144E99" w:rsidRDefault="00174314" w:rsidP="00174314">
      <w:pPr>
        <w:pStyle w:val="ListParagraph"/>
        <w:widowControl w:val="0"/>
        <w:numPr>
          <w:ilvl w:val="0"/>
          <w:numId w:val="47"/>
        </w:numPr>
        <w:tabs>
          <w:tab w:val="left" w:pos="861"/>
        </w:tabs>
        <w:autoSpaceDE w:val="0"/>
        <w:autoSpaceDN w:val="0"/>
        <w:spacing w:before="201"/>
        <w:ind w:right="681"/>
        <w:rPr>
          <w:sz w:val="23"/>
          <w:szCs w:val="23"/>
        </w:rPr>
      </w:pPr>
      <w:r w:rsidRPr="00144E99">
        <w:rPr>
          <w:sz w:val="23"/>
          <w:szCs w:val="23"/>
        </w:rPr>
        <w:t>The Parties also recognise that existing investments in national infrastructure will be utilised wherever possible to most efficiently implement the reforms.</w:t>
      </w:r>
    </w:p>
    <w:p w14:paraId="0F5A58FC" w14:textId="7D357D9F" w:rsidR="00174314" w:rsidRPr="00144E99" w:rsidRDefault="00174314" w:rsidP="00174314">
      <w:pPr>
        <w:pStyle w:val="ListParagraph"/>
        <w:widowControl w:val="0"/>
        <w:numPr>
          <w:ilvl w:val="0"/>
          <w:numId w:val="47"/>
        </w:numPr>
        <w:tabs>
          <w:tab w:val="left" w:pos="861"/>
        </w:tabs>
        <w:autoSpaceDE w:val="0"/>
        <w:autoSpaceDN w:val="0"/>
        <w:spacing w:before="200"/>
        <w:ind w:right="684"/>
        <w:rPr>
          <w:sz w:val="23"/>
          <w:szCs w:val="23"/>
        </w:rPr>
      </w:pPr>
      <w:r w:rsidRPr="00144E99">
        <w:rPr>
          <w:sz w:val="23"/>
          <w:szCs w:val="23"/>
        </w:rPr>
        <w:t xml:space="preserve">The Parties acknowledge that final costs incurred by Parties will include ongoing funding for implementation and possible future work arising from the </w:t>
      </w:r>
      <w:r w:rsidR="0084489A">
        <w:rPr>
          <w:sz w:val="23"/>
          <w:szCs w:val="23"/>
        </w:rPr>
        <w:t xml:space="preserve">national policy </w:t>
      </w:r>
      <w:r w:rsidRPr="00144E99">
        <w:rPr>
          <w:sz w:val="23"/>
          <w:szCs w:val="23"/>
        </w:rPr>
        <w:t>initiative, which cannot yet be determined.</w:t>
      </w:r>
    </w:p>
    <w:p w14:paraId="181477CB" w14:textId="331FF8F3" w:rsidR="00174314" w:rsidRPr="00144E99" w:rsidRDefault="00174314" w:rsidP="00174314">
      <w:pPr>
        <w:pStyle w:val="ListParagraph"/>
        <w:widowControl w:val="0"/>
        <w:numPr>
          <w:ilvl w:val="0"/>
          <w:numId w:val="47"/>
        </w:numPr>
        <w:tabs>
          <w:tab w:val="left" w:pos="861"/>
        </w:tabs>
        <w:autoSpaceDE w:val="0"/>
        <w:autoSpaceDN w:val="0"/>
        <w:spacing w:before="199"/>
        <w:ind w:right="332"/>
        <w:rPr>
          <w:sz w:val="23"/>
          <w:szCs w:val="23"/>
        </w:rPr>
      </w:pPr>
      <w:r w:rsidRPr="00144E99">
        <w:rPr>
          <w:sz w:val="23"/>
          <w:szCs w:val="23"/>
        </w:rPr>
        <w:t xml:space="preserve">The cost of the </w:t>
      </w:r>
      <w:r w:rsidR="0084489A">
        <w:rPr>
          <w:sz w:val="23"/>
          <w:szCs w:val="23"/>
        </w:rPr>
        <w:t xml:space="preserve">national </w:t>
      </w:r>
      <w:r w:rsidRPr="00144E99">
        <w:rPr>
          <w:sz w:val="23"/>
          <w:szCs w:val="23"/>
        </w:rPr>
        <w:t>policy initiatives borne by the S</w:t>
      </w:r>
      <w:r w:rsidR="006524AA" w:rsidRPr="00144E99">
        <w:rPr>
          <w:sz w:val="23"/>
          <w:szCs w:val="23"/>
        </w:rPr>
        <w:t>tate or Territory</w:t>
      </w:r>
      <w:r w:rsidRPr="00144E99">
        <w:rPr>
          <w:sz w:val="23"/>
          <w:szCs w:val="23"/>
        </w:rPr>
        <w:t xml:space="preserve"> count towards the State contribution to school funding, for the purpose of s22A of the </w:t>
      </w:r>
      <w:r w:rsidRPr="00144E99">
        <w:rPr>
          <w:i/>
          <w:sz w:val="23"/>
          <w:szCs w:val="23"/>
        </w:rPr>
        <w:t>Australian Education Act</w:t>
      </w:r>
      <w:r w:rsidRPr="00144E99">
        <w:rPr>
          <w:i/>
          <w:spacing w:val="-7"/>
          <w:sz w:val="23"/>
          <w:szCs w:val="23"/>
        </w:rPr>
        <w:t xml:space="preserve"> </w:t>
      </w:r>
      <w:r w:rsidRPr="00144E99">
        <w:rPr>
          <w:i/>
          <w:sz w:val="23"/>
          <w:szCs w:val="23"/>
        </w:rPr>
        <w:t>2013</w:t>
      </w:r>
      <w:r w:rsidRPr="00144E99">
        <w:rPr>
          <w:sz w:val="23"/>
          <w:szCs w:val="23"/>
        </w:rPr>
        <w:t>.</w:t>
      </w:r>
    </w:p>
    <w:p w14:paraId="64445BB8" w14:textId="64275963" w:rsidR="00174314" w:rsidRPr="00144E99" w:rsidRDefault="00174314" w:rsidP="00174314">
      <w:pPr>
        <w:pStyle w:val="ListParagraph"/>
        <w:widowControl w:val="0"/>
        <w:numPr>
          <w:ilvl w:val="0"/>
          <w:numId w:val="47"/>
        </w:numPr>
        <w:tabs>
          <w:tab w:val="left" w:pos="861"/>
        </w:tabs>
        <w:autoSpaceDE w:val="0"/>
        <w:autoSpaceDN w:val="0"/>
        <w:spacing w:before="201"/>
        <w:ind w:right="486"/>
        <w:jc w:val="both"/>
        <w:rPr>
          <w:sz w:val="23"/>
          <w:szCs w:val="23"/>
        </w:rPr>
      </w:pPr>
      <w:r w:rsidRPr="00144E99">
        <w:rPr>
          <w:sz w:val="23"/>
          <w:szCs w:val="23"/>
        </w:rPr>
        <w:t xml:space="preserve">The cost sharing arrangements for each of the </w:t>
      </w:r>
      <w:r w:rsidR="0084489A">
        <w:rPr>
          <w:sz w:val="23"/>
          <w:szCs w:val="23"/>
        </w:rPr>
        <w:t xml:space="preserve">national policy </w:t>
      </w:r>
      <w:r w:rsidRPr="00144E99">
        <w:rPr>
          <w:sz w:val="23"/>
          <w:szCs w:val="23"/>
        </w:rPr>
        <w:t>initiatives will be considered and agreed by the Education Council as part of the initial milestone for each reform. Parties will consider the final cost sharing arrangements before implementation.</w:t>
      </w:r>
    </w:p>
    <w:p w14:paraId="2D7F8BCB" w14:textId="77777777" w:rsidR="00174314" w:rsidRPr="00144E99" w:rsidRDefault="00174314" w:rsidP="00174314">
      <w:pPr>
        <w:pStyle w:val="ListParagraph"/>
        <w:widowControl w:val="0"/>
        <w:numPr>
          <w:ilvl w:val="0"/>
          <w:numId w:val="47"/>
        </w:numPr>
        <w:tabs>
          <w:tab w:val="left" w:pos="861"/>
        </w:tabs>
        <w:autoSpaceDE w:val="0"/>
        <w:autoSpaceDN w:val="0"/>
        <w:spacing w:before="201"/>
        <w:ind w:right="390"/>
        <w:rPr>
          <w:sz w:val="23"/>
          <w:szCs w:val="23"/>
        </w:rPr>
      </w:pPr>
      <w:r w:rsidRPr="00144E99">
        <w:rPr>
          <w:sz w:val="23"/>
          <w:szCs w:val="23"/>
        </w:rPr>
        <w:t>Cost-sharing arrangements will consider previous precedents for investment in national reform, including the existing Education Council cost sharing</w:t>
      </w:r>
      <w:r w:rsidRPr="00144E99">
        <w:rPr>
          <w:spacing w:val="-2"/>
          <w:sz w:val="23"/>
          <w:szCs w:val="23"/>
        </w:rPr>
        <w:t xml:space="preserve"> </w:t>
      </w:r>
      <w:r w:rsidRPr="00144E99">
        <w:rPr>
          <w:sz w:val="23"/>
          <w:szCs w:val="23"/>
        </w:rPr>
        <w:t>formulae.</w:t>
      </w:r>
    </w:p>
    <w:p w14:paraId="1122BE72" w14:textId="13AF3415" w:rsidR="00174314" w:rsidRPr="00144E99" w:rsidRDefault="00174314" w:rsidP="00174314">
      <w:pPr>
        <w:pStyle w:val="ListParagraph"/>
        <w:widowControl w:val="0"/>
        <w:numPr>
          <w:ilvl w:val="0"/>
          <w:numId w:val="47"/>
        </w:numPr>
        <w:tabs>
          <w:tab w:val="left" w:pos="861"/>
        </w:tabs>
        <w:autoSpaceDE w:val="0"/>
        <w:autoSpaceDN w:val="0"/>
        <w:spacing w:before="200"/>
        <w:ind w:right="487"/>
        <w:rPr>
          <w:sz w:val="23"/>
          <w:szCs w:val="23"/>
        </w:rPr>
      </w:pPr>
      <w:r w:rsidRPr="00144E99">
        <w:rPr>
          <w:sz w:val="23"/>
          <w:szCs w:val="23"/>
        </w:rPr>
        <w:t>The Parties recognise that costs for implementation and ongoing costs will differ significantly between jurisdictions (for example costs of some reforms could be higher in rural and regional areas).</w:t>
      </w:r>
    </w:p>
    <w:p w14:paraId="690D0AC5" w14:textId="77777777" w:rsidR="00BA5818" w:rsidRPr="00144E99" w:rsidRDefault="00BA5818" w:rsidP="00513ED9">
      <w:pPr>
        <w:widowControl w:val="0"/>
        <w:tabs>
          <w:tab w:val="left" w:pos="833"/>
        </w:tabs>
        <w:spacing w:before="155"/>
        <w:ind w:right="210"/>
        <w:rPr>
          <w:color w:val="316F72"/>
          <w:sz w:val="22"/>
        </w:rPr>
      </w:pPr>
    </w:p>
    <w:p w14:paraId="3463176F" w14:textId="77777777" w:rsidR="003B548B" w:rsidRPr="00144E99" w:rsidRDefault="003B548B" w:rsidP="003B548B">
      <w:pPr>
        <w:widowControl w:val="0"/>
        <w:tabs>
          <w:tab w:val="left" w:pos="833"/>
        </w:tabs>
        <w:spacing w:before="155"/>
        <w:ind w:right="210"/>
        <w:rPr>
          <w:sz w:val="22"/>
        </w:rPr>
        <w:sectPr w:rsidR="003B548B" w:rsidRPr="00144E99">
          <w:pgSz w:w="11906" w:h="16838"/>
          <w:pgMar w:top="1440" w:right="1440" w:bottom="1440" w:left="1440" w:header="708" w:footer="708" w:gutter="0"/>
          <w:cols w:space="708"/>
          <w:docGrid w:linePitch="360"/>
        </w:sectPr>
      </w:pPr>
    </w:p>
    <w:tbl>
      <w:tblPr>
        <w:tblpPr w:leftFromText="180" w:rightFromText="180" w:vertAnchor="text" w:horzAnchor="margin" w:tblpY="136"/>
        <w:tblW w:w="4985" w:type="pct"/>
        <w:tblLook w:val="01E0" w:firstRow="1" w:lastRow="1" w:firstColumn="1" w:lastColumn="1" w:noHBand="0" w:noVBand="0"/>
      </w:tblPr>
      <w:tblGrid>
        <w:gridCol w:w="3164"/>
        <w:gridCol w:w="10752"/>
      </w:tblGrid>
      <w:tr w:rsidR="003B548B" w:rsidRPr="00144E99" w14:paraId="07919E40" w14:textId="77777777" w:rsidTr="00B70E0A">
        <w:tc>
          <w:tcPr>
            <w:tcW w:w="5000" w:type="pct"/>
            <w:gridSpan w:val="2"/>
          </w:tcPr>
          <w:p w14:paraId="5886DE6E" w14:textId="77777777" w:rsidR="003B548B" w:rsidRPr="00144E99" w:rsidRDefault="003B548B" w:rsidP="00B70E0A">
            <w:pPr>
              <w:pStyle w:val="CoverTitleMain"/>
              <w:jc w:val="left"/>
              <w:rPr>
                <w:rFonts w:ascii="Corbel" w:hAnsi="Corbel"/>
                <w:caps w:val="0"/>
                <w:color w:val="316F72"/>
                <w:sz w:val="72"/>
                <w:szCs w:val="72"/>
              </w:rPr>
            </w:pPr>
            <w:r w:rsidRPr="00144E99">
              <w:rPr>
                <w:rFonts w:ascii="Corbel" w:hAnsi="Corbel"/>
                <w:caps w:val="0"/>
                <w:color w:val="316F72"/>
                <w:sz w:val="72"/>
                <w:szCs w:val="72"/>
              </w:rPr>
              <w:lastRenderedPageBreak/>
              <w:t xml:space="preserve">Schedule </w:t>
            </w:r>
            <w:r w:rsidR="00513ED9" w:rsidRPr="00144E99">
              <w:rPr>
                <w:rFonts w:ascii="Corbel" w:hAnsi="Corbel"/>
                <w:caps w:val="0"/>
                <w:color w:val="316F72"/>
                <w:sz w:val="72"/>
                <w:szCs w:val="72"/>
              </w:rPr>
              <w:t>D</w:t>
            </w:r>
            <w:r w:rsidRPr="00144E99">
              <w:rPr>
                <w:rFonts w:ascii="Corbel" w:hAnsi="Corbel"/>
                <w:caps w:val="0"/>
                <w:color w:val="316F72"/>
                <w:sz w:val="72"/>
                <w:szCs w:val="72"/>
              </w:rPr>
              <w:t>:</w:t>
            </w:r>
          </w:p>
          <w:p w14:paraId="49100B63" w14:textId="77777777" w:rsidR="003B548B" w:rsidRPr="00144E99" w:rsidRDefault="003B548B" w:rsidP="00B70E0A">
            <w:pPr>
              <w:pStyle w:val="CoverTitleMain"/>
              <w:jc w:val="left"/>
            </w:pPr>
            <w:r w:rsidRPr="00144E99">
              <w:rPr>
                <w:rFonts w:ascii="Corbel" w:hAnsi="Corbel"/>
                <w:caps w:val="0"/>
                <w:color w:val="316F72"/>
                <w:sz w:val="72"/>
                <w:szCs w:val="72"/>
              </w:rPr>
              <w:t>Reporting on National Policy Initiatives</w:t>
            </w:r>
          </w:p>
        </w:tc>
      </w:tr>
      <w:tr w:rsidR="003B548B" w:rsidRPr="00144E99" w14:paraId="2F7F58D0" w14:textId="77777777" w:rsidTr="00B70E0A">
        <w:tc>
          <w:tcPr>
            <w:tcW w:w="1137" w:type="pct"/>
          </w:tcPr>
          <w:p w14:paraId="7870A316" w14:textId="77777777" w:rsidR="003B548B" w:rsidRPr="00144E99" w:rsidRDefault="003B548B" w:rsidP="00B70E0A"/>
        </w:tc>
        <w:tc>
          <w:tcPr>
            <w:tcW w:w="3863" w:type="pct"/>
          </w:tcPr>
          <w:p w14:paraId="142D78C8" w14:textId="77777777" w:rsidR="003B548B" w:rsidRPr="00144E99" w:rsidRDefault="003B548B" w:rsidP="00B70E0A"/>
        </w:tc>
      </w:tr>
      <w:tr w:rsidR="003B548B" w:rsidRPr="00144E99" w14:paraId="7F309839" w14:textId="77777777" w:rsidTr="00B70E0A">
        <w:tc>
          <w:tcPr>
            <w:tcW w:w="1137" w:type="pct"/>
          </w:tcPr>
          <w:p w14:paraId="437EFA54" w14:textId="77777777" w:rsidR="003B548B" w:rsidRPr="00144E99" w:rsidRDefault="003B548B" w:rsidP="00B70E0A"/>
        </w:tc>
        <w:tc>
          <w:tcPr>
            <w:tcW w:w="3863" w:type="pct"/>
          </w:tcPr>
          <w:p w14:paraId="79564F64" w14:textId="77777777" w:rsidR="003B548B" w:rsidRPr="00144E99" w:rsidRDefault="003B548B" w:rsidP="00B70E0A"/>
        </w:tc>
      </w:tr>
      <w:tr w:rsidR="003B548B" w:rsidRPr="00144E99" w14:paraId="63941ADC" w14:textId="77777777" w:rsidTr="00B70E0A">
        <w:tc>
          <w:tcPr>
            <w:tcW w:w="1137" w:type="pct"/>
            <w:shd w:val="clear" w:color="auto" w:fill="316F72"/>
          </w:tcPr>
          <w:p w14:paraId="064CCE4D" w14:textId="77777777" w:rsidR="003B548B" w:rsidRPr="00144E99" w:rsidRDefault="003B548B" w:rsidP="00B70E0A"/>
          <w:p w14:paraId="4B9322BC" w14:textId="77777777" w:rsidR="003B548B" w:rsidRPr="00144E99" w:rsidRDefault="003B548B" w:rsidP="00B70E0A"/>
        </w:tc>
        <w:tc>
          <w:tcPr>
            <w:tcW w:w="3863" w:type="pct"/>
            <w:shd w:val="clear" w:color="auto" w:fill="316F72"/>
          </w:tcPr>
          <w:p w14:paraId="66A85A11" w14:textId="77777777" w:rsidR="003B548B" w:rsidRPr="00144E99" w:rsidRDefault="003B548B" w:rsidP="00B70E0A"/>
        </w:tc>
      </w:tr>
      <w:tr w:rsidR="003B548B" w:rsidRPr="00144E99" w14:paraId="7374BB61" w14:textId="77777777" w:rsidTr="00B70E0A">
        <w:tc>
          <w:tcPr>
            <w:tcW w:w="1137" w:type="pct"/>
          </w:tcPr>
          <w:p w14:paraId="43D75E36" w14:textId="77777777" w:rsidR="003B548B" w:rsidRPr="00144E99" w:rsidRDefault="003B548B" w:rsidP="00B70E0A"/>
        </w:tc>
        <w:tc>
          <w:tcPr>
            <w:tcW w:w="3863" w:type="pct"/>
          </w:tcPr>
          <w:p w14:paraId="384613DC" w14:textId="77777777" w:rsidR="003B548B" w:rsidRPr="00144E99" w:rsidRDefault="003B548B" w:rsidP="00B70E0A"/>
        </w:tc>
      </w:tr>
    </w:tbl>
    <w:p w14:paraId="60457DFC" w14:textId="0B5186E8" w:rsidR="003B548B" w:rsidRPr="00144E99" w:rsidRDefault="003B548B" w:rsidP="003B548B">
      <w:pPr>
        <w:spacing w:before="120" w:after="120"/>
        <w:rPr>
          <w:rFonts w:cs="Arial"/>
        </w:rPr>
      </w:pPr>
      <w:r w:rsidRPr="00144E99">
        <w:rPr>
          <w:rFonts w:cs="Arial"/>
        </w:rPr>
        <w:t xml:space="preserve">Under clauses </w:t>
      </w:r>
      <w:r w:rsidR="007A5055" w:rsidRPr="00144E99">
        <w:rPr>
          <w:rFonts w:cs="Arial"/>
        </w:rPr>
        <w:t>5</w:t>
      </w:r>
      <w:r w:rsidR="009924BD">
        <w:rPr>
          <w:rFonts w:cs="Arial"/>
        </w:rPr>
        <w:t>1</w:t>
      </w:r>
      <w:r w:rsidR="00EA74CE" w:rsidRPr="00144E99">
        <w:rPr>
          <w:rFonts w:cs="Arial"/>
        </w:rPr>
        <w:t>-5</w:t>
      </w:r>
      <w:r w:rsidR="009924BD">
        <w:rPr>
          <w:rFonts w:cs="Arial"/>
        </w:rPr>
        <w:t>5</w:t>
      </w:r>
      <w:r w:rsidRPr="00144E99">
        <w:rPr>
          <w:rFonts w:cs="Arial"/>
        </w:rPr>
        <w:t xml:space="preserve"> of the Agreement, parties commit to reporting on the progress of implementing agreed national policy initiatives outlined in Schedule B </w:t>
      </w:r>
      <w:r w:rsidRPr="00144E99">
        <w:rPr>
          <w:rFonts w:cs="Calibri"/>
        </w:rPr>
        <w:t>to give the community confidence that Education Council is making efforts to improve the quality and equity of Australia’s schooling system.</w:t>
      </w:r>
      <w:r w:rsidRPr="00144E99">
        <w:rPr>
          <w:rFonts w:cs="Arial"/>
        </w:rPr>
        <w:t xml:space="preserve"> </w:t>
      </w:r>
    </w:p>
    <w:p w14:paraId="64FF0F3A" w14:textId="77777777" w:rsidR="003B548B" w:rsidRPr="00144E99" w:rsidRDefault="003B548B" w:rsidP="003B548B">
      <w:pPr>
        <w:spacing w:before="120" w:after="120"/>
        <w:rPr>
          <w:rFonts w:cs="Arial"/>
        </w:rPr>
      </w:pPr>
    </w:p>
    <w:p w14:paraId="27F80661" w14:textId="77777777" w:rsidR="003B548B" w:rsidRPr="00144E99" w:rsidRDefault="003B548B" w:rsidP="003B548B">
      <w:pPr>
        <w:spacing w:before="120" w:after="120"/>
        <w:rPr>
          <w:rFonts w:cs="Arial"/>
        </w:rPr>
      </w:pPr>
      <w:r w:rsidRPr="00144E99">
        <w:rPr>
          <w:rFonts w:cs="Arial"/>
        </w:rPr>
        <w:t>This template will be used to report to COAG.</w:t>
      </w:r>
    </w:p>
    <w:p w14:paraId="711976B3" w14:textId="77777777" w:rsidR="003B548B" w:rsidRPr="00144E99" w:rsidRDefault="003B548B" w:rsidP="003B548B">
      <w:pPr>
        <w:spacing w:before="120" w:after="120"/>
        <w:rPr>
          <w:rFonts w:cs="Arial"/>
        </w:rPr>
      </w:pPr>
    </w:p>
    <w:tbl>
      <w:tblPr>
        <w:tblW w:w="14024" w:type="dxa"/>
        <w:tblBorders>
          <w:top w:val="single" w:sz="8" w:space="0" w:color="316F72"/>
          <w:left w:val="single" w:sz="8" w:space="0" w:color="316F72"/>
          <w:bottom w:val="single" w:sz="8" w:space="0" w:color="316F72"/>
          <w:right w:val="single" w:sz="8" w:space="0" w:color="316F72"/>
          <w:insideH w:val="single" w:sz="8" w:space="0" w:color="316F72"/>
          <w:insideV w:val="single" w:sz="8" w:space="0" w:color="316F72"/>
        </w:tblBorders>
        <w:tblLook w:val="04A0" w:firstRow="1" w:lastRow="0" w:firstColumn="1" w:lastColumn="0" w:noHBand="0" w:noVBand="1"/>
      </w:tblPr>
      <w:tblGrid>
        <w:gridCol w:w="3251"/>
        <w:gridCol w:w="3685"/>
        <w:gridCol w:w="1836"/>
        <w:gridCol w:w="2274"/>
        <w:gridCol w:w="2978"/>
      </w:tblGrid>
      <w:tr w:rsidR="003B548B" w:rsidRPr="002D5C5F" w14:paraId="20A1FB84" w14:textId="77777777" w:rsidTr="00B70E0A">
        <w:tc>
          <w:tcPr>
            <w:tcW w:w="3251" w:type="dxa"/>
            <w:tcBorders>
              <w:top w:val="single" w:sz="24" w:space="0" w:color="316F72"/>
              <w:bottom w:val="single" w:sz="24" w:space="0" w:color="316F72"/>
            </w:tcBorders>
            <w:shd w:val="clear" w:color="auto" w:fill="auto"/>
          </w:tcPr>
          <w:p w14:paraId="78EBAB75" w14:textId="77777777" w:rsidR="003B548B" w:rsidRPr="00144E99" w:rsidRDefault="003B548B" w:rsidP="00B70E0A">
            <w:pPr>
              <w:spacing w:before="120" w:after="120"/>
              <w:rPr>
                <w:rFonts w:cs="Arial"/>
                <w:b/>
              </w:rPr>
            </w:pPr>
            <w:r w:rsidRPr="00144E99">
              <w:rPr>
                <w:rFonts w:cs="Arial"/>
                <w:b/>
              </w:rPr>
              <w:t>National Policy Initiative</w:t>
            </w:r>
          </w:p>
        </w:tc>
        <w:tc>
          <w:tcPr>
            <w:tcW w:w="3685" w:type="dxa"/>
            <w:tcBorders>
              <w:top w:val="single" w:sz="24" w:space="0" w:color="316F72"/>
              <w:bottom w:val="single" w:sz="24" w:space="0" w:color="316F72"/>
            </w:tcBorders>
            <w:shd w:val="clear" w:color="auto" w:fill="auto"/>
          </w:tcPr>
          <w:p w14:paraId="041DA038" w14:textId="77777777" w:rsidR="003B548B" w:rsidRPr="00144E99" w:rsidRDefault="003B548B" w:rsidP="00B70E0A">
            <w:pPr>
              <w:spacing w:before="120" w:after="120"/>
              <w:rPr>
                <w:rFonts w:cs="Arial"/>
                <w:b/>
              </w:rPr>
            </w:pPr>
            <w:r w:rsidRPr="00144E99">
              <w:rPr>
                <w:rFonts w:cs="Arial"/>
                <w:b/>
              </w:rPr>
              <w:t>Milestone</w:t>
            </w:r>
          </w:p>
        </w:tc>
        <w:tc>
          <w:tcPr>
            <w:tcW w:w="1836" w:type="dxa"/>
            <w:tcBorders>
              <w:top w:val="single" w:sz="24" w:space="0" w:color="316F72"/>
              <w:bottom w:val="single" w:sz="24" w:space="0" w:color="316F72"/>
            </w:tcBorders>
            <w:shd w:val="clear" w:color="auto" w:fill="auto"/>
          </w:tcPr>
          <w:p w14:paraId="7F98296E" w14:textId="77777777" w:rsidR="003B548B" w:rsidRPr="00144E99" w:rsidRDefault="003B548B" w:rsidP="00B70E0A">
            <w:pPr>
              <w:spacing w:before="120" w:after="120"/>
              <w:rPr>
                <w:rFonts w:cs="Arial"/>
                <w:b/>
              </w:rPr>
            </w:pPr>
            <w:r w:rsidRPr="00144E99">
              <w:rPr>
                <w:rFonts w:cs="Arial"/>
                <w:b/>
              </w:rPr>
              <w:t>Timing</w:t>
            </w:r>
          </w:p>
        </w:tc>
        <w:tc>
          <w:tcPr>
            <w:tcW w:w="2274" w:type="dxa"/>
            <w:tcBorders>
              <w:top w:val="single" w:sz="24" w:space="0" w:color="316F72"/>
              <w:bottom w:val="single" w:sz="24" w:space="0" w:color="316F72"/>
            </w:tcBorders>
          </w:tcPr>
          <w:p w14:paraId="0B7A5DCC" w14:textId="77777777" w:rsidR="003B548B" w:rsidRPr="00144E99" w:rsidRDefault="003B548B" w:rsidP="00B70E0A">
            <w:pPr>
              <w:spacing w:before="120" w:after="120"/>
              <w:jc w:val="left"/>
              <w:rPr>
                <w:rFonts w:cs="Arial"/>
                <w:b/>
              </w:rPr>
            </w:pPr>
            <w:r w:rsidRPr="00144E99">
              <w:rPr>
                <w:rFonts w:cs="Arial"/>
                <w:b/>
              </w:rPr>
              <w:t>Has the milestone been met?</w:t>
            </w:r>
            <w:r w:rsidR="003F0975" w:rsidRPr="00144E99">
              <w:rPr>
                <w:rFonts w:cs="Arial"/>
                <w:b/>
              </w:rPr>
              <w:t xml:space="preserve">    </w:t>
            </w:r>
            <w:r w:rsidRPr="00144E99">
              <w:rPr>
                <w:rFonts w:cs="Arial"/>
                <w:b/>
              </w:rPr>
              <w:t>Y/N</w:t>
            </w:r>
          </w:p>
        </w:tc>
        <w:tc>
          <w:tcPr>
            <w:tcW w:w="2978" w:type="dxa"/>
            <w:tcBorders>
              <w:top w:val="single" w:sz="24" w:space="0" w:color="316F72"/>
              <w:bottom w:val="single" w:sz="24" w:space="0" w:color="316F72"/>
            </w:tcBorders>
          </w:tcPr>
          <w:p w14:paraId="706CFFE6" w14:textId="36FAA0A7" w:rsidR="003B548B" w:rsidRPr="002D5C5F" w:rsidRDefault="0084489A" w:rsidP="00B70E0A">
            <w:pPr>
              <w:spacing w:before="120" w:after="120"/>
              <w:rPr>
                <w:rFonts w:cs="Arial"/>
                <w:b/>
              </w:rPr>
            </w:pPr>
            <w:r>
              <w:rPr>
                <w:rFonts w:cs="Arial"/>
                <w:b/>
              </w:rPr>
              <w:t>If no</w:t>
            </w:r>
            <w:r w:rsidR="003B548B" w:rsidRPr="00144E99">
              <w:rPr>
                <w:rFonts w:cs="Arial"/>
                <w:b/>
              </w:rPr>
              <w:t>,</w:t>
            </w:r>
            <w:r>
              <w:rPr>
                <w:rFonts w:cs="Arial"/>
                <w:b/>
              </w:rPr>
              <w:t xml:space="preserve"> the</w:t>
            </w:r>
            <w:r w:rsidR="003B548B" w:rsidRPr="00144E99">
              <w:rPr>
                <w:rFonts w:cs="Arial"/>
                <w:b/>
              </w:rPr>
              <w:t xml:space="preserve"> reason is:</w:t>
            </w:r>
          </w:p>
        </w:tc>
      </w:tr>
      <w:tr w:rsidR="003B548B" w:rsidRPr="002D5C5F" w14:paraId="0C4413DF" w14:textId="77777777" w:rsidTr="00B70E0A">
        <w:tc>
          <w:tcPr>
            <w:tcW w:w="3251" w:type="dxa"/>
            <w:tcBorders>
              <w:top w:val="single" w:sz="2" w:space="0" w:color="316F72"/>
            </w:tcBorders>
            <w:shd w:val="clear" w:color="auto" w:fill="auto"/>
          </w:tcPr>
          <w:p w14:paraId="013AAC3B" w14:textId="77777777" w:rsidR="003B548B" w:rsidRDefault="003B548B" w:rsidP="00B70E0A">
            <w:pPr>
              <w:spacing w:before="120" w:after="120"/>
              <w:rPr>
                <w:rFonts w:cs="Arial"/>
              </w:rPr>
            </w:pPr>
          </w:p>
        </w:tc>
        <w:tc>
          <w:tcPr>
            <w:tcW w:w="3685" w:type="dxa"/>
            <w:tcBorders>
              <w:top w:val="single" w:sz="2" w:space="0" w:color="316F72"/>
            </w:tcBorders>
            <w:shd w:val="clear" w:color="auto" w:fill="auto"/>
          </w:tcPr>
          <w:p w14:paraId="42EE0C87" w14:textId="77777777" w:rsidR="003B548B" w:rsidRPr="002D5C5F" w:rsidRDefault="003B548B" w:rsidP="00B70E0A">
            <w:pPr>
              <w:spacing w:before="120" w:after="120"/>
              <w:rPr>
                <w:rFonts w:cs="Arial"/>
                <w:b/>
              </w:rPr>
            </w:pPr>
          </w:p>
        </w:tc>
        <w:tc>
          <w:tcPr>
            <w:tcW w:w="1836" w:type="dxa"/>
            <w:tcBorders>
              <w:top w:val="single" w:sz="2" w:space="0" w:color="316F72"/>
            </w:tcBorders>
            <w:shd w:val="clear" w:color="auto" w:fill="auto"/>
          </w:tcPr>
          <w:p w14:paraId="4163809E" w14:textId="77777777" w:rsidR="003B548B" w:rsidRPr="002D5C5F" w:rsidRDefault="003B548B" w:rsidP="00B70E0A">
            <w:pPr>
              <w:spacing w:before="120" w:after="120"/>
              <w:rPr>
                <w:rFonts w:cs="Arial"/>
                <w:b/>
              </w:rPr>
            </w:pPr>
          </w:p>
        </w:tc>
        <w:tc>
          <w:tcPr>
            <w:tcW w:w="2274" w:type="dxa"/>
            <w:tcBorders>
              <w:top w:val="single" w:sz="2" w:space="0" w:color="316F72"/>
            </w:tcBorders>
          </w:tcPr>
          <w:p w14:paraId="214A1015" w14:textId="77777777" w:rsidR="003B548B" w:rsidRPr="002D5C5F" w:rsidRDefault="003B548B" w:rsidP="00B70E0A">
            <w:pPr>
              <w:spacing w:before="120" w:after="120"/>
              <w:rPr>
                <w:rFonts w:cs="Arial"/>
                <w:b/>
              </w:rPr>
            </w:pPr>
          </w:p>
        </w:tc>
        <w:tc>
          <w:tcPr>
            <w:tcW w:w="2978" w:type="dxa"/>
            <w:tcBorders>
              <w:top w:val="single" w:sz="2" w:space="0" w:color="316F72"/>
            </w:tcBorders>
          </w:tcPr>
          <w:p w14:paraId="3157B193" w14:textId="77777777" w:rsidR="003B548B" w:rsidRPr="002D5C5F" w:rsidRDefault="003B548B" w:rsidP="00B70E0A">
            <w:pPr>
              <w:spacing w:before="120" w:after="120"/>
              <w:rPr>
                <w:rFonts w:cs="Arial"/>
                <w:b/>
              </w:rPr>
            </w:pPr>
          </w:p>
        </w:tc>
      </w:tr>
      <w:tr w:rsidR="003B548B" w:rsidRPr="002D5C5F" w14:paraId="75BBB5EE" w14:textId="77777777" w:rsidTr="00B70E0A">
        <w:tc>
          <w:tcPr>
            <w:tcW w:w="3251" w:type="dxa"/>
            <w:tcBorders>
              <w:bottom w:val="single" w:sz="2" w:space="0" w:color="316F72"/>
            </w:tcBorders>
            <w:shd w:val="clear" w:color="auto" w:fill="auto"/>
          </w:tcPr>
          <w:p w14:paraId="2ABAFFB8" w14:textId="77777777" w:rsidR="003B548B" w:rsidRPr="002D5C5F" w:rsidRDefault="003B548B" w:rsidP="00B70E0A">
            <w:pPr>
              <w:spacing w:before="120" w:after="120"/>
              <w:ind w:left="1"/>
              <w:rPr>
                <w:rFonts w:cs="Arial"/>
              </w:rPr>
            </w:pPr>
          </w:p>
        </w:tc>
        <w:tc>
          <w:tcPr>
            <w:tcW w:w="3685" w:type="dxa"/>
            <w:tcBorders>
              <w:bottom w:val="single" w:sz="2" w:space="0" w:color="316F72"/>
            </w:tcBorders>
            <w:shd w:val="clear" w:color="auto" w:fill="auto"/>
          </w:tcPr>
          <w:p w14:paraId="62F1080A" w14:textId="77777777" w:rsidR="003B548B" w:rsidRPr="002D5C5F" w:rsidRDefault="003B548B" w:rsidP="00B70E0A">
            <w:pPr>
              <w:spacing w:before="120" w:after="120"/>
              <w:rPr>
                <w:rFonts w:cs="Arial"/>
              </w:rPr>
            </w:pPr>
          </w:p>
        </w:tc>
        <w:tc>
          <w:tcPr>
            <w:tcW w:w="1836" w:type="dxa"/>
            <w:tcBorders>
              <w:bottom w:val="single" w:sz="2" w:space="0" w:color="316F72"/>
            </w:tcBorders>
            <w:shd w:val="clear" w:color="auto" w:fill="auto"/>
          </w:tcPr>
          <w:p w14:paraId="53CE4B70" w14:textId="77777777" w:rsidR="003B548B" w:rsidRPr="002D5C5F" w:rsidRDefault="003B548B" w:rsidP="00B70E0A">
            <w:pPr>
              <w:spacing w:before="120" w:after="120"/>
              <w:rPr>
                <w:rFonts w:cs="Arial"/>
              </w:rPr>
            </w:pPr>
          </w:p>
        </w:tc>
        <w:tc>
          <w:tcPr>
            <w:tcW w:w="2274" w:type="dxa"/>
            <w:tcBorders>
              <w:bottom w:val="single" w:sz="2" w:space="0" w:color="316F72"/>
            </w:tcBorders>
          </w:tcPr>
          <w:p w14:paraId="2C30DF6E" w14:textId="77777777" w:rsidR="003B548B" w:rsidRPr="002D5C5F" w:rsidRDefault="003B548B" w:rsidP="00B70E0A">
            <w:pPr>
              <w:spacing w:before="120" w:after="120"/>
              <w:rPr>
                <w:rFonts w:cs="Arial"/>
              </w:rPr>
            </w:pPr>
          </w:p>
        </w:tc>
        <w:tc>
          <w:tcPr>
            <w:tcW w:w="2978" w:type="dxa"/>
            <w:tcBorders>
              <w:bottom w:val="single" w:sz="2" w:space="0" w:color="316F72"/>
            </w:tcBorders>
          </w:tcPr>
          <w:p w14:paraId="69F84D55" w14:textId="77777777" w:rsidR="003B548B" w:rsidRPr="002D5C5F" w:rsidRDefault="003B548B" w:rsidP="00B70E0A">
            <w:pPr>
              <w:spacing w:before="120" w:after="120"/>
              <w:rPr>
                <w:rFonts w:cs="Arial"/>
              </w:rPr>
            </w:pPr>
          </w:p>
        </w:tc>
      </w:tr>
    </w:tbl>
    <w:p w14:paraId="5A6CF2B5" w14:textId="77777777" w:rsidR="007709A8" w:rsidRDefault="007709A8" w:rsidP="00DE1EFC">
      <w:pPr>
        <w:widowControl w:val="0"/>
        <w:tabs>
          <w:tab w:val="left" w:pos="833"/>
        </w:tabs>
        <w:spacing w:before="155"/>
        <w:ind w:right="210"/>
        <w:rPr>
          <w:sz w:val="22"/>
        </w:rPr>
        <w:sectPr w:rsidR="007709A8" w:rsidSect="007709A8">
          <w:headerReference w:type="default" r:id="rId29"/>
          <w:footerReference w:type="default" r:id="rId30"/>
          <w:pgSz w:w="16838" w:h="11906" w:orient="landscape"/>
          <w:pgMar w:top="1440" w:right="1440" w:bottom="1440" w:left="1440" w:header="708" w:footer="708" w:gutter="0"/>
          <w:cols w:space="708"/>
          <w:docGrid w:linePitch="360"/>
        </w:sectPr>
      </w:pPr>
    </w:p>
    <w:tbl>
      <w:tblPr>
        <w:tblpPr w:leftFromText="180" w:rightFromText="180" w:vertAnchor="text" w:horzAnchor="margin" w:tblpY="136"/>
        <w:tblW w:w="4985" w:type="pct"/>
        <w:tblLook w:val="01E0" w:firstRow="1" w:lastRow="1" w:firstColumn="1" w:lastColumn="1" w:noHBand="0" w:noVBand="0"/>
      </w:tblPr>
      <w:tblGrid>
        <w:gridCol w:w="2046"/>
        <w:gridCol w:w="6953"/>
      </w:tblGrid>
      <w:tr w:rsidR="007709A8" w14:paraId="0A364B9B" w14:textId="77777777" w:rsidTr="00CB5C18">
        <w:tc>
          <w:tcPr>
            <w:tcW w:w="5000" w:type="pct"/>
            <w:gridSpan w:val="2"/>
          </w:tcPr>
          <w:p w14:paraId="1E89094B" w14:textId="77777777" w:rsidR="007709A8" w:rsidRPr="00965BAF" w:rsidRDefault="007709A8" w:rsidP="00CB5C18">
            <w:pPr>
              <w:pStyle w:val="CoverTitleMain"/>
              <w:jc w:val="left"/>
              <w:rPr>
                <w:caps w:val="0"/>
              </w:rPr>
            </w:pPr>
            <w:r>
              <w:rPr>
                <w:rFonts w:ascii="Corbel" w:hAnsi="Corbel"/>
                <w:caps w:val="0"/>
                <w:color w:val="316F72"/>
                <w:sz w:val="72"/>
                <w:szCs w:val="72"/>
              </w:rPr>
              <w:lastRenderedPageBreak/>
              <w:t>Schedule E</w:t>
            </w:r>
            <w:r w:rsidRPr="00965BAF">
              <w:rPr>
                <w:rFonts w:ascii="Corbel" w:hAnsi="Corbel"/>
                <w:caps w:val="0"/>
                <w:color w:val="316F72"/>
                <w:sz w:val="72"/>
                <w:szCs w:val="72"/>
              </w:rPr>
              <w:t>: Bilateral reform agreements</w:t>
            </w:r>
            <w:r w:rsidRPr="00965BAF">
              <w:rPr>
                <w:rFonts w:ascii="Corbel" w:hAnsi="Corbel"/>
                <w:caps w:val="0"/>
                <w:color w:val="806000"/>
                <w:sz w:val="72"/>
                <w:szCs w:val="72"/>
              </w:rPr>
              <w:t xml:space="preserve"> </w:t>
            </w:r>
          </w:p>
        </w:tc>
      </w:tr>
      <w:tr w:rsidR="007709A8" w14:paraId="19BB4B6D" w14:textId="77777777" w:rsidTr="00CB5C18">
        <w:tc>
          <w:tcPr>
            <w:tcW w:w="1137" w:type="pct"/>
          </w:tcPr>
          <w:p w14:paraId="5FFF261D" w14:textId="77777777" w:rsidR="007709A8" w:rsidRPr="00202E76" w:rsidRDefault="007709A8" w:rsidP="00CB5C18">
            <w:pPr>
              <w:tabs>
                <w:tab w:val="num" w:pos="1134"/>
              </w:tabs>
              <w:ind w:left="1134" w:hanging="567"/>
              <w:rPr>
                <w:rFonts w:ascii="Calibri" w:hAnsi="Calibri"/>
              </w:rPr>
            </w:pPr>
          </w:p>
        </w:tc>
        <w:tc>
          <w:tcPr>
            <w:tcW w:w="3863" w:type="pct"/>
          </w:tcPr>
          <w:p w14:paraId="5A661833" w14:textId="77777777" w:rsidR="007709A8" w:rsidRPr="00202E76" w:rsidRDefault="007709A8" w:rsidP="00CB5C18">
            <w:pPr>
              <w:tabs>
                <w:tab w:val="num" w:pos="1134"/>
              </w:tabs>
              <w:rPr>
                <w:rFonts w:ascii="Calibri" w:hAnsi="Calibri"/>
              </w:rPr>
            </w:pPr>
          </w:p>
        </w:tc>
      </w:tr>
      <w:tr w:rsidR="007709A8" w14:paraId="3261DDF5" w14:textId="77777777" w:rsidTr="00CB5C18">
        <w:trPr>
          <w:trHeight w:val="1110"/>
        </w:trPr>
        <w:tc>
          <w:tcPr>
            <w:tcW w:w="5000" w:type="pct"/>
            <w:gridSpan w:val="2"/>
            <w:shd w:val="clear" w:color="auto" w:fill="316F72"/>
            <w:vAlign w:val="center"/>
          </w:tcPr>
          <w:p w14:paraId="4149417B" w14:textId="77777777" w:rsidR="007709A8" w:rsidRPr="00202E76" w:rsidRDefault="007709A8" w:rsidP="00CB5C18">
            <w:pPr>
              <w:keepNext/>
              <w:spacing w:after="0" w:line="240" w:lineRule="auto"/>
              <w:rPr>
                <w:color w:val="FFFFFF"/>
                <w:sz w:val="36"/>
                <w:szCs w:val="36"/>
              </w:rPr>
            </w:pPr>
            <w:r w:rsidRPr="00202E76">
              <w:rPr>
                <w:rFonts w:ascii="Calibri" w:hAnsi="Calibri"/>
                <w:color w:val="FFFFFF"/>
                <w:spacing w:val="20"/>
                <w:sz w:val="24"/>
                <w:szCs w:val="36"/>
              </w:rPr>
              <w:t>Council of Australian Governments</w:t>
            </w:r>
          </w:p>
        </w:tc>
      </w:tr>
      <w:tr w:rsidR="007709A8" w14:paraId="75BDC2BC" w14:textId="77777777" w:rsidTr="00CB5C18">
        <w:tc>
          <w:tcPr>
            <w:tcW w:w="1137" w:type="pct"/>
          </w:tcPr>
          <w:p w14:paraId="6F8CC469" w14:textId="77777777" w:rsidR="007709A8" w:rsidRPr="00202E76" w:rsidRDefault="007709A8" w:rsidP="00CB5C18">
            <w:pPr>
              <w:tabs>
                <w:tab w:val="num" w:pos="1134"/>
              </w:tabs>
              <w:ind w:left="1134" w:hanging="567"/>
              <w:rPr>
                <w:rFonts w:ascii="Calibri" w:hAnsi="Calibri"/>
              </w:rPr>
            </w:pPr>
          </w:p>
        </w:tc>
        <w:tc>
          <w:tcPr>
            <w:tcW w:w="3863" w:type="pct"/>
          </w:tcPr>
          <w:p w14:paraId="0657EA22" w14:textId="77777777" w:rsidR="007709A8" w:rsidRPr="00202E76" w:rsidRDefault="007709A8" w:rsidP="00CB5C18">
            <w:pPr>
              <w:tabs>
                <w:tab w:val="num" w:pos="1134"/>
              </w:tabs>
              <w:rPr>
                <w:rFonts w:ascii="Calibri" w:hAnsi="Calibri"/>
              </w:rPr>
            </w:pPr>
          </w:p>
        </w:tc>
      </w:tr>
      <w:tr w:rsidR="007709A8" w14:paraId="2A29F5F3" w14:textId="77777777" w:rsidTr="00CB5C18">
        <w:tc>
          <w:tcPr>
            <w:tcW w:w="1137" w:type="pct"/>
          </w:tcPr>
          <w:p w14:paraId="0BE4A2D5" w14:textId="77777777" w:rsidR="007709A8" w:rsidRPr="00202E76" w:rsidRDefault="007709A8" w:rsidP="00CB5C18">
            <w:pPr>
              <w:tabs>
                <w:tab w:val="num" w:pos="1134"/>
              </w:tabs>
              <w:ind w:left="1134" w:hanging="567"/>
              <w:rPr>
                <w:rFonts w:ascii="Calibri" w:hAnsi="Calibri"/>
              </w:rPr>
            </w:pPr>
          </w:p>
          <w:p w14:paraId="5D4774A8" w14:textId="77777777" w:rsidR="007709A8" w:rsidRPr="00202E76" w:rsidRDefault="007709A8" w:rsidP="00CB5C18">
            <w:pPr>
              <w:tabs>
                <w:tab w:val="num" w:pos="1134"/>
              </w:tabs>
              <w:ind w:left="1134" w:hanging="567"/>
              <w:rPr>
                <w:rFonts w:ascii="Calibri" w:hAnsi="Calibri"/>
              </w:rPr>
            </w:pPr>
          </w:p>
        </w:tc>
        <w:tc>
          <w:tcPr>
            <w:tcW w:w="3863" w:type="pct"/>
          </w:tcPr>
          <w:p w14:paraId="1953427A" w14:textId="77777777" w:rsidR="007709A8" w:rsidRPr="00202E76" w:rsidRDefault="007709A8" w:rsidP="00CB5C18">
            <w:pPr>
              <w:tabs>
                <w:tab w:val="num" w:pos="1134"/>
              </w:tabs>
              <w:rPr>
                <w:rFonts w:ascii="Calibri" w:hAnsi="Calibri"/>
              </w:rPr>
            </w:pPr>
          </w:p>
        </w:tc>
      </w:tr>
      <w:tr w:rsidR="007709A8" w14:paraId="1EC308FE" w14:textId="77777777" w:rsidTr="00CB5C18">
        <w:tc>
          <w:tcPr>
            <w:tcW w:w="1137" w:type="pct"/>
          </w:tcPr>
          <w:p w14:paraId="26CD2486" w14:textId="77777777" w:rsidR="007709A8" w:rsidRPr="00202E76" w:rsidRDefault="007709A8" w:rsidP="00CB5C18">
            <w:pPr>
              <w:tabs>
                <w:tab w:val="num" w:pos="1134"/>
              </w:tabs>
              <w:ind w:left="1134" w:hanging="567"/>
              <w:rPr>
                <w:rFonts w:ascii="Calibri" w:hAnsi="Calibri"/>
              </w:rPr>
            </w:pPr>
          </w:p>
        </w:tc>
        <w:tc>
          <w:tcPr>
            <w:tcW w:w="3863" w:type="pct"/>
          </w:tcPr>
          <w:p w14:paraId="26FEF9D4" w14:textId="77777777" w:rsidR="007709A8" w:rsidRPr="00202E76" w:rsidRDefault="007709A8" w:rsidP="00CB5C18">
            <w:pPr>
              <w:tabs>
                <w:tab w:val="num" w:pos="1134"/>
              </w:tabs>
              <w:rPr>
                <w:rFonts w:ascii="Calibri" w:hAnsi="Calibri"/>
              </w:rPr>
            </w:pPr>
          </w:p>
        </w:tc>
      </w:tr>
    </w:tbl>
    <w:p w14:paraId="242AD8AE" w14:textId="77777777" w:rsidR="007709A8" w:rsidRPr="00202E76" w:rsidRDefault="007709A8" w:rsidP="007709A8">
      <w:pPr>
        <w:keepNext/>
        <w:tabs>
          <w:tab w:val="left" w:pos="3569"/>
        </w:tabs>
        <w:spacing w:before="480" w:after="180" w:line="240" w:lineRule="auto"/>
        <w:outlineLvl w:val="0"/>
        <w:rPr>
          <w:rFonts w:cs="Consolas"/>
          <w:b/>
          <w:caps/>
          <w:color w:val="316F72"/>
          <w:kern w:val="32"/>
          <w:sz w:val="32"/>
          <w:szCs w:val="32"/>
        </w:rPr>
      </w:pPr>
      <w:r w:rsidRPr="00202E76">
        <w:rPr>
          <w:rFonts w:cs="Consolas"/>
          <w:b/>
          <w:caps/>
          <w:color w:val="316F72"/>
          <w:kern w:val="32"/>
          <w:sz w:val="32"/>
          <w:szCs w:val="32"/>
        </w:rPr>
        <w:t>Appendices</w:t>
      </w:r>
    </w:p>
    <w:p w14:paraId="1AC7497B" w14:textId="77777777" w:rsidR="007709A8" w:rsidRPr="003F1909" w:rsidRDefault="007709A8" w:rsidP="007709A8">
      <w:pPr>
        <w:rPr>
          <w:rFonts w:cs="Calibri"/>
        </w:rPr>
      </w:pPr>
      <w:r w:rsidRPr="003F1909">
        <w:rPr>
          <w:rFonts w:cs="Calibri"/>
        </w:rPr>
        <w:t>The following bilateral reform agreements have been agreed</w:t>
      </w:r>
      <w:r>
        <w:rPr>
          <w:rFonts w:cs="Calibri"/>
        </w:rPr>
        <w:t>:</w:t>
      </w:r>
    </w:p>
    <w:p w14:paraId="5CA67F05" w14:textId="7C1BD39B" w:rsidR="00CB5C18" w:rsidRDefault="00647605" w:rsidP="007709A8">
      <w:pPr>
        <w:tabs>
          <w:tab w:val="num" w:pos="851"/>
        </w:tabs>
        <w:jc w:val="left"/>
        <w:rPr>
          <w:rFonts w:cs="Calibri"/>
        </w:rPr>
      </w:pPr>
      <w:r>
        <w:rPr>
          <w:rFonts w:cs="Calibri"/>
        </w:rPr>
        <w:tab/>
        <w:t>Appendix 1—</w:t>
      </w:r>
      <w:r w:rsidR="007709A8">
        <w:rPr>
          <w:rFonts w:cs="Calibri"/>
        </w:rPr>
        <w:t xml:space="preserve">South Australia </w:t>
      </w:r>
      <w:r w:rsidR="007709A8" w:rsidRPr="00E34558">
        <w:rPr>
          <w:rFonts w:cs="Calibri"/>
        </w:rPr>
        <w:t>agreed</w:t>
      </w:r>
      <w:r w:rsidR="007709A8">
        <w:rPr>
          <w:rFonts w:cs="Calibri"/>
        </w:rPr>
        <w:t xml:space="preserve"> 5 November 2018</w:t>
      </w:r>
      <w:r w:rsidR="007709A8" w:rsidRPr="00E34558">
        <w:rPr>
          <w:rFonts w:cs="Calibri"/>
        </w:rPr>
        <w:t xml:space="preserve"> </w:t>
      </w:r>
    </w:p>
    <w:p w14:paraId="1861A1B2" w14:textId="22005A8D" w:rsidR="009F4E91" w:rsidRDefault="008C2CCA" w:rsidP="007709A8">
      <w:pPr>
        <w:tabs>
          <w:tab w:val="num" w:pos="851"/>
        </w:tabs>
        <w:jc w:val="left"/>
        <w:rPr>
          <w:rFonts w:cs="Calibri"/>
        </w:rPr>
      </w:pPr>
      <w:r>
        <w:rPr>
          <w:rFonts w:cs="Calibri"/>
        </w:rPr>
        <w:tab/>
        <w:t>Appendix 2</w:t>
      </w:r>
      <w:r w:rsidR="00CB5C18">
        <w:rPr>
          <w:rFonts w:cs="Calibri"/>
        </w:rPr>
        <w:t>—New South Wales agreed 7 November 2018</w:t>
      </w:r>
    </w:p>
    <w:p w14:paraId="73A0AB44" w14:textId="7EE84F1B" w:rsidR="00647605" w:rsidRDefault="00647605" w:rsidP="007709A8">
      <w:pPr>
        <w:tabs>
          <w:tab w:val="num" w:pos="851"/>
        </w:tabs>
        <w:jc w:val="left"/>
        <w:rPr>
          <w:rFonts w:cs="Calibri"/>
        </w:rPr>
      </w:pPr>
      <w:r>
        <w:rPr>
          <w:rFonts w:cs="Calibri"/>
        </w:rPr>
        <w:tab/>
        <w:t>Appendix 3—</w:t>
      </w:r>
      <w:r w:rsidR="009F4E91">
        <w:rPr>
          <w:rFonts w:cs="Calibri"/>
        </w:rPr>
        <w:t>Western Australia agreed 3 December 2018</w:t>
      </w:r>
    </w:p>
    <w:p w14:paraId="2330E0D4" w14:textId="278801D9" w:rsidR="008C2CCA" w:rsidRDefault="00647605" w:rsidP="007709A8">
      <w:pPr>
        <w:tabs>
          <w:tab w:val="num" w:pos="851"/>
        </w:tabs>
        <w:jc w:val="left"/>
        <w:rPr>
          <w:rFonts w:cs="Calibri"/>
        </w:rPr>
      </w:pPr>
      <w:r>
        <w:rPr>
          <w:rFonts w:cs="Calibri"/>
        </w:rPr>
        <w:tab/>
        <w:t>Appendix 4—Northern Territory agreed 5 December 2018</w:t>
      </w:r>
    </w:p>
    <w:p w14:paraId="112E6B2A" w14:textId="68B7529A" w:rsidR="008C2CCA" w:rsidRDefault="008C2CCA" w:rsidP="007709A8">
      <w:pPr>
        <w:tabs>
          <w:tab w:val="num" w:pos="851"/>
        </w:tabs>
        <w:jc w:val="left"/>
        <w:rPr>
          <w:rFonts w:cs="Calibri"/>
        </w:rPr>
      </w:pPr>
      <w:r>
        <w:rPr>
          <w:rFonts w:cs="Calibri"/>
        </w:rPr>
        <w:tab/>
        <w:t>Appendix 5—</w:t>
      </w:r>
      <w:r w:rsidR="00E92A3D" w:rsidRPr="00E92A3D">
        <w:rPr>
          <w:rFonts w:cs="Calibri"/>
        </w:rPr>
        <w:t xml:space="preserve"> </w:t>
      </w:r>
      <w:r w:rsidR="00E92A3D">
        <w:rPr>
          <w:rFonts w:cs="Calibri"/>
        </w:rPr>
        <w:t xml:space="preserve">Tasmania </w:t>
      </w:r>
      <w:r>
        <w:rPr>
          <w:rFonts w:cs="Calibri"/>
        </w:rPr>
        <w:t>agreed 6 December 2018</w:t>
      </w:r>
    </w:p>
    <w:p w14:paraId="3E93F93E" w14:textId="5BE8DE85" w:rsidR="008C2CCA" w:rsidRDefault="008C2CCA" w:rsidP="007709A8">
      <w:pPr>
        <w:tabs>
          <w:tab w:val="num" w:pos="851"/>
        </w:tabs>
        <w:jc w:val="left"/>
        <w:rPr>
          <w:rFonts w:cs="Calibri"/>
        </w:rPr>
      </w:pPr>
      <w:r>
        <w:rPr>
          <w:rFonts w:cs="Calibri"/>
        </w:rPr>
        <w:tab/>
        <w:t>Appendix 6—</w:t>
      </w:r>
      <w:r w:rsidR="00E92A3D" w:rsidRPr="00E92A3D">
        <w:rPr>
          <w:rFonts w:cs="Calibri"/>
        </w:rPr>
        <w:t xml:space="preserve"> </w:t>
      </w:r>
      <w:r w:rsidR="00E92A3D">
        <w:rPr>
          <w:rFonts w:cs="Calibri"/>
        </w:rPr>
        <w:t xml:space="preserve">Australian Capital Territory agreed 6 December </w:t>
      </w:r>
      <w:r>
        <w:rPr>
          <w:rFonts w:cs="Calibri"/>
        </w:rPr>
        <w:t>2018</w:t>
      </w:r>
    </w:p>
    <w:p w14:paraId="53EBD798" w14:textId="2F4B1C0F" w:rsidR="007709A8" w:rsidRDefault="008C2CCA" w:rsidP="008C2CCA">
      <w:pPr>
        <w:tabs>
          <w:tab w:val="num" w:pos="851"/>
        </w:tabs>
        <w:jc w:val="left"/>
        <w:rPr>
          <w:rFonts w:cs="Calibri"/>
        </w:rPr>
      </w:pPr>
      <w:r>
        <w:rPr>
          <w:rFonts w:cs="Calibri"/>
        </w:rPr>
        <w:tab/>
        <w:t>Appendix 7—Queensland agreed 13 December 2018</w:t>
      </w:r>
    </w:p>
    <w:p w14:paraId="1CE2A378" w14:textId="2C3A2DC2" w:rsidR="00E51A35" w:rsidRDefault="000061F5" w:rsidP="000061F5">
      <w:pPr>
        <w:tabs>
          <w:tab w:val="num" w:pos="851"/>
        </w:tabs>
        <w:jc w:val="left"/>
        <w:rPr>
          <w:rFonts w:cs="Calibri"/>
        </w:rPr>
      </w:pPr>
      <w:r>
        <w:rPr>
          <w:rFonts w:cs="Calibri"/>
        </w:rPr>
        <w:tab/>
        <w:t>Appendix 8—Victoria agreed 17 December 2018</w:t>
      </w:r>
    </w:p>
    <w:p w14:paraId="4EFA2A0B" w14:textId="77777777" w:rsidR="00E51A35" w:rsidRDefault="00E51A35">
      <w:pPr>
        <w:spacing w:after="0" w:line="240" w:lineRule="auto"/>
        <w:jc w:val="left"/>
        <w:rPr>
          <w:rFonts w:cs="Calibri"/>
        </w:rPr>
      </w:pPr>
      <w:r>
        <w:rPr>
          <w:rFonts w:cs="Calibri"/>
        </w:rPr>
        <w:br w:type="page"/>
      </w:r>
    </w:p>
    <w:tbl>
      <w:tblPr>
        <w:tblpPr w:leftFromText="180" w:rightFromText="180" w:vertAnchor="text" w:horzAnchor="margin" w:tblpY="136"/>
        <w:tblW w:w="4985" w:type="pct"/>
        <w:tblLook w:val="01E0" w:firstRow="1" w:lastRow="1" w:firstColumn="1" w:lastColumn="1" w:noHBand="0" w:noVBand="0"/>
      </w:tblPr>
      <w:tblGrid>
        <w:gridCol w:w="2046"/>
        <w:gridCol w:w="6953"/>
      </w:tblGrid>
      <w:tr w:rsidR="00E51A35" w:rsidRPr="00E97031" w14:paraId="7EDC2121" w14:textId="77777777" w:rsidTr="00E51A35">
        <w:tc>
          <w:tcPr>
            <w:tcW w:w="5000" w:type="pct"/>
            <w:gridSpan w:val="2"/>
          </w:tcPr>
          <w:p w14:paraId="299972F6" w14:textId="114AE3AC" w:rsidR="00E51A35" w:rsidRPr="00E97031" w:rsidRDefault="00E51A35" w:rsidP="00E51A35">
            <w:pPr>
              <w:pStyle w:val="CoverTitleMain"/>
              <w:jc w:val="left"/>
              <w:rPr>
                <w:caps w:val="0"/>
              </w:rPr>
            </w:pPr>
            <w:r w:rsidRPr="00E97031">
              <w:rPr>
                <w:rFonts w:ascii="Corbel" w:hAnsi="Corbel"/>
                <w:caps w:val="0"/>
                <w:color w:val="316F72"/>
                <w:sz w:val="72"/>
                <w:szCs w:val="72"/>
              </w:rPr>
              <w:lastRenderedPageBreak/>
              <w:t>Schedule F: Targets</w:t>
            </w:r>
          </w:p>
        </w:tc>
      </w:tr>
      <w:tr w:rsidR="00E51A35" w:rsidRPr="00E97031" w14:paraId="21D0D94E" w14:textId="77777777" w:rsidTr="00E51A35">
        <w:tc>
          <w:tcPr>
            <w:tcW w:w="1137" w:type="pct"/>
          </w:tcPr>
          <w:p w14:paraId="5DEFE00E" w14:textId="77777777" w:rsidR="00E51A35" w:rsidRPr="00E97031" w:rsidRDefault="00E51A35" w:rsidP="00E51A35">
            <w:pPr>
              <w:tabs>
                <w:tab w:val="num" w:pos="1134"/>
              </w:tabs>
              <w:ind w:left="1134" w:hanging="567"/>
              <w:rPr>
                <w:rFonts w:ascii="Calibri" w:hAnsi="Calibri"/>
              </w:rPr>
            </w:pPr>
          </w:p>
        </w:tc>
        <w:tc>
          <w:tcPr>
            <w:tcW w:w="3863" w:type="pct"/>
          </w:tcPr>
          <w:p w14:paraId="567356AC" w14:textId="77777777" w:rsidR="00E51A35" w:rsidRPr="00E97031" w:rsidRDefault="00E51A35" w:rsidP="00E51A35">
            <w:pPr>
              <w:tabs>
                <w:tab w:val="num" w:pos="1134"/>
              </w:tabs>
              <w:rPr>
                <w:rFonts w:ascii="Calibri" w:hAnsi="Calibri"/>
              </w:rPr>
            </w:pPr>
          </w:p>
        </w:tc>
      </w:tr>
      <w:tr w:rsidR="00E51A35" w:rsidRPr="00E97031" w14:paraId="3975AC5E" w14:textId="77777777" w:rsidTr="00E51A35">
        <w:trPr>
          <w:trHeight w:val="1110"/>
        </w:trPr>
        <w:tc>
          <w:tcPr>
            <w:tcW w:w="5000" w:type="pct"/>
            <w:gridSpan w:val="2"/>
            <w:shd w:val="clear" w:color="auto" w:fill="316F72"/>
            <w:vAlign w:val="center"/>
          </w:tcPr>
          <w:p w14:paraId="642D507D" w14:textId="77777777" w:rsidR="00E51A35" w:rsidRPr="00E97031" w:rsidRDefault="00E51A35" w:rsidP="00E51A35">
            <w:pPr>
              <w:keepNext/>
              <w:spacing w:after="0" w:line="240" w:lineRule="auto"/>
              <w:rPr>
                <w:color w:val="FFFFFF"/>
                <w:sz w:val="36"/>
                <w:szCs w:val="36"/>
              </w:rPr>
            </w:pPr>
          </w:p>
        </w:tc>
      </w:tr>
      <w:tr w:rsidR="00E51A35" w:rsidRPr="00E97031" w14:paraId="4BA5391D" w14:textId="77777777" w:rsidTr="00E51A35">
        <w:tc>
          <w:tcPr>
            <w:tcW w:w="1137" w:type="pct"/>
          </w:tcPr>
          <w:p w14:paraId="72626DA2" w14:textId="77777777" w:rsidR="00E51A35" w:rsidRPr="00E97031" w:rsidRDefault="00E51A35" w:rsidP="00E51A35">
            <w:pPr>
              <w:tabs>
                <w:tab w:val="num" w:pos="1134"/>
              </w:tabs>
              <w:ind w:left="1134" w:hanging="567"/>
              <w:rPr>
                <w:rFonts w:ascii="Calibri" w:hAnsi="Calibri"/>
              </w:rPr>
            </w:pPr>
          </w:p>
        </w:tc>
        <w:tc>
          <w:tcPr>
            <w:tcW w:w="3863" w:type="pct"/>
          </w:tcPr>
          <w:p w14:paraId="4514D7BD" w14:textId="77777777" w:rsidR="00E51A35" w:rsidRPr="00E97031" w:rsidRDefault="00E51A35" w:rsidP="00E51A35">
            <w:pPr>
              <w:tabs>
                <w:tab w:val="num" w:pos="1134"/>
              </w:tabs>
              <w:rPr>
                <w:rFonts w:ascii="Calibri" w:hAnsi="Calibri"/>
              </w:rPr>
            </w:pPr>
          </w:p>
        </w:tc>
      </w:tr>
    </w:tbl>
    <w:p w14:paraId="1C8CE401" w14:textId="40A30732" w:rsidR="00E51A35" w:rsidRPr="00E97031" w:rsidRDefault="00E51A35" w:rsidP="00E51A35">
      <w:pPr>
        <w:rPr>
          <w:rFonts w:cs="Arial"/>
        </w:rPr>
      </w:pPr>
      <w:r w:rsidRPr="00E97031">
        <w:rPr>
          <w:rFonts w:cs="Arial"/>
        </w:rPr>
        <w:t>Consistent with clause 39 of the Agreement, on 11 December 2020 Education Ministers:</w:t>
      </w:r>
    </w:p>
    <w:p w14:paraId="21F30BE7" w14:textId="788DB8B8" w:rsidR="00E51A35" w:rsidRPr="00E97031" w:rsidRDefault="00E51A35" w:rsidP="00E51A35">
      <w:pPr>
        <w:ind w:left="720"/>
        <w:rPr>
          <w:rFonts w:cs="Arial"/>
        </w:rPr>
      </w:pPr>
      <w:r w:rsidRPr="00E97031">
        <w:rPr>
          <w:rFonts w:cs="Arial"/>
          <w:b/>
          <w:bCs/>
        </w:rPr>
        <w:t>noted</w:t>
      </w:r>
      <w:r w:rsidRPr="00E97031">
        <w:rPr>
          <w:rFonts w:cs="Arial"/>
        </w:rPr>
        <w:t xml:space="preserve"> the adoption of the updated national target for school education endorsed by State and Territory First Ministers through the </w:t>
      </w:r>
      <w:r w:rsidRPr="005C15C5">
        <w:rPr>
          <w:rFonts w:cs="Arial"/>
          <w:i/>
          <w:iCs/>
        </w:rPr>
        <w:t>National Agreement on Closing the Gap</w:t>
      </w:r>
      <w:r w:rsidR="00F628DB" w:rsidRPr="00E97031">
        <w:rPr>
          <w:rFonts w:ascii="Calibri" w:hAnsi="Calibri" w:cs="Calibri"/>
          <w:sz w:val="20"/>
          <w:vertAlign w:val="superscript"/>
        </w:rPr>
        <w:footnoteReference w:id="4"/>
      </w:r>
      <w:r w:rsidR="00F628DB" w:rsidRPr="00E97031">
        <w:rPr>
          <w:rFonts w:ascii="Calibri" w:hAnsi="Calibri" w:cs="Calibri"/>
        </w:rPr>
        <w:t>;</w:t>
      </w:r>
    </w:p>
    <w:p w14:paraId="041C5FAF" w14:textId="4AD0BA0D" w:rsidR="00E51A35" w:rsidRPr="00E97031" w:rsidRDefault="00E51A35" w:rsidP="00E51A35">
      <w:pPr>
        <w:ind w:left="720"/>
        <w:rPr>
          <w:rFonts w:cs="Arial"/>
        </w:rPr>
      </w:pPr>
      <w:r w:rsidRPr="00E97031">
        <w:rPr>
          <w:rFonts w:cs="Arial"/>
          <w:b/>
          <w:bCs/>
        </w:rPr>
        <w:t>agreed</w:t>
      </w:r>
      <w:r w:rsidRPr="00E97031">
        <w:rPr>
          <w:rFonts w:cs="Arial"/>
        </w:rPr>
        <w:t xml:space="preserve"> that the </w:t>
      </w:r>
      <w:r w:rsidR="000C511C">
        <w:rPr>
          <w:rFonts w:cs="Arial"/>
        </w:rPr>
        <w:t>‘</w:t>
      </w:r>
      <w:r w:rsidRPr="00E97031">
        <w:rPr>
          <w:rFonts w:cs="Arial"/>
        </w:rPr>
        <w:t>Closing the Gap</w:t>
      </w:r>
      <w:r w:rsidR="000C511C">
        <w:rPr>
          <w:rFonts w:cs="Arial"/>
        </w:rPr>
        <w:t>’</w:t>
      </w:r>
      <w:r w:rsidRPr="00E97031">
        <w:rPr>
          <w:rFonts w:cs="Arial"/>
        </w:rPr>
        <w:t xml:space="preserve"> target be adopted under the terms of the Agreement; and </w:t>
      </w:r>
    </w:p>
    <w:p w14:paraId="4F8F69FB" w14:textId="3BBDF7F3" w:rsidR="00E51A35" w:rsidRPr="00E97031" w:rsidRDefault="00E51A35" w:rsidP="00E51A35">
      <w:pPr>
        <w:ind w:left="720"/>
        <w:rPr>
          <w:rFonts w:cs="Arial"/>
        </w:rPr>
      </w:pPr>
      <w:r w:rsidRPr="00E97031">
        <w:rPr>
          <w:rFonts w:cs="Arial"/>
          <w:b/>
          <w:bCs/>
        </w:rPr>
        <w:t>agreed</w:t>
      </w:r>
      <w:r w:rsidRPr="00E97031">
        <w:rPr>
          <w:rFonts w:cs="Arial"/>
        </w:rPr>
        <w:t xml:space="preserve"> to extend the population wide ‘parity’ inherent in the National Agreement on </w:t>
      </w:r>
      <w:r w:rsidR="000C511C">
        <w:rPr>
          <w:rFonts w:cs="Arial"/>
        </w:rPr>
        <w:t>‘</w:t>
      </w:r>
      <w:r w:rsidRPr="00E97031">
        <w:rPr>
          <w:rFonts w:cs="Arial"/>
        </w:rPr>
        <w:t>Closing the Gap</w:t>
      </w:r>
      <w:r w:rsidR="000C511C">
        <w:rPr>
          <w:rFonts w:cs="Arial"/>
        </w:rPr>
        <w:t>’</w:t>
      </w:r>
      <w:r w:rsidRPr="00E97031">
        <w:rPr>
          <w:rFonts w:cs="Arial"/>
        </w:rPr>
        <w:t xml:space="preserve"> to the attainment target.</w:t>
      </w:r>
    </w:p>
    <w:p w14:paraId="4BE19EDF" w14:textId="77777777" w:rsidR="00E51A35" w:rsidRPr="00E97031" w:rsidRDefault="00E51A35" w:rsidP="00E51A35">
      <w:pPr>
        <w:rPr>
          <w:rFonts w:cs="Arial"/>
        </w:rPr>
      </w:pPr>
      <w:r w:rsidRPr="00E97031">
        <w:rPr>
          <w:rFonts w:cs="Arial"/>
        </w:rPr>
        <w:t>The following amendments to the Agreement give effect to Education Ministers’ decisions:</w:t>
      </w:r>
    </w:p>
    <w:p w14:paraId="29989EF0" w14:textId="77777777" w:rsidR="00E51A35" w:rsidRPr="00E97031" w:rsidRDefault="00E51A35" w:rsidP="00E51A35">
      <w:pPr>
        <w:ind w:left="720"/>
        <w:rPr>
          <w:rFonts w:cs="Arial"/>
        </w:rPr>
      </w:pPr>
      <w:r w:rsidRPr="00E97031">
        <w:rPr>
          <w:rFonts w:cs="Arial"/>
        </w:rPr>
        <w:t>Sub-paragraphs 36 b. and c. are replaced by:</w:t>
      </w:r>
    </w:p>
    <w:p w14:paraId="5F16336E" w14:textId="77777777" w:rsidR="00E51A35" w:rsidRPr="00E97031" w:rsidRDefault="00E51A35" w:rsidP="00E51A35">
      <w:pPr>
        <w:ind w:left="720"/>
        <w:rPr>
          <w:rFonts w:cs="Arial"/>
        </w:rPr>
      </w:pPr>
      <w:r w:rsidRPr="00E97031">
        <w:rPr>
          <w:rFonts w:cs="Arial"/>
        </w:rPr>
        <w:t>36.b.</w:t>
      </w:r>
      <w:r w:rsidRPr="00E97031">
        <w:rPr>
          <w:rFonts w:cs="Arial"/>
        </w:rPr>
        <w:tab/>
        <w:t>by 2031, increase the proportion of people (age 20-24) attaining Year 12 or equivalent qualification to 96 per cent; and</w:t>
      </w:r>
    </w:p>
    <w:p w14:paraId="71BFDF6B" w14:textId="2EF09004" w:rsidR="00E51A35" w:rsidRPr="00E97031" w:rsidRDefault="00E51A35" w:rsidP="00E51A35">
      <w:pPr>
        <w:ind w:left="720"/>
        <w:rPr>
          <w:rFonts w:cs="Arial"/>
        </w:rPr>
      </w:pPr>
      <w:r w:rsidRPr="00E97031">
        <w:rPr>
          <w:rFonts w:cs="Arial"/>
        </w:rPr>
        <w:t xml:space="preserve">36.c. </w:t>
      </w:r>
      <w:r w:rsidRPr="00E97031">
        <w:rPr>
          <w:rFonts w:cs="Arial"/>
        </w:rPr>
        <w:tab/>
        <w:t>by 2031, increase the proportion of Aboriginal and Torres Strait Islander people (age 20-24) attaining year 12 or equivalent qualification to 96 per cent.</w:t>
      </w:r>
    </w:p>
    <w:p w14:paraId="68EB119E" w14:textId="77777777" w:rsidR="00E51A35" w:rsidRPr="00E97031" w:rsidRDefault="00E51A35" w:rsidP="00E51A35">
      <w:pPr>
        <w:tabs>
          <w:tab w:val="num" w:pos="851"/>
        </w:tabs>
        <w:rPr>
          <w:rFonts w:ascii="Calibri" w:hAnsi="Calibri" w:cs="Calibri"/>
          <w:sz w:val="18"/>
          <w:szCs w:val="18"/>
        </w:rPr>
      </w:pPr>
      <w:r w:rsidRPr="00E97031">
        <w:rPr>
          <w:rFonts w:ascii="Calibri" w:hAnsi="Calibri" w:cs="Calibri"/>
          <w:sz w:val="18"/>
          <w:szCs w:val="18"/>
        </w:rPr>
        <w:t xml:space="preserve">Notes </w:t>
      </w:r>
      <w:r w:rsidRPr="00E97031">
        <w:rPr>
          <w:rFonts w:ascii="Calibri" w:hAnsi="Calibri" w:cs="Calibri"/>
          <w:sz w:val="18"/>
          <w:szCs w:val="18"/>
        </w:rPr>
        <w:tab/>
      </w:r>
    </w:p>
    <w:p w14:paraId="1D0FBD15" w14:textId="5DD1A70C" w:rsidR="00E51A35" w:rsidRPr="00E97031" w:rsidRDefault="00E51A35" w:rsidP="00E51A35">
      <w:pPr>
        <w:numPr>
          <w:ilvl w:val="0"/>
          <w:numId w:val="86"/>
        </w:numPr>
        <w:tabs>
          <w:tab w:val="num" w:pos="851"/>
        </w:tabs>
        <w:rPr>
          <w:rStyle w:val="Hyperlink"/>
          <w:rFonts w:asciiTheme="minorHAnsi" w:hAnsiTheme="minorHAnsi" w:cstheme="minorHAnsi"/>
          <w:sz w:val="18"/>
          <w:szCs w:val="18"/>
        </w:rPr>
      </w:pPr>
      <w:r w:rsidRPr="00E97031">
        <w:rPr>
          <w:rStyle w:val="Hyperlink"/>
          <w:rFonts w:asciiTheme="minorHAnsi" w:hAnsiTheme="minorHAnsi" w:cstheme="minorHAnsi"/>
          <w:sz w:val="18"/>
          <w:szCs w:val="18"/>
        </w:rPr>
        <w:t>As per the</w:t>
      </w:r>
      <w:r w:rsidRPr="00E97031">
        <w:rPr>
          <w:rFonts w:ascii="Calibri" w:hAnsi="Calibri" w:cs="Calibri"/>
          <w:sz w:val="20"/>
        </w:rPr>
        <w:t xml:space="preserve"> </w:t>
      </w:r>
      <w:r w:rsidRPr="00E97031">
        <w:rPr>
          <w:rFonts w:ascii="Calibri" w:hAnsi="Calibri" w:cs="Calibri"/>
          <w:i/>
          <w:iCs/>
          <w:sz w:val="18"/>
          <w:szCs w:val="18"/>
        </w:rPr>
        <w:t>National Agreement on Closing the Gap</w:t>
      </w:r>
      <w:r w:rsidRPr="00E97031">
        <w:rPr>
          <w:rFonts w:ascii="Calibri" w:hAnsi="Calibri" w:cs="Calibri"/>
          <w:sz w:val="18"/>
          <w:szCs w:val="18"/>
        </w:rPr>
        <w:t xml:space="preserve">, </w:t>
      </w:r>
      <w:r w:rsidRPr="00E97031">
        <w:rPr>
          <w:rStyle w:val="Hyperlink"/>
          <w:rFonts w:asciiTheme="minorHAnsi" w:hAnsiTheme="minorHAnsi" w:cstheme="minorHAnsi"/>
          <w:sz w:val="18"/>
          <w:szCs w:val="18"/>
        </w:rPr>
        <w:t>Year 12 or equivalent refers to a school qualification of Year 12 or equivalent</w:t>
      </w:r>
      <w:r w:rsidR="005C15C5">
        <w:rPr>
          <w:rStyle w:val="Hyperlink"/>
          <w:rFonts w:asciiTheme="minorHAnsi" w:hAnsiTheme="minorHAnsi" w:cstheme="minorHAnsi"/>
          <w:sz w:val="18"/>
          <w:szCs w:val="18"/>
        </w:rPr>
        <w:t>,</w:t>
      </w:r>
      <w:r w:rsidRPr="00E97031">
        <w:rPr>
          <w:rStyle w:val="Hyperlink"/>
          <w:rFonts w:asciiTheme="minorHAnsi" w:hAnsiTheme="minorHAnsi" w:cstheme="minorHAnsi"/>
          <w:sz w:val="18"/>
          <w:szCs w:val="18"/>
        </w:rPr>
        <w:t xml:space="preserve"> or a non-school qualification at Certificate level III or above based on the Australian Qualifications Framework.</w:t>
      </w:r>
    </w:p>
    <w:p w14:paraId="7FD58A91" w14:textId="77777777" w:rsidR="00E51A35" w:rsidRPr="00456F5B" w:rsidRDefault="00E51A35" w:rsidP="00E51A35">
      <w:pPr>
        <w:numPr>
          <w:ilvl w:val="0"/>
          <w:numId w:val="86"/>
        </w:numPr>
        <w:tabs>
          <w:tab w:val="num" w:pos="851"/>
        </w:tabs>
        <w:rPr>
          <w:rFonts w:ascii="Calibri" w:hAnsi="Calibri" w:cs="Calibri"/>
          <w:sz w:val="18"/>
          <w:szCs w:val="18"/>
        </w:rPr>
      </w:pPr>
      <w:r w:rsidRPr="00456F5B">
        <w:rPr>
          <w:rFonts w:ascii="Calibri" w:hAnsi="Calibri" w:cs="Calibri"/>
          <w:sz w:val="18"/>
          <w:szCs w:val="18"/>
        </w:rPr>
        <w:t>The revised target at 36.b. of the Agreement takes effect from 2021.</w:t>
      </w:r>
    </w:p>
    <w:sectPr w:rsidR="00E51A35" w:rsidRPr="00456F5B" w:rsidSect="007709A8">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F8AA7" w14:textId="77777777" w:rsidR="005C15C5" w:rsidRDefault="005C15C5">
      <w:r>
        <w:separator/>
      </w:r>
    </w:p>
  </w:endnote>
  <w:endnote w:type="continuationSeparator" w:id="0">
    <w:p w14:paraId="37F2EACC" w14:textId="77777777" w:rsidR="005C15C5" w:rsidRDefault="005C15C5">
      <w:r>
        <w:continuationSeparator/>
      </w:r>
    </w:p>
  </w:endnote>
  <w:endnote w:type="continuationNotice" w:id="1">
    <w:p w14:paraId="42CB5DB0" w14:textId="77777777" w:rsidR="005C15C5" w:rsidRDefault="005C15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8160527"/>
      <w:docPartObj>
        <w:docPartGallery w:val="Page Numbers (Bottom of Page)"/>
        <w:docPartUnique/>
      </w:docPartObj>
    </w:sdtPr>
    <w:sdtEndPr/>
    <w:sdtContent>
      <w:sdt>
        <w:sdtPr>
          <w:id w:val="1927687130"/>
          <w:docPartObj>
            <w:docPartGallery w:val="Page Numbers (Top of Page)"/>
            <w:docPartUnique/>
          </w:docPartObj>
        </w:sdtPr>
        <w:sdtEndPr/>
        <w:sdtContent>
          <w:p w14:paraId="4D960F79" w14:textId="2B547CF8" w:rsidR="005C15C5" w:rsidRDefault="005C15C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15</w:t>
            </w:r>
            <w:r>
              <w:rPr>
                <w:b/>
                <w:bCs/>
                <w:sz w:val="24"/>
                <w:szCs w:val="24"/>
              </w:rPr>
              <w:fldChar w:fldCharType="end"/>
            </w:r>
            <w:r>
              <w:t xml:space="preserve"> of </w:t>
            </w:r>
            <w:r w:rsidRPr="006218EF">
              <w:rPr>
                <w:b/>
                <w:bCs/>
              </w:rPr>
              <w:t>26</w:t>
            </w:r>
          </w:p>
        </w:sdtContent>
      </w:sdt>
    </w:sdtContent>
  </w:sdt>
  <w:p w14:paraId="2963C431" w14:textId="77777777" w:rsidR="005C15C5" w:rsidRDefault="005C1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CC731" w14:textId="68CCF22B" w:rsidR="005C15C5" w:rsidRDefault="005C15C5">
    <w:pPr>
      <w:pStyle w:val="Footer"/>
      <w:jc w:val="right"/>
    </w:pPr>
  </w:p>
  <w:p w14:paraId="7A7E5E66" w14:textId="77777777" w:rsidR="005C15C5" w:rsidRDefault="005C15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8296084"/>
      <w:docPartObj>
        <w:docPartGallery w:val="Page Numbers (Bottom of Page)"/>
        <w:docPartUnique/>
      </w:docPartObj>
    </w:sdtPr>
    <w:sdtEndPr/>
    <w:sdtContent>
      <w:sdt>
        <w:sdtPr>
          <w:id w:val="-746339667"/>
          <w:docPartObj>
            <w:docPartGallery w:val="Page Numbers (Top of Page)"/>
            <w:docPartUnique/>
          </w:docPartObj>
        </w:sdtPr>
        <w:sdtEndPr/>
        <w:sdtContent>
          <w:p w14:paraId="60DF2C89" w14:textId="59A98FBC" w:rsidR="005C15C5" w:rsidRDefault="005C15C5">
            <w:pPr>
              <w:pStyle w:val="Footer"/>
              <w:jc w:val="right"/>
            </w:pPr>
            <w:r>
              <w:t xml:space="preserve">Page </w:t>
            </w:r>
            <w:r w:rsidRPr="00540DB9">
              <w:rPr>
                <w:b/>
                <w:bCs/>
              </w:rPr>
              <w:t>15</w:t>
            </w:r>
            <w:r w:rsidRPr="00540DB9">
              <w:t xml:space="preserve"> o</w:t>
            </w:r>
            <w:r>
              <w:t xml:space="preserve">f </w:t>
            </w:r>
            <w:r w:rsidRPr="006218EF">
              <w:rPr>
                <w:b/>
                <w:bCs/>
              </w:rPr>
              <w:t>26</w:t>
            </w:r>
          </w:p>
        </w:sdtContent>
      </w:sdt>
    </w:sdtContent>
  </w:sdt>
  <w:p w14:paraId="6CBC5CDB" w14:textId="77777777" w:rsidR="005C15C5" w:rsidRDefault="005C15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0876118"/>
      <w:docPartObj>
        <w:docPartGallery w:val="Page Numbers (Bottom of Page)"/>
        <w:docPartUnique/>
      </w:docPartObj>
    </w:sdtPr>
    <w:sdtEndPr/>
    <w:sdtContent>
      <w:sdt>
        <w:sdtPr>
          <w:id w:val="61611803"/>
          <w:docPartObj>
            <w:docPartGallery w:val="Page Numbers (Top of Page)"/>
            <w:docPartUnique/>
          </w:docPartObj>
        </w:sdtPr>
        <w:sdtEndPr/>
        <w:sdtContent>
          <w:p w14:paraId="57557187" w14:textId="6F65D1FE" w:rsidR="005C15C5" w:rsidRDefault="005C15C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15</w:t>
            </w:r>
            <w:r>
              <w:rPr>
                <w:b/>
                <w:bCs/>
                <w:sz w:val="24"/>
                <w:szCs w:val="24"/>
              </w:rPr>
              <w:fldChar w:fldCharType="end"/>
            </w:r>
            <w:r>
              <w:t xml:space="preserve"> of </w:t>
            </w:r>
            <w:r w:rsidRPr="006218EF">
              <w:rPr>
                <w:b/>
                <w:bCs/>
              </w:rPr>
              <w:t>26</w:t>
            </w:r>
          </w:p>
        </w:sdtContent>
      </w:sdt>
    </w:sdtContent>
  </w:sdt>
  <w:p w14:paraId="03F13AFD" w14:textId="77777777" w:rsidR="005C15C5" w:rsidRDefault="005C15C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2836883"/>
      <w:docPartObj>
        <w:docPartGallery w:val="Page Numbers (Bottom of Page)"/>
        <w:docPartUnique/>
      </w:docPartObj>
    </w:sdtPr>
    <w:sdtEndPr/>
    <w:sdtContent>
      <w:sdt>
        <w:sdtPr>
          <w:id w:val="-1769616900"/>
          <w:docPartObj>
            <w:docPartGallery w:val="Page Numbers (Top of Page)"/>
            <w:docPartUnique/>
          </w:docPartObj>
        </w:sdtPr>
        <w:sdtEndPr/>
        <w:sdtContent>
          <w:p w14:paraId="2486642C" w14:textId="0216F621" w:rsidR="005C15C5" w:rsidRPr="001916A0" w:rsidRDefault="005C15C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19</w:t>
            </w:r>
            <w:r>
              <w:rPr>
                <w:b/>
                <w:bCs/>
                <w:sz w:val="24"/>
                <w:szCs w:val="24"/>
              </w:rPr>
              <w:fldChar w:fldCharType="end"/>
            </w:r>
            <w:r>
              <w:t xml:space="preserve"> of </w:t>
            </w:r>
            <w:r w:rsidRPr="001916A0">
              <w:rPr>
                <w:b/>
                <w:bCs/>
              </w:rPr>
              <w:t>26</w:t>
            </w:r>
          </w:p>
        </w:sdtContent>
      </w:sdt>
    </w:sdtContent>
  </w:sdt>
  <w:p w14:paraId="7C759138" w14:textId="77777777" w:rsidR="005C15C5" w:rsidRDefault="005C15C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6976228"/>
      <w:docPartObj>
        <w:docPartGallery w:val="Page Numbers (Bottom of Page)"/>
        <w:docPartUnique/>
      </w:docPartObj>
    </w:sdtPr>
    <w:sdtEndPr/>
    <w:sdtContent>
      <w:sdt>
        <w:sdtPr>
          <w:id w:val="944960124"/>
          <w:docPartObj>
            <w:docPartGallery w:val="Page Numbers (Top of Page)"/>
            <w:docPartUnique/>
          </w:docPartObj>
        </w:sdtPr>
        <w:sdtEndPr/>
        <w:sdtContent>
          <w:p w14:paraId="783ABD9A" w14:textId="6846A5E6" w:rsidR="005C15C5" w:rsidRPr="001916A0" w:rsidRDefault="005C15C5">
            <w:pPr>
              <w:pStyle w:val="Footer"/>
              <w:jc w:val="right"/>
            </w:pPr>
            <w:r w:rsidRPr="001916A0">
              <w:t xml:space="preserve">Page </w:t>
            </w:r>
            <w:r w:rsidRPr="001916A0">
              <w:rPr>
                <w:b/>
                <w:bCs/>
              </w:rPr>
              <w:fldChar w:fldCharType="begin"/>
            </w:r>
            <w:r w:rsidRPr="001916A0">
              <w:rPr>
                <w:b/>
                <w:bCs/>
              </w:rPr>
              <w:instrText xml:space="preserve"> PAGE </w:instrText>
            </w:r>
            <w:r w:rsidRPr="001916A0">
              <w:rPr>
                <w:b/>
                <w:bCs/>
              </w:rPr>
              <w:fldChar w:fldCharType="separate"/>
            </w:r>
            <w:r>
              <w:rPr>
                <w:b/>
                <w:bCs/>
                <w:noProof/>
              </w:rPr>
              <w:t>23</w:t>
            </w:r>
            <w:r w:rsidRPr="001916A0">
              <w:rPr>
                <w:b/>
                <w:bCs/>
              </w:rPr>
              <w:fldChar w:fldCharType="end"/>
            </w:r>
            <w:r w:rsidRPr="001916A0">
              <w:t xml:space="preserve"> of </w:t>
            </w:r>
            <w:r w:rsidRPr="001916A0">
              <w:rPr>
                <w:b/>
                <w:bCs/>
              </w:rPr>
              <w:t>26</w:t>
            </w:r>
          </w:p>
        </w:sdtContent>
      </w:sdt>
    </w:sdtContent>
  </w:sdt>
  <w:p w14:paraId="1E5A3A50" w14:textId="77777777" w:rsidR="005C15C5" w:rsidRDefault="005C15C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4896017"/>
      <w:docPartObj>
        <w:docPartGallery w:val="Page Numbers (Bottom of Page)"/>
        <w:docPartUnique/>
      </w:docPartObj>
    </w:sdtPr>
    <w:sdtEndPr/>
    <w:sdtContent>
      <w:sdt>
        <w:sdtPr>
          <w:id w:val="916988049"/>
          <w:docPartObj>
            <w:docPartGallery w:val="Page Numbers (Top of Page)"/>
            <w:docPartUnique/>
          </w:docPartObj>
        </w:sdtPr>
        <w:sdtEndPr/>
        <w:sdtContent>
          <w:p w14:paraId="30EA7E07" w14:textId="7B024A6A" w:rsidR="005C15C5" w:rsidRDefault="005C15C5" w:rsidP="00A10CAC">
            <w:pPr>
              <w:pStyle w:val="Footer"/>
              <w:jc w:val="right"/>
            </w:pPr>
            <w:r>
              <w:t xml:space="preserve">Page </w:t>
            </w:r>
            <w:r w:rsidRPr="00540DB9">
              <w:rPr>
                <w:b/>
                <w:bCs/>
              </w:rPr>
              <w:t>25</w:t>
            </w:r>
            <w:r>
              <w:t xml:space="preserve"> of </w:t>
            </w:r>
            <w:r w:rsidRPr="006218EF">
              <w:rPr>
                <w:b/>
                <w:bCs/>
              </w:rPr>
              <w:t>26</w:t>
            </w:r>
          </w:p>
        </w:sdtContent>
      </w:sdt>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3458331"/>
      <w:docPartObj>
        <w:docPartGallery w:val="Page Numbers (Bottom of Page)"/>
        <w:docPartUnique/>
      </w:docPartObj>
    </w:sdtPr>
    <w:sdtEndPr/>
    <w:sdtContent>
      <w:sdt>
        <w:sdtPr>
          <w:id w:val="-1402437120"/>
          <w:docPartObj>
            <w:docPartGallery w:val="Page Numbers (Top of Page)"/>
            <w:docPartUnique/>
          </w:docPartObj>
        </w:sdtPr>
        <w:sdtEndPr/>
        <w:sdtContent>
          <w:p w14:paraId="4696879B" w14:textId="520685B3" w:rsidR="005C15C5" w:rsidRDefault="005C15C5" w:rsidP="00A10CAC">
            <w:pPr>
              <w:pStyle w:val="Footer"/>
              <w:jc w:val="right"/>
            </w:pPr>
            <w:r>
              <w:t xml:space="preserve">Page26 of </w:t>
            </w:r>
            <w:r>
              <w:rPr>
                <w:b/>
                <w:bCs/>
              </w:rPr>
              <w:t>26</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A2ADF" w14:textId="77777777" w:rsidR="005C15C5" w:rsidRDefault="005C15C5">
      <w:r>
        <w:separator/>
      </w:r>
    </w:p>
  </w:footnote>
  <w:footnote w:type="continuationSeparator" w:id="0">
    <w:p w14:paraId="6F528B32" w14:textId="77777777" w:rsidR="005C15C5" w:rsidRDefault="005C15C5">
      <w:r>
        <w:continuationSeparator/>
      </w:r>
    </w:p>
  </w:footnote>
  <w:footnote w:type="continuationNotice" w:id="1">
    <w:p w14:paraId="08C8F22C" w14:textId="77777777" w:rsidR="005C15C5" w:rsidRDefault="005C15C5">
      <w:pPr>
        <w:spacing w:after="0" w:line="240" w:lineRule="auto"/>
      </w:pPr>
    </w:p>
  </w:footnote>
  <w:footnote w:id="2">
    <w:p w14:paraId="3B1A2F97" w14:textId="60A115D6" w:rsidR="005C15C5" w:rsidRDefault="005C15C5" w:rsidP="00BC67FC">
      <w:pPr>
        <w:pStyle w:val="FootnoteText"/>
        <w:ind w:left="0" w:firstLine="0"/>
      </w:pPr>
      <w:r>
        <w:rPr>
          <w:rStyle w:val="FootnoteReference"/>
        </w:rPr>
        <w:footnoteRef/>
      </w:r>
      <w:r>
        <w:t xml:space="preserve"> Ministerial Council arrangements may change from time to time. Education Council represents the council arrangement for Ministers from the Commonwealth and States and Territories with responsibility for school education. </w:t>
      </w:r>
    </w:p>
  </w:footnote>
  <w:footnote w:id="3">
    <w:p w14:paraId="394D6368" w14:textId="348CAEA1" w:rsidR="005C15C5" w:rsidRDefault="005C15C5" w:rsidP="00010F7C">
      <w:pPr>
        <w:pStyle w:val="FootnoteText"/>
        <w:tabs>
          <w:tab w:val="clear" w:pos="284"/>
        </w:tabs>
        <w:ind w:left="0" w:firstLine="0"/>
      </w:pPr>
      <w:r>
        <w:rPr>
          <w:rStyle w:val="FootnoteReference"/>
        </w:rPr>
        <w:footnoteRef/>
      </w:r>
      <w:r>
        <w:t xml:space="preserve"> On 4 </w:t>
      </w:r>
      <w:r w:rsidRPr="00203F38">
        <w:t>September 2020, variations to Schedule B milestones were approved by the Commonwealth Minister and all relevant State and Territory Ministers for school education.</w:t>
      </w:r>
    </w:p>
  </w:footnote>
  <w:footnote w:id="4">
    <w:p w14:paraId="6FF4716A" w14:textId="77777777" w:rsidR="005C15C5" w:rsidRPr="00E97031" w:rsidRDefault="005C15C5" w:rsidP="00F628DB">
      <w:pPr>
        <w:pStyle w:val="FootnoteText"/>
        <w:jc w:val="left"/>
      </w:pPr>
      <w:r w:rsidRPr="00E97031">
        <w:rPr>
          <w:rStyle w:val="FootnoteReference"/>
        </w:rPr>
        <w:footnoteRef/>
      </w:r>
      <w:r w:rsidRPr="00E97031">
        <w:rPr>
          <w:rFonts w:asciiTheme="minorHAnsi" w:hAnsiTheme="minorHAnsi" w:cstheme="minorHAnsi"/>
        </w:rPr>
        <w:t xml:space="preserve"> </w:t>
      </w:r>
      <w:r w:rsidRPr="00E97031">
        <w:rPr>
          <w:rFonts w:asciiTheme="minorHAnsi" w:hAnsiTheme="minorHAnsi" w:cstheme="minorHAnsi"/>
        </w:rPr>
        <w:tab/>
      </w:r>
      <w:r w:rsidRPr="00E97031">
        <w:rPr>
          <w:rFonts w:asciiTheme="minorHAnsi" w:hAnsiTheme="minorHAnsi" w:cstheme="minorHAnsi"/>
          <w:i/>
          <w:iCs/>
        </w:rPr>
        <w:t>National Agreement on Closing the Gap</w:t>
      </w:r>
      <w:r w:rsidRPr="00E97031">
        <w:rPr>
          <w:rFonts w:asciiTheme="minorHAnsi" w:hAnsiTheme="minorHAnsi" w:cstheme="minorHAnsi"/>
        </w:rPr>
        <w:t xml:space="preserve"> (July, 2020, page 21) </w:t>
      </w:r>
      <w:hyperlink r:id="rId1" w:history="1">
        <w:r w:rsidRPr="00E97031">
          <w:rPr>
            <w:rStyle w:val="Hyperlink"/>
            <w:rFonts w:asciiTheme="minorHAnsi" w:hAnsiTheme="minorHAnsi" w:cstheme="minorHAnsi"/>
          </w:rPr>
          <w:t>https://www.closingthegap.gov.au/sites/default/files/files/national-agreement-ctg.pdf</w:t>
        </w:r>
      </w:hyperlink>
      <w:r w:rsidRPr="00E97031">
        <w:t xml:space="preserve"> </w:t>
      </w:r>
    </w:p>
    <w:p w14:paraId="0FAFD20B" w14:textId="77777777" w:rsidR="005C15C5" w:rsidRDefault="005C15C5" w:rsidP="00F628DB">
      <w:pPr>
        <w:pStyle w:val="FootnoteText"/>
        <w:jc w:val="lef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11BB5" w14:textId="77777777" w:rsidR="005C15C5" w:rsidRPr="00FC5F92" w:rsidRDefault="005C15C5">
    <w:pPr>
      <w:pStyle w:val="HeaderOdd"/>
      <w:tabs>
        <w:tab w:val="num" w:pos="1134"/>
      </w:tabs>
      <w:rPr>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78FF4" w14:textId="77777777" w:rsidR="005C15C5" w:rsidRPr="00FC5F92" w:rsidRDefault="005C15C5">
    <w:pPr>
      <w:pStyle w:val="HeaderOdd"/>
      <w:tabs>
        <w:tab w:val="num" w:pos="1134"/>
      </w:tabs>
      <w:rPr>
        <w:color w:val="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839FA" w14:textId="77777777" w:rsidR="005C15C5" w:rsidRPr="005E5BBF" w:rsidRDefault="005C15C5" w:rsidP="00551AB9">
    <w:pPr>
      <w:keepNext/>
      <w:spacing w:after="0" w:line="240" w:lineRule="auto"/>
      <w:rPr>
        <w:rFonts w:ascii="Calibri" w:hAnsi="Calibri"/>
        <w:color w:val="316F72"/>
        <w:sz w:val="18"/>
        <w:szCs w:val="18"/>
      </w:rPr>
    </w:pPr>
    <w:r w:rsidRPr="005E5BBF">
      <w:rPr>
        <w:rFonts w:ascii="Calibri" w:hAnsi="Calibri"/>
        <w:color w:val="316F72"/>
        <w:sz w:val="18"/>
        <w:szCs w:val="18"/>
      </w:rPr>
      <w:t>National Policy Initiatives</w:t>
    </w:r>
  </w:p>
  <w:p w14:paraId="28253AB6" w14:textId="77777777" w:rsidR="005C15C5" w:rsidRDefault="005C15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6199F"/>
    <w:multiLevelType w:val="hybridMultilevel"/>
    <w:tmpl w:val="1B68E064"/>
    <w:lvl w:ilvl="0" w:tplc="8D7408A6">
      <w:start w:val="3"/>
      <w:numFmt w:val="decimal"/>
      <w:lvlText w:val="%1."/>
      <w:lvlJc w:val="left"/>
      <w:pPr>
        <w:ind w:left="360" w:hanging="360"/>
      </w:pPr>
      <w:rPr>
        <w:rFonts w:ascii="Calibri" w:hAnsi="Calibri" w:cs="Calibri" w:hint="default"/>
        <w:b w:val="0"/>
        <w:i w:val="0"/>
        <w:color w:val="auto"/>
        <w:sz w:val="23"/>
        <w:szCs w:val="23"/>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E9567E"/>
    <w:multiLevelType w:val="hybridMultilevel"/>
    <w:tmpl w:val="C25E0D6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5CF08A9"/>
    <w:multiLevelType w:val="hybridMultilevel"/>
    <w:tmpl w:val="F08A706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71550EA"/>
    <w:multiLevelType w:val="hybridMultilevel"/>
    <w:tmpl w:val="BE6CE3F8"/>
    <w:lvl w:ilvl="0" w:tplc="3662BE7C">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AA30D6"/>
    <w:multiLevelType w:val="hybridMultilevel"/>
    <w:tmpl w:val="922405A0"/>
    <w:lvl w:ilvl="0" w:tplc="0C09001B">
      <w:start w:val="1"/>
      <w:numFmt w:val="lowerRoman"/>
      <w:lvlText w:val="%1."/>
      <w:lvlJc w:val="righ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E07CB3"/>
    <w:multiLevelType w:val="hybridMultilevel"/>
    <w:tmpl w:val="6BE48890"/>
    <w:lvl w:ilvl="0" w:tplc="025CF3A2">
      <w:start w:val="1"/>
      <w:numFmt w:val="lowerRoman"/>
      <w:lvlText w:val="%1."/>
      <w:lvlJc w:val="righ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AF107E"/>
    <w:multiLevelType w:val="hybridMultilevel"/>
    <w:tmpl w:val="C25E0D6E"/>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0CDC7973"/>
    <w:multiLevelType w:val="multilevel"/>
    <w:tmpl w:val="85DCB1C2"/>
    <w:lvl w:ilvl="0">
      <w:start w:val="1"/>
      <w:numFmt w:val="lowerRoman"/>
      <w:lvlRestart w:val="0"/>
      <w:pStyle w:val="Romannumeral"/>
      <w:lvlText w:val="(%1)"/>
      <w:lvlJc w:val="left"/>
      <w:pPr>
        <w:tabs>
          <w:tab w:val="num" w:pos="1701"/>
        </w:tabs>
        <w:ind w:left="1701" w:hanging="567"/>
      </w:pPr>
      <w:rPr>
        <w:rFonts w:cs="Times New Roman" w:hint="default"/>
        <w:b w:val="0"/>
        <w:bCs w:val="0"/>
        <w:i w:val="0"/>
        <w:iCs w:val="0"/>
        <w:color w:val="000000"/>
      </w:rPr>
    </w:lvl>
    <w:lvl w:ilvl="1">
      <w:start w:val="1"/>
      <w:numFmt w:val="decimal"/>
      <w:lvlText w:val="(%2)"/>
      <w:lvlJc w:val="left"/>
      <w:pPr>
        <w:tabs>
          <w:tab w:val="num" w:pos="1701"/>
        </w:tabs>
        <w:ind w:left="1701" w:hanging="283"/>
      </w:pPr>
      <w:rPr>
        <w:rFonts w:cs="Times New Roman" w:hint="default"/>
        <w:b w:val="0"/>
        <w:bCs w:val="0"/>
        <w:i w:val="0"/>
        <w:iCs w:val="0"/>
        <w:color w:val="000000"/>
      </w:rPr>
    </w:lvl>
    <w:lvl w:ilvl="2">
      <w:start w:val="1"/>
      <w:numFmt w:val="decimal"/>
      <w:lvlText w:val="%3"/>
      <w:lvlJc w:val="left"/>
      <w:pPr>
        <w:tabs>
          <w:tab w:val="num" w:pos="2268"/>
        </w:tabs>
        <w:ind w:left="2268" w:hanging="567"/>
      </w:pPr>
      <w:rPr>
        <w:rFonts w:cs="Times New Roman" w:hint="default"/>
        <w:b w:val="0"/>
        <w:bCs w:val="0"/>
        <w:i w:val="0"/>
        <w:iCs w:val="0"/>
        <w:color w:val="000000"/>
      </w:rPr>
    </w:lvl>
    <w:lvl w:ilvl="3">
      <w:start w:val="1"/>
      <w:numFmt w:val="decimal"/>
      <w:lvlText w:val="%4"/>
      <w:lvlJc w:val="left"/>
      <w:pPr>
        <w:tabs>
          <w:tab w:val="num" w:pos="2835"/>
        </w:tabs>
        <w:ind w:left="2835" w:hanging="567"/>
      </w:pPr>
      <w:rPr>
        <w:rFonts w:cs="Times New Roman" w:hint="default"/>
        <w:b w:val="0"/>
        <w:bCs w:val="0"/>
        <w:i w:val="0"/>
        <w:iCs w:val="0"/>
        <w:color w:val="000000"/>
      </w:rPr>
    </w:lvl>
    <w:lvl w:ilvl="4">
      <w:start w:val="1"/>
      <w:numFmt w:val="decimal"/>
      <w:lvlText w:val="%5"/>
      <w:lvlJc w:val="left"/>
      <w:pPr>
        <w:tabs>
          <w:tab w:val="num" w:pos="3402"/>
        </w:tabs>
        <w:ind w:left="3402" w:hanging="567"/>
      </w:pPr>
      <w:rPr>
        <w:rFonts w:cs="Times New Roman" w:hint="default"/>
        <w:b w:val="0"/>
        <w:bCs w:val="0"/>
        <w:i w:val="0"/>
        <w:iCs w:val="0"/>
        <w:color w:val="000000"/>
      </w:rPr>
    </w:lvl>
    <w:lvl w:ilvl="5">
      <w:start w:val="1"/>
      <w:numFmt w:val="decimal"/>
      <w:lvlText w:val="%6"/>
      <w:lvlJc w:val="left"/>
      <w:pPr>
        <w:tabs>
          <w:tab w:val="num" w:pos="3969"/>
        </w:tabs>
        <w:ind w:left="3969" w:hanging="567"/>
      </w:pPr>
      <w:rPr>
        <w:rFonts w:cs="Times New Roman" w:hint="default"/>
        <w:b w:val="0"/>
        <w:bCs w:val="0"/>
        <w:i w:val="0"/>
        <w:iCs w:val="0"/>
        <w:color w:val="000000"/>
      </w:rPr>
    </w:lvl>
    <w:lvl w:ilvl="6">
      <w:start w:val="1"/>
      <w:numFmt w:val="decimal"/>
      <w:lvlText w:val="%7"/>
      <w:lvlJc w:val="left"/>
      <w:pPr>
        <w:tabs>
          <w:tab w:val="num" w:pos="4536"/>
        </w:tabs>
        <w:ind w:left="4536" w:hanging="567"/>
      </w:pPr>
      <w:rPr>
        <w:rFonts w:cs="Times New Roman" w:hint="default"/>
        <w:b w:val="0"/>
        <w:bCs w:val="0"/>
        <w:i w:val="0"/>
        <w:iCs w:val="0"/>
        <w:color w:val="000000"/>
      </w:rPr>
    </w:lvl>
    <w:lvl w:ilvl="7">
      <w:start w:val="1"/>
      <w:numFmt w:val="decimal"/>
      <w:lvlText w:val="%8"/>
      <w:lvlJc w:val="left"/>
      <w:pPr>
        <w:tabs>
          <w:tab w:val="num" w:pos="5103"/>
        </w:tabs>
        <w:ind w:left="5103" w:hanging="567"/>
      </w:pPr>
      <w:rPr>
        <w:rFonts w:cs="Times New Roman" w:hint="default"/>
        <w:b w:val="0"/>
        <w:bCs w:val="0"/>
        <w:i w:val="0"/>
        <w:iCs w:val="0"/>
        <w:color w:val="000000"/>
      </w:rPr>
    </w:lvl>
    <w:lvl w:ilvl="8">
      <w:start w:val="1"/>
      <w:numFmt w:val="decimal"/>
      <w:lvlText w:val="%9"/>
      <w:lvlJc w:val="left"/>
      <w:pPr>
        <w:tabs>
          <w:tab w:val="num" w:pos="5670"/>
        </w:tabs>
        <w:ind w:left="5670" w:hanging="567"/>
      </w:pPr>
      <w:rPr>
        <w:rFonts w:cs="Times New Roman" w:hint="default"/>
        <w:b w:val="0"/>
        <w:bCs w:val="0"/>
        <w:i w:val="0"/>
        <w:iCs w:val="0"/>
        <w:color w:val="000000"/>
      </w:rPr>
    </w:lvl>
  </w:abstractNum>
  <w:abstractNum w:abstractNumId="8" w15:restartNumberingAfterBreak="0">
    <w:nsid w:val="0F991730"/>
    <w:multiLevelType w:val="hybridMultilevel"/>
    <w:tmpl w:val="798C4B1C"/>
    <w:lvl w:ilvl="0" w:tplc="3662BE7C">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17B3C57"/>
    <w:multiLevelType w:val="hybridMultilevel"/>
    <w:tmpl w:val="442A7F10"/>
    <w:lvl w:ilvl="0" w:tplc="167253DA">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F05D5F"/>
    <w:multiLevelType w:val="multilevel"/>
    <w:tmpl w:val="B1A6D8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8FD6898"/>
    <w:multiLevelType w:val="multilevel"/>
    <w:tmpl w:val="6BD06960"/>
    <w:styleLink w:val="Style1"/>
    <w:lvl w:ilvl="0">
      <w:start w:val="1"/>
      <w:numFmt w:val="upperLetter"/>
      <w:lvlText w:val="%1."/>
      <w:lvlJc w:val="left"/>
      <w:pPr>
        <w:ind w:left="360" w:hanging="360"/>
      </w:pPr>
      <w:rPr>
        <w:rFonts w:ascii="Calibri" w:hAnsi="Calibri" w:cs="Calibri" w:hint="default"/>
        <w:b w:val="0"/>
        <w:i w:val="0"/>
        <w:color w:val="auto"/>
        <w:sz w:val="23"/>
        <w:szCs w:val="23"/>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9C960FD"/>
    <w:multiLevelType w:val="multilevel"/>
    <w:tmpl w:val="F9EA08CE"/>
    <w:name w:val="OneLevelNumberedParagraphList"/>
    <w:lvl w:ilvl="0">
      <w:start w:val="1"/>
      <w:numFmt w:val="decimal"/>
      <w:lvlRestart w:val="0"/>
      <w:pStyle w:val="OneLevelNumberedParagraph"/>
      <w:lvlText w:val="%1"/>
      <w:lvlJc w:val="left"/>
      <w:pPr>
        <w:tabs>
          <w:tab w:val="num" w:pos="567"/>
        </w:tabs>
        <w:ind w:left="567" w:hanging="567"/>
      </w:pPr>
      <w:rPr>
        <w:rFonts w:ascii="Times New Roman" w:hAnsi="Times New Roman" w:cs="Times New Roman"/>
        <w:b w:val="0"/>
        <w:bCs w:val="0"/>
        <w:i w:val="0"/>
        <w:iCs w:val="0"/>
        <w:color w:val="000000"/>
      </w:rPr>
    </w:lvl>
    <w:lvl w:ilvl="1">
      <w:start w:val="1"/>
      <w:numFmt w:val="decimal"/>
      <w:lvlText w:val="%2"/>
      <w:lvlJc w:val="left"/>
      <w:pPr>
        <w:tabs>
          <w:tab w:val="num" w:pos="1134"/>
        </w:tabs>
        <w:ind w:left="1134" w:hanging="567"/>
      </w:pPr>
      <w:rPr>
        <w:rFonts w:ascii="Times New Roman" w:hAnsi="Times New Roman" w:cs="Times New Roman"/>
        <w:b w:val="0"/>
        <w:bCs w:val="0"/>
        <w:i w:val="0"/>
        <w:iCs w:val="0"/>
        <w:color w:val="000000"/>
      </w:rPr>
    </w:lvl>
    <w:lvl w:ilvl="2">
      <w:start w:val="1"/>
      <w:numFmt w:val="decimal"/>
      <w:lvlText w:val="%3"/>
      <w:lvlJc w:val="left"/>
      <w:pPr>
        <w:tabs>
          <w:tab w:val="num" w:pos="1701"/>
        </w:tabs>
        <w:ind w:left="1701" w:hanging="567"/>
      </w:pPr>
      <w:rPr>
        <w:rFonts w:ascii="Times New Roman" w:hAnsi="Times New Roman" w:cs="Times New Roman"/>
        <w:b w:val="0"/>
        <w:bCs w:val="0"/>
        <w:i w:val="0"/>
        <w:iCs w:val="0"/>
        <w:color w:val="000000"/>
      </w:rPr>
    </w:lvl>
    <w:lvl w:ilvl="3">
      <w:start w:val="1"/>
      <w:numFmt w:val="decimal"/>
      <w:lvlText w:val="%4"/>
      <w:lvlJc w:val="left"/>
      <w:pPr>
        <w:tabs>
          <w:tab w:val="num" w:pos="2268"/>
        </w:tabs>
        <w:ind w:left="2268" w:hanging="567"/>
      </w:pPr>
      <w:rPr>
        <w:rFonts w:ascii="Times New Roman" w:hAnsi="Times New Roman" w:cs="Times New Roman"/>
        <w:b w:val="0"/>
        <w:bCs w:val="0"/>
        <w:i w:val="0"/>
        <w:iCs w:val="0"/>
        <w:color w:val="000000"/>
      </w:rPr>
    </w:lvl>
    <w:lvl w:ilvl="4">
      <w:start w:val="1"/>
      <w:numFmt w:val="decimal"/>
      <w:lvlText w:val="%5"/>
      <w:lvlJc w:val="left"/>
      <w:pPr>
        <w:tabs>
          <w:tab w:val="num" w:pos="2835"/>
        </w:tabs>
        <w:ind w:left="2835" w:hanging="567"/>
      </w:pPr>
      <w:rPr>
        <w:rFonts w:ascii="Times New Roman" w:hAnsi="Times New Roman" w:cs="Times New Roman"/>
        <w:b w:val="0"/>
        <w:bCs w:val="0"/>
        <w:i w:val="0"/>
        <w:iCs w:val="0"/>
        <w:color w:val="000000"/>
      </w:rPr>
    </w:lvl>
    <w:lvl w:ilvl="5">
      <w:start w:val="1"/>
      <w:numFmt w:val="decimal"/>
      <w:lvlText w:val="%6"/>
      <w:lvlJc w:val="left"/>
      <w:pPr>
        <w:tabs>
          <w:tab w:val="num" w:pos="3402"/>
        </w:tabs>
        <w:ind w:left="3402" w:hanging="567"/>
      </w:pPr>
      <w:rPr>
        <w:rFonts w:ascii="Times New Roman" w:hAnsi="Times New Roman" w:cs="Times New Roman"/>
        <w:b w:val="0"/>
        <w:bCs w:val="0"/>
        <w:i w:val="0"/>
        <w:iCs w:val="0"/>
        <w:color w:val="000000"/>
      </w:rPr>
    </w:lvl>
    <w:lvl w:ilvl="6">
      <w:start w:val="1"/>
      <w:numFmt w:val="decimal"/>
      <w:lvlText w:val="%7"/>
      <w:lvlJc w:val="left"/>
      <w:pPr>
        <w:tabs>
          <w:tab w:val="num" w:pos="3969"/>
        </w:tabs>
        <w:ind w:left="3969" w:hanging="567"/>
      </w:pPr>
      <w:rPr>
        <w:rFonts w:ascii="Times New Roman" w:hAnsi="Times New Roman" w:cs="Times New Roman"/>
        <w:b w:val="0"/>
        <w:bCs w:val="0"/>
        <w:i w:val="0"/>
        <w:iCs w:val="0"/>
        <w:color w:val="000000"/>
      </w:rPr>
    </w:lvl>
    <w:lvl w:ilvl="7">
      <w:start w:val="1"/>
      <w:numFmt w:val="decimal"/>
      <w:lvlText w:val="%8"/>
      <w:lvlJc w:val="left"/>
      <w:pPr>
        <w:tabs>
          <w:tab w:val="num" w:pos="4536"/>
        </w:tabs>
        <w:ind w:left="4536" w:hanging="567"/>
      </w:pPr>
      <w:rPr>
        <w:rFonts w:ascii="Times New Roman" w:hAnsi="Times New Roman" w:cs="Times New Roman"/>
        <w:b w:val="0"/>
        <w:bCs w:val="0"/>
        <w:i w:val="0"/>
        <w:iCs w:val="0"/>
        <w:color w:val="000000"/>
      </w:rPr>
    </w:lvl>
    <w:lvl w:ilvl="8">
      <w:start w:val="1"/>
      <w:numFmt w:val="decimal"/>
      <w:lvlText w:val="%9"/>
      <w:lvlJc w:val="left"/>
      <w:pPr>
        <w:tabs>
          <w:tab w:val="num" w:pos="5103"/>
        </w:tabs>
        <w:ind w:left="5103" w:hanging="567"/>
      </w:pPr>
      <w:rPr>
        <w:rFonts w:ascii="Times New Roman" w:hAnsi="Times New Roman" w:cs="Times New Roman"/>
        <w:b w:val="0"/>
        <w:bCs w:val="0"/>
        <w:i w:val="0"/>
        <w:iCs w:val="0"/>
        <w:color w:val="000000"/>
      </w:rPr>
    </w:lvl>
  </w:abstractNum>
  <w:abstractNum w:abstractNumId="13" w15:restartNumberingAfterBreak="0">
    <w:nsid w:val="1A335E08"/>
    <w:multiLevelType w:val="hybridMultilevel"/>
    <w:tmpl w:val="25C6714C"/>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1A41719A"/>
    <w:multiLevelType w:val="hybridMultilevel"/>
    <w:tmpl w:val="442A7F10"/>
    <w:lvl w:ilvl="0" w:tplc="167253DA">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7F3DDD"/>
    <w:multiLevelType w:val="hybridMultilevel"/>
    <w:tmpl w:val="7B8C08DE"/>
    <w:lvl w:ilvl="0" w:tplc="0C09001B">
      <w:start w:val="1"/>
      <w:numFmt w:val="lowerRoman"/>
      <w:lvlText w:val="%1."/>
      <w:lvlJc w:val="righ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E58547B"/>
    <w:multiLevelType w:val="multilevel"/>
    <w:tmpl w:val="5BEA893E"/>
    <w:lvl w:ilvl="0">
      <w:start w:val="1"/>
      <w:numFmt w:val="upperLetter"/>
      <w:pStyle w:val="ScheduleList"/>
      <w:lvlText w:val="%1"/>
      <w:lvlJc w:val="left"/>
      <w:pPr>
        <w:tabs>
          <w:tab w:val="num" w:pos="567"/>
        </w:tabs>
        <w:ind w:left="567" w:hanging="567"/>
      </w:pPr>
      <w:rPr>
        <w:rFonts w:cs="Times New Roman" w:hint="default"/>
      </w:rPr>
    </w:lvl>
    <w:lvl w:ilvl="1">
      <w:start w:val="1"/>
      <w:numFmt w:val="decimal"/>
      <w:pStyle w:val="ScheduleListSubHeading"/>
      <w:lvlText w:val="%1%2"/>
      <w:lvlJc w:val="left"/>
      <w:pPr>
        <w:tabs>
          <w:tab w:val="num" w:pos="1134"/>
        </w:tabs>
        <w:ind w:left="1134" w:hanging="56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219F084C"/>
    <w:multiLevelType w:val="hybridMultilevel"/>
    <w:tmpl w:val="06843522"/>
    <w:lvl w:ilvl="0" w:tplc="167253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2695AAA"/>
    <w:multiLevelType w:val="hybridMultilevel"/>
    <w:tmpl w:val="FC1444AC"/>
    <w:lvl w:ilvl="0" w:tplc="167253D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2B242CC"/>
    <w:multiLevelType w:val="multilevel"/>
    <w:tmpl w:val="E60E4706"/>
    <w:name w:val="AGSTableDash"/>
    <w:lvl w:ilvl="0">
      <w:start w:val="1"/>
      <w:numFmt w:val="none"/>
      <w:lvlRestart w:val="0"/>
      <w:pStyle w:val="IndentHanging"/>
      <w:suff w:val="nothing"/>
      <w:lvlText w:val=""/>
      <w:lvlJc w:val="left"/>
      <w:pPr>
        <w:tabs>
          <w:tab w:val="num" w:pos="850"/>
        </w:tabs>
        <w:ind w:left="850" w:hanging="425"/>
      </w:pPr>
      <w:rPr>
        <w:rFonts w:cs="Times New Roman"/>
      </w:rPr>
    </w:lvl>
    <w:lvl w:ilvl="1">
      <w:start w:val="1"/>
      <w:numFmt w:val="none"/>
      <w:lvlRestart w:val="0"/>
      <w:pStyle w:val="IndentHanging1"/>
      <w:suff w:val="nothing"/>
      <w:lvlText w:val=""/>
      <w:lvlJc w:val="left"/>
      <w:pPr>
        <w:tabs>
          <w:tab w:val="num" w:pos="850"/>
        </w:tabs>
        <w:ind w:left="850" w:hanging="425"/>
      </w:pPr>
      <w:rPr>
        <w:rFonts w:cs="Times New Roman"/>
      </w:rPr>
    </w:lvl>
    <w:lvl w:ilvl="2">
      <w:start w:val="1"/>
      <w:numFmt w:val="none"/>
      <w:lvlRestart w:val="0"/>
      <w:pStyle w:val="IndentHanging2"/>
      <w:suff w:val="nothing"/>
      <w:lvlText w:val=""/>
      <w:lvlJc w:val="left"/>
      <w:pPr>
        <w:tabs>
          <w:tab w:val="num" w:pos="1276"/>
        </w:tabs>
        <w:ind w:left="1276" w:hanging="426"/>
      </w:pPr>
      <w:rPr>
        <w:rFonts w:cs="Times New Roman"/>
      </w:rPr>
    </w:lvl>
    <w:lvl w:ilvl="3">
      <w:start w:val="1"/>
      <w:numFmt w:val="none"/>
      <w:lvlRestart w:val="0"/>
      <w:pStyle w:val="IndentHanging3"/>
      <w:suff w:val="nothing"/>
      <w:lvlText w:val=""/>
      <w:lvlJc w:val="left"/>
      <w:pPr>
        <w:tabs>
          <w:tab w:val="num" w:pos="1701"/>
        </w:tabs>
        <w:ind w:left="1701" w:hanging="425"/>
      </w:pPr>
      <w:rPr>
        <w:rFonts w:cs="Times New Roman"/>
      </w:rPr>
    </w:lvl>
    <w:lvl w:ilvl="4">
      <w:start w:val="1"/>
      <w:numFmt w:val="none"/>
      <w:lvlRestart w:val="0"/>
      <w:pStyle w:val="IndentHanging4"/>
      <w:suff w:val="nothing"/>
      <w:lvlText w:val=""/>
      <w:lvlJc w:val="left"/>
      <w:pPr>
        <w:tabs>
          <w:tab w:val="num" w:pos="2126"/>
        </w:tabs>
        <w:ind w:left="2126" w:hanging="425"/>
      </w:pPr>
      <w:rPr>
        <w:rFonts w:cs="Times New Roman"/>
      </w:rPr>
    </w:lvl>
    <w:lvl w:ilvl="5">
      <w:start w:val="1"/>
      <w:numFmt w:val="none"/>
      <w:lvlRestart w:val="0"/>
      <w:pStyle w:val="IndentHanging5"/>
      <w:suff w:val="nothing"/>
      <w:lvlText w:val=""/>
      <w:lvlJc w:val="left"/>
      <w:pPr>
        <w:tabs>
          <w:tab w:val="num" w:pos="2551"/>
        </w:tabs>
        <w:ind w:left="2551" w:hanging="425"/>
      </w:pPr>
      <w:rPr>
        <w:rFonts w:cs="Times New Roman"/>
      </w:rPr>
    </w:lvl>
    <w:lvl w:ilvl="6">
      <w:start w:val="1"/>
      <w:numFmt w:val="none"/>
      <w:lvlRestart w:val="0"/>
      <w:pStyle w:val="IndentHanging6"/>
      <w:suff w:val="nothing"/>
      <w:lvlText w:val=""/>
      <w:lvlJc w:val="left"/>
      <w:pPr>
        <w:tabs>
          <w:tab w:val="num" w:pos="2976"/>
        </w:tabs>
        <w:ind w:left="2976" w:hanging="425"/>
      </w:pPr>
      <w:rPr>
        <w:rFonts w:cs="Times New Roman"/>
      </w:rPr>
    </w:lvl>
    <w:lvl w:ilvl="7">
      <w:start w:val="1"/>
      <w:numFmt w:val="none"/>
      <w:lvlRestart w:val="0"/>
      <w:pStyle w:val="IndentHanging7"/>
      <w:suff w:val="nothing"/>
      <w:lvlText w:val=""/>
      <w:lvlJc w:val="left"/>
      <w:pPr>
        <w:tabs>
          <w:tab w:val="num" w:pos="3402"/>
        </w:tabs>
        <w:ind w:left="3402" w:hanging="426"/>
      </w:pPr>
      <w:rPr>
        <w:rFonts w:cs="Times New Roman"/>
      </w:rPr>
    </w:lvl>
    <w:lvl w:ilvl="8">
      <w:start w:val="1"/>
      <w:numFmt w:val="none"/>
      <w:lvlRestart w:val="0"/>
      <w:pStyle w:val="IndentHanging8"/>
      <w:suff w:val="nothing"/>
      <w:lvlText w:val=""/>
      <w:lvlJc w:val="left"/>
      <w:pPr>
        <w:tabs>
          <w:tab w:val="num" w:pos="3827"/>
        </w:tabs>
        <w:ind w:left="3827" w:hanging="425"/>
      </w:pPr>
      <w:rPr>
        <w:rFonts w:cs="Times New Roman"/>
      </w:rPr>
    </w:lvl>
  </w:abstractNum>
  <w:abstractNum w:abstractNumId="20" w15:restartNumberingAfterBreak="0">
    <w:nsid w:val="236C0E29"/>
    <w:multiLevelType w:val="hybridMultilevel"/>
    <w:tmpl w:val="E7E2694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44237C5"/>
    <w:multiLevelType w:val="multilevel"/>
    <w:tmpl w:val="58FC54CC"/>
    <w:name w:val="StandardNumberedList"/>
    <w:lvl w:ilvl="0">
      <w:start w:val="1"/>
      <w:numFmt w:val="decimal"/>
      <w:pStyle w:val="OutlineNumbered1"/>
      <w:lvlText w:val="%1."/>
      <w:lvlJc w:val="left"/>
      <w:pPr>
        <w:tabs>
          <w:tab w:val="num" w:pos="543"/>
        </w:tabs>
        <w:ind w:left="543" w:hanging="543"/>
      </w:pPr>
      <w:rPr>
        <w:rFonts w:cs="Times New Roman"/>
        <w:b w:val="0"/>
        <w:bCs w:val="0"/>
        <w:i w:val="0"/>
        <w:iCs w:val="0"/>
      </w:rPr>
    </w:lvl>
    <w:lvl w:ilvl="1">
      <w:start w:val="1"/>
      <w:numFmt w:val="decimal"/>
      <w:pStyle w:val="OutlineNumbered2"/>
      <w:lvlText w:val="%1.%2."/>
      <w:lvlJc w:val="left"/>
      <w:pPr>
        <w:tabs>
          <w:tab w:val="num" w:pos="1086"/>
        </w:tabs>
        <w:ind w:left="1086" w:hanging="543"/>
      </w:pPr>
      <w:rPr>
        <w:rFonts w:cs="Times New Roman"/>
        <w:b w:val="0"/>
        <w:bCs w:val="0"/>
        <w:i w:val="0"/>
        <w:iCs w:val="0"/>
      </w:rPr>
    </w:lvl>
    <w:lvl w:ilvl="2">
      <w:start w:val="1"/>
      <w:numFmt w:val="decimal"/>
      <w:pStyle w:val="OutlineNumbered3"/>
      <w:lvlText w:val="%1.%2.%3."/>
      <w:lvlJc w:val="left"/>
      <w:pPr>
        <w:tabs>
          <w:tab w:val="num" w:pos="1629"/>
        </w:tabs>
        <w:ind w:left="1629" w:hanging="543"/>
      </w:pPr>
      <w:rPr>
        <w:rFonts w:cs="Times New Roman"/>
        <w:b w:val="0"/>
        <w:bCs w:val="0"/>
        <w:i w:val="0"/>
        <w:iCs w:val="0"/>
      </w:rPr>
    </w:lvl>
    <w:lvl w:ilvl="3">
      <w:start w:val="1"/>
      <w:numFmt w:val="decimal"/>
      <w:lvlText w:val="(%4)"/>
      <w:lvlJc w:val="left"/>
      <w:pPr>
        <w:tabs>
          <w:tab w:val="num" w:pos="1440"/>
        </w:tabs>
        <w:ind w:left="1440" w:hanging="360"/>
      </w:pPr>
      <w:rPr>
        <w:rFonts w:cs="Times New Roman"/>
        <w:b w:val="0"/>
        <w:bCs w:val="0"/>
        <w:i w:val="0"/>
        <w:iCs w:val="0"/>
      </w:rPr>
    </w:lvl>
    <w:lvl w:ilvl="4">
      <w:start w:val="1"/>
      <w:numFmt w:val="lowerLetter"/>
      <w:lvlText w:val="(%5)"/>
      <w:lvlJc w:val="left"/>
      <w:pPr>
        <w:tabs>
          <w:tab w:val="num" w:pos="1800"/>
        </w:tabs>
        <w:ind w:left="1800" w:hanging="360"/>
      </w:pPr>
      <w:rPr>
        <w:rFonts w:cs="Times New Roman"/>
        <w:b w:val="0"/>
        <w:bCs w:val="0"/>
        <w:i w:val="0"/>
        <w:iCs w:val="0"/>
      </w:rPr>
    </w:lvl>
    <w:lvl w:ilvl="5">
      <w:start w:val="1"/>
      <w:numFmt w:val="lowerRoman"/>
      <w:lvlText w:val="(%6)"/>
      <w:lvlJc w:val="left"/>
      <w:pPr>
        <w:tabs>
          <w:tab w:val="num" w:pos="2160"/>
        </w:tabs>
        <w:ind w:left="2160" w:hanging="360"/>
      </w:pPr>
      <w:rPr>
        <w:rFonts w:cs="Times New Roman"/>
        <w:b w:val="0"/>
        <w:bCs w:val="0"/>
        <w:i w:val="0"/>
        <w:iCs w:val="0"/>
      </w:rPr>
    </w:lvl>
    <w:lvl w:ilvl="6">
      <w:start w:val="1"/>
      <w:numFmt w:val="decimal"/>
      <w:lvlText w:val="%7."/>
      <w:lvlJc w:val="left"/>
      <w:pPr>
        <w:tabs>
          <w:tab w:val="num" w:pos="2520"/>
        </w:tabs>
        <w:ind w:left="2520" w:hanging="360"/>
      </w:pPr>
      <w:rPr>
        <w:rFonts w:cs="Times New Roman"/>
        <w:b w:val="0"/>
        <w:bCs w:val="0"/>
        <w:i w:val="0"/>
        <w:iCs w:val="0"/>
      </w:rPr>
    </w:lvl>
    <w:lvl w:ilvl="7">
      <w:start w:val="1"/>
      <w:numFmt w:val="lowerLetter"/>
      <w:lvlText w:val="%8."/>
      <w:lvlJc w:val="left"/>
      <w:pPr>
        <w:tabs>
          <w:tab w:val="num" w:pos="2880"/>
        </w:tabs>
        <w:ind w:left="2880" w:hanging="360"/>
      </w:pPr>
      <w:rPr>
        <w:rFonts w:cs="Times New Roman"/>
        <w:b w:val="0"/>
        <w:bCs w:val="0"/>
        <w:i w:val="0"/>
        <w:iCs w:val="0"/>
      </w:rPr>
    </w:lvl>
    <w:lvl w:ilvl="8">
      <w:start w:val="1"/>
      <w:numFmt w:val="lowerRoman"/>
      <w:lvlText w:val="%9."/>
      <w:lvlJc w:val="left"/>
      <w:pPr>
        <w:tabs>
          <w:tab w:val="num" w:pos="3240"/>
        </w:tabs>
        <w:ind w:left="3240" w:hanging="360"/>
      </w:pPr>
      <w:rPr>
        <w:rFonts w:cs="Times New Roman"/>
        <w:b w:val="0"/>
        <w:bCs w:val="0"/>
        <w:i w:val="0"/>
        <w:iCs w:val="0"/>
      </w:rPr>
    </w:lvl>
  </w:abstractNum>
  <w:abstractNum w:abstractNumId="22" w15:restartNumberingAfterBreak="0">
    <w:nsid w:val="27440C8B"/>
    <w:multiLevelType w:val="multilevel"/>
    <w:tmpl w:val="F2A403A2"/>
    <w:lvl w:ilvl="0">
      <w:start w:val="1"/>
      <w:numFmt w:val="bullet"/>
      <w:lvlRestart w:val="0"/>
      <w:pStyle w:val="Bullet"/>
      <w:lvlText w:val="•"/>
      <w:lvlJc w:val="left"/>
      <w:pPr>
        <w:tabs>
          <w:tab w:val="num" w:pos="283"/>
        </w:tabs>
        <w:ind w:left="283" w:hanging="283"/>
      </w:pPr>
      <w:rPr>
        <w:rFonts w:ascii="Times New Roman" w:hAnsi="Times New Roman"/>
        <w:b w:val="0"/>
        <w:i w:val="0"/>
      </w:rPr>
    </w:lvl>
    <w:lvl w:ilvl="1">
      <w:start w:val="1"/>
      <w:numFmt w:val="bullet"/>
      <w:pStyle w:val="Dash"/>
      <w:lvlText w:val="–"/>
      <w:lvlJc w:val="left"/>
      <w:pPr>
        <w:tabs>
          <w:tab w:val="num" w:pos="567"/>
        </w:tabs>
        <w:ind w:left="567" w:hanging="284"/>
      </w:pPr>
      <w:rPr>
        <w:rFonts w:ascii="Times New Roman" w:hAnsi="Times New Roman"/>
        <w:b w:val="0"/>
        <w:i w:val="0"/>
      </w:rPr>
    </w:lvl>
    <w:lvl w:ilvl="2">
      <w:start w:val="1"/>
      <w:numFmt w:val="bullet"/>
      <w:pStyle w:val="DoubleDot"/>
      <w:lvlText w:val=":"/>
      <w:lvlJc w:val="left"/>
      <w:pPr>
        <w:tabs>
          <w:tab w:val="num" w:pos="850"/>
        </w:tabs>
        <w:ind w:left="850" w:hanging="283"/>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bCs w:val="0"/>
        <w:i w:val="0"/>
        <w:iCs w:val="0"/>
      </w:rPr>
    </w:lvl>
    <w:lvl w:ilvl="4">
      <w:start w:val="1"/>
      <w:numFmt w:val="lowerLetter"/>
      <w:lvlText w:val="(%5)"/>
      <w:lvlJc w:val="left"/>
      <w:pPr>
        <w:tabs>
          <w:tab w:val="num" w:pos="1800"/>
        </w:tabs>
        <w:ind w:left="1800" w:hanging="360"/>
      </w:pPr>
      <w:rPr>
        <w:rFonts w:cs="Times New Roman"/>
        <w:b w:val="0"/>
        <w:bCs w:val="0"/>
        <w:i w:val="0"/>
        <w:iCs w:val="0"/>
      </w:rPr>
    </w:lvl>
    <w:lvl w:ilvl="5">
      <w:start w:val="1"/>
      <w:numFmt w:val="lowerRoman"/>
      <w:lvlText w:val="(%6)"/>
      <w:lvlJc w:val="left"/>
      <w:pPr>
        <w:tabs>
          <w:tab w:val="num" w:pos="2160"/>
        </w:tabs>
        <w:ind w:left="2160" w:hanging="360"/>
      </w:pPr>
      <w:rPr>
        <w:rFonts w:cs="Times New Roman"/>
        <w:b w:val="0"/>
        <w:bCs w:val="0"/>
        <w:i w:val="0"/>
        <w:iCs w:val="0"/>
      </w:rPr>
    </w:lvl>
    <w:lvl w:ilvl="6">
      <w:start w:val="1"/>
      <w:numFmt w:val="decimal"/>
      <w:lvlText w:val="%7."/>
      <w:lvlJc w:val="left"/>
      <w:pPr>
        <w:tabs>
          <w:tab w:val="num" w:pos="2520"/>
        </w:tabs>
        <w:ind w:left="2520" w:hanging="360"/>
      </w:pPr>
      <w:rPr>
        <w:rFonts w:cs="Times New Roman"/>
        <w:b w:val="0"/>
        <w:bCs w:val="0"/>
        <w:i w:val="0"/>
        <w:iCs w:val="0"/>
      </w:rPr>
    </w:lvl>
    <w:lvl w:ilvl="7">
      <w:start w:val="1"/>
      <w:numFmt w:val="lowerLetter"/>
      <w:lvlText w:val="%8."/>
      <w:lvlJc w:val="left"/>
      <w:pPr>
        <w:tabs>
          <w:tab w:val="num" w:pos="2880"/>
        </w:tabs>
        <w:ind w:left="2880" w:hanging="360"/>
      </w:pPr>
      <w:rPr>
        <w:rFonts w:cs="Times New Roman"/>
        <w:b w:val="0"/>
        <w:bCs w:val="0"/>
        <w:i w:val="0"/>
        <w:iCs w:val="0"/>
      </w:rPr>
    </w:lvl>
    <w:lvl w:ilvl="8">
      <w:start w:val="1"/>
      <w:numFmt w:val="lowerRoman"/>
      <w:lvlText w:val="%9."/>
      <w:lvlJc w:val="left"/>
      <w:pPr>
        <w:tabs>
          <w:tab w:val="num" w:pos="3240"/>
        </w:tabs>
        <w:ind w:left="3240" w:hanging="360"/>
      </w:pPr>
      <w:rPr>
        <w:rFonts w:cs="Times New Roman"/>
        <w:b w:val="0"/>
        <w:bCs w:val="0"/>
        <w:i w:val="0"/>
        <w:iCs w:val="0"/>
      </w:rPr>
    </w:lvl>
  </w:abstractNum>
  <w:abstractNum w:abstractNumId="23" w15:restartNumberingAfterBreak="0">
    <w:nsid w:val="278D78E7"/>
    <w:multiLevelType w:val="multilevel"/>
    <w:tmpl w:val="5C4AE05C"/>
    <w:lvl w:ilvl="0">
      <w:start w:val="1"/>
      <w:numFmt w:val="lowerRoman"/>
      <w:lvlRestart w:val="0"/>
      <w:lvlText w:val="(%1)"/>
      <w:lvlJc w:val="left"/>
      <w:pPr>
        <w:tabs>
          <w:tab w:val="num" w:pos="1418"/>
        </w:tabs>
        <w:ind w:left="1418" w:hanging="284"/>
      </w:pPr>
      <w:rPr>
        <w:rFonts w:cs="Times New Roman" w:hint="default"/>
        <w:b w:val="0"/>
        <w:bCs w:val="0"/>
        <w:i w:val="0"/>
        <w:iCs w:val="0"/>
        <w:color w:val="000000"/>
      </w:rPr>
    </w:lvl>
    <w:lvl w:ilvl="1">
      <w:start w:val="1"/>
      <w:numFmt w:val="decimal"/>
      <w:pStyle w:val="Indentednumberpara"/>
      <w:lvlText w:val="(%2)"/>
      <w:lvlJc w:val="left"/>
      <w:pPr>
        <w:tabs>
          <w:tab w:val="num" w:pos="2268"/>
        </w:tabs>
        <w:ind w:left="2268" w:hanging="567"/>
      </w:pPr>
      <w:rPr>
        <w:rFonts w:cs="Times New Roman" w:hint="default"/>
        <w:b w:val="0"/>
        <w:bCs w:val="0"/>
        <w:i w:val="0"/>
        <w:iCs w:val="0"/>
        <w:color w:val="000000"/>
      </w:rPr>
    </w:lvl>
    <w:lvl w:ilvl="2">
      <w:start w:val="1"/>
      <w:numFmt w:val="decimal"/>
      <w:lvlText w:val="%3"/>
      <w:lvlJc w:val="left"/>
      <w:pPr>
        <w:tabs>
          <w:tab w:val="num" w:pos="2268"/>
        </w:tabs>
        <w:ind w:left="2268" w:hanging="567"/>
      </w:pPr>
      <w:rPr>
        <w:rFonts w:cs="Times New Roman" w:hint="default"/>
        <w:b w:val="0"/>
        <w:bCs w:val="0"/>
        <w:i w:val="0"/>
        <w:iCs w:val="0"/>
        <w:color w:val="000000"/>
      </w:rPr>
    </w:lvl>
    <w:lvl w:ilvl="3">
      <w:start w:val="1"/>
      <w:numFmt w:val="decimal"/>
      <w:lvlText w:val="%4"/>
      <w:lvlJc w:val="left"/>
      <w:pPr>
        <w:tabs>
          <w:tab w:val="num" w:pos="2835"/>
        </w:tabs>
        <w:ind w:left="2835" w:hanging="567"/>
      </w:pPr>
      <w:rPr>
        <w:rFonts w:cs="Times New Roman" w:hint="default"/>
        <w:b w:val="0"/>
        <w:bCs w:val="0"/>
        <w:i w:val="0"/>
        <w:iCs w:val="0"/>
        <w:color w:val="000000"/>
      </w:rPr>
    </w:lvl>
    <w:lvl w:ilvl="4">
      <w:start w:val="1"/>
      <w:numFmt w:val="decimal"/>
      <w:lvlText w:val="%5"/>
      <w:lvlJc w:val="left"/>
      <w:pPr>
        <w:tabs>
          <w:tab w:val="num" w:pos="3402"/>
        </w:tabs>
        <w:ind w:left="3402" w:hanging="567"/>
      </w:pPr>
      <w:rPr>
        <w:rFonts w:cs="Times New Roman" w:hint="default"/>
        <w:b w:val="0"/>
        <w:bCs w:val="0"/>
        <w:i w:val="0"/>
        <w:iCs w:val="0"/>
        <w:color w:val="000000"/>
      </w:rPr>
    </w:lvl>
    <w:lvl w:ilvl="5">
      <w:start w:val="1"/>
      <w:numFmt w:val="decimal"/>
      <w:lvlText w:val="%6"/>
      <w:lvlJc w:val="left"/>
      <w:pPr>
        <w:tabs>
          <w:tab w:val="num" w:pos="3969"/>
        </w:tabs>
        <w:ind w:left="3969" w:hanging="567"/>
      </w:pPr>
      <w:rPr>
        <w:rFonts w:cs="Times New Roman" w:hint="default"/>
        <w:b w:val="0"/>
        <w:bCs w:val="0"/>
        <w:i w:val="0"/>
        <w:iCs w:val="0"/>
        <w:color w:val="000000"/>
      </w:rPr>
    </w:lvl>
    <w:lvl w:ilvl="6">
      <w:start w:val="1"/>
      <w:numFmt w:val="decimal"/>
      <w:lvlText w:val="%7"/>
      <w:lvlJc w:val="left"/>
      <w:pPr>
        <w:tabs>
          <w:tab w:val="num" w:pos="4536"/>
        </w:tabs>
        <w:ind w:left="4536" w:hanging="567"/>
      </w:pPr>
      <w:rPr>
        <w:rFonts w:cs="Times New Roman" w:hint="default"/>
        <w:b w:val="0"/>
        <w:bCs w:val="0"/>
        <w:i w:val="0"/>
        <w:iCs w:val="0"/>
        <w:color w:val="000000"/>
      </w:rPr>
    </w:lvl>
    <w:lvl w:ilvl="7">
      <w:start w:val="1"/>
      <w:numFmt w:val="decimal"/>
      <w:lvlText w:val="%8"/>
      <w:lvlJc w:val="left"/>
      <w:pPr>
        <w:tabs>
          <w:tab w:val="num" w:pos="5103"/>
        </w:tabs>
        <w:ind w:left="5103" w:hanging="567"/>
      </w:pPr>
      <w:rPr>
        <w:rFonts w:cs="Times New Roman" w:hint="default"/>
        <w:b w:val="0"/>
        <w:bCs w:val="0"/>
        <w:i w:val="0"/>
        <w:iCs w:val="0"/>
        <w:color w:val="000000"/>
      </w:rPr>
    </w:lvl>
    <w:lvl w:ilvl="8">
      <w:start w:val="1"/>
      <w:numFmt w:val="decimal"/>
      <w:lvlText w:val="%9"/>
      <w:lvlJc w:val="left"/>
      <w:pPr>
        <w:tabs>
          <w:tab w:val="num" w:pos="5670"/>
        </w:tabs>
        <w:ind w:left="5670" w:hanging="567"/>
      </w:pPr>
      <w:rPr>
        <w:rFonts w:cs="Times New Roman" w:hint="default"/>
        <w:b w:val="0"/>
        <w:bCs w:val="0"/>
        <w:i w:val="0"/>
        <w:iCs w:val="0"/>
        <w:color w:val="000000"/>
      </w:rPr>
    </w:lvl>
  </w:abstractNum>
  <w:abstractNum w:abstractNumId="24" w15:restartNumberingAfterBreak="0">
    <w:nsid w:val="297A625E"/>
    <w:multiLevelType w:val="multilevel"/>
    <w:tmpl w:val="4412DE6C"/>
    <w:name w:val="AGSDash"/>
    <w:lvl w:ilvl="0">
      <w:start w:val="1"/>
      <w:numFmt w:val="none"/>
      <w:lvlRestart w:val="0"/>
      <w:pStyle w:val="TableIndentHanging"/>
      <w:suff w:val="nothing"/>
      <w:lvlText w:val=""/>
      <w:lvlJc w:val="left"/>
      <w:pPr>
        <w:tabs>
          <w:tab w:val="num" w:pos="567"/>
        </w:tabs>
        <w:ind w:left="567" w:hanging="284"/>
      </w:pPr>
      <w:rPr>
        <w:rFonts w:cs="Times New Roman"/>
      </w:rPr>
    </w:lvl>
    <w:lvl w:ilvl="1">
      <w:start w:val="1"/>
      <w:numFmt w:val="none"/>
      <w:lvlRestart w:val="0"/>
      <w:pStyle w:val="TableIndentHanging1"/>
      <w:suff w:val="nothing"/>
      <w:lvlText w:val=""/>
      <w:lvlJc w:val="left"/>
      <w:pPr>
        <w:tabs>
          <w:tab w:val="num" w:pos="567"/>
        </w:tabs>
        <w:ind w:left="567" w:hanging="284"/>
      </w:pPr>
      <w:rPr>
        <w:rFonts w:cs="Times New Roman"/>
      </w:rPr>
    </w:lvl>
    <w:lvl w:ilvl="2">
      <w:start w:val="1"/>
      <w:numFmt w:val="none"/>
      <w:lvlRestart w:val="0"/>
      <w:pStyle w:val="TableIndentHanging2"/>
      <w:suff w:val="nothing"/>
      <w:lvlText w:val=""/>
      <w:lvlJc w:val="left"/>
      <w:pPr>
        <w:tabs>
          <w:tab w:val="num" w:pos="850"/>
        </w:tabs>
        <w:ind w:left="850" w:hanging="283"/>
      </w:pPr>
      <w:rPr>
        <w:rFonts w:cs="Times New Roman"/>
      </w:rPr>
    </w:lvl>
    <w:lvl w:ilvl="3">
      <w:start w:val="1"/>
      <w:numFmt w:val="none"/>
      <w:lvlRestart w:val="0"/>
      <w:pStyle w:val="TableIndentHanging3"/>
      <w:suff w:val="nothing"/>
      <w:lvlText w:val=""/>
      <w:lvlJc w:val="left"/>
      <w:pPr>
        <w:tabs>
          <w:tab w:val="num" w:pos="1134"/>
        </w:tabs>
        <w:ind w:left="1134" w:hanging="284"/>
      </w:pPr>
      <w:rPr>
        <w:rFonts w:cs="Times New Roman"/>
      </w:rPr>
    </w:lvl>
    <w:lvl w:ilvl="4">
      <w:start w:val="1"/>
      <w:numFmt w:val="none"/>
      <w:lvlRestart w:val="0"/>
      <w:pStyle w:val="TableIndentHanging4"/>
      <w:suff w:val="nothing"/>
      <w:lvlText w:val=""/>
      <w:lvlJc w:val="left"/>
      <w:pPr>
        <w:tabs>
          <w:tab w:val="num" w:pos="1417"/>
        </w:tabs>
        <w:ind w:left="1417" w:hanging="283"/>
      </w:pPr>
      <w:rPr>
        <w:rFonts w:cs="Times New Roman"/>
      </w:rPr>
    </w:lvl>
    <w:lvl w:ilvl="5">
      <w:start w:val="1"/>
      <w:numFmt w:val="none"/>
      <w:lvlRestart w:val="0"/>
      <w:pStyle w:val="TableIndentHanging5"/>
      <w:suff w:val="nothing"/>
      <w:lvlText w:val=""/>
      <w:lvlJc w:val="left"/>
      <w:pPr>
        <w:tabs>
          <w:tab w:val="num" w:pos="1701"/>
        </w:tabs>
        <w:ind w:left="1701" w:hanging="284"/>
      </w:pPr>
      <w:rPr>
        <w:rFonts w:cs="Times New Roman"/>
      </w:rPr>
    </w:lvl>
    <w:lvl w:ilvl="6">
      <w:start w:val="1"/>
      <w:numFmt w:val="none"/>
      <w:lvlRestart w:val="0"/>
      <w:pStyle w:val="TableIndentHanging6"/>
      <w:suff w:val="nothing"/>
      <w:lvlText w:val=""/>
      <w:lvlJc w:val="left"/>
      <w:pPr>
        <w:tabs>
          <w:tab w:val="num" w:pos="1984"/>
        </w:tabs>
        <w:ind w:left="1984" w:hanging="283"/>
      </w:pPr>
      <w:rPr>
        <w:rFonts w:cs="Times New Roman"/>
      </w:rPr>
    </w:lvl>
    <w:lvl w:ilvl="7">
      <w:start w:val="1"/>
      <w:numFmt w:val="none"/>
      <w:lvlRestart w:val="0"/>
      <w:pStyle w:val="TableIndentHanging7"/>
      <w:suff w:val="nothing"/>
      <w:lvlText w:val=""/>
      <w:lvlJc w:val="left"/>
      <w:pPr>
        <w:tabs>
          <w:tab w:val="num" w:pos="2268"/>
        </w:tabs>
        <w:ind w:left="2268" w:hanging="284"/>
      </w:pPr>
      <w:rPr>
        <w:rFonts w:cs="Times New Roman"/>
      </w:rPr>
    </w:lvl>
    <w:lvl w:ilvl="8">
      <w:start w:val="1"/>
      <w:numFmt w:val="none"/>
      <w:lvlRestart w:val="0"/>
      <w:pStyle w:val="TableIndentHanging8"/>
      <w:suff w:val="nothing"/>
      <w:lvlText w:val=""/>
      <w:lvlJc w:val="left"/>
      <w:pPr>
        <w:tabs>
          <w:tab w:val="num" w:pos="2551"/>
        </w:tabs>
        <w:ind w:left="2551" w:hanging="283"/>
      </w:pPr>
      <w:rPr>
        <w:rFonts w:cs="Times New Roman"/>
      </w:rPr>
    </w:lvl>
  </w:abstractNum>
  <w:abstractNum w:abstractNumId="25" w15:restartNumberingAfterBreak="0">
    <w:nsid w:val="29DA542A"/>
    <w:multiLevelType w:val="hybridMultilevel"/>
    <w:tmpl w:val="08261EBE"/>
    <w:lvl w:ilvl="0" w:tplc="167253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BC96887"/>
    <w:multiLevelType w:val="hybridMultilevel"/>
    <w:tmpl w:val="AB3810E4"/>
    <w:lvl w:ilvl="0" w:tplc="821AB33A">
      <w:start w:val="1"/>
      <w:numFmt w:val="decimal"/>
      <w:lvlText w:val="%1."/>
      <w:lvlJc w:val="left"/>
      <w:pPr>
        <w:ind w:left="860" w:hanging="361"/>
      </w:pPr>
      <w:rPr>
        <w:rFonts w:ascii="Calibri" w:eastAsia="Arial Narrow" w:hAnsi="Calibri" w:cs="Calibri" w:hint="default"/>
        <w:spacing w:val="-24"/>
        <w:w w:val="99"/>
        <w:sz w:val="23"/>
        <w:szCs w:val="23"/>
        <w:lang w:val="en-AU" w:eastAsia="en-AU" w:bidi="en-AU"/>
      </w:rPr>
    </w:lvl>
    <w:lvl w:ilvl="1" w:tplc="9168B018">
      <w:numFmt w:val="bullet"/>
      <w:lvlText w:val="•"/>
      <w:lvlJc w:val="left"/>
      <w:pPr>
        <w:ind w:left="1732" w:hanging="361"/>
      </w:pPr>
      <w:rPr>
        <w:rFonts w:hint="default"/>
        <w:lang w:val="en-AU" w:eastAsia="en-AU" w:bidi="en-AU"/>
      </w:rPr>
    </w:lvl>
    <w:lvl w:ilvl="2" w:tplc="1C541756">
      <w:numFmt w:val="bullet"/>
      <w:lvlText w:val="•"/>
      <w:lvlJc w:val="left"/>
      <w:pPr>
        <w:ind w:left="2604" w:hanging="361"/>
      </w:pPr>
      <w:rPr>
        <w:rFonts w:hint="default"/>
        <w:lang w:val="en-AU" w:eastAsia="en-AU" w:bidi="en-AU"/>
      </w:rPr>
    </w:lvl>
    <w:lvl w:ilvl="3" w:tplc="A30C9568">
      <w:numFmt w:val="bullet"/>
      <w:lvlText w:val="•"/>
      <w:lvlJc w:val="left"/>
      <w:pPr>
        <w:ind w:left="3476" w:hanging="361"/>
      </w:pPr>
      <w:rPr>
        <w:rFonts w:hint="default"/>
        <w:lang w:val="en-AU" w:eastAsia="en-AU" w:bidi="en-AU"/>
      </w:rPr>
    </w:lvl>
    <w:lvl w:ilvl="4" w:tplc="59C67DF2">
      <w:numFmt w:val="bullet"/>
      <w:lvlText w:val="•"/>
      <w:lvlJc w:val="left"/>
      <w:pPr>
        <w:ind w:left="4348" w:hanging="361"/>
      </w:pPr>
      <w:rPr>
        <w:rFonts w:hint="default"/>
        <w:lang w:val="en-AU" w:eastAsia="en-AU" w:bidi="en-AU"/>
      </w:rPr>
    </w:lvl>
    <w:lvl w:ilvl="5" w:tplc="1A3E06A6">
      <w:numFmt w:val="bullet"/>
      <w:lvlText w:val="•"/>
      <w:lvlJc w:val="left"/>
      <w:pPr>
        <w:ind w:left="5220" w:hanging="361"/>
      </w:pPr>
      <w:rPr>
        <w:rFonts w:hint="default"/>
        <w:lang w:val="en-AU" w:eastAsia="en-AU" w:bidi="en-AU"/>
      </w:rPr>
    </w:lvl>
    <w:lvl w:ilvl="6" w:tplc="68F606C6">
      <w:numFmt w:val="bullet"/>
      <w:lvlText w:val="•"/>
      <w:lvlJc w:val="left"/>
      <w:pPr>
        <w:ind w:left="6092" w:hanging="361"/>
      </w:pPr>
      <w:rPr>
        <w:rFonts w:hint="default"/>
        <w:lang w:val="en-AU" w:eastAsia="en-AU" w:bidi="en-AU"/>
      </w:rPr>
    </w:lvl>
    <w:lvl w:ilvl="7" w:tplc="4FD4C716">
      <w:numFmt w:val="bullet"/>
      <w:lvlText w:val="•"/>
      <w:lvlJc w:val="left"/>
      <w:pPr>
        <w:ind w:left="6964" w:hanging="361"/>
      </w:pPr>
      <w:rPr>
        <w:rFonts w:hint="default"/>
        <w:lang w:val="en-AU" w:eastAsia="en-AU" w:bidi="en-AU"/>
      </w:rPr>
    </w:lvl>
    <w:lvl w:ilvl="8" w:tplc="1F707028">
      <w:numFmt w:val="bullet"/>
      <w:lvlText w:val="•"/>
      <w:lvlJc w:val="left"/>
      <w:pPr>
        <w:ind w:left="7836" w:hanging="361"/>
      </w:pPr>
      <w:rPr>
        <w:rFonts w:hint="default"/>
        <w:lang w:val="en-AU" w:eastAsia="en-AU" w:bidi="en-AU"/>
      </w:rPr>
    </w:lvl>
  </w:abstractNum>
  <w:abstractNum w:abstractNumId="27" w15:restartNumberingAfterBreak="0">
    <w:nsid w:val="33A9064B"/>
    <w:multiLevelType w:val="hybridMultilevel"/>
    <w:tmpl w:val="191C85FA"/>
    <w:lvl w:ilvl="0" w:tplc="167253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6B45B1B"/>
    <w:multiLevelType w:val="hybridMultilevel"/>
    <w:tmpl w:val="B1E29C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7EB6F39"/>
    <w:multiLevelType w:val="hybridMultilevel"/>
    <w:tmpl w:val="A330FD78"/>
    <w:lvl w:ilvl="0" w:tplc="0C09001B">
      <w:start w:val="1"/>
      <w:numFmt w:val="lowerRoman"/>
      <w:lvlText w:val="%1."/>
      <w:lvlJc w:val="righ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8EC66D1"/>
    <w:multiLevelType w:val="multilevel"/>
    <w:tmpl w:val="486CE5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3B626D72"/>
    <w:multiLevelType w:val="hybridMultilevel"/>
    <w:tmpl w:val="DA36F5A8"/>
    <w:lvl w:ilvl="0" w:tplc="0C090015">
      <w:start w:val="1"/>
      <w:numFmt w:val="upp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3C001621"/>
    <w:multiLevelType w:val="hybridMultilevel"/>
    <w:tmpl w:val="6BD06960"/>
    <w:lvl w:ilvl="0" w:tplc="040C800C">
      <w:start w:val="1"/>
      <w:numFmt w:val="decimal"/>
      <w:lvlText w:val="%1."/>
      <w:lvlJc w:val="left"/>
      <w:pPr>
        <w:ind w:left="360" w:hanging="360"/>
      </w:pPr>
      <w:rPr>
        <w:rFonts w:ascii="Calibri" w:hAnsi="Calibri" w:cs="Calibri" w:hint="default"/>
        <w:b w:val="0"/>
        <w:i w:val="0"/>
        <w:color w:val="auto"/>
        <w:sz w:val="23"/>
        <w:szCs w:val="23"/>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3D302CDD"/>
    <w:multiLevelType w:val="hybridMultilevel"/>
    <w:tmpl w:val="8B7CBB5E"/>
    <w:lvl w:ilvl="0" w:tplc="8BC44F00">
      <w:start w:val="1"/>
      <w:numFmt w:val="bullet"/>
      <w:lvlText w:val=""/>
      <w:lvlJc w:val="left"/>
      <w:pPr>
        <w:tabs>
          <w:tab w:val="num" w:pos="927"/>
        </w:tabs>
        <w:ind w:left="927" w:hanging="567"/>
      </w:pPr>
      <w:rPr>
        <w:rFonts w:ascii="Symbol" w:hAnsi="Symbol" w:hint="default"/>
      </w:rPr>
    </w:lvl>
    <w:lvl w:ilvl="1" w:tplc="27928E1E">
      <w:start w:val="1"/>
      <w:numFmt w:val="decimal"/>
      <w:lvlText w:val="%2."/>
      <w:lvlJc w:val="left"/>
      <w:pPr>
        <w:tabs>
          <w:tab w:val="num" w:pos="425"/>
        </w:tabs>
        <w:ind w:left="425" w:hanging="425"/>
      </w:pPr>
      <w:rPr>
        <w:rFonts w:ascii="Arial" w:hAnsi="Arial"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D9C0254E">
      <w:start w:val="1"/>
      <w:numFmt w:val="bullet"/>
      <w:lvlText w:val=""/>
      <w:lvlJc w:val="left"/>
      <w:pPr>
        <w:tabs>
          <w:tab w:val="num" w:pos="2160"/>
        </w:tabs>
        <w:ind w:left="1810" w:hanging="1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EB158DA"/>
    <w:multiLevelType w:val="multilevel"/>
    <w:tmpl w:val="0C09001F"/>
    <w:lvl w:ilvl="0">
      <w:start w:val="1"/>
      <w:numFmt w:val="decimal"/>
      <w:lvlText w:val="%1."/>
      <w:lvlJc w:val="left"/>
      <w:pPr>
        <w:ind w:left="717" w:hanging="360"/>
      </w:pPr>
      <w:rPr>
        <w:rFonts w:hint="default"/>
      </w:rPr>
    </w:lvl>
    <w:lvl w:ilvl="1">
      <w:start w:val="1"/>
      <w:numFmt w:val="decimal"/>
      <w:lvlText w:val="%1.%2."/>
      <w:lvlJc w:val="left"/>
      <w:pPr>
        <w:ind w:left="1149" w:hanging="432"/>
      </w:pPr>
      <w:rPr>
        <w:rFonts w:hint="default"/>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35" w15:restartNumberingAfterBreak="0">
    <w:nsid w:val="427E1B53"/>
    <w:multiLevelType w:val="hybridMultilevel"/>
    <w:tmpl w:val="0A1AECB2"/>
    <w:lvl w:ilvl="0" w:tplc="040C800C">
      <w:start w:val="1"/>
      <w:numFmt w:val="decimal"/>
      <w:lvlText w:val="%1."/>
      <w:lvlJc w:val="left"/>
      <w:pPr>
        <w:ind w:left="360" w:hanging="360"/>
      </w:pPr>
      <w:rPr>
        <w:rFonts w:ascii="Calibri" w:hAnsi="Calibri" w:cs="Calibri" w:hint="default"/>
        <w:b w:val="0"/>
        <w:i w:val="0"/>
        <w:color w:val="auto"/>
        <w:sz w:val="23"/>
        <w:szCs w:val="23"/>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46113758"/>
    <w:multiLevelType w:val="hybridMultilevel"/>
    <w:tmpl w:val="E1982B1A"/>
    <w:lvl w:ilvl="0" w:tplc="7B2816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67958A1"/>
    <w:multiLevelType w:val="multilevel"/>
    <w:tmpl w:val="9DD09E4C"/>
    <w:lvl w:ilvl="0">
      <w:start w:val="1"/>
      <w:numFmt w:val="upperLetter"/>
      <w:pStyle w:val="ScheduleStartNnumber"/>
      <w:suff w:val="nothing"/>
      <w:lvlText w:val="%1"/>
      <w:lvlJc w:val="left"/>
      <w:pPr>
        <w:ind w:left="0" w:firstLine="0"/>
      </w:pPr>
      <w:rPr>
        <w:rFonts w:cs="Times New Roman" w:hint="default"/>
        <w:color w:val="FFFFFF"/>
        <w:sz w:val="8"/>
        <w:szCs w:val="8"/>
      </w:rPr>
    </w:lvl>
    <w:lvl w:ilvl="1">
      <w:start w:val="1"/>
      <w:numFmt w:val="decimal"/>
      <w:pStyle w:val="ScheduleNumberedPara"/>
      <w:lvlText w:val="%1%2"/>
      <w:lvlJc w:val="left"/>
      <w:pPr>
        <w:tabs>
          <w:tab w:val="num" w:pos="567"/>
        </w:tabs>
        <w:ind w:left="567" w:hanging="567"/>
      </w:pPr>
      <w:rPr>
        <w:rFonts w:cs="Times New Roman" w:hint="default"/>
      </w:rPr>
    </w:lvl>
    <w:lvl w:ilvl="2">
      <w:start w:val="1"/>
      <w:numFmt w:val="lowerLetter"/>
      <w:lvlText w:val="%3)"/>
      <w:lvlJc w:val="left"/>
      <w:pPr>
        <w:tabs>
          <w:tab w:val="num" w:pos="747"/>
        </w:tabs>
        <w:ind w:left="747" w:hanging="180"/>
      </w:pPr>
      <w:rPr>
        <w:rFonts w:hint="default"/>
      </w:rPr>
    </w:lvl>
    <w:lvl w:ilvl="3">
      <w:start w:val="1"/>
      <w:numFmt w:val="decimal"/>
      <w:lvlText w:val="%4."/>
      <w:lvlJc w:val="left"/>
      <w:pPr>
        <w:tabs>
          <w:tab w:val="num" w:pos="2313"/>
        </w:tabs>
        <w:ind w:left="2313" w:hanging="360"/>
      </w:pPr>
      <w:rPr>
        <w:rFonts w:cs="Times New Roman" w:hint="default"/>
      </w:rPr>
    </w:lvl>
    <w:lvl w:ilvl="4">
      <w:start w:val="1"/>
      <w:numFmt w:val="lowerLetter"/>
      <w:lvlText w:val="%5."/>
      <w:lvlJc w:val="left"/>
      <w:pPr>
        <w:tabs>
          <w:tab w:val="num" w:pos="3033"/>
        </w:tabs>
        <w:ind w:left="3033" w:hanging="360"/>
      </w:pPr>
      <w:rPr>
        <w:rFonts w:cs="Times New Roman" w:hint="default"/>
      </w:rPr>
    </w:lvl>
    <w:lvl w:ilvl="5">
      <w:start w:val="1"/>
      <w:numFmt w:val="lowerRoman"/>
      <w:lvlText w:val="%6."/>
      <w:lvlJc w:val="right"/>
      <w:pPr>
        <w:tabs>
          <w:tab w:val="num" w:pos="3753"/>
        </w:tabs>
        <w:ind w:left="3753" w:hanging="180"/>
      </w:pPr>
      <w:rPr>
        <w:rFonts w:cs="Times New Roman" w:hint="default"/>
      </w:rPr>
    </w:lvl>
    <w:lvl w:ilvl="6">
      <w:start w:val="1"/>
      <w:numFmt w:val="decimal"/>
      <w:lvlText w:val="%7."/>
      <w:lvlJc w:val="left"/>
      <w:pPr>
        <w:tabs>
          <w:tab w:val="num" w:pos="4473"/>
        </w:tabs>
        <w:ind w:left="4473" w:hanging="360"/>
      </w:pPr>
      <w:rPr>
        <w:rFonts w:cs="Times New Roman" w:hint="default"/>
      </w:rPr>
    </w:lvl>
    <w:lvl w:ilvl="7">
      <w:start w:val="1"/>
      <w:numFmt w:val="lowerLetter"/>
      <w:lvlText w:val="%8."/>
      <w:lvlJc w:val="left"/>
      <w:pPr>
        <w:tabs>
          <w:tab w:val="num" w:pos="5193"/>
        </w:tabs>
        <w:ind w:left="5193" w:hanging="360"/>
      </w:pPr>
      <w:rPr>
        <w:rFonts w:cs="Times New Roman" w:hint="default"/>
      </w:rPr>
    </w:lvl>
    <w:lvl w:ilvl="8">
      <w:start w:val="1"/>
      <w:numFmt w:val="lowerRoman"/>
      <w:lvlText w:val="%9."/>
      <w:lvlJc w:val="right"/>
      <w:pPr>
        <w:tabs>
          <w:tab w:val="num" w:pos="5913"/>
        </w:tabs>
        <w:ind w:left="5913" w:hanging="180"/>
      </w:pPr>
      <w:rPr>
        <w:rFonts w:cs="Times New Roman" w:hint="default"/>
      </w:rPr>
    </w:lvl>
  </w:abstractNum>
  <w:abstractNum w:abstractNumId="38" w15:restartNumberingAfterBreak="0">
    <w:nsid w:val="497A047C"/>
    <w:multiLevelType w:val="hybridMultilevel"/>
    <w:tmpl w:val="677EC97C"/>
    <w:lvl w:ilvl="0" w:tplc="1550E55C">
      <w:start w:val="1"/>
      <w:numFmt w:val="decimal"/>
      <w:lvlText w:val="%1."/>
      <w:lvlJc w:val="left"/>
      <w:pPr>
        <w:ind w:left="360" w:hanging="360"/>
      </w:pPr>
      <w:rPr>
        <w:rFonts w:ascii="Arial Narrow" w:hAnsi="Arial Narrow" w:cs="Calibri" w:hint="default"/>
        <w:b w:val="0"/>
        <w:i w:val="0"/>
        <w:color w:val="auto"/>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A0139E3"/>
    <w:multiLevelType w:val="hybridMultilevel"/>
    <w:tmpl w:val="BE6CE3F8"/>
    <w:lvl w:ilvl="0" w:tplc="3662BE7C">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CE06931"/>
    <w:multiLevelType w:val="singleLevel"/>
    <w:tmpl w:val="4366EF18"/>
    <w:lvl w:ilvl="0">
      <w:start w:val="1"/>
      <w:numFmt w:val="lowerLetter"/>
      <w:lvlRestart w:val="0"/>
      <w:pStyle w:val="ChartandTableFootnoteAlpha"/>
      <w:lvlText w:val="(%1)"/>
      <w:lvlJc w:val="left"/>
      <w:pPr>
        <w:tabs>
          <w:tab w:val="num" w:pos="283"/>
        </w:tabs>
        <w:ind w:left="283" w:hanging="283"/>
      </w:pPr>
      <w:rPr>
        <w:rFonts w:ascii="Arial" w:hAnsi="Arial" w:cs="Arial" w:hint="default"/>
        <w:b w:val="0"/>
        <w:bCs w:val="0"/>
        <w:i w:val="0"/>
        <w:iCs w:val="0"/>
        <w:sz w:val="16"/>
        <w:szCs w:val="16"/>
      </w:rPr>
    </w:lvl>
  </w:abstractNum>
  <w:abstractNum w:abstractNumId="41" w15:restartNumberingAfterBreak="0">
    <w:nsid w:val="4D2246E7"/>
    <w:multiLevelType w:val="hybridMultilevel"/>
    <w:tmpl w:val="C12C673C"/>
    <w:lvl w:ilvl="0" w:tplc="00C868DE">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0383F45"/>
    <w:multiLevelType w:val="hybridMultilevel"/>
    <w:tmpl w:val="8E306718"/>
    <w:lvl w:ilvl="0" w:tplc="0C090019">
      <w:start w:val="1"/>
      <w:numFmt w:val="lowerLetter"/>
      <w:lvlText w:val="%1."/>
      <w:lvlJc w:val="left"/>
      <w:pPr>
        <w:ind w:left="1080" w:hanging="360"/>
      </w:pPr>
    </w:lvl>
    <w:lvl w:ilvl="1" w:tplc="0C09001B">
      <w:start w:val="1"/>
      <w:numFmt w:val="lowerRoman"/>
      <w:lvlText w:val="%2."/>
      <w:lvlJc w:val="right"/>
      <w:pPr>
        <w:ind w:left="1800" w:hanging="360"/>
      </w:pPr>
    </w:lvl>
    <w:lvl w:ilvl="2" w:tplc="DA3EFDF2">
      <w:start w:val="1"/>
      <w:numFmt w:val="decimal"/>
      <w:lvlText w:val="%3."/>
      <w:lvlJc w:val="left"/>
      <w:pPr>
        <w:ind w:left="2700" w:hanging="360"/>
      </w:pPr>
      <w:rPr>
        <w:rFonts w:hint="default"/>
        <w:color w:val="FFFFFF" w:themeColor="background1"/>
      </w:rPr>
    </w:lvl>
    <w:lvl w:ilvl="3" w:tplc="EB3C1B3E">
      <w:start w:val="1"/>
      <w:numFmt w:val="decimal"/>
      <w:lvlText w:val="%4-"/>
      <w:lvlJc w:val="left"/>
      <w:pPr>
        <w:ind w:left="3240" w:hanging="360"/>
      </w:pPr>
      <w:rPr>
        <w:rFonts w:hint="default"/>
      </w:rPr>
    </w:lvl>
    <w:lvl w:ilvl="4" w:tplc="861094B4">
      <w:start w:val="1"/>
      <w:numFmt w:val="lowerLetter"/>
      <w:lvlText w:val="%5)"/>
      <w:lvlJc w:val="left"/>
      <w:pPr>
        <w:ind w:left="3960" w:hanging="360"/>
      </w:pPr>
      <w:rPr>
        <w:rFonts w:hint="default"/>
      </w:r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50470ABF"/>
    <w:multiLevelType w:val="hybridMultilevel"/>
    <w:tmpl w:val="BE6CE3F8"/>
    <w:lvl w:ilvl="0" w:tplc="3662BE7C">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5CE0768"/>
    <w:multiLevelType w:val="hybridMultilevel"/>
    <w:tmpl w:val="6E6A77C2"/>
    <w:lvl w:ilvl="0" w:tplc="0C090005">
      <w:start w:val="1"/>
      <w:numFmt w:val="bullet"/>
      <w:pStyle w:val="AgreementParties"/>
      <w:lvlText w:val=""/>
      <w:lvlJc w:val="left"/>
      <w:pPr>
        <w:tabs>
          <w:tab w:val="num" w:pos="567"/>
        </w:tabs>
        <w:ind w:left="567" w:hanging="567"/>
      </w:pPr>
      <w:rPr>
        <w:rFonts w:ascii="Wingdings" w:hAnsi="Wingdings" w:hint="default"/>
        <w:color w:val="000080"/>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rFonts w:cs="Times New Roman"/>
        <w:b w:val="0"/>
        <w:bCs w:val="0"/>
        <w:i w:val="0"/>
        <w:iCs w:val="0"/>
      </w:rPr>
    </w:lvl>
    <w:lvl w:ilvl="4">
      <w:start w:val="1"/>
      <w:numFmt w:val="lowerLetter"/>
      <w:lvlText w:val="(%5)"/>
      <w:lvlJc w:val="left"/>
      <w:pPr>
        <w:tabs>
          <w:tab w:val="num" w:pos="1800"/>
        </w:tabs>
        <w:ind w:left="1800" w:hanging="360"/>
      </w:pPr>
      <w:rPr>
        <w:rFonts w:cs="Times New Roman"/>
        <w:b w:val="0"/>
        <w:bCs w:val="0"/>
        <w:i w:val="0"/>
        <w:iCs w:val="0"/>
      </w:rPr>
    </w:lvl>
    <w:lvl w:ilvl="5">
      <w:start w:val="1"/>
      <w:numFmt w:val="lowerRoman"/>
      <w:lvlText w:val="(%6)"/>
      <w:lvlJc w:val="left"/>
      <w:pPr>
        <w:tabs>
          <w:tab w:val="num" w:pos="2160"/>
        </w:tabs>
        <w:ind w:left="2160" w:hanging="360"/>
      </w:pPr>
      <w:rPr>
        <w:rFonts w:cs="Times New Roman"/>
        <w:b w:val="0"/>
        <w:bCs w:val="0"/>
        <w:i w:val="0"/>
        <w:iCs w:val="0"/>
      </w:rPr>
    </w:lvl>
    <w:lvl w:ilvl="6">
      <w:start w:val="1"/>
      <w:numFmt w:val="decimal"/>
      <w:lvlText w:val="%7."/>
      <w:lvlJc w:val="left"/>
      <w:pPr>
        <w:tabs>
          <w:tab w:val="num" w:pos="2520"/>
        </w:tabs>
        <w:ind w:left="2520" w:hanging="360"/>
      </w:pPr>
      <w:rPr>
        <w:rFonts w:cs="Times New Roman"/>
        <w:b w:val="0"/>
        <w:bCs w:val="0"/>
        <w:i w:val="0"/>
        <w:iCs w:val="0"/>
      </w:rPr>
    </w:lvl>
    <w:lvl w:ilvl="7">
      <w:start w:val="1"/>
      <w:numFmt w:val="lowerLetter"/>
      <w:lvlText w:val="%8."/>
      <w:lvlJc w:val="left"/>
      <w:pPr>
        <w:tabs>
          <w:tab w:val="num" w:pos="2880"/>
        </w:tabs>
        <w:ind w:left="2880" w:hanging="360"/>
      </w:pPr>
      <w:rPr>
        <w:rFonts w:cs="Times New Roman"/>
        <w:b w:val="0"/>
        <w:bCs w:val="0"/>
        <w:i w:val="0"/>
        <w:iCs w:val="0"/>
      </w:rPr>
    </w:lvl>
    <w:lvl w:ilvl="8">
      <w:start w:val="1"/>
      <w:numFmt w:val="lowerRoman"/>
      <w:lvlText w:val="%9."/>
      <w:lvlJc w:val="left"/>
      <w:pPr>
        <w:tabs>
          <w:tab w:val="num" w:pos="3240"/>
        </w:tabs>
        <w:ind w:left="3240" w:hanging="360"/>
      </w:pPr>
      <w:rPr>
        <w:rFonts w:cs="Times New Roman"/>
        <w:b w:val="0"/>
        <w:bCs w:val="0"/>
        <w:i w:val="0"/>
        <w:iCs w:val="0"/>
      </w:rPr>
    </w:lvl>
  </w:abstractNum>
  <w:abstractNum w:abstractNumId="46" w15:restartNumberingAfterBreak="0">
    <w:nsid w:val="586C69D3"/>
    <w:multiLevelType w:val="hybridMultilevel"/>
    <w:tmpl w:val="B2A4D8B4"/>
    <w:lvl w:ilvl="0" w:tplc="4022E312">
      <w:start w:val="13"/>
      <w:numFmt w:val="decimal"/>
      <w:lvlText w:val="%1."/>
      <w:lvlJc w:val="left"/>
      <w:pPr>
        <w:ind w:left="360" w:hanging="360"/>
      </w:pPr>
      <w:rPr>
        <w:rFonts w:ascii="Calibri" w:hAnsi="Calibri" w:cs="Calibri" w:hint="default"/>
        <w:b w:val="0"/>
        <w:i w:val="0"/>
        <w:color w:val="auto"/>
        <w:sz w:val="23"/>
        <w:szCs w:val="23"/>
      </w:rPr>
    </w:lvl>
    <w:lvl w:ilvl="1" w:tplc="3662BE7C">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94D2549"/>
    <w:multiLevelType w:val="hybridMultilevel"/>
    <w:tmpl w:val="375C2F76"/>
    <w:lvl w:ilvl="0" w:tplc="025CF3A2">
      <w:start w:val="1"/>
      <w:numFmt w:val="lowerRoman"/>
      <w:lvlText w:val="%1."/>
      <w:lvlJc w:val="righ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980598B"/>
    <w:multiLevelType w:val="multilevel"/>
    <w:tmpl w:val="FE349D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5D7F1A0D"/>
    <w:multiLevelType w:val="hybridMultilevel"/>
    <w:tmpl w:val="47E6A4B4"/>
    <w:lvl w:ilvl="0" w:tplc="4022E312">
      <w:start w:val="13"/>
      <w:numFmt w:val="decimal"/>
      <w:lvlText w:val="%1."/>
      <w:lvlJc w:val="left"/>
      <w:pPr>
        <w:ind w:left="360" w:hanging="360"/>
      </w:pPr>
      <w:rPr>
        <w:rFonts w:ascii="Calibri" w:hAnsi="Calibri" w:cs="Calibri" w:hint="default"/>
        <w:b w:val="0"/>
        <w:i w:val="0"/>
        <w:color w:val="auto"/>
        <w:sz w:val="23"/>
        <w:szCs w:val="23"/>
      </w:rPr>
    </w:lvl>
    <w:lvl w:ilvl="1" w:tplc="0C09001B">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E0A6F8D"/>
    <w:multiLevelType w:val="multilevel"/>
    <w:tmpl w:val="51941ED6"/>
    <w:lvl w:ilvl="0">
      <w:start w:val="1"/>
      <w:numFmt w:val="bullet"/>
      <w:lvlRestart w:val="0"/>
      <w:pStyle w:val="RecommendationBullet"/>
      <w:lvlText w:val="•"/>
      <w:lvlJc w:val="left"/>
      <w:pPr>
        <w:tabs>
          <w:tab w:val="num" w:pos="283"/>
        </w:tabs>
        <w:ind w:left="283" w:hanging="283"/>
      </w:pPr>
      <w:rPr>
        <w:b w:val="0"/>
        <w:i w:val="0"/>
      </w:rPr>
    </w:lvl>
    <w:lvl w:ilvl="1">
      <w:start w:val="1"/>
      <w:numFmt w:val="bullet"/>
      <w:pStyle w:val="RecommendationDash"/>
      <w:lvlText w:val="–"/>
      <w:lvlJc w:val="left"/>
      <w:pPr>
        <w:tabs>
          <w:tab w:val="num" w:pos="567"/>
        </w:tabs>
        <w:ind w:left="567" w:hanging="284"/>
      </w:pPr>
      <w:rPr>
        <w:b w:val="0"/>
        <w:i w:val="0"/>
      </w:rPr>
    </w:lvl>
    <w:lvl w:ilvl="2">
      <w:start w:val="1"/>
      <w:numFmt w:val="bullet"/>
      <w:pStyle w:val="Recommendation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rFonts w:cs="Times New Roman"/>
        <w:b w:val="0"/>
        <w:bCs w:val="0"/>
        <w:i w:val="0"/>
        <w:iCs w:val="0"/>
      </w:rPr>
    </w:lvl>
    <w:lvl w:ilvl="4">
      <w:start w:val="1"/>
      <w:numFmt w:val="lowerLetter"/>
      <w:lvlText w:val="(%5)"/>
      <w:lvlJc w:val="left"/>
      <w:pPr>
        <w:tabs>
          <w:tab w:val="num" w:pos="1800"/>
        </w:tabs>
        <w:ind w:left="1800" w:hanging="360"/>
      </w:pPr>
      <w:rPr>
        <w:rFonts w:cs="Times New Roman"/>
        <w:b w:val="0"/>
        <w:bCs w:val="0"/>
        <w:i w:val="0"/>
        <w:iCs w:val="0"/>
      </w:rPr>
    </w:lvl>
    <w:lvl w:ilvl="5">
      <w:start w:val="1"/>
      <w:numFmt w:val="lowerRoman"/>
      <w:lvlText w:val="(%6)"/>
      <w:lvlJc w:val="left"/>
      <w:pPr>
        <w:tabs>
          <w:tab w:val="num" w:pos="2160"/>
        </w:tabs>
        <w:ind w:left="2160" w:hanging="360"/>
      </w:pPr>
      <w:rPr>
        <w:rFonts w:cs="Times New Roman"/>
        <w:b w:val="0"/>
        <w:bCs w:val="0"/>
        <w:i w:val="0"/>
        <w:iCs w:val="0"/>
      </w:rPr>
    </w:lvl>
    <w:lvl w:ilvl="6">
      <w:start w:val="1"/>
      <w:numFmt w:val="decimal"/>
      <w:lvlText w:val="%7."/>
      <w:lvlJc w:val="left"/>
      <w:pPr>
        <w:tabs>
          <w:tab w:val="num" w:pos="2520"/>
        </w:tabs>
        <w:ind w:left="2520" w:hanging="360"/>
      </w:pPr>
      <w:rPr>
        <w:rFonts w:cs="Times New Roman"/>
        <w:b w:val="0"/>
        <w:bCs w:val="0"/>
        <w:i w:val="0"/>
        <w:iCs w:val="0"/>
      </w:rPr>
    </w:lvl>
    <w:lvl w:ilvl="7">
      <w:start w:val="1"/>
      <w:numFmt w:val="lowerLetter"/>
      <w:lvlText w:val="%8."/>
      <w:lvlJc w:val="left"/>
      <w:pPr>
        <w:tabs>
          <w:tab w:val="num" w:pos="2880"/>
        </w:tabs>
        <w:ind w:left="2880" w:hanging="360"/>
      </w:pPr>
      <w:rPr>
        <w:rFonts w:cs="Times New Roman"/>
        <w:b w:val="0"/>
        <w:bCs w:val="0"/>
        <w:i w:val="0"/>
        <w:iCs w:val="0"/>
      </w:rPr>
    </w:lvl>
    <w:lvl w:ilvl="8">
      <w:start w:val="1"/>
      <w:numFmt w:val="lowerRoman"/>
      <w:lvlText w:val="%9."/>
      <w:lvlJc w:val="left"/>
      <w:pPr>
        <w:tabs>
          <w:tab w:val="num" w:pos="3240"/>
        </w:tabs>
        <w:ind w:left="3240" w:hanging="360"/>
      </w:pPr>
      <w:rPr>
        <w:rFonts w:cs="Times New Roman"/>
        <w:b w:val="0"/>
        <w:bCs w:val="0"/>
        <w:i w:val="0"/>
        <w:iCs w:val="0"/>
      </w:rPr>
    </w:lvl>
  </w:abstractNum>
  <w:abstractNum w:abstractNumId="51" w15:restartNumberingAfterBreak="0">
    <w:nsid w:val="644D38BA"/>
    <w:multiLevelType w:val="hybridMultilevel"/>
    <w:tmpl w:val="F6860662"/>
    <w:lvl w:ilvl="0" w:tplc="4022E312">
      <w:start w:val="13"/>
      <w:numFmt w:val="decimal"/>
      <w:lvlText w:val="%1."/>
      <w:lvlJc w:val="left"/>
      <w:pPr>
        <w:ind w:left="360" w:hanging="360"/>
      </w:pPr>
      <w:rPr>
        <w:rFonts w:ascii="Calibri" w:hAnsi="Calibri" w:cs="Calibri" w:hint="default"/>
        <w:b w:val="0"/>
        <w:i w:val="0"/>
        <w:color w:val="auto"/>
        <w:sz w:val="23"/>
        <w:szCs w:val="23"/>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5AF44A0"/>
    <w:multiLevelType w:val="hybridMultilevel"/>
    <w:tmpl w:val="C25E0D6E"/>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699C5A5C"/>
    <w:multiLevelType w:val="hybridMultilevel"/>
    <w:tmpl w:val="90F44AB2"/>
    <w:lvl w:ilvl="0" w:tplc="D12C37FA">
      <w:start w:val="1"/>
      <w:numFmt w:val="upp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A896019"/>
    <w:multiLevelType w:val="multilevel"/>
    <w:tmpl w:val="CF881D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6C2067F2"/>
    <w:multiLevelType w:val="hybridMultilevel"/>
    <w:tmpl w:val="D9BC81A6"/>
    <w:lvl w:ilvl="0" w:tplc="7B2816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C886531"/>
    <w:multiLevelType w:val="hybridMultilevel"/>
    <w:tmpl w:val="10B0969E"/>
    <w:lvl w:ilvl="0" w:tplc="AC4A1ACE">
      <w:start w:val="1"/>
      <w:numFmt w:val="lowerLetter"/>
      <w:lvlText w:val="%1."/>
      <w:lvlJc w:val="left"/>
      <w:pPr>
        <w:ind w:left="1080" w:hanging="360"/>
      </w:pPr>
      <w:rPr>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6D7A39BC"/>
    <w:multiLevelType w:val="multilevel"/>
    <w:tmpl w:val="30C44E50"/>
    <w:lvl w:ilvl="0">
      <w:start w:val="1"/>
      <w:numFmt w:val="none"/>
      <w:lvlText w:val="%1"/>
      <w:lvlJc w:val="left"/>
      <w:pPr>
        <w:tabs>
          <w:tab w:val="num" w:pos="0"/>
        </w:tabs>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lowerRoman"/>
      <w:lvlText w:val="%3."/>
      <w:lvlJc w:val="right"/>
      <w:pPr>
        <w:tabs>
          <w:tab w:val="num" w:pos="1701"/>
        </w:tabs>
        <w:ind w:left="1701" w:hanging="567"/>
      </w:pPr>
      <w:rPr>
        <w:rFonts w:cs="Times New Roman" w:hint="default"/>
      </w:rPr>
    </w:lvl>
    <w:lvl w:ilvl="3">
      <w:start w:val="1"/>
      <w:numFmt w:val="decimal"/>
      <w:lvlText w:val="%4."/>
      <w:lvlJc w:val="left"/>
      <w:pPr>
        <w:tabs>
          <w:tab w:val="num" w:pos="2313"/>
        </w:tabs>
        <w:ind w:left="2313" w:hanging="360"/>
      </w:pPr>
      <w:rPr>
        <w:rFonts w:cs="Times New Roman" w:hint="default"/>
      </w:rPr>
    </w:lvl>
    <w:lvl w:ilvl="4">
      <w:start w:val="1"/>
      <w:numFmt w:val="lowerLetter"/>
      <w:lvlText w:val="%5."/>
      <w:lvlJc w:val="left"/>
      <w:pPr>
        <w:tabs>
          <w:tab w:val="num" w:pos="3033"/>
        </w:tabs>
        <w:ind w:left="3033" w:hanging="360"/>
      </w:pPr>
      <w:rPr>
        <w:rFonts w:cs="Times New Roman" w:hint="default"/>
      </w:rPr>
    </w:lvl>
    <w:lvl w:ilvl="5">
      <w:start w:val="1"/>
      <w:numFmt w:val="lowerRoman"/>
      <w:lvlText w:val="%6."/>
      <w:lvlJc w:val="right"/>
      <w:pPr>
        <w:tabs>
          <w:tab w:val="num" w:pos="3753"/>
        </w:tabs>
        <w:ind w:left="3753" w:hanging="180"/>
      </w:pPr>
      <w:rPr>
        <w:rFonts w:cs="Times New Roman" w:hint="default"/>
      </w:rPr>
    </w:lvl>
    <w:lvl w:ilvl="6">
      <w:start w:val="1"/>
      <w:numFmt w:val="decimal"/>
      <w:lvlText w:val="%7."/>
      <w:lvlJc w:val="left"/>
      <w:pPr>
        <w:tabs>
          <w:tab w:val="num" w:pos="4473"/>
        </w:tabs>
        <w:ind w:left="4473" w:hanging="360"/>
      </w:pPr>
      <w:rPr>
        <w:rFonts w:cs="Times New Roman" w:hint="default"/>
      </w:rPr>
    </w:lvl>
    <w:lvl w:ilvl="7">
      <w:start w:val="1"/>
      <w:numFmt w:val="lowerLetter"/>
      <w:lvlText w:val="%8."/>
      <w:lvlJc w:val="left"/>
      <w:pPr>
        <w:tabs>
          <w:tab w:val="num" w:pos="5193"/>
        </w:tabs>
        <w:ind w:left="5193" w:hanging="360"/>
      </w:pPr>
      <w:rPr>
        <w:rFonts w:cs="Times New Roman" w:hint="default"/>
      </w:rPr>
    </w:lvl>
    <w:lvl w:ilvl="8">
      <w:start w:val="1"/>
      <w:numFmt w:val="upperLetter"/>
      <w:lvlRestart w:val="0"/>
      <w:pStyle w:val="Heading9"/>
      <w:suff w:val="space"/>
      <w:lvlText w:val="Schedule %9"/>
      <w:lvlJc w:val="left"/>
      <w:rPr>
        <w:b w:val="0"/>
        <w:bCs w:val="0"/>
        <w:i w:val="0"/>
        <w:iCs w:val="0"/>
        <w:caps w:val="0"/>
        <w:smallCaps w:val="0"/>
        <w:strike w:val="0"/>
        <w:dstrike w:val="0"/>
        <w:noProof w:val="0"/>
        <w:vanish w:val="0"/>
        <w:color w:val="1F497D"/>
        <w:spacing w:val="0"/>
        <w:kern w:val="0"/>
        <w:position w:val="0"/>
        <w:u w:val="none"/>
        <w:vertAlign w:val="baseline"/>
        <w:em w:val="none"/>
      </w:rPr>
    </w:lvl>
  </w:abstractNum>
  <w:abstractNum w:abstractNumId="58" w15:restartNumberingAfterBreak="0">
    <w:nsid w:val="6FA56608"/>
    <w:multiLevelType w:val="hybridMultilevel"/>
    <w:tmpl w:val="3EFCC7EE"/>
    <w:lvl w:ilvl="0" w:tplc="3AC02084">
      <w:start w:val="1"/>
      <w:numFmt w:val="upp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0512CBB"/>
    <w:multiLevelType w:val="hybridMultilevel"/>
    <w:tmpl w:val="80F24CCC"/>
    <w:lvl w:ilvl="0" w:tplc="0C09001B">
      <w:start w:val="1"/>
      <w:numFmt w:val="lowerRoman"/>
      <w:lvlText w:val="%1."/>
      <w:lvlJc w:val="right"/>
      <w:pPr>
        <w:ind w:left="144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0FC3332"/>
    <w:multiLevelType w:val="hybridMultilevel"/>
    <w:tmpl w:val="6BE22A74"/>
    <w:lvl w:ilvl="0" w:tplc="7B2816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3CA6FD9"/>
    <w:multiLevelType w:val="hybridMultilevel"/>
    <w:tmpl w:val="6BE22A74"/>
    <w:lvl w:ilvl="0" w:tplc="7B2816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5E0651B"/>
    <w:multiLevelType w:val="hybridMultilevel"/>
    <w:tmpl w:val="36326F1C"/>
    <w:lvl w:ilvl="0" w:tplc="4022E312">
      <w:start w:val="13"/>
      <w:numFmt w:val="decimal"/>
      <w:lvlText w:val="%1."/>
      <w:lvlJc w:val="left"/>
      <w:pPr>
        <w:ind w:left="360" w:hanging="360"/>
      </w:pPr>
      <w:rPr>
        <w:rFonts w:ascii="Calibri" w:hAnsi="Calibri" w:cs="Calibri" w:hint="default"/>
        <w:b w:val="0"/>
        <w:i w:val="0"/>
        <w:color w:val="auto"/>
        <w:sz w:val="23"/>
        <w:szCs w:val="23"/>
      </w:rPr>
    </w:lvl>
    <w:lvl w:ilvl="1" w:tplc="0C09001B">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66A100C"/>
    <w:multiLevelType w:val="multilevel"/>
    <w:tmpl w:val="E1C621AE"/>
    <w:lvl w:ilvl="0">
      <w:start w:val="2"/>
      <w:numFmt w:val="decimal"/>
      <w:pStyle w:val="NumberedParagraph"/>
      <w:lvlText w:val="%1."/>
      <w:lvlJc w:val="left"/>
      <w:pPr>
        <w:tabs>
          <w:tab w:val="num" w:pos="567"/>
        </w:tabs>
      </w:pPr>
      <w:rPr>
        <w:rFonts w:cs="Times New Roman" w:hint="default"/>
      </w:rPr>
    </w:lvl>
    <w:lvl w:ilvl="1">
      <w:start w:val="1"/>
      <w:numFmt w:val="lowerLetter"/>
      <w:lvlText w:val="(%2)"/>
      <w:lvlJc w:val="left"/>
      <w:pPr>
        <w:tabs>
          <w:tab w:val="num" w:pos="1701"/>
        </w:tabs>
        <w:ind w:left="1701" w:hanging="567"/>
      </w:pPr>
      <w:rPr>
        <w:rFonts w:cs="Times New Roman" w:hint="default"/>
      </w:rPr>
    </w:lvl>
    <w:lvl w:ilvl="2">
      <w:start w:val="1"/>
      <w:numFmt w:val="lowerRoman"/>
      <w:lvlText w:val="(%3)"/>
      <w:lvlJc w:val="left"/>
      <w:pPr>
        <w:tabs>
          <w:tab w:val="num" w:pos="2268"/>
        </w:tabs>
        <w:ind w:left="2268" w:hanging="567"/>
      </w:pPr>
      <w:rPr>
        <w:rFonts w:cs="Times New Roman" w:hint="default"/>
      </w:rPr>
    </w:lvl>
    <w:lvl w:ilvl="3">
      <w:start w:val="1"/>
      <w:numFmt w:val="decimal"/>
      <w:lvlText w:val="(%4)"/>
      <w:lvlJc w:val="left"/>
      <w:pPr>
        <w:tabs>
          <w:tab w:val="num" w:pos="2007"/>
        </w:tabs>
        <w:ind w:left="2007" w:hanging="360"/>
      </w:pPr>
      <w:rPr>
        <w:rFonts w:cs="Times New Roman" w:hint="default"/>
      </w:rPr>
    </w:lvl>
    <w:lvl w:ilvl="4">
      <w:start w:val="1"/>
      <w:numFmt w:val="lowerLetter"/>
      <w:lvlText w:val="(%5)"/>
      <w:lvlJc w:val="left"/>
      <w:pPr>
        <w:tabs>
          <w:tab w:val="num" w:pos="2367"/>
        </w:tabs>
        <w:ind w:left="2367" w:hanging="360"/>
      </w:pPr>
      <w:rPr>
        <w:rFonts w:cs="Times New Roman" w:hint="default"/>
      </w:rPr>
    </w:lvl>
    <w:lvl w:ilvl="5">
      <w:start w:val="1"/>
      <w:numFmt w:val="lowerRoman"/>
      <w:lvlText w:val="(%6)"/>
      <w:lvlJc w:val="left"/>
      <w:pPr>
        <w:tabs>
          <w:tab w:val="num" w:pos="2727"/>
        </w:tabs>
        <w:ind w:left="2727" w:hanging="360"/>
      </w:pPr>
      <w:rPr>
        <w:rFonts w:cs="Times New Roman" w:hint="default"/>
      </w:rPr>
    </w:lvl>
    <w:lvl w:ilvl="6">
      <w:start w:val="1"/>
      <w:numFmt w:val="decimal"/>
      <w:lvlText w:val="%7."/>
      <w:lvlJc w:val="left"/>
      <w:pPr>
        <w:tabs>
          <w:tab w:val="num" w:pos="3087"/>
        </w:tabs>
        <w:ind w:left="3087" w:hanging="360"/>
      </w:pPr>
      <w:rPr>
        <w:rFonts w:cs="Times New Roman" w:hint="default"/>
      </w:rPr>
    </w:lvl>
    <w:lvl w:ilvl="7">
      <w:start w:val="1"/>
      <w:numFmt w:val="lowerLetter"/>
      <w:lvlText w:val="%8."/>
      <w:lvlJc w:val="left"/>
      <w:pPr>
        <w:tabs>
          <w:tab w:val="num" w:pos="3447"/>
        </w:tabs>
        <w:ind w:left="3447" w:hanging="360"/>
      </w:pPr>
      <w:rPr>
        <w:rFonts w:cs="Times New Roman" w:hint="default"/>
      </w:rPr>
    </w:lvl>
    <w:lvl w:ilvl="8">
      <w:start w:val="1"/>
      <w:numFmt w:val="lowerRoman"/>
      <w:lvlText w:val="%9."/>
      <w:lvlJc w:val="left"/>
      <w:pPr>
        <w:tabs>
          <w:tab w:val="num" w:pos="3807"/>
        </w:tabs>
        <w:ind w:left="3807" w:hanging="360"/>
      </w:pPr>
      <w:rPr>
        <w:rFonts w:cs="Times New Roman" w:hint="default"/>
      </w:rPr>
    </w:lvl>
  </w:abstractNum>
  <w:abstractNum w:abstractNumId="64" w15:restartNumberingAfterBreak="0">
    <w:nsid w:val="76781E2E"/>
    <w:multiLevelType w:val="hybridMultilevel"/>
    <w:tmpl w:val="17D4A3E0"/>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65" w15:restartNumberingAfterBreak="0">
    <w:nsid w:val="7814595E"/>
    <w:multiLevelType w:val="hybridMultilevel"/>
    <w:tmpl w:val="C25E0D6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6" w15:restartNumberingAfterBreak="0">
    <w:nsid w:val="78854AAC"/>
    <w:multiLevelType w:val="hybridMultilevel"/>
    <w:tmpl w:val="42DA1948"/>
    <w:lvl w:ilvl="0" w:tplc="FFFFFFFF">
      <w:start w:val="1"/>
      <w:numFmt w:val="decimal"/>
      <w:pStyle w:val="Normalnumbered"/>
      <w:lvlText w:val="%1."/>
      <w:lvlJc w:val="left"/>
      <w:pPr>
        <w:tabs>
          <w:tab w:val="num" w:pos="851"/>
        </w:tabs>
        <w:ind w:left="851" w:hanging="567"/>
      </w:pPr>
      <w:rPr>
        <w:rFonts w:cs="Times New Roman" w:hint="default"/>
      </w:rPr>
    </w:lvl>
    <w:lvl w:ilvl="1" w:tplc="0C090017">
      <w:start w:val="1"/>
      <w:numFmt w:val="lowerLetter"/>
      <w:lvlText w:val="%2)"/>
      <w:lvlJc w:val="left"/>
      <w:pPr>
        <w:tabs>
          <w:tab w:val="num" w:pos="1440"/>
        </w:tabs>
        <w:ind w:left="1440" w:hanging="360"/>
      </w:pPr>
    </w:lvl>
    <w:lvl w:ilvl="2" w:tplc="C3D2FB00">
      <w:start w:val="1"/>
      <w:numFmt w:val="lowerRoman"/>
      <w:lvlText w:val="%3."/>
      <w:lvlJc w:val="left"/>
      <w:pPr>
        <w:tabs>
          <w:tab w:val="num" w:pos="2160"/>
        </w:tabs>
        <w:ind w:left="2160" w:hanging="180"/>
      </w:pPr>
      <w:rPr>
        <w:rFonts w:ascii="Corbel" w:eastAsia="Times New Roman" w:hAnsi="Corbel" w:cs="Corbel"/>
      </w:rPr>
    </w:lvl>
    <w:lvl w:ilvl="3" w:tplc="65445262">
      <w:start w:val="1"/>
      <w:numFmt w:val="decimal"/>
      <w:lvlText w:val="%4."/>
      <w:lvlJc w:val="right"/>
      <w:pPr>
        <w:tabs>
          <w:tab w:val="num" w:pos="2880"/>
        </w:tabs>
        <w:ind w:left="2880" w:hanging="360"/>
      </w:pPr>
      <w:rPr>
        <w:rFonts w:ascii="Corbel" w:eastAsia="Times New Roman" w:hAnsi="Corbel" w:cs="Corbel"/>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7" w15:restartNumberingAfterBreak="0">
    <w:nsid w:val="7F3E4AFA"/>
    <w:multiLevelType w:val="hybridMultilevel"/>
    <w:tmpl w:val="30DE0952"/>
    <w:lvl w:ilvl="0" w:tplc="0C090001">
      <w:start w:val="1"/>
      <w:numFmt w:val="bullet"/>
      <w:lvlText w:val=""/>
      <w:lvlJc w:val="left"/>
      <w:pPr>
        <w:ind w:left="663" w:hanging="360"/>
      </w:pPr>
      <w:rPr>
        <w:rFonts w:ascii="Symbol" w:hAnsi="Symbol" w:hint="default"/>
      </w:rPr>
    </w:lvl>
    <w:lvl w:ilvl="1" w:tplc="0C090003" w:tentative="1">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num w:numId="1">
    <w:abstractNumId w:val="21"/>
  </w:num>
  <w:num w:numId="2">
    <w:abstractNumId w:val="40"/>
  </w:num>
  <w:num w:numId="3">
    <w:abstractNumId w:val="45"/>
  </w:num>
  <w:num w:numId="4">
    <w:abstractNumId w:val="12"/>
  </w:num>
  <w:num w:numId="5">
    <w:abstractNumId w:val="50"/>
  </w:num>
  <w:num w:numId="6">
    <w:abstractNumId w:val="22"/>
  </w:num>
  <w:num w:numId="7">
    <w:abstractNumId w:val="16"/>
  </w:num>
  <w:num w:numId="8">
    <w:abstractNumId w:val="23"/>
  </w:num>
  <w:num w:numId="9">
    <w:abstractNumId w:val="66"/>
  </w:num>
  <w:num w:numId="10">
    <w:abstractNumId w:val="7"/>
  </w:num>
  <w:num w:numId="11">
    <w:abstractNumId w:val="44"/>
  </w:num>
  <w:num w:numId="12">
    <w:abstractNumId w:val="57"/>
  </w:num>
  <w:num w:numId="13">
    <w:abstractNumId w:val="63"/>
  </w:num>
  <w:num w:numId="14">
    <w:abstractNumId w:val="19"/>
  </w:num>
  <w:num w:numId="15">
    <w:abstractNumId w:val="24"/>
  </w:num>
  <w:num w:numId="16">
    <w:abstractNumId w:val="37"/>
  </w:num>
  <w:num w:numId="17">
    <w:abstractNumId w:val="35"/>
  </w:num>
  <w:num w:numId="18">
    <w:abstractNumId w:val="11"/>
  </w:num>
  <w:num w:numId="19">
    <w:abstractNumId w:val="42"/>
  </w:num>
  <w:num w:numId="20">
    <w:abstractNumId w:val="46"/>
  </w:num>
  <w:num w:numId="21">
    <w:abstractNumId w:val="31"/>
  </w:num>
  <w:num w:numId="22">
    <w:abstractNumId w:val="53"/>
  </w:num>
  <w:num w:numId="23">
    <w:abstractNumId w:val="62"/>
  </w:num>
  <w:num w:numId="24">
    <w:abstractNumId w:val="4"/>
  </w:num>
  <w:num w:numId="25">
    <w:abstractNumId w:val="59"/>
  </w:num>
  <w:num w:numId="26">
    <w:abstractNumId w:val="20"/>
  </w:num>
  <w:num w:numId="27">
    <w:abstractNumId w:val="61"/>
  </w:num>
  <w:num w:numId="28">
    <w:abstractNumId w:val="36"/>
  </w:num>
  <w:num w:numId="29">
    <w:abstractNumId w:val="55"/>
  </w:num>
  <w:num w:numId="30">
    <w:abstractNumId w:val="9"/>
  </w:num>
  <w:num w:numId="31">
    <w:abstractNumId w:val="25"/>
  </w:num>
  <w:num w:numId="32">
    <w:abstractNumId w:val="18"/>
  </w:num>
  <w:num w:numId="33">
    <w:abstractNumId w:val="27"/>
  </w:num>
  <w:num w:numId="34">
    <w:abstractNumId w:val="17"/>
  </w:num>
  <w:num w:numId="35">
    <w:abstractNumId w:val="64"/>
  </w:num>
  <w:num w:numId="36">
    <w:abstractNumId w:val="30"/>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 w:numId="48">
    <w:abstractNumId w:val="60"/>
  </w:num>
  <w:num w:numId="49">
    <w:abstractNumId w:val="1"/>
  </w:num>
  <w:num w:numId="50">
    <w:abstractNumId w:val="65"/>
  </w:num>
  <w:num w:numId="51">
    <w:abstractNumId w:val="52"/>
  </w:num>
  <w:num w:numId="52">
    <w:abstractNumId w:val="56"/>
  </w:num>
  <w:num w:numId="53">
    <w:abstractNumId w:val="6"/>
  </w:num>
  <w:num w:numId="54">
    <w:abstractNumId w:val="51"/>
  </w:num>
  <w:num w:numId="55">
    <w:abstractNumId w:val="2"/>
  </w:num>
  <w:num w:numId="56">
    <w:abstractNumId w:val="8"/>
  </w:num>
  <w:num w:numId="57">
    <w:abstractNumId w:val="41"/>
  </w:num>
  <w:num w:numId="58">
    <w:abstractNumId w:val="58"/>
  </w:num>
  <w:num w:numId="59">
    <w:abstractNumId w:val="29"/>
  </w:num>
  <w:num w:numId="60">
    <w:abstractNumId w:val="15"/>
  </w:num>
  <w:num w:numId="61">
    <w:abstractNumId w:val="54"/>
  </w:num>
  <w:num w:numId="6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9"/>
  </w:num>
  <w:num w:numId="71">
    <w:abstractNumId w:val="67"/>
  </w:num>
  <w:num w:numId="72">
    <w:abstractNumId w:val="32"/>
  </w:num>
  <w:num w:numId="73">
    <w:abstractNumId w:val="0"/>
  </w:num>
  <w:num w:numId="74">
    <w:abstractNumId w:val="3"/>
  </w:num>
  <w:num w:numId="75">
    <w:abstractNumId w:val="43"/>
  </w:num>
  <w:num w:numId="76">
    <w:abstractNumId w:val="39"/>
  </w:num>
  <w:num w:numId="77">
    <w:abstractNumId w:val="10"/>
  </w:num>
  <w:num w:numId="78">
    <w:abstractNumId w:val="48"/>
  </w:num>
  <w:num w:numId="79">
    <w:abstractNumId w:val="34"/>
  </w:num>
  <w:num w:numId="80">
    <w:abstractNumId w:val="33"/>
  </w:num>
  <w:num w:numId="81">
    <w:abstractNumId w:val="38"/>
  </w:num>
  <w:num w:numId="82">
    <w:abstractNumId w:val="13"/>
  </w:num>
  <w:num w:numId="83">
    <w:abstractNumId w:val="14"/>
  </w:num>
  <w:num w:numId="84">
    <w:abstractNumId w:val="5"/>
  </w:num>
  <w:num w:numId="85">
    <w:abstractNumId w:val="47"/>
  </w:num>
  <w:num w:numId="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hideSpellingErrors/>
  <w:hideGrammaticalErrors/>
  <w:defaultTabStop w:val="720"/>
  <w:doNotHyphenateCaps/>
  <w:drawingGridHorizontalSpacing w:val="100"/>
  <w:displayHorizontalDrawingGridEvery w:val="2"/>
  <w:displayVerticalDrawingGridEvery w:val="2"/>
  <w:noPunctuationKerning/>
  <w:characterSpacingControl w:val="doNotCompress"/>
  <w:doNotValidateAgainstSchema/>
  <w:doNotDemarcateInvalidXml/>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667"/>
    <w:rsid w:val="00000741"/>
    <w:rsid w:val="00000F7B"/>
    <w:rsid w:val="00001B20"/>
    <w:rsid w:val="000026EA"/>
    <w:rsid w:val="00002B4E"/>
    <w:rsid w:val="00004375"/>
    <w:rsid w:val="00004C62"/>
    <w:rsid w:val="00005A5D"/>
    <w:rsid w:val="00005D55"/>
    <w:rsid w:val="000061F5"/>
    <w:rsid w:val="000076D9"/>
    <w:rsid w:val="00010293"/>
    <w:rsid w:val="00010B08"/>
    <w:rsid w:val="00010D29"/>
    <w:rsid w:val="00010F7C"/>
    <w:rsid w:val="00010FFD"/>
    <w:rsid w:val="0001153B"/>
    <w:rsid w:val="000118C0"/>
    <w:rsid w:val="00013120"/>
    <w:rsid w:val="000143FE"/>
    <w:rsid w:val="00014835"/>
    <w:rsid w:val="00015331"/>
    <w:rsid w:val="00015608"/>
    <w:rsid w:val="000159E7"/>
    <w:rsid w:val="00015A08"/>
    <w:rsid w:val="00016C8B"/>
    <w:rsid w:val="00020620"/>
    <w:rsid w:val="000209BB"/>
    <w:rsid w:val="00021708"/>
    <w:rsid w:val="00021DF0"/>
    <w:rsid w:val="000220D3"/>
    <w:rsid w:val="0002386B"/>
    <w:rsid w:val="00027650"/>
    <w:rsid w:val="00030234"/>
    <w:rsid w:val="00030734"/>
    <w:rsid w:val="00030D1F"/>
    <w:rsid w:val="00032E37"/>
    <w:rsid w:val="00033119"/>
    <w:rsid w:val="00033149"/>
    <w:rsid w:val="00033502"/>
    <w:rsid w:val="00033778"/>
    <w:rsid w:val="00033D8A"/>
    <w:rsid w:val="000346E0"/>
    <w:rsid w:val="00034ED1"/>
    <w:rsid w:val="000356AD"/>
    <w:rsid w:val="00036A0D"/>
    <w:rsid w:val="000402A6"/>
    <w:rsid w:val="00040404"/>
    <w:rsid w:val="00040B0F"/>
    <w:rsid w:val="0004139F"/>
    <w:rsid w:val="00041FF8"/>
    <w:rsid w:val="00043D7E"/>
    <w:rsid w:val="00043F61"/>
    <w:rsid w:val="00044A31"/>
    <w:rsid w:val="00044C7E"/>
    <w:rsid w:val="0004577F"/>
    <w:rsid w:val="00045CA4"/>
    <w:rsid w:val="00047EB9"/>
    <w:rsid w:val="00052939"/>
    <w:rsid w:val="00053289"/>
    <w:rsid w:val="00054A16"/>
    <w:rsid w:val="00055451"/>
    <w:rsid w:val="00056466"/>
    <w:rsid w:val="00056A1C"/>
    <w:rsid w:val="0005798C"/>
    <w:rsid w:val="00060336"/>
    <w:rsid w:val="00060641"/>
    <w:rsid w:val="000624A9"/>
    <w:rsid w:val="00063A36"/>
    <w:rsid w:val="0006451A"/>
    <w:rsid w:val="00066428"/>
    <w:rsid w:val="000674A3"/>
    <w:rsid w:val="0007004C"/>
    <w:rsid w:val="000700A1"/>
    <w:rsid w:val="0007042C"/>
    <w:rsid w:val="00070D12"/>
    <w:rsid w:val="000712EF"/>
    <w:rsid w:val="00071E64"/>
    <w:rsid w:val="000724F6"/>
    <w:rsid w:val="0007387E"/>
    <w:rsid w:val="00074611"/>
    <w:rsid w:val="00075E6D"/>
    <w:rsid w:val="0007700B"/>
    <w:rsid w:val="000770BD"/>
    <w:rsid w:val="000821EB"/>
    <w:rsid w:val="00082567"/>
    <w:rsid w:val="00082FE3"/>
    <w:rsid w:val="00084F1F"/>
    <w:rsid w:val="00085B2F"/>
    <w:rsid w:val="00087492"/>
    <w:rsid w:val="00087967"/>
    <w:rsid w:val="00087F3D"/>
    <w:rsid w:val="000900C6"/>
    <w:rsid w:val="00090515"/>
    <w:rsid w:val="000906D8"/>
    <w:rsid w:val="00091602"/>
    <w:rsid w:val="00091DDD"/>
    <w:rsid w:val="00091DF8"/>
    <w:rsid w:val="00092100"/>
    <w:rsid w:val="00092211"/>
    <w:rsid w:val="00092470"/>
    <w:rsid w:val="00092508"/>
    <w:rsid w:val="00093DD8"/>
    <w:rsid w:val="00094FD0"/>
    <w:rsid w:val="0009646E"/>
    <w:rsid w:val="00096A9B"/>
    <w:rsid w:val="0009783D"/>
    <w:rsid w:val="000A0C9E"/>
    <w:rsid w:val="000A1253"/>
    <w:rsid w:val="000A1C85"/>
    <w:rsid w:val="000A1CE5"/>
    <w:rsid w:val="000A228C"/>
    <w:rsid w:val="000A5191"/>
    <w:rsid w:val="000A51E0"/>
    <w:rsid w:val="000A5250"/>
    <w:rsid w:val="000A6D89"/>
    <w:rsid w:val="000A6FA4"/>
    <w:rsid w:val="000A72D2"/>
    <w:rsid w:val="000B0F0C"/>
    <w:rsid w:val="000B1D9F"/>
    <w:rsid w:val="000B2122"/>
    <w:rsid w:val="000B29A4"/>
    <w:rsid w:val="000B3186"/>
    <w:rsid w:val="000B3A49"/>
    <w:rsid w:val="000B3FB4"/>
    <w:rsid w:val="000B7DB6"/>
    <w:rsid w:val="000B7E08"/>
    <w:rsid w:val="000C14E2"/>
    <w:rsid w:val="000C1631"/>
    <w:rsid w:val="000C23F2"/>
    <w:rsid w:val="000C2CD8"/>
    <w:rsid w:val="000C36AB"/>
    <w:rsid w:val="000C3BF1"/>
    <w:rsid w:val="000C511C"/>
    <w:rsid w:val="000C649A"/>
    <w:rsid w:val="000C714F"/>
    <w:rsid w:val="000D08A5"/>
    <w:rsid w:val="000D0BC2"/>
    <w:rsid w:val="000D19D8"/>
    <w:rsid w:val="000D1B56"/>
    <w:rsid w:val="000D1C37"/>
    <w:rsid w:val="000D20B3"/>
    <w:rsid w:val="000D2A58"/>
    <w:rsid w:val="000D2A83"/>
    <w:rsid w:val="000D30F8"/>
    <w:rsid w:val="000D3320"/>
    <w:rsid w:val="000D3BB1"/>
    <w:rsid w:val="000D4377"/>
    <w:rsid w:val="000D476E"/>
    <w:rsid w:val="000D4933"/>
    <w:rsid w:val="000D59A8"/>
    <w:rsid w:val="000D69F2"/>
    <w:rsid w:val="000D7B5C"/>
    <w:rsid w:val="000D7D90"/>
    <w:rsid w:val="000E025A"/>
    <w:rsid w:val="000E19C0"/>
    <w:rsid w:val="000E1DA7"/>
    <w:rsid w:val="000E2CAE"/>
    <w:rsid w:val="000E3C63"/>
    <w:rsid w:val="000E3C70"/>
    <w:rsid w:val="000E48C3"/>
    <w:rsid w:val="000E5C2D"/>
    <w:rsid w:val="000E5DE1"/>
    <w:rsid w:val="000E6222"/>
    <w:rsid w:val="000F0348"/>
    <w:rsid w:val="000F0880"/>
    <w:rsid w:val="000F1D55"/>
    <w:rsid w:val="000F3749"/>
    <w:rsid w:val="000F44F2"/>
    <w:rsid w:val="000F5C14"/>
    <w:rsid w:val="000F60D7"/>
    <w:rsid w:val="000F6C77"/>
    <w:rsid w:val="000F6CF6"/>
    <w:rsid w:val="000F6F6A"/>
    <w:rsid w:val="000F6FBF"/>
    <w:rsid w:val="000F741B"/>
    <w:rsid w:val="000F7575"/>
    <w:rsid w:val="000F7939"/>
    <w:rsid w:val="000F7EDB"/>
    <w:rsid w:val="00100DDD"/>
    <w:rsid w:val="001025E7"/>
    <w:rsid w:val="00102BD1"/>
    <w:rsid w:val="00103AA6"/>
    <w:rsid w:val="00103FD6"/>
    <w:rsid w:val="001065EE"/>
    <w:rsid w:val="00106F71"/>
    <w:rsid w:val="0010724E"/>
    <w:rsid w:val="00107FE9"/>
    <w:rsid w:val="001105D9"/>
    <w:rsid w:val="00110937"/>
    <w:rsid w:val="00110F5D"/>
    <w:rsid w:val="0011126E"/>
    <w:rsid w:val="001120C2"/>
    <w:rsid w:val="001123A8"/>
    <w:rsid w:val="00113EA9"/>
    <w:rsid w:val="001149B4"/>
    <w:rsid w:val="00115841"/>
    <w:rsid w:val="00116500"/>
    <w:rsid w:val="001165C0"/>
    <w:rsid w:val="00117E18"/>
    <w:rsid w:val="00120055"/>
    <w:rsid w:val="00120BDC"/>
    <w:rsid w:val="00120E21"/>
    <w:rsid w:val="00121214"/>
    <w:rsid w:val="001217D7"/>
    <w:rsid w:val="00122DBA"/>
    <w:rsid w:val="00124092"/>
    <w:rsid w:val="00124F27"/>
    <w:rsid w:val="00127967"/>
    <w:rsid w:val="001279E3"/>
    <w:rsid w:val="001304B0"/>
    <w:rsid w:val="00132587"/>
    <w:rsid w:val="00134861"/>
    <w:rsid w:val="001348C1"/>
    <w:rsid w:val="00135317"/>
    <w:rsid w:val="00135B5C"/>
    <w:rsid w:val="00135E04"/>
    <w:rsid w:val="00136849"/>
    <w:rsid w:val="00136881"/>
    <w:rsid w:val="00137216"/>
    <w:rsid w:val="001404A9"/>
    <w:rsid w:val="0014093F"/>
    <w:rsid w:val="00140C57"/>
    <w:rsid w:val="00140F43"/>
    <w:rsid w:val="0014293B"/>
    <w:rsid w:val="00142B91"/>
    <w:rsid w:val="00142BAF"/>
    <w:rsid w:val="00142FED"/>
    <w:rsid w:val="00143766"/>
    <w:rsid w:val="001444CF"/>
    <w:rsid w:val="00144E99"/>
    <w:rsid w:val="00145C75"/>
    <w:rsid w:val="00145D5C"/>
    <w:rsid w:val="00145E53"/>
    <w:rsid w:val="00146A69"/>
    <w:rsid w:val="00146CE8"/>
    <w:rsid w:val="001505A9"/>
    <w:rsid w:val="00151A02"/>
    <w:rsid w:val="00152926"/>
    <w:rsid w:val="00152FF0"/>
    <w:rsid w:val="00153DCE"/>
    <w:rsid w:val="001542DD"/>
    <w:rsid w:val="00154748"/>
    <w:rsid w:val="001566BC"/>
    <w:rsid w:val="00160295"/>
    <w:rsid w:val="00160506"/>
    <w:rsid w:val="00160B56"/>
    <w:rsid w:val="0016129F"/>
    <w:rsid w:val="00161BA4"/>
    <w:rsid w:val="001624A9"/>
    <w:rsid w:val="00162518"/>
    <w:rsid w:val="001629A9"/>
    <w:rsid w:val="00163290"/>
    <w:rsid w:val="001632B2"/>
    <w:rsid w:val="001634E5"/>
    <w:rsid w:val="001640C6"/>
    <w:rsid w:val="00164CD8"/>
    <w:rsid w:val="00165871"/>
    <w:rsid w:val="00165A27"/>
    <w:rsid w:val="00166312"/>
    <w:rsid w:val="00166A45"/>
    <w:rsid w:val="00167BB8"/>
    <w:rsid w:val="001707BF"/>
    <w:rsid w:val="00171066"/>
    <w:rsid w:val="00171759"/>
    <w:rsid w:val="00172E6A"/>
    <w:rsid w:val="00173588"/>
    <w:rsid w:val="00173F81"/>
    <w:rsid w:val="00174314"/>
    <w:rsid w:val="00174682"/>
    <w:rsid w:val="00174C2A"/>
    <w:rsid w:val="001756FB"/>
    <w:rsid w:val="00175FB9"/>
    <w:rsid w:val="00181240"/>
    <w:rsid w:val="00181ABF"/>
    <w:rsid w:val="00181B82"/>
    <w:rsid w:val="00182767"/>
    <w:rsid w:val="00183EAB"/>
    <w:rsid w:val="00183FAC"/>
    <w:rsid w:val="001843FA"/>
    <w:rsid w:val="00185383"/>
    <w:rsid w:val="00185CC1"/>
    <w:rsid w:val="001862B5"/>
    <w:rsid w:val="001868F5"/>
    <w:rsid w:val="00187AA5"/>
    <w:rsid w:val="00187BEB"/>
    <w:rsid w:val="0019014F"/>
    <w:rsid w:val="00190F05"/>
    <w:rsid w:val="001916A0"/>
    <w:rsid w:val="00191D77"/>
    <w:rsid w:val="00191D88"/>
    <w:rsid w:val="001931E8"/>
    <w:rsid w:val="00193259"/>
    <w:rsid w:val="00193623"/>
    <w:rsid w:val="00194D6E"/>
    <w:rsid w:val="00194F9D"/>
    <w:rsid w:val="001957E2"/>
    <w:rsid w:val="00195B05"/>
    <w:rsid w:val="00196D15"/>
    <w:rsid w:val="0019717E"/>
    <w:rsid w:val="001A0AC7"/>
    <w:rsid w:val="001A1422"/>
    <w:rsid w:val="001A3A9A"/>
    <w:rsid w:val="001A4093"/>
    <w:rsid w:val="001A6705"/>
    <w:rsid w:val="001A6899"/>
    <w:rsid w:val="001A6D73"/>
    <w:rsid w:val="001A7A15"/>
    <w:rsid w:val="001A7AA9"/>
    <w:rsid w:val="001A7D9B"/>
    <w:rsid w:val="001B0785"/>
    <w:rsid w:val="001B0C3C"/>
    <w:rsid w:val="001B1269"/>
    <w:rsid w:val="001B19A0"/>
    <w:rsid w:val="001B1C58"/>
    <w:rsid w:val="001B1CA3"/>
    <w:rsid w:val="001B4A90"/>
    <w:rsid w:val="001B55CE"/>
    <w:rsid w:val="001B5DF4"/>
    <w:rsid w:val="001B5E1E"/>
    <w:rsid w:val="001B6FFB"/>
    <w:rsid w:val="001B7568"/>
    <w:rsid w:val="001B7933"/>
    <w:rsid w:val="001C028F"/>
    <w:rsid w:val="001C128F"/>
    <w:rsid w:val="001C1332"/>
    <w:rsid w:val="001C1EF3"/>
    <w:rsid w:val="001C31FF"/>
    <w:rsid w:val="001C333E"/>
    <w:rsid w:val="001C346E"/>
    <w:rsid w:val="001C3717"/>
    <w:rsid w:val="001C539F"/>
    <w:rsid w:val="001C5AF3"/>
    <w:rsid w:val="001C5CC5"/>
    <w:rsid w:val="001D322C"/>
    <w:rsid w:val="001D35F8"/>
    <w:rsid w:val="001D3D59"/>
    <w:rsid w:val="001D4525"/>
    <w:rsid w:val="001D45BA"/>
    <w:rsid w:val="001D4C51"/>
    <w:rsid w:val="001D52FB"/>
    <w:rsid w:val="001D550A"/>
    <w:rsid w:val="001D780B"/>
    <w:rsid w:val="001D7ED8"/>
    <w:rsid w:val="001D7EF8"/>
    <w:rsid w:val="001E0E19"/>
    <w:rsid w:val="001E1A1A"/>
    <w:rsid w:val="001E20EC"/>
    <w:rsid w:val="001E2557"/>
    <w:rsid w:val="001E2A44"/>
    <w:rsid w:val="001E2D7A"/>
    <w:rsid w:val="001E3D7A"/>
    <w:rsid w:val="001E4622"/>
    <w:rsid w:val="001E57AC"/>
    <w:rsid w:val="001E5C3E"/>
    <w:rsid w:val="001E5EA2"/>
    <w:rsid w:val="001E6672"/>
    <w:rsid w:val="001E7173"/>
    <w:rsid w:val="001E74D0"/>
    <w:rsid w:val="001E7530"/>
    <w:rsid w:val="001E7800"/>
    <w:rsid w:val="001F0011"/>
    <w:rsid w:val="001F12AC"/>
    <w:rsid w:val="001F2C3C"/>
    <w:rsid w:val="001F3AF9"/>
    <w:rsid w:val="001F49EA"/>
    <w:rsid w:val="001F4CF9"/>
    <w:rsid w:val="001F6C50"/>
    <w:rsid w:val="001F6F39"/>
    <w:rsid w:val="001F6FCA"/>
    <w:rsid w:val="001F6FE8"/>
    <w:rsid w:val="001F7280"/>
    <w:rsid w:val="001F7D9F"/>
    <w:rsid w:val="002010D5"/>
    <w:rsid w:val="0020168A"/>
    <w:rsid w:val="00202BC6"/>
    <w:rsid w:val="00202F6B"/>
    <w:rsid w:val="00203007"/>
    <w:rsid w:val="002039FC"/>
    <w:rsid w:val="00203F38"/>
    <w:rsid w:val="0020482F"/>
    <w:rsid w:val="002048FD"/>
    <w:rsid w:val="0020491E"/>
    <w:rsid w:val="00205154"/>
    <w:rsid w:val="002051E9"/>
    <w:rsid w:val="00205E18"/>
    <w:rsid w:val="00206C4D"/>
    <w:rsid w:val="00207D0A"/>
    <w:rsid w:val="00207E05"/>
    <w:rsid w:val="00210155"/>
    <w:rsid w:val="00210B31"/>
    <w:rsid w:val="00212325"/>
    <w:rsid w:val="00212562"/>
    <w:rsid w:val="00213A5D"/>
    <w:rsid w:val="00214450"/>
    <w:rsid w:val="00214993"/>
    <w:rsid w:val="00215111"/>
    <w:rsid w:val="0021581E"/>
    <w:rsid w:val="00216F8B"/>
    <w:rsid w:val="002176A0"/>
    <w:rsid w:val="00217A9E"/>
    <w:rsid w:val="00217C7A"/>
    <w:rsid w:val="00217F92"/>
    <w:rsid w:val="00221308"/>
    <w:rsid w:val="00221E26"/>
    <w:rsid w:val="0022208F"/>
    <w:rsid w:val="00222542"/>
    <w:rsid w:val="00222966"/>
    <w:rsid w:val="00222C97"/>
    <w:rsid w:val="00223AA8"/>
    <w:rsid w:val="00225897"/>
    <w:rsid w:val="00225940"/>
    <w:rsid w:val="00230DC6"/>
    <w:rsid w:val="00231B55"/>
    <w:rsid w:val="00231C13"/>
    <w:rsid w:val="00234C23"/>
    <w:rsid w:val="00235BF0"/>
    <w:rsid w:val="00236A25"/>
    <w:rsid w:val="0023739B"/>
    <w:rsid w:val="0023754F"/>
    <w:rsid w:val="00237BB9"/>
    <w:rsid w:val="0024016F"/>
    <w:rsid w:val="00240791"/>
    <w:rsid w:val="002413EB"/>
    <w:rsid w:val="002414CE"/>
    <w:rsid w:val="002428EA"/>
    <w:rsid w:val="00245BFA"/>
    <w:rsid w:val="002461AB"/>
    <w:rsid w:val="002465AC"/>
    <w:rsid w:val="00247326"/>
    <w:rsid w:val="00247D45"/>
    <w:rsid w:val="00250234"/>
    <w:rsid w:val="002505E4"/>
    <w:rsid w:val="00251212"/>
    <w:rsid w:val="002523E5"/>
    <w:rsid w:val="00253662"/>
    <w:rsid w:val="00254032"/>
    <w:rsid w:val="00260A78"/>
    <w:rsid w:val="00262245"/>
    <w:rsid w:val="00262D8C"/>
    <w:rsid w:val="00262E18"/>
    <w:rsid w:val="00263244"/>
    <w:rsid w:val="0026345C"/>
    <w:rsid w:val="00264454"/>
    <w:rsid w:val="00264C9C"/>
    <w:rsid w:val="00266C13"/>
    <w:rsid w:val="0026725A"/>
    <w:rsid w:val="0026736D"/>
    <w:rsid w:val="00270466"/>
    <w:rsid w:val="002706F4"/>
    <w:rsid w:val="002738B3"/>
    <w:rsid w:val="00273D09"/>
    <w:rsid w:val="00274738"/>
    <w:rsid w:val="00275654"/>
    <w:rsid w:val="00275FE6"/>
    <w:rsid w:val="00277443"/>
    <w:rsid w:val="002801E4"/>
    <w:rsid w:val="00280680"/>
    <w:rsid w:val="00280862"/>
    <w:rsid w:val="00280E37"/>
    <w:rsid w:val="00281197"/>
    <w:rsid w:val="00281849"/>
    <w:rsid w:val="0028199E"/>
    <w:rsid w:val="00282C25"/>
    <w:rsid w:val="00283F9F"/>
    <w:rsid w:val="0028414A"/>
    <w:rsid w:val="002843C9"/>
    <w:rsid w:val="00285003"/>
    <w:rsid w:val="00285138"/>
    <w:rsid w:val="002854CF"/>
    <w:rsid w:val="00285B95"/>
    <w:rsid w:val="002861C7"/>
    <w:rsid w:val="00286417"/>
    <w:rsid w:val="002864E1"/>
    <w:rsid w:val="0028738A"/>
    <w:rsid w:val="002875D7"/>
    <w:rsid w:val="00287DCC"/>
    <w:rsid w:val="002909C9"/>
    <w:rsid w:val="00291237"/>
    <w:rsid w:val="0029150A"/>
    <w:rsid w:val="00291AF2"/>
    <w:rsid w:val="00291CF1"/>
    <w:rsid w:val="00292B58"/>
    <w:rsid w:val="0029418A"/>
    <w:rsid w:val="002949EE"/>
    <w:rsid w:val="0029522E"/>
    <w:rsid w:val="00297C8C"/>
    <w:rsid w:val="002A03B4"/>
    <w:rsid w:val="002A0FEA"/>
    <w:rsid w:val="002A1172"/>
    <w:rsid w:val="002A117B"/>
    <w:rsid w:val="002A143D"/>
    <w:rsid w:val="002A25F2"/>
    <w:rsid w:val="002A2C0C"/>
    <w:rsid w:val="002A3018"/>
    <w:rsid w:val="002A31A4"/>
    <w:rsid w:val="002A332B"/>
    <w:rsid w:val="002A382B"/>
    <w:rsid w:val="002A3F4B"/>
    <w:rsid w:val="002A4175"/>
    <w:rsid w:val="002A42BE"/>
    <w:rsid w:val="002A46C3"/>
    <w:rsid w:val="002A493A"/>
    <w:rsid w:val="002A4FBF"/>
    <w:rsid w:val="002A530A"/>
    <w:rsid w:val="002A6162"/>
    <w:rsid w:val="002A71A9"/>
    <w:rsid w:val="002A7394"/>
    <w:rsid w:val="002A7C3D"/>
    <w:rsid w:val="002B1989"/>
    <w:rsid w:val="002B2D60"/>
    <w:rsid w:val="002B38E0"/>
    <w:rsid w:val="002B443F"/>
    <w:rsid w:val="002B4E4F"/>
    <w:rsid w:val="002B4E7C"/>
    <w:rsid w:val="002B5707"/>
    <w:rsid w:val="002B694B"/>
    <w:rsid w:val="002B6E77"/>
    <w:rsid w:val="002B70E6"/>
    <w:rsid w:val="002B7922"/>
    <w:rsid w:val="002B7E1B"/>
    <w:rsid w:val="002C114F"/>
    <w:rsid w:val="002C1218"/>
    <w:rsid w:val="002C2529"/>
    <w:rsid w:val="002C3642"/>
    <w:rsid w:val="002C5517"/>
    <w:rsid w:val="002C62B3"/>
    <w:rsid w:val="002C6BB9"/>
    <w:rsid w:val="002C7303"/>
    <w:rsid w:val="002C7491"/>
    <w:rsid w:val="002C7620"/>
    <w:rsid w:val="002D09E2"/>
    <w:rsid w:val="002D1A33"/>
    <w:rsid w:val="002D31AA"/>
    <w:rsid w:val="002D36C5"/>
    <w:rsid w:val="002D3829"/>
    <w:rsid w:val="002D396E"/>
    <w:rsid w:val="002D4DA7"/>
    <w:rsid w:val="002D53D1"/>
    <w:rsid w:val="002D54F4"/>
    <w:rsid w:val="002D600C"/>
    <w:rsid w:val="002D7B45"/>
    <w:rsid w:val="002D7CF9"/>
    <w:rsid w:val="002D7F58"/>
    <w:rsid w:val="002E0686"/>
    <w:rsid w:val="002E174B"/>
    <w:rsid w:val="002E18BF"/>
    <w:rsid w:val="002E1F30"/>
    <w:rsid w:val="002E2097"/>
    <w:rsid w:val="002E230A"/>
    <w:rsid w:val="002E3AA2"/>
    <w:rsid w:val="002E3E51"/>
    <w:rsid w:val="002E4B66"/>
    <w:rsid w:val="002E4D53"/>
    <w:rsid w:val="002E54BC"/>
    <w:rsid w:val="002E66BD"/>
    <w:rsid w:val="002E79FC"/>
    <w:rsid w:val="002F049E"/>
    <w:rsid w:val="002F10C7"/>
    <w:rsid w:val="002F1C60"/>
    <w:rsid w:val="002F3318"/>
    <w:rsid w:val="002F39F2"/>
    <w:rsid w:val="002F545E"/>
    <w:rsid w:val="002F576E"/>
    <w:rsid w:val="002F5C6C"/>
    <w:rsid w:val="002F5D2B"/>
    <w:rsid w:val="002F63D8"/>
    <w:rsid w:val="002F6DFA"/>
    <w:rsid w:val="002F7352"/>
    <w:rsid w:val="002F7E40"/>
    <w:rsid w:val="00300029"/>
    <w:rsid w:val="003012DA"/>
    <w:rsid w:val="003015AC"/>
    <w:rsid w:val="00307C5C"/>
    <w:rsid w:val="00307EF4"/>
    <w:rsid w:val="0031049A"/>
    <w:rsid w:val="0031211B"/>
    <w:rsid w:val="0031238A"/>
    <w:rsid w:val="00313480"/>
    <w:rsid w:val="00314E6C"/>
    <w:rsid w:val="003155BD"/>
    <w:rsid w:val="00315718"/>
    <w:rsid w:val="00317B5E"/>
    <w:rsid w:val="00317E7B"/>
    <w:rsid w:val="0032001E"/>
    <w:rsid w:val="00321049"/>
    <w:rsid w:val="0032119C"/>
    <w:rsid w:val="0032189D"/>
    <w:rsid w:val="00321E0A"/>
    <w:rsid w:val="00323D02"/>
    <w:rsid w:val="00325ABB"/>
    <w:rsid w:val="00325B10"/>
    <w:rsid w:val="00325F86"/>
    <w:rsid w:val="00326A18"/>
    <w:rsid w:val="003271E4"/>
    <w:rsid w:val="0032732A"/>
    <w:rsid w:val="00327877"/>
    <w:rsid w:val="00327B20"/>
    <w:rsid w:val="00327DBE"/>
    <w:rsid w:val="00330553"/>
    <w:rsid w:val="00331783"/>
    <w:rsid w:val="00332711"/>
    <w:rsid w:val="00333506"/>
    <w:rsid w:val="00333B92"/>
    <w:rsid w:val="003344D5"/>
    <w:rsid w:val="0033476D"/>
    <w:rsid w:val="0033595F"/>
    <w:rsid w:val="00336CB4"/>
    <w:rsid w:val="003409DD"/>
    <w:rsid w:val="003410AA"/>
    <w:rsid w:val="003413D7"/>
    <w:rsid w:val="00341A2C"/>
    <w:rsid w:val="00341DB5"/>
    <w:rsid w:val="00342408"/>
    <w:rsid w:val="003442B0"/>
    <w:rsid w:val="00345D3A"/>
    <w:rsid w:val="00346615"/>
    <w:rsid w:val="00346BB2"/>
    <w:rsid w:val="003516C9"/>
    <w:rsid w:val="003520D3"/>
    <w:rsid w:val="0035228B"/>
    <w:rsid w:val="003525A7"/>
    <w:rsid w:val="0035267A"/>
    <w:rsid w:val="003528EA"/>
    <w:rsid w:val="00352A6B"/>
    <w:rsid w:val="00352EC1"/>
    <w:rsid w:val="003553A5"/>
    <w:rsid w:val="0035561B"/>
    <w:rsid w:val="00356900"/>
    <w:rsid w:val="00356B1A"/>
    <w:rsid w:val="00357CE4"/>
    <w:rsid w:val="00360203"/>
    <w:rsid w:val="003612A3"/>
    <w:rsid w:val="00361E4D"/>
    <w:rsid w:val="00362924"/>
    <w:rsid w:val="003631BC"/>
    <w:rsid w:val="00363B23"/>
    <w:rsid w:val="0036409B"/>
    <w:rsid w:val="00364CF3"/>
    <w:rsid w:val="003650B9"/>
    <w:rsid w:val="003664AE"/>
    <w:rsid w:val="00367EAB"/>
    <w:rsid w:val="003708DE"/>
    <w:rsid w:val="00371E18"/>
    <w:rsid w:val="00372573"/>
    <w:rsid w:val="0037595C"/>
    <w:rsid w:val="003760D0"/>
    <w:rsid w:val="00377AB2"/>
    <w:rsid w:val="00384CD6"/>
    <w:rsid w:val="00385ACF"/>
    <w:rsid w:val="003863EB"/>
    <w:rsid w:val="003869CC"/>
    <w:rsid w:val="0038769D"/>
    <w:rsid w:val="00387A69"/>
    <w:rsid w:val="003900EC"/>
    <w:rsid w:val="003906E6"/>
    <w:rsid w:val="00390EF9"/>
    <w:rsid w:val="0039136A"/>
    <w:rsid w:val="0039157B"/>
    <w:rsid w:val="00391D29"/>
    <w:rsid w:val="0039283B"/>
    <w:rsid w:val="00392A65"/>
    <w:rsid w:val="00392D18"/>
    <w:rsid w:val="00393165"/>
    <w:rsid w:val="00394AF3"/>
    <w:rsid w:val="00395769"/>
    <w:rsid w:val="00396EA4"/>
    <w:rsid w:val="003A14AB"/>
    <w:rsid w:val="003A18C1"/>
    <w:rsid w:val="003A3363"/>
    <w:rsid w:val="003A3905"/>
    <w:rsid w:val="003A3CC1"/>
    <w:rsid w:val="003A432D"/>
    <w:rsid w:val="003A50EB"/>
    <w:rsid w:val="003A582F"/>
    <w:rsid w:val="003A5905"/>
    <w:rsid w:val="003A6635"/>
    <w:rsid w:val="003A6683"/>
    <w:rsid w:val="003A6B0E"/>
    <w:rsid w:val="003A73AD"/>
    <w:rsid w:val="003B048F"/>
    <w:rsid w:val="003B073D"/>
    <w:rsid w:val="003B0DDE"/>
    <w:rsid w:val="003B0EB3"/>
    <w:rsid w:val="003B3077"/>
    <w:rsid w:val="003B30F9"/>
    <w:rsid w:val="003B38DB"/>
    <w:rsid w:val="003B44CF"/>
    <w:rsid w:val="003B4923"/>
    <w:rsid w:val="003B495F"/>
    <w:rsid w:val="003B548B"/>
    <w:rsid w:val="003B5562"/>
    <w:rsid w:val="003B5F3B"/>
    <w:rsid w:val="003B65D4"/>
    <w:rsid w:val="003B6835"/>
    <w:rsid w:val="003B737F"/>
    <w:rsid w:val="003B7E5C"/>
    <w:rsid w:val="003C0224"/>
    <w:rsid w:val="003C13B9"/>
    <w:rsid w:val="003C2839"/>
    <w:rsid w:val="003C33A4"/>
    <w:rsid w:val="003C3B75"/>
    <w:rsid w:val="003C4B07"/>
    <w:rsid w:val="003C610C"/>
    <w:rsid w:val="003D0265"/>
    <w:rsid w:val="003D2E4F"/>
    <w:rsid w:val="003D3A8B"/>
    <w:rsid w:val="003D40AA"/>
    <w:rsid w:val="003D5058"/>
    <w:rsid w:val="003D57A0"/>
    <w:rsid w:val="003D5E8C"/>
    <w:rsid w:val="003D6C22"/>
    <w:rsid w:val="003D792E"/>
    <w:rsid w:val="003D7EA9"/>
    <w:rsid w:val="003E0647"/>
    <w:rsid w:val="003E198B"/>
    <w:rsid w:val="003E4851"/>
    <w:rsid w:val="003E5277"/>
    <w:rsid w:val="003E5715"/>
    <w:rsid w:val="003E5C77"/>
    <w:rsid w:val="003E639C"/>
    <w:rsid w:val="003E6478"/>
    <w:rsid w:val="003E68AF"/>
    <w:rsid w:val="003E6BA0"/>
    <w:rsid w:val="003E6CDE"/>
    <w:rsid w:val="003E6FDA"/>
    <w:rsid w:val="003E71C8"/>
    <w:rsid w:val="003E73DB"/>
    <w:rsid w:val="003E7A1B"/>
    <w:rsid w:val="003F01F1"/>
    <w:rsid w:val="003F0975"/>
    <w:rsid w:val="003F3347"/>
    <w:rsid w:val="003F5540"/>
    <w:rsid w:val="003F565D"/>
    <w:rsid w:val="003F59E6"/>
    <w:rsid w:val="003F5C61"/>
    <w:rsid w:val="003F65EC"/>
    <w:rsid w:val="003F67BD"/>
    <w:rsid w:val="003F722F"/>
    <w:rsid w:val="003F733D"/>
    <w:rsid w:val="003F7CEF"/>
    <w:rsid w:val="00400BB7"/>
    <w:rsid w:val="00400FA9"/>
    <w:rsid w:val="00402902"/>
    <w:rsid w:val="0040305B"/>
    <w:rsid w:val="0040426D"/>
    <w:rsid w:val="004043B6"/>
    <w:rsid w:val="0040522A"/>
    <w:rsid w:val="004065B1"/>
    <w:rsid w:val="00410452"/>
    <w:rsid w:val="0041077E"/>
    <w:rsid w:val="0041098F"/>
    <w:rsid w:val="004110EF"/>
    <w:rsid w:val="004110F6"/>
    <w:rsid w:val="004120B1"/>
    <w:rsid w:val="00412C8C"/>
    <w:rsid w:val="004131A2"/>
    <w:rsid w:val="00414041"/>
    <w:rsid w:val="0041421D"/>
    <w:rsid w:val="00414A5C"/>
    <w:rsid w:val="004156B4"/>
    <w:rsid w:val="00415F6F"/>
    <w:rsid w:val="00416022"/>
    <w:rsid w:val="0041646D"/>
    <w:rsid w:val="0041660F"/>
    <w:rsid w:val="00416718"/>
    <w:rsid w:val="0041697F"/>
    <w:rsid w:val="00417BDC"/>
    <w:rsid w:val="0042032D"/>
    <w:rsid w:val="004219A4"/>
    <w:rsid w:val="00421F67"/>
    <w:rsid w:val="004223AA"/>
    <w:rsid w:val="00422CEC"/>
    <w:rsid w:val="00423104"/>
    <w:rsid w:val="004238F3"/>
    <w:rsid w:val="00423902"/>
    <w:rsid w:val="00423EB2"/>
    <w:rsid w:val="004267A3"/>
    <w:rsid w:val="004267D3"/>
    <w:rsid w:val="00426AF4"/>
    <w:rsid w:val="004274E6"/>
    <w:rsid w:val="00427842"/>
    <w:rsid w:val="004311B1"/>
    <w:rsid w:val="00431431"/>
    <w:rsid w:val="004332D8"/>
    <w:rsid w:val="00433336"/>
    <w:rsid w:val="0043397E"/>
    <w:rsid w:val="00433E65"/>
    <w:rsid w:val="0043416E"/>
    <w:rsid w:val="00434854"/>
    <w:rsid w:val="0043685B"/>
    <w:rsid w:val="004374B2"/>
    <w:rsid w:val="00437A1A"/>
    <w:rsid w:val="00437EF1"/>
    <w:rsid w:val="0044122D"/>
    <w:rsid w:val="0044149B"/>
    <w:rsid w:val="00441608"/>
    <w:rsid w:val="00442137"/>
    <w:rsid w:val="00442AB8"/>
    <w:rsid w:val="00442B89"/>
    <w:rsid w:val="004436EA"/>
    <w:rsid w:val="0044445B"/>
    <w:rsid w:val="00445E5E"/>
    <w:rsid w:val="004461A7"/>
    <w:rsid w:val="00450B39"/>
    <w:rsid w:val="00451E55"/>
    <w:rsid w:val="00453252"/>
    <w:rsid w:val="00453830"/>
    <w:rsid w:val="00453CFF"/>
    <w:rsid w:val="00454498"/>
    <w:rsid w:val="00456C59"/>
    <w:rsid w:val="00456F5B"/>
    <w:rsid w:val="00461230"/>
    <w:rsid w:val="00461BB5"/>
    <w:rsid w:val="00462912"/>
    <w:rsid w:val="00464812"/>
    <w:rsid w:val="00465721"/>
    <w:rsid w:val="00465C21"/>
    <w:rsid w:val="004664F3"/>
    <w:rsid w:val="00466FC6"/>
    <w:rsid w:val="00467FB6"/>
    <w:rsid w:val="00470221"/>
    <w:rsid w:val="00470A3A"/>
    <w:rsid w:val="00470A5A"/>
    <w:rsid w:val="00471216"/>
    <w:rsid w:val="004712E9"/>
    <w:rsid w:val="00475D37"/>
    <w:rsid w:val="0047797C"/>
    <w:rsid w:val="00477A24"/>
    <w:rsid w:val="00477CE9"/>
    <w:rsid w:val="00477FD8"/>
    <w:rsid w:val="004816B7"/>
    <w:rsid w:val="0048201B"/>
    <w:rsid w:val="0048256F"/>
    <w:rsid w:val="00482B11"/>
    <w:rsid w:val="00484B5A"/>
    <w:rsid w:val="004852C7"/>
    <w:rsid w:val="004856D9"/>
    <w:rsid w:val="004865E3"/>
    <w:rsid w:val="00487C31"/>
    <w:rsid w:val="00487FCC"/>
    <w:rsid w:val="00490198"/>
    <w:rsid w:val="00490559"/>
    <w:rsid w:val="00490A7D"/>
    <w:rsid w:val="00490CFB"/>
    <w:rsid w:val="00490E28"/>
    <w:rsid w:val="004910C6"/>
    <w:rsid w:val="0049174A"/>
    <w:rsid w:val="0049211E"/>
    <w:rsid w:val="00492D0A"/>
    <w:rsid w:val="00492F9C"/>
    <w:rsid w:val="004934F9"/>
    <w:rsid w:val="0049389C"/>
    <w:rsid w:val="00494C08"/>
    <w:rsid w:val="00495259"/>
    <w:rsid w:val="00495ED2"/>
    <w:rsid w:val="00496D1B"/>
    <w:rsid w:val="00497362"/>
    <w:rsid w:val="0049788C"/>
    <w:rsid w:val="00497CEC"/>
    <w:rsid w:val="00497E2A"/>
    <w:rsid w:val="004A0AE7"/>
    <w:rsid w:val="004A2788"/>
    <w:rsid w:val="004A59C1"/>
    <w:rsid w:val="004A6062"/>
    <w:rsid w:val="004A6BE3"/>
    <w:rsid w:val="004A6CFC"/>
    <w:rsid w:val="004A770F"/>
    <w:rsid w:val="004A7835"/>
    <w:rsid w:val="004B1584"/>
    <w:rsid w:val="004B1F38"/>
    <w:rsid w:val="004B2F93"/>
    <w:rsid w:val="004B4F7A"/>
    <w:rsid w:val="004B53C1"/>
    <w:rsid w:val="004B5423"/>
    <w:rsid w:val="004B5F91"/>
    <w:rsid w:val="004B625A"/>
    <w:rsid w:val="004B7B96"/>
    <w:rsid w:val="004B7CE1"/>
    <w:rsid w:val="004C0341"/>
    <w:rsid w:val="004C16B4"/>
    <w:rsid w:val="004C1A03"/>
    <w:rsid w:val="004C4590"/>
    <w:rsid w:val="004C4EC1"/>
    <w:rsid w:val="004C6A13"/>
    <w:rsid w:val="004D236B"/>
    <w:rsid w:val="004D2683"/>
    <w:rsid w:val="004D27F8"/>
    <w:rsid w:val="004D310E"/>
    <w:rsid w:val="004D37D8"/>
    <w:rsid w:val="004D44FE"/>
    <w:rsid w:val="004D4662"/>
    <w:rsid w:val="004D47C0"/>
    <w:rsid w:val="004D4B81"/>
    <w:rsid w:val="004D4D19"/>
    <w:rsid w:val="004D5667"/>
    <w:rsid w:val="004D5FCC"/>
    <w:rsid w:val="004D6D32"/>
    <w:rsid w:val="004E02DC"/>
    <w:rsid w:val="004E0F7C"/>
    <w:rsid w:val="004E1375"/>
    <w:rsid w:val="004E1C04"/>
    <w:rsid w:val="004E4D25"/>
    <w:rsid w:val="004E6E20"/>
    <w:rsid w:val="004E7059"/>
    <w:rsid w:val="004E73AB"/>
    <w:rsid w:val="004E74B0"/>
    <w:rsid w:val="004F06EF"/>
    <w:rsid w:val="004F0A00"/>
    <w:rsid w:val="004F0E07"/>
    <w:rsid w:val="004F2667"/>
    <w:rsid w:val="004F2C8A"/>
    <w:rsid w:val="004F3439"/>
    <w:rsid w:val="004F48DE"/>
    <w:rsid w:val="004F6865"/>
    <w:rsid w:val="004F6B2B"/>
    <w:rsid w:val="004F7E73"/>
    <w:rsid w:val="005002EB"/>
    <w:rsid w:val="005005DF"/>
    <w:rsid w:val="00501D04"/>
    <w:rsid w:val="00502BE6"/>
    <w:rsid w:val="0050308B"/>
    <w:rsid w:val="00505045"/>
    <w:rsid w:val="005052EB"/>
    <w:rsid w:val="00505689"/>
    <w:rsid w:val="0050694E"/>
    <w:rsid w:val="00511501"/>
    <w:rsid w:val="0051171E"/>
    <w:rsid w:val="00511A6A"/>
    <w:rsid w:val="00511FCF"/>
    <w:rsid w:val="00512CA9"/>
    <w:rsid w:val="00513ED9"/>
    <w:rsid w:val="0051479C"/>
    <w:rsid w:val="00515671"/>
    <w:rsid w:val="00515931"/>
    <w:rsid w:val="0051640E"/>
    <w:rsid w:val="00516741"/>
    <w:rsid w:val="00516B2D"/>
    <w:rsid w:val="00520A29"/>
    <w:rsid w:val="00521E10"/>
    <w:rsid w:val="0052566B"/>
    <w:rsid w:val="0052612D"/>
    <w:rsid w:val="00526254"/>
    <w:rsid w:val="0052725E"/>
    <w:rsid w:val="00527ABC"/>
    <w:rsid w:val="00530990"/>
    <w:rsid w:val="00530E22"/>
    <w:rsid w:val="00535806"/>
    <w:rsid w:val="00535D66"/>
    <w:rsid w:val="00536243"/>
    <w:rsid w:val="00536580"/>
    <w:rsid w:val="00537982"/>
    <w:rsid w:val="0054055D"/>
    <w:rsid w:val="00540DB9"/>
    <w:rsid w:val="0054193D"/>
    <w:rsid w:val="005427B7"/>
    <w:rsid w:val="00542CB1"/>
    <w:rsid w:val="00542D59"/>
    <w:rsid w:val="00542DA6"/>
    <w:rsid w:val="0054347F"/>
    <w:rsid w:val="0054568A"/>
    <w:rsid w:val="0054644B"/>
    <w:rsid w:val="00547AB0"/>
    <w:rsid w:val="00547B03"/>
    <w:rsid w:val="00547ED2"/>
    <w:rsid w:val="00550E22"/>
    <w:rsid w:val="005517F3"/>
    <w:rsid w:val="00551AB9"/>
    <w:rsid w:val="00551D7A"/>
    <w:rsid w:val="005532E6"/>
    <w:rsid w:val="00554BC9"/>
    <w:rsid w:val="00554C2F"/>
    <w:rsid w:val="0055503F"/>
    <w:rsid w:val="00556344"/>
    <w:rsid w:val="00556A1E"/>
    <w:rsid w:val="00556F93"/>
    <w:rsid w:val="00557499"/>
    <w:rsid w:val="005600A4"/>
    <w:rsid w:val="00560D16"/>
    <w:rsid w:val="005618E3"/>
    <w:rsid w:val="0056490A"/>
    <w:rsid w:val="005651C6"/>
    <w:rsid w:val="00566234"/>
    <w:rsid w:val="00567CD3"/>
    <w:rsid w:val="00570A37"/>
    <w:rsid w:val="00571698"/>
    <w:rsid w:val="00571EFC"/>
    <w:rsid w:val="0057262B"/>
    <w:rsid w:val="00574840"/>
    <w:rsid w:val="00574AF3"/>
    <w:rsid w:val="00576D6F"/>
    <w:rsid w:val="00577128"/>
    <w:rsid w:val="00577CAE"/>
    <w:rsid w:val="00580F12"/>
    <w:rsid w:val="0058250F"/>
    <w:rsid w:val="0058261F"/>
    <w:rsid w:val="005827DE"/>
    <w:rsid w:val="00582A03"/>
    <w:rsid w:val="00583796"/>
    <w:rsid w:val="00583AD7"/>
    <w:rsid w:val="00583C36"/>
    <w:rsid w:val="00584980"/>
    <w:rsid w:val="005858A0"/>
    <w:rsid w:val="00585DA3"/>
    <w:rsid w:val="0058696B"/>
    <w:rsid w:val="0058758E"/>
    <w:rsid w:val="0059022A"/>
    <w:rsid w:val="0059218F"/>
    <w:rsid w:val="0059250B"/>
    <w:rsid w:val="00592DC3"/>
    <w:rsid w:val="00594C55"/>
    <w:rsid w:val="0059533F"/>
    <w:rsid w:val="005964DC"/>
    <w:rsid w:val="00596C53"/>
    <w:rsid w:val="00596D0C"/>
    <w:rsid w:val="00596E88"/>
    <w:rsid w:val="005A03C0"/>
    <w:rsid w:val="005A03D1"/>
    <w:rsid w:val="005A0969"/>
    <w:rsid w:val="005A12DB"/>
    <w:rsid w:val="005A1A4A"/>
    <w:rsid w:val="005A1B61"/>
    <w:rsid w:val="005A2DD2"/>
    <w:rsid w:val="005A2E68"/>
    <w:rsid w:val="005A3434"/>
    <w:rsid w:val="005A34EF"/>
    <w:rsid w:val="005A4048"/>
    <w:rsid w:val="005A697D"/>
    <w:rsid w:val="005B1412"/>
    <w:rsid w:val="005B1A29"/>
    <w:rsid w:val="005B3F28"/>
    <w:rsid w:val="005B5F5D"/>
    <w:rsid w:val="005B622C"/>
    <w:rsid w:val="005B7602"/>
    <w:rsid w:val="005C07D2"/>
    <w:rsid w:val="005C0884"/>
    <w:rsid w:val="005C0C59"/>
    <w:rsid w:val="005C15C5"/>
    <w:rsid w:val="005C24ED"/>
    <w:rsid w:val="005C2684"/>
    <w:rsid w:val="005C2DDC"/>
    <w:rsid w:val="005C366E"/>
    <w:rsid w:val="005C4B07"/>
    <w:rsid w:val="005C5221"/>
    <w:rsid w:val="005C5620"/>
    <w:rsid w:val="005C568C"/>
    <w:rsid w:val="005C61A2"/>
    <w:rsid w:val="005C7015"/>
    <w:rsid w:val="005C7633"/>
    <w:rsid w:val="005C7D3E"/>
    <w:rsid w:val="005C7EFA"/>
    <w:rsid w:val="005D22F7"/>
    <w:rsid w:val="005D2FF9"/>
    <w:rsid w:val="005D38E0"/>
    <w:rsid w:val="005D41F9"/>
    <w:rsid w:val="005D628B"/>
    <w:rsid w:val="005D6C7E"/>
    <w:rsid w:val="005D6DEF"/>
    <w:rsid w:val="005D7B86"/>
    <w:rsid w:val="005E03B3"/>
    <w:rsid w:val="005E0E15"/>
    <w:rsid w:val="005E1297"/>
    <w:rsid w:val="005E304C"/>
    <w:rsid w:val="005E32DD"/>
    <w:rsid w:val="005E39BB"/>
    <w:rsid w:val="005E3C16"/>
    <w:rsid w:val="005E5BBF"/>
    <w:rsid w:val="005E6151"/>
    <w:rsid w:val="005E70D6"/>
    <w:rsid w:val="005E724B"/>
    <w:rsid w:val="005E75B6"/>
    <w:rsid w:val="005F1894"/>
    <w:rsid w:val="005F2006"/>
    <w:rsid w:val="005F3032"/>
    <w:rsid w:val="005F3A32"/>
    <w:rsid w:val="005F6A05"/>
    <w:rsid w:val="00600D2E"/>
    <w:rsid w:val="00601320"/>
    <w:rsid w:val="00601878"/>
    <w:rsid w:val="00601DD8"/>
    <w:rsid w:val="00602EF7"/>
    <w:rsid w:val="00603A00"/>
    <w:rsid w:val="00606AFB"/>
    <w:rsid w:val="00607629"/>
    <w:rsid w:val="00607B03"/>
    <w:rsid w:val="0061059D"/>
    <w:rsid w:val="006121FC"/>
    <w:rsid w:val="006123E1"/>
    <w:rsid w:val="00614393"/>
    <w:rsid w:val="006143DC"/>
    <w:rsid w:val="00615AF5"/>
    <w:rsid w:val="006166BE"/>
    <w:rsid w:val="00616A00"/>
    <w:rsid w:val="006218EF"/>
    <w:rsid w:val="00621DB7"/>
    <w:rsid w:val="0062235D"/>
    <w:rsid w:val="00623567"/>
    <w:rsid w:val="00623C1B"/>
    <w:rsid w:val="00623EEE"/>
    <w:rsid w:val="0062434F"/>
    <w:rsid w:val="006249E2"/>
    <w:rsid w:val="006303F7"/>
    <w:rsid w:val="0063138B"/>
    <w:rsid w:val="00633C9A"/>
    <w:rsid w:val="00633E61"/>
    <w:rsid w:val="00634318"/>
    <w:rsid w:val="00634540"/>
    <w:rsid w:val="00634D52"/>
    <w:rsid w:val="00635984"/>
    <w:rsid w:val="006406F8"/>
    <w:rsid w:val="006412B5"/>
    <w:rsid w:val="00641447"/>
    <w:rsid w:val="00641932"/>
    <w:rsid w:val="0064232F"/>
    <w:rsid w:val="0064255A"/>
    <w:rsid w:val="0064477C"/>
    <w:rsid w:val="00645432"/>
    <w:rsid w:val="00647605"/>
    <w:rsid w:val="00647D97"/>
    <w:rsid w:val="00650903"/>
    <w:rsid w:val="006524AA"/>
    <w:rsid w:val="006527CE"/>
    <w:rsid w:val="00652A56"/>
    <w:rsid w:val="0065341B"/>
    <w:rsid w:val="006552D0"/>
    <w:rsid w:val="00657681"/>
    <w:rsid w:val="00657B68"/>
    <w:rsid w:val="00657B9F"/>
    <w:rsid w:val="00657E2B"/>
    <w:rsid w:val="00661004"/>
    <w:rsid w:val="0066161A"/>
    <w:rsid w:val="00664688"/>
    <w:rsid w:val="00666223"/>
    <w:rsid w:val="006679C0"/>
    <w:rsid w:val="006702E8"/>
    <w:rsid w:val="00671596"/>
    <w:rsid w:val="00671765"/>
    <w:rsid w:val="00671804"/>
    <w:rsid w:val="00671C99"/>
    <w:rsid w:val="00672C65"/>
    <w:rsid w:val="006740CD"/>
    <w:rsid w:val="006750E5"/>
    <w:rsid w:val="0067602B"/>
    <w:rsid w:val="00677DFF"/>
    <w:rsid w:val="006804D3"/>
    <w:rsid w:val="00680ED5"/>
    <w:rsid w:val="00681956"/>
    <w:rsid w:val="006821DD"/>
    <w:rsid w:val="006825DA"/>
    <w:rsid w:val="00682FBA"/>
    <w:rsid w:val="00683370"/>
    <w:rsid w:val="00685988"/>
    <w:rsid w:val="00687106"/>
    <w:rsid w:val="0069001D"/>
    <w:rsid w:val="006908EA"/>
    <w:rsid w:val="00691A28"/>
    <w:rsid w:val="006923C8"/>
    <w:rsid w:val="00692E97"/>
    <w:rsid w:val="00693EFF"/>
    <w:rsid w:val="00696AB4"/>
    <w:rsid w:val="00696E87"/>
    <w:rsid w:val="006976BF"/>
    <w:rsid w:val="006976EF"/>
    <w:rsid w:val="00697BB5"/>
    <w:rsid w:val="00697D03"/>
    <w:rsid w:val="006A05D7"/>
    <w:rsid w:val="006A1C98"/>
    <w:rsid w:val="006A386C"/>
    <w:rsid w:val="006A3976"/>
    <w:rsid w:val="006A403C"/>
    <w:rsid w:val="006A4628"/>
    <w:rsid w:val="006A5831"/>
    <w:rsid w:val="006A65FE"/>
    <w:rsid w:val="006B1167"/>
    <w:rsid w:val="006B1C99"/>
    <w:rsid w:val="006B30AD"/>
    <w:rsid w:val="006B3E2E"/>
    <w:rsid w:val="006B4213"/>
    <w:rsid w:val="006B4B6B"/>
    <w:rsid w:val="006B4DF0"/>
    <w:rsid w:val="006B51AC"/>
    <w:rsid w:val="006B573F"/>
    <w:rsid w:val="006B61C6"/>
    <w:rsid w:val="006B7D2F"/>
    <w:rsid w:val="006C1013"/>
    <w:rsid w:val="006C1A39"/>
    <w:rsid w:val="006C228B"/>
    <w:rsid w:val="006C2931"/>
    <w:rsid w:val="006C348A"/>
    <w:rsid w:val="006C3DF2"/>
    <w:rsid w:val="006C439E"/>
    <w:rsid w:val="006C4D46"/>
    <w:rsid w:val="006C5AA1"/>
    <w:rsid w:val="006D05F7"/>
    <w:rsid w:val="006D20E3"/>
    <w:rsid w:val="006D2176"/>
    <w:rsid w:val="006D38F4"/>
    <w:rsid w:val="006D3CF4"/>
    <w:rsid w:val="006D3F80"/>
    <w:rsid w:val="006D45FC"/>
    <w:rsid w:val="006D466E"/>
    <w:rsid w:val="006D4B70"/>
    <w:rsid w:val="006D5962"/>
    <w:rsid w:val="006D5BBA"/>
    <w:rsid w:val="006D637B"/>
    <w:rsid w:val="006D65D8"/>
    <w:rsid w:val="006D776E"/>
    <w:rsid w:val="006E16A8"/>
    <w:rsid w:val="006E1942"/>
    <w:rsid w:val="006E1BFB"/>
    <w:rsid w:val="006E2257"/>
    <w:rsid w:val="006E3B48"/>
    <w:rsid w:val="006E44F1"/>
    <w:rsid w:val="006E5208"/>
    <w:rsid w:val="006E6184"/>
    <w:rsid w:val="006E702B"/>
    <w:rsid w:val="006E703B"/>
    <w:rsid w:val="006E7396"/>
    <w:rsid w:val="006F096A"/>
    <w:rsid w:val="006F2A86"/>
    <w:rsid w:val="006F3095"/>
    <w:rsid w:val="006F33D3"/>
    <w:rsid w:val="006F500A"/>
    <w:rsid w:val="006F5357"/>
    <w:rsid w:val="006F5455"/>
    <w:rsid w:val="006F5CB6"/>
    <w:rsid w:val="006F6ECF"/>
    <w:rsid w:val="00701774"/>
    <w:rsid w:val="00702B30"/>
    <w:rsid w:val="00704634"/>
    <w:rsid w:val="00705501"/>
    <w:rsid w:val="00705CBE"/>
    <w:rsid w:val="0070737C"/>
    <w:rsid w:val="00707E36"/>
    <w:rsid w:val="00707FCA"/>
    <w:rsid w:val="007102CF"/>
    <w:rsid w:val="00710CCC"/>
    <w:rsid w:val="00711229"/>
    <w:rsid w:val="00711350"/>
    <w:rsid w:val="007120E6"/>
    <w:rsid w:val="00713E74"/>
    <w:rsid w:val="00715018"/>
    <w:rsid w:val="007165C5"/>
    <w:rsid w:val="00716AE8"/>
    <w:rsid w:val="0071741D"/>
    <w:rsid w:val="007201B1"/>
    <w:rsid w:val="00721077"/>
    <w:rsid w:val="00721EAF"/>
    <w:rsid w:val="007222CC"/>
    <w:rsid w:val="00724364"/>
    <w:rsid w:val="00724E14"/>
    <w:rsid w:val="00725AD5"/>
    <w:rsid w:val="00725D17"/>
    <w:rsid w:val="00726897"/>
    <w:rsid w:val="00726A69"/>
    <w:rsid w:val="007273DB"/>
    <w:rsid w:val="00730BDF"/>
    <w:rsid w:val="00731945"/>
    <w:rsid w:val="00731BCB"/>
    <w:rsid w:val="00731F1C"/>
    <w:rsid w:val="00731FB2"/>
    <w:rsid w:val="007325A5"/>
    <w:rsid w:val="00732F35"/>
    <w:rsid w:val="0073335F"/>
    <w:rsid w:val="00733D25"/>
    <w:rsid w:val="007341EF"/>
    <w:rsid w:val="007342F8"/>
    <w:rsid w:val="00734ECC"/>
    <w:rsid w:val="00734F21"/>
    <w:rsid w:val="00735A02"/>
    <w:rsid w:val="00735D27"/>
    <w:rsid w:val="0073698D"/>
    <w:rsid w:val="00736C0B"/>
    <w:rsid w:val="00736F22"/>
    <w:rsid w:val="007371B8"/>
    <w:rsid w:val="007400DF"/>
    <w:rsid w:val="00740157"/>
    <w:rsid w:val="00740E5B"/>
    <w:rsid w:val="00741195"/>
    <w:rsid w:val="00741328"/>
    <w:rsid w:val="00741AAB"/>
    <w:rsid w:val="0074352A"/>
    <w:rsid w:val="00743726"/>
    <w:rsid w:val="0074387B"/>
    <w:rsid w:val="0074413D"/>
    <w:rsid w:val="00745005"/>
    <w:rsid w:val="007452AE"/>
    <w:rsid w:val="00746531"/>
    <w:rsid w:val="007477C3"/>
    <w:rsid w:val="00750102"/>
    <w:rsid w:val="007501E2"/>
    <w:rsid w:val="007503AD"/>
    <w:rsid w:val="007511D3"/>
    <w:rsid w:val="00751725"/>
    <w:rsid w:val="00752605"/>
    <w:rsid w:val="0075450A"/>
    <w:rsid w:val="007558AE"/>
    <w:rsid w:val="00755918"/>
    <w:rsid w:val="007560BC"/>
    <w:rsid w:val="007572A8"/>
    <w:rsid w:val="00757B2B"/>
    <w:rsid w:val="00760052"/>
    <w:rsid w:val="0076017E"/>
    <w:rsid w:val="00760DB6"/>
    <w:rsid w:val="00760F8C"/>
    <w:rsid w:val="007610A1"/>
    <w:rsid w:val="00761E68"/>
    <w:rsid w:val="00764F26"/>
    <w:rsid w:val="00764FD8"/>
    <w:rsid w:val="007658FB"/>
    <w:rsid w:val="007659EF"/>
    <w:rsid w:val="007661AE"/>
    <w:rsid w:val="0076663F"/>
    <w:rsid w:val="00766A51"/>
    <w:rsid w:val="007708D3"/>
    <w:rsid w:val="007708E3"/>
    <w:rsid w:val="007709A8"/>
    <w:rsid w:val="00771078"/>
    <w:rsid w:val="00771EBD"/>
    <w:rsid w:val="00772260"/>
    <w:rsid w:val="00772D98"/>
    <w:rsid w:val="0077788E"/>
    <w:rsid w:val="00777C04"/>
    <w:rsid w:val="0078001C"/>
    <w:rsid w:val="0078003B"/>
    <w:rsid w:val="007805DB"/>
    <w:rsid w:val="00781330"/>
    <w:rsid w:val="00781479"/>
    <w:rsid w:val="00782A39"/>
    <w:rsid w:val="00782F43"/>
    <w:rsid w:val="0078335F"/>
    <w:rsid w:val="0078436F"/>
    <w:rsid w:val="0078489E"/>
    <w:rsid w:val="00784B57"/>
    <w:rsid w:val="007856CF"/>
    <w:rsid w:val="007865D8"/>
    <w:rsid w:val="00786A5A"/>
    <w:rsid w:val="00786A6F"/>
    <w:rsid w:val="007878A1"/>
    <w:rsid w:val="00787E75"/>
    <w:rsid w:val="00790501"/>
    <w:rsid w:val="0079276A"/>
    <w:rsid w:val="00793BDC"/>
    <w:rsid w:val="00793C4C"/>
    <w:rsid w:val="0079610C"/>
    <w:rsid w:val="00796969"/>
    <w:rsid w:val="007A1F61"/>
    <w:rsid w:val="007A2455"/>
    <w:rsid w:val="007A28A4"/>
    <w:rsid w:val="007A3157"/>
    <w:rsid w:val="007A3502"/>
    <w:rsid w:val="007A35DB"/>
    <w:rsid w:val="007A37DB"/>
    <w:rsid w:val="007A5055"/>
    <w:rsid w:val="007A584F"/>
    <w:rsid w:val="007A59E3"/>
    <w:rsid w:val="007A6E20"/>
    <w:rsid w:val="007A7399"/>
    <w:rsid w:val="007A7F01"/>
    <w:rsid w:val="007B0B62"/>
    <w:rsid w:val="007B10ED"/>
    <w:rsid w:val="007B2D82"/>
    <w:rsid w:val="007B3727"/>
    <w:rsid w:val="007B3BFC"/>
    <w:rsid w:val="007B3C32"/>
    <w:rsid w:val="007B43CD"/>
    <w:rsid w:val="007B4778"/>
    <w:rsid w:val="007B4B03"/>
    <w:rsid w:val="007B5197"/>
    <w:rsid w:val="007B719C"/>
    <w:rsid w:val="007B753F"/>
    <w:rsid w:val="007C042F"/>
    <w:rsid w:val="007C082C"/>
    <w:rsid w:val="007C12F2"/>
    <w:rsid w:val="007C171B"/>
    <w:rsid w:val="007C24DF"/>
    <w:rsid w:val="007C3285"/>
    <w:rsid w:val="007C421E"/>
    <w:rsid w:val="007C49FF"/>
    <w:rsid w:val="007C56EE"/>
    <w:rsid w:val="007C6421"/>
    <w:rsid w:val="007C67BE"/>
    <w:rsid w:val="007C6807"/>
    <w:rsid w:val="007D12A9"/>
    <w:rsid w:val="007D3015"/>
    <w:rsid w:val="007D44C4"/>
    <w:rsid w:val="007D47F5"/>
    <w:rsid w:val="007D4B96"/>
    <w:rsid w:val="007D5160"/>
    <w:rsid w:val="007D54A6"/>
    <w:rsid w:val="007E0833"/>
    <w:rsid w:val="007E2A7E"/>
    <w:rsid w:val="007E37B1"/>
    <w:rsid w:val="007E3935"/>
    <w:rsid w:val="007E43D4"/>
    <w:rsid w:val="007E507A"/>
    <w:rsid w:val="007E53D3"/>
    <w:rsid w:val="007E6793"/>
    <w:rsid w:val="007E7D69"/>
    <w:rsid w:val="007F0B49"/>
    <w:rsid w:val="007F1109"/>
    <w:rsid w:val="007F29DD"/>
    <w:rsid w:val="007F3858"/>
    <w:rsid w:val="007F5116"/>
    <w:rsid w:val="00800FEB"/>
    <w:rsid w:val="00801BCD"/>
    <w:rsid w:val="00803D09"/>
    <w:rsid w:val="008048D4"/>
    <w:rsid w:val="00804E17"/>
    <w:rsid w:val="00804FFE"/>
    <w:rsid w:val="00806CC2"/>
    <w:rsid w:val="00807AD8"/>
    <w:rsid w:val="00807F8D"/>
    <w:rsid w:val="00810509"/>
    <w:rsid w:val="00811D37"/>
    <w:rsid w:val="008127EA"/>
    <w:rsid w:val="008129F8"/>
    <w:rsid w:val="00813769"/>
    <w:rsid w:val="00813CFF"/>
    <w:rsid w:val="00814094"/>
    <w:rsid w:val="00814590"/>
    <w:rsid w:val="00814667"/>
    <w:rsid w:val="008156B7"/>
    <w:rsid w:val="00816464"/>
    <w:rsid w:val="00817D90"/>
    <w:rsid w:val="00820B4F"/>
    <w:rsid w:val="00822908"/>
    <w:rsid w:val="00822BA0"/>
    <w:rsid w:val="008233D3"/>
    <w:rsid w:val="00823A27"/>
    <w:rsid w:val="00823B34"/>
    <w:rsid w:val="0082402C"/>
    <w:rsid w:val="00826203"/>
    <w:rsid w:val="008262F1"/>
    <w:rsid w:val="008311FA"/>
    <w:rsid w:val="008317EF"/>
    <w:rsid w:val="0083199D"/>
    <w:rsid w:val="00833705"/>
    <w:rsid w:val="00833E91"/>
    <w:rsid w:val="0083688F"/>
    <w:rsid w:val="00840783"/>
    <w:rsid w:val="00840B49"/>
    <w:rsid w:val="00841BF1"/>
    <w:rsid w:val="008442CB"/>
    <w:rsid w:val="00844744"/>
    <w:rsid w:val="0084489A"/>
    <w:rsid w:val="00845BCC"/>
    <w:rsid w:val="00845FDE"/>
    <w:rsid w:val="00847BD9"/>
    <w:rsid w:val="00851396"/>
    <w:rsid w:val="00851465"/>
    <w:rsid w:val="008521F4"/>
    <w:rsid w:val="0085253F"/>
    <w:rsid w:val="00852ED8"/>
    <w:rsid w:val="00853FCD"/>
    <w:rsid w:val="00854666"/>
    <w:rsid w:val="0085533A"/>
    <w:rsid w:val="00855543"/>
    <w:rsid w:val="00855A67"/>
    <w:rsid w:val="00855CB7"/>
    <w:rsid w:val="0085738D"/>
    <w:rsid w:val="00857B86"/>
    <w:rsid w:val="0086142B"/>
    <w:rsid w:val="00861B70"/>
    <w:rsid w:val="00862395"/>
    <w:rsid w:val="00862ADC"/>
    <w:rsid w:val="0086306D"/>
    <w:rsid w:val="00863C3D"/>
    <w:rsid w:val="008643EA"/>
    <w:rsid w:val="008665A5"/>
    <w:rsid w:val="00867778"/>
    <w:rsid w:val="00867A9F"/>
    <w:rsid w:val="008708D6"/>
    <w:rsid w:val="0087101E"/>
    <w:rsid w:val="00871A0C"/>
    <w:rsid w:val="00872D94"/>
    <w:rsid w:val="00875752"/>
    <w:rsid w:val="00875B3F"/>
    <w:rsid w:val="00875F67"/>
    <w:rsid w:val="008760D0"/>
    <w:rsid w:val="008775AE"/>
    <w:rsid w:val="00877BAE"/>
    <w:rsid w:val="00881317"/>
    <w:rsid w:val="00882D48"/>
    <w:rsid w:val="0088320A"/>
    <w:rsid w:val="008843EE"/>
    <w:rsid w:val="00885DD9"/>
    <w:rsid w:val="008872CC"/>
    <w:rsid w:val="0088773A"/>
    <w:rsid w:val="00890CFF"/>
    <w:rsid w:val="008911B9"/>
    <w:rsid w:val="008914D7"/>
    <w:rsid w:val="00892459"/>
    <w:rsid w:val="00892558"/>
    <w:rsid w:val="0089288E"/>
    <w:rsid w:val="0089296D"/>
    <w:rsid w:val="008931A1"/>
    <w:rsid w:val="00894113"/>
    <w:rsid w:val="00894A5B"/>
    <w:rsid w:val="00894DA4"/>
    <w:rsid w:val="00894FE6"/>
    <w:rsid w:val="00895218"/>
    <w:rsid w:val="00896477"/>
    <w:rsid w:val="00896706"/>
    <w:rsid w:val="00896F4D"/>
    <w:rsid w:val="00896F5A"/>
    <w:rsid w:val="008A0FD0"/>
    <w:rsid w:val="008A13F0"/>
    <w:rsid w:val="008A1415"/>
    <w:rsid w:val="008A3C37"/>
    <w:rsid w:val="008A3D5F"/>
    <w:rsid w:val="008A43FD"/>
    <w:rsid w:val="008A47F8"/>
    <w:rsid w:val="008A4987"/>
    <w:rsid w:val="008A4FD4"/>
    <w:rsid w:val="008A5975"/>
    <w:rsid w:val="008A6587"/>
    <w:rsid w:val="008A6E23"/>
    <w:rsid w:val="008B0B47"/>
    <w:rsid w:val="008B15EE"/>
    <w:rsid w:val="008B1840"/>
    <w:rsid w:val="008B18C2"/>
    <w:rsid w:val="008B34A5"/>
    <w:rsid w:val="008B36F3"/>
    <w:rsid w:val="008B3C4B"/>
    <w:rsid w:val="008B4275"/>
    <w:rsid w:val="008B6217"/>
    <w:rsid w:val="008B73A2"/>
    <w:rsid w:val="008B7540"/>
    <w:rsid w:val="008C05F3"/>
    <w:rsid w:val="008C0F26"/>
    <w:rsid w:val="008C2688"/>
    <w:rsid w:val="008C2CC3"/>
    <w:rsid w:val="008C2CCA"/>
    <w:rsid w:val="008C412D"/>
    <w:rsid w:val="008C5432"/>
    <w:rsid w:val="008C5B0C"/>
    <w:rsid w:val="008C684B"/>
    <w:rsid w:val="008C69D5"/>
    <w:rsid w:val="008C6B12"/>
    <w:rsid w:val="008C7F5B"/>
    <w:rsid w:val="008D03D1"/>
    <w:rsid w:val="008D079A"/>
    <w:rsid w:val="008D0BBE"/>
    <w:rsid w:val="008D11C1"/>
    <w:rsid w:val="008D11E9"/>
    <w:rsid w:val="008D1F6D"/>
    <w:rsid w:val="008D211E"/>
    <w:rsid w:val="008D21A2"/>
    <w:rsid w:val="008D2BE9"/>
    <w:rsid w:val="008D3BC6"/>
    <w:rsid w:val="008D3FD9"/>
    <w:rsid w:val="008D444F"/>
    <w:rsid w:val="008D55FC"/>
    <w:rsid w:val="008D5B52"/>
    <w:rsid w:val="008D668A"/>
    <w:rsid w:val="008D723C"/>
    <w:rsid w:val="008E0264"/>
    <w:rsid w:val="008E0E7B"/>
    <w:rsid w:val="008E48FC"/>
    <w:rsid w:val="008E65E1"/>
    <w:rsid w:val="008E6BB0"/>
    <w:rsid w:val="008E6C06"/>
    <w:rsid w:val="008E6EED"/>
    <w:rsid w:val="008E7926"/>
    <w:rsid w:val="008F026E"/>
    <w:rsid w:val="008F0ABF"/>
    <w:rsid w:val="008F12A4"/>
    <w:rsid w:val="008F1F6A"/>
    <w:rsid w:val="008F2AD6"/>
    <w:rsid w:val="008F2C92"/>
    <w:rsid w:val="008F4BA8"/>
    <w:rsid w:val="008F53F4"/>
    <w:rsid w:val="008F5C07"/>
    <w:rsid w:val="008F696D"/>
    <w:rsid w:val="008F6C00"/>
    <w:rsid w:val="00900BB1"/>
    <w:rsid w:val="00900EEA"/>
    <w:rsid w:val="00901CF5"/>
    <w:rsid w:val="00901FEF"/>
    <w:rsid w:val="0090729F"/>
    <w:rsid w:val="00910AF8"/>
    <w:rsid w:val="0091103F"/>
    <w:rsid w:val="00911A5D"/>
    <w:rsid w:val="00912D5D"/>
    <w:rsid w:val="00912EAF"/>
    <w:rsid w:val="00913276"/>
    <w:rsid w:val="00913AF4"/>
    <w:rsid w:val="00914F49"/>
    <w:rsid w:val="009164A1"/>
    <w:rsid w:val="00917704"/>
    <w:rsid w:val="00920E0E"/>
    <w:rsid w:val="009221DF"/>
    <w:rsid w:val="009224FD"/>
    <w:rsid w:val="00923909"/>
    <w:rsid w:val="00923D13"/>
    <w:rsid w:val="009247B1"/>
    <w:rsid w:val="009266FC"/>
    <w:rsid w:val="0092712F"/>
    <w:rsid w:val="00927DF1"/>
    <w:rsid w:val="0093013F"/>
    <w:rsid w:val="00930AC7"/>
    <w:rsid w:val="00931408"/>
    <w:rsid w:val="00931D5F"/>
    <w:rsid w:val="0093296C"/>
    <w:rsid w:val="00933344"/>
    <w:rsid w:val="00933538"/>
    <w:rsid w:val="00934008"/>
    <w:rsid w:val="00935CC7"/>
    <w:rsid w:val="00936101"/>
    <w:rsid w:val="009370F5"/>
    <w:rsid w:val="00937576"/>
    <w:rsid w:val="0094002F"/>
    <w:rsid w:val="0094129D"/>
    <w:rsid w:val="009416B4"/>
    <w:rsid w:val="00941BC0"/>
    <w:rsid w:val="00942290"/>
    <w:rsid w:val="0094442E"/>
    <w:rsid w:val="009447EF"/>
    <w:rsid w:val="00945261"/>
    <w:rsid w:val="009466AB"/>
    <w:rsid w:val="00946A91"/>
    <w:rsid w:val="00947199"/>
    <w:rsid w:val="00947905"/>
    <w:rsid w:val="00947B37"/>
    <w:rsid w:val="00947E4F"/>
    <w:rsid w:val="00950E18"/>
    <w:rsid w:val="009510F3"/>
    <w:rsid w:val="00951BAD"/>
    <w:rsid w:val="00951E13"/>
    <w:rsid w:val="00951EC8"/>
    <w:rsid w:val="009529BF"/>
    <w:rsid w:val="00953307"/>
    <w:rsid w:val="00954999"/>
    <w:rsid w:val="009553F9"/>
    <w:rsid w:val="0095644F"/>
    <w:rsid w:val="00956AB1"/>
    <w:rsid w:val="00956B49"/>
    <w:rsid w:val="00960334"/>
    <w:rsid w:val="00960A0F"/>
    <w:rsid w:val="00961634"/>
    <w:rsid w:val="009626EA"/>
    <w:rsid w:val="00963B52"/>
    <w:rsid w:val="00964E2B"/>
    <w:rsid w:val="009656D6"/>
    <w:rsid w:val="009666D2"/>
    <w:rsid w:val="00972106"/>
    <w:rsid w:val="0097349A"/>
    <w:rsid w:val="00974B9F"/>
    <w:rsid w:val="0097529D"/>
    <w:rsid w:val="00976CA3"/>
    <w:rsid w:val="0097703A"/>
    <w:rsid w:val="00977667"/>
    <w:rsid w:val="009812E3"/>
    <w:rsid w:val="0098198A"/>
    <w:rsid w:val="009834D4"/>
    <w:rsid w:val="00983DC2"/>
    <w:rsid w:val="00983DF0"/>
    <w:rsid w:val="00984DF0"/>
    <w:rsid w:val="009850E1"/>
    <w:rsid w:val="00985D5E"/>
    <w:rsid w:val="00986BD4"/>
    <w:rsid w:val="00986F30"/>
    <w:rsid w:val="009870FB"/>
    <w:rsid w:val="00990290"/>
    <w:rsid w:val="00990501"/>
    <w:rsid w:val="00990BA2"/>
    <w:rsid w:val="00991DED"/>
    <w:rsid w:val="009923AC"/>
    <w:rsid w:val="009924BD"/>
    <w:rsid w:val="00993053"/>
    <w:rsid w:val="009942C9"/>
    <w:rsid w:val="00996112"/>
    <w:rsid w:val="0099791C"/>
    <w:rsid w:val="009A0446"/>
    <w:rsid w:val="009A062C"/>
    <w:rsid w:val="009A127C"/>
    <w:rsid w:val="009A149C"/>
    <w:rsid w:val="009A36D0"/>
    <w:rsid w:val="009A48AF"/>
    <w:rsid w:val="009A522D"/>
    <w:rsid w:val="009A65C2"/>
    <w:rsid w:val="009A7823"/>
    <w:rsid w:val="009A79AF"/>
    <w:rsid w:val="009B0CA6"/>
    <w:rsid w:val="009B100F"/>
    <w:rsid w:val="009B1183"/>
    <w:rsid w:val="009B1D07"/>
    <w:rsid w:val="009B3F77"/>
    <w:rsid w:val="009B4171"/>
    <w:rsid w:val="009B4258"/>
    <w:rsid w:val="009B4E2A"/>
    <w:rsid w:val="009B5132"/>
    <w:rsid w:val="009B5C0A"/>
    <w:rsid w:val="009B5CF1"/>
    <w:rsid w:val="009B6CC2"/>
    <w:rsid w:val="009B6D01"/>
    <w:rsid w:val="009B7205"/>
    <w:rsid w:val="009B76E5"/>
    <w:rsid w:val="009C166A"/>
    <w:rsid w:val="009C28A7"/>
    <w:rsid w:val="009C42FC"/>
    <w:rsid w:val="009C4A8A"/>
    <w:rsid w:val="009C4F0A"/>
    <w:rsid w:val="009C5203"/>
    <w:rsid w:val="009C5B43"/>
    <w:rsid w:val="009C6FFB"/>
    <w:rsid w:val="009C7EF5"/>
    <w:rsid w:val="009D070F"/>
    <w:rsid w:val="009D1F94"/>
    <w:rsid w:val="009D2535"/>
    <w:rsid w:val="009D2A38"/>
    <w:rsid w:val="009D2FAC"/>
    <w:rsid w:val="009D59FD"/>
    <w:rsid w:val="009D6F48"/>
    <w:rsid w:val="009D79B3"/>
    <w:rsid w:val="009D7C6E"/>
    <w:rsid w:val="009E06A0"/>
    <w:rsid w:val="009E0B9D"/>
    <w:rsid w:val="009E1311"/>
    <w:rsid w:val="009E13E2"/>
    <w:rsid w:val="009E151E"/>
    <w:rsid w:val="009E261F"/>
    <w:rsid w:val="009E2AD8"/>
    <w:rsid w:val="009E30D0"/>
    <w:rsid w:val="009E3211"/>
    <w:rsid w:val="009E327A"/>
    <w:rsid w:val="009E5DB6"/>
    <w:rsid w:val="009E5F7C"/>
    <w:rsid w:val="009E72D2"/>
    <w:rsid w:val="009E7678"/>
    <w:rsid w:val="009F09FC"/>
    <w:rsid w:val="009F1BF3"/>
    <w:rsid w:val="009F28F7"/>
    <w:rsid w:val="009F4097"/>
    <w:rsid w:val="009F455F"/>
    <w:rsid w:val="009F4E91"/>
    <w:rsid w:val="009F7372"/>
    <w:rsid w:val="009F7F52"/>
    <w:rsid w:val="00A00609"/>
    <w:rsid w:val="00A008AF"/>
    <w:rsid w:val="00A0202C"/>
    <w:rsid w:val="00A0227E"/>
    <w:rsid w:val="00A0256B"/>
    <w:rsid w:val="00A0321E"/>
    <w:rsid w:val="00A037C5"/>
    <w:rsid w:val="00A0432F"/>
    <w:rsid w:val="00A04711"/>
    <w:rsid w:val="00A04A30"/>
    <w:rsid w:val="00A04B77"/>
    <w:rsid w:val="00A0546F"/>
    <w:rsid w:val="00A05E92"/>
    <w:rsid w:val="00A074A5"/>
    <w:rsid w:val="00A10A2A"/>
    <w:rsid w:val="00A10CAC"/>
    <w:rsid w:val="00A1124C"/>
    <w:rsid w:val="00A12DC8"/>
    <w:rsid w:val="00A130AA"/>
    <w:rsid w:val="00A13D6D"/>
    <w:rsid w:val="00A13DEF"/>
    <w:rsid w:val="00A14966"/>
    <w:rsid w:val="00A1535F"/>
    <w:rsid w:val="00A15EDF"/>
    <w:rsid w:val="00A16484"/>
    <w:rsid w:val="00A16860"/>
    <w:rsid w:val="00A17109"/>
    <w:rsid w:val="00A17840"/>
    <w:rsid w:val="00A17AAD"/>
    <w:rsid w:val="00A17CCB"/>
    <w:rsid w:val="00A17FB0"/>
    <w:rsid w:val="00A20900"/>
    <w:rsid w:val="00A2160E"/>
    <w:rsid w:val="00A22037"/>
    <w:rsid w:val="00A2213D"/>
    <w:rsid w:val="00A22F9F"/>
    <w:rsid w:val="00A2422A"/>
    <w:rsid w:val="00A24361"/>
    <w:rsid w:val="00A25B1D"/>
    <w:rsid w:val="00A303A1"/>
    <w:rsid w:val="00A3125D"/>
    <w:rsid w:val="00A315E4"/>
    <w:rsid w:val="00A3224D"/>
    <w:rsid w:val="00A32358"/>
    <w:rsid w:val="00A323B4"/>
    <w:rsid w:val="00A3558D"/>
    <w:rsid w:val="00A35932"/>
    <w:rsid w:val="00A365FE"/>
    <w:rsid w:val="00A3690D"/>
    <w:rsid w:val="00A36B85"/>
    <w:rsid w:val="00A36FA0"/>
    <w:rsid w:val="00A40ECD"/>
    <w:rsid w:val="00A41C85"/>
    <w:rsid w:val="00A42386"/>
    <w:rsid w:val="00A42CB9"/>
    <w:rsid w:val="00A42F6D"/>
    <w:rsid w:val="00A432DE"/>
    <w:rsid w:val="00A4394B"/>
    <w:rsid w:val="00A4593C"/>
    <w:rsid w:val="00A45A2E"/>
    <w:rsid w:val="00A461C3"/>
    <w:rsid w:val="00A47BCB"/>
    <w:rsid w:val="00A501AC"/>
    <w:rsid w:val="00A50751"/>
    <w:rsid w:val="00A50E72"/>
    <w:rsid w:val="00A5123A"/>
    <w:rsid w:val="00A515DE"/>
    <w:rsid w:val="00A5169A"/>
    <w:rsid w:val="00A521AA"/>
    <w:rsid w:val="00A52268"/>
    <w:rsid w:val="00A534CB"/>
    <w:rsid w:val="00A54076"/>
    <w:rsid w:val="00A54517"/>
    <w:rsid w:val="00A54BE7"/>
    <w:rsid w:val="00A55DEC"/>
    <w:rsid w:val="00A564EB"/>
    <w:rsid w:val="00A577E2"/>
    <w:rsid w:val="00A60A44"/>
    <w:rsid w:val="00A60A97"/>
    <w:rsid w:val="00A612EF"/>
    <w:rsid w:val="00A6500A"/>
    <w:rsid w:val="00A6600D"/>
    <w:rsid w:val="00A664EC"/>
    <w:rsid w:val="00A71016"/>
    <w:rsid w:val="00A71790"/>
    <w:rsid w:val="00A72992"/>
    <w:rsid w:val="00A729F2"/>
    <w:rsid w:val="00A72F86"/>
    <w:rsid w:val="00A735E5"/>
    <w:rsid w:val="00A739F1"/>
    <w:rsid w:val="00A7410E"/>
    <w:rsid w:val="00A768D1"/>
    <w:rsid w:val="00A77948"/>
    <w:rsid w:val="00A80C5E"/>
    <w:rsid w:val="00A81B63"/>
    <w:rsid w:val="00A822A3"/>
    <w:rsid w:val="00A84038"/>
    <w:rsid w:val="00A8478F"/>
    <w:rsid w:val="00A858C4"/>
    <w:rsid w:val="00A85E8B"/>
    <w:rsid w:val="00A877C3"/>
    <w:rsid w:val="00A90095"/>
    <w:rsid w:val="00A9059A"/>
    <w:rsid w:val="00A90E28"/>
    <w:rsid w:val="00A92366"/>
    <w:rsid w:val="00A93FA0"/>
    <w:rsid w:val="00A94196"/>
    <w:rsid w:val="00A944E1"/>
    <w:rsid w:val="00A9598D"/>
    <w:rsid w:val="00A974CA"/>
    <w:rsid w:val="00AA19A6"/>
    <w:rsid w:val="00AA2CD5"/>
    <w:rsid w:val="00AA4835"/>
    <w:rsid w:val="00AA4F6C"/>
    <w:rsid w:val="00AA5783"/>
    <w:rsid w:val="00AA632D"/>
    <w:rsid w:val="00AB01DC"/>
    <w:rsid w:val="00AB13FB"/>
    <w:rsid w:val="00AB15F4"/>
    <w:rsid w:val="00AB16AE"/>
    <w:rsid w:val="00AB2011"/>
    <w:rsid w:val="00AB2F82"/>
    <w:rsid w:val="00AB2FB4"/>
    <w:rsid w:val="00AB3D15"/>
    <w:rsid w:val="00AB494E"/>
    <w:rsid w:val="00AB4E76"/>
    <w:rsid w:val="00AB5945"/>
    <w:rsid w:val="00AB5A64"/>
    <w:rsid w:val="00AB67F9"/>
    <w:rsid w:val="00AB79E9"/>
    <w:rsid w:val="00AC2F38"/>
    <w:rsid w:val="00AC3763"/>
    <w:rsid w:val="00AC4BC7"/>
    <w:rsid w:val="00AC5630"/>
    <w:rsid w:val="00AC63F1"/>
    <w:rsid w:val="00AC7724"/>
    <w:rsid w:val="00AD04F4"/>
    <w:rsid w:val="00AD083C"/>
    <w:rsid w:val="00AD10FC"/>
    <w:rsid w:val="00AD1C3F"/>
    <w:rsid w:val="00AD3C27"/>
    <w:rsid w:val="00AD4139"/>
    <w:rsid w:val="00AD45F5"/>
    <w:rsid w:val="00AD4F02"/>
    <w:rsid w:val="00AD559A"/>
    <w:rsid w:val="00AD5DD9"/>
    <w:rsid w:val="00AD65DD"/>
    <w:rsid w:val="00AD670F"/>
    <w:rsid w:val="00AD75D9"/>
    <w:rsid w:val="00AD76CC"/>
    <w:rsid w:val="00AD7FFD"/>
    <w:rsid w:val="00AE1E54"/>
    <w:rsid w:val="00AE1E7A"/>
    <w:rsid w:val="00AE2169"/>
    <w:rsid w:val="00AE246C"/>
    <w:rsid w:val="00AE31D0"/>
    <w:rsid w:val="00AE3228"/>
    <w:rsid w:val="00AE322E"/>
    <w:rsid w:val="00AE3EED"/>
    <w:rsid w:val="00AE478A"/>
    <w:rsid w:val="00AE5A48"/>
    <w:rsid w:val="00AE65B3"/>
    <w:rsid w:val="00AE662C"/>
    <w:rsid w:val="00AF22E0"/>
    <w:rsid w:val="00AF3137"/>
    <w:rsid w:val="00AF462E"/>
    <w:rsid w:val="00AF4CEE"/>
    <w:rsid w:val="00AF520A"/>
    <w:rsid w:val="00AF6BDD"/>
    <w:rsid w:val="00B00778"/>
    <w:rsid w:val="00B009FE"/>
    <w:rsid w:val="00B01079"/>
    <w:rsid w:val="00B02B37"/>
    <w:rsid w:val="00B0386F"/>
    <w:rsid w:val="00B03A39"/>
    <w:rsid w:val="00B04941"/>
    <w:rsid w:val="00B04DE2"/>
    <w:rsid w:val="00B050C0"/>
    <w:rsid w:val="00B05642"/>
    <w:rsid w:val="00B05DBE"/>
    <w:rsid w:val="00B06097"/>
    <w:rsid w:val="00B064FB"/>
    <w:rsid w:val="00B065F9"/>
    <w:rsid w:val="00B06A18"/>
    <w:rsid w:val="00B077C0"/>
    <w:rsid w:val="00B07B3D"/>
    <w:rsid w:val="00B10CAE"/>
    <w:rsid w:val="00B116C6"/>
    <w:rsid w:val="00B117D1"/>
    <w:rsid w:val="00B12190"/>
    <w:rsid w:val="00B13F05"/>
    <w:rsid w:val="00B1407F"/>
    <w:rsid w:val="00B15D7F"/>
    <w:rsid w:val="00B16CCD"/>
    <w:rsid w:val="00B171BB"/>
    <w:rsid w:val="00B17771"/>
    <w:rsid w:val="00B17B23"/>
    <w:rsid w:val="00B21B8A"/>
    <w:rsid w:val="00B2247A"/>
    <w:rsid w:val="00B238A6"/>
    <w:rsid w:val="00B260E2"/>
    <w:rsid w:val="00B26D4B"/>
    <w:rsid w:val="00B273F2"/>
    <w:rsid w:val="00B302EA"/>
    <w:rsid w:val="00B32089"/>
    <w:rsid w:val="00B3317A"/>
    <w:rsid w:val="00B33293"/>
    <w:rsid w:val="00B3472C"/>
    <w:rsid w:val="00B349D4"/>
    <w:rsid w:val="00B34E0A"/>
    <w:rsid w:val="00B36551"/>
    <w:rsid w:val="00B412D2"/>
    <w:rsid w:val="00B415CC"/>
    <w:rsid w:val="00B426A9"/>
    <w:rsid w:val="00B4382B"/>
    <w:rsid w:val="00B43B08"/>
    <w:rsid w:val="00B43CA2"/>
    <w:rsid w:val="00B44F9E"/>
    <w:rsid w:val="00B4570B"/>
    <w:rsid w:val="00B45FFA"/>
    <w:rsid w:val="00B4719F"/>
    <w:rsid w:val="00B47F7A"/>
    <w:rsid w:val="00B50CEF"/>
    <w:rsid w:val="00B50DED"/>
    <w:rsid w:val="00B51ACE"/>
    <w:rsid w:val="00B51FDF"/>
    <w:rsid w:val="00B52E4C"/>
    <w:rsid w:val="00B5330B"/>
    <w:rsid w:val="00B56816"/>
    <w:rsid w:val="00B615FD"/>
    <w:rsid w:val="00B623D7"/>
    <w:rsid w:val="00B63863"/>
    <w:rsid w:val="00B647F0"/>
    <w:rsid w:val="00B65DF4"/>
    <w:rsid w:val="00B66CE1"/>
    <w:rsid w:val="00B66E7A"/>
    <w:rsid w:val="00B67627"/>
    <w:rsid w:val="00B67A93"/>
    <w:rsid w:val="00B70E0A"/>
    <w:rsid w:val="00B715D0"/>
    <w:rsid w:val="00B726EA"/>
    <w:rsid w:val="00B72A16"/>
    <w:rsid w:val="00B72E65"/>
    <w:rsid w:val="00B73622"/>
    <w:rsid w:val="00B74718"/>
    <w:rsid w:val="00B7498B"/>
    <w:rsid w:val="00B75E76"/>
    <w:rsid w:val="00B82157"/>
    <w:rsid w:val="00B83244"/>
    <w:rsid w:val="00B84731"/>
    <w:rsid w:val="00B85315"/>
    <w:rsid w:val="00B85885"/>
    <w:rsid w:val="00B86509"/>
    <w:rsid w:val="00B869D3"/>
    <w:rsid w:val="00B86CD6"/>
    <w:rsid w:val="00B8758A"/>
    <w:rsid w:val="00B875CA"/>
    <w:rsid w:val="00B90DC7"/>
    <w:rsid w:val="00B91214"/>
    <w:rsid w:val="00B916FB"/>
    <w:rsid w:val="00B9206A"/>
    <w:rsid w:val="00B9294D"/>
    <w:rsid w:val="00B92AA4"/>
    <w:rsid w:val="00B9327B"/>
    <w:rsid w:val="00B939D6"/>
    <w:rsid w:val="00B94042"/>
    <w:rsid w:val="00B96D3E"/>
    <w:rsid w:val="00BA02CA"/>
    <w:rsid w:val="00BA053A"/>
    <w:rsid w:val="00BA0E1D"/>
    <w:rsid w:val="00BA1666"/>
    <w:rsid w:val="00BA1898"/>
    <w:rsid w:val="00BA1937"/>
    <w:rsid w:val="00BA1CFA"/>
    <w:rsid w:val="00BA4423"/>
    <w:rsid w:val="00BA4768"/>
    <w:rsid w:val="00BA48D9"/>
    <w:rsid w:val="00BA4EC0"/>
    <w:rsid w:val="00BA513F"/>
    <w:rsid w:val="00BA5818"/>
    <w:rsid w:val="00BA602F"/>
    <w:rsid w:val="00BA64CA"/>
    <w:rsid w:val="00BA6B55"/>
    <w:rsid w:val="00BB11E2"/>
    <w:rsid w:val="00BB1BFA"/>
    <w:rsid w:val="00BB2CCC"/>
    <w:rsid w:val="00BB36ED"/>
    <w:rsid w:val="00BB3836"/>
    <w:rsid w:val="00BB39F2"/>
    <w:rsid w:val="00BB4781"/>
    <w:rsid w:val="00BB5F74"/>
    <w:rsid w:val="00BB72F4"/>
    <w:rsid w:val="00BB7C84"/>
    <w:rsid w:val="00BC0EE5"/>
    <w:rsid w:val="00BC152D"/>
    <w:rsid w:val="00BC1DD7"/>
    <w:rsid w:val="00BC2121"/>
    <w:rsid w:val="00BC2E80"/>
    <w:rsid w:val="00BC36A9"/>
    <w:rsid w:val="00BC41D8"/>
    <w:rsid w:val="00BC480A"/>
    <w:rsid w:val="00BC4A2E"/>
    <w:rsid w:val="00BC4BF4"/>
    <w:rsid w:val="00BC522D"/>
    <w:rsid w:val="00BC67FC"/>
    <w:rsid w:val="00BC6DAE"/>
    <w:rsid w:val="00BD0AF4"/>
    <w:rsid w:val="00BD119C"/>
    <w:rsid w:val="00BD17C5"/>
    <w:rsid w:val="00BD1CB9"/>
    <w:rsid w:val="00BD1E6C"/>
    <w:rsid w:val="00BD1F8E"/>
    <w:rsid w:val="00BD5665"/>
    <w:rsid w:val="00BD63E7"/>
    <w:rsid w:val="00BD6B49"/>
    <w:rsid w:val="00BE0065"/>
    <w:rsid w:val="00BE042D"/>
    <w:rsid w:val="00BE1B4D"/>
    <w:rsid w:val="00BE2FD8"/>
    <w:rsid w:val="00BE3516"/>
    <w:rsid w:val="00BE39D5"/>
    <w:rsid w:val="00BE4380"/>
    <w:rsid w:val="00BE4802"/>
    <w:rsid w:val="00BE5F66"/>
    <w:rsid w:val="00BE7212"/>
    <w:rsid w:val="00BE7911"/>
    <w:rsid w:val="00BE7D45"/>
    <w:rsid w:val="00BE7F0C"/>
    <w:rsid w:val="00BF20CB"/>
    <w:rsid w:val="00BF2AB6"/>
    <w:rsid w:val="00BF331F"/>
    <w:rsid w:val="00BF3993"/>
    <w:rsid w:val="00BF7538"/>
    <w:rsid w:val="00C01391"/>
    <w:rsid w:val="00C01752"/>
    <w:rsid w:val="00C01C9D"/>
    <w:rsid w:val="00C0220C"/>
    <w:rsid w:val="00C02D24"/>
    <w:rsid w:val="00C05CC6"/>
    <w:rsid w:val="00C05F31"/>
    <w:rsid w:val="00C068C7"/>
    <w:rsid w:val="00C071C1"/>
    <w:rsid w:val="00C073C2"/>
    <w:rsid w:val="00C1292E"/>
    <w:rsid w:val="00C13ECE"/>
    <w:rsid w:val="00C14A75"/>
    <w:rsid w:val="00C160F4"/>
    <w:rsid w:val="00C178CA"/>
    <w:rsid w:val="00C2011B"/>
    <w:rsid w:val="00C204EB"/>
    <w:rsid w:val="00C20794"/>
    <w:rsid w:val="00C20847"/>
    <w:rsid w:val="00C211CC"/>
    <w:rsid w:val="00C2120D"/>
    <w:rsid w:val="00C21277"/>
    <w:rsid w:val="00C229CC"/>
    <w:rsid w:val="00C22F56"/>
    <w:rsid w:val="00C233E9"/>
    <w:rsid w:val="00C2345A"/>
    <w:rsid w:val="00C23605"/>
    <w:rsid w:val="00C23DA8"/>
    <w:rsid w:val="00C24179"/>
    <w:rsid w:val="00C25197"/>
    <w:rsid w:val="00C255D1"/>
    <w:rsid w:val="00C25634"/>
    <w:rsid w:val="00C26092"/>
    <w:rsid w:val="00C261DB"/>
    <w:rsid w:val="00C274AB"/>
    <w:rsid w:val="00C303B4"/>
    <w:rsid w:val="00C31105"/>
    <w:rsid w:val="00C3151D"/>
    <w:rsid w:val="00C32018"/>
    <w:rsid w:val="00C32129"/>
    <w:rsid w:val="00C346DA"/>
    <w:rsid w:val="00C368B8"/>
    <w:rsid w:val="00C3690D"/>
    <w:rsid w:val="00C376DA"/>
    <w:rsid w:val="00C406F1"/>
    <w:rsid w:val="00C40EBC"/>
    <w:rsid w:val="00C413C2"/>
    <w:rsid w:val="00C41A43"/>
    <w:rsid w:val="00C4202E"/>
    <w:rsid w:val="00C42ACA"/>
    <w:rsid w:val="00C42B3F"/>
    <w:rsid w:val="00C42BA5"/>
    <w:rsid w:val="00C430F8"/>
    <w:rsid w:val="00C43F11"/>
    <w:rsid w:val="00C45632"/>
    <w:rsid w:val="00C46F6F"/>
    <w:rsid w:val="00C5034A"/>
    <w:rsid w:val="00C50353"/>
    <w:rsid w:val="00C51308"/>
    <w:rsid w:val="00C52018"/>
    <w:rsid w:val="00C539F8"/>
    <w:rsid w:val="00C53A47"/>
    <w:rsid w:val="00C5494B"/>
    <w:rsid w:val="00C559BD"/>
    <w:rsid w:val="00C5628C"/>
    <w:rsid w:val="00C56B43"/>
    <w:rsid w:val="00C57329"/>
    <w:rsid w:val="00C57BB9"/>
    <w:rsid w:val="00C602FE"/>
    <w:rsid w:val="00C60935"/>
    <w:rsid w:val="00C611B7"/>
    <w:rsid w:val="00C6126B"/>
    <w:rsid w:val="00C61566"/>
    <w:rsid w:val="00C61699"/>
    <w:rsid w:val="00C628CC"/>
    <w:rsid w:val="00C62B02"/>
    <w:rsid w:val="00C6388D"/>
    <w:rsid w:val="00C6425D"/>
    <w:rsid w:val="00C64908"/>
    <w:rsid w:val="00C6515E"/>
    <w:rsid w:val="00C653F7"/>
    <w:rsid w:val="00C65DB7"/>
    <w:rsid w:val="00C705B5"/>
    <w:rsid w:val="00C70639"/>
    <w:rsid w:val="00C7093C"/>
    <w:rsid w:val="00C71105"/>
    <w:rsid w:val="00C71BA3"/>
    <w:rsid w:val="00C724C2"/>
    <w:rsid w:val="00C73491"/>
    <w:rsid w:val="00C73658"/>
    <w:rsid w:val="00C738BD"/>
    <w:rsid w:val="00C73F34"/>
    <w:rsid w:val="00C73F88"/>
    <w:rsid w:val="00C74AA5"/>
    <w:rsid w:val="00C75257"/>
    <w:rsid w:val="00C75D40"/>
    <w:rsid w:val="00C76003"/>
    <w:rsid w:val="00C7674E"/>
    <w:rsid w:val="00C76A9D"/>
    <w:rsid w:val="00C76F7E"/>
    <w:rsid w:val="00C77ED7"/>
    <w:rsid w:val="00C8018C"/>
    <w:rsid w:val="00C80D53"/>
    <w:rsid w:val="00C81369"/>
    <w:rsid w:val="00C81A6E"/>
    <w:rsid w:val="00C824B5"/>
    <w:rsid w:val="00C827F4"/>
    <w:rsid w:val="00C829EB"/>
    <w:rsid w:val="00C82A64"/>
    <w:rsid w:val="00C82BA8"/>
    <w:rsid w:val="00C830F0"/>
    <w:rsid w:val="00C83627"/>
    <w:rsid w:val="00C8401A"/>
    <w:rsid w:val="00C85EAC"/>
    <w:rsid w:val="00C86019"/>
    <w:rsid w:val="00C8634F"/>
    <w:rsid w:val="00C86C6F"/>
    <w:rsid w:val="00C87F70"/>
    <w:rsid w:val="00C91237"/>
    <w:rsid w:val="00C914AE"/>
    <w:rsid w:val="00C916CE"/>
    <w:rsid w:val="00C918D3"/>
    <w:rsid w:val="00C92F39"/>
    <w:rsid w:val="00C9306D"/>
    <w:rsid w:val="00C9534E"/>
    <w:rsid w:val="00C9543E"/>
    <w:rsid w:val="00C95D81"/>
    <w:rsid w:val="00C95EAB"/>
    <w:rsid w:val="00C960AA"/>
    <w:rsid w:val="00C9661E"/>
    <w:rsid w:val="00CA121E"/>
    <w:rsid w:val="00CA1815"/>
    <w:rsid w:val="00CA1D90"/>
    <w:rsid w:val="00CA2620"/>
    <w:rsid w:val="00CA501D"/>
    <w:rsid w:val="00CA510E"/>
    <w:rsid w:val="00CA55C4"/>
    <w:rsid w:val="00CA6A91"/>
    <w:rsid w:val="00CA7BA9"/>
    <w:rsid w:val="00CB02B0"/>
    <w:rsid w:val="00CB0F58"/>
    <w:rsid w:val="00CB0FB1"/>
    <w:rsid w:val="00CB1753"/>
    <w:rsid w:val="00CB1789"/>
    <w:rsid w:val="00CB189F"/>
    <w:rsid w:val="00CB1CB2"/>
    <w:rsid w:val="00CB3391"/>
    <w:rsid w:val="00CB3807"/>
    <w:rsid w:val="00CB4322"/>
    <w:rsid w:val="00CB477A"/>
    <w:rsid w:val="00CB4C5F"/>
    <w:rsid w:val="00CB536D"/>
    <w:rsid w:val="00CB5C18"/>
    <w:rsid w:val="00CB67C6"/>
    <w:rsid w:val="00CC004F"/>
    <w:rsid w:val="00CC0062"/>
    <w:rsid w:val="00CC0D65"/>
    <w:rsid w:val="00CC1F55"/>
    <w:rsid w:val="00CC39B1"/>
    <w:rsid w:val="00CC454D"/>
    <w:rsid w:val="00CC52F7"/>
    <w:rsid w:val="00CC56F6"/>
    <w:rsid w:val="00CC5E5F"/>
    <w:rsid w:val="00CC76F5"/>
    <w:rsid w:val="00CC79FC"/>
    <w:rsid w:val="00CC7CE3"/>
    <w:rsid w:val="00CD0FD9"/>
    <w:rsid w:val="00CD26FF"/>
    <w:rsid w:val="00CD3C07"/>
    <w:rsid w:val="00CD40C5"/>
    <w:rsid w:val="00CD4764"/>
    <w:rsid w:val="00CD4ACE"/>
    <w:rsid w:val="00CD4C1C"/>
    <w:rsid w:val="00CD5134"/>
    <w:rsid w:val="00CD526B"/>
    <w:rsid w:val="00CD58EC"/>
    <w:rsid w:val="00CD5B93"/>
    <w:rsid w:val="00CD6501"/>
    <w:rsid w:val="00CD753F"/>
    <w:rsid w:val="00CE0BA6"/>
    <w:rsid w:val="00CE0F3A"/>
    <w:rsid w:val="00CE3AB8"/>
    <w:rsid w:val="00CE557A"/>
    <w:rsid w:val="00CE6091"/>
    <w:rsid w:val="00CE6214"/>
    <w:rsid w:val="00CE69C9"/>
    <w:rsid w:val="00CE6A3E"/>
    <w:rsid w:val="00CE7E1C"/>
    <w:rsid w:val="00CF0826"/>
    <w:rsid w:val="00CF0D8A"/>
    <w:rsid w:val="00CF1839"/>
    <w:rsid w:val="00CF1844"/>
    <w:rsid w:val="00CF267F"/>
    <w:rsid w:val="00CF29C1"/>
    <w:rsid w:val="00CF3334"/>
    <w:rsid w:val="00CF36FC"/>
    <w:rsid w:val="00CF389E"/>
    <w:rsid w:val="00CF43DB"/>
    <w:rsid w:val="00CF4717"/>
    <w:rsid w:val="00CF67EF"/>
    <w:rsid w:val="00CF6888"/>
    <w:rsid w:val="00CF7609"/>
    <w:rsid w:val="00CF7DA0"/>
    <w:rsid w:val="00D042AD"/>
    <w:rsid w:val="00D0446F"/>
    <w:rsid w:val="00D04614"/>
    <w:rsid w:val="00D04BC8"/>
    <w:rsid w:val="00D04C96"/>
    <w:rsid w:val="00D051C8"/>
    <w:rsid w:val="00D0583A"/>
    <w:rsid w:val="00D07A9C"/>
    <w:rsid w:val="00D10FBB"/>
    <w:rsid w:val="00D11114"/>
    <w:rsid w:val="00D11CF6"/>
    <w:rsid w:val="00D128DC"/>
    <w:rsid w:val="00D12945"/>
    <w:rsid w:val="00D136FE"/>
    <w:rsid w:val="00D148A6"/>
    <w:rsid w:val="00D1723F"/>
    <w:rsid w:val="00D17E18"/>
    <w:rsid w:val="00D20F6E"/>
    <w:rsid w:val="00D22517"/>
    <w:rsid w:val="00D2323E"/>
    <w:rsid w:val="00D236BE"/>
    <w:rsid w:val="00D2386E"/>
    <w:rsid w:val="00D23F76"/>
    <w:rsid w:val="00D26B64"/>
    <w:rsid w:val="00D26C3E"/>
    <w:rsid w:val="00D27E87"/>
    <w:rsid w:val="00D27F3B"/>
    <w:rsid w:val="00D308B9"/>
    <w:rsid w:val="00D30AA4"/>
    <w:rsid w:val="00D30C66"/>
    <w:rsid w:val="00D31944"/>
    <w:rsid w:val="00D33F6E"/>
    <w:rsid w:val="00D34AE1"/>
    <w:rsid w:val="00D34BF7"/>
    <w:rsid w:val="00D34C9F"/>
    <w:rsid w:val="00D36033"/>
    <w:rsid w:val="00D3674A"/>
    <w:rsid w:val="00D3707D"/>
    <w:rsid w:val="00D37338"/>
    <w:rsid w:val="00D37E80"/>
    <w:rsid w:val="00D4085D"/>
    <w:rsid w:val="00D410F3"/>
    <w:rsid w:val="00D44AFE"/>
    <w:rsid w:val="00D455A4"/>
    <w:rsid w:val="00D46A74"/>
    <w:rsid w:val="00D5092D"/>
    <w:rsid w:val="00D52381"/>
    <w:rsid w:val="00D5254A"/>
    <w:rsid w:val="00D52914"/>
    <w:rsid w:val="00D537F2"/>
    <w:rsid w:val="00D54124"/>
    <w:rsid w:val="00D543FE"/>
    <w:rsid w:val="00D54475"/>
    <w:rsid w:val="00D54899"/>
    <w:rsid w:val="00D56004"/>
    <w:rsid w:val="00D569A1"/>
    <w:rsid w:val="00D5713A"/>
    <w:rsid w:val="00D57346"/>
    <w:rsid w:val="00D60900"/>
    <w:rsid w:val="00D61911"/>
    <w:rsid w:val="00D61FDA"/>
    <w:rsid w:val="00D624AD"/>
    <w:rsid w:val="00D63E84"/>
    <w:rsid w:val="00D642B3"/>
    <w:rsid w:val="00D676FC"/>
    <w:rsid w:val="00D677F9"/>
    <w:rsid w:val="00D67814"/>
    <w:rsid w:val="00D70388"/>
    <w:rsid w:val="00D7127D"/>
    <w:rsid w:val="00D726F7"/>
    <w:rsid w:val="00D7319F"/>
    <w:rsid w:val="00D73591"/>
    <w:rsid w:val="00D73738"/>
    <w:rsid w:val="00D758A8"/>
    <w:rsid w:val="00D764F4"/>
    <w:rsid w:val="00D77CB9"/>
    <w:rsid w:val="00D802FC"/>
    <w:rsid w:val="00D81252"/>
    <w:rsid w:val="00D8366E"/>
    <w:rsid w:val="00D83704"/>
    <w:rsid w:val="00D843CF"/>
    <w:rsid w:val="00D8532B"/>
    <w:rsid w:val="00D85DA7"/>
    <w:rsid w:val="00D86BD1"/>
    <w:rsid w:val="00D86C9B"/>
    <w:rsid w:val="00D900DF"/>
    <w:rsid w:val="00D911C6"/>
    <w:rsid w:val="00D93360"/>
    <w:rsid w:val="00D9423D"/>
    <w:rsid w:val="00D94516"/>
    <w:rsid w:val="00D95839"/>
    <w:rsid w:val="00D961F2"/>
    <w:rsid w:val="00D973A5"/>
    <w:rsid w:val="00D9741C"/>
    <w:rsid w:val="00DA0F2E"/>
    <w:rsid w:val="00DA18C8"/>
    <w:rsid w:val="00DA28A0"/>
    <w:rsid w:val="00DA3348"/>
    <w:rsid w:val="00DA3C4F"/>
    <w:rsid w:val="00DA44EA"/>
    <w:rsid w:val="00DA4819"/>
    <w:rsid w:val="00DA48D1"/>
    <w:rsid w:val="00DA4D73"/>
    <w:rsid w:val="00DA53AA"/>
    <w:rsid w:val="00DA5D1F"/>
    <w:rsid w:val="00DA5F91"/>
    <w:rsid w:val="00DA6792"/>
    <w:rsid w:val="00DA7A24"/>
    <w:rsid w:val="00DA7BAD"/>
    <w:rsid w:val="00DB1B08"/>
    <w:rsid w:val="00DB27DC"/>
    <w:rsid w:val="00DB2C1E"/>
    <w:rsid w:val="00DB34E9"/>
    <w:rsid w:val="00DB38DA"/>
    <w:rsid w:val="00DB4D33"/>
    <w:rsid w:val="00DB4DA8"/>
    <w:rsid w:val="00DB5D10"/>
    <w:rsid w:val="00DB5FB1"/>
    <w:rsid w:val="00DB6DF7"/>
    <w:rsid w:val="00DB6E7A"/>
    <w:rsid w:val="00DB700E"/>
    <w:rsid w:val="00DB7F02"/>
    <w:rsid w:val="00DC282A"/>
    <w:rsid w:val="00DC28CA"/>
    <w:rsid w:val="00DC2DD8"/>
    <w:rsid w:val="00DC3229"/>
    <w:rsid w:val="00DC4EDF"/>
    <w:rsid w:val="00DC50E5"/>
    <w:rsid w:val="00DC5307"/>
    <w:rsid w:val="00DD049F"/>
    <w:rsid w:val="00DD0C35"/>
    <w:rsid w:val="00DD0D43"/>
    <w:rsid w:val="00DD1C75"/>
    <w:rsid w:val="00DD2E42"/>
    <w:rsid w:val="00DD3E22"/>
    <w:rsid w:val="00DD3ED9"/>
    <w:rsid w:val="00DD6235"/>
    <w:rsid w:val="00DD6E65"/>
    <w:rsid w:val="00DE008B"/>
    <w:rsid w:val="00DE048A"/>
    <w:rsid w:val="00DE1EFC"/>
    <w:rsid w:val="00DE1F67"/>
    <w:rsid w:val="00DE20AA"/>
    <w:rsid w:val="00DE2A42"/>
    <w:rsid w:val="00DE2F6E"/>
    <w:rsid w:val="00DE3DA7"/>
    <w:rsid w:val="00DE3DE1"/>
    <w:rsid w:val="00DE4A6C"/>
    <w:rsid w:val="00DE50E2"/>
    <w:rsid w:val="00DE5762"/>
    <w:rsid w:val="00DE5FE5"/>
    <w:rsid w:val="00DE64C1"/>
    <w:rsid w:val="00DE657F"/>
    <w:rsid w:val="00DE6F0C"/>
    <w:rsid w:val="00DE7DB2"/>
    <w:rsid w:val="00DF094E"/>
    <w:rsid w:val="00DF0E86"/>
    <w:rsid w:val="00DF23D3"/>
    <w:rsid w:val="00DF2B88"/>
    <w:rsid w:val="00DF3483"/>
    <w:rsid w:val="00DF3696"/>
    <w:rsid w:val="00DF3FAA"/>
    <w:rsid w:val="00DF4603"/>
    <w:rsid w:val="00DF4F27"/>
    <w:rsid w:val="00DF56B2"/>
    <w:rsid w:val="00DF670D"/>
    <w:rsid w:val="00DF6987"/>
    <w:rsid w:val="00DF7FDE"/>
    <w:rsid w:val="00E01052"/>
    <w:rsid w:val="00E01106"/>
    <w:rsid w:val="00E022BB"/>
    <w:rsid w:val="00E02612"/>
    <w:rsid w:val="00E02E83"/>
    <w:rsid w:val="00E030DA"/>
    <w:rsid w:val="00E03EAD"/>
    <w:rsid w:val="00E043B1"/>
    <w:rsid w:val="00E068EC"/>
    <w:rsid w:val="00E06E7A"/>
    <w:rsid w:val="00E07382"/>
    <w:rsid w:val="00E10E5E"/>
    <w:rsid w:val="00E119E7"/>
    <w:rsid w:val="00E13C51"/>
    <w:rsid w:val="00E13C96"/>
    <w:rsid w:val="00E14F9D"/>
    <w:rsid w:val="00E15129"/>
    <w:rsid w:val="00E15A6A"/>
    <w:rsid w:val="00E15B9E"/>
    <w:rsid w:val="00E160BE"/>
    <w:rsid w:val="00E17111"/>
    <w:rsid w:val="00E173E9"/>
    <w:rsid w:val="00E20AAE"/>
    <w:rsid w:val="00E213F2"/>
    <w:rsid w:val="00E21859"/>
    <w:rsid w:val="00E220BC"/>
    <w:rsid w:val="00E2280C"/>
    <w:rsid w:val="00E22815"/>
    <w:rsid w:val="00E23DD9"/>
    <w:rsid w:val="00E23F74"/>
    <w:rsid w:val="00E240CB"/>
    <w:rsid w:val="00E268AA"/>
    <w:rsid w:val="00E27AE7"/>
    <w:rsid w:val="00E27FB8"/>
    <w:rsid w:val="00E3089F"/>
    <w:rsid w:val="00E33938"/>
    <w:rsid w:val="00E33990"/>
    <w:rsid w:val="00E33F03"/>
    <w:rsid w:val="00E354D8"/>
    <w:rsid w:val="00E35AAC"/>
    <w:rsid w:val="00E35CBC"/>
    <w:rsid w:val="00E35E39"/>
    <w:rsid w:val="00E3658A"/>
    <w:rsid w:val="00E36830"/>
    <w:rsid w:val="00E36CB2"/>
    <w:rsid w:val="00E3706A"/>
    <w:rsid w:val="00E3738B"/>
    <w:rsid w:val="00E37446"/>
    <w:rsid w:val="00E37477"/>
    <w:rsid w:val="00E4099E"/>
    <w:rsid w:val="00E40C45"/>
    <w:rsid w:val="00E4111D"/>
    <w:rsid w:val="00E41D2C"/>
    <w:rsid w:val="00E41E94"/>
    <w:rsid w:val="00E43982"/>
    <w:rsid w:val="00E43DE3"/>
    <w:rsid w:val="00E43FF4"/>
    <w:rsid w:val="00E442D4"/>
    <w:rsid w:val="00E45332"/>
    <w:rsid w:val="00E456AA"/>
    <w:rsid w:val="00E50963"/>
    <w:rsid w:val="00E50A49"/>
    <w:rsid w:val="00E51173"/>
    <w:rsid w:val="00E51A35"/>
    <w:rsid w:val="00E51C51"/>
    <w:rsid w:val="00E53621"/>
    <w:rsid w:val="00E53B76"/>
    <w:rsid w:val="00E54704"/>
    <w:rsid w:val="00E55C69"/>
    <w:rsid w:val="00E567EC"/>
    <w:rsid w:val="00E56C3D"/>
    <w:rsid w:val="00E579FF"/>
    <w:rsid w:val="00E60393"/>
    <w:rsid w:val="00E6078C"/>
    <w:rsid w:val="00E60B72"/>
    <w:rsid w:val="00E616E9"/>
    <w:rsid w:val="00E617A9"/>
    <w:rsid w:val="00E61DEE"/>
    <w:rsid w:val="00E63B27"/>
    <w:rsid w:val="00E648AE"/>
    <w:rsid w:val="00E650AA"/>
    <w:rsid w:val="00E66BE0"/>
    <w:rsid w:val="00E66DE2"/>
    <w:rsid w:val="00E7195E"/>
    <w:rsid w:val="00E72F4A"/>
    <w:rsid w:val="00E7319D"/>
    <w:rsid w:val="00E73341"/>
    <w:rsid w:val="00E73A6B"/>
    <w:rsid w:val="00E74C98"/>
    <w:rsid w:val="00E74F0F"/>
    <w:rsid w:val="00E76716"/>
    <w:rsid w:val="00E76AD9"/>
    <w:rsid w:val="00E76D5C"/>
    <w:rsid w:val="00E76DD0"/>
    <w:rsid w:val="00E776AA"/>
    <w:rsid w:val="00E77DFA"/>
    <w:rsid w:val="00E8065D"/>
    <w:rsid w:val="00E80782"/>
    <w:rsid w:val="00E808AB"/>
    <w:rsid w:val="00E80F38"/>
    <w:rsid w:val="00E8169C"/>
    <w:rsid w:val="00E81937"/>
    <w:rsid w:val="00E82115"/>
    <w:rsid w:val="00E825D4"/>
    <w:rsid w:val="00E82EC9"/>
    <w:rsid w:val="00E83056"/>
    <w:rsid w:val="00E83448"/>
    <w:rsid w:val="00E83AD2"/>
    <w:rsid w:val="00E83B2B"/>
    <w:rsid w:val="00E83F84"/>
    <w:rsid w:val="00E84020"/>
    <w:rsid w:val="00E84DB7"/>
    <w:rsid w:val="00E84E3C"/>
    <w:rsid w:val="00E84E3F"/>
    <w:rsid w:val="00E8534C"/>
    <w:rsid w:val="00E87353"/>
    <w:rsid w:val="00E876DC"/>
    <w:rsid w:val="00E90BDD"/>
    <w:rsid w:val="00E92A3D"/>
    <w:rsid w:val="00E92C8A"/>
    <w:rsid w:val="00E9346D"/>
    <w:rsid w:val="00E94DA1"/>
    <w:rsid w:val="00E96012"/>
    <w:rsid w:val="00E96B32"/>
    <w:rsid w:val="00E97031"/>
    <w:rsid w:val="00E97545"/>
    <w:rsid w:val="00E97B49"/>
    <w:rsid w:val="00EA07AC"/>
    <w:rsid w:val="00EA2947"/>
    <w:rsid w:val="00EA3D0C"/>
    <w:rsid w:val="00EA43CA"/>
    <w:rsid w:val="00EA4791"/>
    <w:rsid w:val="00EA53F2"/>
    <w:rsid w:val="00EA594C"/>
    <w:rsid w:val="00EA6DC6"/>
    <w:rsid w:val="00EA6F70"/>
    <w:rsid w:val="00EA74CE"/>
    <w:rsid w:val="00EB185D"/>
    <w:rsid w:val="00EB2D60"/>
    <w:rsid w:val="00EB2EA3"/>
    <w:rsid w:val="00EB32A2"/>
    <w:rsid w:val="00EB3CE2"/>
    <w:rsid w:val="00EB45E1"/>
    <w:rsid w:val="00EB7EDA"/>
    <w:rsid w:val="00EC06B9"/>
    <w:rsid w:val="00EC0AF0"/>
    <w:rsid w:val="00EC1449"/>
    <w:rsid w:val="00EC18ED"/>
    <w:rsid w:val="00EC1A9B"/>
    <w:rsid w:val="00EC24E4"/>
    <w:rsid w:val="00EC260F"/>
    <w:rsid w:val="00EC41A7"/>
    <w:rsid w:val="00EC4FFF"/>
    <w:rsid w:val="00EC5206"/>
    <w:rsid w:val="00EC56AD"/>
    <w:rsid w:val="00ED0175"/>
    <w:rsid w:val="00ED066B"/>
    <w:rsid w:val="00ED0AC8"/>
    <w:rsid w:val="00ED0DF7"/>
    <w:rsid w:val="00ED1FBD"/>
    <w:rsid w:val="00ED21AA"/>
    <w:rsid w:val="00ED4036"/>
    <w:rsid w:val="00ED4074"/>
    <w:rsid w:val="00ED41D7"/>
    <w:rsid w:val="00ED4318"/>
    <w:rsid w:val="00ED6043"/>
    <w:rsid w:val="00ED6A48"/>
    <w:rsid w:val="00ED78C0"/>
    <w:rsid w:val="00EE0650"/>
    <w:rsid w:val="00EE2A43"/>
    <w:rsid w:val="00EE332C"/>
    <w:rsid w:val="00EE3C9E"/>
    <w:rsid w:val="00EE3CA4"/>
    <w:rsid w:val="00EE46B2"/>
    <w:rsid w:val="00EE46EB"/>
    <w:rsid w:val="00EE57AC"/>
    <w:rsid w:val="00EE5EDD"/>
    <w:rsid w:val="00EE637A"/>
    <w:rsid w:val="00EE6402"/>
    <w:rsid w:val="00EE6AA0"/>
    <w:rsid w:val="00EE6DDC"/>
    <w:rsid w:val="00EF0699"/>
    <w:rsid w:val="00EF0F08"/>
    <w:rsid w:val="00EF1D65"/>
    <w:rsid w:val="00EF203E"/>
    <w:rsid w:val="00EF2427"/>
    <w:rsid w:val="00EF277C"/>
    <w:rsid w:val="00EF4D1B"/>
    <w:rsid w:val="00EF5F43"/>
    <w:rsid w:val="00EF6601"/>
    <w:rsid w:val="00EF72D4"/>
    <w:rsid w:val="00EF7B06"/>
    <w:rsid w:val="00F00177"/>
    <w:rsid w:val="00F02F26"/>
    <w:rsid w:val="00F04DFE"/>
    <w:rsid w:val="00F07B3A"/>
    <w:rsid w:val="00F07C00"/>
    <w:rsid w:val="00F07C7C"/>
    <w:rsid w:val="00F10D18"/>
    <w:rsid w:val="00F11A23"/>
    <w:rsid w:val="00F12259"/>
    <w:rsid w:val="00F12ACD"/>
    <w:rsid w:val="00F12F80"/>
    <w:rsid w:val="00F1347D"/>
    <w:rsid w:val="00F158C1"/>
    <w:rsid w:val="00F15C58"/>
    <w:rsid w:val="00F16589"/>
    <w:rsid w:val="00F17E90"/>
    <w:rsid w:val="00F2068C"/>
    <w:rsid w:val="00F20751"/>
    <w:rsid w:val="00F20A02"/>
    <w:rsid w:val="00F21934"/>
    <w:rsid w:val="00F22812"/>
    <w:rsid w:val="00F22C1A"/>
    <w:rsid w:val="00F22ED3"/>
    <w:rsid w:val="00F23811"/>
    <w:rsid w:val="00F23C34"/>
    <w:rsid w:val="00F24512"/>
    <w:rsid w:val="00F24AC9"/>
    <w:rsid w:val="00F251B6"/>
    <w:rsid w:val="00F25354"/>
    <w:rsid w:val="00F264D3"/>
    <w:rsid w:val="00F26D8A"/>
    <w:rsid w:val="00F26E7F"/>
    <w:rsid w:val="00F30BF9"/>
    <w:rsid w:val="00F30EF0"/>
    <w:rsid w:val="00F3245D"/>
    <w:rsid w:val="00F324C4"/>
    <w:rsid w:val="00F32F51"/>
    <w:rsid w:val="00F33179"/>
    <w:rsid w:val="00F33B48"/>
    <w:rsid w:val="00F351F4"/>
    <w:rsid w:val="00F35EC2"/>
    <w:rsid w:val="00F36449"/>
    <w:rsid w:val="00F3726F"/>
    <w:rsid w:val="00F37EDB"/>
    <w:rsid w:val="00F4012C"/>
    <w:rsid w:val="00F40335"/>
    <w:rsid w:val="00F42196"/>
    <w:rsid w:val="00F43741"/>
    <w:rsid w:val="00F4377A"/>
    <w:rsid w:val="00F439B2"/>
    <w:rsid w:val="00F4420E"/>
    <w:rsid w:val="00F451E2"/>
    <w:rsid w:val="00F46237"/>
    <w:rsid w:val="00F46D42"/>
    <w:rsid w:val="00F470D9"/>
    <w:rsid w:val="00F47765"/>
    <w:rsid w:val="00F512B9"/>
    <w:rsid w:val="00F5255B"/>
    <w:rsid w:val="00F5322C"/>
    <w:rsid w:val="00F53AC9"/>
    <w:rsid w:val="00F54096"/>
    <w:rsid w:val="00F54183"/>
    <w:rsid w:val="00F549A5"/>
    <w:rsid w:val="00F54F71"/>
    <w:rsid w:val="00F55B59"/>
    <w:rsid w:val="00F61540"/>
    <w:rsid w:val="00F628DB"/>
    <w:rsid w:val="00F6403E"/>
    <w:rsid w:val="00F6555B"/>
    <w:rsid w:val="00F659A3"/>
    <w:rsid w:val="00F66BE0"/>
    <w:rsid w:val="00F7017A"/>
    <w:rsid w:val="00F71D0A"/>
    <w:rsid w:val="00F75A41"/>
    <w:rsid w:val="00F75B2E"/>
    <w:rsid w:val="00F766CD"/>
    <w:rsid w:val="00F76C87"/>
    <w:rsid w:val="00F77D95"/>
    <w:rsid w:val="00F8122D"/>
    <w:rsid w:val="00F814CC"/>
    <w:rsid w:val="00F8296A"/>
    <w:rsid w:val="00F82BF0"/>
    <w:rsid w:val="00F8316E"/>
    <w:rsid w:val="00F8442C"/>
    <w:rsid w:val="00F84C02"/>
    <w:rsid w:val="00F84E57"/>
    <w:rsid w:val="00F85EB9"/>
    <w:rsid w:val="00F87038"/>
    <w:rsid w:val="00F875A8"/>
    <w:rsid w:val="00F91985"/>
    <w:rsid w:val="00F921E1"/>
    <w:rsid w:val="00F95148"/>
    <w:rsid w:val="00F95542"/>
    <w:rsid w:val="00F95D26"/>
    <w:rsid w:val="00F979C5"/>
    <w:rsid w:val="00FA0CBF"/>
    <w:rsid w:val="00FA0E45"/>
    <w:rsid w:val="00FA18B7"/>
    <w:rsid w:val="00FA32F9"/>
    <w:rsid w:val="00FA37AC"/>
    <w:rsid w:val="00FA5A7B"/>
    <w:rsid w:val="00FA64FD"/>
    <w:rsid w:val="00FA6CC1"/>
    <w:rsid w:val="00FA7EAB"/>
    <w:rsid w:val="00FA7F8B"/>
    <w:rsid w:val="00FB1A25"/>
    <w:rsid w:val="00FB4200"/>
    <w:rsid w:val="00FB491A"/>
    <w:rsid w:val="00FB4F05"/>
    <w:rsid w:val="00FB5750"/>
    <w:rsid w:val="00FB6A2E"/>
    <w:rsid w:val="00FB6C25"/>
    <w:rsid w:val="00FB7810"/>
    <w:rsid w:val="00FC01B3"/>
    <w:rsid w:val="00FC0816"/>
    <w:rsid w:val="00FC0DB4"/>
    <w:rsid w:val="00FC19A1"/>
    <w:rsid w:val="00FC2CDD"/>
    <w:rsid w:val="00FC525E"/>
    <w:rsid w:val="00FC5F92"/>
    <w:rsid w:val="00FC638B"/>
    <w:rsid w:val="00FD02DB"/>
    <w:rsid w:val="00FD2522"/>
    <w:rsid w:val="00FD3C84"/>
    <w:rsid w:val="00FD4437"/>
    <w:rsid w:val="00FD44D0"/>
    <w:rsid w:val="00FD66A2"/>
    <w:rsid w:val="00FD6C45"/>
    <w:rsid w:val="00FD719B"/>
    <w:rsid w:val="00FD7986"/>
    <w:rsid w:val="00FE006E"/>
    <w:rsid w:val="00FE1D6E"/>
    <w:rsid w:val="00FE1DDD"/>
    <w:rsid w:val="00FE23EC"/>
    <w:rsid w:val="00FE328E"/>
    <w:rsid w:val="00FE3701"/>
    <w:rsid w:val="00FE3777"/>
    <w:rsid w:val="00FE4D97"/>
    <w:rsid w:val="00FE5108"/>
    <w:rsid w:val="00FE5CD3"/>
    <w:rsid w:val="00FE5FCF"/>
    <w:rsid w:val="00FE6450"/>
    <w:rsid w:val="00FE69FB"/>
    <w:rsid w:val="00FE72CD"/>
    <w:rsid w:val="00FE75E9"/>
    <w:rsid w:val="00FE7882"/>
    <w:rsid w:val="00FF0218"/>
    <w:rsid w:val="00FF17DC"/>
    <w:rsid w:val="00FF1F9E"/>
    <w:rsid w:val="00FF2010"/>
    <w:rsid w:val="00FF2DC2"/>
    <w:rsid w:val="00FF311B"/>
    <w:rsid w:val="00FF446D"/>
    <w:rsid w:val="00FF44B8"/>
    <w:rsid w:val="00FF678A"/>
    <w:rsid w:val="00FF6CC9"/>
    <w:rsid w:val="00FF739C"/>
    <w:rsid w:val="00FF7585"/>
    <w:rsid w:val="00FF7D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FAE6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uiPriority="1" w:qFormat="1"/>
    <w:lsdException w:name="heading 3" w:locked="1" w:uiPriority="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qFormat="1"/>
    <w:lsdException w:name="toc 2" w:locked="1" w:uiPriority="39" w:unhideWhenUsed="1"/>
    <w:lsdException w:name="toc 3" w:locked="1" w:uiPriority="39" w:unhideWhenUsed="1"/>
    <w:lsdException w:name="toc 4" w:locked="1" w:unhideWhenUsed="1"/>
    <w:lsdException w:name="toc 5" w:locked="1" w:unhideWhenUsed="1"/>
    <w:lsdException w:name="toc 6" w:locked="1" w:unhideWhenUsed="1"/>
    <w:lsdException w:name="toc 7" w:locked="1" w:unhideWhenUsed="1"/>
    <w:lsdException w:name="toc 8" w:locked="1" w:unhideWhenUsed="1"/>
    <w:lsdException w:name="toc 9" w:locked="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3CA"/>
    <w:pPr>
      <w:spacing w:after="240" w:line="260" w:lineRule="exact"/>
      <w:jc w:val="both"/>
    </w:pPr>
    <w:rPr>
      <w:rFonts w:ascii="Corbel" w:hAnsi="Corbel" w:cs="Corbel"/>
      <w:color w:val="000000"/>
      <w:sz w:val="23"/>
      <w:szCs w:val="23"/>
    </w:rPr>
  </w:style>
  <w:style w:type="paragraph" w:styleId="Heading1">
    <w:name w:val="heading 1"/>
    <w:basedOn w:val="HeadingBase"/>
    <w:next w:val="Normal"/>
    <w:link w:val="Heading1Char"/>
    <w:uiPriority w:val="1"/>
    <w:qFormat/>
    <w:rsid w:val="00C01C9D"/>
    <w:pPr>
      <w:spacing w:before="480" w:after="180"/>
      <w:outlineLvl w:val="0"/>
    </w:pPr>
    <w:rPr>
      <w:rFonts w:cs="Consolas"/>
      <w:b/>
      <w:caps/>
      <w:color w:val="316F72"/>
      <w:kern w:val="32"/>
      <w:sz w:val="32"/>
      <w:szCs w:val="32"/>
    </w:rPr>
  </w:style>
  <w:style w:type="paragraph" w:styleId="Heading2">
    <w:name w:val="heading 2"/>
    <w:basedOn w:val="HeadingBase"/>
    <w:next w:val="Normal"/>
    <w:link w:val="Heading2Char"/>
    <w:uiPriority w:val="1"/>
    <w:qFormat/>
    <w:rsid w:val="00C01C9D"/>
    <w:pPr>
      <w:spacing w:before="180" w:after="120"/>
      <w:outlineLvl w:val="1"/>
    </w:pPr>
    <w:rPr>
      <w:b/>
      <w:bCs/>
      <w:color w:val="316F72"/>
      <w:sz w:val="28"/>
      <w:szCs w:val="29"/>
    </w:rPr>
  </w:style>
  <w:style w:type="paragraph" w:styleId="Heading3">
    <w:name w:val="heading 3"/>
    <w:basedOn w:val="HeadingBase"/>
    <w:next w:val="Normal"/>
    <w:link w:val="Heading3Char"/>
    <w:uiPriority w:val="1"/>
    <w:qFormat/>
    <w:rsid w:val="00B077C0"/>
    <w:pPr>
      <w:spacing w:before="240" w:after="120"/>
      <w:outlineLvl w:val="2"/>
    </w:pPr>
    <w:rPr>
      <w:rFonts w:ascii="Calibri" w:hAnsi="Calibri"/>
      <w:b/>
      <w:bCs/>
      <w:color w:val="auto"/>
      <w:spacing w:val="10"/>
      <w:sz w:val="23"/>
      <w:szCs w:val="23"/>
    </w:rPr>
  </w:style>
  <w:style w:type="paragraph" w:styleId="Heading4">
    <w:name w:val="heading 4"/>
    <w:basedOn w:val="HeadingBase"/>
    <w:next w:val="Normal"/>
    <w:link w:val="Heading4Char"/>
    <w:uiPriority w:val="99"/>
    <w:qFormat/>
    <w:rsid w:val="0011126E"/>
    <w:pPr>
      <w:spacing w:before="120" w:after="240"/>
      <w:outlineLvl w:val="3"/>
    </w:pPr>
    <w:rPr>
      <w:b/>
      <w:bCs/>
      <w:caps/>
    </w:rPr>
  </w:style>
  <w:style w:type="paragraph" w:styleId="Heading5">
    <w:name w:val="heading 5"/>
    <w:basedOn w:val="HeadingBase"/>
    <w:next w:val="Normal"/>
    <w:link w:val="Heading5Char"/>
    <w:uiPriority w:val="99"/>
    <w:qFormat/>
    <w:rsid w:val="0011126E"/>
    <w:pPr>
      <w:spacing w:after="120"/>
      <w:outlineLvl w:val="4"/>
    </w:pPr>
    <w:rPr>
      <w:b/>
      <w:bCs/>
    </w:rPr>
  </w:style>
  <w:style w:type="paragraph" w:styleId="Heading6">
    <w:name w:val="heading 6"/>
    <w:basedOn w:val="HeadingBase"/>
    <w:next w:val="Normal"/>
    <w:link w:val="Heading6Char"/>
    <w:uiPriority w:val="99"/>
    <w:qFormat/>
    <w:rsid w:val="0011126E"/>
    <w:pPr>
      <w:spacing w:after="120"/>
      <w:outlineLvl w:val="5"/>
    </w:pPr>
  </w:style>
  <w:style w:type="paragraph" w:styleId="Heading7">
    <w:name w:val="heading 7"/>
    <w:basedOn w:val="HeadingBase"/>
    <w:next w:val="Normal"/>
    <w:link w:val="Heading7Char"/>
    <w:uiPriority w:val="99"/>
    <w:qFormat/>
    <w:rsid w:val="0011126E"/>
    <w:pPr>
      <w:spacing w:after="120"/>
      <w:outlineLvl w:val="6"/>
    </w:pPr>
  </w:style>
  <w:style w:type="paragraph" w:styleId="Heading8">
    <w:name w:val="heading 8"/>
    <w:basedOn w:val="HeadingBase"/>
    <w:next w:val="Normal"/>
    <w:link w:val="Heading8Char"/>
    <w:uiPriority w:val="99"/>
    <w:qFormat/>
    <w:rsid w:val="0011126E"/>
    <w:pPr>
      <w:spacing w:after="120"/>
      <w:outlineLvl w:val="7"/>
    </w:pPr>
  </w:style>
  <w:style w:type="paragraph" w:styleId="Heading9">
    <w:name w:val="heading 9"/>
    <w:basedOn w:val="CoverTitleMain"/>
    <w:next w:val="Normal"/>
    <w:link w:val="Heading9Char"/>
    <w:uiPriority w:val="99"/>
    <w:qFormat/>
    <w:rsid w:val="00B077C0"/>
    <w:pPr>
      <w:numPr>
        <w:ilvl w:val="8"/>
        <w:numId w:val="12"/>
      </w:numPr>
      <w:spacing w:before="120" w:after="120"/>
      <w:jc w:val="right"/>
      <w:outlineLvl w:val="8"/>
    </w:pPr>
    <w:rPr>
      <w:rFonts w:cs="Corbel"/>
      <w:caps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01C9D"/>
    <w:rPr>
      <w:rFonts w:ascii="Corbel" w:hAnsi="Corbel" w:cs="Consolas"/>
      <w:b/>
      <w:caps/>
      <w:color w:val="316F72"/>
      <w:kern w:val="32"/>
      <w:sz w:val="32"/>
      <w:szCs w:val="32"/>
    </w:rPr>
  </w:style>
  <w:style w:type="character" w:customStyle="1" w:styleId="Heading2Char">
    <w:name w:val="Heading 2 Char"/>
    <w:link w:val="Heading2"/>
    <w:uiPriority w:val="1"/>
    <w:locked/>
    <w:rsid w:val="00C01C9D"/>
    <w:rPr>
      <w:rFonts w:ascii="Corbel" w:hAnsi="Corbel" w:cs="Corbel"/>
      <w:b/>
      <w:bCs/>
      <w:color w:val="316F72"/>
      <w:sz w:val="28"/>
      <w:szCs w:val="29"/>
    </w:rPr>
  </w:style>
  <w:style w:type="character" w:customStyle="1" w:styleId="Heading3Char">
    <w:name w:val="Heading 3 Char"/>
    <w:link w:val="Heading3"/>
    <w:uiPriority w:val="99"/>
    <w:locked/>
    <w:rsid w:val="00B077C0"/>
    <w:rPr>
      <w:rFonts w:ascii="Calibri" w:hAnsi="Calibri" w:cs="Corbel"/>
      <w:b/>
      <w:bCs/>
      <w:color w:val="3D4B67"/>
      <w:spacing w:val="10"/>
      <w:sz w:val="23"/>
      <w:szCs w:val="23"/>
      <w:lang w:val="en-AU" w:eastAsia="en-AU" w:bidi="ar-SA"/>
    </w:rPr>
  </w:style>
  <w:style w:type="character" w:customStyle="1" w:styleId="Heading4Char">
    <w:name w:val="Heading 4 Char"/>
    <w:link w:val="Heading4"/>
    <w:uiPriority w:val="99"/>
    <w:semiHidden/>
    <w:locked/>
    <w:rsid w:val="0011126E"/>
    <w:rPr>
      <w:rFonts w:ascii="Calibri" w:hAnsi="Calibri" w:cs="Calibri"/>
      <w:b/>
      <w:bCs/>
      <w:color w:val="000000"/>
      <w:sz w:val="28"/>
      <w:szCs w:val="28"/>
    </w:rPr>
  </w:style>
  <w:style w:type="character" w:customStyle="1" w:styleId="Heading5Char">
    <w:name w:val="Heading 5 Char"/>
    <w:link w:val="Heading5"/>
    <w:uiPriority w:val="99"/>
    <w:semiHidden/>
    <w:locked/>
    <w:rsid w:val="0011126E"/>
    <w:rPr>
      <w:rFonts w:ascii="Calibri" w:hAnsi="Calibri" w:cs="Calibri"/>
      <w:b/>
      <w:bCs/>
      <w:i/>
      <w:iCs/>
      <w:color w:val="000000"/>
      <w:sz w:val="26"/>
      <w:szCs w:val="26"/>
    </w:rPr>
  </w:style>
  <w:style w:type="character" w:customStyle="1" w:styleId="Heading6Char">
    <w:name w:val="Heading 6 Char"/>
    <w:link w:val="Heading6"/>
    <w:uiPriority w:val="99"/>
    <w:semiHidden/>
    <w:locked/>
    <w:rsid w:val="0011126E"/>
    <w:rPr>
      <w:rFonts w:ascii="Calibri" w:hAnsi="Calibri" w:cs="Calibri"/>
      <w:b/>
      <w:bCs/>
      <w:color w:val="000000"/>
    </w:rPr>
  </w:style>
  <w:style w:type="character" w:customStyle="1" w:styleId="Heading7Char">
    <w:name w:val="Heading 7 Char"/>
    <w:link w:val="Heading7"/>
    <w:uiPriority w:val="99"/>
    <w:semiHidden/>
    <w:locked/>
    <w:rsid w:val="0011126E"/>
    <w:rPr>
      <w:rFonts w:ascii="Calibri" w:hAnsi="Calibri" w:cs="Calibri"/>
      <w:color w:val="000000"/>
      <w:sz w:val="24"/>
      <w:szCs w:val="24"/>
    </w:rPr>
  </w:style>
  <w:style w:type="character" w:customStyle="1" w:styleId="Heading8Char">
    <w:name w:val="Heading 8 Char"/>
    <w:link w:val="Heading8"/>
    <w:uiPriority w:val="99"/>
    <w:semiHidden/>
    <w:locked/>
    <w:rsid w:val="0011126E"/>
    <w:rPr>
      <w:rFonts w:ascii="Calibri" w:hAnsi="Calibri" w:cs="Calibri"/>
      <w:i/>
      <w:iCs/>
      <w:color w:val="000000"/>
      <w:sz w:val="24"/>
      <w:szCs w:val="24"/>
    </w:rPr>
  </w:style>
  <w:style w:type="character" w:customStyle="1" w:styleId="Heading9Char">
    <w:name w:val="Heading 9 Char"/>
    <w:link w:val="Heading9"/>
    <w:uiPriority w:val="99"/>
    <w:locked/>
    <w:rsid w:val="00B077C0"/>
    <w:rPr>
      <w:rFonts w:ascii="Calibri" w:hAnsi="Calibri" w:cs="Corbel"/>
      <w:sz w:val="36"/>
      <w:szCs w:val="36"/>
    </w:rPr>
  </w:style>
  <w:style w:type="paragraph" w:customStyle="1" w:styleId="SingleParagraph">
    <w:name w:val="Single Paragraph"/>
    <w:basedOn w:val="Normal"/>
    <w:rsid w:val="0011126E"/>
    <w:pPr>
      <w:spacing w:after="0"/>
    </w:pPr>
  </w:style>
  <w:style w:type="character" w:styleId="Hyperlink">
    <w:name w:val="Hyperlink"/>
    <w:uiPriority w:val="99"/>
    <w:rsid w:val="0011126E"/>
    <w:rPr>
      <w:rFonts w:cs="Times New Roman"/>
      <w:color w:val="auto"/>
      <w:u w:val="none"/>
    </w:rPr>
  </w:style>
  <w:style w:type="character" w:customStyle="1" w:styleId="BoldandItalic">
    <w:name w:val="Bold and Italic"/>
    <w:uiPriority w:val="99"/>
    <w:rsid w:val="0011126E"/>
    <w:rPr>
      <w:rFonts w:ascii="Corbel" w:hAnsi="Corbel" w:cs="Corbel"/>
      <w:b/>
      <w:bCs/>
      <w:i/>
      <w:iCs/>
    </w:rPr>
  </w:style>
  <w:style w:type="table" w:styleId="TableGrid">
    <w:name w:val="Table Grid"/>
    <w:basedOn w:val="TableNormal"/>
    <w:uiPriority w:val="59"/>
    <w:rsid w:val="0011126E"/>
    <w:pPr>
      <w:spacing w:after="240" w:line="260" w:lineRule="exact"/>
    </w:pPr>
    <w:rPr>
      <w:rFonts w:ascii="Corbel" w:hAnsi="Corbel" w:cs="Corbel"/>
    </w:rPr>
    <w:tblPr/>
    <w:trPr>
      <w:cantSplit/>
    </w:trPr>
  </w:style>
  <w:style w:type="paragraph" w:customStyle="1" w:styleId="TableColumnHeadingBase">
    <w:name w:val="Table Column Heading Base"/>
    <w:basedOn w:val="Normal"/>
    <w:uiPriority w:val="99"/>
    <w:rsid w:val="0011126E"/>
    <w:pPr>
      <w:spacing w:before="40" w:after="40" w:line="240" w:lineRule="auto"/>
    </w:pPr>
    <w:rPr>
      <w:rFonts w:ascii="Consolas" w:hAnsi="Consolas" w:cs="Consolas"/>
      <w:b/>
      <w:bCs/>
      <w:color w:val="3D4B67"/>
      <w:sz w:val="22"/>
      <w:szCs w:val="22"/>
    </w:rPr>
  </w:style>
  <w:style w:type="paragraph" w:styleId="FootnoteText">
    <w:name w:val="footnote text"/>
    <w:basedOn w:val="Normal"/>
    <w:link w:val="FootnoteTextChar"/>
    <w:uiPriority w:val="99"/>
    <w:rsid w:val="0011126E"/>
    <w:pPr>
      <w:tabs>
        <w:tab w:val="left" w:pos="284"/>
      </w:tabs>
      <w:spacing w:after="0" w:line="240" w:lineRule="auto"/>
      <w:ind w:left="284" w:hanging="284"/>
    </w:pPr>
    <w:rPr>
      <w:sz w:val="18"/>
      <w:szCs w:val="18"/>
    </w:rPr>
  </w:style>
  <w:style w:type="character" w:customStyle="1" w:styleId="FootnoteTextChar">
    <w:name w:val="Footnote Text Char"/>
    <w:link w:val="FootnoteText"/>
    <w:uiPriority w:val="99"/>
    <w:locked/>
    <w:rsid w:val="0011126E"/>
    <w:rPr>
      <w:rFonts w:ascii="Corbel" w:hAnsi="Corbel" w:cs="Corbel"/>
      <w:color w:val="000000"/>
      <w:sz w:val="20"/>
      <w:szCs w:val="20"/>
    </w:rPr>
  </w:style>
  <w:style w:type="paragraph" w:customStyle="1" w:styleId="Bullet">
    <w:name w:val="Bullet"/>
    <w:basedOn w:val="Normal"/>
    <w:link w:val="BulletChar"/>
    <w:uiPriority w:val="99"/>
    <w:rsid w:val="0011126E"/>
    <w:pPr>
      <w:numPr>
        <w:numId w:val="6"/>
      </w:numPr>
    </w:pPr>
  </w:style>
  <w:style w:type="paragraph" w:customStyle="1" w:styleId="Dash">
    <w:name w:val="Dash"/>
    <w:basedOn w:val="Normal"/>
    <w:uiPriority w:val="99"/>
    <w:rsid w:val="0011126E"/>
    <w:pPr>
      <w:numPr>
        <w:ilvl w:val="1"/>
        <w:numId w:val="6"/>
      </w:numPr>
    </w:pPr>
  </w:style>
  <w:style w:type="paragraph" w:customStyle="1" w:styleId="DoubleDot">
    <w:name w:val="Double Dot"/>
    <w:basedOn w:val="Normal"/>
    <w:uiPriority w:val="99"/>
    <w:rsid w:val="0011126E"/>
    <w:pPr>
      <w:numPr>
        <w:ilvl w:val="2"/>
        <w:numId w:val="6"/>
      </w:numPr>
    </w:pPr>
  </w:style>
  <w:style w:type="paragraph" w:customStyle="1" w:styleId="OutlineNumbered1">
    <w:name w:val="Outline Numbered 1"/>
    <w:basedOn w:val="Normal"/>
    <w:rsid w:val="0011126E"/>
    <w:pPr>
      <w:numPr>
        <w:numId w:val="1"/>
      </w:numPr>
    </w:pPr>
  </w:style>
  <w:style w:type="paragraph" w:customStyle="1" w:styleId="OutlineNumbered2">
    <w:name w:val="Outline Numbered 2"/>
    <w:basedOn w:val="Normal"/>
    <w:rsid w:val="0011126E"/>
    <w:pPr>
      <w:numPr>
        <w:ilvl w:val="1"/>
        <w:numId w:val="1"/>
      </w:numPr>
    </w:pPr>
  </w:style>
  <w:style w:type="paragraph" w:customStyle="1" w:styleId="OutlineNumbered3">
    <w:name w:val="Outline Numbered 3"/>
    <w:basedOn w:val="Normal"/>
    <w:rsid w:val="0011126E"/>
    <w:pPr>
      <w:numPr>
        <w:ilvl w:val="2"/>
        <w:numId w:val="1"/>
      </w:numPr>
    </w:pPr>
  </w:style>
  <w:style w:type="paragraph" w:customStyle="1" w:styleId="AlphaParagraph">
    <w:name w:val="Alpha Paragraph"/>
    <w:basedOn w:val="Normal"/>
    <w:link w:val="AlphaParagraphCharChar"/>
    <w:uiPriority w:val="99"/>
    <w:rsid w:val="0011126E"/>
    <w:pPr>
      <w:tabs>
        <w:tab w:val="num" w:pos="283"/>
        <w:tab w:val="num" w:pos="1134"/>
        <w:tab w:val="num" w:pos="1418"/>
      </w:tabs>
      <w:ind w:left="567" w:hanging="284"/>
    </w:pPr>
  </w:style>
  <w:style w:type="paragraph" w:customStyle="1" w:styleId="HeadingBase">
    <w:name w:val="Heading Base"/>
    <w:next w:val="Normal"/>
    <w:link w:val="HeadingBaseChar"/>
    <w:uiPriority w:val="99"/>
    <w:rsid w:val="0011126E"/>
    <w:pPr>
      <w:keepNext/>
    </w:pPr>
    <w:rPr>
      <w:rFonts w:ascii="Corbel" w:hAnsi="Corbel" w:cs="Corbel"/>
      <w:color w:val="3D4B67"/>
    </w:rPr>
  </w:style>
  <w:style w:type="paragraph" w:customStyle="1" w:styleId="AppendixHeading">
    <w:name w:val="Appendix Heading"/>
    <w:basedOn w:val="HeadingBase"/>
    <w:next w:val="Normal"/>
    <w:uiPriority w:val="99"/>
    <w:rsid w:val="0011126E"/>
    <w:pPr>
      <w:spacing w:before="720" w:after="360"/>
      <w:jc w:val="right"/>
      <w:outlineLvl w:val="0"/>
    </w:pPr>
    <w:rPr>
      <w:rFonts w:ascii="Consolas" w:hAnsi="Consolas" w:cs="Consolas"/>
      <w:caps/>
      <w:sz w:val="32"/>
      <w:szCs w:val="32"/>
    </w:rPr>
  </w:style>
  <w:style w:type="character" w:customStyle="1" w:styleId="Bold">
    <w:name w:val="Bold"/>
    <w:rsid w:val="0011126E"/>
    <w:rPr>
      <w:rFonts w:cs="Times New Roman"/>
      <w:b/>
      <w:bCs/>
    </w:rPr>
  </w:style>
  <w:style w:type="paragraph" w:customStyle="1" w:styleId="BoxHeading">
    <w:name w:val="Box Heading"/>
    <w:basedOn w:val="HeadingBase"/>
    <w:next w:val="BoxText"/>
    <w:uiPriority w:val="99"/>
    <w:rsid w:val="0011126E"/>
    <w:pPr>
      <w:spacing w:before="240" w:after="120"/>
    </w:pPr>
    <w:rPr>
      <w:b/>
      <w:bCs/>
      <w:sz w:val="22"/>
      <w:szCs w:val="22"/>
    </w:rPr>
  </w:style>
  <w:style w:type="paragraph" w:customStyle="1" w:styleId="BoxTextBase">
    <w:name w:val="Box Text Base"/>
    <w:basedOn w:val="Normal"/>
    <w:uiPriority w:val="99"/>
    <w:rsid w:val="0011126E"/>
  </w:style>
  <w:style w:type="paragraph" w:customStyle="1" w:styleId="ChartandTableFootnoteAlpha">
    <w:name w:val="Chart and Table Footnote Alpha"/>
    <w:uiPriority w:val="99"/>
    <w:rsid w:val="0011126E"/>
    <w:pPr>
      <w:numPr>
        <w:numId w:val="2"/>
      </w:numPr>
      <w:jc w:val="both"/>
    </w:pPr>
    <w:rPr>
      <w:rFonts w:ascii="Arial" w:hAnsi="Arial" w:cs="Arial"/>
      <w:color w:val="000000"/>
      <w:sz w:val="16"/>
      <w:szCs w:val="16"/>
    </w:rPr>
  </w:style>
  <w:style w:type="paragraph" w:customStyle="1" w:styleId="ChartGraphic">
    <w:name w:val="Chart Graphic"/>
    <w:basedOn w:val="HeadingBase"/>
    <w:next w:val="Normal"/>
    <w:uiPriority w:val="99"/>
    <w:rsid w:val="0011126E"/>
    <w:pPr>
      <w:jc w:val="center"/>
    </w:pPr>
  </w:style>
  <w:style w:type="paragraph" w:customStyle="1" w:styleId="ChartMainHeading">
    <w:name w:val="Chart Main Heading"/>
    <w:basedOn w:val="HeadingBase"/>
    <w:next w:val="ChartGraphic"/>
    <w:uiPriority w:val="99"/>
    <w:rsid w:val="0011126E"/>
    <w:pPr>
      <w:spacing w:after="20"/>
      <w:jc w:val="center"/>
    </w:pPr>
    <w:rPr>
      <w:b/>
      <w:bCs/>
      <w:sz w:val="22"/>
      <w:szCs w:val="22"/>
    </w:rPr>
  </w:style>
  <w:style w:type="paragraph" w:customStyle="1" w:styleId="ChartorTableNote">
    <w:name w:val="Chart or Table Note"/>
    <w:next w:val="Normal"/>
    <w:uiPriority w:val="99"/>
    <w:rsid w:val="0011126E"/>
    <w:pPr>
      <w:jc w:val="both"/>
    </w:pPr>
    <w:rPr>
      <w:rFonts w:ascii="Arial" w:hAnsi="Arial" w:cs="Arial"/>
      <w:color w:val="000000"/>
      <w:sz w:val="16"/>
      <w:szCs w:val="16"/>
    </w:rPr>
  </w:style>
  <w:style w:type="paragraph" w:customStyle="1" w:styleId="ChartSecondHeading">
    <w:name w:val="Chart Second Heading"/>
    <w:basedOn w:val="HeadingBase"/>
    <w:next w:val="ChartGraphic"/>
    <w:uiPriority w:val="99"/>
    <w:rsid w:val="0011126E"/>
    <w:pPr>
      <w:spacing w:after="20"/>
      <w:jc w:val="center"/>
    </w:pPr>
  </w:style>
  <w:style w:type="paragraph" w:customStyle="1" w:styleId="Classification">
    <w:name w:val="Classification"/>
    <w:basedOn w:val="HeadingBase"/>
    <w:next w:val="Footer"/>
    <w:uiPriority w:val="99"/>
    <w:semiHidden/>
    <w:rsid w:val="0011126E"/>
    <w:pPr>
      <w:spacing w:after="120"/>
      <w:jc w:val="center"/>
    </w:pPr>
    <w:rPr>
      <w:b/>
      <w:bCs/>
      <w:smallCaps/>
    </w:rPr>
  </w:style>
  <w:style w:type="paragraph" w:styleId="Footer">
    <w:name w:val="footer"/>
    <w:basedOn w:val="HeadingBase"/>
    <w:link w:val="FooterChar"/>
    <w:uiPriority w:val="99"/>
    <w:rsid w:val="0011126E"/>
    <w:rPr>
      <w:sz w:val="18"/>
      <w:szCs w:val="18"/>
    </w:rPr>
  </w:style>
  <w:style w:type="character" w:customStyle="1" w:styleId="FooterChar">
    <w:name w:val="Footer Char"/>
    <w:link w:val="Footer"/>
    <w:uiPriority w:val="99"/>
    <w:locked/>
    <w:rsid w:val="0011126E"/>
    <w:rPr>
      <w:rFonts w:ascii="Corbel" w:hAnsi="Corbel" w:cs="Corbel"/>
      <w:color w:val="000000"/>
      <w:sz w:val="20"/>
      <w:szCs w:val="20"/>
    </w:rPr>
  </w:style>
  <w:style w:type="paragraph" w:customStyle="1" w:styleId="ContentsHeading">
    <w:name w:val="Contents Heading"/>
    <w:basedOn w:val="HeadingBase"/>
    <w:next w:val="Normal"/>
    <w:uiPriority w:val="99"/>
    <w:rsid w:val="0011126E"/>
    <w:pPr>
      <w:spacing w:after="360"/>
    </w:pPr>
    <w:rPr>
      <w:smallCaps/>
      <w:sz w:val="36"/>
      <w:szCs w:val="36"/>
    </w:rPr>
  </w:style>
  <w:style w:type="paragraph" w:customStyle="1" w:styleId="CoverTitleMain">
    <w:name w:val="Cover Title Main"/>
    <w:basedOn w:val="HeadingBase"/>
    <w:next w:val="Normal"/>
    <w:uiPriority w:val="99"/>
    <w:rsid w:val="00B077C0"/>
    <w:pPr>
      <w:jc w:val="center"/>
    </w:pPr>
    <w:rPr>
      <w:rFonts w:ascii="Calibri" w:hAnsi="Calibri" w:cs="Consolas"/>
      <w:caps/>
      <w:color w:val="auto"/>
      <w:sz w:val="56"/>
      <w:szCs w:val="84"/>
    </w:rPr>
  </w:style>
  <w:style w:type="paragraph" w:customStyle="1" w:styleId="CoverTitleSub">
    <w:name w:val="Cover Title Sub"/>
    <w:basedOn w:val="HeadingBase"/>
    <w:uiPriority w:val="99"/>
    <w:rsid w:val="0011126E"/>
    <w:rPr>
      <w:color w:val="FFFFFF"/>
      <w:sz w:val="36"/>
      <w:szCs w:val="36"/>
    </w:rPr>
  </w:style>
  <w:style w:type="paragraph" w:customStyle="1" w:styleId="FooterCentered">
    <w:name w:val="Footer Centered"/>
    <w:basedOn w:val="Footer"/>
    <w:uiPriority w:val="99"/>
    <w:rsid w:val="0011126E"/>
    <w:pPr>
      <w:jc w:val="center"/>
    </w:pPr>
  </w:style>
  <w:style w:type="paragraph" w:customStyle="1" w:styleId="FooterEven">
    <w:name w:val="Footer Even"/>
    <w:basedOn w:val="Footer"/>
    <w:uiPriority w:val="99"/>
    <w:rsid w:val="0011126E"/>
    <w:pPr>
      <w:keepNext w:val="0"/>
    </w:pPr>
  </w:style>
  <w:style w:type="paragraph" w:customStyle="1" w:styleId="FooterOdd">
    <w:name w:val="Footer Odd"/>
    <w:basedOn w:val="Footer"/>
    <w:uiPriority w:val="99"/>
    <w:rsid w:val="0011126E"/>
    <w:pPr>
      <w:keepNext w:val="0"/>
      <w:jc w:val="right"/>
    </w:pPr>
  </w:style>
  <w:style w:type="character" w:customStyle="1" w:styleId="FramedFooter">
    <w:name w:val="Framed Footer"/>
    <w:uiPriority w:val="99"/>
    <w:rsid w:val="0011126E"/>
    <w:rPr>
      <w:rFonts w:ascii="Arial" w:hAnsi="Arial"/>
      <w:sz w:val="18"/>
    </w:rPr>
  </w:style>
  <w:style w:type="character" w:customStyle="1" w:styleId="FramedHeader">
    <w:name w:val="Framed Header"/>
    <w:uiPriority w:val="99"/>
    <w:rsid w:val="0011126E"/>
    <w:rPr>
      <w:rFonts w:ascii="Arial" w:hAnsi="Arial" w:cs="Arial"/>
      <w:color w:val="auto"/>
      <w:sz w:val="18"/>
      <w:szCs w:val="18"/>
      <w:vertAlign w:val="baseline"/>
    </w:rPr>
  </w:style>
  <w:style w:type="paragraph" w:styleId="Header">
    <w:name w:val="header"/>
    <w:basedOn w:val="HeadingBase"/>
    <w:link w:val="HeaderChar"/>
    <w:uiPriority w:val="99"/>
    <w:rsid w:val="0011126E"/>
    <w:rPr>
      <w:sz w:val="18"/>
      <w:szCs w:val="18"/>
    </w:rPr>
  </w:style>
  <w:style w:type="character" w:customStyle="1" w:styleId="HeaderChar">
    <w:name w:val="Header Char"/>
    <w:link w:val="Header"/>
    <w:uiPriority w:val="99"/>
    <w:locked/>
    <w:rsid w:val="0011126E"/>
    <w:rPr>
      <w:rFonts w:ascii="Corbel" w:hAnsi="Corbel" w:cs="Corbel"/>
      <w:color w:val="000000"/>
      <w:sz w:val="20"/>
      <w:szCs w:val="20"/>
    </w:rPr>
  </w:style>
  <w:style w:type="paragraph" w:customStyle="1" w:styleId="HeaderEven">
    <w:name w:val="Header Even"/>
    <w:basedOn w:val="Header"/>
    <w:uiPriority w:val="99"/>
    <w:rsid w:val="0011126E"/>
    <w:pPr>
      <w:keepNext w:val="0"/>
    </w:pPr>
  </w:style>
  <w:style w:type="paragraph" w:customStyle="1" w:styleId="HeaderOdd">
    <w:name w:val="Header Odd"/>
    <w:basedOn w:val="Header"/>
    <w:uiPriority w:val="99"/>
    <w:rsid w:val="0011126E"/>
    <w:pPr>
      <w:jc w:val="right"/>
    </w:pPr>
  </w:style>
  <w:style w:type="paragraph" w:styleId="NormalIndent">
    <w:name w:val="Normal Indent"/>
    <w:basedOn w:val="Normal"/>
    <w:link w:val="NormalIndentChar"/>
    <w:uiPriority w:val="99"/>
    <w:rsid w:val="0011126E"/>
    <w:pPr>
      <w:ind w:left="567"/>
    </w:pPr>
  </w:style>
  <w:style w:type="paragraph" w:customStyle="1" w:styleId="RecommendationHeading">
    <w:name w:val="Recommendation Heading"/>
    <w:basedOn w:val="HeadingBase"/>
    <w:next w:val="RecommendationText"/>
    <w:uiPriority w:val="99"/>
    <w:rsid w:val="0011126E"/>
    <w:pPr>
      <w:spacing w:before="120" w:after="240"/>
    </w:pPr>
    <w:rPr>
      <w:b/>
      <w:bCs/>
      <w:sz w:val="22"/>
      <w:szCs w:val="22"/>
    </w:rPr>
  </w:style>
  <w:style w:type="paragraph" w:customStyle="1" w:styleId="RecommendationTextBase">
    <w:name w:val="Recommendation Text Base"/>
    <w:basedOn w:val="Normal"/>
    <w:uiPriority w:val="99"/>
    <w:rsid w:val="0011126E"/>
    <w:rPr>
      <w:i/>
      <w:iCs/>
    </w:rPr>
  </w:style>
  <w:style w:type="paragraph" w:customStyle="1" w:styleId="RecommendationText">
    <w:name w:val="Recommendation Text"/>
    <w:basedOn w:val="RecommendationTextBase"/>
    <w:uiPriority w:val="99"/>
    <w:rsid w:val="0011126E"/>
  </w:style>
  <w:style w:type="paragraph" w:customStyle="1" w:styleId="TableTextBase">
    <w:name w:val="Table Text Base"/>
    <w:uiPriority w:val="99"/>
    <w:rsid w:val="0011126E"/>
    <w:pPr>
      <w:spacing w:before="40" w:after="40"/>
      <w:jc w:val="both"/>
    </w:pPr>
    <w:rPr>
      <w:rFonts w:ascii="Corbel" w:hAnsi="Corbel" w:cs="Corbel"/>
      <w:color w:val="000000"/>
      <w:sz w:val="21"/>
      <w:szCs w:val="21"/>
    </w:rPr>
  </w:style>
  <w:style w:type="paragraph" w:customStyle="1" w:styleId="TableColumnHeadingCentred">
    <w:name w:val="Table Column Heading Centred"/>
    <w:basedOn w:val="TableColumnHeadingBase"/>
    <w:rsid w:val="0011126E"/>
    <w:pPr>
      <w:jc w:val="center"/>
    </w:pPr>
  </w:style>
  <w:style w:type="paragraph" w:customStyle="1" w:styleId="TableColumnHeadingLeft">
    <w:name w:val="Table Column Heading Left"/>
    <w:basedOn w:val="TableColumnHeadingBase"/>
    <w:rsid w:val="0011126E"/>
  </w:style>
  <w:style w:type="paragraph" w:customStyle="1" w:styleId="TableColumnHeadingRight">
    <w:name w:val="Table Column Heading Right"/>
    <w:basedOn w:val="TableColumnHeadingBase"/>
    <w:uiPriority w:val="99"/>
    <w:rsid w:val="0011126E"/>
    <w:pPr>
      <w:jc w:val="right"/>
    </w:pPr>
  </w:style>
  <w:style w:type="paragraph" w:customStyle="1" w:styleId="TableGraphic">
    <w:name w:val="Table Graphic"/>
    <w:basedOn w:val="HeadingBase"/>
    <w:next w:val="Normal"/>
    <w:uiPriority w:val="99"/>
    <w:rsid w:val="0011126E"/>
  </w:style>
  <w:style w:type="paragraph" w:customStyle="1" w:styleId="TableMainHeading">
    <w:name w:val="Table Main Heading"/>
    <w:basedOn w:val="HeadingBase"/>
    <w:next w:val="TableGraphic"/>
    <w:uiPriority w:val="99"/>
    <w:rsid w:val="0011126E"/>
    <w:pPr>
      <w:spacing w:after="20"/>
    </w:pPr>
    <w:rPr>
      <w:rFonts w:ascii="Consolas" w:hAnsi="Consolas" w:cs="Consolas"/>
      <w:b/>
      <w:bCs/>
      <w:sz w:val="24"/>
      <w:szCs w:val="24"/>
    </w:rPr>
  </w:style>
  <w:style w:type="paragraph" w:customStyle="1" w:styleId="TableMainHeadingContd">
    <w:name w:val="Table Main Heading Contd"/>
    <w:basedOn w:val="HeadingBase"/>
    <w:next w:val="TableGraphic"/>
    <w:uiPriority w:val="99"/>
    <w:rsid w:val="0011126E"/>
    <w:pPr>
      <w:pageBreakBefore/>
      <w:spacing w:after="20"/>
    </w:pPr>
    <w:rPr>
      <w:rFonts w:ascii="Consolas" w:hAnsi="Consolas" w:cs="Consolas"/>
      <w:b/>
      <w:bCs/>
      <w:sz w:val="24"/>
      <w:szCs w:val="24"/>
    </w:rPr>
  </w:style>
  <w:style w:type="paragraph" w:customStyle="1" w:styleId="TableSecondHeading">
    <w:name w:val="Table Second Heading"/>
    <w:basedOn w:val="HeadingBase"/>
    <w:next w:val="TableGraphic"/>
    <w:uiPriority w:val="99"/>
    <w:rsid w:val="0011126E"/>
    <w:pPr>
      <w:spacing w:after="20"/>
    </w:pPr>
  </w:style>
  <w:style w:type="paragraph" w:customStyle="1" w:styleId="TableTextCentered">
    <w:name w:val="Table Text Centered"/>
    <w:basedOn w:val="TableTextBase"/>
    <w:uiPriority w:val="99"/>
    <w:rsid w:val="0011126E"/>
    <w:pPr>
      <w:jc w:val="center"/>
    </w:pPr>
  </w:style>
  <w:style w:type="paragraph" w:customStyle="1" w:styleId="TableTextIndented">
    <w:name w:val="Table Text Indented"/>
    <w:basedOn w:val="TableTextBase"/>
    <w:uiPriority w:val="99"/>
    <w:rsid w:val="0011126E"/>
    <w:pPr>
      <w:ind w:left="284"/>
    </w:pPr>
  </w:style>
  <w:style w:type="paragraph" w:customStyle="1" w:styleId="TableTextLeft">
    <w:name w:val="Table Text Left"/>
    <w:basedOn w:val="TableTextBase"/>
    <w:uiPriority w:val="99"/>
    <w:rsid w:val="0011126E"/>
  </w:style>
  <w:style w:type="paragraph" w:customStyle="1" w:styleId="TableTextRight">
    <w:name w:val="Table Text Right"/>
    <w:basedOn w:val="TableTextBase"/>
    <w:uiPriority w:val="99"/>
    <w:rsid w:val="0011126E"/>
    <w:pPr>
      <w:jc w:val="right"/>
    </w:pPr>
  </w:style>
  <w:style w:type="paragraph" w:styleId="TOC1">
    <w:name w:val="toc 1"/>
    <w:basedOn w:val="HeadingBase"/>
    <w:next w:val="Normal"/>
    <w:autoRedefine/>
    <w:uiPriority w:val="39"/>
    <w:qFormat/>
    <w:rsid w:val="00E33990"/>
    <w:pPr>
      <w:tabs>
        <w:tab w:val="right" w:leader="dot" w:pos="9072"/>
      </w:tabs>
      <w:spacing w:before="180"/>
      <w:ind w:right="851"/>
    </w:pPr>
    <w:rPr>
      <w:rFonts w:ascii="Arial Bold" w:hAnsi="Arial Bold" w:cs="Arial Bold"/>
      <w:b/>
      <w:bCs/>
      <w:smallCaps/>
      <w:noProof/>
      <w:color w:val="215868" w:themeColor="accent5" w:themeShade="80"/>
      <w:sz w:val="22"/>
      <w:szCs w:val="22"/>
    </w:rPr>
  </w:style>
  <w:style w:type="paragraph" w:styleId="TOC2">
    <w:name w:val="toc 2"/>
    <w:basedOn w:val="HeadingBase"/>
    <w:next w:val="Normal"/>
    <w:autoRedefine/>
    <w:uiPriority w:val="39"/>
    <w:rsid w:val="00725D17"/>
    <w:pPr>
      <w:tabs>
        <w:tab w:val="right" w:leader="dot" w:pos="9072"/>
      </w:tabs>
      <w:spacing w:before="40" w:after="20"/>
      <w:ind w:right="851"/>
    </w:pPr>
  </w:style>
  <w:style w:type="paragraph" w:styleId="TOC3">
    <w:name w:val="toc 3"/>
    <w:basedOn w:val="Normal"/>
    <w:next w:val="Normal"/>
    <w:autoRedefine/>
    <w:uiPriority w:val="39"/>
    <w:rsid w:val="0011126E"/>
    <w:pPr>
      <w:tabs>
        <w:tab w:val="right" w:leader="dot" w:pos="9072"/>
      </w:tabs>
      <w:spacing w:before="20" w:after="0" w:line="240" w:lineRule="auto"/>
      <w:ind w:left="284" w:right="851"/>
    </w:pPr>
  </w:style>
  <w:style w:type="paragraph" w:styleId="TOC4">
    <w:name w:val="toc 4"/>
    <w:basedOn w:val="Normal"/>
    <w:next w:val="Normal"/>
    <w:autoRedefine/>
    <w:uiPriority w:val="99"/>
    <w:semiHidden/>
    <w:rsid w:val="0011126E"/>
    <w:pPr>
      <w:tabs>
        <w:tab w:val="right" w:leader="dot" w:pos="9072"/>
      </w:tabs>
      <w:spacing w:after="0" w:line="240" w:lineRule="auto"/>
      <w:ind w:left="284" w:right="851"/>
    </w:pPr>
  </w:style>
  <w:style w:type="character" w:customStyle="1" w:styleId="italic">
    <w:name w:val="italic"/>
    <w:uiPriority w:val="99"/>
    <w:rsid w:val="0011126E"/>
    <w:rPr>
      <w:rFonts w:cs="Times New Roman"/>
      <w:i/>
      <w:iCs/>
    </w:rPr>
  </w:style>
  <w:style w:type="paragraph" w:customStyle="1" w:styleId="OneLevelNumberedParagraph">
    <w:name w:val="One Level Numbered Paragraph"/>
    <w:basedOn w:val="Normal"/>
    <w:rsid w:val="0011126E"/>
    <w:pPr>
      <w:numPr>
        <w:numId w:val="4"/>
      </w:numPr>
    </w:pPr>
  </w:style>
  <w:style w:type="paragraph" w:customStyle="1" w:styleId="BoxText">
    <w:name w:val="Box Text"/>
    <w:basedOn w:val="BoxTextBase"/>
    <w:uiPriority w:val="99"/>
    <w:rsid w:val="0011126E"/>
  </w:style>
  <w:style w:type="paragraph" w:customStyle="1" w:styleId="BoxBullet">
    <w:name w:val="Box Bullet"/>
    <w:basedOn w:val="BoxTextBase"/>
    <w:uiPriority w:val="99"/>
    <w:rsid w:val="0011126E"/>
    <w:pPr>
      <w:numPr>
        <w:numId w:val="3"/>
      </w:numPr>
    </w:pPr>
  </w:style>
  <w:style w:type="paragraph" w:customStyle="1" w:styleId="BoxDash">
    <w:name w:val="Box Dash"/>
    <w:basedOn w:val="Normal"/>
    <w:uiPriority w:val="99"/>
    <w:rsid w:val="0011126E"/>
    <w:pPr>
      <w:numPr>
        <w:ilvl w:val="1"/>
        <w:numId w:val="3"/>
      </w:numPr>
    </w:pPr>
  </w:style>
  <w:style w:type="paragraph" w:customStyle="1" w:styleId="BoxDoubleDot">
    <w:name w:val="Box Double Dot"/>
    <w:basedOn w:val="BoxTextBase"/>
    <w:uiPriority w:val="99"/>
    <w:rsid w:val="0011126E"/>
    <w:pPr>
      <w:numPr>
        <w:ilvl w:val="2"/>
        <w:numId w:val="3"/>
      </w:numPr>
    </w:pPr>
  </w:style>
  <w:style w:type="paragraph" w:customStyle="1" w:styleId="RecommendationBullet">
    <w:name w:val="Recommendation Bullet"/>
    <w:basedOn w:val="RecommendationTextBase"/>
    <w:uiPriority w:val="99"/>
    <w:rsid w:val="0011126E"/>
    <w:pPr>
      <w:numPr>
        <w:numId w:val="5"/>
      </w:numPr>
    </w:pPr>
  </w:style>
  <w:style w:type="paragraph" w:customStyle="1" w:styleId="RecommendationDash">
    <w:name w:val="Recommendation Dash"/>
    <w:basedOn w:val="RecommendationTextBase"/>
    <w:uiPriority w:val="99"/>
    <w:rsid w:val="0011126E"/>
    <w:pPr>
      <w:numPr>
        <w:ilvl w:val="1"/>
        <w:numId w:val="5"/>
      </w:numPr>
    </w:pPr>
  </w:style>
  <w:style w:type="paragraph" w:customStyle="1" w:styleId="RecommendationDoubleDot">
    <w:name w:val="Recommendation Double Dot"/>
    <w:basedOn w:val="RecommendationTextBase"/>
    <w:uiPriority w:val="99"/>
    <w:rsid w:val="0011126E"/>
    <w:pPr>
      <w:numPr>
        <w:ilvl w:val="2"/>
        <w:numId w:val="5"/>
      </w:numPr>
    </w:pPr>
  </w:style>
  <w:style w:type="character" w:styleId="FollowedHyperlink">
    <w:name w:val="FollowedHyperlink"/>
    <w:uiPriority w:val="99"/>
    <w:rsid w:val="0011126E"/>
    <w:rPr>
      <w:rFonts w:cs="Times New Roman"/>
      <w:color w:val="auto"/>
      <w:u w:val="none"/>
    </w:rPr>
  </w:style>
  <w:style w:type="paragraph" w:customStyle="1" w:styleId="Heading1NotNumbered">
    <w:name w:val="Heading 1 Not Numbered"/>
    <w:basedOn w:val="HeadingBase"/>
    <w:next w:val="Normal"/>
    <w:uiPriority w:val="99"/>
    <w:rsid w:val="0011126E"/>
    <w:pPr>
      <w:spacing w:before="720" w:after="360"/>
    </w:pPr>
    <w:rPr>
      <w:rFonts w:ascii="Consolas" w:hAnsi="Consolas" w:cs="Consolas"/>
      <w:caps/>
      <w:sz w:val="32"/>
      <w:szCs w:val="32"/>
    </w:rPr>
  </w:style>
  <w:style w:type="paragraph" w:customStyle="1" w:styleId="Heading2NotNumbered">
    <w:name w:val="Heading 2 Not Numbered"/>
    <w:basedOn w:val="HeadingBase"/>
    <w:next w:val="Normal"/>
    <w:uiPriority w:val="99"/>
    <w:rsid w:val="0011126E"/>
    <w:pPr>
      <w:spacing w:before="360" w:after="180"/>
    </w:pPr>
    <w:rPr>
      <w:b/>
      <w:bCs/>
      <w:sz w:val="29"/>
      <w:szCs w:val="29"/>
    </w:rPr>
  </w:style>
  <w:style w:type="paragraph" w:customStyle="1" w:styleId="Heading3NotNumbered">
    <w:name w:val="Heading 3 Not Numbered"/>
    <w:basedOn w:val="HeadingBase"/>
    <w:next w:val="Normal"/>
    <w:uiPriority w:val="99"/>
    <w:rsid w:val="0011126E"/>
    <w:pPr>
      <w:spacing w:before="240" w:after="120"/>
    </w:pPr>
    <w:rPr>
      <w:b/>
      <w:bCs/>
      <w:sz w:val="23"/>
      <w:szCs w:val="23"/>
    </w:rPr>
  </w:style>
  <w:style w:type="paragraph" w:customStyle="1" w:styleId="Heading4NotNumbered">
    <w:name w:val="Heading 4 Not Numbered"/>
    <w:basedOn w:val="HeadingBase"/>
    <w:uiPriority w:val="99"/>
    <w:rsid w:val="0011126E"/>
    <w:pPr>
      <w:spacing w:before="120" w:after="120"/>
      <w:outlineLvl w:val="3"/>
    </w:pPr>
    <w:rPr>
      <w:b/>
      <w:bCs/>
      <w:caps/>
    </w:rPr>
  </w:style>
  <w:style w:type="paragraph" w:styleId="BalloonText">
    <w:name w:val="Balloon Text"/>
    <w:basedOn w:val="Normal"/>
    <w:link w:val="BalloonTextChar"/>
    <w:uiPriority w:val="99"/>
    <w:semiHidden/>
    <w:rsid w:val="0011126E"/>
    <w:rPr>
      <w:rFonts w:ascii="Tahoma" w:hAnsi="Tahoma" w:cs="Tahoma"/>
      <w:sz w:val="16"/>
      <w:szCs w:val="16"/>
    </w:rPr>
  </w:style>
  <w:style w:type="character" w:customStyle="1" w:styleId="BalloonTextChar">
    <w:name w:val="Balloon Text Char"/>
    <w:link w:val="BalloonText"/>
    <w:uiPriority w:val="99"/>
    <w:semiHidden/>
    <w:locked/>
    <w:rsid w:val="0011126E"/>
    <w:rPr>
      <w:rFonts w:ascii="Tahoma" w:hAnsi="Tahoma" w:cs="Tahoma"/>
      <w:color w:val="000000"/>
      <w:sz w:val="16"/>
      <w:szCs w:val="16"/>
    </w:rPr>
  </w:style>
  <w:style w:type="paragraph" w:styleId="Caption">
    <w:name w:val="caption"/>
    <w:basedOn w:val="Normal"/>
    <w:next w:val="Normal"/>
    <w:link w:val="CaptionChar"/>
    <w:uiPriority w:val="99"/>
    <w:qFormat/>
    <w:rsid w:val="0011126E"/>
    <w:rPr>
      <w:b/>
      <w:bCs/>
    </w:rPr>
  </w:style>
  <w:style w:type="character" w:styleId="CommentReference">
    <w:name w:val="annotation reference"/>
    <w:uiPriority w:val="99"/>
    <w:rsid w:val="0011126E"/>
    <w:rPr>
      <w:rFonts w:cs="Times New Roman"/>
      <w:sz w:val="16"/>
      <w:szCs w:val="16"/>
    </w:rPr>
  </w:style>
  <w:style w:type="paragraph" w:styleId="CommentText">
    <w:name w:val="annotation text"/>
    <w:basedOn w:val="Normal"/>
    <w:link w:val="CommentTextChar"/>
    <w:uiPriority w:val="99"/>
    <w:rsid w:val="0011126E"/>
  </w:style>
  <w:style w:type="character" w:customStyle="1" w:styleId="CommentTextChar">
    <w:name w:val="Comment Text Char"/>
    <w:link w:val="CommentText"/>
    <w:uiPriority w:val="99"/>
    <w:locked/>
    <w:rsid w:val="0011126E"/>
    <w:rPr>
      <w:rFonts w:ascii="Corbel" w:hAnsi="Corbel" w:cs="Corbel"/>
      <w:color w:val="000000"/>
      <w:sz w:val="20"/>
      <w:szCs w:val="20"/>
    </w:rPr>
  </w:style>
  <w:style w:type="paragraph" w:styleId="CommentSubject">
    <w:name w:val="annotation subject"/>
    <w:basedOn w:val="CommentText"/>
    <w:next w:val="CommentText"/>
    <w:link w:val="CommentSubjectChar"/>
    <w:uiPriority w:val="99"/>
    <w:semiHidden/>
    <w:rsid w:val="0011126E"/>
    <w:rPr>
      <w:b/>
      <w:bCs/>
    </w:rPr>
  </w:style>
  <w:style w:type="character" w:customStyle="1" w:styleId="CommentSubjectChar">
    <w:name w:val="Comment Subject Char"/>
    <w:link w:val="CommentSubject"/>
    <w:uiPriority w:val="99"/>
    <w:semiHidden/>
    <w:locked/>
    <w:rsid w:val="0011126E"/>
    <w:rPr>
      <w:rFonts w:ascii="Corbel" w:hAnsi="Corbel" w:cs="Corbel"/>
      <w:b/>
      <w:bCs/>
      <w:color w:val="000000"/>
      <w:sz w:val="20"/>
      <w:szCs w:val="20"/>
    </w:rPr>
  </w:style>
  <w:style w:type="paragraph" w:styleId="DocumentMap">
    <w:name w:val="Document Map"/>
    <w:basedOn w:val="Normal"/>
    <w:link w:val="DocumentMapChar"/>
    <w:uiPriority w:val="99"/>
    <w:semiHidden/>
    <w:rsid w:val="0011126E"/>
    <w:pPr>
      <w:shd w:val="clear" w:color="auto" w:fill="000080"/>
    </w:pPr>
    <w:rPr>
      <w:rFonts w:ascii="Tahoma" w:hAnsi="Tahoma" w:cs="Tahoma"/>
    </w:rPr>
  </w:style>
  <w:style w:type="character" w:customStyle="1" w:styleId="DocumentMapChar">
    <w:name w:val="Document Map Char"/>
    <w:link w:val="DocumentMap"/>
    <w:uiPriority w:val="99"/>
    <w:semiHidden/>
    <w:locked/>
    <w:rsid w:val="0011126E"/>
    <w:rPr>
      <w:rFonts w:ascii="Tahoma" w:hAnsi="Tahoma" w:cs="Tahoma"/>
      <w:color w:val="000000"/>
      <w:sz w:val="16"/>
      <w:szCs w:val="16"/>
    </w:rPr>
  </w:style>
  <w:style w:type="character" w:styleId="EndnoteReference">
    <w:name w:val="endnote reference"/>
    <w:uiPriority w:val="99"/>
    <w:semiHidden/>
    <w:rsid w:val="0011126E"/>
    <w:rPr>
      <w:rFonts w:cs="Times New Roman"/>
      <w:vertAlign w:val="superscript"/>
    </w:rPr>
  </w:style>
  <w:style w:type="paragraph" w:styleId="EndnoteText">
    <w:name w:val="endnote text"/>
    <w:basedOn w:val="Normal"/>
    <w:link w:val="EndnoteTextChar"/>
    <w:semiHidden/>
    <w:rsid w:val="0011126E"/>
  </w:style>
  <w:style w:type="character" w:customStyle="1" w:styleId="EndnoteTextChar">
    <w:name w:val="Endnote Text Char"/>
    <w:link w:val="EndnoteText"/>
    <w:semiHidden/>
    <w:locked/>
    <w:rsid w:val="0011126E"/>
    <w:rPr>
      <w:rFonts w:ascii="Corbel" w:hAnsi="Corbel" w:cs="Corbel"/>
      <w:color w:val="000000"/>
      <w:sz w:val="20"/>
      <w:szCs w:val="20"/>
    </w:rPr>
  </w:style>
  <w:style w:type="character" w:styleId="FootnoteReference">
    <w:name w:val="footnote reference"/>
    <w:uiPriority w:val="99"/>
    <w:rsid w:val="0011126E"/>
    <w:rPr>
      <w:rFonts w:cs="Times New Roman"/>
      <w:vertAlign w:val="superscript"/>
    </w:rPr>
  </w:style>
  <w:style w:type="paragraph" w:styleId="Index1">
    <w:name w:val="index 1"/>
    <w:basedOn w:val="Normal"/>
    <w:next w:val="Normal"/>
    <w:autoRedefine/>
    <w:uiPriority w:val="99"/>
    <w:semiHidden/>
    <w:rsid w:val="0011126E"/>
    <w:pPr>
      <w:ind w:left="200" w:hanging="200"/>
    </w:pPr>
  </w:style>
  <w:style w:type="paragraph" w:styleId="Index2">
    <w:name w:val="index 2"/>
    <w:basedOn w:val="Normal"/>
    <w:next w:val="Normal"/>
    <w:autoRedefine/>
    <w:uiPriority w:val="99"/>
    <w:semiHidden/>
    <w:rsid w:val="0011126E"/>
    <w:pPr>
      <w:ind w:left="400" w:hanging="200"/>
    </w:pPr>
  </w:style>
  <w:style w:type="paragraph" w:styleId="Index3">
    <w:name w:val="index 3"/>
    <w:basedOn w:val="Normal"/>
    <w:next w:val="Normal"/>
    <w:autoRedefine/>
    <w:uiPriority w:val="99"/>
    <w:semiHidden/>
    <w:rsid w:val="0011126E"/>
    <w:pPr>
      <w:ind w:left="600" w:hanging="200"/>
    </w:pPr>
  </w:style>
  <w:style w:type="paragraph" w:styleId="Index4">
    <w:name w:val="index 4"/>
    <w:basedOn w:val="Normal"/>
    <w:next w:val="Normal"/>
    <w:autoRedefine/>
    <w:uiPriority w:val="99"/>
    <w:semiHidden/>
    <w:rsid w:val="0011126E"/>
    <w:pPr>
      <w:ind w:left="800" w:hanging="200"/>
    </w:pPr>
  </w:style>
  <w:style w:type="paragraph" w:styleId="Index5">
    <w:name w:val="index 5"/>
    <w:basedOn w:val="Normal"/>
    <w:next w:val="Normal"/>
    <w:autoRedefine/>
    <w:uiPriority w:val="99"/>
    <w:semiHidden/>
    <w:rsid w:val="0011126E"/>
    <w:pPr>
      <w:ind w:left="1000" w:hanging="200"/>
    </w:pPr>
  </w:style>
  <w:style w:type="paragraph" w:styleId="Index6">
    <w:name w:val="index 6"/>
    <w:basedOn w:val="Normal"/>
    <w:next w:val="Normal"/>
    <w:autoRedefine/>
    <w:uiPriority w:val="99"/>
    <w:semiHidden/>
    <w:rsid w:val="0011126E"/>
    <w:pPr>
      <w:ind w:left="1200" w:hanging="200"/>
    </w:pPr>
  </w:style>
  <w:style w:type="paragraph" w:styleId="Index7">
    <w:name w:val="index 7"/>
    <w:basedOn w:val="Normal"/>
    <w:next w:val="Normal"/>
    <w:autoRedefine/>
    <w:uiPriority w:val="99"/>
    <w:semiHidden/>
    <w:rsid w:val="0011126E"/>
    <w:pPr>
      <w:ind w:left="1400" w:hanging="200"/>
    </w:pPr>
  </w:style>
  <w:style w:type="paragraph" w:styleId="Index8">
    <w:name w:val="index 8"/>
    <w:basedOn w:val="Normal"/>
    <w:next w:val="Normal"/>
    <w:autoRedefine/>
    <w:uiPriority w:val="99"/>
    <w:semiHidden/>
    <w:rsid w:val="0011126E"/>
    <w:pPr>
      <w:ind w:left="1600" w:hanging="200"/>
    </w:pPr>
  </w:style>
  <w:style w:type="paragraph" w:styleId="Index9">
    <w:name w:val="index 9"/>
    <w:basedOn w:val="Normal"/>
    <w:next w:val="Normal"/>
    <w:autoRedefine/>
    <w:uiPriority w:val="99"/>
    <w:semiHidden/>
    <w:rsid w:val="0011126E"/>
    <w:pPr>
      <w:ind w:left="1800" w:hanging="200"/>
    </w:pPr>
  </w:style>
  <w:style w:type="paragraph" w:styleId="IndexHeading">
    <w:name w:val="index heading"/>
    <w:basedOn w:val="Normal"/>
    <w:next w:val="Index1"/>
    <w:uiPriority w:val="99"/>
    <w:semiHidden/>
    <w:rsid w:val="0011126E"/>
    <w:rPr>
      <w:rFonts w:ascii="Arial" w:hAnsi="Arial" w:cs="Arial"/>
      <w:b/>
      <w:bCs/>
    </w:rPr>
  </w:style>
  <w:style w:type="paragraph" w:styleId="MacroText">
    <w:name w:val="macro"/>
    <w:link w:val="MacroTextChar"/>
    <w:uiPriority w:val="99"/>
    <w:semiHidden/>
    <w:rsid w:val="0011126E"/>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color w:val="000000"/>
    </w:rPr>
  </w:style>
  <w:style w:type="character" w:customStyle="1" w:styleId="MacroTextChar">
    <w:name w:val="Macro Text Char"/>
    <w:link w:val="MacroText"/>
    <w:uiPriority w:val="99"/>
    <w:semiHidden/>
    <w:locked/>
    <w:rsid w:val="0011126E"/>
    <w:rPr>
      <w:rFonts w:ascii="Courier New" w:hAnsi="Courier New" w:cs="Courier New"/>
      <w:color w:val="000000"/>
      <w:lang w:val="en-AU" w:eastAsia="en-AU" w:bidi="ar-SA"/>
    </w:rPr>
  </w:style>
  <w:style w:type="paragraph" w:styleId="TableofAuthorities">
    <w:name w:val="table of authorities"/>
    <w:basedOn w:val="Normal"/>
    <w:next w:val="Normal"/>
    <w:uiPriority w:val="99"/>
    <w:semiHidden/>
    <w:rsid w:val="0011126E"/>
    <w:pPr>
      <w:ind w:left="200" w:hanging="200"/>
    </w:pPr>
  </w:style>
  <w:style w:type="paragraph" w:styleId="TableofFigures">
    <w:name w:val="table of figures"/>
    <w:basedOn w:val="Normal"/>
    <w:next w:val="Normal"/>
    <w:uiPriority w:val="99"/>
    <w:semiHidden/>
    <w:rsid w:val="0011126E"/>
  </w:style>
  <w:style w:type="paragraph" w:styleId="TOAHeading">
    <w:name w:val="toa heading"/>
    <w:basedOn w:val="Normal"/>
    <w:next w:val="Normal"/>
    <w:uiPriority w:val="99"/>
    <w:semiHidden/>
    <w:rsid w:val="0011126E"/>
    <w:pPr>
      <w:spacing w:before="120"/>
    </w:pPr>
    <w:rPr>
      <w:rFonts w:ascii="Arial" w:hAnsi="Arial" w:cs="Arial"/>
      <w:b/>
      <w:bCs/>
      <w:sz w:val="24"/>
      <w:szCs w:val="24"/>
    </w:rPr>
  </w:style>
  <w:style w:type="paragraph" w:styleId="TOC5">
    <w:name w:val="toc 5"/>
    <w:basedOn w:val="Normal"/>
    <w:next w:val="Normal"/>
    <w:autoRedefine/>
    <w:uiPriority w:val="99"/>
    <w:semiHidden/>
    <w:rsid w:val="0011126E"/>
    <w:pPr>
      <w:ind w:left="800"/>
    </w:pPr>
  </w:style>
  <w:style w:type="paragraph" w:styleId="TOC6">
    <w:name w:val="toc 6"/>
    <w:basedOn w:val="Normal"/>
    <w:next w:val="Normal"/>
    <w:autoRedefine/>
    <w:uiPriority w:val="99"/>
    <w:semiHidden/>
    <w:rsid w:val="0011126E"/>
    <w:pPr>
      <w:ind w:left="1000"/>
    </w:pPr>
  </w:style>
  <w:style w:type="paragraph" w:styleId="TOC7">
    <w:name w:val="toc 7"/>
    <w:basedOn w:val="Normal"/>
    <w:next w:val="Normal"/>
    <w:autoRedefine/>
    <w:uiPriority w:val="99"/>
    <w:semiHidden/>
    <w:rsid w:val="0011126E"/>
    <w:pPr>
      <w:ind w:left="1200"/>
    </w:pPr>
  </w:style>
  <w:style w:type="paragraph" w:styleId="TOC8">
    <w:name w:val="toc 8"/>
    <w:basedOn w:val="Normal"/>
    <w:next w:val="Normal"/>
    <w:autoRedefine/>
    <w:uiPriority w:val="99"/>
    <w:semiHidden/>
    <w:rsid w:val="0011126E"/>
    <w:pPr>
      <w:ind w:left="1400"/>
    </w:pPr>
  </w:style>
  <w:style w:type="paragraph" w:styleId="TOC9">
    <w:name w:val="toc 9"/>
    <w:basedOn w:val="Normal"/>
    <w:next w:val="Normal"/>
    <w:autoRedefine/>
    <w:uiPriority w:val="99"/>
    <w:semiHidden/>
    <w:rsid w:val="0011126E"/>
    <w:pPr>
      <w:ind w:left="1600"/>
    </w:pPr>
  </w:style>
  <w:style w:type="paragraph" w:customStyle="1" w:styleId="Heading5NotNumbered">
    <w:name w:val="Heading 5 Not Numbered"/>
    <w:basedOn w:val="HeadingBase"/>
    <w:uiPriority w:val="99"/>
    <w:rsid w:val="0011126E"/>
    <w:pPr>
      <w:spacing w:after="120"/>
      <w:outlineLvl w:val="4"/>
    </w:pPr>
    <w:rPr>
      <w:b/>
      <w:bCs/>
    </w:rPr>
  </w:style>
  <w:style w:type="paragraph" w:customStyle="1" w:styleId="Normalnumbered">
    <w:name w:val="Normal numbered"/>
    <w:basedOn w:val="Normal"/>
    <w:link w:val="NormalnumberedChar"/>
    <w:rsid w:val="00B077C0"/>
    <w:pPr>
      <w:numPr>
        <w:numId w:val="9"/>
      </w:numPr>
    </w:pPr>
    <w:rPr>
      <w:rFonts w:ascii="Calibri" w:hAnsi="Calibri"/>
      <w:color w:val="auto"/>
    </w:rPr>
  </w:style>
  <w:style w:type="paragraph" w:customStyle="1" w:styleId="Romannumeral">
    <w:name w:val="Roman numeral"/>
    <w:basedOn w:val="Normal"/>
    <w:uiPriority w:val="99"/>
    <w:rsid w:val="0011126E"/>
    <w:pPr>
      <w:numPr>
        <w:numId w:val="10"/>
      </w:numPr>
    </w:pPr>
  </w:style>
  <w:style w:type="paragraph" w:customStyle="1" w:styleId="FileProperties">
    <w:name w:val="File Properties"/>
    <w:basedOn w:val="Normal"/>
    <w:uiPriority w:val="99"/>
    <w:rsid w:val="0011126E"/>
    <w:rPr>
      <w:i/>
      <w:iCs/>
      <w:color w:val="auto"/>
    </w:rPr>
  </w:style>
  <w:style w:type="paragraph" w:customStyle="1" w:styleId="StatesList">
    <w:name w:val="StatesList"/>
    <w:basedOn w:val="AgreementParties"/>
    <w:uiPriority w:val="99"/>
    <w:rsid w:val="0011126E"/>
    <w:pPr>
      <w:tabs>
        <w:tab w:val="num" w:pos="1134"/>
      </w:tabs>
      <w:ind w:left="1134"/>
    </w:pPr>
  </w:style>
  <w:style w:type="paragraph" w:customStyle="1" w:styleId="Abstract">
    <w:name w:val="Abstract"/>
    <w:basedOn w:val="Normal"/>
    <w:uiPriority w:val="99"/>
    <w:rsid w:val="00B077C0"/>
    <w:pPr>
      <w:spacing w:before="240" w:line="240" w:lineRule="auto"/>
      <w:jc w:val="center"/>
    </w:pPr>
    <w:rPr>
      <w:rFonts w:ascii="Calibri" w:hAnsi="Calibri" w:cs="Consolas"/>
      <w:color w:val="auto"/>
      <w:sz w:val="22"/>
      <w:szCs w:val="20"/>
    </w:rPr>
  </w:style>
  <w:style w:type="paragraph" w:customStyle="1" w:styleId="ScheduleStartNnumber">
    <w:name w:val="ScheduleStartNnumber"/>
    <w:uiPriority w:val="99"/>
    <w:rsid w:val="0011126E"/>
    <w:pPr>
      <w:numPr>
        <w:numId w:val="16"/>
      </w:numPr>
    </w:pPr>
    <w:rPr>
      <w:rFonts w:ascii="Consolas" w:hAnsi="Consolas" w:cs="Consolas"/>
      <w:vanish/>
      <w:color w:val="000000"/>
      <w:kern w:val="32"/>
      <w:sz w:val="12"/>
      <w:szCs w:val="12"/>
    </w:rPr>
  </w:style>
  <w:style w:type="paragraph" w:styleId="Subtitle">
    <w:name w:val="Subtitle"/>
    <w:basedOn w:val="Normal"/>
    <w:link w:val="SubtitleChar"/>
    <w:uiPriority w:val="99"/>
    <w:qFormat/>
    <w:rsid w:val="00B077C0"/>
    <w:pPr>
      <w:spacing w:after="600" w:line="240" w:lineRule="auto"/>
      <w:jc w:val="left"/>
    </w:pPr>
    <w:rPr>
      <w:rFonts w:ascii="Calibri" w:hAnsi="Calibri" w:cs="Consolas"/>
      <w:b/>
      <w:bCs/>
      <w:caps/>
      <w:color w:val="auto"/>
      <w:sz w:val="24"/>
      <w:szCs w:val="24"/>
      <w:lang w:eastAsia="ja-JP"/>
    </w:rPr>
  </w:style>
  <w:style w:type="character" w:customStyle="1" w:styleId="SubtitleChar">
    <w:name w:val="Subtitle Char"/>
    <w:link w:val="Subtitle"/>
    <w:uiPriority w:val="99"/>
    <w:locked/>
    <w:rsid w:val="00B077C0"/>
    <w:rPr>
      <w:rFonts w:ascii="Calibri" w:hAnsi="Calibri" w:cs="Consolas"/>
      <w:b/>
      <w:bCs/>
      <w:caps/>
      <w:sz w:val="24"/>
      <w:szCs w:val="24"/>
      <w:lang w:eastAsia="ja-JP"/>
    </w:rPr>
  </w:style>
  <w:style w:type="paragraph" w:styleId="Title">
    <w:name w:val="Title"/>
    <w:basedOn w:val="Normal"/>
    <w:next w:val="Subtitle"/>
    <w:link w:val="TitleChar"/>
    <w:uiPriority w:val="99"/>
    <w:qFormat/>
    <w:rsid w:val="00C01C9D"/>
    <w:pPr>
      <w:spacing w:after="0" w:line="240" w:lineRule="auto"/>
      <w:jc w:val="left"/>
    </w:pPr>
    <w:rPr>
      <w:rFonts w:ascii="Calibri" w:hAnsi="Calibri"/>
      <w:color w:val="316F72"/>
      <w:sz w:val="52"/>
      <w:szCs w:val="72"/>
      <w:lang w:eastAsia="ja-JP"/>
    </w:rPr>
  </w:style>
  <w:style w:type="character" w:customStyle="1" w:styleId="TitleChar">
    <w:name w:val="Title Char"/>
    <w:link w:val="Title"/>
    <w:uiPriority w:val="99"/>
    <w:locked/>
    <w:rsid w:val="00C01C9D"/>
    <w:rPr>
      <w:rFonts w:ascii="Calibri" w:hAnsi="Calibri" w:cs="Corbel"/>
      <w:color w:val="316F72"/>
      <w:sz w:val="52"/>
      <w:szCs w:val="72"/>
      <w:lang w:eastAsia="ja-JP"/>
    </w:rPr>
  </w:style>
  <w:style w:type="paragraph" w:styleId="ListBullet">
    <w:name w:val="List Bullet"/>
    <w:basedOn w:val="Normal"/>
    <w:link w:val="ListBulletChar"/>
    <w:uiPriority w:val="99"/>
    <w:rsid w:val="00C7093C"/>
    <w:pPr>
      <w:tabs>
        <w:tab w:val="num" w:pos="567"/>
        <w:tab w:val="num" w:pos="1134"/>
      </w:tabs>
      <w:spacing w:after="113" w:line="240" w:lineRule="auto"/>
      <w:ind w:left="720" w:hanging="363"/>
      <w:jc w:val="left"/>
    </w:pPr>
    <w:rPr>
      <w:rFonts w:cs="Times New Roman"/>
      <w:color w:val="auto"/>
      <w:sz w:val="22"/>
      <w:szCs w:val="22"/>
      <w:lang w:eastAsia="en-US"/>
    </w:rPr>
  </w:style>
  <w:style w:type="paragraph" w:customStyle="1" w:styleId="TableBullet">
    <w:name w:val="TableBullet"/>
    <w:basedOn w:val="Bullet"/>
    <w:uiPriority w:val="99"/>
    <w:rsid w:val="0011126E"/>
    <w:pPr>
      <w:numPr>
        <w:numId w:val="0"/>
      </w:numPr>
      <w:spacing w:before="40" w:after="60"/>
    </w:pPr>
  </w:style>
  <w:style w:type="paragraph" w:customStyle="1" w:styleId="ScheduleList">
    <w:name w:val="ScheduleList"/>
    <w:basedOn w:val="Normal"/>
    <w:uiPriority w:val="99"/>
    <w:rsid w:val="0011126E"/>
    <w:pPr>
      <w:numPr>
        <w:numId w:val="7"/>
      </w:numPr>
    </w:pPr>
    <w:rPr>
      <w:b/>
      <w:bCs/>
    </w:rPr>
  </w:style>
  <w:style w:type="paragraph" w:customStyle="1" w:styleId="ScheduleListSubHeading">
    <w:name w:val="ScheduleListSubHeading"/>
    <w:basedOn w:val="ScheduleList"/>
    <w:uiPriority w:val="99"/>
    <w:rsid w:val="0011126E"/>
    <w:pPr>
      <w:numPr>
        <w:ilvl w:val="1"/>
      </w:numPr>
      <w:tabs>
        <w:tab w:val="num" w:pos="2574"/>
      </w:tabs>
      <w:ind w:hanging="360"/>
    </w:pPr>
  </w:style>
  <w:style w:type="paragraph" w:customStyle="1" w:styleId="Signed">
    <w:name w:val="Signed"/>
    <w:basedOn w:val="Normal"/>
    <w:rsid w:val="0011126E"/>
    <w:pPr>
      <w:spacing w:after="120" w:line="240" w:lineRule="auto"/>
    </w:pPr>
    <w:rPr>
      <w:rFonts w:ascii="Book Antiqua" w:hAnsi="Book Antiqua" w:cs="Book Antiqua"/>
      <w:i/>
      <w:iCs/>
      <w:sz w:val="22"/>
      <w:szCs w:val="22"/>
    </w:rPr>
  </w:style>
  <w:style w:type="paragraph" w:customStyle="1" w:styleId="AgreementHeading">
    <w:name w:val="AgreementHeading"/>
    <w:basedOn w:val="StatesList"/>
    <w:next w:val="StatesList"/>
    <w:uiPriority w:val="99"/>
    <w:rsid w:val="0011126E"/>
    <w:pPr>
      <w:numPr>
        <w:numId w:val="0"/>
      </w:numPr>
      <w:ind w:left="1560"/>
    </w:pPr>
  </w:style>
  <w:style w:type="character" w:styleId="PageNumber">
    <w:name w:val="page number"/>
    <w:uiPriority w:val="99"/>
    <w:rsid w:val="0011126E"/>
    <w:rPr>
      <w:rFonts w:cs="Times New Roman"/>
    </w:rPr>
  </w:style>
  <w:style w:type="paragraph" w:customStyle="1" w:styleId="CoverStatesList">
    <w:name w:val="CoverStatesList"/>
    <w:basedOn w:val="Normal"/>
    <w:uiPriority w:val="99"/>
    <w:rsid w:val="0011126E"/>
    <w:pPr>
      <w:keepNext/>
      <w:tabs>
        <w:tab w:val="num" w:pos="284"/>
      </w:tabs>
      <w:spacing w:before="240" w:after="60" w:line="240" w:lineRule="auto"/>
      <w:ind w:left="284" w:hanging="284"/>
      <w:jc w:val="left"/>
    </w:pPr>
    <w:rPr>
      <w:rFonts w:ascii="Consolas" w:hAnsi="Consolas" w:cs="Consolas"/>
      <w:color w:val="auto"/>
      <w:sz w:val="30"/>
      <w:szCs w:val="30"/>
      <w:lang w:eastAsia="ja-JP"/>
    </w:rPr>
  </w:style>
  <w:style w:type="paragraph" w:customStyle="1" w:styleId="Position">
    <w:name w:val="Position"/>
    <w:basedOn w:val="Normal"/>
    <w:rsid w:val="0011126E"/>
    <w:pPr>
      <w:spacing w:after="120"/>
    </w:pPr>
    <w:rPr>
      <w:sz w:val="20"/>
      <w:szCs w:val="20"/>
    </w:rPr>
  </w:style>
  <w:style w:type="character" w:customStyle="1" w:styleId="SignedBold">
    <w:name w:val="SignedBold"/>
    <w:rsid w:val="0011126E"/>
    <w:rPr>
      <w:rFonts w:cs="Times New Roman"/>
      <w:b/>
      <w:bCs/>
      <w:i/>
      <w:iCs/>
    </w:rPr>
  </w:style>
  <w:style w:type="paragraph" w:customStyle="1" w:styleId="LineForSignature">
    <w:name w:val="LineForSignature"/>
    <w:basedOn w:val="Normal"/>
    <w:rsid w:val="0011126E"/>
    <w:pPr>
      <w:tabs>
        <w:tab w:val="left" w:leader="underscore" w:pos="3686"/>
      </w:tabs>
      <w:spacing w:before="360" w:after="60"/>
    </w:pPr>
    <w:rPr>
      <w:rFonts w:ascii="Book Antiqua" w:hAnsi="Book Antiqua" w:cs="Book Antiqua"/>
      <w:color w:val="C0C0C0"/>
      <w:lang w:val="en-GB"/>
    </w:rPr>
  </w:style>
  <w:style w:type="paragraph" w:customStyle="1" w:styleId="ScheduleNumberedPara">
    <w:name w:val="ScheduleNumberedPara"/>
    <w:basedOn w:val="Normalnumbered"/>
    <w:link w:val="ScheduleNumberedParaChar"/>
    <w:uiPriority w:val="99"/>
    <w:rsid w:val="0011126E"/>
    <w:pPr>
      <w:numPr>
        <w:ilvl w:val="1"/>
        <w:numId w:val="16"/>
      </w:numPr>
      <w:tabs>
        <w:tab w:val="clear" w:pos="567"/>
        <w:tab w:val="num" w:pos="360"/>
      </w:tabs>
      <w:ind w:left="851"/>
    </w:pPr>
  </w:style>
  <w:style w:type="paragraph" w:customStyle="1" w:styleId="Heading1Red">
    <w:name w:val="Heading 1 Red"/>
    <w:basedOn w:val="Heading1"/>
    <w:uiPriority w:val="99"/>
    <w:rsid w:val="0011126E"/>
    <w:rPr>
      <w:color w:val="980033"/>
    </w:rPr>
  </w:style>
  <w:style w:type="paragraph" w:customStyle="1" w:styleId="Indentednumberpara">
    <w:name w:val="Indented number para"/>
    <w:basedOn w:val="Romannumeral"/>
    <w:uiPriority w:val="99"/>
    <w:rsid w:val="0011126E"/>
    <w:pPr>
      <w:numPr>
        <w:ilvl w:val="1"/>
        <w:numId w:val="8"/>
      </w:numPr>
    </w:pPr>
  </w:style>
  <w:style w:type="paragraph" w:customStyle="1" w:styleId="AgreementParties">
    <w:name w:val="AgreementParties"/>
    <w:uiPriority w:val="99"/>
    <w:rsid w:val="00EA43CA"/>
    <w:pPr>
      <w:numPr>
        <w:numId w:val="11"/>
      </w:numPr>
      <w:spacing w:before="120" w:after="120"/>
    </w:pPr>
    <w:rPr>
      <w:rFonts w:ascii="Calibri" w:hAnsi="Calibri" w:cs="Consolas"/>
      <w:sz w:val="24"/>
      <w:szCs w:val="30"/>
      <w:lang w:eastAsia="ja-JP"/>
    </w:rPr>
  </w:style>
  <w:style w:type="paragraph" w:customStyle="1" w:styleId="IndentedQuote">
    <w:name w:val="Indented Quote"/>
    <w:basedOn w:val="Normal"/>
    <w:uiPriority w:val="99"/>
    <w:rsid w:val="0011126E"/>
    <w:pPr>
      <w:pBdr>
        <w:top w:val="single" w:sz="2" w:space="10" w:color="000080"/>
        <w:bottom w:val="single" w:sz="2" w:space="10" w:color="000080"/>
      </w:pBdr>
      <w:shd w:val="clear" w:color="auto" w:fill="FFFFFF"/>
      <w:spacing w:before="240" w:line="280" w:lineRule="exact"/>
      <w:ind w:left="567" w:right="567"/>
    </w:pPr>
    <w:rPr>
      <w:color w:val="3D4B67"/>
      <w:lang w:eastAsia="ja-JP"/>
    </w:rPr>
  </w:style>
  <w:style w:type="paragraph" w:customStyle="1" w:styleId="IndentItalic">
    <w:name w:val="IndentItalic"/>
    <w:basedOn w:val="NormalIndent"/>
    <w:uiPriority w:val="99"/>
    <w:rsid w:val="0011126E"/>
    <w:rPr>
      <w:i/>
      <w:iCs/>
    </w:rPr>
  </w:style>
  <w:style w:type="paragraph" w:customStyle="1" w:styleId="HeaderEvenRed">
    <w:name w:val="Header Even Red"/>
    <w:basedOn w:val="HeaderEven"/>
    <w:uiPriority w:val="99"/>
    <w:rsid w:val="0011126E"/>
    <w:rPr>
      <w:color w:val="980033"/>
    </w:rPr>
  </w:style>
  <w:style w:type="paragraph" w:customStyle="1" w:styleId="HeaderOddRed">
    <w:name w:val="Header Odd Red"/>
    <w:basedOn w:val="HeaderOdd"/>
    <w:uiPriority w:val="99"/>
    <w:rsid w:val="0011126E"/>
    <w:rPr>
      <w:color w:val="980033"/>
    </w:rPr>
  </w:style>
  <w:style w:type="character" w:customStyle="1" w:styleId="ListBulletChar">
    <w:name w:val="List Bullet Char"/>
    <w:link w:val="ListBullet"/>
    <w:uiPriority w:val="99"/>
    <w:locked/>
    <w:rsid w:val="00C7093C"/>
    <w:rPr>
      <w:rFonts w:ascii="Corbel" w:hAnsi="Corbel"/>
      <w:sz w:val="22"/>
      <w:szCs w:val="22"/>
      <w:lang w:eastAsia="en-US"/>
    </w:rPr>
  </w:style>
  <w:style w:type="character" w:customStyle="1" w:styleId="NormalnumberedChar">
    <w:name w:val="Normal numbered Char"/>
    <w:link w:val="Normalnumbered"/>
    <w:locked/>
    <w:rsid w:val="00B077C0"/>
    <w:rPr>
      <w:rFonts w:ascii="Calibri" w:hAnsi="Calibri" w:cs="Corbel"/>
      <w:sz w:val="23"/>
      <w:szCs w:val="23"/>
    </w:rPr>
  </w:style>
  <w:style w:type="paragraph" w:customStyle="1" w:styleId="Bodycopy">
    <w:name w:val="Body copy"/>
    <w:basedOn w:val="Normal"/>
    <w:link w:val="BodycopyChar"/>
    <w:uiPriority w:val="99"/>
    <w:rsid w:val="00F979C5"/>
    <w:pPr>
      <w:spacing w:after="113" w:line="240" w:lineRule="auto"/>
      <w:jc w:val="left"/>
    </w:pPr>
    <w:rPr>
      <w:rFonts w:cs="Times New Roman"/>
      <w:color w:val="auto"/>
      <w:sz w:val="22"/>
      <w:szCs w:val="22"/>
      <w:lang w:eastAsia="en-US"/>
    </w:rPr>
  </w:style>
  <w:style w:type="character" w:customStyle="1" w:styleId="BodycopyChar">
    <w:name w:val="Body copy Char"/>
    <w:link w:val="Bodycopy"/>
    <w:uiPriority w:val="99"/>
    <w:locked/>
    <w:rsid w:val="00F979C5"/>
    <w:rPr>
      <w:rFonts w:cs="Times New Roman"/>
      <w:sz w:val="22"/>
      <w:szCs w:val="22"/>
      <w:lang w:val="en-AU" w:eastAsia="en-US"/>
    </w:rPr>
  </w:style>
  <w:style w:type="paragraph" w:customStyle="1" w:styleId="TableText">
    <w:name w:val="Table Text"/>
    <w:basedOn w:val="Bodycopy"/>
    <w:uiPriority w:val="99"/>
    <w:rsid w:val="00F979C5"/>
    <w:pPr>
      <w:spacing w:before="60" w:after="60"/>
    </w:pPr>
    <w:rPr>
      <w:rFonts w:ascii="Arial" w:hAnsi="Arial" w:cs="Arial"/>
      <w:sz w:val="16"/>
      <w:szCs w:val="16"/>
    </w:rPr>
  </w:style>
  <w:style w:type="paragraph" w:customStyle="1" w:styleId="TableHeading">
    <w:name w:val="Table Heading"/>
    <w:basedOn w:val="TableText"/>
    <w:uiPriority w:val="99"/>
    <w:rsid w:val="00F979C5"/>
    <w:rPr>
      <w:b/>
      <w:bCs/>
      <w:color w:val="FFFFFF"/>
    </w:rPr>
  </w:style>
  <w:style w:type="paragraph" w:customStyle="1" w:styleId="SectionHeading">
    <w:name w:val="Section Heading"/>
    <w:basedOn w:val="Heading4"/>
    <w:uiPriority w:val="99"/>
    <w:rsid w:val="00F979C5"/>
    <w:pPr>
      <w:spacing w:before="240" w:after="60"/>
    </w:pPr>
    <w:rPr>
      <w:rFonts w:cs="Times New Roman"/>
      <w:caps w:val="0"/>
      <w:color w:val="7584BD"/>
      <w:sz w:val="22"/>
      <w:szCs w:val="22"/>
      <w:lang w:eastAsia="en-US"/>
    </w:rPr>
  </w:style>
  <w:style w:type="character" w:customStyle="1" w:styleId="CaptionChar">
    <w:name w:val="Caption Char"/>
    <w:link w:val="Caption"/>
    <w:uiPriority w:val="99"/>
    <w:locked/>
    <w:rsid w:val="00F979C5"/>
    <w:rPr>
      <w:rFonts w:ascii="Corbel" w:hAnsi="Corbel" w:cs="Corbel"/>
      <w:b/>
      <w:bCs/>
      <w:color w:val="000000"/>
      <w:sz w:val="23"/>
      <w:szCs w:val="23"/>
      <w:lang w:val="en-AU" w:eastAsia="en-AU"/>
    </w:rPr>
  </w:style>
  <w:style w:type="character" w:customStyle="1" w:styleId="HeadingBaseChar">
    <w:name w:val="Heading Base Char"/>
    <w:link w:val="HeadingBase"/>
    <w:uiPriority w:val="99"/>
    <w:locked/>
    <w:rsid w:val="00E220BC"/>
    <w:rPr>
      <w:rFonts w:ascii="Corbel" w:hAnsi="Corbel" w:cs="Corbel"/>
      <w:color w:val="3D4B67"/>
      <w:lang w:val="en-AU" w:eastAsia="en-AU" w:bidi="ar-SA"/>
    </w:rPr>
  </w:style>
  <w:style w:type="character" w:customStyle="1" w:styleId="AlphaParagraphCharChar">
    <w:name w:val="Alpha Paragraph Char Char"/>
    <w:link w:val="AlphaParagraph"/>
    <w:uiPriority w:val="99"/>
    <w:locked/>
    <w:rsid w:val="00725AD5"/>
    <w:rPr>
      <w:rFonts w:ascii="Corbel" w:hAnsi="Corbel" w:cs="Corbel"/>
      <w:color w:val="000000"/>
      <w:sz w:val="23"/>
      <w:szCs w:val="23"/>
    </w:rPr>
  </w:style>
  <w:style w:type="character" w:customStyle="1" w:styleId="BulletChar">
    <w:name w:val="Bullet Char"/>
    <w:link w:val="Bullet"/>
    <w:uiPriority w:val="99"/>
    <w:locked/>
    <w:rsid w:val="004B1F38"/>
    <w:rPr>
      <w:rFonts w:ascii="Corbel" w:hAnsi="Corbel" w:cs="Corbel"/>
      <w:color w:val="000000"/>
      <w:sz w:val="23"/>
      <w:szCs w:val="23"/>
    </w:rPr>
  </w:style>
  <w:style w:type="paragraph" w:customStyle="1" w:styleId="NumberedParagraph">
    <w:name w:val="Numbered Paragraph"/>
    <w:basedOn w:val="Normal"/>
    <w:uiPriority w:val="99"/>
    <w:rsid w:val="004B1F38"/>
    <w:pPr>
      <w:numPr>
        <w:numId w:val="13"/>
      </w:numPr>
      <w:spacing w:line="240" w:lineRule="auto"/>
      <w:jc w:val="left"/>
    </w:pPr>
    <w:rPr>
      <w:rFonts w:cs="Times New Roman"/>
      <w:color w:val="auto"/>
      <w:sz w:val="24"/>
      <w:szCs w:val="24"/>
    </w:rPr>
  </w:style>
  <w:style w:type="character" w:customStyle="1" w:styleId="CharChar4">
    <w:name w:val="Char Char4"/>
    <w:uiPriority w:val="99"/>
    <w:semiHidden/>
    <w:rsid w:val="006F096A"/>
    <w:rPr>
      <w:rFonts w:ascii="Corbel" w:hAnsi="Corbel" w:cs="Corbel"/>
      <w:b/>
      <w:bCs/>
      <w:color w:val="3D4B67"/>
      <w:sz w:val="28"/>
      <w:szCs w:val="28"/>
      <w:lang w:val="en-AU" w:eastAsia="en-AU"/>
    </w:rPr>
  </w:style>
  <w:style w:type="paragraph" w:customStyle="1" w:styleId="Default">
    <w:name w:val="Default"/>
    <w:rsid w:val="00D802FC"/>
    <w:pPr>
      <w:autoSpaceDE w:val="0"/>
      <w:autoSpaceDN w:val="0"/>
      <w:adjustRightInd w:val="0"/>
    </w:pPr>
    <w:rPr>
      <w:rFonts w:ascii="Corbel" w:hAnsi="Corbel" w:cs="Corbel"/>
      <w:color w:val="000000"/>
      <w:sz w:val="24"/>
      <w:szCs w:val="24"/>
    </w:rPr>
  </w:style>
  <w:style w:type="character" w:customStyle="1" w:styleId="NormalIndentChar">
    <w:name w:val="Normal Indent Char"/>
    <w:link w:val="NormalIndent"/>
    <w:uiPriority w:val="99"/>
    <w:locked/>
    <w:rsid w:val="00E354D8"/>
    <w:rPr>
      <w:rFonts w:ascii="Corbel" w:hAnsi="Corbel" w:cs="Corbel"/>
      <w:color w:val="000000"/>
      <w:sz w:val="23"/>
      <w:szCs w:val="23"/>
      <w:lang w:val="en-AU" w:eastAsia="en-AU"/>
    </w:rPr>
  </w:style>
  <w:style w:type="paragraph" w:customStyle="1" w:styleId="IndentHanging">
    <w:name w:val="Indent: Hanging"/>
    <w:basedOn w:val="Normal"/>
    <w:uiPriority w:val="99"/>
    <w:semiHidden/>
    <w:rsid w:val="001E7173"/>
    <w:pPr>
      <w:numPr>
        <w:numId w:val="14"/>
      </w:numPr>
      <w:spacing w:after="140" w:line="280" w:lineRule="atLeast"/>
      <w:jc w:val="left"/>
    </w:pPr>
    <w:rPr>
      <w:rFonts w:ascii="Arial" w:hAnsi="Arial" w:cs="Arial"/>
      <w:color w:val="auto"/>
      <w:sz w:val="22"/>
      <w:szCs w:val="22"/>
    </w:rPr>
  </w:style>
  <w:style w:type="paragraph" w:customStyle="1" w:styleId="IndentHanging1">
    <w:name w:val="Indent: Hanging 1"/>
    <w:basedOn w:val="IndentHanging"/>
    <w:uiPriority w:val="99"/>
    <w:rsid w:val="001E7173"/>
    <w:pPr>
      <w:numPr>
        <w:ilvl w:val="1"/>
      </w:numPr>
      <w:tabs>
        <w:tab w:val="num" w:pos="1440"/>
        <w:tab w:val="num" w:pos="1701"/>
      </w:tabs>
      <w:ind w:left="1440" w:hanging="360"/>
    </w:pPr>
  </w:style>
  <w:style w:type="paragraph" w:customStyle="1" w:styleId="IndentHanging2">
    <w:name w:val="Indent: Hanging 2"/>
    <w:basedOn w:val="IndentHanging1"/>
    <w:uiPriority w:val="99"/>
    <w:semiHidden/>
    <w:rsid w:val="001E7173"/>
    <w:pPr>
      <w:numPr>
        <w:ilvl w:val="2"/>
      </w:numPr>
      <w:tabs>
        <w:tab w:val="num" w:pos="2160"/>
        <w:tab w:val="num" w:pos="2268"/>
      </w:tabs>
    </w:pPr>
  </w:style>
  <w:style w:type="paragraph" w:customStyle="1" w:styleId="IndentHanging3">
    <w:name w:val="Indent: Hanging 3"/>
    <w:basedOn w:val="IndentHanging2"/>
    <w:uiPriority w:val="99"/>
    <w:semiHidden/>
    <w:rsid w:val="001E7173"/>
    <w:pPr>
      <w:numPr>
        <w:ilvl w:val="3"/>
      </w:numPr>
      <w:tabs>
        <w:tab w:val="num" w:pos="1440"/>
        <w:tab w:val="num" w:pos="2007"/>
        <w:tab w:val="num" w:pos="2880"/>
      </w:tabs>
    </w:pPr>
  </w:style>
  <w:style w:type="paragraph" w:customStyle="1" w:styleId="IndentHanging4">
    <w:name w:val="Indent: Hanging 4"/>
    <w:basedOn w:val="IndentHanging3"/>
    <w:uiPriority w:val="99"/>
    <w:semiHidden/>
    <w:rsid w:val="001E7173"/>
    <w:pPr>
      <w:numPr>
        <w:ilvl w:val="4"/>
      </w:numPr>
      <w:tabs>
        <w:tab w:val="num" w:pos="1701"/>
        <w:tab w:val="num" w:pos="2367"/>
        <w:tab w:val="num" w:pos="3600"/>
      </w:tabs>
      <w:ind w:hanging="360"/>
    </w:pPr>
  </w:style>
  <w:style w:type="paragraph" w:customStyle="1" w:styleId="IndentHanging5">
    <w:name w:val="Indent: Hanging 5"/>
    <w:basedOn w:val="IndentHanging4"/>
    <w:uiPriority w:val="99"/>
    <w:semiHidden/>
    <w:rsid w:val="001E7173"/>
    <w:pPr>
      <w:numPr>
        <w:ilvl w:val="5"/>
      </w:numPr>
      <w:tabs>
        <w:tab w:val="num" w:pos="2007"/>
        <w:tab w:val="num" w:pos="2727"/>
        <w:tab w:val="num" w:pos="4320"/>
      </w:tabs>
      <w:ind w:hanging="360"/>
    </w:pPr>
  </w:style>
  <w:style w:type="paragraph" w:customStyle="1" w:styleId="IndentHanging6">
    <w:name w:val="Indent: Hanging 6"/>
    <w:basedOn w:val="IndentHanging5"/>
    <w:uiPriority w:val="99"/>
    <w:semiHidden/>
    <w:rsid w:val="001E7173"/>
    <w:pPr>
      <w:numPr>
        <w:ilvl w:val="6"/>
      </w:numPr>
      <w:tabs>
        <w:tab w:val="clear" w:pos="2880"/>
        <w:tab w:val="num" w:pos="2126"/>
        <w:tab w:val="num" w:pos="3087"/>
        <w:tab w:val="num" w:pos="5040"/>
      </w:tabs>
      <w:ind w:hanging="360"/>
    </w:pPr>
  </w:style>
  <w:style w:type="paragraph" w:customStyle="1" w:styleId="IndentHanging7">
    <w:name w:val="Indent: Hanging 7"/>
    <w:basedOn w:val="IndentHanging6"/>
    <w:uiPriority w:val="99"/>
    <w:semiHidden/>
    <w:rsid w:val="001E7173"/>
    <w:pPr>
      <w:numPr>
        <w:ilvl w:val="7"/>
      </w:numPr>
      <w:tabs>
        <w:tab w:val="num" w:pos="2160"/>
        <w:tab w:val="num" w:pos="3447"/>
        <w:tab w:val="num" w:pos="5760"/>
      </w:tabs>
    </w:pPr>
  </w:style>
  <w:style w:type="paragraph" w:customStyle="1" w:styleId="IndentHanging8">
    <w:name w:val="Indent: Hanging 8"/>
    <w:basedOn w:val="IndentHanging7"/>
    <w:uiPriority w:val="99"/>
    <w:semiHidden/>
    <w:rsid w:val="001E7173"/>
    <w:pPr>
      <w:numPr>
        <w:ilvl w:val="8"/>
      </w:numPr>
      <w:tabs>
        <w:tab w:val="clear" w:pos="3600"/>
        <w:tab w:val="num" w:pos="2268"/>
        <w:tab w:val="num" w:pos="6480"/>
      </w:tabs>
    </w:pPr>
  </w:style>
  <w:style w:type="paragraph" w:customStyle="1" w:styleId="TableIndentHanging">
    <w:name w:val="Table: Indent: Hanging"/>
    <w:basedOn w:val="Normal"/>
    <w:uiPriority w:val="99"/>
    <w:semiHidden/>
    <w:rsid w:val="001E7173"/>
    <w:pPr>
      <w:numPr>
        <w:numId w:val="15"/>
      </w:numPr>
      <w:tabs>
        <w:tab w:val="left" w:pos="283"/>
      </w:tabs>
      <w:spacing w:after="60" w:line="240" w:lineRule="atLeast"/>
      <w:jc w:val="left"/>
    </w:pPr>
    <w:rPr>
      <w:rFonts w:ascii="Arial" w:hAnsi="Arial" w:cs="Arial"/>
      <w:color w:val="auto"/>
      <w:sz w:val="20"/>
      <w:szCs w:val="20"/>
    </w:rPr>
  </w:style>
  <w:style w:type="paragraph" w:customStyle="1" w:styleId="TableIndentHanging1">
    <w:name w:val="Table: Indent: Hanging 1"/>
    <w:basedOn w:val="Normal"/>
    <w:uiPriority w:val="99"/>
    <w:rsid w:val="001E7173"/>
    <w:pPr>
      <w:numPr>
        <w:ilvl w:val="1"/>
        <w:numId w:val="15"/>
      </w:numPr>
      <w:tabs>
        <w:tab w:val="left" w:pos="283"/>
      </w:tabs>
      <w:spacing w:after="60" w:line="240" w:lineRule="atLeast"/>
      <w:jc w:val="left"/>
    </w:pPr>
    <w:rPr>
      <w:rFonts w:ascii="Arial" w:hAnsi="Arial" w:cs="Arial"/>
      <w:color w:val="auto"/>
      <w:sz w:val="20"/>
      <w:szCs w:val="20"/>
    </w:rPr>
  </w:style>
  <w:style w:type="paragraph" w:customStyle="1" w:styleId="TableIndentHanging2">
    <w:name w:val="Table: Indent: Hanging 2"/>
    <w:basedOn w:val="Normal"/>
    <w:uiPriority w:val="99"/>
    <w:semiHidden/>
    <w:rsid w:val="001E7173"/>
    <w:pPr>
      <w:numPr>
        <w:ilvl w:val="2"/>
        <w:numId w:val="15"/>
      </w:numPr>
      <w:tabs>
        <w:tab w:val="left" w:pos="567"/>
      </w:tabs>
      <w:spacing w:after="60" w:line="240" w:lineRule="atLeast"/>
      <w:jc w:val="left"/>
    </w:pPr>
    <w:rPr>
      <w:rFonts w:ascii="Arial" w:hAnsi="Arial" w:cs="Arial"/>
      <w:color w:val="auto"/>
      <w:sz w:val="20"/>
      <w:szCs w:val="20"/>
    </w:rPr>
  </w:style>
  <w:style w:type="paragraph" w:customStyle="1" w:styleId="TableIndentHanging3">
    <w:name w:val="Table: Indent: Hanging 3"/>
    <w:basedOn w:val="Normal"/>
    <w:uiPriority w:val="99"/>
    <w:semiHidden/>
    <w:rsid w:val="001E7173"/>
    <w:pPr>
      <w:numPr>
        <w:ilvl w:val="3"/>
        <w:numId w:val="15"/>
      </w:numPr>
      <w:tabs>
        <w:tab w:val="left" w:pos="850"/>
      </w:tabs>
      <w:spacing w:after="60" w:line="240" w:lineRule="atLeast"/>
      <w:jc w:val="left"/>
    </w:pPr>
    <w:rPr>
      <w:rFonts w:ascii="Arial" w:hAnsi="Arial" w:cs="Arial"/>
      <w:color w:val="auto"/>
      <w:sz w:val="20"/>
      <w:szCs w:val="20"/>
    </w:rPr>
  </w:style>
  <w:style w:type="paragraph" w:customStyle="1" w:styleId="TableIndentHanging4">
    <w:name w:val="Table: Indent: Hanging 4"/>
    <w:basedOn w:val="Normal"/>
    <w:uiPriority w:val="99"/>
    <w:semiHidden/>
    <w:rsid w:val="001E7173"/>
    <w:pPr>
      <w:numPr>
        <w:ilvl w:val="4"/>
        <w:numId w:val="15"/>
      </w:numPr>
      <w:tabs>
        <w:tab w:val="left" w:pos="1134"/>
      </w:tabs>
      <w:spacing w:after="60" w:line="240" w:lineRule="atLeast"/>
      <w:jc w:val="left"/>
    </w:pPr>
    <w:rPr>
      <w:rFonts w:ascii="Arial" w:hAnsi="Arial" w:cs="Arial"/>
      <w:color w:val="auto"/>
      <w:sz w:val="20"/>
      <w:szCs w:val="20"/>
    </w:rPr>
  </w:style>
  <w:style w:type="paragraph" w:customStyle="1" w:styleId="TableIndentHanging5">
    <w:name w:val="Table: Indent: Hanging 5"/>
    <w:basedOn w:val="Normal"/>
    <w:uiPriority w:val="99"/>
    <w:semiHidden/>
    <w:rsid w:val="001E7173"/>
    <w:pPr>
      <w:numPr>
        <w:ilvl w:val="5"/>
        <w:numId w:val="15"/>
      </w:numPr>
      <w:tabs>
        <w:tab w:val="left" w:pos="1417"/>
      </w:tabs>
      <w:spacing w:after="60" w:line="240" w:lineRule="atLeast"/>
      <w:jc w:val="left"/>
    </w:pPr>
    <w:rPr>
      <w:rFonts w:ascii="Arial" w:hAnsi="Arial" w:cs="Arial"/>
      <w:color w:val="auto"/>
      <w:sz w:val="20"/>
      <w:szCs w:val="20"/>
    </w:rPr>
  </w:style>
  <w:style w:type="paragraph" w:customStyle="1" w:styleId="TableIndentHanging6">
    <w:name w:val="Table: Indent: Hanging 6"/>
    <w:basedOn w:val="Normal"/>
    <w:uiPriority w:val="99"/>
    <w:semiHidden/>
    <w:rsid w:val="001E7173"/>
    <w:pPr>
      <w:numPr>
        <w:ilvl w:val="6"/>
        <w:numId w:val="15"/>
      </w:numPr>
      <w:tabs>
        <w:tab w:val="left" w:pos="1701"/>
      </w:tabs>
      <w:spacing w:after="60" w:line="240" w:lineRule="atLeast"/>
      <w:jc w:val="left"/>
    </w:pPr>
    <w:rPr>
      <w:rFonts w:ascii="Arial" w:hAnsi="Arial" w:cs="Arial"/>
      <w:color w:val="auto"/>
      <w:sz w:val="20"/>
      <w:szCs w:val="20"/>
    </w:rPr>
  </w:style>
  <w:style w:type="paragraph" w:customStyle="1" w:styleId="TableIndentHanging7">
    <w:name w:val="Table: Indent: Hanging 7"/>
    <w:basedOn w:val="Normal"/>
    <w:uiPriority w:val="99"/>
    <w:semiHidden/>
    <w:rsid w:val="001E7173"/>
    <w:pPr>
      <w:numPr>
        <w:ilvl w:val="7"/>
        <w:numId w:val="15"/>
      </w:numPr>
      <w:tabs>
        <w:tab w:val="left" w:pos="1984"/>
      </w:tabs>
      <w:spacing w:after="60" w:line="240" w:lineRule="atLeast"/>
      <w:jc w:val="left"/>
    </w:pPr>
    <w:rPr>
      <w:rFonts w:ascii="Arial" w:hAnsi="Arial" w:cs="Arial"/>
      <w:color w:val="auto"/>
      <w:sz w:val="20"/>
      <w:szCs w:val="20"/>
    </w:rPr>
  </w:style>
  <w:style w:type="paragraph" w:customStyle="1" w:styleId="TableIndentHanging8">
    <w:name w:val="Table: Indent: Hanging 8"/>
    <w:basedOn w:val="Normal"/>
    <w:uiPriority w:val="99"/>
    <w:semiHidden/>
    <w:rsid w:val="001E7173"/>
    <w:pPr>
      <w:numPr>
        <w:ilvl w:val="8"/>
        <w:numId w:val="15"/>
      </w:numPr>
      <w:tabs>
        <w:tab w:val="left" w:pos="2268"/>
      </w:tabs>
      <w:spacing w:after="60" w:line="240" w:lineRule="atLeast"/>
      <w:jc w:val="left"/>
    </w:pPr>
    <w:rPr>
      <w:rFonts w:ascii="Arial" w:hAnsi="Arial" w:cs="Arial"/>
      <w:color w:val="auto"/>
      <w:sz w:val="20"/>
      <w:szCs w:val="20"/>
    </w:rPr>
  </w:style>
  <w:style w:type="paragraph" w:styleId="ListParagraph">
    <w:name w:val="List Paragraph"/>
    <w:aliases w:val="Bullet point,Recommendation,List Paragraph1,List Paragraph11,Bulletr List Paragraph,Content descriptions,FooterText,L,List Paragraph2,List Paragraph21,Listeafsnit1,NFP GP Bulleted List,Paragraphe de liste1,numbered,リスト段落1,列,列出段,列出段落,列出段落1"/>
    <w:basedOn w:val="Normal"/>
    <w:link w:val="ListParagraphChar"/>
    <w:uiPriority w:val="34"/>
    <w:qFormat/>
    <w:rsid w:val="004156B4"/>
    <w:pPr>
      <w:spacing w:after="0" w:line="240" w:lineRule="auto"/>
      <w:ind w:left="720"/>
      <w:jc w:val="left"/>
    </w:pPr>
    <w:rPr>
      <w:rFonts w:cs="Times New Roman"/>
      <w:color w:val="auto"/>
      <w:sz w:val="24"/>
      <w:szCs w:val="24"/>
    </w:rPr>
  </w:style>
  <w:style w:type="character" w:customStyle="1" w:styleId="ScheduleNumberedParaChar">
    <w:name w:val="ScheduleNumberedPara Char"/>
    <w:basedOn w:val="NormalnumberedChar"/>
    <w:link w:val="ScheduleNumberedPara"/>
    <w:uiPriority w:val="99"/>
    <w:locked/>
    <w:rsid w:val="00F4377A"/>
    <w:rPr>
      <w:rFonts w:ascii="Calibri" w:hAnsi="Calibri" w:cs="Corbel"/>
      <w:sz w:val="23"/>
      <w:szCs w:val="23"/>
    </w:rPr>
  </w:style>
  <w:style w:type="paragraph" w:styleId="Revision">
    <w:name w:val="Revision"/>
    <w:hidden/>
    <w:uiPriority w:val="99"/>
    <w:semiHidden/>
    <w:rsid w:val="00FC5F92"/>
    <w:rPr>
      <w:rFonts w:ascii="Corbel" w:hAnsi="Corbel" w:cs="Corbel"/>
      <w:color w:val="000000"/>
      <w:sz w:val="23"/>
      <w:szCs w:val="23"/>
    </w:rPr>
  </w:style>
  <w:style w:type="paragraph" w:customStyle="1" w:styleId="P1">
    <w:name w:val="P1"/>
    <w:basedOn w:val="Normal"/>
    <w:rsid w:val="00947905"/>
    <w:pPr>
      <w:numPr>
        <w:ilvl w:val="12"/>
      </w:numPr>
      <w:spacing w:before="200" w:after="0" w:line="240" w:lineRule="auto"/>
      <w:ind w:left="567" w:hanging="567"/>
      <w:jc w:val="left"/>
    </w:pPr>
    <w:rPr>
      <w:rFonts w:ascii="Times New Roman" w:hAnsi="Times New Roman" w:cs="Times New Roman"/>
      <w:color w:val="auto"/>
      <w:sz w:val="24"/>
      <w:szCs w:val="20"/>
    </w:rPr>
  </w:style>
  <w:style w:type="paragraph" w:styleId="TOCHeading">
    <w:name w:val="TOC Heading"/>
    <w:basedOn w:val="Heading1"/>
    <w:next w:val="Normal"/>
    <w:uiPriority w:val="39"/>
    <w:semiHidden/>
    <w:unhideWhenUsed/>
    <w:qFormat/>
    <w:rsid w:val="001E6672"/>
    <w:pPr>
      <w:spacing w:before="240" w:after="60" w:line="260" w:lineRule="exact"/>
      <w:jc w:val="both"/>
      <w:outlineLvl w:val="9"/>
    </w:pPr>
    <w:rPr>
      <w:rFonts w:ascii="Cambria" w:hAnsi="Cambria" w:cs="Times New Roman"/>
      <w:b w:val="0"/>
      <w:bCs/>
      <w:caps w:val="0"/>
      <w:color w:val="000000"/>
    </w:rPr>
  </w:style>
  <w:style w:type="character" w:styleId="Strong">
    <w:name w:val="Strong"/>
    <w:uiPriority w:val="22"/>
    <w:qFormat/>
    <w:locked/>
    <w:rsid w:val="0019717E"/>
    <w:rPr>
      <w:b/>
      <w:bCs/>
    </w:rPr>
  </w:style>
  <w:style w:type="paragraph" w:customStyle="1" w:styleId="MeetingTitle">
    <w:name w:val="Meeting Title"/>
    <w:basedOn w:val="Normal"/>
    <w:rsid w:val="0019717E"/>
    <w:pPr>
      <w:spacing w:after="0" w:line="240" w:lineRule="auto"/>
      <w:jc w:val="left"/>
    </w:pPr>
    <w:rPr>
      <w:rFonts w:ascii="Times New Roman" w:hAnsi="Times New Roman" w:cs="Times New Roman"/>
      <w:b/>
      <w:color w:val="auto"/>
      <w:sz w:val="24"/>
      <w:szCs w:val="20"/>
      <w:lang w:eastAsia="en-US"/>
    </w:rPr>
  </w:style>
  <w:style w:type="character" w:customStyle="1" w:styleId="ListParagraphChar">
    <w:name w:val="List Paragraph Char"/>
    <w:aliases w:val="Bullet point Char,Recommendation Char,List Paragraph1 Char,List Paragraph11 Char,Bulletr List Paragraph Char,Content descriptions Char,FooterText Char,L Char,List Paragraph2 Char,List Paragraph21 Char,Listeafsnit1 Char,numbered Char"/>
    <w:link w:val="ListParagraph"/>
    <w:uiPriority w:val="34"/>
    <w:qFormat/>
    <w:locked/>
    <w:rsid w:val="0019717E"/>
    <w:rPr>
      <w:rFonts w:ascii="Corbel" w:hAnsi="Corbel"/>
      <w:sz w:val="24"/>
      <w:szCs w:val="24"/>
    </w:rPr>
  </w:style>
  <w:style w:type="character" w:customStyle="1" w:styleId="AgendaPaperTitleCharChar">
    <w:name w:val="Agenda Paper Title Char Char"/>
    <w:link w:val="AgendaPaperTitle"/>
    <w:locked/>
    <w:rsid w:val="0019717E"/>
    <w:rPr>
      <w:b/>
      <w:caps/>
      <w:sz w:val="24"/>
      <w:szCs w:val="28"/>
    </w:rPr>
  </w:style>
  <w:style w:type="paragraph" w:customStyle="1" w:styleId="AgendaPaperTitle">
    <w:name w:val="Agenda Paper Title"/>
    <w:basedOn w:val="Normal"/>
    <w:link w:val="AgendaPaperTitleCharChar"/>
    <w:rsid w:val="0019717E"/>
    <w:pPr>
      <w:spacing w:before="240" w:after="0" w:line="240" w:lineRule="auto"/>
      <w:jc w:val="left"/>
    </w:pPr>
    <w:rPr>
      <w:rFonts w:ascii="Times New Roman" w:hAnsi="Times New Roman" w:cs="Times New Roman"/>
      <w:b/>
      <w:caps/>
      <w:color w:val="auto"/>
      <w:sz w:val="24"/>
      <w:szCs w:val="28"/>
    </w:rPr>
  </w:style>
  <w:style w:type="paragraph" w:styleId="NormalWeb">
    <w:name w:val="Normal (Web)"/>
    <w:basedOn w:val="Normal"/>
    <w:uiPriority w:val="99"/>
    <w:semiHidden/>
    <w:unhideWhenUsed/>
    <w:rsid w:val="0019717E"/>
    <w:pPr>
      <w:spacing w:before="100" w:beforeAutospacing="1" w:after="100" w:afterAutospacing="1" w:line="240" w:lineRule="auto"/>
      <w:jc w:val="left"/>
    </w:pPr>
    <w:rPr>
      <w:rFonts w:ascii="Times New Roman" w:hAnsi="Times New Roman" w:cs="Times New Roman"/>
      <w:color w:val="auto"/>
      <w:sz w:val="24"/>
      <w:szCs w:val="24"/>
    </w:rPr>
  </w:style>
  <w:style w:type="numbering" w:customStyle="1" w:styleId="Style1">
    <w:name w:val="Style1"/>
    <w:uiPriority w:val="99"/>
    <w:rsid w:val="0019717E"/>
    <w:pPr>
      <w:numPr>
        <w:numId w:val="18"/>
      </w:numPr>
    </w:pPr>
  </w:style>
  <w:style w:type="character" w:styleId="IntenseEmphasis">
    <w:name w:val="Intense Emphasis"/>
    <w:uiPriority w:val="21"/>
    <w:qFormat/>
    <w:rsid w:val="0019717E"/>
    <w:rPr>
      <w:b/>
      <w:bCs/>
      <w:i/>
      <w:iCs/>
      <w:color w:val="4F81BD"/>
    </w:rPr>
  </w:style>
  <w:style w:type="character" w:customStyle="1" w:styleId="st1">
    <w:name w:val="st1"/>
    <w:rsid w:val="0019717E"/>
  </w:style>
  <w:style w:type="paragraph" w:styleId="NoSpacing">
    <w:name w:val="No Spacing"/>
    <w:uiPriority w:val="1"/>
    <w:qFormat/>
    <w:rsid w:val="0019717E"/>
    <w:pPr>
      <w:jc w:val="both"/>
    </w:pPr>
    <w:rPr>
      <w:rFonts w:ascii="Corbel" w:hAnsi="Corbel" w:cs="Corbel"/>
      <w:color w:val="000000"/>
      <w:sz w:val="23"/>
      <w:szCs w:val="23"/>
    </w:rPr>
  </w:style>
  <w:style w:type="table" w:customStyle="1" w:styleId="LightList-Accent11">
    <w:name w:val="Light List - Accent 11"/>
    <w:basedOn w:val="TableNormal"/>
    <w:uiPriority w:val="61"/>
    <w:rsid w:val="0019717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1">
    <w:name w:val="Light Shading - Accent 11"/>
    <w:basedOn w:val="TableNormal"/>
    <w:uiPriority w:val="60"/>
    <w:rsid w:val="00E617A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extIndent1">
    <w:name w:val="Text Indent 1"/>
    <w:basedOn w:val="Normal"/>
    <w:qFormat/>
    <w:rsid w:val="00A0256B"/>
    <w:pPr>
      <w:spacing w:before="120" w:after="200" w:line="240" w:lineRule="auto"/>
      <w:ind w:left="567" w:hanging="567"/>
      <w:jc w:val="left"/>
    </w:pPr>
    <w:rPr>
      <w:rFonts w:ascii="Arial Narrow" w:eastAsia="Times" w:hAnsi="Arial Narrow" w:cs="Times New Roman"/>
      <w:color w:val="auto"/>
      <w:sz w:val="20"/>
      <w:szCs w:val="20"/>
      <w:lang w:eastAsia="en-US"/>
    </w:rPr>
  </w:style>
  <w:style w:type="character" w:styleId="Emphasis">
    <w:name w:val="Emphasis"/>
    <w:basedOn w:val="DefaultParagraphFont"/>
    <w:uiPriority w:val="20"/>
    <w:qFormat/>
    <w:locked/>
    <w:rsid w:val="006527CE"/>
    <w:rPr>
      <w:i/>
      <w:iCs/>
    </w:rPr>
  </w:style>
  <w:style w:type="character" w:customStyle="1" w:styleId="lexicon-term">
    <w:name w:val="lexicon-term"/>
    <w:basedOn w:val="DefaultParagraphFont"/>
    <w:rsid w:val="006527CE"/>
    <w:rPr>
      <w:strike w:val="0"/>
      <w:dstrike w:val="0"/>
      <w:u w:val="none"/>
      <w:effect w:val="none"/>
    </w:rPr>
  </w:style>
  <w:style w:type="table" w:customStyle="1" w:styleId="TableGridLight1">
    <w:name w:val="Table Grid Light1"/>
    <w:basedOn w:val="TableNormal"/>
    <w:uiPriority w:val="40"/>
    <w:rsid w:val="00BD0AF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4B7B96"/>
    <w:pPr>
      <w:widowControl w:val="0"/>
      <w:spacing w:after="0" w:line="240" w:lineRule="auto"/>
      <w:ind w:left="460" w:hanging="360"/>
      <w:jc w:val="left"/>
    </w:pPr>
    <w:rPr>
      <w:rFonts w:eastAsia="Corbel" w:cstheme="minorBidi"/>
      <w:color w:val="auto"/>
      <w:lang w:val="en-US" w:eastAsia="en-US"/>
    </w:rPr>
  </w:style>
  <w:style w:type="character" w:customStyle="1" w:styleId="BodyTextChar">
    <w:name w:val="Body Text Char"/>
    <w:basedOn w:val="DefaultParagraphFont"/>
    <w:link w:val="BodyText"/>
    <w:uiPriority w:val="1"/>
    <w:rsid w:val="004B7B96"/>
    <w:rPr>
      <w:rFonts w:ascii="Corbel" w:eastAsia="Corbel" w:hAnsi="Corbel" w:cstheme="minorBidi"/>
      <w:sz w:val="23"/>
      <w:szCs w:val="23"/>
      <w:lang w:val="en-US" w:eastAsia="en-US"/>
    </w:rPr>
  </w:style>
  <w:style w:type="paragraph" w:customStyle="1" w:styleId="TableParagraph">
    <w:name w:val="Table Paragraph"/>
    <w:basedOn w:val="Normal"/>
    <w:uiPriority w:val="1"/>
    <w:qFormat/>
    <w:rsid w:val="00005D55"/>
    <w:pPr>
      <w:widowControl w:val="0"/>
      <w:spacing w:after="0" w:line="240" w:lineRule="auto"/>
      <w:jc w:val="left"/>
    </w:pPr>
    <w:rPr>
      <w:rFonts w:asciiTheme="minorHAnsi" w:eastAsiaTheme="minorHAnsi" w:hAnsiTheme="minorHAnsi" w:cstheme="minorBidi"/>
      <w:color w:val="auto"/>
      <w:sz w:val="22"/>
      <w:szCs w:val="22"/>
      <w:lang w:val="en-US" w:eastAsia="en-US"/>
    </w:rPr>
  </w:style>
  <w:style w:type="table" w:styleId="TableGridLight">
    <w:name w:val="Grid Table Light"/>
    <w:basedOn w:val="TableNormal"/>
    <w:uiPriority w:val="40"/>
    <w:rsid w:val="008D1F6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72848">
      <w:bodyDiv w:val="1"/>
      <w:marLeft w:val="0"/>
      <w:marRight w:val="0"/>
      <w:marTop w:val="0"/>
      <w:marBottom w:val="0"/>
      <w:divBdr>
        <w:top w:val="none" w:sz="0" w:space="0" w:color="auto"/>
        <w:left w:val="none" w:sz="0" w:space="0" w:color="auto"/>
        <w:bottom w:val="none" w:sz="0" w:space="0" w:color="auto"/>
        <w:right w:val="none" w:sz="0" w:space="0" w:color="auto"/>
      </w:divBdr>
    </w:div>
    <w:div w:id="129787875">
      <w:bodyDiv w:val="1"/>
      <w:marLeft w:val="0"/>
      <w:marRight w:val="0"/>
      <w:marTop w:val="0"/>
      <w:marBottom w:val="0"/>
      <w:divBdr>
        <w:top w:val="none" w:sz="0" w:space="0" w:color="auto"/>
        <w:left w:val="none" w:sz="0" w:space="0" w:color="auto"/>
        <w:bottom w:val="none" w:sz="0" w:space="0" w:color="auto"/>
        <w:right w:val="none" w:sz="0" w:space="0" w:color="auto"/>
      </w:divBdr>
    </w:div>
    <w:div w:id="155610958">
      <w:bodyDiv w:val="1"/>
      <w:marLeft w:val="0"/>
      <w:marRight w:val="0"/>
      <w:marTop w:val="0"/>
      <w:marBottom w:val="0"/>
      <w:divBdr>
        <w:top w:val="none" w:sz="0" w:space="0" w:color="auto"/>
        <w:left w:val="none" w:sz="0" w:space="0" w:color="auto"/>
        <w:bottom w:val="none" w:sz="0" w:space="0" w:color="auto"/>
        <w:right w:val="none" w:sz="0" w:space="0" w:color="auto"/>
      </w:divBdr>
    </w:div>
    <w:div w:id="181624921">
      <w:bodyDiv w:val="1"/>
      <w:marLeft w:val="0"/>
      <w:marRight w:val="0"/>
      <w:marTop w:val="0"/>
      <w:marBottom w:val="0"/>
      <w:divBdr>
        <w:top w:val="none" w:sz="0" w:space="0" w:color="auto"/>
        <w:left w:val="none" w:sz="0" w:space="0" w:color="auto"/>
        <w:bottom w:val="none" w:sz="0" w:space="0" w:color="auto"/>
        <w:right w:val="none" w:sz="0" w:space="0" w:color="auto"/>
      </w:divBdr>
    </w:div>
    <w:div w:id="290941810">
      <w:bodyDiv w:val="1"/>
      <w:marLeft w:val="0"/>
      <w:marRight w:val="0"/>
      <w:marTop w:val="0"/>
      <w:marBottom w:val="0"/>
      <w:divBdr>
        <w:top w:val="none" w:sz="0" w:space="0" w:color="auto"/>
        <w:left w:val="none" w:sz="0" w:space="0" w:color="auto"/>
        <w:bottom w:val="none" w:sz="0" w:space="0" w:color="auto"/>
        <w:right w:val="none" w:sz="0" w:space="0" w:color="auto"/>
      </w:divBdr>
      <w:divsChild>
        <w:div w:id="815799859">
          <w:marLeft w:val="547"/>
          <w:marRight w:val="0"/>
          <w:marTop w:val="0"/>
          <w:marBottom w:val="0"/>
          <w:divBdr>
            <w:top w:val="none" w:sz="0" w:space="0" w:color="auto"/>
            <w:left w:val="none" w:sz="0" w:space="0" w:color="auto"/>
            <w:bottom w:val="none" w:sz="0" w:space="0" w:color="auto"/>
            <w:right w:val="none" w:sz="0" w:space="0" w:color="auto"/>
          </w:divBdr>
        </w:div>
      </w:divsChild>
    </w:div>
    <w:div w:id="320430052">
      <w:bodyDiv w:val="1"/>
      <w:marLeft w:val="0"/>
      <w:marRight w:val="0"/>
      <w:marTop w:val="0"/>
      <w:marBottom w:val="0"/>
      <w:divBdr>
        <w:top w:val="none" w:sz="0" w:space="0" w:color="auto"/>
        <w:left w:val="none" w:sz="0" w:space="0" w:color="auto"/>
        <w:bottom w:val="none" w:sz="0" w:space="0" w:color="auto"/>
        <w:right w:val="none" w:sz="0" w:space="0" w:color="auto"/>
      </w:divBdr>
    </w:div>
    <w:div w:id="324821512">
      <w:bodyDiv w:val="1"/>
      <w:marLeft w:val="0"/>
      <w:marRight w:val="0"/>
      <w:marTop w:val="0"/>
      <w:marBottom w:val="0"/>
      <w:divBdr>
        <w:top w:val="none" w:sz="0" w:space="0" w:color="auto"/>
        <w:left w:val="none" w:sz="0" w:space="0" w:color="auto"/>
        <w:bottom w:val="none" w:sz="0" w:space="0" w:color="auto"/>
        <w:right w:val="none" w:sz="0" w:space="0" w:color="auto"/>
      </w:divBdr>
      <w:divsChild>
        <w:div w:id="1000279545">
          <w:marLeft w:val="0"/>
          <w:marRight w:val="0"/>
          <w:marTop w:val="0"/>
          <w:marBottom w:val="0"/>
          <w:divBdr>
            <w:top w:val="none" w:sz="0" w:space="0" w:color="auto"/>
            <w:left w:val="none" w:sz="0" w:space="0" w:color="auto"/>
            <w:bottom w:val="none" w:sz="0" w:space="0" w:color="auto"/>
            <w:right w:val="none" w:sz="0" w:space="0" w:color="auto"/>
          </w:divBdr>
          <w:divsChild>
            <w:div w:id="85228527">
              <w:marLeft w:val="0"/>
              <w:marRight w:val="0"/>
              <w:marTop w:val="0"/>
              <w:marBottom w:val="0"/>
              <w:divBdr>
                <w:top w:val="none" w:sz="0" w:space="0" w:color="auto"/>
                <w:left w:val="none" w:sz="0" w:space="0" w:color="auto"/>
                <w:bottom w:val="none" w:sz="0" w:space="0" w:color="auto"/>
                <w:right w:val="none" w:sz="0" w:space="0" w:color="auto"/>
              </w:divBdr>
              <w:divsChild>
                <w:div w:id="533692308">
                  <w:marLeft w:val="0"/>
                  <w:marRight w:val="0"/>
                  <w:marTop w:val="0"/>
                  <w:marBottom w:val="0"/>
                  <w:divBdr>
                    <w:top w:val="none" w:sz="0" w:space="0" w:color="auto"/>
                    <w:left w:val="none" w:sz="0" w:space="0" w:color="auto"/>
                    <w:bottom w:val="none" w:sz="0" w:space="0" w:color="auto"/>
                    <w:right w:val="none" w:sz="0" w:space="0" w:color="auto"/>
                  </w:divBdr>
                  <w:divsChild>
                    <w:div w:id="214893709">
                      <w:marLeft w:val="0"/>
                      <w:marRight w:val="0"/>
                      <w:marTop w:val="0"/>
                      <w:marBottom w:val="0"/>
                      <w:divBdr>
                        <w:top w:val="none" w:sz="0" w:space="0" w:color="auto"/>
                        <w:left w:val="none" w:sz="0" w:space="0" w:color="auto"/>
                        <w:bottom w:val="none" w:sz="0" w:space="0" w:color="auto"/>
                        <w:right w:val="none" w:sz="0" w:space="0" w:color="auto"/>
                      </w:divBdr>
                      <w:divsChild>
                        <w:div w:id="609095111">
                          <w:marLeft w:val="0"/>
                          <w:marRight w:val="0"/>
                          <w:marTop w:val="0"/>
                          <w:marBottom w:val="0"/>
                          <w:divBdr>
                            <w:top w:val="none" w:sz="0" w:space="0" w:color="auto"/>
                            <w:left w:val="none" w:sz="0" w:space="0" w:color="auto"/>
                            <w:bottom w:val="none" w:sz="0" w:space="0" w:color="auto"/>
                            <w:right w:val="none" w:sz="0" w:space="0" w:color="auto"/>
                          </w:divBdr>
                          <w:divsChild>
                            <w:div w:id="149754462">
                              <w:marLeft w:val="0"/>
                              <w:marRight w:val="0"/>
                              <w:marTop w:val="0"/>
                              <w:marBottom w:val="0"/>
                              <w:divBdr>
                                <w:top w:val="none" w:sz="0" w:space="0" w:color="auto"/>
                                <w:left w:val="none" w:sz="0" w:space="0" w:color="auto"/>
                                <w:bottom w:val="none" w:sz="0" w:space="0" w:color="auto"/>
                                <w:right w:val="none" w:sz="0" w:space="0" w:color="auto"/>
                              </w:divBdr>
                              <w:divsChild>
                                <w:div w:id="615061592">
                                  <w:marLeft w:val="0"/>
                                  <w:marRight w:val="0"/>
                                  <w:marTop w:val="0"/>
                                  <w:marBottom w:val="0"/>
                                  <w:divBdr>
                                    <w:top w:val="none" w:sz="0" w:space="0" w:color="auto"/>
                                    <w:left w:val="none" w:sz="0" w:space="0" w:color="auto"/>
                                    <w:bottom w:val="none" w:sz="0" w:space="0" w:color="auto"/>
                                    <w:right w:val="none" w:sz="0" w:space="0" w:color="auto"/>
                                  </w:divBdr>
                                  <w:divsChild>
                                    <w:div w:id="92091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610482">
                      <w:marLeft w:val="0"/>
                      <w:marRight w:val="0"/>
                      <w:marTop w:val="0"/>
                      <w:marBottom w:val="0"/>
                      <w:divBdr>
                        <w:top w:val="none" w:sz="0" w:space="0" w:color="auto"/>
                        <w:left w:val="none" w:sz="0" w:space="0" w:color="auto"/>
                        <w:bottom w:val="none" w:sz="0" w:space="0" w:color="auto"/>
                        <w:right w:val="none" w:sz="0" w:space="0" w:color="auto"/>
                      </w:divBdr>
                      <w:divsChild>
                        <w:div w:id="774591761">
                          <w:marLeft w:val="0"/>
                          <w:marRight w:val="0"/>
                          <w:marTop w:val="0"/>
                          <w:marBottom w:val="0"/>
                          <w:divBdr>
                            <w:top w:val="none" w:sz="0" w:space="0" w:color="auto"/>
                            <w:left w:val="none" w:sz="0" w:space="0" w:color="auto"/>
                            <w:bottom w:val="none" w:sz="0" w:space="0" w:color="auto"/>
                            <w:right w:val="none" w:sz="0" w:space="0" w:color="auto"/>
                          </w:divBdr>
                          <w:divsChild>
                            <w:div w:id="1914777588">
                              <w:marLeft w:val="0"/>
                              <w:marRight w:val="0"/>
                              <w:marTop w:val="0"/>
                              <w:marBottom w:val="0"/>
                              <w:divBdr>
                                <w:top w:val="none" w:sz="0" w:space="0" w:color="auto"/>
                                <w:left w:val="none" w:sz="0" w:space="0" w:color="auto"/>
                                <w:bottom w:val="none" w:sz="0" w:space="0" w:color="auto"/>
                                <w:right w:val="none" w:sz="0" w:space="0" w:color="auto"/>
                              </w:divBdr>
                              <w:divsChild>
                                <w:div w:id="116262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943834">
      <w:bodyDiv w:val="1"/>
      <w:marLeft w:val="0"/>
      <w:marRight w:val="0"/>
      <w:marTop w:val="0"/>
      <w:marBottom w:val="0"/>
      <w:divBdr>
        <w:top w:val="none" w:sz="0" w:space="0" w:color="auto"/>
        <w:left w:val="none" w:sz="0" w:space="0" w:color="auto"/>
        <w:bottom w:val="none" w:sz="0" w:space="0" w:color="auto"/>
        <w:right w:val="none" w:sz="0" w:space="0" w:color="auto"/>
      </w:divBdr>
      <w:divsChild>
        <w:div w:id="735667064">
          <w:marLeft w:val="547"/>
          <w:marRight w:val="0"/>
          <w:marTop w:val="0"/>
          <w:marBottom w:val="0"/>
          <w:divBdr>
            <w:top w:val="none" w:sz="0" w:space="0" w:color="auto"/>
            <w:left w:val="none" w:sz="0" w:space="0" w:color="auto"/>
            <w:bottom w:val="none" w:sz="0" w:space="0" w:color="auto"/>
            <w:right w:val="none" w:sz="0" w:space="0" w:color="auto"/>
          </w:divBdr>
        </w:div>
      </w:divsChild>
    </w:div>
    <w:div w:id="608319001">
      <w:bodyDiv w:val="1"/>
      <w:marLeft w:val="0"/>
      <w:marRight w:val="0"/>
      <w:marTop w:val="0"/>
      <w:marBottom w:val="0"/>
      <w:divBdr>
        <w:top w:val="none" w:sz="0" w:space="0" w:color="auto"/>
        <w:left w:val="none" w:sz="0" w:space="0" w:color="auto"/>
        <w:bottom w:val="none" w:sz="0" w:space="0" w:color="auto"/>
        <w:right w:val="none" w:sz="0" w:space="0" w:color="auto"/>
      </w:divBdr>
      <w:divsChild>
        <w:div w:id="1212572420">
          <w:marLeft w:val="547"/>
          <w:marRight w:val="0"/>
          <w:marTop w:val="0"/>
          <w:marBottom w:val="0"/>
          <w:divBdr>
            <w:top w:val="none" w:sz="0" w:space="0" w:color="auto"/>
            <w:left w:val="none" w:sz="0" w:space="0" w:color="auto"/>
            <w:bottom w:val="none" w:sz="0" w:space="0" w:color="auto"/>
            <w:right w:val="none" w:sz="0" w:space="0" w:color="auto"/>
          </w:divBdr>
        </w:div>
      </w:divsChild>
    </w:div>
    <w:div w:id="725371232">
      <w:bodyDiv w:val="1"/>
      <w:marLeft w:val="0"/>
      <w:marRight w:val="0"/>
      <w:marTop w:val="0"/>
      <w:marBottom w:val="0"/>
      <w:divBdr>
        <w:top w:val="none" w:sz="0" w:space="0" w:color="auto"/>
        <w:left w:val="none" w:sz="0" w:space="0" w:color="auto"/>
        <w:bottom w:val="none" w:sz="0" w:space="0" w:color="auto"/>
        <w:right w:val="none" w:sz="0" w:space="0" w:color="auto"/>
      </w:divBdr>
    </w:div>
    <w:div w:id="897940358">
      <w:bodyDiv w:val="1"/>
      <w:marLeft w:val="0"/>
      <w:marRight w:val="0"/>
      <w:marTop w:val="0"/>
      <w:marBottom w:val="0"/>
      <w:divBdr>
        <w:top w:val="none" w:sz="0" w:space="0" w:color="auto"/>
        <w:left w:val="none" w:sz="0" w:space="0" w:color="auto"/>
        <w:bottom w:val="none" w:sz="0" w:space="0" w:color="auto"/>
        <w:right w:val="none" w:sz="0" w:space="0" w:color="auto"/>
      </w:divBdr>
    </w:div>
    <w:div w:id="944263939">
      <w:bodyDiv w:val="1"/>
      <w:marLeft w:val="0"/>
      <w:marRight w:val="0"/>
      <w:marTop w:val="0"/>
      <w:marBottom w:val="0"/>
      <w:divBdr>
        <w:top w:val="none" w:sz="0" w:space="0" w:color="auto"/>
        <w:left w:val="none" w:sz="0" w:space="0" w:color="auto"/>
        <w:bottom w:val="none" w:sz="0" w:space="0" w:color="auto"/>
        <w:right w:val="none" w:sz="0" w:space="0" w:color="auto"/>
      </w:divBdr>
      <w:divsChild>
        <w:div w:id="2009363479">
          <w:marLeft w:val="547"/>
          <w:marRight w:val="0"/>
          <w:marTop w:val="0"/>
          <w:marBottom w:val="0"/>
          <w:divBdr>
            <w:top w:val="none" w:sz="0" w:space="0" w:color="auto"/>
            <w:left w:val="none" w:sz="0" w:space="0" w:color="auto"/>
            <w:bottom w:val="none" w:sz="0" w:space="0" w:color="auto"/>
            <w:right w:val="none" w:sz="0" w:space="0" w:color="auto"/>
          </w:divBdr>
        </w:div>
      </w:divsChild>
    </w:div>
    <w:div w:id="1017850639">
      <w:bodyDiv w:val="1"/>
      <w:marLeft w:val="0"/>
      <w:marRight w:val="0"/>
      <w:marTop w:val="0"/>
      <w:marBottom w:val="0"/>
      <w:divBdr>
        <w:top w:val="none" w:sz="0" w:space="0" w:color="auto"/>
        <w:left w:val="none" w:sz="0" w:space="0" w:color="auto"/>
        <w:bottom w:val="none" w:sz="0" w:space="0" w:color="auto"/>
        <w:right w:val="none" w:sz="0" w:space="0" w:color="auto"/>
      </w:divBdr>
    </w:div>
    <w:div w:id="1104687578">
      <w:marLeft w:val="0"/>
      <w:marRight w:val="0"/>
      <w:marTop w:val="0"/>
      <w:marBottom w:val="0"/>
      <w:divBdr>
        <w:top w:val="none" w:sz="0" w:space="0" w:color="auto"/>
        <w:left w:val="none" w:sz="0" w:space="0" w:color="auto"/>
        <w:bottom w:val="none" w:sz="0" w:space="0" w:color="auto"/>
        <w:right w:val="none" w:sz="0" w:space="0" w:color="auto"/>
      </w:divBdr>
    </w:div>
    <w:div w:id="1104687579">
      <w:marLeft w:val="0"/>
      <w:marRight w:val="0"/>
      <w:marTop w:val="0"/>
      <w:marBottom w:val="0"/>
      <w:divBdr>
        <w:top w:val="none" w:sz="0" w:space="0" w:color="auto"/>
        <w:left w:val="none" w:sz="0" w:space="0" w:color="auto"/>
        <w:bottom w:val="none" w:sz="0" w:space="0" w:color="auto"/>
        <w:right w:val="none" w:sz="0" w:space="0" w:color="auto"/>
      </w:divBdr>
    </w:div>
    <w:div w:id="1104687580">
      <w:marLeft w:val="0"/>
      <w:marRight w:val="0"/>
      <w:marTop w:val="0"/>
      <w:marBottom w:val="0"/>
      <w:divBdr>
        <w:top w:val="none" w:sz="0" w:space="0" w:color="auto"/>
        <w:left w:val="none" w:sz="0" w:space="0" w:color="auto"/>
        <w:bottom w:val="none" w:sz="0" w:space="0" w:color="auto"/>
        <w:right w:val="none" w:sz="0" w:space="0" w:color="auto"/>
      </w:divBdr>
    </w:div>
    <w:div w:id="1104687581">
      <w:marLeft w:val="0"/>
      <w:marRight w:val="0"/>
      <w:marTop w:val="0"/>
      <w:marBottom w:val="0"/>
      <w:divBdr>
        <w:top w:val="none" w:sz="0" w:space="0" w:color="auto"/>
        <w:left w:val="none" w:sz="0" w:space="0" w:color="auto"/>
        <w:bottom w:val="none" w:sz="0" w:space="0" w:color="auto"/>
        <w:right w:val="none" w:sz="0" w:space="0" w:color="auto"/>
      </w:divBdr>
    </w:div>
    <w:div w:id="1104687582">
      <w:marLeft w:val="0"/>
      <w:marRight w:val="0"/>
      <w:marTop w:val="0"/>
      <w:marBottom w:val="0"/>
      <w:divBdr>
        <w:top w:val="none" w:sz="0" w:space="0" w:color="auto"/>
        <w:left w:val="none" w:sz="0" w:space="0" w:color="auto"/>
        <w:bottom w:val="none" w:sz="0" w:space="0" w:color="auto"/>
        <w:right w:val="none" w:sz="0" w:space="0" w:color="auto"/>
      </w:divBdr>
    </w:div>
    <w:div w:id="1180702468">
      <w:bodyDiv w:val="1"/>
      <w:marLeft w:val="0"/>
      <w:marRight w:val="0"/>
      <w:marTop w:val="0"/>
      <w:marBottom w:val="0"/>
      <w:divBdr>
        <w:top w:val="none" w:sz="0" w:space="0" w:color="auto"/>
        <w:left w:val="none" w:sz="0" w:space="0" w:color="auto"/>
        <w:bottom w:val="none" w:sz="0" w:space="0" w:color="auto"/>
        <w:right w:val="none" w:sz="0" w:space="0" w:color="auto"/>
      </w:divBdr>
    </w:div>
    <w:div w:id="1357192479">
      <w:bodyDiv w:val="1"/>
      <w:marLeft w:val="0"/>
      <w:marRight w:val="0"/>
      <w:marTop w:val="0"/>
      <w:marBottom w:val="0"/>
      <w:divBdr>
        <w:top w:val="none" w:sz="0" w:space="0" w:color="auto"/>
        <w:left w:val="none" w:sz="0" w:space="0" w:color="auto"/>
        <w:bottom w:val="none" w:sz="0" w:space="0" w:color="auto"/>
        <w:right w:val="none" w:sz="0" w:space="0" w:color="auto"/>
      </w:divBdr>
    </w:div>
    <w:div w:id="1415861163">
      <w:bodyDiv w:val="1"/>
      <w:marLeft w:val="0"/>
      <w:marRight w:val="0"/>
      <w:marTop w:val="0"/>
      <w:marBottom w:val="0"/>
      <w:divBdr>
        <w:top w:val="none" w:sz="0" w:space="0" w:color="auto"/>
        <w:left w:val="none" w:sz="0" w:space="0" w:color="auto"/>
        <w:bottom w:val="none" w:sz="0" w:space="0" w:color="auto"/>
        <w:right w:val="none" w:sz="0" w:space="0" w:color="auto"/>
      </w:divBdr>
    </w:div>
    <w:div w:id="1482891399">
      <w:bodyDiv w:val="1"/>
      <w:marLeft w:val="0"/>
      <w:marRight w:val="0"/>
      <w:marTop w:val="0"/>
      <w:marBottom w:val="0"/>
      <w:divBdr>
        <w:top w:val="none" w:sz="0" w:space="0" w:color="auto"/>
        <w:left w:val="none" w:sz="0" w:space="0" w:color="auto"/>
        <w:bottom w:val="none" w:sz="0" w:space="0" w:color="auto"/>
        <w:right w:val="none" w:sz="0" w:space="0" w:color="auto"/>
      </w:divBdr>
    </w:div>
    <w:div w:id="1485970596">
      <w:bodyDiv w:val="1"/>
      <w:marLeft w:val="0"/>
      <w:marRight w:val="0"/>
      <w:marTop w:val="0"/>
      <w:marBottom w:val="0"/>
      <w:divBdr>
        <w:top w:val="none" w:sz="0" w:space="0" w:color="auto"/>
        <w:left w:val="none" w:sz="0" w:space="0" w:color="auto"/>
        <w:bottom w:val="none" w:sz="0" w:space="0" w:color="auto"/>
        <w:right w:val="none" w:sz="0" w:space="0" w:color="auto"/>
      </w:divBdr>
    </w:div>
    <w:div w:id="1498573433">
      <w:bodyDiv w:val="1"/>
      <w:marLeft w:val="0"/>
      <w:marRight w:val="0"/>
      <w:marTop w:val="0"/>
      <w:marBottom w:val="0"/>
      <w:divBdr>
        <w:top w:val="none" w:sz="0" w:space="0" w:color="auto"/>
        <w:left w:val="none" w:sz="0" w:space="0" w:color="auto"/>
        <w:bottom w:val="none" w:sz="0" w:space="0" w:color="auto"/>
        <w:right w:val="none" w:sz="0" w:space="0" w:color="auto"/>
      </w:divBdr>
    </w:div>
    <w:div w:id="1558279768">
      <w:bodyDiv w:val="1"/>
      <w:marLeft w:val="0"/>
      <w:marRight w:val="0"/>
      <w:marTop w:val="0"/>
      <w:marBottom w:val="0"/>
      <w:divBdr>
        <w:top w:val="none" w:sz="0" w:space="0" w:color="auto"/>
        <w:left w:val="none" w:sz="0" w:space="0" w:color="auto"/>
        <w:bottom w:val="none" w:sz="0" w:space="0" w:color="auto"/>
        <w:right w:val="none" w:sz="0" w:space="0" w:color="auto"/>
      </w:divBdr>
    </w:div>
    <w:div w:id="1581139586">
      <w:bodyDiv w:val="1"/>
      <w:marLeft w:val="0"/>
      <w:marRight w:val="0"/>
      <w:marTop w:val="0"/>
      <w:marBottom w:val="0"/>
      <w:divBdr>
        <w:top w:val="none" w:sz="0" w:space="0" w:color="auto"/>
        <w:left w:val="none" w:sz="0" w:space="0" w:color="auto"/>
        <w:bottom w:val="none" w:sz="0" w:space="0" w:color="auto"/>
        <w:right w:val="none" w:sz="0" w:space="0" w:color="auto"/>
      </w:divBdr>
    </w:div>
    <w:div w:id="1597207356">
      <w:bodyDiv w:val="1"/>
      <w:marLeft w:val="0"/>
      <w:marRight w:val="0"/>
      <w:marTop w:val="0"/>
      <w:marBottom w:val="0"/>
      <w:divBdr>
        <w:top w:val="none" w:sz="0" w:space="0" w:color="auto"/>
        <w:left w:val="none" w:sz="0" w:space="0" w:color="auto"/>
        <w:bottom w:val="none" w:sz="0" w:space="0" w:color="auto"/>
        <w:right w:val="none" w:sz="0" w:space="0" w:color="auto"/>
      </w:divBdr>
    </w:div>
    <w:div w:id="1681007047">
      <w:bodyDiv w:val="1"/>
      <w:marLeft w:val="0"/>
      <w:marRight w:val="0"/>
      <w:marTop w:val="0"/>
      <w:marBottom w:val="0"/>
      <w:divBdr>
        <w:top w:val="none" w:sz="0" w:space="0" w:color="auto"/>
        <w:left w:val="none" w:sz="0" w:space="0" w:color="auto"/>
        <w:bottom w:val="none" w:sz="0" w:space="0" w:color="auto"/>
        <w:right w:val="none" w:sz="0" w:space="0" w:color="auto"/>
      </w:divBdr>
      <w:divsChild>
        <w:div w:id="482477216">
          <w:marLeft w:val="547"/>
          <w:marRight w:val="0"/>
          <w:marTop w:val="0"/>
          <w:marBottom w:val="0"/>
          <w:divBdr>
            <w:top w:val="none" w:sz="0" w:space="0" w:color="auto"/>
            <w:left w:val="none" w:sz="0" w:space="0" w:color="auto"/>
            <w:bottom w:val="none" w:sz="0" w:space="0" w:color="auto"/>
            <w:right w:val="none" w:sz="0" w:space="0" w:color="auto"/>
          </w:divBdr>
        </w:div>
      </w:divsChild>
    </w:div>
    <w:div w:id="1769962303">
      <w:bodyDiv w:val="1"/>
      <w:marLeft w:val="0"/>
      <w:marRight w:val="0"/>
      <w:marTop w:val="0"/>
      <w:marBottom w:val="0"/>
      <w:divBdr>
        <w:top w:val="none" w:sz="0" w:space="0" w:color="auto"/>
        <w:left w:val="none" w:sz="0" w:space="0" w:color="auto"/>
        <w:bottom w:val="none" w:sz="0" w:space="0" w:color="auto"/>
        <w:right w:val="none" w:sz="0" w:space="0" w:color="auto"/>
      </w:divBdr>
    </w:div>
    <w:div w:id="1791390836">
      <w:bodyDiv w:val="1"/>
      <w:marLeft w:val="0"/>
      <w:marRight w:val="0"/>
      <w:marTop w:val="0"/>
      <w:marBottom w:val="0"/>
      <w:divBdr>
        <w:top w:val="none" w:sz="0" w:space="0" w:color="auto"/>
        <w:left w:val="none" w:sz="0" w:space="0" w:color="auto"/>
        <w:bottom w:val="none" w:sz="0" w:space="0" w:color="auto"/>
        <w:right w:val="none" w:sz="0" w:space="0" w:color="auto"/>
      </w:divBdr>
      <w:divsChild>
        <w:div w:id="903953518">
          <w:marLeft w:val="547"/>
          <w:marRight w:val="0"/>
          <w:marTop w:val="0"/>
          <w:marBottom w:val="0"/>
          <w:divBdr>
            <w:top w:val="none" w:sz="0" w:space="0" w:color="auto"/>
            <w:left w:val="none" w:sz="0" w:space="0" w:color="auto"/>
            <w:bottom w:val="none" w:sz="0" w:space="0" w:color="auto"/>
            <w:right w:val="none" w:sz="0" w:space="0" w:color="auto"/>
          </w:divBdr>
        </w:div>
      </w:divsChild>
    </w:div>
    <w:div w:id="1794328559">
      <w:bodyDiv w:val="1"/>
      <w:marLeft w:val="0"/>
      <w:marRight w:val="0"/>
      <w:marTop w:val="0"/>
      <w:marBottom w:val="0"/>
      <w:divBdr>
        <w:top w:val="none" w:sz="0" w:space="0" w:color="auto"/>
        <w:left w:val="none" w:sz="0" w:space="0" w:color="auto"/>
        <w:bottom w:val="none" w:sz="0" w:space="0" w:color="auto"/>
        <w:right w:val="none" w:sz="0" w:space="0" w:color="auto"/>
      </w:divBdr>
      <w:divsChild>
        <w:div w:id="1595165687">
          <w:marLeft w:val="0"/>
          <w:marRight w:val="0"/>
          <w:marTop w:val="0"/>
          <w:marBottom w:val="0"/>
          <w:divBdr>
            <w:top w:val="none" w:sz="0" w:space="0" w:color="auto"/>
            <w:left w:val="none" w:sz="0" w:space="0" w:color="auto"/>
            <w:bottom w:val="none" w:sz="0" w:space="0" w:color="auto"/>
            <w:right w:val="none" w:sz="0" w:space="0" w:color="auto"/>
          </w:divBdr>
          <w:divsChild>
            <w:div w:id="1859808773">
              <w:marLeft w:val="0"/>
              <w:marRight w:val="0"/>
              <w:marTop w:val="0"/>
              <w:marBottom w:val="0"/>
              <w:divBdr>
                <w:top w:val="none" w:sz="0" w:space="0" w:color="auto"/>
                <w:left w:val="none" w:sz="0" w:space="0" w:color="auto"/>
                <w:bottom w:val="none" w:sz="0" w:space="0" w:color="auto"/>
                <w:right w:val="none" w:sz="0" w:space="0" w:color="auto"/>
              </w:divBdr>
              <w:divsChild>
                <w:div w:id="1585526347">
                  <w:marLeft w:val="0"/>
                  <w:marRight w:val="0"/>
                  <w:marTop w:val="0"/>
                  <w:marBottom w:val="0"/>
                  <w:divBdr>
                    <w:top w:val="none" w:sz="0" w:space="0" w:color="auto"/>
                    <w:left w:val="none" w:sz="0" w:space="0" w:color="auto"/>
                    <w:bottom w:val="none" w:sz="0" w:space="0" w:color="auto"/>
                    <w:right w:val="none" w:sz="0" w:space="0" w:color="auto"/>
                  </w:divBdr>
                  <w:divsChild>
                    <w:div w:id="1882329352">
                      <w:marLeft w:val="0"/>
                      <w:marRight w:val="0"/>
                      <w:marTop w:val="0"/>
                      <w:marBottom w:val="0"/>
                      <w:divBdr>
                        <w:top w:val="none" w:sz="0" w:space="0" w:color="auto"/>
                        <w:left w:val="none" w:sz="0" w:space="0" w:color="auto"/>
                        <w:bottom w:val="none" w:sz="0" w:space="0" w:color="auto"/>
                        <w:right w:val="none" w:sz="0" w:space="0" w:color="auto"/>
                      </w:divBdr>
                      <w:divsChild>
                        <w:div w:id="2047876411">
                          <w:marLeft w:val="0"/>
                          <w:marRight w:val="0"/>
                          <w:marTop w:val="0"/>
                          <w:marBottom w:val="0"/>
                          <w:divBdr>
                            <w:top w:val="none" w:sz="0" w:space="0" w:color="auto"/>
                            <w:left w:val="none" w:sz="0" w:space="0" w:color="auto"/>
                            <w:bottom w:val="none" w:sz="0" w:space="0" w:color="auto"/>
                            <w:right w:val="none" w:sz="0" w:space="0" w:color="auto"/>
                          </w:divBdr>
                          <w:divsChild>
                            <w:div w:id="713623369">
                              <w:marLeft w:val="0"/>
                              <w:marRight w:val="0"/>
                              <w:marTop w:val="0"/>
                              <w:marBottom w:val="0"/>
                              <w:divBdr>
                                <w:top w:val="none" w:sz="0" w:space="0" w:color="auto"/>
                                <w:left w:val="none" w:sz="0" w:space="0" w:color="auto"/>
                                <w:bottom w:val="none" w:sz="0" w:space="0" w:color="auto"/>
                                <w:right w:val="none" w:sz="0" w:space="0" w:color="auto"/>
                              </w:divBdr>
                              <w:divsChild>
                                <w:div w:id="3262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461125">
      <w:bodyDiv w:val="1"/>
      <w:marLeft w:val="0"/>
      <w:marRight w:val="0"/>
      <w:marTop w:val="0"/>
      <w:marBottom w:val="0"/>
      <w:divBdr>
        <w:top w:val="none" w:sz="0" w:space="0" w:color="auto"/>
        <w:left w:val="none" w:sz="0" w:space="0" w:color="auto"/>
        <w:bottom w:val="none" w:sz="0" w:space="0" w:color="auto"/>
        <w:right w:val="none" w:sz="0" w:space="0" w:color="auto"/>
      </w:divBdr>
    </w:div>
    <w:div w:id="1870944361">
      <w:bodyDiv w:val="1"/>
      <w:marLeft w:val="0"/>
      <w:marRight w:val="0"/>
      <w:marTop w:val="0"/>
      <w:marBottom w:val="0"/>
      <w:divBdr>
        <w:top w:val="none" w:sz="0" w:space="0" w:color="auto"/>
        <w:left w:val="none" w:sz="0" w:space="0" w:color="auto"/>
        <w:bottom w:val="none" w:sz="0" w:space="0" w:color="auto"/>
        <w:right w:val="none" w:sz="0" w:space="0" w:color="auto"/>
      </w:divBdr>
    </w:div>
    <w:div w:id="1880706717">
      <w:bodyDiv w:val="1"/>
      <w:marLeft w:val="0"/>
      <w:marRight w:val="0"/>
      <w:marTop w:val="0"/>
      <w:marBottom w:val="0"/>
      <w:divBdr>
        <w:top w:val="none" w:sz="0" w:space="0" w:color="auto"/>
        <w:left w:val="none" w:sz="0" w:space="0" w:color="auto"/>
        <w:bottom w:val="none" w:sz="0" w:space="0" w:color="auto"/>
        <w:right w:val="none" w:sz="0" w:space="0" w:color="auto"/>
      </w:divBdr>
      <w:divsChild>
        <w:div w:id="840706894">
          <w:marLeft w:val="547"/>
          <w:marRight w:val="0"/>
          <w:marTop w:val="0"/>
          <w:marBottom w:val="0"/>
          <w:divBdr>
            <w:top w:val="none" w:sz="0" w:space="0" w:color="auto"/>
            <w:left w:val="none" w:sz="0" w:space="0" w:color="auto"/>
            <w:bottom w:val="none" w:sz="0" w:space="0" w:color="auto"/>
            <w:right w:val="none" w:sz="0" w:space="0" w:color="auto"/>
          </w:divBdr>
        </w:div>
      </w:divsChild>
    </w:div>
    <w:div w:id="1930194868">
      <w:bodyDiv w:val="1"/>
      <w:marLeft w:val="0"/>
      <w:marRight w:val="0"/>
      <w:marTop w:val="0"/>
      <w:marBottom w:val="0"/>
      <w:divBdr>
        <w:top w:val="none" w:sz="0" w:space="0" w:color="auto"/>
        <w:left w:val="none" w:sz="0" w:space="0" w:color="auto"/>
        <w:bottom w:val="none" w:sz="0" w:space="0" w:color="auto"/>
        <w:right w:val="none" w:sz="0" w:space="0" w:color="auto"/>
      </w:divBdr>
      <w:divsChild>
        <w:div w:id="1448963069">
          <w:marLeft w:val="547"/>
          <w:marRight w:val="0"/>
          <w:marTop w:val="0"/>
          <w:marBottom w:val="0"/>
          <w:divBdr>
            <w:top w:val="none" w:sz="0" w:space="0" w:color="auto"/>
            <w:left w:val="none" w:sz="0" w:space="0" w:color="auto"/>
            <w:bottom w:val="none" w:sz="0" w:space="0" w:color="auto"/>
            <w:right w:val="none" w:sz="0" w:space="0" w:color="auto"/>
          </w:divBdr>
        </w:div>
      </w:divsChild>
    </w:div>
    <w:div w:id="2033416329">
      <w:bodyDiv w:val="1"/>
      <w:marLeft w:val="0"/>
      <w:marRight w:val="0"/>
      <w:marTop w:val="0"/>
      <w:marBottom w:val="0"/>
      <w:divBdr>
        <w:top w:val="none" w:sz="0" w:space="0" w:color="auto"/>
        <w:left w:val="none" w:sz="0" w:space="0" w:color="auto"/>
        <w:bottom w:val="none" w:sz="0" w:space="0" w:color="auto"/>
        <w:right w:val="none" w:sz="0" w:space="0" w:color="auto"/>
      </w:divBdr>
    </w:div>
    <w:div w:id="203653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4.xml"/><Relationship Id="rId25" Type="http://schemas.openxmlformats.org/officeDocument/2006/relationships/hyperlink" Target="http://www.myschool.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v.au/what-schooling-resource-standard-and-how-does-it-work" TargetMode="External"/><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footer" Target="footer5.xml"/><Relationship Id="rId30" Type="http://schemas.openxmlformats.org/officeDocument/2006/relationships/footer" Target="footer7.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closingthegap.gov.au/sites/default/files/files/national-agreement-ct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10" ma:contentTypeDescription="Create a new document." ma:contentTypeScope="" ma:versionID="69bcb152a56893ebeae2acca7ad5e195">
  <xsd:schema xmlns:xsd="http://www.w3.org/2001/XMLSchema" xmlns:xs="http://www.w3.org/2001/XMLSchema" xmlns:p="http://schemas.microsoft.com/office/2006/metadata/properties" xmlns:ns3="c0fd65f7-4e73-4983-bb21-592ea7224115" targetNamespace="http://schemas.microsoft.com/office/2006/metadata/properties" ma:root="true" ma:fieldsID="92d608cf293e0cd7f94ea42e9076e6a9"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24D363-441C-4C04-B2CB-644AFB39E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506E76-5C8B-4BFE-8030-CCED1798C0AE}">
  <ds:schemaRefs>
    <ds:schemaRef ds:uri="http://schemas.openxmlformats.org/officeDocument/2006/bibliography"/>
  </ds:schemaRefs>
</ds:datastoreItem>
</file>

<file path=customXml/itemProps3.xml><?xml version="1.0" encoding="utf-8"?>
<ds:datastoreItem xmlns:ds="http://schemas.openxmlformats.org/officeDocument/2006/customXml" ds:itemID="{5E92EB1E-D58E-4BAE-A0D0-151B79E4E90C}">
  <ds:schemaRefs>
    <ds:schemaRef ds:uri="http://schemas.microsoft.com/sharepoint/v3/contenttype/forms"/>
  </ds:schemaRefs>
</ds:datastoreItem>
</file>

<file path=customXml/itemProps4.xml><?xml version="1.0" encoding="utf-8"?>
<ds:datastoreItem xmlns:ds="http://schemas.openxmlformats.org/officeDocument/2006/customXml" ds:itemID="{5852FA78-D50A-42ED-BD18-ED489221DF01}">
  <ds:schemaRefs>
    <ds:schemaRef ds:uri="http://purl.org/dc/dcmitype/"/>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c0fd65f7-4e73-4983-bb21-592ea722411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7587</Words>
  <Characters>43252</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National Education Reform Agreement 2013</vt:lpstr>
    </vt:vector>
  </TitlesOfParts>
  <LinksUpToDate>false</LinksUpToDate>
  <CharactersWithSpaces>50738</CharactersWithSpaces>
  <SharedDoc>false</SharedDoc>
  <HLinks>
    <vt:vector size="294" baseType="variant">
      <vt:variant>
        <vt:i4>1310795</vt:i4>
      </vt:variant>
      <vt:variant>
        <vt:i4>426</vt:i4>
      </vt:variant>
      <vt:variant>
        <vt:i4>0</vt:i4>
      </vt:variant>
      <vt:variant>
        <vt:i4>5</vt:i4>
      </vt:variant>
      <vt:variant>
        <vt:lpwstr>http://www.federalfinancialrelations.gov.au/</vt:lpwstr>
      </vt:variant>
      <vt:variant>
        <vt:lpwstr/>
      </vt:variant>
      <vt:variant>
        <vt:i4>2293816</vt:i4>
      </vt:variant>
      <vt:variant>
        <vt:i4>423</vt:i4>
      </vt:variant>
      <vt:variant>
        <vt:i4>0</vt:i4>
      </vt:variant>
      <vt:variant>
        <vt:i4>5</vt:i4>
      </vt:variant>
      <vt:variant>
        <vt:lpwstr>http://www.myschool.edu.au/</vt:lpwstr>
      </vt:variant>
      <vt:variant>
        <vt:lpwstr/>
      </vt:variant>
      <vt:variant>
        <vt:i4>1769527</vt:i4>
      </vt:variant>
      <vt:variant>
        <vt:i4>278</vt:i4>
      </vt:variant>
      <vt:variant>
        <vt:i4>0</vt:i4>
      </vt:variant>
      <vt:variant>
        <vt:i4>5</vt:i4>
      </vt:variant>
      <vt:variant>
        <vt:lpwstr/>
      </vt:variant>
      <vt:variant>
        <vt:lpwstr>_Toc353879087</vt:lpwstr>
      </vt:variant>
      <vt:variant>
        <vt:i4>1769527</vt:i4>
      </vt:variant>
      <vt:variant>
        <vt:i4>272</vt:i4>
      </vt:variant>
      <vt:variant>
        <vt:i4>0</vt:i4>
      </vt:variant>
      <vt:variant>
        <vt:i4>5</vt:i4>
      </vt:variant>
      <vt:variant>
        <vt:lpwstr/>
      </vt:variant>
      <vt:variant>
        <vt:lpwstr>_Toc353879086</vt:lpwstr>
      </vt:variant>
      <vt:variant>
        <vt:i4>1769527</vt:i4>
      </vt:variant>
      <vt:variant>
        <vt:i4>266</vt:i4>
      </vt:variant>
      <vt:variant>
        <vt:i4>0</vt:i4>
      </vt:variant>
      <vt:variant>
        <vt:i4>5</vt:i4>
      </vt:variant>
      <vt:variant>
        <vt:lpwstr/>
      </vt:variant>
      <vt:variant>
        <vt:lpwstr>_Toc353879085</vt:lpwstr>
      </vt:variant>
      <vt:variant>
        <vt:i4>1769527</vt:i4>
      </vt:variant>
      <vt:variant>
        <vt:i4>260</vt:i4>
      </vt:variant>
      <vt:variant>
        <vt:i4>0</vt:i4>
      </vt:variant>
      <vt:variant>
        <vt:i4>5</vt:i4>
      </vt:variant>
      <vt:variant>
        <vt:lpwstr/>
      </vt:variant>
      <vt:variant>
        <vt:lpwstr>_Toc353879084</vt:lpwstr>
      </vt:variant>
      <vt:variant>
        <vt:i4>1769527</vt:i4>
      </vt:variant>
      <vt:variant>
        <vt:i4>254</vt:i4>
      </vt:variant>
      <vt:variant>
        <vt:i4>0</vt:i4>
      </vt:variant>
      <vt:variant>
        <vt:i4>5</vt:i4>
      </vt:variant>
      <vt:variant>
        <vt:lpwstr/>
      </vt:variant>
      <vt:variant>
        <vt:lpwstr>_Toc353879083</vt:lpwstr>
      </vt:variant>
      <vt:variant>
        <vt:i4>1769527</vt:i4>
      </vt:variant>
      <vt:variant>
        <vt:i4>248</vt:i4>
      </vt:variant>
      <vt:variant>
        <vt:i4>0</vt:i4>
      </vt:variant>
      <vt:variant>
        <vt:i4>5</vt:i4>
      </vt:variant>
      <vt:variant>
        <vt:lpwstr/>
      </vt:variant>
      <vt:variant>
        <vt:lpwstr>_Toc353879082</vt:lpwstr>
      </vt:variant>
      <vt:variant>
        <vt:i4>1769527</vt:i4>
      </vt:variant>
      <vt:variant>
        <vt:i4>242</vt:i4>
      </vt:variant>
      <vt:variant>
        <vt:i4>0</vt:i4>
      </vt:variant>
      <vt:variant>
        <vt:i4>5</vt:i4>
      </vt:variant>
      <vt:variant>
        <vt:lpwstr/>
      </vt:variant>
      <vt:variant>
        <vt:lpwstr>_Toc353879081</vt:lpwstr>
      </vt:variant>
      <vt:variant>
        <vt:i4>1769527</vt:i4>
      </vt:variant>
      <vt:variant>
        <vt:i4>236</vt:i4>
      </vt:variant>
      <vt:variant>
        <vt:i4>0</vt:i4>
      </vt:variant>
      <vt:variant>
        <vt:i4>5</vt:i4>
      </vt:variant>
      <vt:variant>
        <vt:lpwstr/>
      </vt:variant>
      <vt:variant>
        <vt:lpwstr>_Toc353879080</vt:lpwstr>
      </vt:variant>
      <vt:variant>
        <vt:i4>1310775</vt:i4>
      </vt:variant>
      <vt:variant>
        <vt:i4>230</vt:i4>
      </vt:variant>
      <vt:variant>
        <vt:i4>0</vt:i4>
      </vt:variant>
      <vt:variant>
        <vt:i4>5</vt:i4>
      </vt:variant>
      <vt:variant>
        <vt:lpwstr/>
      </vt:variant>
      <vt:variant>
        <vt:lpwstr>_Toc353879079</vt:lpwstr>
      </vt:variant>
      <vt:variant>
        <vt:i4>1310775</vt:i4>
      </vt:variant>
      <vt:variant>
        <vt:i4>224</vt:i4>
      </vt:variant>
      <vt:variant>
        <vt:i4>0</vt:i4>
      </vt:variant>
      <vt:variant>
        <vt:i4>5</vt:i4>
      </vt:variant>
      <vt:variant>
        <vt:lpwstr/>
      </vt:variant>
      <vt:variant>
        <vt:lpwstr>_Toc353879078</vt:lpwstr>
      </vt:variant>
      <vt:variant>
        <vt:i4>1310775</vt:i4>
      </vt:variant>
      <vt:variant>
        <vt:i4>218</vt:i4>
      </vt:variant>
      <vt:variant>
        <vt:i4>0</vt:i4>
      </vt:variant>
      <vt:variant>
        <vt:i4>5</vt:i4>
      </vt:variant>
      <vt:variant>
        <vt:lpwstr/>
      </vt:variant>
      <vt:variant>
        <vt:lpwstr>_Toc353879077</vt:lpwstr>
      </vt:variant>
      <vt:variant>
        <vt:i4>1310775</vt:i4>
      </vt:variant>
      <vt:variant>
        <vt:i4>212</vt:i4>
      </vt:variant>
      <vt:variant>
        <vt:i4>0</vt:i4>
      </vt:variant>
      <vt:variant>
        <vt:i4>5</vt:i4>
      </vt:variant>
      <vt:variant>
        <vt:lpwstr/>
      </vt:variant>
      <vt:variant>
        <vt:lpwstr>_Toc353879076</vt:lpwstr>
      </vt:variant>
      <vt:variant>
        <vt:i4>1310775</vt:i4>
      </vt:variant>
      <vt:variant>
        <vt:i4>206</vt:i4>
      </vt:variant>
      <vt:variant>
        <vt:i4>0</vt:i4>
      </vt:variant>
      <vt:variant>
        <vt:i4>5</vt:i4>
      </vt:variant>
      <vt:variant>
        <vt:lpwstr/>
      </vt:variant>
      <vt:variant>
        <vt:lpwstr>_Toc353879075</vt:lpwstr>
      </vt:variant>
      <vt:variant>
        <vt:i4>1310775</vt:i4>
      </vt:variant>
      <vt:variant>
        <vt:i4>200</vt:i4>
      </vt:variant>
      <vt:variant>
        <vt:i4>0</vt:i4>
      </vt:variant>
      <vt:variant>
        <vt:i4>5</vt:i4>
      </vt:variant>
      <vt:variant>
        <vt:lpwstr/>
      </vt:variant>
      <vt:variant>
        <vt:lpwstr>_Toc353879074</vt:lpwstr>
      </vt:variant>
      <vt:variant>
        <vt:i4>1310775</vt:i4>
      </vt:variant>
      <vt:variant>
        <vt:i4>194</vt:i4>
      </vt:variant>
      <vt:variant>
        <vt:i4>0</vt:i4>
      </vt:variant>
      <vt:variant>
        <vt:i4>5</vt:i4>
      </vt:variant>
      <vt:variant>
        <vt:lpwstr/>
      </vt:variant>
      <vt:variant>
        <vt:lpwstr>_Toc353879073</vt:lpwstr>
      </vt:variant>
      <vt:variant>
        <vt:i4>1310775</vt:i4>
      </vt:variant>
      <vt:variant>
        <vt:i4>188</vt:i4>
      </vt:variant>
      <vt:variant>
        <vt:i4>0</vt:i4>
      </vt:variant>
      <vt:variant>
        <vt:i4>5</vt:i4>
      </vt:variant>
      <vt:variant>
        <vt:lpwstr/>
      </vt:variant>
      <vt:variant>
        <vt:lpwstr>_Toc353879072</vt:lpwstr>
      </vt:variant>
      <vt:variant>
        <vt:i4>1310775</vt:i4>
      </vt:variant>
      <vt:variant>
        <vt:i4>182</vt:i4>
      </vt:variant>
      <vt:variant>
        <vt:i4>0</vt:i4>
      </vt:variant>
      <vt:variant>
        <vt:i4>5</vt:i4>
      </vt:variant>
      <vt:variant>
        <vt:lpwstr/>
      </vt:variant>
      <vt:variant>
        <vt:lpwstr>_Toc353879071</vt:lpwstr>
      </vt:variant>
      <vt:variant>
        <vt:i4>1310775</vt:i4>
      </vt:variant>
      <vt:variant>
        <vt:i4>176</vt:i4>
      </vt:variant>
      <vt:variant>
        <vt:i4>0</vt:i4>
      </vt:variant>
      <vt:variant>
        <vt:i4>5</vt:i4>
      </vt:variant>
      <vt:variant>
        <vt:lpwstr/>
      </vt:variant>
      <vt:variant>
        <vt:lpwstr>_Toc353879070</vt:lpwstr>
      </vt:variant>
      <vt:variant>
        <vt:i4>1376311</vt:i4>
      </vt:variant>
      <vt:variant>
        <vt:i4>170</vt:i4>
      </vt:variant>
      <vt:variant>
        <vt:i4>0</vt:i4>
      </vt:variant>
      <vt:variant>
        <vt:i4>5</vt:i4>
      </vt:variant>
      <vt:variant>
        <vt:lpwstr/>
      </vt:variant>
      <vt:variant>
        <vt:lpwstr>_Toc353879069</vt:lpwstr>
      </vt:variant>
      <vt:variant>
        <vt:i4>1376311</vt:i4>
      </vt:variant>
      <vt:variant>
        <vt:i4>164</vt:i4>
      </vt:variant>
      <vt:variant>
        <vt:i4>0</vt:i4>
      </vt:variant>
      <vt:variant>
        <vt:i4>5</vt:i4>
      </vt:variant>
      <vt:variant>
        <vt:lpwstr/>
      </vt:variant>
      <vt:variant>
        <vt:lpwstr>_Toc353879068</vt:lpwstr>
      </vt:variant>
      <vt:variant>
        <vt:i4>1376311</vt:i4>
      </vt:variant>
      <vt:variant>
        <vt:i4>158</vt:i4>
      </vt:variant>
      <vt:variant>
        <vt:i4>0</vt:i4>
      </vt:variant>
      <vt:variant>
        <vt:i4>5</vt:i4>
      </vt:variant>
      <vt:variant>
        <vt:lpwstr/>
      </vt:variant>
      <vt:variant>
        <vt:lpwstr>_Toc353879067</vt:lpwstr>
      </vt:variant>
      <vt:variant>
        <vt:i4>1376311</vt:i4>
      </vt:variant>
      <vt:variant>
        <vt:i4>152</vt:i4>
      </vt:variant>
      <vt:variant>
        <vt:i4>0</vt:i4>
      </vt:variant>
      <vt:variant>
        <vt:i4>5</vt:i4>
      </vt:variant>
      <vt:variant>
        <vt:lpwstr/>
      </vt:variant>
      <vt:variant>
        <vt:lpwstr>_Toc353879066</vt:lpwstr>
      </vt:variant>
      <vt:variant>
        <vt:i4>1376311</vt:i4>
      </vt:variant>
      <vt:variant>
        <vt:i4>146</vt:i4>
      </vt:variant>
      <vt:variant>
        <vt:i4>0</vt:i4>
      </vt:variant>
      <vt:variant>
        <vt:i4>5</vt:i4>
      </vt:variant>
      <vt:variant>
        <vt:lpwstr/>
      </vt:variant>
      <vt:variant>
        <vt:lpwstr>_Toc353879065</vt:lpwstr>
      </vt:variant>
      <vt:variant>
        <vt:i4>1376311</vt:i4>
      </vt:variant>
      <vt:variant>
        <vt:i4>140</vt:i4>
      </vt:variant>
      <vt:variant>
        <vt:i4>0</vt:i4>
      </vt:variant>
      <vt:variant>
        <vt:i4>5</vt:i4>
      </vt:variant>
      <vt:variant>
        <vt:lpwstr/>
      </vt:variant>
      <vt:variant>
        <vt:lpwstr>_Toc353879064</vt:lpwstr>
      </vt:variant>
      <vt:variant>
        <vt:i4>1376311</vt:i4>
      </vt:variant>
      <vt:variant>
        <vt:i4>134</vt:i4>
      </vt:variant>
      <vt:variant>
        <vt:i4>0</vt:i4>
      </vt:variant>
      <vt:variant>
        <vt:i4>5</vt:i4>
      </vt:variant>
      <vt:variant>
        <vt:lpwstr/>
      </vt:variant>
      <vt:variant>
        <vt:lpwstr>_Toc353879063</vt:lpwstr>
      </vt:variant>
      <vt:variant>
        <vt:i4>1376311</vt:i4>
      </vt:variant>
      <vt:variant>
        <vt:i4>128</vt:i4>
      </vt:variant>
      <vt:variant>
        <vt:i4>0</vt:i4>
      </vt:variant>
      <vt:variant>
        <vt:i4>5</vt:i4>
      </vt:variant>
      <vt:variant>
        <vt:lpwstr/>
      </vt:variant>
      <vt:variant>
        <vt:lpwstr>_Toc353879062</vt:lpwstr>
      </vt:variant>
      <vt:variant>
        <vt:i4>1376311</vt:i4>
      </vt:variant>
      <vt:variant>
        <vt:i4>122</vt:i4>
      </vt:variant>
      <vt:variant>
        <vt:i4>0</vt:i4>
      </vt:variant>
      <vt:variant>
        <vt:i4>5</vt:i4>
      </vt:variant>
      <vt:variant>
        <vt:lpwstr/>
      </vt:variant>
      <vt:variant>
        <vt:lpwstr>_Toc353879061</vt:lpwstr>
      </vt:variant>
      <vt:variant>
        <vt:i4>1376311</vt:i4>
      </vt:variant>
      <vt:variant>
        <vt:i4>116</vt:i4>
      </vt:variant>
      <vt:variant>
        <vt:i4>0</vt:i4>
      </vt:variant>
      <vt:variant>
        <vt:i4>5</vt:i4>
      </vt:variant>
      <vt:variant>
        <vt:lpwstr/>
      </vt:variant>
      <vt:variant>
        <vt:lpwstr>_Toc353879060</vt:lpwstr>
      </vt:variant>
      <vt:variant>
        <vt:i4>1441847</vt:i4>
      </vt:variant>
      <vt:variant>
        <vt:i4>110</vt:i4>
      </vt:variant>
      <vt:variant>
        <vt:i4>0</vt:i4>
      </vt:variant>
      <vt:variant>
        <vt:i4>5</vt:i4>
      </vt:variant>
      <vt:variant>
        <vt:lpwstr/>
      </vt:variant>
      <vt:variant>
        <vt:lpwstr>_Toc353879059</vt:lpwstr>
      </vt:variant>
      <vt:variant>
        <vt:i4>1441847</vt:i4>
      </vt:variant>
      <vt:variant>
        <vt:i4>104</vt:i4>
      </vt:variant>
      <vt:variant>
        <vt:i4>0</vt:i4>
      </vt:variant>
      <vt:variant>
        <vt:i4>5</vt:i4>
      </vt:variant>
      <vt:variant>
        <vt:lpwstr/>
      </vt:variant>
      <vt:variant>
        <vt:lpwstr>_Toc353879058</vt:lpwstr>
      </vt:variant>
      <vt:variant>
        <vt:i4>1441847</vt:i4>
      </vt:variant>
      <vt:variant>
        <vt:i4>98</vt:i4>
      </vt:variant>
      <vt:variant>
        <vt:i4>0</vt:i4>
      </vt:variant>
      <vt:variant>
        <vt:i4>5</vt:i4>
      </vt:variant>
      <vt:variant>
        <vt:lpwstr/>
      </vt:variant>
      <vt:variant>
        <vt:lpwstr>_Toc353879057</vt:lpwstr>
      </vt:variant>
      <vt:variant>
        <vt:i4>1441847</vt:i4>
      </vt:variant>
      <vt:variant>
        <vt:i4>92</vt:i4>
      </vt:variant>
      <vt:variant>
        <vt:i4>0</vt:i4>
      </vt:variant>
      <vt:variant>
        <vt:i4>5</vt:i4>
      </vt:variant>
      <vt:variant>
        <vt:lpwstr/>
      </vt:variant>
      <vt:variant>
        <vt:lpwstr>_Toc353879056</vt:lpwstr>
      </vt:variant>
      <vt:variant>
        <vt:i4>1441847</vt:i4>
      </vt:variant>
      <vt:variant>
        <vt:i4>86</vt:i4>
      </vt:variant>
      <vt:variant>
        <vt:i4>0</vt:i4>
      </vt:variant>
      <vt:variant>
        <vt:i4>5</vt:i4>
      </vt:variant>
      <vt:variant>
        <vt:lpwstr/>
      </vt:variant>
      <vt:variant>
        <vt:lpwstr>_Toc353879055</vt:lpwstr>
      </vt:variant>
      <vt:variant>
        <vt:i4>1441847</vt:i4>
      </vt:variant>
      <vt:variant>
        <vt:i4>80</vt:i4>
      </vt:variant>
      <vt:variant>
        <vt:i4>0</vt:i4>
      </vt:variant>
      <vt:variant>
        <vt:i4>5</vt:i4>
      </vt:variant>
      <vt:variant>
        <vt:lpwstr/>
      </vt:variant>
      <vt:variant>
        <vt:lpwstr>_Toc353879054</vt:lpwstr>
      </vt:variant>
      <vt:variant>
        <vt:i4>1441847</vt:i4>
      </vt:variant>
      <vt:variant>
        <vt:i4>74</vt:i4>
      </vt:variant>
      <vt:variant>
        <vt:i4>0</vt:i4>
      </vt:variant>
      <vt:variant>
        <vt:i4>5</vt:i4>
      </vt:variant>
      <vt:variant>
        <vt:lpwstr/>
      </vt:variant>
      <vt:variant>
        <vt:lpwstr>_Toc353879053</vt:lpwstr>
      </vt:variant>
      <vt:variant>
        <vt:i4>1441847</vt:i4>
      </vt:variant>
      <vt:variant>
        <vt:i4>68</vt:i4>
      </vt:variant>
      <vt:variant>
        <vt:i4>0</vt:i4>
      </vt:variant>
      <vt:variant>
        <vt:i4>5</vt:i4>
      </vt:variant>
      <vt:variant>
        <vt:lpwstr/>
      </vt:variant>
      <vt:variant>
        <vt:lpwstr>_Toc353879052</vt:lpwstr>
      </vt:variant>
      <vt:variant>
        <vt:i4>1441847</vt:i4>
      </vt:variant>
      <vt:variant>
        <vt:i4>62</vt:i4>
      </vt:variant>
      <vt:variant>
        <vt:i4>0</vt:i4>
      </vt:variant>
      <vt:variant>
        <vt:i4>5</vt:i4>
      </vt:variant>
      <vt:variant>
        <vt:lpwstr/>
      </vt:variant>
      <vt:variant>
        <vt:lpwstr>_Toc353879051</vt:lpwstr>
      </vt:variant>
      <vt:variant>
        <vt:i4>1441847</vt:i4>
      </vt:variant>
      <vt:variant>
        <vt:i4>56</vt:i4>
      </vt:variant>
      <vt:variant>
        <vt:i4>0</vt:i4>
      </vt:variant>
      <vt:variant>
        <vt:i4>5</vt:i4>
      </vt:variant>
      <vt:variant>
        <vt:lpwstr/>
      </vt:variant>
      <vt:variant>
        <vt:lpwstr>_Toc353879050</vt:lpwstr>
      </vt:variant>
      <vt:variant>
        <vt:i4>1507383</vt:i4>
      </vt:variant>
      <vt:variant>
        <vt:i4>50</vt:i4>
      </vt:variant>
      <vt:variant>
        <vt:i4>0</vt:i4>
      </vt:variant>
      <vt:variant>
        <vt:i4>5</vt:i4>
      </vt:variant>
      <vt:variant>
        <vt:lpwstr/>
      </vt:variant>
      <vt:variant>
        <vt:lpwstr>_Toc353879049</vt:lpwstr>
      </vt:variant>
      <vt:variant>
        <vt:i4>1507383</vt:i4>
      </vt:variant>
      <vt:variant>
        <vt:i4>44</vt:i4>
      </vt:variant>
      <vt:variant>
        <vt:i4>0</vt:i4>
      </vt:variant>
      <vt:variant>
        <vt:i4>5</vt:i4>
      </vt:variant>
      <vt:variant>
        <vt:lpwstr/>
      </vt:variant>
      <vt:variant>
        <vt:lpwstr>_Toc353879048</vt:lpwstr>
      </vt:variant>
      <vt:variant>
        <vt:i4>1507383</vt:i4>
      </vt:variant>
      <vt:variant>
        <vt:i4>38</vt:i4>
      </vt:variant>
      <vt:variant>
        <vt:i4>0</vt:i4>
      </vt:variant>
      <vt:variant>
        <vt:i4>5</vt:i4>
      </vt:variant>
      <vt:variant>
        <vt:lpwstr/>
      </vt:variant>
      <vt:variant>
        <vt:lpwstr>_Toc353879047</vt:lpwstr>
      </vt:variant>
      <vt:variant>
        <vt:i4>1507383</vt:i4>
      </vt:variant>
      <vt:variant>
        <vt:i4>32</vt:i4>
      </vt:variant>
      <vt:variant>
        <vt:i4>0</vt:i4>
      </vt:variant>
      <vt:variant>
        <vt:i4>5</vt:i4>
      </vt:variant>
      <vt:variant>
        <vt:lpwstr/>
      </vt:variant>
      <vt:variant>
        <vt:lpwstr>_Toc353879046</vt:lpwstr>
      </vt:variant>
      <vt:variant>
        <vt:i4>1507383</vt:i4>
      </vt:variant>
      <vt:variant>
        <vt:i4>26</vt:i4>
      </vt:variant>
      <vt:variant>
        <vt:i4>0</vt:i4>
      </vt:variant>
      <vt:variant>
        <vt:i4>5</vt:i4>
      </vt:variant>
      <vt:variant>
        <vt:lpwstr/>
      </vt:variant>
      <vt:variant>
        <vt:lpwstr>_Toc353879045</vt:lpwstr>
      </vt:variant>
      <vt:variant>
        <vt:i4>1507383</vt:i4>
      </vt:variant>
      <vt:variant>
        <vt:i4>20</vt:i4>
      </vt:variant>
      <vt:variant>
        <vt:i4>0</vt:i4>
      </vt:variant>
      <vt:variant>
        <vt:i4>5</vt:i4>
      </vt:variant>
      <vt:variant>
        <vt:lpwstr/>
      </vt:variant>
      <vt:variant>
        <vt:lpwstr>_Toc353879044</vt:lpwstr>
      </vt:variant>
      <vt:variant>
        <vt:i4>1507383</vt:i4>
      </vt:variant>
      <vt:variant>
        <vt:i4>14</vt:i4>
      </vt:variant>
      <vt:variant>
        <vt:i4>0</vt:i4>
      </vt:variant>
      <vt:variant>
        <vt:i4>5</vt:i4>
      </vt:variant>
      <vt:variant>
        <vt:lpwstr/>
      </vt:variant>
      <vt:variant>
        <vt:lpwstr>_Toc353879043</vt:lpwstr>
      </vt:variant>
      <vt:variant>
        <vt:i4>1507383</vt:i4>
      </vt:variant>
      <vt:variant>
        <vt:i4>8</vt:i4>
      </vt:variant>
      <vt:variant>
        <vt:i4>0</vt:i4>
      </vt:variant>
      <vt:variant>
        <vt:i4>5</vt:i4>
      </vt:variant>
      <vt:variant>
        <vt:lpwstr/>
      </vt:variant>
      <vt:variant>
        <vt:lpwstr>_Toc353879042</vt:lpwstr>
      </vt:variant>
      <vt:variant>
        <vt:i4>1507383</vt:i4>
      </vt:variant>
      <vt:variant>
        <vt:i4>2</vt:i4>
      </vt:variant>
      <vt:variant>
        <vt:i4>0</vt:i4>
      </vt:variant>
      <vt:variant>
        <vt:i4>5</vt:i4>
      </vt:variant>
      <vt:variant>
        <vt:lpwstr/>
      </vt:variant>
      <vt:variant>
        <vt:lpwstr>_Toc353879041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Education Reform Agreement 2013</dc:title>
  <dc:subject/>
  <dc:creator/>
  <cp:keywords/>
  <dc:description/>
  <cp:lastModifiedBy/>
  <cp:revision>1</cp:revision>
  <dcterms:created xsi:type="dcterms:W3CDTF">2021-09-22T01:09:00Z</dcterms:created>
  <dcterms:modified xsi:type="dcterms:W3CDTF">2021-09-22T01:09:00Z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0x0101001F02C9804508E848925AE7F7B9687CB2</vt:lpwstr>
  </property>
  <property fmtid="{D5CDD505-2E9C-101B-9397-08002B2CF9AE}" pid="3" name="PM_Caveats_Count">
    <vt:lpwstr>0</vt:lpwstr>
  </property>
  <property fmtid="{D5CDD505-2E9C-101B-9397-08002B2CF9AE}" pid="4" name="PM_Originator_Hash_SHA1">
    <vt:lpwstr>DF76DF44057F7B473425081CDACF62039ECC7A8D</vt:lpwstr>
  </property>
  <property fmtid="{D5CDD505-2E9C-101B-9397-08002B2CF9AE}" pid="5" name="PM_SecurityClassification">
    <vt:lpwstr/>
  </property>
  <property fmtid="{D5CDD505-2E9C-101B-9397-08002B2CF9AE}" pid="6" name="PM_DisplayValueSecClassificationWithQualifier">
    <vt:lpwstr/>
  </property>
  <property fmtid="{D5CDD505-2E9C-101B-9397-08002B2CF9AE}" pid="7" name="PM_Qualifier">
    <vt:lpwstr/>
  </property>
  <property fmtid="{D5CDD505-2E9C-101B-9397-08002B2CF9AE}" pid="8" name="PM_InsertionValue">
    <vt:lpwstr>\r\n</vt:lpwstr>
  </property>
  <property fmtid="{D5CDD505-2E9C-101B-9397-08002B2CF9AE}" pid="9" name="PM_Hash_Salt">
    <vt:lpwstr>CCC2F20F28C0ADA86A3BFEA6F866F144</vt:lpwstr>
  </property>
  <property fmtid="{D5CDD505-2E9C-101B-9397-08002B2CF9AE}" pid="10" name="PM_Hash_Version">
    <vt:lpwstr>2016.1</vt:lpwstr>
  </property>
  <property fmtid="{D5CDD505-2E9C-101B-9397-08002B2CF9AE}" pid="11" name="PM_Hash_Salt_Prev">
    <vt:lpwstr>87F6FF03B369220E43DB1C06437756D1</vt:lpwstr>
  </property>
  <property fmtid="{D5CDD505-2E9C-101B-9397-08002B2CF9AE}" pid="12" name="PM_Hash_SHA1">
    <vt:lpwstr>A17EBBC441154578094D556F2DD6A24298385079</vt:lpwstr>
  </property>
  <property fmtid="{D5CDD505-2E9C-101B-9397-08002B2CF9AE}" pid="13" name="PM_SecurityClassification_Prev">
    <vt:lpwstr>UNCLASSIFIED</vt:lpwstr>
  </property>
  <property fmtid="{D5CDD505-2E9C-101B-9397-08002B2CF9AE}" pid="14" name="PM_Qualifier_Prev">
    <vt:lpwstr>Sensitive</vt:lpwstr>
  </property>
  <property fmtid="{D5CDD505-2E9C-101B-9397-08002B2CF9AE}" pid="15" name="PM_ProtectiveMarkingImage_Header">
    <vt:lpwstr>C:\Program Files (x86)\Common Files\janusNET Shared\janusSEAL\Images\DocumentSlashBlue.png</vt:lpwstr>
  </property>
  <property fmtid="{D5CDD505-2E9C-101B-9397-08002B2CF9AE}" pid="16" name="PM_ProtectiveMarkingValue_Header">
    <vt:lpwstr/>
  </property>
  <property fmtid="{D5CDD505-2E9C-101B-9397-08002B2CF9AE}" pid="17" name="PM_ProtectiveMarkingValue_Footer">
    <vt:lpwstr/>
  </property>
  <property fmtid="{D5CDD505-2E9C-101B-9397-08002B2CF9AE}" pid="18" name="PM_ProtectiveMarkingImage_Footer">
    <vt:lpwstr>C:\Program Files (x86)\Common Files\janusNET Shared\janusSEAL\Images\DocumentSlashBlue.png</vt:lpwstr>
  </property>
  <property fmtid="{D5CDD505-2E9C-101B-9397-08002B2CF9AE}" pid="19" name="PM_Namespace">
    <vt:lpwstr>gov.au</vt:lpwstr>
  </property>
  <property fmtid="{D5CDD505-2E9C-101B-9397-08002B2CF9AE}" pid="20" name="PM_Version">
    <vt:lpwstr>2012.3</vt:lpwstr>
  </property>
  <property fmtid="{D5CDD505-2E9C-101B-9397-08002B2CF9AE}" pid="21" name="PM_Originating_FileId">
    <vt:lpwstr>6E8428AA618D4424BDD502C14B229C3E</vt:lpwstr>
  </property>
  <property fmtid="{D5CDD505-2E9C-101B-9397-08002B2CF9AE}" pid="22" name="PM_OriginationTimeStamp">
    <vt:lpwstr>2018-08-22T03:26:25Z</vt:lpwstr>
  </property>
</Properties>
</file>