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FCEB" w14:textId="77777777" w:rsidR="00646791" w:rsidRDefault="00646791" w:rsidP="003142CB">
      <w:r>
        <w:rPr>
          <w:noProof/>
          <w:lang w:eastAsia="en-AU"/>
        </w:rPr>
        <w:drawing>
          <wp:inline distT="0" distB="0" distL="0" distR="0" wp14:anchorId="5D9B5562" wp14:editId="2B276D37">
            <wp:extent cx="2880360" cy="560832"/>
            <wp:effectExtent l="0" t="0" r="0" b="0"/>
            <wp:docPr id="5" name="Picture 5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39B42" w14:textId="77777777" w:rsidR="00646791" w:rsidRDefault="00646791" w:rsidP="003142CB"/>
    <w:p w14:paraId="322835A7" w14:textId="77777777" w:rsidR="00646791" w:rsidRDefault="00646791" w:rsidP="003142CB"/>
    <w:p w14:paraId="4B9F191D" w14:textId="77777777" w:rsidR="00646791" w:rsidRDefault="00646791" w:rsidP="003142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619C4" w:rsidRPr="009468A2" w14:paraId="0F855D90" w14:textId="77777777" w:rsidTr="00E4673B">
        <w:trPr>
          <w:trHeight w:val="2610"/>
        </w:trPr>
        <w:tc>
          <w:tcPr>
            <w:tcW w:w="9016" w:type="dxa"/>
          </w:tcPr>
          <w:p w14:paraId="31935862" w14:textId="77777777" w:rsidR="00D619C4" w:rsidRPr="000E564D" w:rsidRDefault="00D619C4" w:rsidP="000E564D">
            <w:pPr>
              <w:jc w:val="center"/>
              <w:rPr>
                <w:color w:val="1F4E79" w:themeColor="accent1" w:themeShade="80"/>
                <w:sz w:val="40"/>
              </w:rPr>
            </w:pPr>
            <w:bookmarkStart w:id="0" w:name="_Toc509480676"/>
            <w:bookmarkStart w:id="1" w:name="_Toc509481378"/>
            <w:bookmarkStart w:id="2" w:name="_Toc509587032"/>
            <w:bookmarkStart w:id="3" w:name="_Toc509777240"/>
            <w:bookmarkStart w:id="4" w:name="_Toc509779137"/>
            <w:bookmarkStart w:id="5" w:name="_Toc509919493"/>
            <w:bookmarkStart w:id="6" w:name="_Toc509919664"/>
            <w:bookmarkStart w:id="7" w:name="_Toc509925027"/>
            <w:bookmarkStart w:id="8" w:name="_Toc510016026"/>
            <w:r w:rsidRPr="000E564D">
              <w:rPr>
                <w:color w:val="1F4E79" w:themeColor="accent1" w:themeShade="80"/>
                <w:sz w:val="40"/>
              </w:rPr>
              <w:t xml:space="preserve">Regional </w:t>
            </w:r>
            <w:r w:rsidR="00935BA3" w:rsidRPr="000E564D">
              <w:rPr>
                <w:color w:val="1F4E79" w:themeColor="accent1" w:themeShade="80"/>
                <w:sz w:val="40"/>
              </w:rPr>
              <w:t>Study Hubs</w:t>
            </w:r>
            <w:r w:rsidRPr="000E564D">
              <w:rPr>
                <w:color w:val="1F4E79" w:themeColor="accent1" w:themeShade="80"/>
                <w:sz w:val="40"/>
              </w:rPr>
              <w:t xml:space="preserve"> </w:t>
            </w:r>
            <w:r w:rsidR="00B17599" w:rsidRPr="000E564D">
              <w:rPr>
                <w:color w:val="1F4E79" w:themeColor="accent1" w:themeShade="80"/>
                <w:sz w:val="40"/>
              </w:rPr>
              <w:t>Program</w:t>
            </w:r>
            <w:r w:rsidRPr="000E564D">
              <w:rPr>
                <w:color w:val="1F4E79" w:themeColor="accent1" w:themeShade="80"/>
                <w:sz w:val="40"/>
              </w:rPr>
              <w:t xml:space="preserve"> 2018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7CB28230" w14:textId="77777777" w:rsidR="00D619C4" w:rsidRPr="000E564D" w:rsidRDefault="00D619C4" w:rsidP="000E564D">
            <w:pPr>
              <w:jc w:val="center"/>
              <w:rPr>
                <w:color w:val="1F4E79" w:themeColor="accent1" w:themeShade="80"/>
                <w:sz w:val="40"/>
              </w:rPr>
            </w:pPr>
            <w:bookmarkStart w:id="9" w:name="_Toc509480677"/>
            <w:bookmarkStart w:id="10" w:name="_Toc509481379"/>
            <w:bookmarkStart w:id="11" w:name="_Toc509587033"/>
            <w:bookmarkStart w:id="12" w:name="_Toc509777241"/>
            <w:bookmarkStart w:id="13" w:name="_Toc509779138"/>
            <w:bookmarkStart w:id="14" w:name="_Toc509919494"/>
            <w:bookmarkStart w:id="15" w:name="_Toc509919665"/>
            <w:bookmarkStart w:id="16" w:name="_Toc509925028"/>
            <w:bookmarkStart w:id="17" w:name="_Toc510016027"/>
            <w:r w:rsidRPr="000E564D">
              <w:rPr>
                <w:color w:val="1F4E79" w:themeColor="accent1" w:themeShade="80"/>
                <w:sz w:val="40"/>
              </w:rPr>
              <w:t xml:space="preserve">Improved Support for Regional </w:t>
            </w:r>
            <w:r w:rsidR="009468A2" w:rsidRPr="000E564D">
              <w:rPr>
                <w:color w:val="1F4E79" w:themeColor="accent1" w:themeShade="80"/>
                <w:sz w:val="40"/>
              </w:rPr>
              <w:t>Tertiary</w:t>
            </w:r>
            <w:r w:rsidRPr="000E564D">
              <w:rPr>
                <w:color w:val="1F4E79" w:themeColor="accent1" w:themeShade="80"/>
                <w:sz w:val="40"/>
              </w:rPr>
              <w:t xml:space="preserve"> Education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67395C6D" w14:textId="77777777" w:rsidR="00D619C4" w:rsidRPr="009468A2" w:rsidRDefault="00D619C4" w:rsidP="000E564D">
            <w:pPr>
              <w:rPr>
                <w:sz w:val="28"/>
                <w:szCs w:val="28"/>
              </w:rPr>
            </w:pPr>
          </w:p>
          <w:p w14:paraId="1E9BBE81" w14:textId="77777777" w:rsidR="00646791" w:rsidRPr="009468A2" w:rsidRDefault="00646791" w:rsidP="000E564D">
            <w:pPr>
              <w:rPr>
                <w:color w:val="2E74B5" w:themeColor="accent1" w:themeShade="BF"/>
              </w:rPr>
            </w:pPr>
          </w:p>
          <w:p w14:paraId="57E82CD5" w14:textId="77777777" w:rsidR="00646791" w:rsidRPr="000E564D" w:rsidRDefault="00646791" w:rsidP="000E564D">
            <w:pPr>
              <w:rPr>
                <w:color w:val="2E74B5" w:themeColor="accent1" w:themeShade="BF"/>
                <w:sz w:val="20"/>
              </w:rPr>
            </w:pPr>
          </w:p>
          <w:p w14:paraId="010CDCA5" w14:textId="77777777" w:rsidR="00646791" w:rsidRPr="000E564D" w:rsidRDefault="00646791" w:rsidP="000E564D">
            <w:pPr>
              <w:rPr>
                <w:color w:val="2E74B5" w:themeColor="accent1" w:themeShade="BF"/>
                <w:sz w:val="20"/>
              </w:rPr>
            </w:pPr>
          </w:p>
          <w:p w14:paraId="657963AE" w14:textId="77777777" w:rsidR="00D619C4" w:rsidRPr="000E564D" w:rsidRDefault="00D619C4" w:rsidP="000E564D">
            <w:pPr>
              <w:jc w:val="center"/>
              <w:rPr>
                <w:color w:val="1F4E79" w:themeColor="accent1" w:themeShade="80"/>
                <w:sz w:val="36"/>
              </w:rPr>
            </w:pPr>
            <w:bookmarkStart w:id="18" w:name="_Toc509480678"/>
            <w:bookmarkStart w:id="19" w:name="_Toc509481380"/>
            <w:bookmarkStart w:id="20" w:name="_Toc509587034"/>
            <w:bookmarkStart w:id="21" w:name="_Toc509777242"/>
            <w:bookmarkStart w:id="22" w:name="_Toc509779139"/>
            <w:bookmarkStart w:id="23" w:name="_Toc509919495"/>
            <w:bookmarkStart w:id="24" w:name="_Toc509919666"/>
            <w:bookmarkStart w:id="25" w:name="_Toc509925029"/>
            <w:bookmarkStart w:id="26" w:name="_Toc510016028"/>
            <w:r w:rsidRPr="000E564D">
              <w:rPr>
                <w:color w:val="1F4E79" w:themeColor="accent1" w:themeShade="80"/>
                <w:sz w:val="36"/>
              </w:rPr>
              <w:t>Frequently Asked Questions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7CF1FDD3" w14:textId="77777777" w:rsidR="00646791" w:rsidRPr="000E564D" w:rsidRDefault="00646791" w:rsidP="000E564D">
            <w:pPr>
              <w:jc w:val="center"/>
              <w:rPr>
                <w:color w:val="1F4E79" w:themeColor="accent1" w:themeShade="80"/>
                <w:sz w:val="36"/>
              </w:rPr>
            </w:pPr>
          </w:p>
          <w:p w14:paraId="6AA3775E" w14:textId="77777777" w:rsidR="00646791" w:rsidRPr="000E564D" w:rsidRDefault="00646791" w:rsidP="000E564D">
            <w:pPr>
              <w:jc w:val="center"/>
              <w:rPr>
                <w:color w:val="1F4E79" w:themeColor="accent1" w:themeShade="80"/>
                <w:sz w:val="36"/>
              </w:rPr>
            </w:pPr>
          </w:p>
          <w:p w14:paraId="1C274AC2" w14:textId="612D0DF3" w:rsidR="00646791" w:rsidRPr="000E564D" w:rsidRDefault="00356AF3" w:rsidP="000E564D">
            <w:pPr>
              <w:jc w:val="center"/>
              <w:rPr>
                <w:color w:val="1F4E79" w:themeColor="accent1" w:themeShade="80"/>
                <w:sz w:val="36"/>
              </w:rPr>
            </w:pPr>
            <w:bookmarkStart w:id="27" w:name="_Toc509587035"/>
            <w:bookmarkStart w:id="28" w:name="_Toc509777243"/>
            <w:bookmarkStart w:id="29" w:name="_Toc509779140"/>
            <w:bookmarkStart w:id="30" w:name="_Toc509919496"/>
            <w:bookmarkStart w:id="31" w:name="_Toc509919667"/>
            <w:bookmarkStart w:id="32" w:name="_Toc509925030"/>
            <w:bookmarkStart w:id="33" w:name="_Toc510016029"/>
            <w:r>
              <w:rPr>
                <w:color w:val="1F4E79" w:themeColor="accent1" w:themeShade="80"/>
                <w:sz w:val="36"/>
              </w:rPr>
              <w:t>July</w:t>
            </w:r>
            <w:r w:rsidRPr="000E564D">
              <w:rPr>
                <w:color w:val="1F4E79" w:themeColor="accent1" w:themeShade="80"/>
                <w:sz w:val="36"/>
              </w:rPr>
              <w:t xml:space="preserve"> </w:t>
            </w:r>
            <w:r w:rsidR="00646791" w:rsidRPr="000E564D">
              <w:rPr>
                <w:color w:val="1F4E79" w:themeColor="accent1" w:themeShade="80"/>
                <w:sz w:val="36"/>
              </w:rPr>
              <w:t>2018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2A6BC6C0" w14:textId="77777777" w:rsidR="003A6C59" w:rsidRPr="009468A2" w:rsidRDefault="003A6C59" w:rsidP="00646791">
            <w:pPr>
              <w:pStyle w:val="Heading2"/>
              <w:jc w:val="center"/>
              <w:outlineLvl w:val="1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B4782A" w14:textId="77777777" w:rsidR="003A6C59" w:rsidRPr="009468A2" w:rsidRDefault="003A6C59" w:rsidP="00646791">
            <w:pPr>
              <w:pStyle w:val="Heading2"/>
              <w:jc w:val="center"/>
              <w:outlineLvl w:val="1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729084" w14:textId="77777777" w:rsidR="00D619C4" w:rsidRPr="009468A2" w:rsidRDefault="00D619C4" w:rsidP="00646791">
            <w:pPr>
              <w:pStyle w:val="Heading2"/>
              <w:jc w:val="center"/>
              <w:outlineLvl w:val="1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1EE6B3" w14:textId="77777777" w:rsidR="00D619C4" w:rsidRPr="009468A2" w:rsidRDefault="00D619C4" w:rsidP="00646791">
            <w:pPr>
              <w:pStyle w:val="Heading2"/>
              <w:jc w:val="center"/>
              <w:outlineLvl w:val="1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630C99" w14:textId="77777777" w:rsidR="003A6C59" w:rsidRPr="009468A2" w:rsidRDefault="003A6C59" w:rsidP="003142CB">
      <w:pPr>
        <w:rPr>
          <w:color w:val="2E74B5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19C4" w14:paraId="19D6D007" w14:textId="77777777" w:rsidTr="00D619C4">
        <w:tc>
          <w:tcPr>
            <w:tcW w:w="9016" w:type="dxa"/>
          </w:tcPr>
          <w:p w14:paraId="14E6EE4D" w14:textId="77777777" w:rsidR="00D619C4" w:rsidRDefault="00D619C4" w:rsidP="00D619C4">
            <w:r>
              <w:t>The purpose of this document is:</w:t>
            </w:r>
          </w:p>
          <w:p w14:paraId="7A50B398" w14:textId="0ADDC312" w:rsidR="00D619C4" w:rsidRDefault="00D619C4" w:rsidP="00D619C4">
            <w:proofErr w:type="gramStart"/>
            <w:r>
              <w:t>a</w:t>
            </w:r>
            <w:proofErr w:type="gramEnd"/>
            <w:r>
              <w:t>.</w:t>
            </w:r>
            <w:r>
              <w:tab/>
              <w:t xml:space="preserve">to inform applicants about the 2018 Regional </w:t>
            </w:r>
            <w:r w:rsidR="009F2F89">
              <w:t>Study Hub</w:t>
            </w:r>
            <w:r>
              <w:t xml:space="preserve">s </w:t>
            </w:r>
            <w:r w:rsidR="00B17599">
              <w:t>Program</w:t>
            </w:r>
            <w:r w:rsidR="00D94F38">
              <w:t xml:space="preserve"> </w:t>
            </w:r>
            <w:r>
              <w:t>Expression of Interest (EOI) process.</w:t>
            </w:r>
          </w:p>
          <w:p w14:paraId="0506D432" w14:textId="1B941809" w:rsidR="00D619C4" w:rsidRDefault="00D619C4" w:rsidP="00D619C4">
            <w:proofErr w:type="gramStart"/>
            <w:r>
              <w:t>b</w:t>
            </w:r>
            <w:proofErr w:type="gramEnd"/>
            <w:r>
              <w:t>.</w:t>
            </w:r>
            <w:r>
              <w:tab/>
              <w:t>to answer questions that</w:t>
            </w:r>
            <w:r w:rsidR="004631C0">
              <w:t xml:space="preserve"> have been </w:t>
            </w:r>
            <w:r>
              <w:t xml:space="preserve">frequently asked </w:t>
            </w:r>
            <w:r w:rsidR="00D94F38">
              <w:t xml:space="preserve">by </w:t>
            </w:r>
            <w:r>
              <w:t xml:space="preserve">the </w:t>
            </w:r>
            <w:r w:rsidR="00B17599">
              <w:t>stakeholder</w:t>
            </w:r>
            <w:r w:rsidR="00BB7D98">
              <w:t xml:space="preserve"> </w:t>
            </w:r>
            <w:r w:rsidR="00D94F38">
              <w:t>on</w:t>
            </w:r>
            <w:r w:rsidR="0096379E">
              <w:t xml:space="preserve"> the </w:t>
            </w:r>
            <w:r w:rsidR="00D94F38">
              <w:t>Application Guide</w:t>
            </w:r>
            <w:r w:rsidR="0096379E">
              <w:t xml:space="preserve"> </w:t>
            </w:r>
            <w:r w:rsidR="00B17599">
              <w:t xml:space="preserve">for the Regional </w:t>
            </w:r>
            <w:r w:rsidR="00935BA3">
              <w:t>Study Hubs</w:t>
            </w:r>
            <w:r w:rsidR="00B17599">
              <w:t xml:space="preserve"> Program</w:t>
            </w:r>
            <w:r w:rsidR="000A6AE1">
              <w:t>.</w:t>
            </w:r>
          </w:p>
          <w:p w14:paraId="72072CF2" w14:textId="77777777" w:rsidR="00D619C4" w:rsidRDefault="00D619C4" w:rsidP="00D619C4"/>
          <w:p w14:paraId="18543541" w14:textId="6A470257" w:rsidR="00D619C4" w:rsidRDefault="00D619C4" w:rsidP="00D619C4">
            <w:r w:rsidRPr="00D619C4">
              <w:rPr>
                <w:b/>
              </w:rPr>
              <w:t>Disclaimer:</w:t>
            </w:r>
            <w:r>
              <w:t xml:space="preserve"> This document </w:t>
            </w:r>
            <w:proofErr w:type="gramStart"/>
            <w:r>
              <w:t>should be read</w:t>
            </w:r>
            <w:proofErr w:type="gramEnd"/>
            <w:r>
              <w:t xml:space="preserve"> in conjunction with the </w:t>
            </w:r>
            <w:r w:rsidR="007F2A33" w:rsidRPr="009468A2">
              <w:rPr>
                <w:i/>
              </w:rPr>
              <w:t>Higher Education Support Act 2003</w:t>
            </w:r>
            <w:r w:rsidR="009468A2">
              <w:t xml:space="preserve"> and</w:t>
            </w:r>
            <w:r w:rsidR="00AC04CF">
              <w:t xml:space="preserve"> the department’s </w:t>
            </w:r>
            <w:r w:rsidR="008D3A22" w:rsidRPr="009468A2">
              <w:t xml:space="preserve">Regional </w:t>
            </w:r>
            <w:r w:rsidR="00935BA3">
              <w:t>Study Hubs</w:t>
            </w:r>
            <w:r w:rsidR="008D3A22" w:rsidRPr="009468A2">
              <w:t xml:space="preserve"> Application Guide published in </w:t>
            </w:r>
            <w:r w:rsidR="0096379E">
              <w:t>May</w:t>
            </w:r>
            <w:r w:rsidR="0096379E" w:rsidRPr="009468A2">
              <w:t xml:space="preserve"> </w:t>
            </w:r>
            <w:r w:rsidR="008D3A22" w:rsidRPr="009468A2">
              <w:t>201</w:t>
            </w:r>
            <w:r w:rsidR="008D3A22" w:rsidRPr="009468A2">
              <w:rPr>
                <w:color w:val="000000" w:themeColor="text1"/>
              </w:rPr>
              <w:t>8</w:t>
            </w:r>
            <w:r w:rsidRPr="009468A2">
              <w:t xml:space="preserve">. </w:t>
            </w:r>
            <w:r>
              <w:t xml:space="preserve">In the event of ambiguity, the aforementioned prevail over this document. </w:t>
            </w:r>
          </w:p>
          <w:p w14:paraId="718BC378" w14:textId="77777777" w:rsidR="00D619C4" w:rsidRDefault="00D619C4" w:rsidP="003142CB"/>
        </w:tc>
      </w:tr>
    </w:tbl>
    <w:p w14:paraId="60F752B7" w14:textId="77777777" w:rsidR="00926C21" w:rsidRDefault="00926C21">
      <w:pPr>
        <w:sectPr w:rsidR="00926C21" w:rsidSect="00F83DE7">
          <w:footerReference w:type="default" r:id="rId9"/>
          <w:pgSz w:w="11906" w:h="16838" w:code="9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  <w:bookmarkStart w:id="34" w:name="_Toc50948068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1432442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2D1CD6" w14:textId="77777777" w:rsidR="00926C21" w:rsidRDefault="00926C21">
          <w:pPr>
            <w:pStyle w:val="TOCHeading"/>
          </w:pPr>
          <w:r>
            <w:t>Table of Contents</w:t>
          </w:r>
        </w:p>
        <w:p w14:paraId="42B02219" w14:textId="537D1EB3" w:rsidR="00307892" w:rsidRDefault="00926C2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9840276" w:history="1">
            <w:r w:rsidR="00307892" w:rsidRPr="00326EF7">
              <w:rPr>
                <w:rStyle w:val="Hyperlink"/>
                <w:noProof/>
              </w:rPr>
              <w:t>1. Eligibility</w:t>
            </w:r>
            <w:r w:rsidR="00307892">
              <w:rPr>
                <w:noProof/>
                <w:webHidden/>
              </w:rPr>
              <w:tab/>
            </w:r>
            <w:r w:rsidR="00307892">
              <w:rPr>
                <w:noProof/>
                <w:webHidden/>
              </w:rPr>
              <w:fldChar w:fldCharType="begin"/>
            </w:r>
            <w:r w:rsidR="00307892">
              <w:rPr>
                <w:noProof/>
                <w:webHidden/>
              </w:rPr>
              <w:instrText xml:space="preserve"> PAGEREF _Toc519840276 \h </w:instrText>
            </w:r>
            <w:r w:rsidR="00307892">
              <w:rPr>
                <w:noProof/>
                <w:webHidden/>
              </w:rPr>
            </w:r>
            <w:r w:rsidR="00307892"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 w:rsidR="00307892">
              <w:rPr>
                <w:noProof/>
                <w:webHidden/>
              </w:rPr>
              <w:fldChar w:fldCharType="end"/>
            </w:r>
          </w:hyperlink>
        </w:p>
        <w:p w14:paraId="7A18EF06" w14:textId="5A30A85C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77" w:history="1">
            <w:r w:rsidRPr="00326EF7">
              <w:rPr>
                <w:rStyle w:val="Hyperlink"/>
                <w:noProof/>
              </w:rPr>
              <w:t>1.1: Are Table A and B universities and non-university higher education providers eligible under the Regional Study Hubs Program (the Program)?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6A022" w14:textId="7B910240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78" w:history="1">
            <w:r w:rsidRPr="00326EF7">
              <w:rPr>
                <w:rStyle w:val="Hyperlink"/>
                <w:noProof/>
              </w:rPr>
              <w:t>1.2: Is a trust eligible to apply for funding under the Regional Study Hubs Program?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A0202" w14:textId="5E1760A1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79" w:history="1">
            <w:r w:rsidRPr="00326EF7">
              <w:rPr>
                <w:rStyle w:val="Hyperlink"/>
                <w:noProof/>
              </w:rPr>
              <w:t>1.3: Can a partnership or consortia apply for funding under the Program?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BCF68" w14:textId="369C7D2A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0" w:history="1">
            <w:r w:rsidRPr="00326EF7">
              <w:rPr>
                <w:rStyle w:val="Hyperlink"/>
                <w:noProof/>
              </w:rPr>
              <w:t>1.4 If I am successful will I become eligible for Commonwealth Grant Scheme support?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0A9F6" w14:textId="718DEA93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1" w:history="1">
            <w:r w:rsidRPr="00326EF7">
              <w:rPr>
                <w:rStyle w:val="Hyperlink"/>
                <w:noProof/>
              </w:rPr>
              <w:t>1.5: Can pre-existing regional hubs apply?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532C3" w14:textId="2C9DC1EC" w:rsidR="00307892" w:rsidRDefault="003078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2" w:history="1">
            <w:r w:rsidRPr="00326EF7">
              <w:rPr>
                <w:rStyle w:val="Hyperlink"/>
                <w:noProof/>
              </w:rPr>
              <w:t>2. Preparing an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92800" w14:textId="228658F0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3" w:history="1">
            <w:r w:rsidRPr="00326EF7">
              <w:rPr>
                <w:rStyle w:val="Hyperlink"/>
                <w:noProof/>
              </w:rPr>
              <w:t>2.1: What is the difference between a traditional university campus and a Regional Study Hub?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05494" w14:textId="2AADC0F6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4" w:history="1">
            <w:r w:rsidRPr="00326EF7">
              <w:rPr>
                <w:rStyle w:val="Hyperlink"/>
                <w:noProof/>
              </w:rPr>
              <w:t>2.2: How is size, location or distance assessed?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97DAB" w14:textId="64B99219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5" w:history="1">
            <w:r w:rsidRPr="00326EF7">
              <w:rPr>
                <w:rStyle w:val="Hyperlink"/>
                <w:noProof/>
              </w:rPr>
              <w:t>2.3: Can the Department of Education and Training provide me with relevant higher education student data to assist me with my business case?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6E30A" w14:textId="6F8F1800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6" w:history="1">
            <w:r w:rsidRPr="00326EF7">
              <w:rPr>
                <w:rStyle w:val="Hyperlink"/>
                <w:noProof/>
              </w:rPr>
              <w:t>2.4: Can an application be made for multiple projects which together meet the eligibility criteria?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0A8E9" w14:textId="009A77BF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7" w:history="1">
            <w:r w:rsidRPr="00326EF7">
              <w:rPr>
                <w:rStyle w:val="Hyperlink"/>
                <w:noProof/>
              </w:rPr>
              <w:t>2.5: Can a project span multiple locations?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CC7EA" w14:textId="660C59A4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8" w:history="1">
            <w:r w:rsidRPr="00326EF7">
              <w:rPr>
                <w:rStyle w:val="Hyperlink"/>
                <w:noProof/>
              </w:rPr>
              <w:t>2.6: Are there restrictions on the disciplines, fields of study and course levels Hubs can support?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E2A9C" w14:textId="2B1F0AF9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89" w:history="1">
            <w:r w:rsidRPr="00326EF7">
              <w:rPr>
                <w:rStyle w:val="Hyperlink"/>
                <w:noProof/>
              </w:rPr>
              <w:t>2.7: Are there any course delivery requirements?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56AE8" w14:textId="2A87E5B3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0" w:history="1">
            <w:r w:rsidRPr="00326EF7">
              <w:rPr>
                <w:rStyle w:val="Hyperlink"/>
                <w:noProof/>
              </w:rPr>
              <w:t>2.8: What are the ongoing Program reporting requirements?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2FDA7" w14:textId="6D9BD992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1" w:history="1">
            <w:r w:rsidRPr="00326EF7">
              <w:rPr>
                <w:rStyle w:val="Hyperlink"/>
                <w:noProof/>
              </w:rPr>
              <w:t>2.9: What is in-kind support?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9D26C" w14:textId="288C67ED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2" w:history="1">
            <w:r w:rsidRPr="00326EF7">
              <w:rPr>
                <w:rStyle w:val="Hyperlink"/>
                <w:noProof/>
              </w:rPr>
              <w:t>2.10: How can I demonstrate financial and/or in-kind support from third parties?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A6282" w14:textId="7EB9294C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3" w:history="1">
            <w:r w:rsidRPr="00326EF7">
              <w:rPr>
                <w:rStyle w:val="Hyperlink"/>
                <w:noProof/>
              </w:rPr>
              <w:t>2.11: I am using my existing staff to prepare my business case. How should this contribution be identified in the application?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1F703" w14:textId="5D0C71F7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4" w:history="1">
            <w:r w:rsidRPr="00326EF7">
              <w:rPr>
                <w:rStyle w:val="Hyperlink"/>
                <w:noProof/>
              </w:rPr>
              <w:t>2.12: I have applied for or have received funding for my Hub from another government grant program. Can I still apply under the Program?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DE336" w14:textId="7025D5DF" w:rsidR="00307892" w:rsidRDefault="003078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5" w:history="1">
            <w:r w:rsidRPr="00326EF7">
              <w:rPr>
                <w:rStyle w:val="Hyperlink"/>
                <w:noProof/>
              </w:rPr>
              <w:t>3. Forms and submissions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28680" w14:textId="45870EA0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6" w:history="1">
            <w:r w:rsidRPr="00326EF7">
              <w:rPr>
                <w:rStyle w:val="Hyperlink"/>
                <w:noProof/>
              </w:rPr>
              <w:t>3.1 What must be included in my application?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ECE50" w14:textId="2FEADBE2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7" w:history="1">
            <w:r w:rsidRPr="00326EF7">
              <w:rPr>
                <w:rStyle w:val="Hyperlink"/>
                <w:noProof/>
              </w:rPr>
              <w:t>3.2: Who can I contact if I have questions about the application process or if I have technical problems?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DCFF7" w14:textId="5051B547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8" w:history="1">
            <w:r w:rsidRPr="00326EF7">
              <w:rPr>
                <w:rStyle w:val="Hyperlink"/>
                <w:noProof/>
              </w:rPr>
              <w:t>3.3: When is the closing date for submissions? What if I miss the deadline, can I submit an application later this year?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02F24" w14:textId="5CD5A097" w:rsidR="00307892" w:rsidRDefault="003078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299" w:history="1">
            <w:r w:rsidRPr="00326EF7">
              <w:rPr>
                <w:rStyle w:val="Hyperlink"/>
                <w:noProof/>
              </w:rPr>
              <w:t>4. 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D4E05" w14:textId="3A120185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0" w:history="1">
            <w:r w:rsidRPr="00326EF7">
              <w:rPr>
                <w:rStyle w:val="Hyperlink"/>
                <w:noProof/>
              </w:rPr>
              <w:t>4.1: What can Program funding be used for?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6FCC5" w14:textId="7620BA7A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1" w:history="1">
            <w:r w:rsidRPr="00326EF7">
              <w:rPr>
                <w:rStyle w:val="Hyperlink"/>
                <w:noProof/>
              </w:rPr>
              <w:t>4.2: What funding can pre-existing study hubs receive?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BDB11" w14:textId="45C28000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2" w:history="1">
            <w:r w:rsidRPr="00326EF7">
              <w:rPr>
                <w:rStyle w:val="Hyperlink"/>
                <w:noProof/>
              </w:rPr>
              <w:t>4.3 Is there a minimum and/or maximum amount of funding available to applicants for the Regional Study Hubs?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022A6" w14:textId="3580BC10" w:rsidR="00307892" w:rsidRDefault="00307892">
          <w:pPr>
            <w:pStyle w:val="TOC2"/>
            <w:tabs>
              <w:tab w:val="right" w:leader="dot" w:pos="9016"/>
            </w:tabs>
            <w:rPr>
              <w:rStyle w:val="Hyperlink"/>
              <w:noProof/>
            </w:rPr>
          </w:pPr>
          <w:hyperlink w:anchor="_Toc519840303" w:history="1">
            <w:r w:rsidRPr="00326EF7">
              <w:rPr>
                <w:rStyle w:val="Hyperlink"/>
                <w:noProof/>
              </w:rPr>
              <w:t>4.4: Are Program funding and payments based on a calendar year or financial year?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CBBB1" w14:textId="77777777" w:rsidR="00307892" w:rsidRDefault="00307892">
          <w:pPr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14:paraId="4618C931" w14:textId="77777777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</w:p>
        <w:p w14:paraId="778DFD5D" w14:textId="025F8910" w:rsidR="00307892" w:rsidRDefault="003078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4" w:history="1">
            <w:r w:rsidRPr="00326EF7">
              <w:rPr>
                <w:rStyle w:val="Hyperlink"/>
                <w:noProof/>
              </w:rPr>
              <w:t>5. Assessment and 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DC86E" w14:textId="47BF8216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5" w:history="1">
            <w:r w:rsidRPr="00326EF7">
              <w:rPr>
                <w:rStyle w:val="Hyperlink"/>
                <w:noProof/>
              </w:rPr>
              <w:t>5.1: Are different weightings applied to the assessment criteria?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EF050" w14:textId="0AC58CBA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6" w:history="1">
            <w:r w:rsidRPr="00326EF7">
              <w:rPr>
                <w:rStyle w:val="Hyperlink"/>
                <w:noProof/>
              </w:rPr>
              <w:t>5.2: What is the assessment process?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60A6D" w14:textId="430BCEE4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7" w:history="1">
            <w:r w:rsidRPr="00326EF7">
              <w:rPr>
                <w:rStyle w:val="Hyperlink"/>
                <w:noProof/>
              </w:rPr>
              <w:t>5.3: What is the department’s role in the assessment?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AB782" w14:textId="010B7C5E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8" w:history="1">
            <w:r w:rsidRPr="00326EF7">
              <w:rPr>
                <w:rStyle w:val="Hyperlink"/>
                <w:noProof/>
              </w:rPr>
              <w:t>5.4: Will the department contact me with questions relating to my application?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EF41C" w14:textId="4090926A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09" w:history="1">
            <w:r w:rsidRPr="00326EF7">
              <w:rPr>
                <w:rStyle w:val="Hyperlink"/>
                <w:noProof/>
              </w:rPr>
              <w:t>5.5: Who determines which projects are successful?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78FA5" w14:textId="15E58D47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10" w:history="1">
            <w:r w:rsidRPr="00326EF7">
              <w:rPr>
                <w:rStyle w:val="Hyperlink"/>
                <w:noProof/>
              </w:rPr>
              <w:t>5.6: When will I be advised about the outcome of my application?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E6CA1" w14:textId="49BBD71D" w:rsidR="00307892" w:rsidRDefault="003078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11" w:history="1">
            <w:r w:rsidRPr="00326EF7">
              <w:rPr>
                <w:rStyle w:val="Hyperlink"/>
                <w:noProof/>
              </w:rPr>
              <w:t>5.7: Will I get feedback if my application is unsuccessful?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A4578" w14:textId="795369AA" w:rsidR="00307892" w:rsidRDefault="003078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519840312" w:history="1">
            <w:r w:rsidRPr="00326EF7">
              <w:rPr>
                <w:rStyle w:val="Hyperlink"/>
                <w:noProof/>
              </w:rPr>
              <w:t>6. Useful contacts and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_Toc519840312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7B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4C43F" w14:textId="20FDC660" w:rsidR="00926C21" w:rsidRDefault="00926C21">
          <w:r>
            <w:rPr>
              <w:b/>
              <w:bCs/>
              <w:noProof/>
            </w:rPr>
            <w:fldChar w:fldCharType="end"/>
          </w:r>
        </w:p>
      </w:sdtContent>
    </w:sdt>
    <w:p w14:paraId="38C45789" w14:textId="77777777" w:rsidR="00776EEB" w:rsidRDefault="00776EEB" w:rsidP="00926C21">
      <w:pPr>
        <w:sectPr w:rsidR="00776EEB" w:rsidSect="00646791">
          <w:footerReference w:type="default" r:id="rId10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  <w:bookmarkStart w:id="35" w:name="_GoBack"/>
      <w:bookmarkEnd w:id="35"/>
    </w:p>
    <w:p w14:paraId="3A78BCFE" w14:textId="77777777" w:rsidR="00D343F4" w:rsidRPr="005F39F8" w:rsidRDefault="00926C21" w:rsidP="003A6C59">
      <w:pPr>
        <w:pStyle w:val="Heading1"/>
      </w:pPr>
      <w:bookmarkStart w:id="36" w:name="_Toc519840276"/>
      <w:r>
        <w:t>1.</w:t>
      </w:r>
      <w:r w:rsidR="005F39F8">
        <w:t xml:space="preserve"> </w:t>
      </w:r>
      <w:r w:rsidR="00D343F4" w:rsidRPr="005F39F8">
        <w:t>Eligibility</w:t>
      </w:r>
      <w:bookmarkEnd w:id="34"/>
      <w:bookmarkEnd w:id="36"/>
    </w:p>
    <w:p w14:paraId="44F7403A" w14:textId="6DB37EA7" w:rsidR="00D343F4" w:rsidRDefault="008377F0" w:rsidP="00C70A69">
      <w:pPr>
        <w:pStyle w:val="Heading2"/>
      </w:pPr>
      <w:bookmarkStart w:id="37" w:name="_Toc509480681"/>
      <w:bookmarkStart w:id="38" w:name="_Toc519840277"/>
      <w:proofErr w:type="gramStart"/>
      <w:r>
        <w:t>1.1</w:t>
      </w:r>
      <w:proofErr w:type="gramEnd"/>
      <w:r>
        <w:t xml:space="preserve">: </w:t>
      </w:r>
      <w:bookmarkEnd w:id="37"/>
      <w:r w:rsidR="003C63A0">
        <w:t>Are</w:t>
      </w:r>
      <w:r w:rsidR="00CF6BFE">
        <w:t xml:space="preserve"> Ta</w:t>
      </w:r>
      <w:r w:rsidR="003C63A0">
        <w:t>ble A and B universities and non-university higher education providers eligible under the Regional Study Hubs Program (the Program)?</w:t>
      </w:r>
      <w:bookmarkEnd w:id="38"/>
    </w:p>
    <w:p w14:paraId="3A4F7ECB" w14:textId="6EA74C4A" w:rsidR="00F937E3" w:rsidRDefault="00991074" w:rsidP="00CE0BFE">
      <w:pPr>
        <w:pStyle w:val="ListParagraph"/>
        <w:numPr>
          <w:ilvl w:val="0"/>
          <w:numId w:val="27"/>
        </w:numPr>
      </w:pPr>
      <w:r>
        <w:t>H</w:t>
      </w:r>
      <w:r w:rsidR="000255AE">
        <w:t>igher education</w:t>
      </w:r>
      <w:r w:rsidR="006E790E">
        <w:t xml:space="preserve"> providers</w:t>
      </w:r>
      <w:r w:rsidR="00CF6BFE">
        <w:t xml:space="preserve"> (registered with Tertiary Education Quality and Standards Agency)</w:t>
      </w:r>
      <w:r w:rsidR="00356AF3">
        <w:t xml:space="preserve"> and Table A and B universities</w:t>
      </w:r>
      <w:r w:rsidR="00F937E3">
        <w:t xml:space="preserve"> </w:t>
      </w:r>
      <w:r>
        <w:t xml:space="preserve">may </w:t>
      </w:r>
      <w:proofErr w:type="gramStart"/>
      <w:r w:rsidR="00F937E3">
        <w:t>partner</w:t>
      </w:r>
      <w:proofErr w:type="gramEnd"/>
      <w:r w:rsidR="00F937E3">
        <w:t xml:space="preserve"> with community-owned body corporate </w:t>
      </w:r>
      <w:r>
        <w:t xml:space="preserve">entities </w:t>
      </w:r>
      <w:r w:rsidR="000255AE">
        <w:t>that</w:t>
      </w:r>
      <w:r w:rsidR="00F937E3">
        <w:t xml:space="preserve"> meet </w:t>
      </w:r>
      <w:r w:rsidR="00CF6BFE">
        <w:t>the</w:t>
      </w:r>
      <w:r>
        <w:t xml:space="preserve"> eligibility and</w:t>
      </w:r>
      <w:r w:rsidR="00CF6BFE">
        <w:t xml:space="preserve"> assessment criteria </w:t>
      </w:r>
      <w:r w:rsidR="00976378">
        <w:t xml:space="preserve">(see </w:t>
      </w:r>
      <w:r w:rsidR="004C22A6">
        <w:t>Application</w:t>
      </w:r>
      <w:r w:rsidR="00976378">
        <w:t xml:space="preserve"> Guide at 5. Assessment Criteria)</w:t>
      </w:r>
      <w:r w:rsidR="000255AE">
        <w:t xml:space="preserve"> to apply for funding.</w:t>
      </w:r>
    </w:p>
    <w:p w14:paraId="3F335565" w14:textId="4AB0E99D" w:rsidR="00CF6BFE" w:rsidRDefault="00CF6BFE" w:rsidP="00D13C7A">
      <w:pPr>
        <w:pStyle w:val="ListParagraph"/>
        <w:numPr>
          <w:ilvl w:val="0"/>
          <w:numId w:val="27"/>
        </w:numPr>
        <w:spacing w:after="200"/>
        <w:ind w:left="357" w:hanging="357"/>
        <w:contextualSpacing w:val="0"/>
      </w:pPr>
      <w:r>
        <w:t xml:space="preserve">The level of collaboration with one or </w:t>
      </w:r>
      <w:r w:rsidR="000255AE">
        <w:t xml:space="preserve">more higher education </w:t>
      </w:r>
      <w:r>
        <w:t xml:space="preserve">providers may be relevant in </w:t>
      </w:r>
      <w:r w:rsidR="000255AE">
        <w:t>awarding</w:t>
      </w:r>
      <w:r>
        <w:t xml:space="preserve"> funding.</w:t>
      </w:r>
    </w:p>
    <w:p w14:paraId="055EAEA1" w14:textId="29C8AFDF" w:rsidR="003C63A0" w:rsidRPr="00C70A69" w:rsidRDefault="003C63A0" w:rsidP="003C63A0">
      <w:pPr>
        <w:pStyle w:val="Heading2"/>
      </w:pPr>
      <w:bookmarkStart w:id="39" w:name="_Toc509480683"/>
      <w:bookmarkStart w:id="40" w:name="_Toc519840278"/>
      <w:proofErr w:type="gramStart"/>
      <w:r w:rsidRPr="00161570">
        <w:t>1.</w:t>
      </w:r>
      <w:bookmarkEnd w:id="39"/>
      <w:r>
        <w:t>2</w:t>
      </w:r>
      <w:proofErr w:type="gramEnd"/>
      <w:r>
        <w:t xml:space="preserve">: </w:t>
      </w:r>
      <w:r w:rsidRPr="00C70A69">
        <w:t>Is a trust eligible to apply for funding under the Regional Study Hubs Program?</w:t>
      </w:r>
      <w:bookmarkEnd w:id="40"/>
    </w:p>
    <w:p w14:paraId="09D5271F" w14:textId="7B250C42" w:rsidR="000255AE" w:rsidRDefault="003C63A0" w:rsidP="00D13C7A">
      <w:pPr>
        <w:pStyle w:val="ListParagraph"/>
        <w:numPr>
          <w:ilvl w:val="0"/>
          <w:numId w:val="27"/>
        </w:numPr>
      </w:pPr>
      <w:r>
        <w:t xml:space="preserve">Only </w:t>
      </w:r>
      <w:r w:rsidR="00221A9D">
        <w:t xml:space="preserve">a </w:t>
      </w:r>
      <w:r>
        <w:t xml:space="preserve">body corporate is eligible to apply for funding. </w:t>
      </w:r>
    </w:p>
    <w:p w14:paraId="1C5E0D6A" w14:textId="575446C5" w:rsidR="003C63A0" w:rsidRDefault="003C63A0" w:rsidP="00D13C7A">
      <w:pPr>
        <w:pStyle w:val="ListParagraph"/>
        <w:numPr>
          <w:ilvl w:val="0"/>
          <w:numId w:val="27"/>
        </w:numPr>
      </w:pPr>
      <w:r>
        <w:t xml:space="preserve">If the trustee of a trust is a body corporate, </w:t>
      </w:r>
      <w:r w:rsidR="000255AE">
        <w:t>that</w:t>
      </w:r>
      <w:r>
        <w:t xml:space="preserve"> trustee body corporate may apply for funding. An individual who is the trustee of a trust is not eligible to apply.</w:t>
      </w:r>
    </w:p>
    <w:p w14:paraId="1D89F749" w14:textId="77ACFE77" w:rsidR="006361E9" w:rsidRDefault="006361E9" w:rsidP="006361E9">
      <w:pPr>
        <w:pStyle w:val="Heading2"/>
      </w:pPr>
      <w:bookmarkStart w:id="41" w:name="_Toc519840279"/>
      <w:proofErr w:type="gramStart"/>
      <w:r>
        <w:t>1.3</w:t>
      </w:r>
      <w:proofErr w:type="gramEnd"/>
      <w:r>
        <w:t>: Can a partnership or consortia apply for funding under the Program?</w:t>
      </w:r>
      <w:bookmarkEnd w:id="41"/>
    </w:p>
    <w:p w14:paraId="3B54D6E5" w14:textId="5A736CDD" w:rsidR="006361E9" w:rsidRDefault="006361E9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The applicant must be </w:t>
      </w:r>
      <w:r w:rsidR="000255AE">
        <w:t xml:space="preserve">a </w:t>
      </w:r>
      <w:r>
        <w:t>body corporate (see Application Guide 2.1</w:t>
      </w:r>
      <w:r w:rsidR="00976378">
        <w:t xml:space="preserve"> Body corporate requirement</w:t>
      </w:r>
      <w:r>
        <w:t>) and must be community owned (see Application Guide 2.2</w:t>
      </w:r>
      <w:r w:rsidR="00976378">
        <w:t xml:space="preserve"> Community-owned requirement</w:t>
      </w:r>
      <w:r>
        <w:t xml:space="preserve">). The nature and structure of the body corporate </w:t>
      </w:r>
      <w:r w:rsidR="000255AE">
        <w:t xml:space="preserve">entity </w:t>
      </w:r>
      <w:proofErr w:type="gramStart"/>
      <w:r>
        <w:t>is not prescribed</w:t>
      </w:r>
      <w:proofErr w:type="gramEnd"/>
      <w:r>
        <w:t>.</w:t>
      </w:r>
    </w:p>
    <w:p w14:paraId="37940023" w14:textId="578920DC" w:rsidR="00991074" w:rsidRDefault="00991074" w:rsidP="00991074">
      <w:pPr>
        <w:pStyle w:val="Heading2"/>
      </w:pPr>
      <w:bookmarkStart w:id="42" w:name="_Toc519840280"/>
      <w:proofErr w:type="gramStart"/>
      <w:r>
        <w:t>1.</w:t>
      </w:r>
      <w:r w:rsidR="000F25A5">
        <w:t>4</w:t>
      </w:r>
      <w:r>
        <w:t xml:space="preserve"> If I am successful</w:t>
      </w:r>
      <w:proofErr w:type="gramEnd"/>
      <w:r>
        <w:t xml:space="preserve"> will I become eligible for Commonwealth Grant Scheme support?</w:t>
      </w:r>
      <w:bookmarkEnd w:id="42"/>
    </w:p>
    <w:p w14:paraId="7A7DEA5F" w14:textId="26F7EBE1" w:rsidR="00D41593" w:rsidRDefault="00991074" w:rsidP="00D41593">
      <w:pPr>
        <w:pStyle w:val="ListParagraph"/>
        <w:numPr>
          <w:ilvl w:val="0"/>
          <w:numId w:val="27"/>
        </w:numPr>
        <w:spacing w:after="200"/>
        <w:contextualSpacing w:val="0"/>
      </w:pPr>
      <w:r>
        <w:t xml:space="preserve">Receipt of funding under the Program will not change </w:t>
      </w:r>
      <w:r w:rsidR="00976378">
        <w:t>a</w:t>
      </w:r>
      <w:r>
        <w:t xml:space="preserve"> higher education provider</w:t>
      </w:r>
      <w:r w:rsidR="00976378">
        <w:t>’</w:t>
      </w:r>
      <w:r>
        <w:t xml:space="preserve">s </w:t>
      </w:r>
      <w:r w:rsidR="00976378">
        <w:t xml:space="preserve">eligibility </w:t>
      </w:r>
      <w:r>
        <w:t>for Commonwealth Grant Scheme support under H</w:t>
      </w:r>
      <w:r w:rsidR="00190D8A">
        <w:t xml:space="preserve">igher </w:t>
      </w:r>
      <w:r>
        <w:t>E</w:t>
      </w:r>
      <w:r w:rsidR="00190D8A">
        <w:t xml:space="preserve">ducation </w:t>
      </w:r>
      <w:r>
        <w:t>S</w:t>
      </w:r>
      <w:r w:rsidR="00190D8A">
        <w:t xml:space="preserve">upport </w:t>
      </w:r>
      <w:r>
        <w:t>A</w:t>
      </w:r>
      <w:r w:rsidR="00190D8A">
        <w:t>ct 2003</w:t>
      </w:r>
      <w:r w:rsidRPr="00AE5B7A">
        <w:t xml:space="preserve">. </w:t>
      </w:r>
    </w:p>
    <w:p w14:paraId="71E47035" w14:textId="552824E8" w:rsidR="00991074" w:rsidRDefault="00991074" w:rsidP="00991074">
      <w:pPr>
        <w:pStyle w:val="Heading2"/>
      </w:pPr>
      <w:bookmarkStart w:id="43" w:name="_Toc519840281"/>
      <w:proofErr w:type="gramStart"/>
      <w:r>
        <w:t>1.</w:t>
      </w:r>
      <w:r w:rsidR="000F25A5">
        <w:t>5</w:t>
      </w:r>
      <w:proofErr w:type="gramEnd"/>
      <w:r>
        <w:t>: Can pre-existing regional hubs apply?</w:t>
      </w:r>
      <w:bookmarkEnd w:id="43"/>
    </w:p>
    <w:p w14:paraId="63B19E75" w14:textId="51F3DFF8" w:rsidR="00991074" w:rsidRDefault="00991074" w:rsidP="00991074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Pre-existing regional hubs can apply for funding under the Program. Like new applicants, </w:t>
      </w:r>
      <w:proofErr w:type="spellStart"/>
      <w:r>
        <w:t>pre-</w:t>
      </w:r>
      <w:r w:rsidR="00190D8A">
        <w:t> </w:t>
      </w:r>
      <w:r>
        <w:t>existing</w:t>
      </w:r>
      <w:proofErr w:type="spellEnd"/>
      <w:r>
        <w:t xml:space="preserve"> study hubs must meet the eligibility and assessment criteria and submit a business case demonstrating the need for funding and value for money</w:t>
      </w:r>
      <w:r w:rsidR="00976378">
        <w:t xml:space="preserve"> (see Application Guide at 4.5 Business Case)</w:t>
      </w:r>
      <w:r>
        <w:t>.</w:t>
      </w:r>
    </w:p>
    <w:p w14:paraId="1326FCC2" w14:textId="375FAEE1" w:rsidR="003C63A0" w:rsidRDefault="003C63A0" w:rsidP="003C63A0">
      <w:pPr>
        <w:pStyle w:val="Heading1"/>
      </w:pPr>
      <w:bookmarkStart w:id="44" w:name="_Toc519840282"/>
      <w:r>
        <w:t>2</w:t>
      </w:r>
      <w:r w:rsidR="00976378">
        <w:t>.</w:t>
      </w:r>
      <w:r>
        <w:t xml:space="preserve"> </w:t>
      </w:r>
      <w:r w:rsidR="00787D9C">
        <w:t>Preparing an application</w:t>
      </w:r>
      <w:bookmarkEnd w:id="44"/>
    </w:p>
    <w:p w14:paraId="2679A076" w14:textId="72EDCEAD" w:rsidR="00921077" w:rsidRDefault="000F25A5" w:rsidP="00D50558">
      <w:pPr>
        <w:pStyle w:val="Heading2"/>
      </w:pPr>
      <w:bookmarkStart w:id="45" w:name="_Toc509480682"/>
      <w:bookmarkStart w:id="46" w:name="_Toc519840283"/>
      <w:proofErr w:type="gramStart"/>
      <w:r>
        <w:t>2.</w:t>
      </w:r>
      <w:r w:rsidR="008377F0" w:rsidRPr="00161570">
        <w:t>1</w:t>
      </w:r>
      <w:proofErr w:type="gramEnd"/>
      <w:r w:rsidR="008377F0" w:rsidRPr="00161570">
        <w:t xml:space="preserve">: </w:t>
      </w:r>
      <w:bookmarkStart w:id="47" w:name="_Toc509480684"/>
      <w:bookmarkEnd w:id="45"/>
      <w:r w:rsidR="00921077">
        <w:t xml:space="preserve">What is the difference between a </w:t>
      </w:r>
      <w:r w:rsidR="007F21A0">
        <w:t xml:space="preserve">traditional </w:t>
      </w:r>
      <w:r w:rsidR="0027099C">
        <w:t xml:space="preserve">university </w:t>
      </w:r>
      <w:r w:rsidR="007F21A0">
        <w:t xml:space="preserve">campus </w:t>
      </w:r>
      <w:r w:rsidR="0027099C">
        <w:t xml:space="preserve">and </w:t>
      </w:r>
      <w:r w:rsidR="00D17E9B">
        <w:t xml:space="preserve">a </w:t>
      </w:r>
      <w:r w:rsidR="00921077">
        <w:t xml:space="preserve">Regional </w:t>
      </w:r>
      <w:r w:rsidR="00935BA3">
        <w:t>Study Hub</w:t>
      </w:r>
      <w:r w:rsidR="00921077">
        <w:t>?</w:t>
      </w:r>
      <w:bookmarkEnd w:id="47"/>
      <w:bookmarkEnd w:id="46"/>
    </w:p>
    <w:p w14:paraId="230DA363" w14:textId="77777777" w:rsidR="0027099C" w:rsidRPr="0027099C" w:rsidRDefault="009C07E5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>T</w:t>
      </w:r>
      <w:r w:rsidR="0027099C" w:rsidRPr="0027099C">
        <w:t xml:space="preserve">he term ‘traditional university campus’ </w:t>
      </w:r>
      <w:r>
        <w:t xml:space="preserve">typically </w:t>
      </w:r>
      <w:r w:rsidR="0027099C" w:rsidRPr="0027099C">
        <w:t>indicate</w:t>
      </w:r>
      <w:r w:rsidR="00356F05">
        <w:t>s</w:t>
      </w:r>
      <w:r w:rsidR="0027099C" w:rsidRPr="0027099C">
        <w:t xml:space="preserve"> co-located physical facilities (as appropriate to the location, disciplines / degrees taught and the students enrolled): teaching facilities, including laboratories, studios, lecture theatres, and tutorial rooms; research facilities; library; student study and work spaces; leisure spaces; staff offices; and student accommodation. It also connotes that a full range of services is delivered at that co-location: lectures; tutorials; academic and student support services (including academic advisement)</w:t>
      </w:r>
      <w:proofErr w:type="gramStart"/>
      <w:r w:rsidR="0027099C" w:rsidRPr="0027099C">
        <w:t>;</w:t>
      </w:r>
      <w:proofErr w:type="gramEnd"/>
      <w:r w:rsidR="0027099C" w:rsidRPr="0027099C">
        <w:t xml:space="preserve"> and administrative services.</w:t>
      </w:r>
    </w:p>
    <w:p w14:paraId="439F45C0" w14:textId="7A1AE99B" w:rsidR="009C07E5" w:rsidRDefault="00BF24CC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The Program will provide infrastructure support such as study spaces, video conferencing, computing facilities and internet access, as well as pastoral and academic support for students. </w:t>
      </w:r>
      <w:r w:rsidR="009C07E5" w:rsidRPr="009C07E5">
        <w:t xml:space="preserve">The </w:t>
      </w:r>
      <w:r w:rsidR="00B17599">
        <w:t>Program</w:t>
      </w:r>
      <w:r w:rsidR="009C07E5" w:rsidRPr="009C07E5">
        <w:t xml:space="preserve"> funding </w:t>
      </w:r>
      <w:proofErr w:type="gramStart"/>
      <w:r w:rsidR="009C07E5" w:rsidRPr="009C07E5">
        <w:t>is</w:t>
      </w:r>
      <w:r w:rsidR="009C07E5">
        <w:t xml:space="preserve"> not intended</w:t>
      </w:r>
      <w:proofErr w:type="gramEnd"/>
      <w:r w:rsidR="009C07E5">
        <w:t xml:space="preserve"> to replicate the existing </w:t>
      </w:r>
      <w:r w:rsidR="00B333B4">
        <w:t xml:space="preserve">traditional university campus </w:t>
      </w:r>
      <w:r w:rsidR="009C07E5">
        <w:t xml:space="preserve">model, but to improve access to higher education for regional students by providing flexibility to them if they choose to study locally for part or </w:t>
      </w:r>
      <w:r w:rsidR="004D2A63">
        <w:t xml:space="preserve">all </w:t>
      </w:r>
      <w:r w:rsidR="009C07E5">
        <w:t xml:space="preserve">of their degree via distance education. </w:t>
      </w:r>
    </w:p>
    <w:p w14:paraId="648F8236" w14:textId="19243D1E" w:rsidR="00DA73F9" w:rsidRPr="00780403" w:rsidRDefault="000F25A5" w:rsidP="00C70A69">
      <w:pPr>
        <w:pStyle w:val="Heading2"/>
      </w:pPr>
      <w:bookmarkStart w:id="48" w:name="_Toc519840284"/>
      <w:proofErr w:type="gramStart"/>
      <w:r>
        <w:t>2.</w:t>
      </w:r>
      <w:r w:rsidR="00F403B3">
        <w:t>2</w:t>
      </w:r>
      <w:proofErr w:type="gramEnd"/>
      <w:r w:rsidR="00164A96">
        <w:t>:</w:t>
      </w:r>
      <w:r w:rsidR="00780403">
        <w:t xml:space="preserve"> </w:t>
      </w:r>
      <w:r w:rsidR="00DA73F9" w:rsidRPr="00780403">
        <w:t xml:space="preserve">How is </w:t>
      </w:r>
      <w:r w:rsidR="00780403">
        <w:t xml:space="preserve">size, </w:t>
      </w:r>
      <w:r w:rsidR="00DA73F9" w:rsidRPr="00780403">
        <w:t xml:space="preserve">location </w:t>
      </w:r>
      <w:r w:rsidR="0057620B" w:rsidRPr="00780403">
        <w:t xml:space="preserve">or distance </w:t>
      </w:r>
      <w:r w:rsidR="00DA73F9" w:rsidRPr="00780403">
        <w:t>assessed?</w:t>
      </w:r>
      <w:bookmarkEnd w:id="48"/>
    </w:p>
    <w:p w14:paraId="708346F4" w14:textId="6B898B59" w:rsidR="001C7177" w:rsidRDefault="00F57B04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The Government </w:t>
      </w:r>
      <w:r w:rsidR="0057620B">
        <w:t>ha</w:t>
      </w:r>
      <w:r>
        <w:t>s</w:t>
      </w:r>
      <w:r w:rsidR="0057620B">
        <w:t xml:space="preserve"> not specified any size constraints or locations of communities</w:t>
      </w:r>
      <w:r w:rsidR="00976378">
        <w:t xml:space="preserve"> except that Hubs must be located in regional or remote locations (see </w:t>
      </w:r>
      <w:r w:rsidR="00221A9D" w:rsidRPr="00102FA2">
        <w:t xml:space="preserve">Application Guide at </w:t>
      </w:r>
      <w:r w:rsidR="00C90305">
        <w:t xml:space="preserve">1.1 What will a regional study hub do  and </w:t>
      </w:r>
      <w:r w:rsidR="00221A9D" w:rsidRPr="00102FA2">
        <w:t>4.5 Business Case and 5 Assessment Criteria</w:t>
      </w:r>
      <w:r w:rsidR="00976378">
        <w:t>)</w:t>
      </w:r>
      <w:r w:rsidR="0057620B" w:rsidRPr="00D13C7A">
        <w:t>.</w:t>
      </w:r>
      <w:r w:rsidR="0057620B">
        <w:t xml:space="preserve"> </w:t>
      </w:r>
    </w:p>
    <w:p w14:paraId="254EC06A" w14:textId="5482AA34" w:rsidR="00787D9C" w:rsidRDefault="000F25A5" w:rsidP="00C70A69">
      <w:pPr>
        <w:pStyle w:val="Heading2"/>
      </w:pPr>
      <w:bookmarkStart w:id="49" w:name="_Toc509480686"/>
      <w:bookmarkStart w:id="50" w:name="_Toc519840285"/>
      <w:proofErr w:type="gramStart"/>
      <w:r>
        <w:t>2.</w:t>
      </w:r>
      <w:r w:rsidR="00F403B3">
        <w:t>3</w:t>
      </w:r>
      <w:proofErr w:type="gramEnd"/>
      <w:r>
        <w:t xml:space="preserve">: </w:t>
      </w:r>
      <w:r w:rsidR="00787D9C">
        <w:t>Can the Department of Education and Training provide me with relevant higher education student data to assist me with my business case?</w:t>
      </w:r>
      <w:bookmarkEnd w:id="50"/>
    </w:p>
    <w:p w14:paraId="56B937BB" w14:textId="50135A56" w:rsidR="00787D9C" w:rsidRDefault="00787D9C" w:rsidP="00D13C7A">
      <w:pPr>
        <w:pStyle w:val="ListParagraph"/>
        <w:numPr>
          <w:ilvl w:val="0"/>
          <w:numId w:val="8"/>
        </w:numPr>
        <w:spacing w:after="0"/>
        <w:contextualSpacing w:val="0"/>
      </w:pPr>
      <w:r>
        <w:t>Yes. T</w:t>
      </w:r>
      <w:r w:rsidRPr="00787D9C">
        <w:t xml:space="preserve">he Department of Education and Training can </w:t>
      </w:r>
      <w:r w:rsidR="00976378">
        <w:t>supply you with</w:t>
      </w:r>
      <w:r w:rsidRPr="00787D9C">
        <w:t xml:space="preserve"> </w:t>
      </w:r>
      <w:r w:rsidR="00976378">
        <w:t>higher education student data</w:t>
      </w:r>
      <w:r w:rsidRPr="00787D9C">
        <w:t xml:space="preserve"> in relevant postcodes upon request. </w:t>
      </w:r>
    </w:p>
    <w:p w14:paraId="78E24559" w14:textId="70DEBD2C" w:rsidR="00787D9C" w:rsidRPr="00F52D7D" w:rsidRDefault="00787D9C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 w:rsidRPr="00787D9C">
        <w:t xml:space="preserve">Please email </w:t>
      </w:r>
      <w:hyperlink r:id="rId11" w:history="1">
        <w:r w:rsidRPr="006A5D84">
          <w:rPr>
            <w:rStyle w:val="Hyperlink"/>
          </w:rPr>
          <w:t>equity@education.gov.au</w:t>
        </w:r>
      </w:hyperlink>
      <w:r>
        <w:t xml:space="preserve"> </w:t>
      </w:r>
      <w:r w:rsidRPr="00787D9C">
        <w:t xml:space="preserve">in the first instance to clarify what data you need to help with your </w:t>
      </w:r>
      <w:r>
        <w:t>business case</w:t>
      </w:r>
      <w:r w:rsidRPr="00787D9C">
        <w:t>.</w:t>
      </w:r>
    </w:p>
    <w:p w14:paraId="7745E9B6" w14:textId="33C85F3D" w:rsidR="00931540" w:rsidRDefault="000F25A5" w:rsidP="00C70A69">
      <w:pPr>
        <w:pStyle w:val="Heading2"/>
      </w:pPr>
      <w:bookmarkStart w:id="51" w:name="_Toc519840286"/>
      <w:r>
        <w:t>2.</w:t>
      </w:r>
      <w:r w:rsidR="00F403B3">
        <w:t>4</w:t>
      </w:r>
      <w:r w:rsidR="00164A96">
        <w:t>:</w:t>
      </w:r>
      <w:r w:rsidR="008377F0">
        <w:t xml:space="preserve"> </w:t>
      </w:r>
      <w:r w:rsidR="00931540">
        <w:t xml:space="preserve">Can an application be made for multiple </w:t>
      </w:r>
      <w:proofErr w:type="gramStart"/>
      <w:r w:rsidR="00931540">
        <w:t>projects which</w:t>
      </w:r>
      <w:proofErr w:type="gramEnd"/>
      <w:r w:rsidR="00931540">
        <w:t xml:space="preserve"> together meet the </w:t>
      </w:r>
      <w:r w:rsidR="00780403">
        <w:t>eligibility criteria?</w:t>
      </w:r>
      <w:bookmarkEnd w:id="49"/>
      <w:bookmarkEnd w:id="51"/>
    </w:p>
    <w:p w14:paraId="5023DAAF" w14:textId="77777777" w:rsidR="00931540" w:rsidRDefault="00780403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Yes. </w:t>
      </w:r>
      <w:r w:rsidR="00931540">
        <w:t xml:space="preserve">Your proposal may include a number of strategically linked </w:t>
      </w:r>
      <w:proofErr w:type="gramStart"/>
      <w:r w:rsidR="00931540">
        <w:t>projects which</w:t>
      </w:r>
      <w:proofErr w:type="gramEnd"/>
      <w:r w:rsidR="00931540">
        <w:t xml:space="preserve"> together form a Package of Works that will deliver economic and educational benefits to a region or regions.</w:t>
      </w:r>
    </w:p>
    <w:p w14:paraId="0A895740" w14:textId="5CE8F10F" w:rsidR="00931540" w:rsidRDefault="000F25A5" w:rsidP="00C70A69">
      <w:pPr>
        <w:pStyle w:val="Heading2"/>
      </w:pPr>
      <w:bookmarkStart w:id="52" w:name="_Toc509480687"/>
      <w:bookmarkStart w:id="53" w:name="_Toc519840287"/>
      <w:proofErr w:type="gramStart"/>
      <w:r>
        <w:t>2.</w:t>
      </w:r>
      <w:r w:rsidR="00F403B3">
        <w:t>5</w:t>
      </w:r>
      <w:proofErr w:type="gramEnd"/>
      <w:r w:rsidR="00164A96">
        <w:t>:</w:t>
      </w:r>
      <w:r w:rsidR="008377F0">
        <w:t xml:space="preserve"> </w:t>
      </w:r>
      <w:r w:rsidR="00931540">
        <w:t xml:space="preserve">Can a project </w:t>
      </w:r>
      <w:r w:rsidR="00991074">
        <w:t>span</w:t>
      </w:r>
      <w:r w:rsidR="00931540">
        <w:t xml:space="preserve"> multiple locations?</w:t>
      </w:r>
      <w:bookmarkEnd w:id="52"/>
      <w:bookmarkEnd w:id="53"/>
    </w:p>
    <w:p w14:paraId="51E4E666" w14:textId="584CC2A6" w:rsidR="008C0183" w:rsidRDefault="00931540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Your project may include multiple site locations</w:t>
      </w:r>
      <w:r w:rsidR="00C478CD">
        <w:t xml:space="preserve"> but </w:t>
      </w:r>
      <w:r w:rsidR="00991074">
        <w:t xml:space="preserve">all funded sites </w:t>
      </w:r>
      <w:r>
        <w:t>must</w:t>
      </w:r>
      <w:r w:rsidR="001C7177">
        <w:t xml:space="preserve"> </w:t>
      </w:r>
      <w:r>
        <w:t xml:space="preserve">be located in regional </w:t>
      </w:r>
      <w:r w:rsidR="00D70FCD">
        <w:t xml:space="preserve">and/or </w:t>
      </w:r>
      <w:r w:rsidR="00393A0C">
        <w:t xml:space="preserve">remote </w:t>
      </w:r>
      <w:r>
        <w:t>Australia</w:t>
      </w:r>
      <w:r w:rsidR="008C0183" w:rsidRPr="00D13C7A">
        <w:t>.</w:t>
      </w:r>
      <w:r w:rsidR="008C0183">
        <w:t xml:space="preserve"> </w:t>
      </w:r>
    </w:p>
    <w:p w14:paraId="711BDA0E" w14:textId="61E953CE" w:rsidR="005F7F0D" w:rsidRDefault="000F25A5" w:rsidP="00C70A69">
      <w:pPr>
        <w:pStyle w:val="Heading2"/>
      </w:pPr>
      <w:bookmarkStart w:id="54" w:name="_Toc509480688"/>
      <w:bookmarkStart w:id="55" w:name="_Toc519840288"/>
      <w:proofErr w:type="gramStart"/>
      <w:r>
        <w:t>2.</w:t>
      </w:r>
      <w:r w:rsidR="00F403B3">
        <w:t>6</w:t>
      </w:r>
      <w:proofErr w:type="gramEnd"/>
      <w:r w:rsidR="00F403B3">
        <w:t>:</w:t>
      </w:r>
      <w:bookmarkStart w:id="56" w:name="_Toc509480689"/>
      <w:bookmarkEnd w:id="54"/>
      <w:r w:rsidR="0042661F">
        <w:t xml:space="preserve"> </w:t>
      </w:r>
      <w:r w:rsidR="005F7F0D">
        <w:t>Are there restrictions on the discipline</w:t>
      </w:r>
      <w:r w:rsidR="00991074">
        <w:t>s,</w:t>
      </w:r>
      <w:r w:rsidR="005F7F0D">
        <w:t xml:space="preserve"> fields of study </w:t>
      </w:r>
      <w:r w:rsidR="00991074">
        <w:t>and course levels H</w:t>
      </w:r>
      <w:r w:rsidR="005F7F0D">
        <w:t>ubs can support?</w:t>
      </w:r>
      <w:bookmarkEnd w:id="56"/>
      <w:bookmarkEnd w:id="55"/>
    </w:p>
    <w:p w14:paraId="4F2FD499" w14:textId="77777777" w:rsidR="00991074" w:rsidRDefault="00865B7C" w:rsidP="00D13C7A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The </w:t>
      </w:r>
      <w:r w:rsidR="00434364">
        <w:t>Program</w:t>
      </w:r>
      <w:r>
        <w:t xml:space="preserve"> can support students across all disciplines and all fields of study</w:t>
      </w:r>
      <w:r w:rsidR="00991074">
        <w:t>.</w:t>
      </w:r>
    </w:p>
    <w:p w14:paraId="548943DF" w14:textId="207327CC" w:rsidR="00D6325C" w:rsidRDefault="00976378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To be eligible for funding a hub</w:t>
      </w:r>
      <w:r w:rsidR="00991074">
        <w:t xml:space="preserve"> must</w:t>
      </w:r>
      <w:r w:rsidR="00D50558">
        <w:t xml:space="preserve"> deliver </w:t>
      </w:r>
      <w:r w:rsidR="00865B7C">
        <w:t xml:space="preserve">at least one undergraduate </w:t>
      </w:r>
      <w:r w:rsidR="00D41593">
        <w:t xml:space="preserve">Commonwealth supported </w:t>
      </w:r>
      <w:r w:rsidR="00865B7C">
        <w:t xml:space="preserve">course of study from any registered higher education provider. </w:t>
      </w:r>
    </w:p>
    <w:p w14:paraId="30FD945C" w14:textId="6DA1C2A9" w:rsidR="008C0183" w:rsidRDefault="000F25A5" w:rsidP="00C70A69">
      <w:pPr>
        <w:pStyle w:val="Heading2"/>
      </w:pPr>
      <w:bookmarkStart w:id="57" w:name="_Toc519840289"/>
      <w:proofErr w:type="gramStart"/>
      <w:r>
        <w:t>2.</w:t>
      </w:r>
      <w:r w:rsidR="00F403B3">
        <w:t>7</w:t>
      </w:r>
      <w:proofErr w:type="gramEnd"/>
      <w:r w:rsidR="008C0183">
        <w:t xml:space="preserve">: Are there </w:t>
      </w:r>
      <w:r w:rsidR="00976378">
        <w:t xml:space="preserve">any course delivery </w:t>
      </w:r>
      <w:r w:rsidR="008C0183">
        <w:t>requirements?</w:t>
      </w:r>
      <w:bookmarkEnd w:id="57"/>
      <w:r w:rsidR="008C0183">
        <w:t xml:space="preserve"> </w:t>
      </w:r>
    </w:p>
    <w:p w14:paraId="0B3158CE" w14:textId="0A7A5557" w:rsidR="001570A3" w:rsidRDefault="001570A3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One of the </w:t>
      </w:r>
      <w:r w:rsidR="00393A0C">
        <w:t xml:space="preserve">objectives </w:t>
      </w:r>
      <w:r w:rsidR="002E2EF2">
        <w:t xml:space="preserve">of </w:t>
      </w:r>
      <w:r>
        <w:t>the</w:t>
      </w:r>
      <w:r w:rsidR="002E2EF2">
        <w:t xml:space="preserve"> program </w:t>
      </w:r>
      <w:r>
        <w:t xml:space="preserve">is to support students from different backgrounds and disciplines in </w:t>
      </w:r>
      <w:proofErr w:type="gramStart"/>
      <w:r>
        <w:t xml:space="preserve">ways </w:t>
      </w:r>
      <w:r w:rsidR="00976378">
        <w:t>which</w:t>
      </w:r>
      <w:proofErr w:type="gramEnd"/>
      <w:r w:rsidR="00976378">
        <w:t xml:space="preserve"> </w:t>
      </w:r>
      <w:r>
        <w:t>meet their specific needs</w:t>
      </w:r>
      <w:r w:rsidR="00991074">
        <w:t>. Hubs should aim to</w:t>
      </w:r>
      <w:r>
        <w:t xml:space="preserve"> facilitate </w:t>
      </w:r>
      <w:r w:rsidR="00991074">
        <w:t>students’</w:t>
      </w:r>
      <w:r>
        <w:t xml:space="preserve"> engagement with teaching and learning, and </w:t>
      </w:r>
      <w:r w:rsidR="00393A0C">
        <w:t xml:space="preserve">in so </w:t>
      </w:r>
      <w:r w:rsidR="00991074">
        <w:t xml:space="preserve">doing </w:t>
      </w:r>
      <w:r>
        <w:t xml:space="preserve">improve the likelihood of their </w:t>
      </w:r>
      <w:r w:rsidR="00393A0C">
        <w:t xml:space="preserve">retention and </w:t>
      </w:r>
      <w:r w:rsidR="00D50558">
        <w:t>success</w:t>
      </w:r>
      <w:r>
        <w:t>.</w:t>
      </w:r>
    </w:p>
    <w:p w14:paraId="7F287FF8" w14:textId="2E4EF72D" w:rsidR="008C0183" w:rsidRDefault="00161570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P</w:t>
      </w:r>
      <w:r w:rsidR="00393A0C">
        <w:t>rovided</w:t>
      </w:r>
      <w:r w:rsidR="001570A3">
        <w:t xml:space="preserve"> your organisation can demonstrate the needs of your students </w:t>
      </w:r>
      <w:proofErr w:type="gramStart"/>
      <w:r w:rsidR="001570A3">
        <w:t>are met</w:t>
      </w:r>
      <w:proofErr w:type="gramEnd"/>
      <w:r w:rsidR="007A5FC3">
        <w:t>, course(s) can be</w:t>
      </w:r>
      <w:r w:rsidR="001570A3">
        <w:t xml:space="preserve"> </w:t>
      </w:r>
      <w:r w:rsidR="007A5FC3">
        <w:t>delivered</w:t>
      </w:r>
      <w:r w:rsidR="00A403FA">
        <w:t xml:space="preserve"> face-to-face by lecturers and tutors,</w:t>
      </w:r>
      <w:r w:rsidR="007A5FC3">
        <w:t xml:space="preserve"> online, </w:t>
      </w:r>
      <w:r w:rsidR="00A403FA">
        <w:t xml:space="preserve">via </w:t>
      </w:r>
      <w:r w:rsidR="007A5FC3">
        <w:t xml:space="preserve">virtual labs, </w:t>
      </w:r>
      <w:r w:rsidR="001570A3">
        <w:t xml:space="preserve">or </w:t>
      </w:r>
      <w:r w:rsidR="00A403FA">
        <w:t xml:space="preserve">through </w:t>
      </w:r>
      <w:r w:rsidR="001570A3">
        <w:t>a combination of delivery modes</w:t>
      </w:r>
      <w:r w:rsidR="007A5FC3">
        <w:t>.</w:t>
      </w:r>
      <w:r w:rsidR="00AE5B7A">
        <w:t xml:space="preserve"> </w:t>
      </w:r>
    </w:p>
    <w:p w14:paraId="4FC24295" w14:textId="16A7973E" w:rsidR="007A5FC3" w:rsidRDefault="000F25A5" w:rsidP="00C70A69">
      <w:pPr>
        <w:pStyle w:val="Heading2"/>
      </w:pPr>
      <w:bookmarkStart w:id="58" w:name="_Toc519840290"/>
      <w:proofErr w:type="gramStart"/>
      <w:r>
        <w:t>2.</w:t>
      </w:r>
      <w:r w:rsidR="00F403B3">
        <w:t>8</w:t>
      </w:r>
      <w:proofErr w:type="gramEnd"/>
      <w:r w:rsidR="00454572">
        <w:t xml:space="preserve">: What are the ongoing </w:t>
      </w:r>
      <w:r w:rsidR="00393A0C">
        <w:t xml:space="preserve">Program </w:t>
      </w:r>
      <w:r w:rsidR="00454572">
        <w:t>reporting requirements?</w:t>
      </w:r>
      <w:bookmarkEnd w:id="58"/>
    </w:p>
    <w:p w14:paraId="6A8120C6" w14:textId="3C50ED5F" w:rsidR="00454572" w:rsidRDefault="00393A0C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>Successful applicants</w:t>
      </w:r>
      <w:r w:rsidR="00454572">
        <w:t xml:space="preserve"> will be required to enter into a </w:t>
      </w:r>
      <w:r>
        <w:t>C</w:t>
      </w:r>
      <w:r w:rsidR="00454572">
        <w:t xml:space="preserve">onditions of </w:t>
      </w:r>
      <w:r>
        <w:t>G</w:t>
      </w:r>
      <w:r w:rsidR="00454572">
        <w:t xml:space="preserve">rant with the Commonwealth. This arrangement </w:t>
      </w:r>
      <w:r w:rsidR="00A403FA">
        <w:t>will include an</w:t>
      </w:r>
      <w:r w:rsidR="00454572">
        <w:t xml:space="preserve"> ongoing </w:t>
      </w:r>
      <w:r w:rsidR="00235B6A">
        <w:t xml:space="preserve">reporting </w:t>
      </w:r>
      <w:r w:rsidR="00454572">
        <w:t>requirement</w:t>
      </w:r>
      <w:r w:rsidR="00A403FA">
        <w:t xml:space="preserve">. Reporting </w:t>
      </w:r>
      <w:r w:rsidR="00221A9D">
        <w:t>is likely to</w:t>
      </w:r>
      <w:r w:rsidR="00454572">
        <w:t xml:space="preserve"> inclu</w:t>
      </w:r>
      <w:r w:rsidR="00A403FA">
        <w:t>de</w:t>
      </w:r>
      <w:r w:rsidR="00454572">
        <w:t xml:space="preserve">: </w:t>
      </w:r>
    </w:p>
    <w:p w14:paraId="76D3332E" w14:textId="24FE9034" w:rsidR="00454572" w:rsidRDefault="00454572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annual financial statements</w:t>
      </w:r>
      <w:r w:rsidR="004E4DB0">
        <w:t xml:space="preserve"> </w:t>
      </w:r>
    </w:p>
    <w:p w14:paraId="1F5F5117" w14:textId="13D43738" w:rsidR="00454572" w:rsidRDefault="00454572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annual</w:t>
      </w:r>
      <w:r w:rsidR="0080544B">
        <w:t xml:space="preserve"> </w:t>
      </w:r>
      <w:r>
        <w:t xml:space="preserve">information on the number of students supported, as well as the higher education providers and courses that are supported through the </w:t>
      </w:r>
      <w:r w:rsidR="00935BA3">
        <w:t>Regional Study Hubs</w:t>
      </w:r>
    </w:p>
    <w:p w14:paraId="26B6B00E" w14:textId="32A69FBC" w:rsidR="00454572" w:rsidRDefault="00454572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 xml:space="preserve">evidence of student success and retention against </w:t>
      </w:r>
      <w:r w:rsidR="00A403FA">
        <w:t xml:space="preserve">agreed </w:t>
      </w:r>
      <w:r>
        <w:t>performance target</w:t>
      </w:r>
      <w:r w:rsidR="00A403FA">
        <w:t>s</w:t>
      </w:r>
      <w:r>
        <w:t xml:space="preserve"> </w:t>
      </w:r>
    </w:p>
    <w:p w14:paraId="498CD49D" w14:textId="77777777" w:rsidR="00454572" w:rsidRDefault="00454572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feedback from students and higher education providers</w:t>
      </w:r>
    </w:p>
    <w:p w14:paraId="729D997B" w14:textId="4DA3B9C2" w:rsidR="0080544B" w:rsidRDefault="00A403FA" w:rsidP="00B333B4">
      <w:pPr>
        <w:pStyle w:val="ListParagraph"/>
        <w:numPr>
          <w:ilvl w:val="1"/>
          <w:numId w:val="8"/>
        </w:numPr>
        <w:spacing w:after="0"/>
        <w:contextualSpacing w:val="0"/>
      </w:pPr>
      <w:proofErr w:type="gramStart"/>
      <w:r>
        <w:t>an</w:t>
      </w:r>
      <w:proofErr w:type="gramEnd"/>
      <w:r>
        <w:t xml:space="preserve"> </w:t>
      </w:r>
      <w:r w:rsidR="00454572">
        <w:t>annual report outlining activities undertaken by the organisation in the previous year</w:t>
      </w:r>
      <w:r w:rsidR="00190D8A">
        <w:t>.</w:t>
      </w:r>
    </w:p>
    <w:p w14:paraId="009F934C" w14:textId="66975514" w:rsidR="00221A9D" w:rsidRDefault="000F25A5" w:rsidP="00C70A69">
      <w:pPr>
        <w:pStyle w:val="Heading2"/>
      </w:pPr>
      <w:bookmarkStart w:id="59" w:name="_Toc509480691"/>
      <w:bookmarkStart w:id="60" w:name="_Toc519840291"/>
      <w:proofErr w:type="gramStart"/>
      <w:r>
        <w:t>2.</w:t>
      </w:r>
      <w:r w:rsidR="00F403B3">
        <w:t>9</w:t>
      </w:r>
      <w:proofErr w:type="gramEnd"/>
      <w:r w:rsidR="008259EE">
        <w:t>:</w:t>
      </w:r>
      <w:r w:rsidR="008377F0">
        <w:t xml:space="preserve"> </w:t>
      </w:r>
      <w:r w:rsidR="00A403FA">
        <w:t>What is in-kind support</w:t>
      </w:r>
      <w:r w:rsidR="00221A9D">
        <w:t>?</w:t>
      </w:r>
      <w:bookmarkEnd w:id="60"/>
      <w:r w:rsidR="00A403FA">
        <w:t xml:space="preserve"> </w:t>
      </w:r>
    </w:p>
    <w:p w14:paraId="4420FCA5" w14:textId="77777777" w:rsidR="00221A9D" w:rsidRPr="008677E5" w:rsidRDefault="00221A9D" w:rsidP="00221A9D">
      <w:pPr>
        <w:pStyle w:val="ListParagraph"/>
        <w:numPr>
          <w:ilvl w:val="0"/>
          <w:numId w:val="8"/>
        </w:numPr>
      </w:pPr>
      <w:r>
        <w:t xml:space="preserve">In-kind support refers to goods, services and </w:t>
      </w:r>
      <w:proofErr w:type="gramStart"/>
      <w:r>
        <w:t>transactions which</w:t>
      </w:r>
      <w:proofErr w:type="gramEnd"/>
      <w:r>
        <w:t xml:space="preserve"> do not involve money. Examples of in-kind contributions could include, but are not limited to, donations of equipment, premises or floor space, subsidised rent, information technology services and office equipment.</w:t>
      </w:r>
    </w:p>
    <w:p w14:paraId="75C63DB4" w14:textId="56A7D29B" w:rsidR="00931540" w:rsidRDefault="00221A9D" w:rsidP="00C70A69">
      <w:pPr>
        <w:pStyle w:val="Heading2"/>
      </w:pPr>
      <w:bookmarkStart w:id="61" w:name="_Toc519840292"/>
      <w:proofErr w:type="gramStart"/>
      <w:r>
        <w:t>2.1</w:t>
      </w:r>
      <w:r w:rsidR="00F403B3">
        <w:t>0</w:t>
      </w:r>
      <w:proofErr w:type="gramEnd"/>
      <w:r>
        <w:t>: H</w:t>
      </w:r>
      <w:r w:rsidR="00A403FA">
        <w:t xml:space="preserve">ow </w:t>
      </w:r>
      <w:r w:rsidR="00DF2408">
        <w:t>can I demonstrate financial and</w:t>
      </w:r>
      <w:r w:rsidR="00A36D31">
        <w:t>/or</w:t>
      </w:r>
      <w:r w:rsidR="00DF2408">
        <w:t xml:space="preserve"> in-kind support from third parties?</w:t>
      </w:r>
      <w:bookmarkEnd w:id="59"/>
      <w:bookmarkEnd w:id="61"/>
    </w:p>
    <w:p w14:paraId="6520B402" w14:textId="4E5A95A4" w:rsidR="0077573D" w:rsidRDefault="008677E5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Evidence of financial or in-kind support from third parties could include a letter of commitment</w:t>
      </w:r>
      <w:r w:rsidR="0077573D">
        <w:t xml:space="preserve">, a memorandum of understanding, a partnership agreement or a sponsorship agreement. </w:t>
      </w:r>
    </w:p>
    <w:p w14:paraId="3F9B63F7" w14:textId="433BE127" w:rsidR="00DF2408" w:rsidRDefault="000F25A5" w:rsidP="00C70A69">
      <w:pPr>
        <w:pStyle w:val="Heading2"/>
      </w:pPr>
      <w:bookmarkStart w:id="62" w:name="_Toc509480692"/>
      <w:bookmarkStart w:id="63" w:name="_Toc519840293"/>
      <w:proofErr w:type="gramStart"/>
      <w:r>
        <w:t>2.1</w:t>
      </w:r>
      <w:r w:rsidR="00F403B3">
        <w:t>1</w:t>
      </w:r>
      <w:proofErr w:type="gramEnd"/>
      <w:r w:rsidR="008377F0">
        <w:t xml:space="preserve">: </w:t>
      </w:r>
      <w:r w:rsidR="00A403FA">
        <w:t xml:space="preserve">I am using my </w:t>
      </w:r>
      <w:r w:rsidR="00DF2408">
        <w:t xml:space="preserve">existing staff to </w:t>
      </w:r>
      <w:r w:rsidR="00A403FA">
        <w:t xml:space="preserve">prepare my </w:t>
      </w:r>
      <w:r w:rsidR="00C57EEC">
        <w:t>business case</w:t>
      </w:r>
      <w:r w:rsidR="00A403FA">
        <w:t>. How</w:t>
      </w:r>
      <w:r w:rsidR="00DF2408">
        <w:t xml:space="preserve"> </w:t>
      </w:r>
      <w:proofErr w:type="gramStart"/>
      <w:r w:rsidR="00DF2408">
        <w:t>should this contribution be identified</w:t>
      </w:r>
      <w:proofErr w:type="gramEnd"/>
      <w:r w:rsidR="00DF2408">
        <w:t xml:space="preserve"> in the application?</w:t>
      </w:r>
      <w:bookmarkEnd w:id="62"/>
      <w:bookmarkEnd w:id="63"/>
    </w:p>
    <w:p w14:paraId="4756C968" w14:textId="77777777" w:rsidR="00DF2408" w:rsidRDefault="00DF2408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Where </w:t>
      </w:r>
      <w:r w:rsidR="008259EE">
        <w:t>your organisation</w:t>
      </w:r>
      <w:r>
        <w:t xml:space="preserve"> already incur</w:t>
      </w:r>
      <w:r w:rsidR="008259EE">
        <w:t>s</w:t>
      </w:r>
      <w:r>
        <w:t xml:space="preserve"> costs such as salaries and wages</w:t>
      </w:r>
      <w:r w:rsidR="008259EE">
        <w:t>,</w:t>
      </w:r>
      <w:r>
        <w:t xml:space="preserve"> these can be included in the application as in-kin</w:t>
      </w:r>
      <w:r w:rsidR="008259EE">
        <w:t>d</w:t>
      </w:r>
      <w:r>
        <w:t xml:space="preserve"> co</w:t>
      </w:r>
      <w:r w:rsidR="008259EE">
        <w:t xml:space="preserve">ntributions to the total </w:t>
      </w:r>
      <w:r w:rsidR="00C57EEC">
        <w:t xml:space="preserve">project </w:t>
      </w:r>
      <w:r>
        <w:t>cost.</w:t>
      </w:r>
    </w:p>
    <w:p w14:paraId="677969FA" w14:textId="08332462" w:rsidR="00DF2408" w:rsidRDefault="000F25A5" w:rsidP="00C70A69">
      <w:pPr>
        <w:pStyle w:val="Heading2"/>
      </w:pPr>
      <w:bookmarkStart w:id="64" w:name="_Toc509480694"/>
      <w:bookmarkStart w:id="65" w:name="_Toc519840294"/>
      <w:proofErr w:type="gramStart"/>
      <w:r>
        <w:t>2.1</w:t>
      </w:r>
      <w:r w:rsidR="00F403B3">
        <w:t>2</w:t>
      </w:r>
      <w:proofErr w:type="gramEnd"/>
      <w:r w:rsidR="008377F0" w:rsidRPr="0013179D">
        <w:t xml:space="preserve">: </w:t>
      </w:r>
      <w:r w:rsidR="00DF2408" w:rsidRPr="0013179D">
        <w:t xml:space="preserve">I </w:t>
      </w:r>
      <w:r w:rsidR="008B7A79" w:rsidRPr="0013179D">
        <w:t>have ap</w:t>
      </w:r>
      <w:r w:rsidR="008259EE" w:rsidRPr="0013179D">
        <w:t>plied fo</w:t>
      </w:r>
      <w:r w:rsidR="0077573D">
        <w:t>r</w:t>
      </w:r>
      <w:r w:rsidR="00A403FA">
        <w:t xml:space="preserve"> or have </w:t>
      </w:r>
      <w:r w:rsidR="0077573D">
        <w:t xml:space="preserve">received </w:t>
      </w:r>
      <w:r w:rsidR="008259EE" w:rsidRPr="0013179D">
        <w:t xml:space="preserve">funding for my </w:t>
      </w:r>
      <w:r w:rsidR="00A403FA">
        <w:t>H</w:t>
      </w:r>
      <w:r w:rsidR="00A403FA" w:rsidRPr="0013179D">
        <w:t xml:space="preserve">ub </w:t>
      </w:r>
      <w:r w:rsidR="008B7A79" w:rsidRPr="0013179D">
        <w:t>from a</w:t>
      </w:r>
      <w:r w:rsidR="00A403FA">
        <w:t>nother</w:t>
      </w:r>
      <w:r w:rsidR="008259EE" w:rsidRPr="0013179D">
        <w:t xml:space="preserve"> </w:t>
      </w:r>
      <w:r w:rsidR="00787D9C">
        <w:t>g</w:t>
      </w:r>
      <w:r w:rsidR="008B7A79" w:rsidRPr="0013179D">
        <w:t xml:space="preserve">overnment grant </w:t>
      </w:r>
      <w:r w:rsidR="004201FB">
        <w:t>program</w:t>
      </w:r>
      <w:r w:rsidR="0077573D">
        <w:t>. C</w:t>
      </w:r>
      <w:r w:rsidR="008B7A79" w:rsidRPr="0013179D">
        <w:t xml:space="preserve">an I still apply under the </w:t>
      </w:r>
      <w:r w:rsidR="00B17599">
        <w:t>Program</w:t>
      </w:r>
      <w:r w:rsidR="008B7A79" w:rsidRPr="0013179D">
        <w:t>?</w:t>
      </w:r>
      <w:bookmarkEnd w:id="64"/>
      <w:bookmarkEnd w:id="65"/>
    </w:p>
    <w:p w14:paraId="37E39BCC" w14:textId="4534B415" w:rsidR="008B7A79" w:rsidRDefault="008B7A79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Yes. You can submit an application for funding under the </w:t>
      </w:r>
      <w:r w:rsidR="00B17599">
        <w:t>Program</w:t>
      </w:r>
      <w:r>
        <w:t xml:space="preserve"> if you have applied for</w:t>
      </w:r>
      <w:r w:rsidR="00A403FA">
        <w:t>,</w:t>
      </w:r>
      <w:r>
        <w:t xml:space="preserve"> </w:t>
      </w:r>
      <w:r w:rsidR="0077573D">
        <w:t>or received</w:t>
      </w:r>
      <w:r w:rsidR="00A403FA">
        <w:t>,</w:t>
      </w:r>
      <w:r w:rsidR="0077573D">
        <w:t xml:space="preserve"> </w:t>
      </w:r>
      <w:r>
        <w:t>Australian Government funding from a separate funding stream.</w:t>
      </w:r>
    </w:p>
    <w:p w14:paraId="31DCC43E" w14:textId="57C696DE" w:rsidR="0013179D" w:rsidRDefault="008B7A79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If </w:t>
      </w:r>
      <w:r w:rsidR="0077573D">
        <w:t>so</w:t>
      </w:r>
      <w:r w:rsidR="00E97E11">
        <w:t>,</w:t>
      </w:r>
      <w:r>
        <w:t xml:space="preserve"> you will need to identify this in your application </w:t>
      </w:r>
      <w:r w:rsidR="0077573D">
        <w:t>and include</w:t>
      </w:r>
      <w:r>
        <w:t xml:space="preserve"> the funding status (i.e. sought or confirmed). If </w:t>
      </w:r>
      <w:r w:rsidR="0077573D">
        <w:t xml:space="preserve">funding </w:t>
      </w:r>
      <w:proofErr w:type="gramStart"/>
      <w:r w:rsidR="0077573D">
        <w:t xml:space="preserve">has been </w:t>
      </w:r>
      <w:r>
        <w:t>confirmed</w:t>
      </w:r>
      <w:r w:rsidR="0077573D">
        <w:t xml:space="preserve"> or received</w:t>
      </w:r>
      <w:r>
        <w:t>,</w:t>
      </w:r>
      <w:proofErr w:type="gramEnd"/>
      <w:r>
        <w:t xml:space="preserve"> you must supply evidence of </w:t>
      </w:r>
      <w:r w:rsidR="0077573D">
        <w:t>that funding source and amount</w:t>
      </w:r>
      <w:r>
        <w:t xml:space="preserve">. </w:t>
      </w:r>
    </w:p>
    <w:p w14:paraId="7D613DE9" w14:textId="0D175D17" w:rsidR="00AC04CF" w:rsidRPr="005F39F8" w:rsidRDefault="000F25A5" w:rsidP="005F39F8">
      <w:pPr>
        <w:pStyle w:val="Heading1"/>
      </w:pPr>
      <w:bookmarkStart w:id="66" w:name="_Toc509480695"/>
      <w:bookmarkStart w:id="67" w:name="_Toc519840295"/>
      <w:r>
        <w:t>3</w:t>
      </w:r>
      <w:r w:rsidR="005F39F8">
        <w:t xml:space="preserve">. </w:t>
      </w:r>
      <w:r w:rsidR="00AC04CF" w:rsidRPr="005F39F8">
        <w:t>Forms and submissions</w:t>
      </w:r>
      <w:bookmarkEnd w:id="66"/>
      <w:bookmarkEnd w:id="67"/>
    </w:p>
    <w:p w14:paraId="1691071D" w14:textId="545AFE91" w:rsidR="00AC04CF" w:rsidRDefault="000F25A5" w:rsidP="00C70A69">
      <w:pPr>
        <w:pStyle w:val="Heading2"/>
      </w:pPr>
      <w:bookmarkStart w:id="68" w:name="_Toc509480696"/>
      <w:bookmarkStart w:id="69" w:name="_Toc519840296"/>
      <w:r>
        <w:t>3</w:t>
      </w:r>
      <w:r w:rsidR="008377F0">
        <w:t xml:space="preserve">.1 </w:t>
      </w:r>
      <w:r w:rsidR="00527E4F">
        <w:t>What must be included in my</w:t>
      </w:r>
      <w:r w:rsidR="006D772F">
        <w:t xml:space="preserve"> application?</w:t>
      </w:r>
      <w:bookmarkEnd w:id="68"/>
      <w:bookmarkEnd w:id="69"/>
    </w:p>
    <w:p w14:paraId="54CA9390" w14:textId="2483850E" w:rsidR="006D772F" w:rsidRDefault="00527E4F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You</w:t>
      </w:r>
      <w:r w:rsidR="006D772F">
        <w:t xml:space="preserve"> must</w:t>
      </w:r>
      <w:r w:rsidR="00AC3D47">
        <w:t xml:space="preserve"> provide appropriate documentation as outlined in the </w:t>
      </w:r>
      <w:r w:rsidR="000255AE">
        <w:t xml:space="preserve">Application </w:t>
      </w:r>
      <w:r w:rsidR="00AC3D47">
        <w:t>Guide</w:t>
      </w:r>
      <w:r w:rsidR="00D41593">
        <w:t xml:space="preserve"> (see section 4.5 </w:t>
      </w:r>
      <w:r w:rsidR="000417A8">
        <w:t>B</w:t>
      </w:r>
      <w:r w:rsidR="00D41593">
        <w:t xml:space="preserve">usiness </w:t>
      </w:r>
      <w:r w:rsidR="000417A8">
        <w:t>c</w:t>
      </w:r>
      <w:r w:rsidR="00D41593">
        <w:t xml:space="preserve">ase and </w:t>
      </w:r>
      <w:r w:rsidR="000417A8">
        <w:t>Appendix 2 Order of material to include in your application)</w:t>
      </w:r>
      <w:r w:rsidR="00AC3D47">
        <w:t>.</w:t>
      </w:r>
    </w:p>
    <w:p w14:paraId="5577FA0B" w14:textId="0A98758E" w:rsidR="00AC04CF" w:rsidRDefault="000F25A5" w:rsidP="00C70A69">
      <w:pPr>
        <w:pStyle w:val="Heading2"/>
      </w:pPr>
      <w:bookmarkStart w:id="70" w:name="_Toc509480697"/>
      <w:bookmarkStart w:id="71" w:name="_Toc519840297"/>
      <w:r>
        <w:t>3</w:t>
      </w:r>
      <w:r w:rsidR="008377F0">
        <w:t xml:space="preserve">.2: </w:t>
      </w:r>
      <w:proofErr w:type="gramStart"/>
      <w:r w:rsidR="00787D9C">
        <w:t>Who</w:t>
      </w:r>
      <w:proofErr w:type="gramEnd"/>
      <w:r w:rsidR="00787D9C">
        <w:t xml:space="preserve"> can I</w:t>
      </w:r>
      <w:r w:rsidR="00AC04CF">
        <w:t xml:space="preserve"> contact if I </w:t>
      </w:r>
      <w:r w:rsidR="00787D9C">
        <w:t>have questions about</w:t>
      </w:r>
      <w:r w:rsidR="00AC04CF">
        <w:t xml:space="preserve"> the application process or </w:t>
      </w:r>
      <w:r w:rsidR="00787D9C">
        <w:t xml:space="preserve">if I </w:t>
      </w:r>
      <w:r w:rsidR="00AC04CF">
        <w:t>have technical problems?</w:t>
      </w:r>
      <w:bookmarkEnd w:id="70"/>
      <w:bookmarkEnd w:id="71"/>
      <w:r w:rsidR="00AC04CF">
        <w:t xml:space="preserve"> </w:t>
      </w:r>
    </w:p>
    <w:p w14:paraId="76C05AF9" w14:textId="0DA4801F" w:rsidR="00527E4F" w:rsidRDefault="00176C17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For assistance, please contact </w:t>
      </w:r>
      <w:hyperlink r:id="rId12" w:history="1">
        <w:r w:rsidR="00551430" w:rsidRPr="00DC207C">
          <w:rPr>
            <w:rStyle w:val="Hyperlink"/>
          </w:rPr>
          <w:t>equity@education.gov.au</w:t>
        </w:r>
      </w:hyperlink>
      <w:r w:rsidR="00551430">
        <w:t xml:space="preserve">. </w:t>
      </w:r>
    </w:p>
    <w:p w14:paraId="4C6F00A3" w14:textId="77777777" w:rsidR="00551430" w:rsidRDefault="00176C17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Please note that this email address </w:t>
      </w:r>
      <w:proofErr w:type="gramStart"/>
      <w:r>
        <w:t>is only monitored</w:t>
      </w:r>
      <w:proofErr w:type="gramEnd"/>
      <w:r>
        <w:t xml:space="preserve"> during business hours (Australian Eastern Standard Time).</w:t>
      </w:r>
    </w:p>
    <w:p w14:paraId="5978428F" w14:textId="15E283C8" w:rsidR="00527E4F" w:rsidRDefault="000F25A5" w:rsidP="00C70A69">
      <w:pPr>
        <w:pStyle w:val="Heading2"/>
      </w:pPr>
      <w:bookmarkStart w:id="72" w:name="_Toc509480698"/>
      <w:bookmarkStart w:id="73" w:name="_Toc519840298"/>
      <w:proofErr w:type="gramStart"/>
      <w:r>
        <w:t>3</w:t>
      </w:r>
      <w:r w:rsidR="008377F0">
        <w:t>.3</w:t>
      </w:r>
      <w:proofErr w:type="gramEnd"/>
      <w:r w:rsidR="008377F0">
        <w:t xml:space="preserve">: </w:t>
      </w:r>
      <w:r w:rsidR="00AC04CF">
        <w:t>When is the closing date for submissions?</w:t>
      </w:r>
      <w:r w:rsidR="00527E4F">
        <w:t xml:space="preserve"> What if I miss the deadline, can I submit an application later this year?</w:t>
      </w:r>
      <w:bookmarkEnd w:id="72"/>
      <w:bookmarkEnd w:id="73"/>
    </w:p>
    <w:p w14:paraId="759E3D84" w14:textId="63FCFF08" w:rsidR="00551430" w:rsidRDefault="004D7115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 w:rsidRPr="004173AA">
        <w:t xml:space="preserve">5 pm </w:t>
      </w:r>
      <w:r w:rsidR="000417A8" w:rsidRPr="004173AA">
        <w:t>Friday</w:t>
      </w:r>
      <w:r w:rsidRPr="004173AA">
        <w:t xml:space="preserve">, </w:t>
      </w:r>
      <w:r w:rsidR="000417A8" w:rsidRPr="004173AA">
        <w:t>27 July</w:t>
      </w:r>
      <w:r w:rsidRPr="004173AA">
        <w:t xml:space="preserve"> </w:t>
      </w:r>
      <w:r w:rsidR="00551430" w:rsidRPr="004173AA">
        <w:t>2018</w:t>
      </w:r>
      <w:r w:rsidR="00527E4F">
        <w:t xml:space="preserve"> is the</w:t>
      </w:r>
      <w:r>
        <w:t xml:space="preserve"> closing time and date </w:t>
      </w:r>
      <w:r w:rsidR="00527E4F">
        <w:t>for submissions</w:t>
      </w:r>
      <w:r w:rsidR="00551430">
        <w:t>.</w:t>
      </w:r>
    </w:p>
    <w:p w14:paraId="52AADB6D" w14:textId="77777777" w:rsidR="00527E4F" w:rsidRDefault="00AC3D47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There is no guarantee that late </w:t>
      </w:r>
      <w:r w:rsidR="00527E4F">
        <w:t xml:space="preserve">submissions </w:t>
      </w:r>
      <w:proofErr w:type="gramStart"/>
      <w:r>
        <w:t xml:space="preserve">will </w:t>
      </w:r>
      <w:r w:rsidR="00527E4F">
        <w:t>be considered</w:t>
      </w:r>
      <w:proofErr w:type="gramEnd"/>
      <w:r w:rsidR="00F52DB3">
        <w:t xml:space="preserve">. </w:t>
      </w:r>
    </w:p>
    <w:p w14:paraId="7FB0C2C7" w14:textId="3FC700A3" w:rsidR="00AC04CF" w:rsidRPr="00527E4F" w:rsidRDefault="000F25A5" w:rsidP="00527E4F">
      <w:pPr>
        <w:pStyle w:val="Heading1"/>
      </w:pPr>
      <w:bookmarkStart w:id="74" w:name="_Toc509480699"/>
      <w:bookmarkStart w:id="75" w:name="_Toc519840299"/>
      <w:r>
        <w:t>4</w:t>
      </w:r>
      <w:r w:rsidR="00527E4F">
        <w:t xml:space="preserve">. </w:t>
      </w:r>
      <w:r w:rsidR="00AC04CF" w:rsidRPr="00527E4F">
        <w:t>Fundi</w:t>
      </w:r>
      <w:r w:rsidR="00987F90">
        <w:t>ng</w:t>
      </w:r>
      <w:bookmarkEnd w:id="74"/>
      <w:bookmarkEnd w:id="75"/>
    </w:p>
    <w:p w14:paraId="63E2ED01" w14:textId="52DCAED7" w:rsidR="00787D9C" w:rsidRDefault="000F25A5" w:rsidP="00787D9C">
      <w:pPr>
        <w:pStyle w:val="Heading2"/>
      </w:pPr>
      <w:bookmarkStart w:id="76" w:name="_Toc509480700"/>
      <w:bookmarkStart w:id="77" w:name="_Toc519840300"/>
      <w:proofErr w:type="gramStart"/>
      <w:r>
        <w:t>4.1</w:t>
      </w:r>
      <w:proofErr w:type="gramEnd"/>
      <w:r w:rsidR="00787D9C">
        <w:t>: What can Program funding be used for?</w:t>
      </w:r>
      <w:bookmarkEnd w:id="77"/>
    </w:p>
    <w:p w14:paraId="13AB3E25" w14:textId="77777777" w:rsidR="00787D9C" w:rsidRDefault="00787D9C" w:rsidP="00787D9C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The Program will fund costs associated with establishment and ongoing operation of the hubs. </w:t>
      </w:r>
    </w:p>
    <w:p w14:paraId="2B7BD1CE" w14:textId="3A779EDB" w:rsidR="00787D9C" w:rsidRPr="00A36D31" w:rsidRDefault="00787D9C" w:rsidP="00787D9C">
      <w:pPr>
        <w:pStyle w:val="ListParagraph"/>
        <w:numPr>
          <w:ilvl w:val="1"/>
          <w:numId w:val="8"/>
        </w:numPr>
        <w:spacing w:after="0"/>
        <w:contextualSpacing w:val="0"/>
      </w:pPr>
      <w:r>
        <w:t xml:space="preserve">In the establishment stage, funding </w:t>
      </w:r>
      <w:proofErr w:type="gramStart"/>
      <w:r>
        <w:t>could be used</w:t>
      </w:r>
      <w:proofErr w:type="gramEnd"/>
      <w:r>
        <w:t xml:space="preserve"> to lease and fit-out a facility; or to acquire</w:t>
      </w:r>
      <w:r w:rsidRPr="00A36D31">
        <w:t xml:space="preserve"> electronic and physical resources.</w:t>
      </w:r>
    </w:p>
    <w:p w14:paraId="482CA6CC" w14:textId="50365AF9" w:rsidR="00787D9C" w:rsidRDefault="00787D9C" w:rsidP="00D13C7A">
      <w:pPr>
        <w:pStyle w:val="ListParagraph"/>
        <w:numPr>
          <w:ilvl w:val="1"/>
          <w:numId w:val="8"/>
        </w:numPr>
        <w:spacing w:after="200"/>
        <w:ind w:left="1077" w:hanging="357"/>
        <w:contextualSpacing w:val="0"/>
      </w:pPr>
      <w:r>
        <w:t xml:space="preserve">In the ongoing operational phase, funding </w:t>
      </w:r>
      <w:proofErr w:type="gramStart"/>
      <w:r>
        <w:t>could be used</w:t>
      </w:r>
      <w:proofErr w:type="gramEnd"/>
      <w:r>
        <w:t xml:space="preserve"> to support human resources, teaching infrastructure and administrative expenses. </w:t>
      </w:r>
    </w:p>
    <w:p w14:paraId="3111E8E4" w14:textId="7BADDF9B" w:rsidR="00787D9C" w:rsidRDefault="000F25A5" w:rsidP="00787D9C">
      <w:pPr>
        <w:pStyle w:val="Heading2"/>
      </w:pPr>
      <w:bookmarkStart w:id="78" w:name="_Toc519840301"/>
      <w:proofErr w:type="gramStart"/>
      <w:r>
        <w:t>4.2</w:t>
      </w:r>
      <w:proofErr w:type="gramEnd"/>
      <w:r w:rsidR="00787D9C">
        <w:t>: What funding can pre-existing study hubs receive?</w:t>
      </w:r>
      <w:bookmarkEnd w:id="78"/>
    </w:p>
    <w:p w14:paraId="1720366B" w14:textId="77777777" w:rsidR="00787D9C" w:rsidRDefault="00787D9C" w:rsidP="00D13C7A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Each proposal </w:t>
      </w:r>
      <w:proofErr w:type="gramStart"/>
      <w:r>
        <w:t>will be considered</w:t>
      </w:r>
      <w:proofErr w:type="gramEnd"/>
      <w:r>
        <w:t xml:space="preserve"> in its context. For example, an existing hub may seek funding to improve/add services and facilities or investigate new </w:t>
      </w:r>
      <w:proofErr w:type="gramStart"/>
      <w:r>
        <w:t>Programs which</w:t>
      </w:r>
      <w:proofErr w:type="gramEnd"/>
      <w:r>
        <w:t xml:space="preserve"> will improve long-term sustainability. </w:t>
      </w:r>
    </w:p>
    <w:p w14:paraId="3B2D58DC" w14:textId="58682E13" w:rsidR="006D772F" w:rsidRDefault="000F25A5" w:rsidP="00C70A69">
      <w:pPr>
        <w:pStyle w:val="Heading2"/>
      </w:pPr>
      <w:bookmarkStart w:id="79" w:name="_Toc519840302"/>
      <w:r>
        <w:t>4.3</w:t>
      </w:r>
      <w:r w:rsidR="008377F0">
        <w:t xml:space="preserve"> </w:t>
      </w:r>
      <w:r w:rsidR="006D772F">
        <w:t xml:space="preserve">Is there a </w:t>
      </w:r>
      <w:r w:rsidR="00527E4F">
        <w:t>minimum and</w:t>
      </w:r>
      <w:r w:rsidR="00787D9C">
        <w:t>/or</w:t>
      </w:r>
      <w:r w:rsidR="00527E4F">
        <w:t xml:space="preserve"> </w:t>
      </w:r>
      <w:r w:rsidR="006D772F">
        <w:t xml:space="preserve">maximum amount of funding available to applicants for the Regional </w:t>
      </w:r>
      <w:r w:rsidR="00935BA3">
        <w:t>Study Hub</w:t>
      </w:r>
      <w:r w:rsidR="006D772F">
        <w:t>s?</w:t>
      </w:r>
      <w:bookmarkEnd w:id="76"/>
      <w:bookmarkEnd w:id="79"/>
    </w:p>
    <w:p w14:paraId="1C3E2EF3" w14:textId="47574A1D" w:rsidR="00901EB3" w:rsidRDefault="00527E4F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>The total funding for the</w:t>
      </w:r>
      <w:r w:rsidR="002E2082">
        <w:t xml:space="preserve"> </w:t>
      </w:r>
      <w:r w:rsidR="00221A9D">
        <w:t>P</w:t>
      </w:r>
      <w:r w:rsidR="00787D9C">
        <w:t>rogram</w:t>
      </w:r>
      <w:r w:rsidR="00434364">
        <w:t xml:space="preserve"> </w:t>
      </w:r>
      <w:r>
        <w:t xml:space="preserve">for the next four years is </w:t>
      </w:r>
      <w:r w:rsidRPr="00454572">
        <w:t>$</w:t>
      </w:r>
      <w:r w:rsidR="000417A8">
        <w:t>16.7</w:t>
      </w:r>
      <w:r w:rsidRPr="00454572">
        <w:t xml:space="preserve"> million</w:t>
      </w:r>
      <w:r w:rsidR="00F403B3">
        <w:t xml:space="preserve"> to establish up to eight hubs</w:t>
      </w:r>
      <w:r w:rsidR="00901EB3">
        <w:t xml:space="preserve">, as </w:t>
      </w:r>
      <w:r w:rsidR="00743C0C">
        <w:t>outlined in the Australian Government’s Portfolio Budget Statements 2018–19: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5"/>
      </w:tblGrid>
      <w:tr w:rsidR="00901EB3" w14:paraId="2C4D2062" w14:textId="77777777" w:rsidTr="00901EB3">
        <w:tc>
          <w:tcPr>
            <w:tcW w:w="2254" w:type="dxa"/>
          </w:tcPr>
          <w:p w14:paraId="7E8CD1FD" w14:textId="675A1FC3" w:rsidR="00901EB3" w:rsidRDefault="00901EB3" w:rsidP="004173AA">
            <w:pPr>
              <w:pStyle w:val="ListParagraph"/>
              <w:ind w:left="0"/>
              <w:contextualSpacing w:val="0"/>
            </w:pPr>
            <w:r>
              <w:t>2018–19</w:t>
            </w:r>
          </w:p>
        </w:tc>
        <w:tc>
          <w:tcPr>
            <w:tcW w:w="2254" w:type="dxa"/>
          </w:tcPr>
          <w:p w14:paraId="7B60E07A" w14:textId="44CCE709" w:rsidR="00901EB3" w:rsidRDefault="00901EB3" w:rsidP="004173AA">
            <w:pPr>
              <w:pStyle w:val="ListParagraph"/>
              <w:ind w:left="0"/>
              <w:contextualSpacing w:val="0"/>
            </w:pPr>
            <w:r>
              <w:t>2019–20</w:t>
            </w:r>
          </w:p>
        </w:tc>
        <w:tc>
          <w:tcPr>
            <w:tcW w:w="2254" w:type="dxa"/>
          </w:tcPr>
          <w:p w14:paraId="4E90950A" w14:textId="6050E652" w:rsidR="00901EB3" w:rsidRDefault="00901EB3" w:rsidP="004173AA">
            <w:pPr>
              <w:pStyle w:val="ListParagraph"/>
              <w:ind w:left="0"/>
              <w:contextualSpacing w:val="0"/>
            </w:pPr>
            <w:r>
              <w:t>2020–21</w:t>
            </w:r>
          </w:p>
        </w:tc>
        <w:tc>
          <w:tcPr>
            <w:tcW w:w="2254" w:type="dxa"/>
          </w:tcPr>
          <w:p w14:paraId="1BB2900E" w14:textId="4575DD2C" w:rsidR="00901EB3" w:rsidRDefault="00901EB3" w:rsidP="004173AA">
            <w:pPr>
              <w:pStyle w:val="ListParagraph"/>
              <w:ind w:left="0"/>
              <w:contextualSpacing w:val="0"/>
            </w:pPr>
            <w:r>
              <w:t>2021–22</w:t>
            </w:r>
          </w:p>
        </w:tc>
      </w:tr>
      <w:tr w:rsidR="00901EB3" w14:paraId="67F87A8B" w14:textId="77777777" w:rsidTr="00901EB3">
        <w:tc>
          <w:tcPr>
            <w:tcW w:w="2254" w:type="dxa"/>
          </w:tcPr>
          <w:p w14:paraId="25E02B64" w14:textId="59872124" w:rsidR="00901EB3" w:rsidRDefault="00901EB3" w:rsidP="004173AA">
            <w:pPr>
              <w:pStyle w:val="ListParagraph"/>
              <w:ind w:left="0"/>
              <w:contextualSpacing w:val="0"/>
            </w:pPr>
            <w:r>
              <w:t>$9</w:t>
            </w:r>
            <w:r w:rsidR="0047292C">
              <w:t>.</w:t>
            </w:r>
            <w:r>
              <w:t>974 million</w:t>
            </w:r>
          </w:p>
        </w:tc>
        <w:tc>
          <w:tcPr>
            <w:tcW w:w="2254" w:type="dxa"/>
          </w:tcPr>
          <w:p w14:paraId="23ED625D" w14:textId="300F3EC4" w:rsidR="00901EB3" w:rsidRDefault="00901EB3" w:rsidP="0047292C">
            <w:pPr>
              <w:pStyle w:val="ListParagraph"/>
              <w:ind w:left="0"/>
              <w:contextualSpacing w:val="0"/>
            </w:pPr>
            <w:r>
              <w:t>$2</w:t>
            </w:r>
            <w:r w:rsidR="0047292C">
              <w:t>.</w:t>
            </w:r>
            <w:r>
              <w:t>199 million</w:t>
            </w:r>
          </w:p>
        </w:tc>
        <w:tc>
          <w:tcPr>
            <w:tcW w:w="2254" w:type="dxa"/>
          </w:tcPr>
          <w:p w14:paraId="64E344C0" w14:textId="53E7B321" w:rsidR="00901EB3" w:rsidRDefault="00901EB3" w:rsidP="0047292C">
            <w:pPr>
              <w:pStyle w:val="ListParagraph"/>
              <w:ind w:left="0"/>
              <w:contextualSpacing w:val="0"/>
            </w:pPr>
            <w:r>
              <w:t>$2</w:t>
            </w:r>
            <w:r w:rsidR="0047292C">
              <w:t>.</w:t>
            </w:r>
            <w:r>
              <w:t>249 million</w:t>
            </w:r>
          </w:p>
        </w:tc>
        <w:tc>
          <w:tcPr>
            <w:tcW w:w="2254" w:type="dxa"/>
          </w:tcPr>
          <w:p w14:paraId="7DD17813" w14:textId="7ACFCF3A" w:rsidR="00901EB3" w:rsidRDefault="00743C0C" w:rsidP="0047292C">
            <w:pPr>
              <w:pStyle w:val="ListParagraph"/>
              <w:ind w:left="0"/>
              <w:contextualSpacing w:val="0"/>
            </w:pPr>
            <w:r>
              <w:t>$</w:t>
            </w:r>
            <w:r w:rsidR="00901EB3">
              <w:t>2</w:t>
            </w:r>
            <w:r w:rsidR="0047292C">
              <w:t>.</w:t>
            </w:r>
            <w:r w:rsidR="00901EB3">
              <w:t>302 million</w:t>
            </w:r>
          </w:p>
        </w:tc>
      </w:tr>
    </w:tbl>
    <w:p w14:paraId="55B6C078" w14:textId="44FE6368" w:rsidR="00527E4F" w:rsidRDefault="00161570" w:rsidP="004520BD">
      <w:pPr>
        <w:pStyle w:val="ListParagraph"/>
        <w:numPr>
          <w:ilvl w:val="0"/>
          <w:numId w:val="8"/>
        </w:numPr>
        <w:spacing w:before="200" w:after="200"/>
        <w:ind w:left="357" w:hanging="357"/>
        <w:contextualSpacing w:val="0"/>
      </w:pPr>
      <w:r>
        <w:t>There is no specific</w:t>
      </w:r>
      <w:r w:rsidR="00A36D31">
        <w:t xml:space="preserve"> minimum or maximum amount of funding </w:t>
      </w:r>
      <w:r>
        <w:t>available per project</w:t>
      </w:r>
      <w:r w:rsidR="00A36D31">
        <w:t xml:space="preserve">. </w:t>
      </w:r>
      <w:r w:rsidR="00F57B04">
        <w:t xml:space="preserve">Funding decisions </w:t>
      </w:r>
      <w:proofErr w:type="gramStart"/>
      <w:r w:rsidR="00F57B04">
        <w:t>will be made</w:t>
      </w:r>
      <w:proofErr w:type="gramEnd"/>
      <w:r w:rsidR="00A36D31">
        <w:t xml:space="preserve"> on a case-by-case basis. </w:t>
      </w:r>
    </w:p>
    <w:p w14:paraId="2235287F" w14:textId="749FBEB9" w:rsidR="00FA0AF4" w:rsidRDefault="000F25A5" w:rsidP="00213620">
      <w:pPr>
        <w:pStyle w:val="Heading2"/>
      </w:pPr>
      <w:bookmarkStart w:id="80" w:name="_Toc509480701"/>
      <w:bookmarkStart w:id="81" w:name="_Toc519840303"/>
      <w:proofErr w:type="gramStart"/>
      <w:r>
        <w:t>4.4</w:t>
      </w:r>
      <w:proofErr w:type="gramEnd"/>
      <w:r w:rsidR="008377F0">
        <w:t xml:space="preserve">: </w:t>
      </w:r>
      <w:r w:rsidR="0047292C">
        <w:t xml:space="preserve">Are </w:t>
      </w:r>
      <w:r w:rsidR="00787D9C">
        <w:t xml:space="preserve">Program </w:t>
      </w:r>
      <w:r w:rsidR="00AC04CF">
        <w:t xml:space="preserve">funding </w:t>
      </w:r>
      <w:r w:rsidR="00356AF3">
        <w:t xml:space="preserve">and payments </w:t>
      </w:r>
      <w:r w:rsidR="00C1422A">
        <w:t xml:space="preserve">based on </w:t>
      </w:r>
      <w:r w:rsidR="000255AE">
        <w:t xml:space="preserve">a </w:t>
      </w:r>
      <w:r w:rsidR="00C1422A">
        <w:t>calendar year or financial year</w:t>
      </w:r>
      <w:r w:rsidR="00AC04CF">
        <w:t>?</w:t>
      </w:r>
      <w:bookmarkEnd w:id="80"/>
      <w:bookmarkEnd w:id="81"/>
      <w:r w:rsidR="00AC04CF">
        <w:t xml:space="preserve"> </w:t>
      </w:r>
    </w:p>
    <w:p w14:paraId="72D0B73F" w14:textId="22CA7419" w:rsidR="00356AF3" w:rsidRPr="004301CB" w:rsidRDefault="00BB7D98" w:rsidP="00213620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 w:rsidRPr="004301CB">
        <w:t>The</w:t>
      </w:r>
      <w:r w:rsidR="0013179D" w:rsidRPr="004301CB">
        <w:t xml:space="preserve"> </w:t>
      </w:r>
      <w:r w:rsidR="00E4623A" w:rsidRPr="004301CB">
        <w:t xml:space="preserve">Program </w:t>
      </w:r>
      <w:r w:rsidR="0013179D" w:rsidRPr="004301CB">
        <w:t>funding</w:t>
      </w:r>
      <w:r w:rsidR="00E4623A" w:rsidRPr="004301CB">
        <w:t xml:space="preserve"> and payments</w:t>
      </w:r>
      <w:r w:rsidR="0013179D" w:rsidRPr="004301CB">
        <w:t xml:space="preserve"> </w:t>
      </w:r>
      <w:r w:rsidR="00E4623A" w:rsidRPr="004301CB">
        <w:t>are</w:t>
      </w:r>
      <w:r w:rsidR="0013179D" w:rsidRPr="004301CB">
        <w:t xml:space="preserve"> based on </w:t>
      </w:r>
      <w:r w:rsidR="000255AE" w:rsidRPr="004301CB">
        <w:t xml:space="preserve">a </w:t>
      </w:r>
      <w:r w:rsidR="0013179D" w:rsidRPr="004301CB">
        <w:t>calendar</w:t>
      </w:r>
      <w:r w:rsidR="00551430" w:rsidRPr="004301CB">
        <w:t xml:space="preserve"> yea</w:t>
      </w:r>
      <w:r w:rsidR="001138BB" w:rsidRPr="004301CB">
        <w:t>r</w:t>
      </w:r>
      <w:r w:rsidR="00356AF3" w:rsidRPr="004301CB">
        <w:t xml:space="preserve"> and will be provided in staged payments. Continuing payments are dependent on satisfactory progress reports.</w:t>
      </w:r>
    </w:p>
    <w:p w14:paraId="7BF5D661" w14:textId="47F976EC" w:rsidR="00356AF3" w:rsidRDefault="00356AF3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For the 2018 calendar year, a total amount of $8</w:t>
      </w:r>
      <w:r w:rsidR="0047292C">
        <w:t>.</w:t>
      </w:r>
      <w:r>
        <w:t xml:space="preserve">886 million </w:t>
      </w:r>
      <w:proofErr w:type="gramStart"/>
      <w:r>
        <w:t>is allocated</w:t>
      </w:r>
      <w:proofErr w:type="gramEnd"/>
      <w:r>
        <w:t xml:space="preserve"> for the eight hubs. </w:t>
      </w:r>
      <w:r w:rsidR="0080544B">
        <w:t xml:space="preserve">Program funding and payments for </w:t>
      </w:r>
      <w:r w:rsidR="00190D8A">
        <w:t xml:space="preserve">calendar years from </w:t>
      </w:r>
      <w:r w:rsidR="0080544B">
        <w:t>2019 and onwards will average over $2 million</w:t>
      </w:r>
      <w:r w:rsidR="00987F90">
        <w:t xml:space="preserve"> per year.</w:t>
      </w:r>
    </w:p>
    <w:p w14:paraId="4EB32482" w14:textId="396C51E9" w:rsidR="00C1422A" w:rsidRPr="007B5E4E" w:rsidRDefault="000F25A5" w:rsidP="00987F90">
      <w:pPr>
        <w:pStyle w:val="Heading1"/>
      </w:pPr>
      <w:bookmarkStart w:id="82" w:name="_Toc509480705"/>
      <w:bookmarkStart w:id="83" w:name="_Toc519840304"/>
      <w:r>
        <w:t>5</w:t>
      </w:r>
      <w:r w:rsidR="00F52DB3">
        <w:t xml:space="preserve">. </w:t>
      </w:r>
      <w:r w:rsidR="008B7A79">
        <w:t>Assessment</w:t>
      </w:r>
      <w:r w:rsidR="00F52DB3">
        <w:t xml:space="preserve"> and decisions</w:t>
      </w:r>
      <w:bookmarkEnd w:id="82"/>
      <w:bookmarkEnd w:id="83"/>
    </w:p>
    <w:p w14:paraId="01C6BC55" w14:textId="05048705" w:rsidR="00787D9C" w:rsidRDefault="000F25A5" w:rsidP="00787D9C">
      <w:pPr>
        <w:pStyle w:val="Heading2"/>
      </w:pPr>
      <w:bookmarkStart w:id="84" w:name="_Toc509480706"/>
      <w:bookmarkStart w:id="85" w:name="_Toc519840305"/>
      <w:proofErr w:type="gramStart"/>
      <w:r>
        <w:t>5.1</w:t>
      </w:r>
      <w:proofErr w:type="gramEnd"/>
      <w:r w:rsidR="00787D9C">
        <w:t>: Are different weightings applied to the assessment criteria?</w:t>
      </w:r>
      <w:bookmarkEnd w:id="85"/>
    </w:p>
    <w:p w14:paraId="4033B157" w14:textId="77777777" w:rsidR="00787D9C" w:rsidRDefault="00787D9C" w:rsidP="00787D9C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The assessment criteria are not weighted. Each individual proposal </w:t>
      </w:r>
      <w:proofErr w:type="gramStart"/>
      <w:r>
        <w:t>will be assessed</w:t>
      </w:r>
      <w:proofErr w:type="gramEnd"/>
      <w:r>
        <w:t xml:space="preserve"> on the overall merit of its application. </w:t>
      </w:r>
    </w:p>
    <w:p w14:paraId="498C6D7C" w14:textId="19BC905A" w:rsidR="00F012AC" w:rsidRDefault="000F25A5" w:rsidP="00C70A69">
      <w:pPr>
        <w:pStyle w:val="Heading2"/>
      </w:pPr>
      <w:bookmarkStart w:id="86" w:name="_Toc519840306"/>
      <w:proofErr w:type="gramStart"/>
      <w:r>
        <w:t>5.2</w:t>
      </w:r>
      <w:proofErr w:type="gramEnd"/>
      <w:r w:rsidR="008377F0">
        <w:t xml:space="preserve">: </w:t>
      </w:r>
      <w:r w:rsidR="00F52DB3">
        <w:t>What is the assessment process</w:t>
      </w:r>
      <w:r w:rsidR="008B7A79">
        <w:t>?</w:t>
      </w:r>
      <w:bookmarkEnd w:id="84"/>
      <w:bookmarkEnd w:id="86"/>
    </w:p>
    <w:p w14:paraId="2B511B38" w14:textId="30D7D73A" w:rsidR="00F012AC" w:rsidRPr="000417A8" w:rsidRDefault="008B7A79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All eligible applications </w:t>
      </w:r>
      <w:proofErr w:type="gramStart"/>
      <w:r>
        <w:t>will be assessed</w:t>
      </w:r>
      <w:proofErr w:type="gramEnd"/>
      <w:r>
        <w:t xml:space="preserve"> against the </w:t>
      </w:r>
      <w:r w:rsidR="00DC207C" w:rsidRPr="004173AA">
        <w:t xml:space="preserve">assessment </w:t>
      </w:r>
      <w:r w:rsidRPr="004173AA">
        <w:t xml:space="preserve">criteria </w:t>
      </w:r>
      <w:r w:rsidR="0095485E" w:rsidRPr="004173AA">
        <w:t xml:space="preserve">outlined in </w:t>
      </w:r>
      <w:r w:rsidRPr="004173AA">
        <w:t>the Application Guide</w:t>
      </w:r>
      <w:r w:rsidRPr="000417A8">
        <w:t xml:space="preserve">. </w:t>
      </w:r>
    </w:p>
    <w:p w14:paraId="618DFFC5" w14:textId="02A52231" w:rsidR="00F012AC" w:rsidRDefault="008D3A22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The department will clarify </w:t>
      </w:r>
      <w:r w:rsidR="00787D9C">
        <w:t xml:space="preserve">grant </w:t>
      </w:r>
      <w:r>
        <w:t>conditions with</w:t>
      </w:r>
      <w:r w:rsidR="00C57EEC">
        <w:t xml:space="preserve"> </w:t>
      </w:r>
      <w:r>
        <w:t>prospective applicants</w:t>
      </w:r>
      <w:r w:rsidR="00C57EEC">
        <w:t xml:space="preserve"> if necessary</w:t>
      </w:r>
      <w:r w:rsidR="008C716E">
        <w:t xml:space="preserve"> before making</w:t>
      </w:r>
      <w:r w:rsidR="00F012AC">
        <w:t xml:space="preserve"> recommendations to the Minister on the successful applicants. </w:t>
      </w:r>
    </w:p>
    <w:p w14:paraId="1F9A0CE6" w14:textId="34EC2DC4" w:rsidR="00F012AC" w:rsidRDefault="00F012AC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>The Minister will determine</w:t>
      </w:r>
      <w:r w:rsidR="00DC207C">
        <w:t>,</w:t>
      </w:r>
      <w:r>
        <w:t xml:space="preserve"> and </w:t>
      </w:r>
      <w:proofErr w:type="gramStart"/>
      <w:r w:rsidR="00A331BF">
        <w:t>is expected</w:t>
      </w:r>
      <w:proofErr w:type="gramEnd"/>
      <w:r w:rsidR="00A331BF">
        <w:t xml:space="preserve"> to </w:t>
      </w:r>
      <w:r>
        <w:t>announce</w:t>
      </w:r>
      <w:r w:rsidR="00DC207C">
        <w:t>,</w:t>
      </w:r>
      <w:r>
        <w:t xml:space="preserve"> the successful recipients in </w:t>
      </w:r>
      <w:r w:rsidR="000417A8">
        <w:t xml:space="preserve">September </w:t>
      </w:r>
      <w:r>
        <w:t xml:space="preserve">2018. </w:t>
      </w:r>
    </w:p>
    <w:p w14:paraId="73ED8F58" w14:textId="19FD1276" w:rsidR="00F012AC" w:rsidRDefault="00454572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Conditions of </w:t>
      </w:r>
      <w:r w:rsidR="00F57B04">
        <w:t>G</w:t>
      </w:r>
      <w:r>
        <w:t xml:space="preserve">rant </w:t>
      </w:r>
      <w:proofErr w:type="gramStart"/>
      <w:r w:rsidR="00F012AC">
        <w:t>will be drawn up</w:t>
      </w:r>
      <w:proofErr w:type="gramEnd"/>
      <w:r w:rsidR="00F012AC">
        <w:t xml:space="preserve"> and payments will be made </w:t>
      </w:r>
      <w:r w:rsidR="00551430">
        <w:t>as soon as feas</w:t>
      </w:r>
      <w:r w:rsidR="008C716E">
        <w:t>ible to successful applicants.</w:t>
      </w:r>
    </w:p>
    <w:p w14:paraId="7BA12138" w14:textId="141D5099" w:rsidR="008B7A79" w:rsidRDefault="000F25A5" w:rsidP="00C70A69">
      <w:pPr>
        <w:pStyle w:val="Heading2"/>
      </w:pPr>
      <w:bookmarkStart w:id="87" w:name="_Toc509480707"/>
      <w:bookmarkStart w:id="88" w:name="_Toc519840307"/>
      <w:proofErr w:type="gramStart"/>
      <w:r>
        <w:t>5.3</w:t>
      </w:r>
      <w:proofErr w:type="gramEnd"/>
      <w:r w:rsidR="008377F0">
        <w:t xml:space="preserve">: </w:t>
      </w:r>
      <w:r w:rsidR="008B7A79">
        <w:t>What is the department’s role in the assessment?</w:t>
      </w:r>
      <w:bookmarkEnd w:id="87"/>
      <w:bookmarkEnd w:id="88"/>
      <w:r w:rsidR="008B7A79">
        <w:t xml:space="preserve"> </w:t>
      </w:r>
    </w:p>
    <w:p w14:paraId="6F846417" w14:textId="20469143" w:rsidR="008B7A79" w:rsidRDefault="008B7A79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The department will </w:t>
      </w:r>
      <w:r w:rsidR="000F25A5">
        <w:t xml:space="preserve">establish an internal expert panel to </w:t>
      </w:r>
      <w:r>
        <w:t>assess all applications</w:t>
      </w:r>
      <w:r w:rsidR="000F25A5">
        <w:t xml:space="preserve"> against the assessment criteria</w:t>
      </w:r>
      <w:r>
        <w:t>.</w:t>
      </w:r>
    </w:p>
    <w:p w14:paraId="4500C536" w14:textId="77777777" w:rsidR="008B7A79" w:rsidRDefault="008B7A79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>The department may request advice on applications from local</w:t>
      </w:r>
      <w:r w:rsidR="007D7FD3">
        <w:t xml:space="preserve"> councils</w:t>
      </w:r>
      <w:r>
        <w:t xml:space="preserve">, state and territory governments, </w:t>
      </w:r>
      <w:r w:rsidR="007D7FD3">
        <w:t>other Australian Government agencies, independent experts and other external parties, on a range of matters, including but not limited to:</w:t>
      </w:r>
    </w:p>
    <w:p w14:paraId="499A7006" w14:textId="77777777" w:rsidR="007D7FD3" w:rsidRDefault="00F52DB3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t</w:t>
      </w:r>
      <w:r w:rsidR="007D7FD3">
        <w:t>he hist</w:t>
      </w:r>
      <w:r>
        <w:t>ory of the applicant in deliver</w:t>
      </w:r>
      <w:r w:rsidR="008849BB">
        <w:t>ing</w:t>
      </w:r>
      <w:r w:rsidR="007D7FD3">
        <w:t xml:space="preserve"> projects</w:t>
      </w:r>
    </w:p>
    <w:p w14:paraId="44C873FD" w14:textId="77777777" w:rsidR="007D7FD3" w:rsidRDefault="00F52DB3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t</w:t>
      </w:r>
      <w:r w:rsidR="007D7FD3">
        <w:t xml:space="preserve">he </w:t>
      </w:r>
      <w:r w:rsidR="00454572">
        <w:t xml:space="preserve">financial </w:t>
      </w:r>
      <w:r w:rsidR="007D7FD3">
        <w:t>viability o</w:t>
      </w:r>
      <w:r>
        <w:t>f the proposal</w:t>
      </w:r>
      <w:r w:rsidR="007D7FD3">
        <w:t xml:space="preserve"> and applicant</w:t>
      </w:r>
    </w:p>
    <w:p w14:paraId="59169AA2" w14:textId="77777777" w:rsidR="007D7FD3" w:rsidRDefault="00F52DB3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the extent to which the proposal</w:t>
      </w:r>
      <w:r w:rsidR="007D7FD3">
        <w:t xml:space="preserve"> aligns with or delivers priorities in state/territory/local community plans</w:t>
      </w:r>
    </w:p>
    <w:p w14:paraId="53371E01" w14:textId="77777777" w:rsidR="007D7FD3" w:rsidRDefault="00F52DB3" w:rsidP="00C70A69">
      <w:pPr>
        <w:pStyle w:val="ListParagraph"/>
        <w:numPr>
          <w:ilvl w:val="1"/>
          <w:numId w:val="8"/>
        </w:numPr>
        <w:spacing w:after="0"/>
        <w:contextualSpacing w:val="0"/>
      </w:pPr>
      <w:r>
        <w:t>c</w:t>
      </w:r>
      <w:r w:rsidR="007D7FD3">
        <w:t>onfirmation of funding contributions</w:t>
      </w:r>
    </w:p>
    <w:p w14:paraId="0486EE73" w14:textId="77777777" w:rsidR="007D7FD3" w:rsidRDefault="00F52DB3" w:rsidP="00C70A69">
      <w:pPr>
        <w:pStyle w:val="ListParagraph"/>
        <w:numPr>
          <w:ilvl w:val="1"/>
          <w:numId w:val="8"/>
        </w:numPr>
        <w:spacing w:after="0"/>
        <w:contextualSpacing w:val="0"/>
      </w:pPr>
      <w:proofErr w:type="gramStart"/>
      <w:r>
        <w:t>impact</w:t>
      </w:r>
      <w:proofErr w:type="gramEnd"/>
      <w:r>
        <w:t xml:space="preserve"> of the proposal</w:t>
      </w:r>
      <w:r w:rsidR="007D7FD3">
        <w:t xml:space="preserve"> on the region, including the most appropriate location</w:t>
      </w:r>
      <w:r w:rsidR="002E2EF2">
        <w:t>.</w:t>
      </w:r>
    </w:p>
    <w:p w14:paraId="47765C56" w14:textId="77777777" w:rsidR="007D7FD3" w:rsidRDefault="007D7FD3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 w:rsidRPr="007D7FD3">
        <w:t>The department will</w:t>
      </w:r>
      <w:r w:rsidR="00F52DB3">
        <w:t xml:space="preserve"> make recommendations on the successful</w:t>
      </w:r>
      <w:r w:rsidR="003A2C45">
        <w:t xml:space="preserve"> applications </w:t>
      </w:r>
      <w:r w:rsidRPr="007D7FD3">
        <w:t xml:space="preserve">to </w:t>
      </w:r>
      <w:proofErr w:type="gramStart"/>
      <w:r w:rsidRPr="007D7FD3">
        <w:t>be funded</w:t>
      </w:r>
      <w:proofErr w:type="gramEnd"/>
      <w:r w:rsidRPr="007D7FD3">
        <w:t xml:space="preserve"> to the Minister.</w:t>
      </w:r>
    </w:p>
    <w:p w14:paraId="22C12FAD" w14:textId="4E3F88C9" w:rsidR="007D7FD3" w:rsidRDefault="000F25A5" w:rsidP="00C70A69">
      <w:pPr>
        <w:pStyle w:val="Heading2"/>
      </w:pPr>
      <w:bookmarkStart w:id="89" w:name="_Toc509480708"/>
      <w:bookmarkStart w:id="90" w:name="_Toc519840308"/>
      <w:proofErr w:type="gramStart"/>
      <w:r>
        <w:t>5.4</w:t>
      </w:r>
      <w:proofErr w:type="gramEnd"/>
      <w:r w:rsidR="008377F0">
        <w:t xml:space="preserve">: </w:t>
      </w:r>
      <w:r w:rsidR="007D7FD3">
        <w:t>Will the department contact me with questions relating to my application?</w:t>
      </w:r>
      <w:bookmarkEnd w:id="89"/>
      <w:bookmarkEnd w:id="90"/>
    </w:p>
    <w:p w14:paraId="684ED0EB" w14:textId="77777777" w:rsidR="007D7FD3" w:rsidRDefault="007D7FD3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>The department may contact you to clarify information provided in your application.</w:t>
      </w:r>
    </w:p>
    <w:p w14:paraId="32B1B5BE" w14:textId="3B2F6BAE" w:rsidR="007D7FD3" w:rsidRDefault="007D7FD3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 xml:space="preserve">The department </w:t>
      </w:r>
      <w:r w:rsidR="000F25A5">
        <w:t xml:space="preserve">will </w:t>
      </w:r>
      <w:r w:rsidR="00F52DB3">
        <w:t xml:space="preserve">only </w:t>
      </w:r>
      <w:r>
        <w:t>seek or accept additional information during the assessment of your application</w:t>
      </w:r>
      <w:r w:rsidR="00F52DB3">
        <w:t xml:space="preserve"> </w:t>
      </w:r>
      <w:r w:rsidR="00B30A5D">
        <w:t>where necessary to clarify details of your application</w:t>
      </w:r>
      <w:r>
        <w:t>.</w:t>
      </w:r>
    </w:p>
    <w:p w14:paraId="669602DA" w14:textId="7A05A246" w:rsidR="007D7FD3" w:rsidRDefault="004E4DB0" w:rsidP="008377F0">
      <w:pPr>
        <w:pStyle w:val="Heading2"/>
      </w:pPr>
      <w:bookmarkStart w:id="91" w:name="_Toc509480709"/>
      <w:bookmarkStart w:id="92" w:name="_Toc519840309"/>
      <w:proofErr w:type="gramStart"/>
      <w:r>
        <w:t>5.5</w:t>
      </w:r>
      <w:proofErr w:type="gramEnd"/>
      <w:r w:rsidR="008377F0">
        <w:t xml:space="preserve">: </w:t>
      </w:r>
      <w:r w:rsidR="007D7FD3">
        <w:t xml:space="preserve">Who </w:t>
      </w:r>
      <w:r w:rsidR="00221A9D">
        <w:t>determines</w:t>
      </w:r>
      <w:r w:rsidR="007D7FD3">
        <w:t xml:space="preserve"> which projects are successful?</w:t>
      </w:r>
      <w:bookmarkEnd w:id="91"/>
      <w:bookmarkEnd w:id="92"/>
    </w:p>
    <w:p w14:paraId="313E3F76" w14:textId="24E5DA27" w:rsidR="00221A9D" w:rsidRDefault="00B30A5D" w:rsidP="00987F90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The Minister </w:t>
      </w:r>
      <w:r w:rsidR="00CD4F57">
        <w:t xml:space="preserve">for Education and Training </w:t>
      </w:r>
      <w:r>
        <w:t>will determine successful applicants following assessment of appli</w:t>
      </w:r>
      <w:r w:rsidR="00CD4F57">
        <w:t>cations by an expert panel established by t</w:t>
      </w:r>
      <w:r w:rsidR="007D7FD3">
        <w:t>he department</w:t>
      </w:r>
      <w:r w:rsidR="00221A9D">
        <w:t>.</w:t>
      </w:r>
    </w:p>
    <w:p w14:paraId="08C76937" w14:textId="7D5A1F1A" w:rsidR="007D7FD3" w:rsidRDefault="004E4DB0" w:rsidP="008377F0">
      <w:pPr>
        <w:pStyle w:val="Heading2"/>
      </w:pPr>
      <w:bookmarkStart w:id="93" w:name="_Toc509480710"/>
      <w:bookmarkStart w:id="94" w:name="_Toc519840310"/>
      <w:proofErr w:type="gramStart"/>
      <w:r>
        <w:t>5.6</w:t>
      </w:r>
      <w:proofErr w:type="gramEnd"/>
      <w:r w:rsidR="008377F0">
        <w:t xml:space="preserve">: </w:t>
      </w:r>
      <w:r w:rsidR="007D7FD3">
        <w:t>When will I be advised about the outcome of my application?</w:t>
      </w:r>
      <w:bookmarkEnd w:id="93"/>
      <w:bookmarkEnd w:id="94"/>
    </w:p>
    <w:p w14:paraId="651C28E3" w14:textId="5E0914F6" w:rsidR="007D7FD3" w:rsidRDefault="004C722F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It </w:t>
      </w:r>
      <w:proofErr w:type="gramStart"/>
      <w:r>
        <w:t>is expected</w:t>
      </w:r>
      <w:proofErr w:type="gramEnd"/>
      <w:r>
        <w:t xml:space="preserve"> that t</w:t>
      </w:r>
      <w:r w:rsidR="007D7FD3">
        <w:t xml:space="preserve">he Minister will announce the successful recipients of Regional </w:t>
      </w:r>
      <w:r w:rsidR="00935BA3">
        <w:t>Study Hubs</w:t>
      </w:r>
      <w:r w:rsidR="009305E5">
        <w:t xml:space="preserve"> </w:t>
      </w:r>
      <w:r w:rsidR="00B17599">
        <w:t>Program</w:t>
      </w:r>
      <w:r w:rsidR="009305E5">
        <w:t xml:space="preserve"> funding</w:t>
      </w:r>
      <w:r w:rsidR="007D7FD3">
        <w:t xml:space="preserve"> </w:t>
      </w:r>
      <w:r w:rsidR="002901B1">
        <w:t xml:space="preserve">from </w:t>
      </w:r>
      <w:r w:rsidR="000417A8">
        <w:t xml:space="preserve">September </w:t>
      </w:r>
      <w:r w:rsidR="007D7FD3">
        <w:t xml:space="preserve">2018. </w:t>
      </w:r>
    </w:p>
    <w:p w14:paraId="0459785E" w14:textId="2F7FD735" w:rsidR="00F52DB3" w:rsidRDefault="007D7FD3" w:rsidP="00C70A69">
      <w:pPr>
        <w:pStyle w:val="ListParagraph"/>
        <w:numPr>
          <w:ilvl w:val="0"/>
          <w:numId w:val="8"/>
        </w:numPr>
        <w:spacing w:after="200"/>
        <w:ind w:left="357" w:hanging="357"/>
        <w:contextualSpacing w:val="0"/>
      </w:pPr>
      <w:r>
        <w:t>The department will contact</w:t>
      </w:r>
      <w:r w:rsidR="00F01EC7">
        <w:t xml:space="preserve"> successful</w:t>
      </w:r>
      <w:r w:rsidR="004C722F">
        <w:t xml:space="preserve"> applicants </w:t>
      </w:r>
      <w:r>
        <w:t xml:space="preserve">to discuss the </w:t>
      </w:r>
      <w:r w:rsidR="00DC207C">
        <w:t>C</w:t>
      </w:r>
      <w:r>
        <w:t xml:space="preserve">onditions of the </w:t>
      </w:r>
      <w:r w:rsidR="00DC207C">
        <w:t>G</w:t>
      </w:r>
      <w:r>
        <w:t xml:space="preserve">rant and </w:t>
      </w:r>
      <w:r w:rsidR="000F25A5">
        <w:t xml:space="preserve">arrange </w:t>
      </w:r>
      <w:r>
        <w:t>payments</w:t>
      </w:r>
      <w:r w:rsidR="000417A8">
        <w:t xml:space="preserve"> </w:t>
      </w:r>
      <w:r w:rsidR="002901B1">
        <w:t>from</w:t>
      </w:r>
      <w:r w:rsidR="000417A8">
        <w:t xml:space="preserve"> October 2018</w:t>
      </w:r>
      <w:r>
        <w:t xml:space="preserve">. </w:t>
      </w:r>
    </w:p>
    <w:p w14:paraId="776B50D6" w14:textId="59525A09" w:rsidR="0038761A" w:rsidRDefault="004E4DB0" w:rsidP="00935BA3">
      <w:pPr>
        <w:pStyle w:val="Heading2"/>
      </w:pPr>
      <w:bookmarkStart w:id="95" w:name="_Toc519840311"/>
      <w:proofErr w:type="gramStart"/>
      <w:r>
        <w:t>5.7</w:t>
      </w:r>
      <w:proofErr w:type="gramEnd"/>
      <w:r>
        <w:t>:</w:t>
      </w:r>
      <w:r w:rsidR="00F57B04">
        <w:t xml:space="preserve"> </w:t>
      </w:r>
      <w:r w:rsidR="001138BB">
        <w:t>W</w:t>
      </w:r>
      <w:r w:rsidR="0051667D" w:rsidRPr="0051667D">
        <w:t>ill I get feedback if my application is unsuccessful?</w:t>
      </w:r>
      <w:bookmarkEnd w:id="95"/>
      <w:r w:rsidR="0038761A">
        <w:t xml:space="preserve"> </w:t>
      </w:r>
    </w:p>
    <w:p w14:paraId="6B0925C3" w14:textId="77777777" w:rsidR="0038761A" w:rsidRPr="001E3063" w:rsidRDefault="0038761A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 w:rsidRPr="001E3063">
        <w:t xml:space="preserve">If you are unsuccessful, you may ask for feedback on your application from the </w:t>
      </w:r>
      <w:r>
        <w:t>Equity Policy team at the Department of Education and Training</w:t>
      </w:r>
      <w:r w:rsidRPr="001E3063">
        <w:t>.</w:t>
      </w:r>
    </w:p>
    <w:p w14:paraId="58FAAC24" w14:textId="46BC83DE" w:rsidR="00C1422A" w:rsidRPr="007B5E4E" w:rsidRDefault="000F25A5" w:rsidP="00F52DB3">
      <w:pPr>
        <w:pStyle w:val="Heading1"/>
      </w:pPr>
      <w:bookmarkStart w:id="96" w:name="_Toc509480711"/>
      <w:bookmarkStart w:id="97" w:name="_Toc519840312"/>
      <w:r>
        <w:t>6</w:t>
      </w:r>
      <w:r w:rsidR="00F52DB3">
        <w:t xml:space="preserve">. </w:t>
      </w:r>
      <w:r w:rsidR="00C1422A" w:rsidRPr="007B5E4E">
        <w:t>Useful contacts</w:t>
      </w:r>
      <w:r w:rsidR="00F52DB3">
        <w:t xml:space="preserve"> and resources</w:t>
      </w:r>
      <w:bookmarkEnd w:id="96"/>
      <w:bookmarkEnd w:id="97"/>
    </w:p>
    <w:p w14:paraId="23AAB620" w14:textId="77777777" w:rsidR="00F52DB3" w:rsidRDefault="009936A0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Please visit the Department of Education and Training website to access </w:t>
      </w:r>
      <w:r w:rsidR="00F01EC7">
        <w:t xml:space="preserve">the </w:t>
      </w:r>
      <w:r>
        <w:t>most</w:t>
      </w:r>
      <w:r w:rsidR="00F52DB3">
        <w:t xml:space="preserve"> </w:t>
      </w:r>
      <w:r>
        <w:t xml:space="preserve">relevant information on the implementation of the Regional </w:t>
      </w:r>
      <w:r w:rsidR="00AE5B7A">
        <w:t>Study Hub</w:t>
      </w:r>
      <w:r>
        <w:t xml:space="preserve">s </w:t>
      </w:r>
      <w:r w:rsidR="00AE5B7A">
        <w:t xml:space="preserve">Program </w:t>
      </w:r>
      <w:r>
        <w:t xml:space="preserve">at </w:t>
      </w:r>
      <w:hyperlink r:id="rId13" w:history="1">
        <w:r w:rsidRPr="00324E65">
          <w:rPr>
            <w:rStyle w:val="Hyperlink"/>
          </w:rPr>
          <w:t>https://www.education.gov.au/access-and-participation</w:t>
        </w:r>
      </w:hyperlink>
      <w:r w:rsidR="00F01EC7">
        <w:t>.</w:t>
      </w:r>
    </w:p>
    <w:p w14:paraId="6719A351" w14:textId="77777777" w:rsidR="00C1422A" w:rsidRDefault="00C1422A" w:rsidP="00C70A69">
      <w:pPr>
        <w:pStyle w:val="ListParagraph"/>
        <w:numPr>
          <w:ilvl w:val="0"/>
          <w:numId w:val="8"/>
        </w:numPr>
        <w:spacing w:after="0"/>
        <w:ind w:left="357" w:hanging="357"/>
        <w:contextualSpacing w:val="0"/>
      </w:pPr>
      <w:r>
        <w:t xml:space="preserve">To help us help you in a timely manner, please direct all your questions and submissions to </w:t>
      </w:r>
      <w:hyperlink r:id="rId14" w:history="1">
        <w:r w:rsidRPr="000E6477">
          <w:rPr>
            <w:rStyle w:val="Hyperlink"/>
          </w:rPr>
          <w:t>equity@education.gov.au</w:t>
        </w:r>
      </w:hyperlink>
      <w:r>
        <w:t xml:space="preserve">. </w:t>
      </w:r>
    </w:p>
    <w:sectPr w:rsidR="00C1422A" w:rsidSect="00776EEB"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FAB1" w14:textId="77777777" w:rsidR="00596A2F" w:rsidRDefault="00596A2F" w:rsidP="00646791">
      <w:pPr>
        <w:spacing w:after="0" w:line="240" w:lineRule="auto"/>
      </w:pPr>
      <w:r>
        <w:separator/>
      </w:r>
    </w:p>
  </w:endnote>
  <w:endnote w:type="continuationSeparator" w:id="0">
    <w:p w14:paraId="14148B3A" w14:textId="77777777" w:rsidR="00596A2F" w:rsidRDefault="00596A2F" w:rsidP="0064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80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69D75" w14:textId="7E5BB9B8" w:rsidR="00596A2F" w:rsidRDefault="00596A2F">
        <w:pPr>
          <w:pStyle w:val="Footer"/>
          <w:jc w:val="right"/>
        </w:pPr>
        <w:r w:rsidRPr="00421C1D">
          <w:rPr>
            <w:rFonts w:ascii="Calibri" w:hAnsi="Calibri"/>
            <w:sz w:val="22"/>
          </w:rPr>
          <w:fldChar w:fldCharType="begin"/>
        </w:r>
        <w:r w:rsidRPr="00421C1D">
          <w:rPr>
            <w:rFonts w:ascii="Calibri" w:hAnsi="Calibri"/>
            <w:sz w:val="22"/>
          </w:rPr>
          <w:instrText xml:space="preserve"> PAGE   \* MERGEFORMAT </w:instrText>
        </w:r>
        <w:r w:rsidRPr="00421C1D">
          <w:rPr>
            <w:rFonts w:ascii="Calibri" w:hAnsi="Calibri"/>
            <w:sz w:val="22"/>
          </w:rPr>
          <w:fldChar w:fldCharType="separate"/>
        </w:r>
        <w:r>
          <w:rPr>
            <w:rFonts w:ascii="Calibri" w:hAnsi="Calibri"/>
            <w:noProof/>
            <w:sz w:val="22"/>
          </w:rPr>
          <w:t>1</w:t>
        </w:r>
        <w:r w:rsidRPr="00421C1D">
          <w:rPr>
            <w:rFonts w:ascii="Calibri" w:hAnsi="Calibri"/>
            <w:noProof/>
            <w:sz w:val="22"/>
          </w:rPr>
          <w:fldChar w:fldCharType="end"/>
        </w:r>
      </w:p>
    </w:sdtContent>
  </w:sdt>
  <w:p w14:paraId="09D357DD" w14:textId="77777777" w:rsidR="00596A2F" w:rsidRDefault="00596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A063" w14:textId="0A884265" w:rsidR="00596A2F" w:rsidRDefault="00596A2F">
    <w:pPr>
      <w:pStyle w:val="Footer"/>
      <w:pBdr>
        <w:top w:val="single" w:sz="4" w:space="1" w:color="D9D9D9" w:themeColor="background1" w:themeShade="D9"/>
      </w:pBdr>
      <w:jc w:val="right"/>
    </w:pPr>
  </w:p>
  <w:p w14:paraId="0815056C" w14:textId="77777777" w:rsidR="00596A2F" w:rsidRDefault="00596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7958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B4B9E7" w14:textId="2F1CF2EA" w:rsidR="00596A2F" w:rsidRDefault="00596A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8D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4CAB2E" w14:textId="77777777" w:rsidR="00596A2F" w:rsidRDefault="00596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F61C" w14:textId="77777777" w:rsidR="00596A2F" w:rsidRDefault="00596A2F" w:rsidP="00646791">
      <w:pPr>
        <w:spacing w:after="0" w:line="240" w:lineRule="auto"/>
      </w:pPr>
      <w:r>
        <w:separator/>
      </w:r>
    </w:p>
  </w:footnote>
  <w:footnote w:type="continuationSeparator" w:id="0">
    <w:p w14:paraId="3C9477F6" w14:textId="77777777" w:rsidR="00596A2F" w:rsidRDefault="00596A2F" w:rsidP="0064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9C3"/>
    <w:multiLevelType w:val="hybridMultilevel"/>
    <w:tmpl w:val="3BFA7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305A"/>
    <w:multiLevelType w:val="hybridMultilevel"/>
    <w:tmpl w:val="466E5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EC2"/>
    <w:multiLevelType w:val="hybridMultilevel"/>
    <w:tmpl w:val="9486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0EA"/>
    <w:multiLevelType w:val="hybridMultilevel"/>
    <w:tmpl w:val="B7AA9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2F"/>
    <w:multiLevelType w:val="hybridMultilevel"/>
    <w:tmpl w:val="569E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807C6"/>
    <w:multiLevelType w:val="hybridMultilevel"/>
    <w:tmpl w:val="C8260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6DB9"/>
    <w:multiLevelType w:val="hybridMultilevel"/>
    <w:tmpl w:val="54CC85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E6927"/>
    <w:multiLevelType w:val="hybridMultilevel"/>
    <w:tmpl w:val="6D7211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D39"/>
    <w:multiLevelType w:val="hybridMultilevel"/>
    <w:tmpl w:val="85D83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23A6"/>
    <w:multiLevelType w:val="hybridMultilevel"/>
    <w:tmpl w:val="04C2D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25C1"/>
    <w:multiLevelType w:val="hybridMultilevel"/>
    <w:tmpl w:val="26BE9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1516"/>
    <w:multiLevelType w:val="hybridMultilevel"/>
    <w:tmpl w:val="2F588F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207CA"/>
    <w:multiLevelType w:val="hybridMultilevel"/>
    <w:tmpl w:val="06DC9B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E1E35"/>
    <w:multiLevelType w:val="hybridMultilevel"/>
    <w:tmpl w:val="430C8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26C2"/>
    <w:multiLevelType w:val="hybridMultilevel"/>
    <w:tmpl w:val="0DCA7D3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6684"/>
    <w:multiLevelType w:val="hybridMultilevel"/>
    <w:tmpl w:val="9B1CF5B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8252E"/>
    <w:multiLevelType w:val="hybridMultilevel"/>
    <w:tmpl w:val="76D09992"/>
    <w:lvl w:ilvl="0" w:tplc="E62EF9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5020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4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60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9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9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8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CC6"/>
    <w:multiLevelType w:val="hybridMultilevel"/>
    <w:tmpl w:val="75E43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4061E"/>
    <w:multiLevelType w:val="hybridMultilevel"/>
    <w:tmpl w:val="D96488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8D3AC5"/>
    <w:multiLevelType w:val="hybridMultilevel"/>
    <w:tmpl w:val="BBF65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F148E"/>
    <w:multiLevelType w:val="hybridMultilevel"/>
    <w:tmpl w:val="B2AA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11BDB"/>
    <w:multiLevelType w:val="hybridMultilevel"/>
    <w:tmpl w:val="AFDC0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D543B"/>
    <w:multiLevelType w:val="hybridMultilevel"/>
    <w:tmpl w:val="2522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00B1E"/>
    <w:multiLevelType w:val="hybridMultilevel"/>
    <w:tmpl w:val="56D0F540"/>
    <w:lvl w:ilvl="0" w:tplc="0A7EC06A">
      <w:start w:val="2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05D0D"/>
    <w:multiLevelType w:val="multilevel"/>
    <w:tmpl w:val="26E8F75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684568C"/>
    <w:multiLevelType w:val="hybridMultilevel"/>
    <w:tmpl w:val="7FDCAE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3E7E"/>
    <w:multiLevelType w:val="hybridMultilevel"/>
    <w:tmpl w:val="F3FC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C3399"/>
    <w:multiLevelType w:val="hybridMultilevel"/>
    <w:tmpl w:val="794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9110E"/>
    <w:multiLevelType w:val="hybridMultilevel"/>
    <w:tmpl w:val="14322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21A44"/>
    <w:multiLevelType w:val="multilevel"/>
    <w:tmpl w:val="64824F7A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18"/>
  </w:num>
  <w:num w:numId="7">
    <w:abstractNumId w:val="17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27"/>
  </w:num>
  <w:num w:numId="13">
    <w:abstractNumId w:val="4"/>
  </w:num>
  <w:num w:numId="14">
    <w:abstractNumId w:val="21"/>
  </w:num>
  <w:num w:numId="15">
    <w:abstractNumId w:val="8"/>
  </w:num>
  <w:num w:numId="16">
    <w:abstractNumId w:val="2"/>
  </w:num>
  <w:num w:numId="17">
    <w:abstractNumId w:val="19"/>
  </w:num>
  <w:num w:numId="18">
    <w:abstractNumId w:val="12"/>
  </w:num>
  <w:num w:numId="19">
    <w:abstractNumId w:val="16"/>
  </w:num>
  <w:num w:numId="20">
    <w:abstractNumId w:val="24"/>
  </w:num>
  <w:num w:numId="21">
    <w:abstractNumId w:val="23"/>
  </w:num>
  <w:num w:numId="22">
    <w:abstractNumId w:val="14"/>
  </w:num>
  <w:num w:numId="23">
    <w:abstractNumId w:val="15"/>
  </w:num>
  <w:num w:numId="24">
    <w:abstractNumId w:val="22"/>
  </w:num>
  <w:num w:numId="25">
    <w:abstractNumId w:val="29"/>
  </w:num>
  <w:num w:numId="26">
    <w:abstractNumId w:val="0"/>
  </w:num>
  <w:num w:numId="27">
    <w:abstractNumId w:val="20"/>
  </w:num>
  <w:num w:numId="28">
    <w:abstractNumId w:val="10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8cd84f7-5349-4801-bb40-8d189780536c"/>
    <w:docVar w:name="dgnword-docGUID" w:val="{02A74FE1-02E6-424D-9FBD-E40B52E50A5E}"/>
    <w:docVar w:name="dgnword-eventsink" w:val="5435064"/>
  </w:docVars>
  <w:rsids>
    <w:rsidRoot w:val="003142CB"/>
    <w:rsid w:val="0000082C"/>
    <w:rsid w:val="000255AE"/>
    <w:rsid w:val="000417A8"/>
    <w:rsid w:val="0004274F"/>
    <w:rsid w:val="00084EB6"/>
    <w:rsid w:val="000915F6"/>
    <w:rsid w:val="000A6AE1"/>
    <w:rsid w:val="000A70FB"/>
    <w:rsid w:val="000E564D"/>
    <w:rsid w:val="000F25A5"/>
    <w:rsid w:val="001138BB"/>
    <w:rsid w:val="00126455"/>
    <w:rsid w:val="0013179D"/>
    <w:rsid w:val="00141C99"/>
    <w:rsid w:val="001517AC"/>
    <w:rsid w:val="001570A3"/>
    <w:rsid w:val="00157562"/>
    <w:rsid w:val="001575CD"/>
    <w:rsid w:val="00161570"/>
    <w:rsid w:val="00164A96"/>
    <w:rsid w:val="00166138"/>
    <w:rsid w:val="00173413"/>
    <w:rsid w:val="00176C17"/>
    <w:rsid w:val="00182AA8"/>
    <w:rsid w:val="00190967"/>
    <w:rsid w:val="00190D8A"/>
    <w:rsid w:val="0019346B"/>
    <w:rsid w:val="001A663D"/>
    <w:rsid w:val="001B3C56"/>
    <w:rsid w:val="001C7177"/>
    <w:rsid w:val="00210091"/>
    <w:rsid w:val="00210971"/>
    <w:rsid w:val="00213620"/>
    <w:rsid w:val="00221A9D"/>
    <w:rsid w:val="00235B6A"/>
    <w:rsid w:val="00251C6D"/>
    <w:rsid w:val="00252794"/>
    <w:rsid w:val="0027099C"/>
    <w:rsid w:val="002901B1"/>
    <w:rsid w:val="002B7250"/>
    <w:rsid w:val="002E2082"/>
    <w:rsid w:val="002E2EF2"/>
    <w:rsid w:val="00307892"/>
    <w:rsid w:val="00310F32"/>
    <w:rsid w:val="003142CB"/>
    <w:rsid w:val="003249C0"/>
    <w:rsid w:val="00354A61"/>
    <w:rsid w:val="00356AF3"/>
    <w:rsid w:val="00356F05"/>
    <w:rsid w:val="0038761A"/>
    <w:rsid w:val="00393A0C"/>
    <w:rsid w:val="003A2C45"/>
    <w:rsid w:val="003A6C59"/>
    <w:rsid w:val="003C63A0"/>
    <w:rsid w:val="003D2F7A"/>
    <w:rsid w:val="003D76D0"/>
    <w:rsid w:val="00405362"/>
    <w:rsid w:val="004173AA"/>
    <w:rsid w:val="004201FB"/>
    <w:rsid w:val="00421C1D"/>
    <w:rsid w:val="0042661F"/>
    <w:rsid w:val="004301CB"/>
    <w:rsid w:val="00433639"/>
    <w:rsid w:val="00434364"/>
    <w:rsid w:val="00436CE6"/>
    <w:rsid w:val="0044208A"/>
    <w:rsid w:val="004520BD"/>
    <w:rsid w:val="00454572"/>
    <w:rsid w:val="0046264E"/>
    <w:rsid w:val="0046308A"/>
    <w:rsid w:val="004631C0"/>
    <w:rsid w:val="0047292C"/>
    <w:rsid w:val="004C22A6"/>
    <w:rsid w:val="004C376F"/>
    <w:rsid w:val="004C722F"/>
    <w:rsid w:val="004D00A8"/>
    <w:rsid w:val="004D2A63"/>
    <w:rsid w:val="004D2AE9"/>
    <w:rsid w:val="004D7115"/>
    <w:rsid w:val="004E4D51"/>
    <w:rsid w:val="004E4DB0"/>
    <w:rsid w:val="0051667D"/>
    <w:rsid w:val="005210FD"/>
    <w:rsid w:val="00522217"/>
    <w:rsid w:val="00523A7F"/>
    <w:rsid w:val="00527E4F"/>
    <w:rsid w:val="005352EC"/>
    <w:rsid w:val="00551430"/>
    <w:rsid w:val="00563AC7"/>
    <w:rsid w:val="0057620B"/>
    <w:rsid w:val="00596A2F"/>
    <w:rsid w:val="005E48FA"/>
    <w:rsid w:val="005F39F8"/>
    <w:rsid w:val="005F7F0D"/>
    <w:rsid w:val="006025DC"/>
    <w:rsid w:val="006361E9"/>
    <w:rsid w:val="006373EA"/>
    <w:rsid w:val="00646791"/>
    <w:rsid w:val="00664EFD"/>
    <w:rsid w:val="00671712"/>
    <w:rsid w:val="006754FD"/>
    <w:rsid w:val="0069304D"/>
    <w:rsid w:val="006B06F9"/>
    <w:rsid w:val="006D0C85"/>
    <w:rsid w:val="006D772F"/>
    <w:rsid w:val="006E790E"/>
    <w:rsid w:val="00701330"/>
    <w:rsid w:val="00721DDA"/>
    <w:rsid w:val="007423F8"/>
    <w:rsid w:val="00743C0C"/>
    <w:rsid w:val="0077573D"/>
    <w:rsid w:val="00776EEB"/>
    <w:rsid w:val="00780403"/>
    <w:rsid w:val="00786CF1"/>
    <w:rsid w:val="00787D9C"/>
    <w:rsid w:val="007A2426"/>
    <w:rsid w:val="007A3F92"/>
    <w:rsid w:val="007A5FC3"/>
    <w:rsid w:val="007B3AEC"/>
    <w:rsid w:val="007B5E4E"/>
    <w:rsid w:val="007C55DE"/>
    <w:rsid w:val="007D13E6"/>
    <w:rsid w:val="007D7FD3"/>
    <w:rsid w:val="007F21A0"/>
    <w:rsid w:val="007F2A33"/>
    <w:rsid w:val="0080544B"/>
    <w:rsid w:val="00806F23"/>
    <w:rsid w:val="00817D43"/>
    <w:rsid w:val="008259EE"/>
    <w:rsid w:val="008377F0"/>
    <w:rsid w:val="00840DE6"/>
    <w:rsid w:val="00847B7C"/>
    <w:rsid w:val="008632D1"/>
    <w:rsid w:val="00865B7C"/>
    <w:rsid w:val="00866B17"/>
    <w:rsid w:val="008677E5"/>
    <w:rsid w:val="008849BB"/>
    <w:rsid w:val="00890A39"/>
    <w:rsid w:val="008943C4"/>
    <w:rsid w:val="008B7A79"/>
    <w:rsid w:val="008C0183"/>
    <w:rsid w:val="008C716E"/>
    <w:rsid w:val="008D3A22"/>
    <w:rsid w:val="008D45B6"/>
    <w:rsid w:val="00901EB3"/>
    <w:rsid w:val="0090359F"/>
    <w:rsid w:val="00921077"/>
    <w:rsid w:val="00926C21"/>
    <w:rsid w:val="009305E5"/>
    <w:rsid w:val="00931540"/>
    <w:rsid w:val="00935BA3"/>
    <w:rsid w:val="009468A2"/>
    <w:rsid w:val="0095485E"/>
    <w:rsid w:val="0096379E"/>
    <w:rsid w:val="00976378"/>
    <w:rsid w:val="0098555D"/>
    <w:rsid w:val="00987F90"/>
    <w:rsid w:val="00991074"/>
    <w:rsid w:val="009936A0"/>
    <w:rsid w:val="00994545"/>
    <w:rsid w:val="009A666E"/>
    <w:rsid w:val="009C07E5"/>
    <w:rsid w:val="009C73D6"/>
    <w:rsid w:val="009D65AE"/>
    <w:rsid w:val="009F1711"/>
    <w:rsid w:val="009F2F89"/>
    <w:rsid w:val="00A331BF"/>
    <w:rsid w:val="00A36D31"/>
    <w:rsid w:val="00A403FA"/>
    <w:rsid w:val="00A646D0"/>
    <w:rsid w:val="00A6675B"/>
    <w:rsid w:val="00A8336A"/>
    <w:rsid w:val="00A910C6"/>
    <w:rsid w:val="00AC04CF"/>
    <w:rsid w:val="00AC3D47"/>
    <w:rsid w:val="00AD056B"/>
    <w:rsid w:val="00AD0F03"/>
    <w:rsid w:val="00AE5B7A"/>
    <w:rsid w:val="00B03045"/>
    <w:rsid w:val="00B17599"/>
    <w:rsid w:val="00B250CB"/>
    <w:rsid w:val="00B30A5D"/>
    <w:rsid w:val="00B333B4"/>
    <w:rsid w:val="00B53F03"/>
    <w:rsid w:val="00BA3E24"/>
    <w:rsid w:val="00BB7D98"/>
    <w:rsid w:val="00BF24CC"/>
    <w:rsid w:val="00C1422A"/>
    <w:rsid w:val="00C21631"/>
    <w:rsid w:val="00C402DB"/>
    <w:rsid w:val="00C478CD"/>
    <w:rsid w:val="00C57EEC"/>
    <w:rsid w:val="00C61A5E"/>
    <w:rsid w:val="00C70A69"/>
    <w:rsid w:val="00C90305"/>
    <w:rsid w:val="00CB4C4F"/>
    <w:rsid w:val="00CC2791"/>
    <w:rsid w:val="00CD4F57"/>
    <w:rsid w:val="00CE0BFE"/>
    <w:rsid w:val="00CF6BFE"/>
    <w:rsid w:val="00D13C7A"/>
    <w:rsid w:val="00D17E9B"/>
    <w:rsid w:val="00D343F4"/>
    <w:rsid w:val="00D411AC"/>
    <w:rsid w:val="00D41593"/>
    <w:rsid w:val="00D4565F"/>
    <w:rsid w:val="00D50558"/>
    <w:rsid w:val="00D619C4"/>
    <w:rsid w:val="00D6325C"/>
    <w:rsid w:val="00D70FCD"/>
    <w:rsid w:val="00D77B8D"/>
    <w:rsid w:val="00D83112"/>
    <w:rsid w:val="00D94F38"/>
    <w:rsid w:val="00DA3769"/>
    <w:rsid w:val="00DA73F9"/>
    <w:rsid w:val="00DB57CF"/>
    <w:rsid w:val="00DC207C"/>
    <w:rsid w:val="00DD3D34"/>
    <w:rsid w:val="00DF2408"/>
    <w:rsid w:val="00DF52C5"/>
    <w:rsid w:val="00E066A7"/>
    <w:rsid w:val="00E3005E"/>
    <w:rsid w:val="00E32E55"/>
    <w:rsid w:val="00E4623A"/>
    <w:rsid w:val="00E4673B"/>
    <w:rsid w:val="00E640AB"/>
    <w:rsid w:val="00E97E11"/>
    <w:rsid w:val="00EB3B8C"/>
    <w:rsid w:val="00EC6626"/>
    <w:rsid w:val="00F012AC"/>
    <w:rsid w:val="00F01EC7"/>
    <w:rsid w:val="00F14656"/>
    <w:rsid w:val="00F22E1F"/>
    <w:rsid w:val="00F403B3"/>
    <w:rsid w:val="00F52D7D"/>
    <w:rsid w:val="00F52DB3"/>
    <w:rsid w:val="00F57B04"/>
    <w:rsid w:val="00F81DEF"/>
    <w:rsid w:val="00F83DE7"/>
    <w:rsid w:val="00F87D21"/>
    <w:rsid w:val="00F937E3"/>
    <w:rsid w:val="00FA0AF4"/>
    <w:rsid w:val="00FA1FA6"/>
    <w:rsid w:val="00FB5473"/>
    <w:rsid w:val="00FB73FC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C2EDA8"/>
  <w15:docId w15:val="{8FAF91AD-44B1-4ADD-B358-43E6C3EC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1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34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2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1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6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6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5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045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03045"/>
    <w:rPr>
      <w:rFonts w:ascii="Times New Roman" w:hAnsi="Times New Roman"/>
      <w:color w:val="000000" w:themeColor="text1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A6C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6C59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3A6C59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91"/>
  </w:style>
  <w:style w:type="paragraph" w:styleId="ListBullet">
    <w:name w:val="List Bullet"/>
    <w:basedOn w:val="Normal"/>
    <w:rsid w:val="004E4D51"/>
    <w:pPr>
      <w:numPr>
        <w:numId w:val="25"/>
      </w:numPr>
      <w:spacing w:after="240" w:line="240" w:lineRule="auto"/>
      <w:contextualSpacing/>
    </w:pPr>
    <w:rPr>
      <w:rFonts w:ascii="Arial" w:eastAsia="Times New Roman" w:hAnsi="Arial" w:cs="Times New Roman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38761A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61A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38761A"/>
    <w:rPr>
      <w:rFonts w:cs="Times New Roman"/>
      <w:vertAlign w:val="superscript"/>
    </w:rPr>
  </w:style>
  <w:style w:type="paragraph" w:styleId="NoSpacing">
    <w:name w:val="No Spacing"/>
    <w:link w:val="NoSpacingChar"/>
    <w:uiPriority w:val="1"/>
    <w:qFormat/>
    <w:rsid w:val="0038761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8761A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-aftertable">
    <w:name w:val="Normal-after table"/>
    <w:basedOn w:val="Normal"/>
    <w:rsid w:val="00F937E3"/>
    <w:pPr>
      <w:spacing w:before="240" w:after="200" w:line="240" w:lineRule="auto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D41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v.au/access-and-particip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quity@education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ity@education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quity@educ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C15D-7A06-4118-A22F-FB41EB12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4949FFF7.dotm</Template>
  <TotalTime>1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YU,Ping</dc:creator>
  <cp:lastModifiedBy>YU,Ping</cp:lastModifiedBy>
  <cp:revision>2</cp:revision>
  <cp:lastPrinted>2018-07-20T00:06:00Z</cp:lastPrinted>
  <dcterms:created xsi:type="dcterms:W3CDTF">2018-07-20T00:15:00Z</dcterms:created>
  <dcterms:modified xsi:type="dcterms:W3CDTF">2018-07-20T00:15:00Z</dcterms:modified>
</cp:coreProperties>
</file>