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A3" w:rsidRPr="00AA7B49" w:rsidRDefault="001036A3" w:rsidP="001036A3">
      <w:pPr>
        <w:spacing w:after="0" w:line="240" w:lineRule="auto"/>
        <w:jc w:val="right"/>
        <w:rPr>
          <w:rFonts w:cstheme="minorHAnsi"/>
        </w:rPr>
      </w:pPr>
    </w:p>
    <w:p w:rsidR="001036A3" w:rsidRPr="00AA7B49" w:rsidRDefault="00BF58E2" w:rsidP="001036A3">
      <w:pPr>
        <w:spacing w:after="0" w:line="240" w:lineRule="auto"/>
        <w:jc w:val="center"/>
        <w:rPr>
          <w:rFonts w:cstheme="minorHAnsi"/>
          <w:b/>
        </w:rPr>
      </w:pPr>
      <w:r w:rsidRPr="00AA7B49">
        <w:rPr>
          <w:rFonts w:cstheme="minorHAnsi"/>
          <w:b/>
        </w:rPr>
        <w:t>Response to recommendations</w:t>
      </w:r>
    </w:p>
    <w:p w:rsidR="00AA7B49" w:rsidRPr="00AA7B49" w:rsidRDefault="00AA7B49" w:rsidP="001036A3">
      <w:pPr>
        <w:spacing w:after="0" w:line="240" w:lineRule="auto"/>
        <w:jc w:val="center"/>
        <w:rPr>
          <w:rFonts w:cstheme="minorHAnsi"/>
          <w:b/>
        </w:rPr>
      </w:pPr>
    </w:p>
    <w:p w:rsidR="00AA7B49" w:rsidRPr="00AA7B49" w:rsidRDefault="00AA7B49" w:rsidP="001036A3">
      <w:pPr>
        <w:spacing w:after="0" w:line="240" w:lineRule="auto"/>
        <w:jc w:val="center"/>
        <w:rPr>
          <w:rFonts w:cstheme="minorHAnsi"/>
          <w:b/>
        </w:rPr>
      </w:pPr>
      <w:r>
        <w:rPr>
          <w:rFonts w:cstheme="minorHAnsi"/>
          <w:b/>
        </w:rPr>
        <w:t xml:space="preserve">HESP Final Report - </w:t>
      </w:r>
      <w:r w:rsidRPr="00AA7B49">
        <w:rPr>
          <w:rFonts w:cstheme="minorHAnsi"/>
          <w:b/>
        </w:rPr>
        <w:t>Improving retention, completion and success in higher education</w:t>
      </w:r>
    </w:p>
    <w:p w:rsidR="001036A3" w:rsidRPr="00AA7B49" w:rsidRDefault="001036A3" w:rsidP="001036A3">
      <w:pPr>
        <w:spacing w:after="0" w:line="240" w:lineRule="auto"/>
        <w:jc w:val="center"/>
        <w:rPr>
          <w:rFonts w:cstheme="minorHAnsi"/>
          <w:b/>
        </w:rPr>
      </w:pPr>
    </w:p>
    <w:tbl>
      <w:tblPr>
        <w:tblStyle w:val="TableGrid5"/>
        <w:tblW w:w="0" w:type="auto"/>
        <w:tblLook w:val="04A0" w:firstRow="1" w:lastRow="0" w:firstColumn="1" w:lastColumn="0" w:noHBand="0" w:noVBand="1"/>
      </w:tblPr>
      <w:tblGrid>
        <w:gridCol w:w="4806"/>
        <w:gridCol w:w="4210"/>
      </w:tblGrid>
      <w:tr w:rsidR="001036A3" w:rsidRPr="00AA7B49" w:rsidTr="00E7099F">
        <w:trPr>
          <w:cantSplit/>
          <w:tblHeader/>
        </w:trPr>
        <w:tc>
          <w:tcPr>
            <w:tcW w:w="4806" w:type="dxa"/>
            <w:shd w:val="clear" w:color="auto" w:fill="E5DFEC" w:themeFill="accent4" w:themeFillTint="33"/>
          </w:tcPr>
          <w:p w:rsidR="001036A3" w:rsidRPr="00AA7B49" w:rsidRDefault="001036A3" w:rsidP="008B2C98">
            <w:pPr>
              <w:rPr>
                <w:rFonts w:cstheme="minorHAnsi"/>
                <w:b/>
              </w:rPr>
            </w:pPr>
            <w:r w:rsidRPr="00AA7B49">
              <w:rPr>
                <w:rFonts w:cstheme="minorHAnsi"/>
                <w:b/>
              </w:rPr>
              <w:t>Recommendation</w:t>
            </w:r>
          </w:p>
        </w:tc>
        <w:tc>
          <w:tcPr>
            <w:tcW w:w="4210" w:type="dxa"/>
            <w:shd w:val="clear" w:color="auto" w:fill="E5DFEC" w:themeFill="accent4" w:themeFillTint="33"/>
          </w:tcPr>
          <w:p w:rsidR="001036A3" w:rsidRPr="00AA7B49" w:rsidRDefault="00BF58E2" w:rsidP="00BF58E2">
            <w:pPr>
              <w:rPr>
                <w:rFonts w:cstheme="minorHAnsi"/>
                <w:b/>
              </w:rPr>
            </w:pPr>
            <w:r w:rsidRPr="00AA7B49">
              <w:rPr>
                <w:rFonts w:cstheme="minorHAnsi"/>
                <w:b/>
              </w:rPr>
              <w:t>Response</w:t>
            </w:r>
            <w:r w:rsidR="001036A3" w:rsidRPr="00AA7B49">
              <w:rPr>
                <w:rFonts w:cstheme="minorHAnsi"/>
                <w:b/>
              </w:rPr>
              <w:t xml:space="preserve"> </w:t>
            </w:r>
          </w:p>
        </w:tc>
      </w:tr>
      <w:tr w:rsidR="001036A3" w:rsidRPr="00AA7B49" w:rsidTr="00AA7B49">
        <w:tc>
          <w:tcPr>
            <w:tcW w:w="4806" w:type="dxa"/>
          </w:tcPr>
          <w:p w:rsidR="001036A3" w:rsidRPr="00AA7B49" w:rsidRDefault="001036A3" w:rsidP="008B2C98">
            <w:pPr>
              <w:rPr>
                <w:rFonts w:cstheme="minorHAnsi"/>
                <w:b/>
              </w:rPr>
            </w:pPr>
            <w:r w:rsidRPr="00AA7B49">
              <w:rPr>
                <w:rFonts w:cstheme="minorHAnsi"/>
                <w:b/>
              </w:rPr>
              <w:t>Expectations of completion in the current context</w:t>
            </w:r>
          </w:p>
          <w:p w:rsidR="001036A3" w:rsidRPr="00AA7B49" w:rsidRDefault="001036A3" w:rsidP="008B2C98">
            <w:pPr>
              <w:rPr>
                <w:rFonts w:cstheme="minorHAnsi"/>
              </w:rPr>
            </w:pPr>
          </w:p>
          <w:p w:rsidR="001036A3" w:rsidRPr="00AA7B49" w:rsidRDefault="001036A3" w:rsidP="001036A3">
            <w:pPr>
              <w:numPr>
                <w:ilvl w:val="0"/>
                <w:numId w:val="1"/>
              </w:numPr>
              <w:contextualSpacing/>
              <w:rPr>
                <w:rFonts w:cstheme="minorHAnsi"/>
              </w:rPr>
            </w:pPr>
            <w:r w:rsidRPr="00AA7B49">
              <w:rPr>
                <w:rFonts w:cstheme="minorHAnsi"/>
              </w:rPr>
              <w:t xml:space="preserve">As a first priority, institutions should ensure </w:t>
            </w:r>
            <w:proofErr w:type="gramStart"/>
            <w:r w:rsidRPr="00AA7B49">
              <w:rPr>
                <w:rFonts w:cstheme="minorHAnsi"/>
              </w:rPr>
              <w:t>students who have the capacity to succeed in higher education are given the best chance to complete their studies through the appropriate provision of academic and other support services as required of them by the Higher Education Standards Framework</w:t>
            </w:r>
            <w:proofErr w:type="gramEnd"/>
            <w:r w:rsidRPr="00AA7B49">
              <w:rPr>
                <w:rFonts w:cstheme="minorHAnsi"/>
              </w:rPr>
              <w:t xml:space="preserve">. </w:t>
            </w:r>
          </w:p>
          <w:p w:rsidR="001036A3" w:rsidRPr="00AA7B49" w:rsidRDefault="001036A3" w:rsidP="008B2C98">
            <w:pPr>
              <w:ind w:left="360"/>
              <w:contextualSpacing/>
              <w:rPr>
                <w:rFonts w:cstheme="minorHAnsi"/>
              </w:rPr>
            </w:pPr>
          </w:p>
        </w:tc>
        <w:tc>
          <w:tcPr>
            <w:tcW w:w="4210" w:type="dxa"/>
          </w:tcPr>
          <w:p w:rsidR="001036A3" w:rsidRPr="00AA7B49" w:rsidRDefault="001036A3" w:rsidP="008B2C98">
            <w:pPr>
              <w:rPr>
                <w:rFonts w:cstheme="minorHAnsi"/>
              </w:rPr>
            </w:pPr>
          </w:p>
          <w:p w:rsidR="001036A3" w:rsidRPr="00AA7B49" w:rsidRDefault="001036A3" w:rsidP="008B2C98">
            <w:pPr>
              <w:rPr>
                <w:rFonts w:cstheme="minorHAnsi"/>
              </w:rPr>
            </w:pPr>
          </w:p>
          <w:p w:rsidR="001036A3" w:rsidRPr="00AA7B49" w:rsidRDefault="001036A3" w:rsidP="008B2C98">
            <w:pPr>
              <w:rPr>
                <w:rFonts w:cstheme="minorHAnsi"/>
              </w:rPr>
            </w:pPr>
            <w:r w:rsidRPr="00AA7B49">
              <w:rPr>
                <w:rFonts w:cstheme="minorHAnsi"/>
              </w:rPr>
              <w:t>Agree. The Tertiary Education Quality and Standards Agency (TEQSA) should plan to issue a good practice note on student retention to lift perf</w:t>
            </w:r>
            <w:r w:rsidR="00FF6EEC" w:rsidRPr="00AA7B49">
              <w:rPr>
                <w:rFonts w:cstheme="minorHAnsi"/>
              </w:rPr>
              <w:t>o</w:t>
            </w:r>
            <w:bookmarkStart w:id="0" w:name="_GoBack"/>
            <w:bookmarkEnd w:id="0"/>
            <w:r w:rsidR="00FF6EEC" w:rsidRPr="00AA7B49">
              <w:rPr>
                <w:rFonts w:cstheme="minorHAnsi"/>
              </w:rPr>
              <w:t xml:space="preserve">rmance in this area. The note </w:t>
            </w:r>
            <w:proofErr w:type="gramStart"/>
            <w:r w:rsidR="00FF6EEC" w:rsidRPr="00AA7B49">
              <w:rPr>
                <w:rFonts w:cstheme="minorHAnsi"/>
              </w:rPr>
              <w:t>c</w:t>
            </w:r>
            <w:r w:rsidRPr="00AA7B49">
              <w:rPr>
                <w:rFonts w:cstheme="minorHAnsi"/>
              </w:rPr>
              <w:t>ould be based</w:t>
            </w:r>
            <w:proofErr w:type="gramEnd"/>
            <w:r w:rsidRPr="00AA7B49">
              <w:rPr>
                <w:rFonts w:cstheme="minorHAnsi"/>
              </w:rPr>
              <w:t xml:space="preserve"> on evidence of effective strategies used by higher education providers in retaining students. This would further support The Higher Education Standards </w:t>
            </w:r>
            <w:proofErr w:type="gramStart"/>
            <w:r w:rsidRPr="00AA7B49">
              <w:rPr>
                <w:rFonts w:cstheme="minorHAnsi"/>
              </w:rPr>
              <w:t>Framework which</w:t>
            </w:r>
            <w:proofErr w:type="gramEnd"/>
            <w:r w:rsidRPr="00AA7B49">
              <w:rPr>
                <w:rFonts w:cstheme="minorHAnsi"/>
              </w:rPr>
              <w:t xml:space="preserve"> requires higher education providers to offer a range of student support services. </w:t>
            </w:r>
          </w:p>
        </w:tc>
      </w:tr>
      <w:tr w:rsidR="001036A3" w:rsidRPr="00AA7B49" w:rsidTr="00AA7B49">
        <w:tc>
          <w:tcPr>
            <w:tcW w:w="4806" w:type="dxa"/>
          </w:tcPr>
          <w:p w:rsidR="001036A3" w:rsidRPr="00AA7B49" w:rsidRDefault="001036A3" w:rsidP="008B2C98">
            <w:pPr>
              <w:rPr>
                <w:rFonts w:cstheme="minorHAnsi"/>
                <w:b/>
              </w:rPr>
            </w:pPr>
            <w:r w:rsidRPr="00AA7B49">
              <w:rPr>
                <w:rFonts w:cstheme="minorHAnsi"/>
                <w:b/>
              </w:rPr>
              <w:t>Supporting students to make the right choices</w:t>
            </w:r>
          </w:p>
          <w:p w:rsidR="001036A3" w:rsidRPr="00AA7B49" w:rsidRDefault="001036A3" w:rsidP="008B2C98">
            <w:pPr>
              <w:rPr>
                <w:rFonts w:cstheme="minorHAnsi"/>
              </w:rPr>
            </w:pPr>
          </w:p>
          <w:p w:rsidR="001036A3" w:rsidRPr="00AA7B49" w:rsidRDefault="001036A3" w:rsidP="001036A3">
            <w:pPr>
              <w:numPr>
                <w:ilvl w:val="0"/>
                <w:numId w:val="1"/>
              </w:numPr>
              <w:contextualSpacing/>
              <w:rPr>
                <w:rFonts w:cstheme="minorHAnsi"/>
              </w:rPr>
            </w:pPr>
            <w:r w:rsidRPr="00AA7B49">
              <w:rPr>
                <w:rFonts w:cstheme="minorHAnsi"/>
              </w:rPr>
              <w:t xml:space="preserve">School students and mature-age people need better access to effective career advice. The National Career Education Strategy (NCES), due to be released in 2018, should be closely monitored to identify improvements in the area of student career advice, including study options and pathways, and information about the post school learning environment. This strategy </w:t>
            </w:r>
            <w:proofErr w:type="gramStart"/>
            <w:r w:rsidRPr="00AA7B49">
              <w:rPr>
                <w:rFonts w:cstheme="minorHAnsi"/>
              </w:rPr>
              <w:t>should also be expanded</w:t>
            </w:r>
            <w:proofErr w:type="gramEnd"/>
            <w:r w:rsidRPr="00AA7B49">
              <w:rPr>
                <w:rFonts w:cstheme="minorHAnsi"/>
              </w:rPr>
              <w:t xml:space="preserve"> to include mature-age students or a separate strategy should be initiated for this cohort. </w:t>
            </w:r>
          </w:p>
        </w:tc>
        <w:tc>
          <w:tcPr>
            <w:tcW w:w="4210" w:type="dxa"/>
          </w:tcPr>
          <w:p w:rsidR="001036A3" w:rsidRPr="00AA7B49" w:rsidRDefault="001036A3" w:rsidP="008B2C98">
            <w:pPr>
              <w:rPr>
                <w:rFonts w:cstheme="minorHAnsi"/>
              </w:rPr>
            </w:pPr>
          </w:p>
          <w:p w:rsidR="001036A3" w:rsidRPr="00AA7B49" w:rsidRDefault="001036A3" w:rsidP="008B2C98">
            <w:pPr>
              <w:rPr>
                <w:rFonts w:cstheme="minorHAnsi"/>
              </w:rPr>
            </w:pPr>
          </w:p>
          <w:p w:rsidR="001036A3" w:rsidRPr="00AA7B49" w:rsidRDefault="001036A3" w:rsidP="008B2C98">
            <w:pPr>
              <w:rPr>
                <w:rFonts w:cstheme="minorHAnsi"/>
              </w:rPr>
            </w:pPr>
            <w:r w:rsidRPr="00AA7B49">
              <w:rPr>
                <w:rFonts w:cstheme="minorHAnsi"/>
              </w:rPr>
              <w:t xml:space="preserve">Agree. Implementing the NCES will be progressed through the Education Council during 2018 and monitored through these processes. </w:t>
            </w:r>
            <w:r w:rsidR="00B642E9" w:rsidRPr="00AA7B49">
              <w:rPr>
                <w:rFonts w:cstheme="minorHAnsi"/>
              </w:rPr>
              <w:t>While the N</w:t>
            </w:r>
            <w:r w:rsidRPr="00AA7B49">
              <w:rPr>
                <w:rFonts w:cstheme="minorHAnsi"/>
              </w:rPr>
              <w:t>C</w:t>
            </w:r>
            <w:r w:rsidR="00B642E9" w:rsidRPr="00AA7B49">
              <w:rPr>
                <w:rFonts w:cstheme="minorHAnsi"/>
              </w:rPr>
              <w:t>E</w:t>
            </w:r>
            <w:r w:rsidRPr="00AA7B49">
              <w:rPr>
                <w:rFonts w:cstheme="minorHAnsi"/>
              </w:rPr>
              <w:t xml:space="preserve">S </w:t>
            </w:r>
            <w:proofErr w:type="gramStart"/>
            <w:r w:rsidRPr="00AA7B49">
              <w:rPr>
                <w:rFonts w:cstheme="minorHAnsi"/>
              </w:rPr>
              <w:t>is formally focused</w:t>
            </w:r>
            <w:proofErr w:type="gramEnd"/>
            <w:r w:rsidRPr="00AA7B49">
              <w:rPr>
                <w:rFonts w:cstheme="minorHAnsi"/>
              </w:rPr>
              <w:t xml:space="preserve"> on support for school students, the department is considering how best to leverage current and future activities to better support mature-age students to make the right choices in regards to their tertiary education options and pathways.  </w:t>
            </w:r>
          </w:p>
        </w:tc>
      </w:tr>
      <w:tr w:rsidR="001036A3" w:rsidRPr="00AA7B49" w:rsidTr="00AA7B49">
        <w:tc>
          <w:tcPr>
            <w:tcW w:w="4806" w:type="dxa"/>
          </w:tcPr>
          <w:p w:rsidR="001036A3" w:rsidRPr="00AA7B49" w:rsidRDefault="001036A3" w:rsidP="001036A3">
            <w:pPr>
              <w:numPr>
                <w:ilvl w:val="0"/>
                <w:numId w:val="1"/>
              </w:numPr>
              <w:contextualSpacing/>
              <w:rPr>
                <w:rFonts w:cstheme="minorHAnsi"/>
              </w:rPr>
            </w:pPr>
            <w:r w:rsidRPr="00AA7B49">
              <w:rPr>
                <w:rFonts w:cstheme="minorHAnsi"/>
              </w:rPr>
              <w:t xml:space="preserve">Career advice </w:t>
            </w:r>
            <w:proofErr w:type="gramStart"/>
            <w:r w:rsidRPr="00AA7B49">
              <w:rPr>
                <w:rFonts w:cstheme="minorHAnsi"/>
              </w:rPr>
              <w:t>cannot be left</w:t>
            </w:r>
            <w:proofErr w:type="gramEnd"/>
            <w:r w:rsidRPr="00AA7B49">
              <w:rPr>
                <w:rFonts w:cstheme="minorHAnsi"/>
              </w:rPr>
              <w:t xml:space="preserve"> to schools. Every higher education institution should ensure that their students are given the opportunity for career planning and course advice on entry to the institution and as they require it throughout their studies.</w:t>
            </w:r>
          </w:p>
        </w:tc>
        <w:tc>
          <w:tcPr>
            <w:tcW w:w="4210" w:type="dxa"/>
          </w:tcPr>
          <w:p w:rsidR="001036A3" w:rsidRPr="00AA7B49" w:rsidRDefault="001036A3" w:rsidP="00FF6EEC">
            <w:pPr>
              <w:rPr>
                <w:rFonts w:cstheme="minorHAnsi"/>
              </w:rPr>
            </w:pPr>
            <w:r w:rsidRPr="00AA7B49">
              <w:rPr>
                <w:rFonts w:cstheme="minorHAnsi"/>
              </w:rPr>
              <w:t xml:space="preserve">Agree. TEQSA </w:t>
            </w:r>
            <w:r w:rsidR="00FF6EEC" w:rsidRPr="00AA7B49">
              <w:rPr>
                <w:rFonts w:cstheme="minorHAnsi"/>
              </w:rPr>
              <w:t>will examine the effectiveness of systems providers use to make available information to students about pathways to employment and about selection of courses and units of study.</w:t>
            </w:r>
          </w:p>
        </w:tc>
      </w:tr>
      <w:tr w:rsidR="001036A3" w:rsidRPr="00AA7B49" w:rsidTr="00AA7B49">
        <w:tc>
          <w:tcPr>
            <w:tcW w:w="4806" w:type="dxa"/>
          </w:tcPr>
          <w:p w:rsidR="001036A3" w:rsidRPr="00AA7B49" w:rsidRDefault="001036A3" w:rsidP="001036A3">
            <w:pPr>
              <w:numPr>
                <w:ilvl w:val="0"/>
                <w:numId w:val="1"/>
              </w:numPr>
              <w:contextualSpacing/>
              <w:rPr>
                <w:rFonts w:cstheme="minorHAnsi"/>
              </w:rPr>
            </w:pPr>
            <w:r w:rsidRPr="00AA7B49">
              <w:rPr>
                <w:rFonts w:cstheme="minorHAnsi"/>
              </w:rPr>
              <w:t xml:space="preserve">Where and how student success, completions, retention and attrition data </w:t>
            </w:r>
            <w:proofErr w:type="gramStart"/>
            <w:r w:rsidRPr="00AA7B49">
              <w:rPr>
                <w:rFonts w:cstheme="minorHAnsi"/>
              </w:rPr>
              <w:t>is made</w:t>
            </w:r>
            <w:proofErr w:type="gramEnd"/>
            <w:r w:rsidRPr="00AA7B49">
              <w:rPr>
                <w:rFonts w:cstheme="minorHAnsi"/>
              </w:rPr>
              <w:t xml:space="preserve"> accessible to students should form part of considerations by the </w:t>
            </w:r>
            <w:r w:rsidR="006B0EA1" w:rsidRPr="00AA7B49">
              <w:rPr>
                <w:rFonts w:cstheme="minorHAnsi"/>
              </w:rPr>
              <w:t>D</w:t>
            </w:r>
            <w:r w:rsidRPr="00AA7B49">
              <w:rPr>
                <w:rFonts w:cstheme="minorHAnsi"/>
              </w:rPr>
              <w:t>epartment</w:t>
            </w:r>
            <w:r w:rsidR="006B0EA1" w:rsidRPr="00AA7B49">
              <w:rPr>
                <w:rFonts w:cstheme="minorHAnsi"/>
              </w:rPr>
              <w:t xml:space="preserve"> of Education and Training</w:t>
            </w:r>
            <w:r w:rsidRPr="00AA7B49">
              <w:rPr>
                <w:rFonts w:cstheme="minorHAnsi"/>
              </w:rPr>
              <w:t xml:space="preserve"> in the establishment of a new online information platform.</w:t>
            </w:r>
          </w:p>
        </w:tc>
        <w:tc>
          <w:tcPr>
            <w:tcW w:w="4210" w:type="dxa"/>
          </w:tcPr>
          <w:p w:rsidR="001036A3" w:rsidRPr="00AA7B49" w:rsidRDefault="001036A3" w:rsidP="00563E7E">
            <w:pPr>
              <w:rPr>
                <w:rFonts w:cstheme="minorHAnsi"/>
                <w:highlight w:val="yellow"/>
              </w:rPr>
            </w:pPr>
            <w:r w:rsidRPr="00AA7B49">
              <w:rPr>
                <w:rFonts w:cstheme="minorHAnsi"/>
              </w:rPr>
              <w:t xml:space="preserve">Agree. Student success, completions and retention data is already available on the department’s website. Where it </w:t>
            </w:r>
            <w:proofErr w:type="gramStart"/>
            <w:r w:rsidRPr="00AA7B49">
              <w:rPr>
                <w:rFonts w:cstheme="minorHAnsi"/>
              </w:rPr>
              <w:t>is published</w:t>
            </w:r>
            <w:proofErr w:type="gramEnd"/>
            <w:r w:rsidRPr="00AA7B49">
              <w:rPr>
                <w:rFonts w:cstheme="minorHAnsi"/>
              </w:rPr>
              <w:t xml:space="preserve"> will be considered as part of the </w:t>
            </w:r>
            <w:r w:rsidR="00563E7E" w:rsidRPr="00AA7B49">
              <w:rPr>
                <w:rFonts w:cstheme="minorHAnsi"/>
              </w:rPr>
              <w:t xml:space="preserve">ongoing </w:t>
            </w:r>
            <w:r w:rsidRPr="00AA7B49">
              <w:rPr>
                <w:rFonts w:cstheme="minorHAnsi"/>
              </w:rPr>
              <w:t xml:space="preserve">research to inform the development </w:t>
            </w:r>
            <w:r w:rsidR="00563E7E" w:rsidRPr="00AA7B49">
              <w:rPr>
                <w:rFonts w:cstheme="minorHAnsi"/>
              </w:rPr>
              <w:t xml:space="preserve">and enhancement </w:t>
            </w:r>
            <w:r w:rsidRPr="00AA7B49">
              <w:rPr>
                <w:rFonts w:cstheme="minorHAnsi"/>
              </w:rPr>
              <w:t>of the new online platform.</w:t>
            </w:r>
          </w:p>
        </w:tc>
      </w:tr>
    </w:tbl>
    <w:p w:rsidR="00AA7B49" w:rsidRDefault="00AA7B49">
      <w:r>
        <w:br w:type="page"/>
      </w:r>
    </w:p>
    <w:tbl>
      <w:tblPr>
        <w:tblStyle w:val="TableGrid5"/>
        <w:tblW w:w="0" w:type="auto"/>
        <w:tblLook w:val="04A0" w:firstRow="1" w:lastRow="0" w:firstColumn="1" w:lastColumn="0" w:noHBand="0" w:noVBand="1"/>
      </w:tblPr>
      <w:tblGrid>
        <w:gridCol w:w="4806"/>
        <w:gridCol w:w="4210"/>
      </w:tblGrid>
      <w:tr w:rsidR="001036A3" w:rsidRPr="00AA7B49" w:rsidTr="00AA7B49">
        <w:tc>
          <w:tcPr>
            <w:tcW w:w="4806" w:type="dxa"/>
          </w:tcPr>
          <w:p w:rsidR="001036A3" w:rsidRPr="00AA7B49" w:rsidRDefault="001036A3" w:rsidP="008B2C98">
            <w:pPr>
              <w:rPr>
                <w:rFonts w:cstheme="minorHAnsi"/>
                <w:b/>
              </w:rPr>
            </w:pPr>
            <w:r w:rsidRPr="00AA7B49">
              <w:rPr>
                <w:rFonts w:cstheme="minorHAnsi"/>
                <w:b/>
              </w:rPr>
              <w:t xml:space="preserve">Supporting students to complete their studies </w:t>
            </w:r>
          </w:p>
          <w:p w:rsidR="001036A3" w:rsidRPr="00AA7B49" w:rsidRDefault="001036A3" w:rsidP="008B2C98">
            <w:pPr>
              <w:rPr>
                <w:rFonts w:cstheme="minorHAnsi"/>
              </w:rPr>
            </w:pPr>
          </w:p>
          <w:p w:rsidR="001036A3" w:rsidRPr="00AA7B49" w:rsidRDefault="001036A3" w:rsidP="008B2C98">
            <w:pPr>
              <w:numPr>
                <w:ilvl w:val="0"/>
                <w:numId w:val="1"/>
              </w:numPr>
              <w:contextualSpacing/>
              <w:rPr>
                <w:rFonts w:cstheme="minorHAnsi"/>
              </w:rPr>
            </w:pPr>
            <w:r w:rsidRPr="00AA7B49">
              <w:rPr>
                <w:rFonts w:cstheme="minorHAnsi"/>
              </w:rPr>
              <w:t xml:space="preserve">Every institution should have its own comprehensive student-centred retention strategy, which </w:t>
            </w:r>
            <w:proofErr w:type="gramStart"/>
            <w:r w:rsidRPr="00AA7B49">
              <w:rPr>
                <w:rFonts w:cstheme="minorHAnsi"/>
              </w:rPr>
              <w:t>is regularly evaluated</w:t>
            </w:r>
            <w:proofErr w:type="gramEnd"/>
            <w:r w:rsidRPr="00AA7B49">
              <w:rPr>
                <w:rFonts w:cstheme="minorHAnsi"/>
              </w:rPr>
              <w:t xml:space="preserve">. These strategies could include institutional retention benchmarks and, as appropriate, processes for entry and exit interviews, the integration of </w:t>
            </w:r>
            <w:r w:rsidRPr="00AA7B49">
              <w:rPr>
                <w:rFonts w:cstheme="minorHAnsi"/>
              </w:rPr>
              <w:br/>
            </w:r>
            <w:proofErr w:type="gramStart"/>
            <w:r w:rsidRPr="00AA7B49">
              <w:rPr>
                <w:rFonts w:cstheme="minorHAnsi"/>
              </w:rPr>
              <w:t>data-based</w:t>
            </w:r>
            <w:proofErr w:type="gramEnd"/>
            <w:r w:rsidRPr="00AA7B49">
              <w:rPr>
                <w:rFonts w:cstheme="minorHAnsi"/>
              </w:rPr>
              <w:t xml:space="preserve"> risk analytics and targeted support interventions, a suite of support services and a means to re-engage with students who have withdrawn.</w:t>
            </w:r>
          </w:p>
          <w:p w:rsidR="001036A3" w:rsidRPr="00AA7B49" w:rsidRDefault="001036A3" w:rsidP="008B2C98">
            <w:pPr>
              <w:contextualSpacing/>
              <w:rPr>
                <w:rFonts w:cstheme="minorHAnsi"/>
              </w:rPr>
            </w:pPr>
          </w:p>
        </w:tc>
        <w:tc>
          <w:tcPr>
            <w:tcW w:w="4210" w:type="dxa"/>
            <w:hideMark/>
          </w:tcPr>
          <w:p w:rsidR="001036A3" w:rsidRPr="00AA7B49" w:rsidRDefault="001036A3" w:rsidP="008B2C98">
            <w:pPr>
              <w:rPr>
                <w:rFonts w:cstheme="minorHAnsi"/>
              </w:rPr>
            </w:pPr>
          </w:p>
          <w:p w:rsidR="001036A3" w:rsidRPr="00AA7B49" w:rsidRDefault="001036A3" w:rsidP="008B2C98">
            <w:pPr>
              <w:rPr>
                <w:rFonts w:cstheme="minorHAnsi"/>
              </w:rPr>
            </w:pPr>
          </w:p>
          <w:p w:rsidR="001036A3" w:rsidRPr="00AA7B49" w:rsidRDefault="001036A3" w:rsidP="008B2C98">
            <w:pPr>
              <w:rPr>
                <w:rFonts w:cstheme="minorHAnsi"/>
              </w:rPr>
            </w:pPr>
            <w:r w:rsidRPr="00AA7B49">
              <w:rPr>
                <w:rFonts w:cstheme="minorHAnsi"/>
              </w:rPr>
              <w:t xml:space="preserve">Agree. Institutional retention strategies </w:t>
            </w:r>
            <w:proofErr w:type="gramStart"/>
            <w:r w:rsidRPr="00AA7B49">
              <w:rPr>
                <w:rFonts w:cstheme="minorHAnsi"/>
              </w:rPr>
              <w:t>are expected</w:t>
            </w:r>
            <w:proofErr w:type="gramEnd"/>
            <w:r w:rsidRPr="00AA7B49">
              <w:rPr>
                <w:rFonts w:cstheme="minorHAnsi"/>
              </w:rPr>
              <w:t xml:space="preserve"> to have a positive impact on student completion.</w:t>
            </w:r>
            <w:r w:rsidR="00FF6EEC" w:rsidRPr="00AA7B49">
              <w:rPr>
                <w:rFonts w:cstheme="minorHAnsi"/>
              </w:rPr>
              <w:t xml:space="preserve"> The TEQSA risk assessment framework includes attrition and progress rates. Providers that are deemed </w:t>
            </w:r>
            <w:proofErr w:type="gramStart"/>
            <w:r w:rsidR="00FF6EEC" w:rsidRPr="00AA7B49">
              <w:rPr>
                <w:rFonts w:cstheme="minorHAnsi"/>
              </w:rPr>
              <w:t>to be high</w:t>
            </w:r>
            <w:proofErr w:type="gramEnd"/>
            <w:r w:rsidR="00FF6EEC" w:rsidRPr="00AA7B49">
              <w:rPr>
                <w:rFonts w:cstheme="minorHAnsi"/>
              </w:rPr>
              <w:t xml:space="preserve"> risk are required to respond to TEQSA about strategies employed to address these risks.</w:t>
            </w:r>
          </w:p>
          <w:p w:rsidR="001036A3" w:rsidRPr="00AA7B49" w:rsidRDefault="001036A3" w:rsidP="008B2C98">
            <w:pPr>
              <w:rPr>
                <w:rFonts w:cstheme="minorHAnsi"/>
              </w:rPr>
            </w:pPr>
          </w:p>
          <w:p w:rsidR="001036A3" w:rsidRPr="00AA7B49" w:rsidRDefault="001036A3" w:rsidP="008B2C98">
            <w:pPr>
              <w:rPr>
                <w:rFonts w:cstheme="minorHAnsi"/>
              </w:rPr>
            </w:pPr>
          </w:p>
          <w:p w:rsidR="001036A3" w:rsidRPr="00AA7B49" w:rsidRDefault="001036A3" w:rsidP="008B2C98">
            <w:pPr>
              <w:rPr>
                <w:rFonts w:cstheme="minorHAnsi"/>
              </w:rPr>
            </w:pPr>
          </w:p>
        </w:tc>
      </w:tr>
      <w:tr w:rsidR="001036A3" w:rsidRPr="00AA7B49" w:rsidTr="00AA7B49">
        <w:tc>
          <w:tcPr>
            <w:tcW w:w="4806" w:type="dxa"/>
            <w:hideMark/>
          </w:tcPr>
          <w:p w:rsidR="001036A3" w:rsidRPr="00AA7B49" w:rsidRDefault="001036A3" w:rsidP="001036A3">
            <w:pPr>
              <w:numPr>
                <w:ilvl w:val="0"/>
                <w:numId w:val="1"/>
              </w:numPr>
              <w:contextualSpacing/>
              <w:rPr>
                <w:rFonts w:cstheme="minorHAnsi"/>
              </w:rPr>
            </w:pPr>
            <w:r w:rsidRPr="00AA7B49">
              <w:rPr>
                <w:rFonts w:cstheme="minorHAnsi"/>
              </w:rPr>
              <w:t>Institutions should automatically review the enrolment of all students who have not engaged in their studies to an agreed level by the census date.</w:t>
            </w:r>
          </w:p>
          <w:p w:rsidR="001036A3" w:rsidRPr="00AA7B49" w:rsidRDefault="001036A3" w:rsidP="008B2C98">
            <w:pPr>
              <w:contextualSpacing/>
              <w:rPr>
                <w:rFonts w:cstheme="minorHAnsi"/>
              </w:rPr>
            </w:pPr>
          </w:p>
        </w:tc>
        <w:tc>
          <w:tcPr>
            <w:tcW w:w="4210" w:type="dxa"/>
            <w:hideMark/>
          </w:tcPr>
          <w:p w:rsidR="001036A3" w:rsidRPr="00AA7B49" w:rsidRDefault="001036A3" w:rsidP="008B2C98">
            <w:pPr>
              <w:rPr>
                <w:rFonts w:cstheme="minorHAnsi"/>
              </w:rPr>
            </w:pPr>
            <w:r w:rsidRPr="00AA7B49">
              <w:rPr>
                <w:rFonts w:cstheme="minorHAnsi"/>
              </w:rPr>
              <w:t xml:space="preserve">Agree. Levels of student participation </w:t>
            </w:r>
            <w:proofErr w:type="gramStart"/>
            <w:r w:rsidRPr="00AA7B49">
              <w:rPr>
                <w:rFonts w:cstheme="minorHAnsi"/>
              </w:rPr>
              <w:t>should be determined by institutions and included in their retention strategies</w:t>
            </w:r>
            <w:proofErr w:type="gramEnd"/>
            <w:r w:rsidRPr="00AA7B49">
              <w:rPr>
                <w:rFonts w:cstheme="minorHAnsi"/>
              </w:rPr>
              <w:t xml:space="preserve">. </w:t>
            </w:r>
          </w:p>
        </w:tc>
      </w:tr>
      <w:tr w:rsidR="001036A3" w:rsidRPr="00AA7B49" w:rsidTr="00AA7B49">
        <w:tc>
          <w:tcPr>
            <w:tcW w:w="4806" w:type="dxa"/>
            <w:hideMark/>
          </w:tcPr>
          <w:p w:rsidR="001036A3" w:rsidRPr="00AA7B49" w:rsidRDefault="001036A3" w:rsidP="001036A3">
            <w:pPr>
              <w:numPr>
                <w:ilvl w:val="0"/>
                <w:numId w:val="1"/>
              </w:numPr>
              <w:contextualSpacing/>
              <w:rPr>
                <w:rFonts w:cstheme="minorHAnsi"/>
              </w:rPr>
            </w:pPr>
            <w:r w:rsidRPr="00AA7B49">
              <w:rPr>
                <w:rFonts w:cstheme="minorHAnsi"/>
              </w:rPr>
              <w:t xml:space="preserve">Institutions should pay particular attention to ensuring their support services are meeting the needs of external students who are not regularly attending campus because these students </w:t>
            </w:r>
            <w:proofErr w:type="gramStart"/>
            <w:r w:rsidRPr="00AA7B49">
              <w:rPr>
                <w:rFonts w:cstheme="minorHAnsi"/>
              </w:rPr>
              <w:t>are identified</w:t>
            </w:r>
            <w:proofErr w:type="gramEnd"/>
            <w:r w:rsidRPr="00AA7B49">
              <w:rPr>
                <w:rFonts w:cstheme="minorHAnsi"/>
              </w:rPr>
              <w:t xml:space="preserve"> as at risk of not completing their studies.</w:t>
            </w:r>
          </w:p>
          <w:p w:rsidR="001036A3" w:rsidRPr="00AA7B49" w:rsidRDefault="001036A3" w:rsidP="008B2C98">
            <w:pPr>
              <w:ind w:left="360"/>
              <w:contextualSpacing/>
              <w:rPr>
                <w:rFonts w:cstheme="minorHAnsi"/>
              </w:rPr>
            </w:pPr>
          </w:p>
        </w:tc>
        <w:tc>
          <w:tcPr>
            <w:tcW w:w="4210" w:type="dxa"/>
            <w:hideMark/>
          </w:tcPr>
          <w:p w:rsidR="001036A3" w:rsidRPr="00AA7B49" w:rsidRDefault="001036A3" w:rsidP="008B2C98">
            <w:pPr>
              <w:rPr>
                <w:rFonts w:cstheme="minorHAnsi"/>
              </w:rPr>
            </w:pPr>
            <w:r w:rsidRPr="00AA7B49">
              <w:rPr>
                <w:rFonts w:cstheme="minorHAnsi"/>
              </w:rPr>
              <w:t>Agree. Institutions to adopt this recommendation.</w:t>
            </w:r>
          </w:p>
        </w:tc>
      </w:tr>
      <w:tr w:rsidR="001036A3" w:rsidRPr="00AA7B49" w:rsidTr="00AA7B49">
        <w:tc>
          <w:tcPr>
            <w:tcW w:w="4806" w:type="dxa"/>
            <w:hideMark/>
          </w:tcPr>
          <w:p w:rsidR="001036A3" w:rsidRPr="00AA7B49" w:rsidRDefault="001036A3" w:rsidP="001036A3">
            <w:pPr>
              <w:numPr>
                <w:ilvl w:val="0"/>
                <w:numId w:val="1"/>
              </w:numPr>
              <w:contextualSpacing/>
              <w:rPr>
                <w:rFonts w:cstheme="minorHAnsi"/>
              </w:rPr>
            </w:pPr>
            <w:r w:rsidRPr="00AA7B49">
              <w:rPr>
                <w:rFonts w:cstheme="minorHAnsi"/>
              </w:rPr>
              <w:t>Every institution should have an institution-wide mental health strategy and implementation plan.</w:t>
            </w:r>
          </w:p>
          <w:p w:rsidR="001036A3" w:rsidRPr="00AA7B49" w:rsidRDefault="001036A3" w:rsidP="008B2C98">
            <w:pPr>
              <w:ind w:left="360"/>
              <w:contextualSpacing/>
              <w:rPr>
                <w:rFonts w:cstheme="minorHAnsi"/>
              </w:rPr>
            </w:pPr>
          </w:p>
        </w:tc>
        <w:tc>
          <w:tcPr>
            <w:tcW w:w="4210" w:type="dxa"/>
            <w:hideMark/>
          </w:tcPr>
          <w:p w:rsidR="001036A3" w:rsidRPr="00AA7B49" w:rsidRDefault="001036A3" w:rsidP="008B2C98">
            <w:pPr>
              <w:rPr>
                <w:rFonts w:cstheme="minorHAnsi"/>
              </w:rPr>
            </w:pPr>
            <w:r w:rsidRPr="00AA7B49">
              <w:rPr>
                <w:rFonts w:cstheme="minorHAnsi"/>
              </w:rPr>
              <w:t>Agree. Institutions to adopt this recommendation.</w:t>
            </w:r>
          </w:p>
        </w:tc>
      </w:tr>
      <w:tr w:rsidR="001036A3" w:rsidRPr="00AA7B49" w:rsidTr="00AA7B49">
        <w:tc>
          <w:tcPr>
            <w:tcW w:w="4806" w:type="dxa"/>
            <w:hideMark/>
          </w:tcPr>
          <w:p w:rsidR="001036A3" w:rsidRPr="00AA7B49" w:rsidRDefault="001036A3" w:rsidP="001036A3">
            <w:pPr>
              <w:numPr>
                <w:ilvl w:val="0"/>
                <w:numId w:val="1"/>
              </w:numPr>
              <w:contextualSpacing/>
              <w:rPr>
                <w:rFonts w:cstheme="minorHAnsi"/>
              </w:rPr>
            </w:pPr>
            <w:r w:rsidRPr="00AA7B49">
              <w:rPr>
                <w:rFonts w:cstheme="minorHAnsi"/>
              </w:rPr>
              <w:t xml:space="preserve">Institutions should increasingly offer nested courses, which are appropriate and compliant with the Australian Qualifications Framework, to provide students with a greater range of exit options with meaningful qualifications. </w:t>
            </w:r>
            <w:r w:rsidRPr="00AA7B49">
              <w:rPr>
                <w:rFonts w:cstheme="minorHAnsi"/>
              </w:rPr>
              <w:t> </w:t>
            </w:r>
          </w:p>
          <w:p w:rsidR="001036A3" w:rsidRPr="00AA7B49" w:rsidRDefault="001036A3" w:rsidP="008B2C98">
            <w:pPr>
              <w:ind w:left="360"/>
              <w:contextualSpacing/>
              <w:rPr>
                <w:rFonts w:cstheme="minorHAnsi"/>
              </w:rPr>
            </w:pPr>
          </w:p>
        </w:tc>
        <w:tc>
          <w:tcPr>
            <w:tcW w:w="4210" w:type="dxa"/>
            <w:hideMark/>
          </w:tcPr>
          <w:p w:rsidR="001036A3" w:rsidRPr="00AA7B49" w:rsidRDefault="001036A3" w:rsidP="008B2C98">
            <w:pPr>
              <w:rPr>
                <w:rFonts w:cstheme="minorHAnsi"/>
              </w:rPr>
            </w:pPr>
            <w:r w:rsidRPr="00AA7B49">
              <w:rPr>
                <w:rFonts w:cstheme="minorHAnsi"/>
              </w:rPr>
              <w:t>Agree. A greater range of exit options with meaningful qualifications would be of benefit to students.</w:t>
            </w:r>
          </w:p>
        </w:tc>
      </w:tr>
      <w:tr w:rsidR="001036A3" w:rsidRPr="00AA7B49" w:rsidTr="00AA7B49">
        <w:tc>
          <w:tcPr>
            <w:tcW w:w="4806" w:type="dxa"/>
          </w:tcPr>
          <w:p w:rsidR="001036A3" w:rsidRPr="00AA7B49" w:rsidRDefault="001036A3" w:rsidP="008B2C98">
            <w:pPr>
              <w:rPr>
                <w:rFonts w:cstheme="minorHAnsi"/>
                <w:b/>
              </w:rPr>
            </w:pPr>
            <w:r w:rsidRPr="00AA7B49">
              <w:rPr>
                <w:rFonts w:cstheme="minorHAnsi"/>
                <w:b/>
              </w:rPr>
              <w:t>Sharing best practice</w:t>
            </w:r>
          </w:p>
          <w:p w:rsidR="001036A3" w:rsidRPr="00AA7B49" w:rsidRDefault="001036A3" w:rsidP="008B2C98">
            <w:pPr>
              <w:rPr>
                <w:rFonts w:cstheme="minorHAnsi"/>
              </w:rPr>
            </w:pPr>
          </w:p>
          <w:p w:rsidR="001036A3" w:rsidRPr="00AA7B49" w:rsidRDefault="006B0EA1" w:rsidP="001036A3">
            <w:pPr>
              <w:numPr>
                <w:ilvl w:val="0"/>
                <w:numId w:val="1"/>
              </w:numPr>
              <w:contextualSpacing/>
              <w:rPr>
                <w:rFonts w:cstheme="minorHAnsi"/>
              </w:rPr>
            </w:pPr>
            <w:r w:rsidRPr="00AA7B49">
              <w:rPr>
                <w:rFonts w:cstheme="minorHAnsi"/>
              </w:rPr>
              <w:t>There is</w:t>
            </w:r>
            <w:r w:rsidR="001036A3" w:rsidRPr="00AA7B49">
              <w:rPr>
                <w:rFonts w:cstheme="minorHAnsi"/>
              </w:rPr>
              <w:t xml:space="preserve"> already a wide variety of approaches to sharing best practice within the higher education sector. However, these approaches are not always scalable or frequently evaluated. Peak bodies should collaborate to develop streamlined processes to collect and disseminate best practice, with support from the </w:t>
            </w:r>
            <w:r w:rsidRPr="00AA7B49">
              <w:rPr>
                <w:rFonts w:cstheme="minorHAnsi"/>
              </w:rPr>
              <w:t>D</w:t>
            </w:r>
            <w:r w:rsidR="001036A3" w:rsidRPr="00AA7B49">
              <w:rPr>
                <w:rFonts w:cstheme="minorHAnsi"/>
              </w:rPr>
              <w:t>epartment</w:t>
            </w:r>
            <w:r w:rsidRPr="00AA7B49">
              <w:rPr>
                <w:rFonts w:cstheme="minorHAnsi"/>
              </w:rPr>
              <w:t xml:space="preserve"> of Education and Training</w:t>
            </w:r>
            <w:r w:rsidR="001036A3" w:rsidRPr="00AA7B49">
              <w:rPr>
                <w:rFonts w:cstheme="minorHAnsi"/>
              </w:rPr>
              <w:t xml:space="preserve">. A dedicated website </w:t>
            </w:r>
            <w:proofErr w:type="gramStart"/>
            <w:r w:rsidR="001036A3" w:rsidRPr="00AA7B49">
              <w:rPr>
                <w:rFonts w:cstheme="minorHAnsi"/>
              </w:rPr>
              <w:t>could be established</w:t>
            </w:r>
            <w:proofErr w:type="gramEnd"/>
            <w:r w:rsidR="001036A3" w:rsidRPr="00AA7B49">
              <w:rPr>
                <w:rFonts w:cstheme="minorHAnsi"/>
              </w:rPr>
              <w:t xml:space="preserve"> for this purpose.  </w:t>
            </w:r>
          </w:p>
          <w:p w:rsidR="001036A3" w:rsidRPr="00AA7B49" w:rsidRDefault="001036A3" w:rsidP="008B2C98">
            <w:pPr>
              <w:rPr>
                <w:rFonts w:cstheme="minorHAnsi"/>
              </w:rPr>
            </w:pPr>
          </w:p>
        </w:tc>
        <w:tc>
          <w:tcPr>
            <w:tcW w:w="4210" w:type="dxa"/>
          </w:tcPr>
          <w:p w:rsidR="001036A3" w:rsidRPr="00AA7B49" w:rsidRDefault="001036A3" w:rsidP="008B2C98">
            <w:pPr>
              <w:rPr>
                <w:rFonts w:cstheme="minorHAnsi"/>
              </w:rPr>
            </w:pPr>
          </w:p>
          <w:p w:rsidR="001036A3" w:rsidRPr="00AA7B49" w:rsidRDefault="001036A3" w:rsidP="008B2C98">
            <w:pPr>
              <w:rPr>
                <w:rFonts w:cstheme="minorHAnsi"/>
              </w:rPr>
            </w:pPr>
          </w:p>
          <w:p w:rsidR="001036A3" w:rsidRPr="00AA7B49" w:rsidRDefault="001036A3" w:rsidP="008B2C98">
            <w:pPr>
              <w:rPr>
                <w:rFonts w:cstheme="minorHAnsi"/>
              </w:rPr>
            </w:pPr>
            <w:r w:rsidRPr="00AA7B49">
              <w:rPr>
                <w:rFonts w:cstheme="minorHAnsi"/>
              </w:rPr>
              <w:t xml:space="preserve">Agree. The department will consult peak bodies to develop an implementation plan. </w:t>
            </w:r>
          </w:p>
        </w:tc>
      </w:tr>
    </w:tbl>
    <w:p w:rsidR="00E7099F" w:rsidRDefault="00E7099F">
      <w:r>
        <w:br w:type="page"/>
      </w:r>
    </w:p>
    <w:tbl>
      <w:tblPr>
        <w:tblStyle w:val="TableGrid5"/>
        <w:tblW w:w="0" w:type="auto"/>
        <w:tblLook w:val="04A0" w:firstRow="1" w:lastRow="0" w:firstColumn="1" w:lastColumn="0" w:noHBand="0" w:noVBand="1"/>
      </w:tblPr>
      <w:tblGrid>
        <w:gridCol w:w="4806"/>
        <w:gridCol w:w="4210"/>
      </w:tblGrid>
      <w:tr w:rsidR="001036A3" w:rsidRPr="00AA7B49" w:rsidTr="00AA7B49">
        <w:tc>
          <w:tcPr>
            <w:tcW w:w="4806" w:type="dxa"/>
          </w:tcPr>
          <w:p w:rsidR="001036A3" w:rsidRPr="00AA7B49" w:rsidRDefault="001036A3" w:rsidP="008B2C98">
            <w:pPr>
              <w:rPr>
                <w:rFonts w:cstheme="minorHAnsi"/>
                <w:b/>
              </w:rPr>
            </w:pPr>
            <w:r w:rsidRPr="00AA7B49">
              <w:rPr>
                <w:rFonts w:cstheme="minorHAnsi"/>
                <w:b/>
              </w:rPr>
              <w:t>Clarity of definitions and enhancing transparency</w:t>
            </w:r>
          </w:p>
          <w:p w:rsidR="001036A3" w:rsidRPr="00AA7B49" w:rsidRDefault="001036A3" w:rsidP="008B2C98">
            <w:pPr>
              <w:rPr>
                <w:rFonts w:cstheme="minorHAnsi"/>
              </w:rPr>
            </w:pPr>
          </w:p>
          <w:p w:rsidR="001036A3" w:rsidRPr="00AA7B49" w:rsidRDefault="001036A3" w:rsidP="001036A3">
            <w:pPr>
              <w:numPr>
                <w:ilvl w:val="0"/>
                <w:numId w:val="1"/>
              </w:numPr>
              <w:contextualSpacing/>
              <w:rPr>
                <w:rFonts w:cstheme="minorHAnsi"/>
              </w:rPr>
            </w:pPr>
            <w:r w:rsidRPr="00AA7B49">
              <w:rPr>
                <w:rFonts w:cstheme="minorHAnsi"/>
              </w:rPr>
              <w:t xml:space="preserve">The higher education community should work together with the </w:t>
            </w:r>
            <w:r w:rsidR="006B0EA1" w:rsidRPr="00AA7B49">
              <w:rPr>
                <w:rFonts w:cstheme="minorHAnsi"/>
              </w:rPr>
              <w:t>D</w:t>
            </w:r>
            <w:r w:rsidRPr="00AA7B49">
              <w:rPr>
                <w:rFonts w:cstheme="minorHAnsi"/>
              </w:rPr>
              <w:t>epartment</w:t>
            </w:r>
            <w:r w:rsidR="006B0EA1" w:rsidRPr="00AA7B49">
              <w:rPr>
                <w:rFonts w:cstheme="minorHAnsi"/>
              </w:rPr>
              <w:t xml:space="preserve"> of Education and Training</w:t>
            </w:r>
            <w:r w:rsidRPr="00AA7B49">
              <w:rPr>
                <w:rFonts w:cstheme="minorHAnsi"/>
              </w:rPr>
              <w:t xml:space="preserve"> to ensure a greater understanding and clarity of definitions in attrition, retention, </w:t>
            </w:r>
            <w:proofErr w:type="gramStart"/>
            <w:r w:rsidRPr="00AA7B49">
              <w:rPr>
                <w:rFonts w:cstheme="minorHAnsi"/>
              </w:rPr>
              <w:t>success</w:t>
            </w:r>
            <w:proofErr w:type="gramEnd"/>
            <w:r w:rsidRPr="00AA7B49">
              <w:rPr>
                <w:rFonts w:cstheme="minorHAnsi"/>
              </w:rPr>
              <w:t xml:space="preserve"> and completions data. The department should continue to measure and publish adjusted attrition, retention, </w:t>
            </w:r>
            <w:proofErr w:type="gramStart"/>
            <w:r w:rsidRPr="00AA7B49">
              <w:rPr>
                <w:rFonts w:cstheme="minorHAnsi"/>
              </w:rPr>
              <w:t>student</w:t>
            </w:r>
            <w:proofErr w:type="gramEnd"/>
            <w:r w:rsidRPr="00AA7B49">
              <w:rPr>
                <w:rFonts w:cstheme="minorHAnsi"/>
              </w:rPr>
              <w:t xml:space="preserve"> success and completions data. </w:t>
            </w:r>
          </w:p>
          <w:p w:rsidR="001036A3" w:rsidRPr="00AA7B49" w:rsidRDefault="001036A3" w:rsidP="008B2C98">
            <w:pPr>
              <w:ind w:left="360"/>
              <w:contextualSpacing/>
              <w:rPr>
                <w:rFonts w:cstheme="minorHAnsi"/>
              </w:rPr>
            </w:pPr>
          </w:p>
          <w:p w:rsidR="001036A3" w:rsidRPr="00AA7B49" w:rsidRDefault="001036A3" w:rsidP="008B2C98">
            <w:pPr>
              <w:rPr>
                <w:rFonts w:cstheme="minorHAnsi"/>
              </w:rPr>
            </w:pPr>
          </w:p>
        </w:tc>
        <w:tc>
          <w:tcPr>
            <w:tcW w:w="4210" w:type="dxa"/>
          </w:tcPr>
          <w:p w:rsidR="001036A3" w:rsidRPr="00AA7B49" w:rsidRDefault="001036A3" w:rsidP="008B2C98">
            <w:pPr>
              <w:rPr>
                <w:rFonts w:cstheme="minorHAnsi"/>
              </w:rPr>
            </w:pPr>
          </w:p>
          <w:p w:rsidR="009A0E4C" w:rsidRPr="00AA7B49" w:rsidRDefault="009A0E4C" w:rsidP="008B2C98">
            <w:pPr>
              <w:rPr>
                <w:rFonts w:cstheme="minorHAnsi"/>
              </w:rPr>
            </w:pPr>
          </w:p>
          <w:p w:rsidR="001036A3" w:rsidRPr="00AA7B49" w:rsidRDefault="001036A3" w:rsidP="008B2C98">
            <w:pPr>
              <w:rPr>
                <w:rFonts w:cstheme="minorHAnsi"/>
              </w:rPr>
            </w:pPr>
            <w:r w:rsidRPr="00AA7B49">
              <w:rPr>
                <w:rFonts w:cstheme="minorHAnsi"/>
              </w:rPr>
              <w:t xml:space="preserve">Agree. The department will undertake a consultation exercise across the sector to clarify definitions in attrition, retention, </w:t>
            </w:r>
            <w:proofErr w:type="gramStart"/>
            <w:r w:rsidRPr="00AA7B49">
              <w:rPr>
                <w:rFonts w:cstheme="minorHAnsi"/>
              </w:rPr>
              <w:t>success</w:t>
            </w:r>
            <w:proofErr w:type="gramEnd"/>
            <w:r w:rsidRPr="00AA7B49">
              <w:rPr>
                <w:rFonts w:cstheme="minorHAnsi"/>
              </w:rPr>
              <w:t xml:space="preserve"> and completions data. </w:t>
            </w:r>
          </w:p>
        </w:tc>
      </w:tr>
      <w:tr w:rsidR="001036A3" w:rsidRPr="00AA7B49" w:rsidTr="00AA7B49">
        <w:tc>
          <w:tcPr>
            <w:tcW w:w="4806" w:type="dxa"/>
          </w:tcPr>
          <w:p w:rsidR="001036A3" w:rsidRPr="00AA7B49" w:rsidRDefault="001036A3" w:rsidP="001036A3">
            <w:pPr>
              <w:numPr>
                <w:ilvl w:val="0"/>
                <w:numId w:val="1"/>
              </w:numPr>
              <w:contextualSpacing/>
              <w:rPr>
                <w:rFonts w:cstheme="minorHAnsi"/>
              </w:rPr>
            </w:pPr>
            <w:r w:rsidRPr="00AA7B49">
              <w:rPr>
                <w:rFonts w:cstheme="minorHAnsi"/>
              </w:rPr>
              <w:t xml:space="preserve">At </w:t>
            </w:r>
            <w:proofErr w:type="gramStart"/>
            <w:r w:rsidRPr="00AA7B49">
              <w:rPr>
                <w:rFonts w:cstheme="minorHAnsi"/>
              </w:rPr>
              <w:t>present</w:t>
            </w:r>
            <w:proofErr w:type="gramEnd"/>
            <w:r w:rsidRPr="00AA7B49">
              <w:rPr>
                <w:rFonts w:cstheme="minorHAnsi"/>
              </w:rPr>
              <w:t xml:space="preserve"> some institutions have a trimester structure of teaching and this can lead to different timings for assessment, graduation and reporting. As a result, students who complete Semester 1 and 2 and enrol in Semester 3 but not Semester 4 </w:t>
            </w:r>
            <w:proofErr w:type="gramStart"/>
            <w:r w:rsidRPr="00AA7B49">
              <w:rPr>
                <w:rFonts w:cstheme="minorHAnsi"/>
              </w:rPr>
              <w:t>are recorded</w:t>
            </w:r>
            <w:proofErr w:type="gramEnd"/>
            <w:r w:rsidRPr="00AA7B49">
              <w:rPr>
                <w:rFonts w:cstheme="minorHAnsi"/>
              </w:rPr>
              <w:t xml:space="preserve"> as not completed. Consequently, the definition of attrition </w:t>
            </w:r>
            <w:proofErr w:type="gramStart"/>
            <w:r w:rsidRPr="00AA7B49">
              <w:rPr>
                <w:rFonts w:cstheme="minorHAnsi"/>
              </w:rPr>
              <w:t>should be changed</w:t>
            </w:r>
            <w:proofErr w:type="gramEnd"/>
            <w:r w:rsidRPr="00AA7B49">
              <w:rPr>
                <w:rFonts w:cstheme="minorHAnsi"/>
              </w:rPr>
              <w:t xml:space="preserve"> to reflect the trimester teaching structure.</w:t>
            </w:r>
          </w:p>
          <w:p w:rsidR="001036A3" w:rsidRPr="00AA7B49" w:rsidRDefault="001036A3" w:rsidP="008B2C98">
            <w:pPr>
              <w:rPr>
                <w:rFonts w:cstheme="minorHAnsi"/>
              </w:rPr>
            </w:pPr>
          </w:p>
        </w:tc>
        <w:tc>
          <w:tcPr>
            <w:tcW w:w="4210" w:type="dxa"/>
          </w:tcPr>
          <w:p w:rsidR="001036A3" w:rsidRPr="00AA7B49" w:rsidRDefault="001036A3" w:rsidP="008B2C98">
            <w:pPr>
              <w:rPr>
                <w:rFonts w:cstheme="minorHAnsi"/>
              </w:rPr>
            </w:pPr>
            <w:r w:rsidRPr="00AA7B49">
              <w:rPr>
                <w:rFonts w:cstheme="minorHAnsi"/>
              </w:rPr>
              <w:t xml:space="preserve">Agree. The department has made this change and it </w:t>
            </w:r>
            <w:proofErr w:type="gramStart"/>
            <w:r w:rsidRPr="00AA7B49">
              <w:rPr>
                <w:rFonts w:cstheme="minorHAnsi"/>
              </w:rPr>
              <w:t>is reflected</w:t>
            </w:r>
            <w:proofErr w:type="gramEnd"/>
            <w:r w:rsidRPr="00AA7B49">
              <w:rPr>
                <w:rFonts w:cstheme="minorHAnsi"/>
              </w:rPr>
              <w:t xml:space="preserve"> in the publication of the 2016 full year student data.</w:t>
            </w:r>
          </w:p>
        </w:tc>
      </w:tr>
      <w:tr w:rsidR="001036A3" w:rsidRPr="00AA7B49" w:rsidTr="00AA7B49">
        <w:tc>
          <w:tcPr>
            <w:tcW w:w="4806" w:type="dxa"/>
          </w:tcPr>
          <w:p w:rsidR="001036A3" w:rsidRPr="00AA7B49" w:rsidRDefault="001036A3" w:rsidP="001036A3">
            <w:pPr>
              <w:numPr>
                <w:ilvl w:val="0"/>
                <w:numId w:val="1"/>
              </w:numPr>
              <w:contextualSpacing/>
              <w:rPr>
                <w:rFonts w:cstheme="minorHAnsi"/>
              </w:rPr>
            </w:pPr>
            <w:r w:rsidRPr="00AA7B49">
              <w:rPr>
                <w:rFonts w:cstheme="minorHAnsi"/>
              </w:rPr>
              <w:t xml:space="preserve">The adjusted attrition rate should be the primary measure of attrition published for domestic commencing bachelor students. </w:t>
            </w:r>
          </w:p>
          <w:p w:rsidR="001036A3" w:rsidRPr="00AA7B49" w:rsidRDefault="001036A3" w:rsidP="008B2C98">
            <w:pPr>
              <w:ind w:left="360"/>
              <w:contextualSpacing/>
              <w:rPr>
                <w:rFonts w:cstheme="minorHAnsi"/>
              </w:rPr>
            </w:pPr>
          </w:p>
        </w:tc>
        <w:tc>
          <w:tcPr>
            <w:tcW w:w="4210" w:type="dxa"/>
          </w:tcPr>
          <w:p w:rsidR="001036A3" w:rsidRPr="00AA7B49" w:rsidRDefault="008619B4" w:rsidP="008B2C98">
            <w:pPr>
              <w:rPr>
                <w:rFonts w:cstheme="minorHAnsi"/>
              </w:rPr>
            </w:pPr>
            <w:r w:rsidRPr="00AA7B49">
              <w:rPr>
                <w:rFonts w:cstheme="minorHAnsi"/>
              </w:rPr>
              <w:t>Agree. This is now t</w:t>
            </w:r>
            <w:r w:rsidR="001036A3" w:rsidRPr="00AA7B49">
              <w:rPr>
                <w:rFonts w:cstheme="minorHAnsi"/>
              </w:rPr>
              <w:t xml:space="preserve">he case. </w:t>
            </w:r>
          </w:p>
        </w:tc>
      </w:tr>
      <w:tr w:rsidR="001036A3" w:rsidRPr="00AA7B49" w:rsidTr="00AA7B49">
        <w:tc>
          <w:tcPr>
            <w:tcW w:w="4806" w:type="dxa"/>
          </w:tcPr>
          <w:p w:rsidR="001036A3" w:rsidRPr="00AA7B49" w:rsidRDefault="001036A3" w:rsidP="001036A3">
            <w:pPr>
              <w:numPr>
                <w:ilvl w:val="0"/>
                <w:numId w:val="1"/>
              </w:numPr>
              <w:contextualSpacing/>
              <w:rPr>
                <w:rFonts w:cstheme="minorHAnsi"/>
              </w:rPr>
            </w:pPr>
            <w:r w:rsidRPr="00AA7B49">
              <w:rPr>
                <w:rFonts w:cstheme="minorHAnsi"/>
              </w:rPr>
              <w:t xml:space="preserve">The </w:t>
            </w:r>
            <w:r w:rsidR="006B0EA1" w:rsidRPr="00AA7B49">
              <w:rPr>
                <w:rFonts w:cstheme="minorHAnsi"/>
              </w:rPr>
              <w:t>D</w:t>
            </w:r>
            <w:r w:rsidRPr="00AA7B49">
              <w:rPr>
                <w:rFonts w:cstheme="minorHAnsi"/>
              </w:rPr>
              <w:t xml:space="preserve">epartment </w:t>
            </w:r>
            <w:r w:rsidR="006B0EA1" w:rsidRPr="00AA7B49">
              <w:rPr>
                <w:rFonts w:cstheme="minorHAnsi"/>
              </w:rPr>
              <w:t xml:space="preserve">of Education and Training </w:t>
            </w:r>
            <w:r w:rsidRPr="00AA7B49">
              <w:rPr>
                <w:rFonts w:cstheme="minorHAnsi"/>
              </w:rPr>
              <w:t xml:space="preserve">should further develop and publish the calculation of attrition rates that take into account key student characteristics </w:t>
            </w:r>
            <w:proofErr w:type="gramStart"/>
            <w:r w:rsidRPr="00AA7B49">
              <w:rPr>
                <w:rFonts w:cstheme="minorHAnsi"/>
              </w:rPr>
              <w:t>so as to</w:t>
            </w:r>
            <w:proofErr w:type="gramEnd"/>
            <w:r w:rsidRPr="00AA7B49">
              <w:rPr>
                <w:rFonts w:cstheme="minorHAnsi"/>
              </w:rPr>
              <w:t xml:space="preserve"> better reflect institutional differences.</w:t>
            </w:r>
          </w:p>
          <w:p w:rsidR="001036A3" w:rsidRPr="00AA7B49" w:rsidRDefault="001036A3" w:rsidP="008B2C98">
            <w:pPr>
              <w:ind w:left="360"/>
              <w:contextualSpacing/>
              <w:rPr>
                <w:rFonts w:cstheme="minorHAnsi"/>
              </w:rPr>
            </w:pPr>
          </w:p>
          <w:p w:rsidR="001036A3" w:rsidRPr="00AA7B49" w:rsidRDefault="001036A3" w:rsidP="008B2C98">
            <w:pPr>
              <w:ind w:left="360"/>
              <w:contextualSpacing/>
              <w:rPr>
                <w:rFonts w:cstheme="minorHAnsi"/>
              </w:rPr>
            </w:pPr>
          </w:p>
        </w:tc>
        <w:tc>
          <w:tcPr>
            <w:tcW w:w="4210" w:type="dxa"/>
          </w:tcPr>
          <w:p w:rsidR="001036A3" w:rsidRPr="00AA7B49" w:rsidRDefault="001036A3" w:rsidP="008B2C98">
            <w:pPr>
              <w:rPr>
                <w:rFonts w:cstheme="minorHAnsi"/>
              </w:rPr>
            </w:pPr>
            <w:r w:rsidRPr="00AA7B49">
              <w:rPr>
                <w:rFonts w:cstheme="minorHAnsi"/>
              </w:rPr>
              <w:t xml:space="preserve">Agree. This work is underway. </w:t>
            </w:r>
          </w:p>
          <w:p w:rsidR="001036A3" w:rsidRPr="00AA7B49" w:rsidRDefault="001036A3" w:rsidP="008B2C98">
            <w:pPr>
              <w:rPr>
                <w:rFonts w:cstheme="minorHAnsi"/>
              </w:rPr>
            </w:pPr>
          </w:p>
          <w:p w:rsidR="001036A3" w:rsidRPr="00AA7B49" w:rsidRDefault="001036A3" w:rsidP="008B2C98">
            <w:pPr>
              <w:rPr>
                <w:rFonts w:cstheme="minorHAnsi"/>
              </w:rPr>
            </w:pPr>
            <w:r w:rsidRPr="00AA7B49">
              <w:rPr>
                <w:rFonts w:cstheme="minorHAnsi"/>
              </w:rPr>
              <w:t xml:space="preserve">Attrition rates adjusted for population will be supplementary to the current adjusted attrition figures, which will continue to </w:t>
            </w:r>
            <w:proofErr w:type="gramStart"/>
            <w:r w:rsidRPr="00AA7B49">
              <w:rPr>
                <w:rFonts w:cstheme="minorHAnsi"/>
              </w:rPr>
              <w:t>be published</w:t>
            </w:r>
            <w:proofErr w:type="gramEnd"/>
            <w:r w:rsidRPr="00AA7B49">
              <w:rPr>
                <w:rFonts w:cstheme="minorHAnsi"/>
              </w:rPr>
              <w:t xml:space="preserve">. </w:t>
            </w:r>
          </w:p>
          <w:p w:rsidR="001036A3" w:rsidRPr="00AA7B49" w:rsidRDefault="001036A3" w:rsidP="00B642E9">
            <w:pPr>
              <w:rPr>
                <w:rFonts w:cstheme="minorHAnsi"/>
                <w:i/>
              </w:rPr>
            </w:pPr>
          </w:p>
        </w:tc>
      </w:tr>
      <w:tr w:rsidR="001036A3" w:rsidRPr="00AA7B49" w:rsidTr="00AA7B49">
        <w:tc>
          <w:tcPr>
            <w:tcW w:w="4806" w:type="dxa"/>
          </w:tcPr>
          <w:p w:rsidR="001036A3" w:rsidRPr="00AA7B49" w:rsidRDefault="001036A3" w:rsidP="001036A3">
            <w:pPr>
              <w:numPr>
                <w:ilvl w:val="0"/>
                <w:numId w:val="1"/>
              </w:numPr>
              <w:contextualSpacing/>
              <w:rPr>
                <w:rFonts w:cstheme="minorHAnsi"/>
              </w:rPr>
            </w:pPr>
            <w:r w:rsidRPr="00AA7B49">
              <w:rPr>
                <w:rFonts w:cstheme="minorHAnsi"/>
              </w:rPr>
              <w:t xml:space="preserve">The </w:t>
            </w:r>
            <w:r w:rsidR="006B0EA1" w:rsidRPr="00AA7B49">
              <w:rPr>
                <w:rFonts w:cstheme="minorHAnsi"/>
              </w:rPr>
              <w:t>D</w:t>
            </w:r>
            <w:r w:rsidRPr="00AA7B49">
              <w:rPr>
                <w:rFonts w:cstheme="minorHAnsi"/>
              </w:rPr>
              <w:t xml:space="preserve">epartment </w:t>
            </w:r>
            <w:r w:rsidR="006B0EA1" w:rsidRPr="00AA7B49">
              <w:rPr>
                <w:rFonts w:cstheme="minorHAnsi"/>
              </w:rPr>
              <w:t xml:space="preserve">of Education and Training </w:t>
            </w:r>
            <w:r w:rsidRPr="00AA7B49">
              <w:rPr>
                <w:rFonts w:cstheme="minorHAnsi"/>
              </w:rPr>
              <w:t>should report attrition among non-university higher education providers on a similar basis to its reporting of Table A and B universities.</w:t>
            </w:r>
          </w:p>
          <w:p w:rsidR="001036A3" w:rsidRPr="00AA7B49" w:rsidRDefault="001036A3" w:rsidP="008B2C98">
            <w:pPr>
              <w:ind w:left="720"/>
              <w:contextualSpacing/>
              <w:rPr>
                <w:rFonts w:cstheme="minorHAnsi"/>
              </w:rPr>
            </w:pPr>
          </w:p>
        </w:tc>
        <w:tc>
          <w:tcPr>
            <w:tcW w:w="4210" w:type="dxa"/>
          </w:tcPr>
          <w:p w:rsidR="001036A3" w:rsidRPr="00AA7B49" w:rsidRDefault="001036A3" w:rsidP="008619B4">
            <w:pPr>
              <w:rPr>
                <w:rFonts w:cstheme="minorHAnsi"/>
              </w:rPr>
            </w:pPr>
            <w:r w:rsidRPr="00AA7B49">
              <w:rPr>
                <w:rFonts w:cstheme="minorHAnsi"/>
              </w:rPr>
              <w:t xml:space="preserve">Agree. This is </w:t>
            </w:r>
            <w:r w:rsidR="008619B4" w:rsidRPr="00AA7B49">
              <w:rPr>
                <w:rFonts w:cstheme="minorHAnsi"/>
              </w:rPr>
              <w:t>now the case (Appendix 4 2016 student data)</w:t>
            </w:r>
          </w:p>
        </w:tc>
      </w:tr>
      <w:tr w:rsidR="001036A3" w:rsidRPr="00AA7B49" w:rsidTr="00AA7B49">
        <w:tc>
          <w:tcPr>
            <w:tcW w:w="4806" w:type="dxa"/>
          </w:tcPr>
          <w:p w:rsidR="001036A3" w:rsidRPr="00AA7B49" w:rsidRDefault="001036A3" w:rsidP="001036A3">
            <w:pPr>
              <w:numPr>
                <w:ilvl w:val="0"/>
                <w:numId w:val="1"/>
              </w:numPr>
              <w:contextualSpacing/>
              <w:rPr>
                <w:rFonts w:cstheme="minorHAnsi"/>
              </w:rPr>
            </w:pPr>
            <w:r w:rsidRPr="00AA7B49">
              <w:rPr>
                <w:rFonts w:cstheme="minorHAnsi"/>
              </w:rPr>
              <w:t xml:space="preserve">The </w:t>
            </w:r>
            <w:r w:rsidR="006B0EA1" w:rsidRPr="00AA7B49">
              <w:rPr>
                <w:rFonts w:cstheme="minorHAnsi"/>
              </w:rPr>
              <w:t>D</w:t>
            </w:r>
            <w:r w:rsidRPr="00AA7B49">
              <w:rPr>
                <w:rFonts w:cstheme="minorHAnsi"/>
              </w:rPr>
              <w:t xml:space="preserve">epartment </w:t>
            </w:r>
            <w:r w:rsidR="006B0EA1" w:rsidRPr="00AA7B49">
              <w:rPr>
                <w:rFonts w:cstheme="minorHAnsi"/>
              </w:rPr>
              <w:t xml:space="preserve">of Education and Training </w:t>
            </w:r>
            <w:r w:rsidRPr="00AA7B49">
              <w:rPr>
                <w:rFonts w:cstheme="minorHAnsi"/>
              </w:rPr>
              <w:t>should publish attrition data at more disaggregated levels, for example, by institution, by study area and by student characteristics.</w:t>
            </w:r>
          </w:p>
          <w:p w:rsidR="001036A3" w:rsidRPr="00AA7B49" w:rsidRDefault="001036A3" w:rsidP="008B2C98">
            <w:pPr>
              <w:contextualSpacing/>
              <w:rPr>
                <w:rFonts w:cstheme="minorHAnsi"/>
              </w:rPr>
            </w:pPr>
          </w:p>
        </w:tc>
        <w:tc>
          <w:tcPr>
            <w:tcW w:w="4210" w:type="dxa"/>
          </w:tcPr>
          <w:p w:rsidR="001036A3" w:rsidRPr="00AA7B49" w:rsidRDefault="001036A3" w:rsidP="008B2C98">
            <w:pPr>
              <w:rPr>
                <w:rFonts w:cstheme="minorHAnsi"/>
                <w:highlight w:val="yellow"/>
              </w:rPr>
            </w:pPr>
            <w:r w:rsidRPr="00AA7B49">
              <w:rPr>
                <w:rFonts w:cstheme="minorHAnsi"/>
              </w:rPr>
              <w:t>Agree. This work is underway.</w:t>
            </w:r>
          </w:p>
          <w:p w:rsidR="001036A3" w:rsidRPr="00AA7B49" w:rsidRDefault="001036A3" w:rsidP="008B2C98">
            <w:pPr>
              <w:rPr>
                <w:rFonts w:cstheme="minorHAnsi"/>
              </w:rPr>
            </w:pPr>
          </w:p>
        </w:tc>
      </w:tr>
      <w:tr w:rsidR="001036A3" w:rsidRPr="00AA7B49" w:rsidTr="00AA7B49">
        <w:tc>
          <w:tcPr>
            <w:tcW w:w="4806" w:type="dxa"/>
          </w:tcPr>
          <w:p w:rsidR="001036A3" w:rsidRDefault="001036A3" w:rsidP="001036A3">
            <w:pPr>
              <w:numPr>
                <w:ilvl w:val="0"/>
                <w:numId w:val="1"/>
              </w:numPr>
              <w:contextualSpacing/>
              <w:rPr>
                <w:rFonts w:cstheme="minorHAnsi"/>
              </w:rPr>
            </w:pPr>
            <w:r w:rsidRPr="00AA7B49">
              <w:rPr>
                <w:rFonts w:cstheme="minorHAnsi"/>
              </w:rPr>
              <w:t xml:space="preserve">The </w:t>
            </w:r>
            <w:r w:rsidR="006B0EA1" w:rsidRPr="00AA7B49">
              <w:rPr>
                <w:rFonts w:cstheme="minorHAnsi"/>
              </w:rPr>
              <w:t>D</w:t>
            </w:r>
            <w:r w:rsidRPr="00AA7B49">
              <w:rPr>
                <w:rFonts w:cstheme="minorHAnsi"/>
              </w:rPr>
              <w:t xml:space="preserve">epartment </w:t>
            </w:r>
            <w:r w:rsidR="006B0EA1" w:rsidRPr="00AA7B49">
              <w:rPr>
                <w:rFonts w:cstheme="minorHAnsi"/>
              </w:rPr>
              <w:t xml:space="preserve">of Education and Training </w:t>
            </w:r>
            <w:r w:rsidRPr="00AA7B49">
              <w:rPr>
                <w:rFonts w:cstheme="minorHAnsi"/>
              </w:rPr>
              <w:t xml:space="preserve">should establish a common student identifier </w:t>
            </w:r>
            <w:proofErr w:type="gramStart"/>
            <w:r w:rsidRPr="00AA7B49">
              <w:rPr>
                <w:rFonts w:cstheme="minorHAnsi"/>
              </w:rPr>
              <w:t>to better understand</w:t>
            </w:r>
            <w:proofErr w:type="gramEnd"/>
            <w:r w:rsidRPr="00AA7B49">
              <w:rPr>
                <w:rFonts w:cstheme="minorHAnsi"/>
              </w:rPr>
              <w:t xml:space="preserve"> student pathways across tertiary education with a view to working with </w:t>
            </w:r>
            <w:r w:rsidR="006B0EA1" w:rsidRPr="00AA7B49">
              <w:rPr>
                <w:rFonts w:cstheme="minorHAnsi"/>
              </w:rPr>
              <w:t>S</w:t>
            </w:r>
            <w:r w:rsidRPr="00AA7B49">
              <w:rPr>
                <w:rFonts w:cstheme="minorHAnsi"/>
              </w:rPr>
              <w:t xml:space="preserve">tate and </w:t>
            </w:r>
            <w:r w:rsidR="006B0EA1" w:rsidRPr="00AA7B49">
              <w:rPr>
                <w:rFonts w:cstheme="minorHAnsi"/>
              </w:rPr>
              <w:t>T</w:t>
            </w:r>
            <w:r w:rsidRPr="00AA7B49">
              <w:rPr>
                <w:rFonts w:cstheme="minorHAnsi"/>
              </w:rPr>
              <w:t xml:space="preserve">erritory </w:t>
            </w:r>
            <w:r w:rsidR="006B0EA1" w:rsidRPr="00AA7B49">
              <w:rPr>
                <w:rFonts w:cstheme="minorHAnsi"/>
              </w:rPr>
              <w:t>G</w:t>
            </w:r>
            <w:r w:rsidRPr="00AA7B49">
              <w:rPr>
                <w:rFonts w:cstheme="minorHAnsi"/>
              </w:rPr>
              <w:t xml:space="preserve">overnments to establish a common student identifier across all levels of schooling. </w:t>
            </w:r>
          </w:p>
          <w:p w:rsidR="00E7099F" w:rsidRDefault="00E7099F" w:rsidP="00E7099F">
            <w:pPr>
              <w:contextualSpacing/>
              <w:rPr>
                <w:rFonts w:cstheme="minorHAnsi"/>
              </w:rPr>
            </w:pPr>
          </w:p>
          <w:p w:rsidR="00E7099F" w:rsidRPr="00AA7B49" w:rsidRDefault="00E7099F" w:rsidP="00E7099F">
            <w:pPr>
              <w:contextualSpacing/>
              <w:rPr>
                <w:rFonts w:cstheme="minorHAnsi"/>
              </w:rPr>
            </w:pPr>
          </w:p>
          <w:p w:rsidR="001036A3" w:rsidRPr="00AA7B49" w:rsidRDefault="001036A3" w:rsidP="008B2C98">
            <w:pPr>
              <w:contextualSpacing/>
              <w:rPr>
                <w:rFonts w:cstheme="minorHAnsi"/>
              </w:rPr>
            </w:pPr>
          </w:p>
        </w:tc>
        <w:tc>
          <w:tcPr>
            <w:tcW w:w="4210" w:type="dxa"/>
          </w:tcPr>
          <w:p w:rsidR="001036A3" w:rsidRPr="00AA7B49" w:rsidRDefault="001036A3" w:rsidP="008619B4">
            <w:pPr>
              <w:rPr>
                <w:rFonts w:cstheme="minorHAnsi"/>
              </w:rPr>
            </w:pPr>
            <w:r w:rsidRPr="00AA7B49">
              <w:rPr>
                <w:rFonts w:cstheme="minorHAnsi"/>
              </w:rPr>
              <w:t xml:space="preserve">Agree. </w:t>
            </w:r>
            <w:r w:rsidR="008619B4" w:rsidRPr="00AA7B49">
              <w:rPr>
                <w:rFonts w:cstheme="minorHAnsi"/>
              </w:rPr>
              <w:t>The department is investigating options to adopt the Unique Student Identifier (USI) in schools and higher education.</w:t>
            </w:r>
          </w:p>
        </w:tc>
      </w:tr>
      <w:tr w:rsidR="001036A3" w:rsidRPr="00AA7B49" w:rsidTr="00AA7B49">
        <w:tc>
          <w:tcPr>
            <w:tcW w:w="4806" w:type="dxa"/>
          </w:tcPr>
          <w:p w:rsidR="001036A3" w:rsidRPr="00AA7B49" w:rsidRDefault="001036A3" w:rsidP="008B2C98">
            <w:pPr>
              <w:rPr>
                <w:rFonts w:cstheme="minorHAnsi"/>
                <w:b/>
              </w:rPr>
            </w:pPr>
            <w:r w:rsidRPr="00AA7B49">
              <w:rPr>
                <w:rFonts w:cstheme="minorHAnsi"/>
                <w:b/>
              </w:rPr>
              <w:t xml:space="preserve">Accountability and regulation </w:t>
            </w:r>
          </w:p>
          <w:p w:rsidR="001036A3" w:rsidRPr="00AA7B49" w:rsidRDefault="001036A3" w:rsidP="008B2C98">
            <w:pPr>
              <w:rPr>
                <w:rFonts w:cstheme="minorHAnsi"/>
              </w:rPr>
            </w:pPr>
          </w:p>
          <w:p w:rsidR="001036A3" w:rsidRPr="00AA7B49" w:rsidRDefault="001036A3" w:rsidP="001036A3">
            <w:pPr>
              <w:numPr>
                <w:ilvl w:val="0"/>
                <w:numId w:val="1"/>
              </w:numPr>
              <w:contextualSpacing/>
              <w:rPr>
                <w:rFonts w:cstheme="minorHAnsi"/>
              </w:rPr>
            </w:pPr>
            <w:r w:rsidRPr="00AA7B49">
              <w:rPr>
                <w:rFonts w:cstheme="minorHAnsi"/>
              </w:rPr>
              <w:t xml:space="preserve">TEQSA already has sufficient powers in relation to provider compliance with the Higher Education Standards Framework in terms of the identification and tracking of students at risk with support strategies in place, analysis of student performance and evidence on reasons for attrition. TEQSA should continue to take account of every institution’s retention performance in assessing whether these standards </w:t>
            </w:r>
            <w:proofErr w:type="gramStart"/>
            <w:r w:rsidRPr="00AA7B49">
              <w:rPr>
                <w:rFonts w:cstheme="minorHAnsi"/>
              </w:rPr>
              <w:t>are being met</w:t>
            </w:r>
            <w:proofErr w:type="gramEnd"/>
            <w:r w:rsidRPr="00AA7B49">
              <w:rPr>
                <w:rFonts w:cstheme="minorHAnsi"/>
              </w:rPr>
              <w:t xml:space="preserve">.  </w:t>
            </w:r>
          </w:p>
          <w:p w:rsidR="001036A3" w:rsidRPr="00AA7B49" w:rsidRDefault="001036A3" w:rsidP="008B2C98">
            <w:pPr>
              <w:ind w:left="360"/>
              <w:contextualSpacing/>
              <w:rPr>
                <w:rFonts w:cstheme="minorHAnsi"/>
              </w:rPr>
            </w:pPr>
          </w:p>
        </w:tc>
        <w:tc>
          <w:tcPr>
            <w:tcW w:w="4210" w:type="dxa"/>
          </w:tcPr>
          <w:p w:rsidR="001036A3" w:rsidRPr="00AA7B49" w:rsidRDefault="001036A3" w:rsidP="008B2C98">
            <w:pPr>
              <w:rPr>
                <w:rFonts w:cstheme="minorHAnsi"/>
              </w:rPr>
            </w:pPr>
          </w:p>
          <w:p w:rsidR="001036A3" w:rsidRPr="00AA7B49" w:rsidRDefault="001036A3" w:rsidP="008B2C98">
            <w:pPr>
              <w:rPr>
                <w:rFonts w:cstheme="minorHAnsi"/>
              </w:rPr>
            </w:pPr>
          </w:p>
          <w:p w:rsidR="001036A3" w:rsidRPr="00AA7B49" w:rsidRDefault="001036A3" w:rsidP="003E47D9">
            <w:pPr>
              <w:rPr>
                <w:rFonts w:cstheme="minorHAnsi"/>
              </w:rPr>
            </w:pPr>
            <w:r w:rsidRPr="00AA7B49">
              <w:rPr>
                <w:rFonts w:cstheme="minorHAnsi"/>
              </w:rPr>
              <w:t>Agree. TEQSA is already taking into account institutions</w:t>
            </w:r>
            <w:r w:rsidR="003E47D9" w:rsidRPr="00AA7B49">
              <w:rPr>
                <w:rFonts w:cstheme="minorHAnsi"/>
              </w:rPr>
              <w:t>’</w:t>
            </w:r>
            <w:r w:rsidRPr="00AA7B49">
              <w:rPr>
                <w:rFonts w:cstheme="minorHAnsi"/>
              </w:rPr>
              <w:t xml:space="preserve"> retention performance in assessing whether the Higher Education Standards Framework </w:t>
            </w:r>
            <w:proofErr w:type="gramStart"/>
            <w:r w:rsidRPr="00AA7B49">
              <w:rPr>
                <w:rFonts w:cstheme="minorHAnsi"/>
              </w:rPr>
              <w:t>is being adhered</w:t>
            </w:r>
            <w:proofErr w:type="gramEnd"/>
            <w:r w:rsidRPr="00AA7B49">
              <w:rPr>
                <w:rFonts w:cstheme="minorHAnsi"/>
              </w:rPr>
              <w:t xml:space="preserve"> to. </w:t>
            </w:r>
          </w:p>
        </w:tc>
      </w:tr>
    </w:tbl>
    <w:p w:rsidR="001036A3" w:rsidRPr="00AA7B49" w:rsidRDefault="001036A3" w:rsidP="001036A3">
      <w:pPr>
        <w:rPr>
          <w:rFonts w:cstheme="minorHAnsi"/>
        </w:rPr>
      </w:pPr>
    </w:p>
    <w:p w:rsidR="00854FEB" w:rsidRPr="00AA7B49" w:rsidRDefault="008D11A7">
      <w:pPr>
        <w:rPr>
          <w:rFonts w:cstheme="minorHAnsi"/>
        </w:rPr>
      </w:pPr>
    </w:p>
    <w:sectPr w:rsidR="00854FEB" w:rsidRPr="00AA7B49" w:rsidSect="0048771F">
      <w:headerReference w:type="default" r:id="rId7"/>
      <w:footerReference w:type="default" r:id="rId8"/>
      <w:pgSz w:w="11906" w:h="16838"/>
      <w:pgMar w:top="52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88" w:rsidRDefault="00537F88">
      <w:pPr>
        <w:spacing w:after="0" w:line="240" w:lineRule="auto"/>
      </w:pPr>
      <w:r>
        <w:separator/>
      </w:r>
    </w:p>
  </w:endnote>
  <w:endnote w:type="continuationSeparator" w:id="0">
    <w:p w:rsidR="00537F88" w:rsidRDefault="0053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211349"/>
      <w:docPartObj>
        <w:docPartGallery w:val="Page Numbers (Bottom of Page)"/>
        <w:docPartUnique/>
      </w:docPartObj>
    </w:sdtPr>
    <w:sdtEndPr>
      <w:rPr>
        <w:noProof/>
      </w:rPr>
    </w:sdtEndPr>
    <w:sdtContent>
      <w:p w:rsidR="00AA7B49" w:rsidRDefault="00AA7B49">
        <w:pPr>
          <w:pStyle w:val="Footer"/>
          <w:jc w:val="right"/>
        </w:pPr>
        <w:r>
          <w:fldChar w:fldCharType="begin"/>
        </w:r>
        <w:r>
          <w:instrText xml:space="preserve"> PAGE   \* MERGEFORMAT </w:instrText>
        </w:r>
        <w:r>
          <w:fldChar w:fldCharType="separate"/>
        </w:r>
        <w:r w:rsidR="008D11A7">
          <w:rPr>
            <w:noProof/>
          </w:rPr>
          <w:t>1</w:t>
        </w:r>
        <w:r>
          <w:rPr>
            <w:noProof/>
          </w:rPr>
          <w:fldChar w:fldCharType="end"/>
        </w:r>
      </w:p>
    </w:sdtContent>
  </w:sdt>
  <w:p w:rsidR="00C67000" w:rsidRDefault="008D11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88" w:rsidRDefault="00537F88">
      <w:pPr>
        <w:spacing w:after="0" w:line="240" w:lineRule="auto"/>
      </w:pPr>
      <w:r>
        <w:separator/>
      </w:r>
    </w:p>
  </w:footnote>
  <w:footnote w:type="continuationSeparator" w:id="0">
    <w:p w:rsidR="00537F88" w:rsidRDefault="0053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F" w:rsidRPr="00D80663" w:rsidRDefault="008D11A7" w:rsidP="00AA7B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A2C9C"/>
    <w:multiLevelType w:val="hybridMultilevel"/>
    <w:tmpl w:val="55B6B246"/>
    <w:lvl w:ilvl="0" w:tplc="E4BA3FB6">
      <w:start w:val="1"/>
      <w:numFmt w:val="decimal"/>
      <w:lvlText w:val="%1."/>
      <w:lvlJc w:val="left"/>
      <w:pPr>
        <w:ind w:left="360" w:hanging="360"/>
      </w:pPr>
      <w:rPr>
        <w:b/>
      </w:rPr>
    </w:lvl>
    <w:lvl w:ilvl="1" w:tplc="B2F4C496" w:tentative="1">
      <w:start w:val="1"/>
      <w:numFmt w:val="lowerLetter"/>
      <w:lvlText w:val="%2."/>
      <w:lvlJc w:val="left"/>
      <w:pPr>
        <w:ind w:left="1080" w:hanging="360"/>
      </w:pPr>
    </w:lvl>
    <w:lvl w:ilvl="2" w:tplc="6B867BEC" w:tentative="1">
      <w:start w:val="1"/>
      <w:numFmt w:val="lowerRoman"/>
      <w:lvlText w:val="%3."/>
      <w:lvlJc w:val="right"/>
      <w:pPr>
        <w:ind w:left="1800" w:hanging="180"/>
      </w:pPr>
    </w:lvl>
    <w:lvl w:ilvl="3" w:tplc="973686B0" w:tentative="1">
      <w:start w:val="1"/>
      <w:numFmt w:val="decimal"/>
      <w:lvlText w:val="%4."/>
      <w:lvlJc w:val="left"/>
      <w:pPr>
        <w:ind w:left="2520" w:hanging="360"/>
      </w:pPr>
    </w:lvl>
    <w:lvl w:ilvl="4" w:tplc="B712BA34" w:tentative="1">
      <w:start w:val="1"/>
      <w:numFmt w:val="lowerLetter"/>
      <w:lvlText w:val="%5."/>
      <w:lvlJc w:val="left"/>
      <w:pPr>
        <w:ind w:left="3240" w:hanging="360"/>
      </w:pPr>
    </w:lvl>
    <w:lvl w:ilvl="5" w:tplc="0E8A419E" w:tentative="1">
      <w:start w:val="1"/>
      <w:numFmt w:val="lowerRoman"/>
      <w:lvlText w:val="%6."/>
      <w:lvlJc w:val="right"/>
      <w:pPr>
        <w:ind w:left="3960" w:hanging="180"/>
      </w:pPr>
    </w:lvl>
    <w:lvl w:ilvl="6" w:tplc="9CA87D3C" w:tentative="1">
      <w:start w:val="1"/>
      <w:numFmt w:val="decimal"/>
      <w:lvlText w:val="%7."/>
      <w:lvlJc w:val="left"/>
      <w:pPr>
        <w:ind w:left="4680" w:hanging="360"/>
      </w:pPr>
    </w:lvl>
    <w:lvl w:ilvl="7" w:tplc="CEAC5266" w:tentative="1">
      <w:start w:val="1"/>
      <w:numFmt w:val="lowerLetter"/>
      <w:lvlText w:val="%8."/>
      <w:lvlJc w:val="left"/>
      <w:pPr>
        <w:ind w:left="5400" w:hanging="360"/>
      </w:pPr>
    </w:lvl>
    <w:lvl w:ilvl="8" w:tplc="A30687AA"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A3"/>
    <w:rsid w:val="000216A4"/>
    <w:rsid w:val="001036A3"/>
    <w:rsid w:val="00143D08"/>
    <w:rsid w:val="003E47D9"/>
    <w:rsid w:val="00537F88"/>
    <w:rsid w:val="00563E7E"/>
    <w:rsid w:val="006315DE"/>
    <w:rsid w:val="006B0EA1"/>
    <w:rsid w:val="00720F52"/>
    <w:rsid w:val="007C3F9D"/>
    <w:rsid w:val="008619B4"/>
    <w:rsid w:val="00886FBF"/>
    <w:rsid w:val="008D11A7"/>
    <w:rsid w:val="009A0E4C"/>
    <w:rsid w:val="00A72F90"/>
    <w:rsid w:val="00AA7B49"/>
    <w:rsid w:val="00B642E9"/>
    <w:rsid w:val="00BF58E2"/>
    <w:rsid w:val="00CA7FBD"/>
    <w:rsid w:val="00E7099F"/>
    <w:rsid w:val="00FF6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BA08"/>
  <w15:chartTrackingRefBased/>
  <w15:docId w15:val="{A2A3F5F6-ECBD-49FD-8E2E-675FC96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6A3"/>
  </w:style>
  <w:style w:type="paragraph" w:styleId="Footer">
    <w:name w:val="footer"/>
    <w:basedOn w:val="Normal"/>
    <w:link w:val="FooterChar"/>
    <w:uiPriority w:val="99"/>
    <w:unhideWhenUsed/>
    <w:rsid w:val="00103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6A3"/>
  </w:style>
  <w:style w:type="table" w:customStyle="1" w:styleId="TableGrid5">
    <w:name w:val="Table Grid5"/>
    <w:basedOn w:val="TableNormal"/>
    <w:next w:val="TableGrid"/>
    <w:rsid w:val="00103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3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F48C1B4B.dotm</Template>
  <TotalTime>9</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LUCA,Liz</dc:creator>
  <cp:keywords/>
  <dc:description/>
  <cp:lastModifiedBy>DE LUCA,Liz</cp:lastModifiedBy>
  <cp:revision>3</cp:revision>
  <dcterms:created xsi:type="dcterms:W3CDTF">2018-06-07T12:05:00Z</dcterms:created>
  <dcterms:modified xsi:type="dcterms:W3CDTF">2018-06-07T12:06:00Z</dcterms:modified>
</cp:coreProperties>
</file>