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A1B7F" w14:textId="77777777" w:rsidR="001414F3" w:rsidRDefault="00875D6A" w:rsidP="00CD69BB">
      <w:pPr>
        <w:pStyle w:val="Heading2"/>
      </w:pPr>
      <w:r>
        <w:t xml:space="preserve"> </w:t>
      </w:r>
      <w:r w:rsidR="00243D6B">
        <w:rPr>
          <w:noProof/>
          <w:lang w:eastAsia="en-AU"/>
        </w:rPr>
        <w:drawing>
          <wp:inline distT="0" distB="0" distL="0" distR="0" wp14:anchorId="28B5C59E" wp14:editId="606B1397">
            <wp:extent cx="2252345" cy="403915"/>
            <wp:effectExtent l="0" t="0" r="0" b="0"/>
            <wp:docPr id="1" name="Picture 1" descr="Australian Government Department of Education and Training"/>
            <wp:cNvGraphicFramePr/>
            <a:graphic xmlns:a="http://schemas.openxmlformats.org/drawingml/2006/main">
              <a:graphicData uri="http://schemas.openxmlformats.org/drawingml/2006/picture">
                <pic:pic xmlns:pic="http://schemas.openxmlformats.org/drawingml/2006/picture">
                  <pic:nvPicPr>
                    <pic:cNvPr id="1" name="Picture 1" descr="Department of Educ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2345" cy="403915"/>
                    </a:xfrm>
                    <a:prstGeom prst="rect">
                      <a:avLst/>
                    </a:prstGeom>
                  </pic:spPr>
                </pic:pic>
              </a:graphicData>
            </a:graphic>
          </wp:inline>
        </w:drawing>
      </w:r>
    </w:p>
    <w:sdt>
      <w:sdtPr>
        <w:alias w:val="Title"/>
        <w:tag w:val=""/>
        <w:id w:val="-19171197"/>
        <w:placeholder>
          <w:docPart w:val="9FAE697DB32E41728AE4188BAD1446EA"/>
        </w:placeholder>
        <w:dataBinding w:prefixMappings="xmlns:ns0='http://purl.org/dc/elements/1.1/' xmlns:ns1='http://schemas.openxmlformats.org/package/2006/metadata/core-properties' " w:xpath="/ns1:coreProperties[1]/ns0:title[1]" w:storeItemID="{6C3C8BC8-F283-45AE-878A-BAB7291924A1}"/>
        <w:text/>
      </w:sdtPr>
      <w:sdtEndPr/>
      <w:sdtContent>
        <w:p w14:paraId="23FDD34C" w14:textId="7A190858" w:rsidR="00BA282D" w:rsidRDefault="005F5D47" w:rsidP="000333E9">
          <w:pPr>
            <w:pStyle w:val="Title"/>
            <w:spacing w:before="1320"/>
            <w:ind w:left="1276" w:right="-23"/>
          </w:pPr>
          <w:r>
            <w:t xml:space="preserve">FINAL REPORT - Improving retention, completion and success </w:t>
          </w:r>
          <w:proofErr w:type="gramStart"/>
          <w:r>
            <w:t>in</w:t>
          </w:r>
          <w:proofErr w:type="gramEnd"/>
          <w:r>
            <w:t xml:space="preserve"> higher education</w:t>
          </w:r>
        </w:p>
      </w:sdtContent>
    </w:sdt>
    <w:p w14:paraId="5B9FBD42" w14:textId="19D97C22" w:rsidR="00BA282D" w:rsidRDefault="00AA5276" w:rsidP="00F80CFC">
      <w:pPr>
        <w:pStyle w:val="Subtitle"/>
        <w:ind w:left="1276" w:right="-22"/>
      </w:pPr>
      <w:r>
        <w:t>Hi</w:t>
      </w:r>
      <w:r w:rsidR="00DD0192">
        <w:t xml:space="preserve">gher Education Standards Panel </w:t>
      </w:r>
      <w:r w:rsidR="000B7C82">
        <w:t xml:space="preserve">    </w:t>
      </w:r>
    </w:p>
    <w:p w14:paraId="1A2C8517" w14:textId="77777777" w:rsidR="00976447" w:rsidRDefault="00F47193" w:rsidP="00976447">
      <w:pPr>
        <w:rPr>
          <w:rStyle w:val="Emphasis"/>
          <w:color w:val="FFFFFF" w:themeColor="background2"/>
        </w:rPr>
      </w:pPr>
      <w:r>
        <w:rPr>
          <w:noProof/>
          <w:lang w:eastAsia="en-AU"/>
        </w:rPr>
        <w:drawing>
          <wp:anchor distT="0" distB="0" distL="114300" distR="114300" simplePos="0" relativeHeight="251658240" behindDoc="1" locked="0" layoutInCell="1" allowOverlap="1" wp14:anchorId="06DB75DB" wp14:editId="2C44F88C">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2">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p>
    <w:p w14:paraId="38FA7D5A" w14:textId="77777777" w:rsidR="00976447" w:rsidRDefault="00976447" w:rsidP="00976447">
      <w:pPr>
        <w:rPr>
          <w:rStyle w:val="Emphasis"/>
          <w:color w:val="FFFFFF" w:themeColor="background2"/>
        </w:rPr>
      </w:pPr>
      <w:r>
        <w:rPr>
          <w:rStyle w:val="Emphasis"/>
          <w:color w:val="FFFFFF" w:themeColor="background2"/>
        </w:rPr>
        <w:br w:type="page"/>
      </w:r>
    </w:p>
    <w:p w14:paraId="7CA7AFCC" w14:textId="77777777" w:rsidR="00130923" w:rsidRDefault="00F47193" w:rsidP="00976447">
      <w:r w:rsidRPr="00A475CB">
        <w:rPr>
          <w:rStyle w:val="Emphasis"/>
          <w:color w:val="FFFFFF" w:themeColor="background2"/>
        </w:rPr>
        <w:lastRenderedPageBreak/>
        <w:t>Opportunity through learning</w:t>
      </w:r>
    </w:p>
    <w:p w14:paraId="4810179A" w14:textId="77777777" w:rsidR="00130923" w:rsidRDefault="00130923" w:rsidP="00130923">
      <w:pPr>
        <w:pStyle w:val="BodyText"/>
        <w:sectPr w:rsidR="00130923" w:rsidSect="008C2641">
          <w:headerReference w:type="even" r:id="rId13"/>
          <w:headerReference w:type="default" r:id="rId14"/>
          <w:footerReference w:type="default" r:id="rId15"/>
          <w:headerReference w:type="first" r:id="rId16"/>
          <w:pgSz w:w="11906" w:h="16838"/>
          <w:pgMar w:top="1418" w:right="1558" w:bottom="567" w:left="1440" w:header="708" w:footer="283" w:gutter="0"/>
          <w:cols w:space="708"/>
          <w:docGrid w:linePitch="360"/>
        </w:sectPr>
      </w:pPr>
    </w:p>
    <w:p w14:paraId="2C663767" w14:textId="77777777" w:rsidR="005524AC" w:rsidRDefault="005524AC" w:rsidP="007D58FB"/>
    <w:p w14:paraId="686836B1" w14:textId="77777777" w:rsidR="005524AC" w:rsidRDefault="005524AC" w:rsidP="007D58FB"/>
    <w:p w14:paraId="01072110" w14:textId="77777777" w:rsidR="005524AC" w:rsidRDefault="005524AC" w:rsidP="007D58FB"/>
    <w:p w14:paraId="098C007D" w14:textId="77777777" w:rsidR="005524AC" w:rsidRDefault="005524AC" w:rsidP="007D58FB"/>
    <w:p w14:paraId="5AFB6C30" w14:textId="77777777" w:rsidR="005524AC" w:rsidRDefault="005524AC" w:rsidP="007D58FB"/>
    <w:p w14:paraId="7A725C4A" w14:textId="77777777" w:rsidR="005524AC" w:rsidRDefault="005524AC" w:rsidP="007D58FB"/>
    <w:p w14:paraId="104B8C28" w14:textId="77777777" w:rsidR="005524AC" w:rsidRDefault="005524AC" w:rsidP="007D58FB"/>
    <w:p w14:paraId="3D4C8504" w14:textId="77777777" w:rsidR="005524AC" w:rsidRDefault="005524AC" w:rsidP="007D58FB"/>
    <w:p w14:paraId="3B97C3EB" w14:textId="77777777" w:rsidR="005524AC" w:rsidRDefault="005524AC" w:rsidP="007D58FB"/>
    <w:p w14:paraId="4843E390" w14:textId="77777777" w:rsidR="005524AC" w:rsidRDefault="005524AC" w:rsidP="007D58FB"/>
    <w:p w14:paraId="6F7DF94E" w14:textId="77777777" w:rsidR="005524AC" w:rsidRDefault="005524AC" w:rsidP="007D58FB"/>
    <w:p w14:paraId="4ED2180D" w14:textId="77777777" w:rsidR="005524AC" w:rsidRDefault="005524AC" w:rsidP="007D58FB"/>
    <w:p w14:paraId="6CF18828" w14:textId="77777777" w:rsidR="005524AC" w:rsidRDefault="005524AC" w:rsidP="007D58FB"/>
    <w:p w14:paraId="090153C8" w14:textId="77777777" w:rsidR="005524AC" w:rsidRDefault="005524AC" w:rsidP="007D58FB"/>
    <w:p w14:paraId="12F7CCD7" w14:textId="77777777" w:rsidR="005524AC" w:rsidRDefault="005524AC" w:rsidP="007D58FB"/>
    <w:p w14:paraId="477A1BE3" w14:textId="77777777" w:rsidR="00130923" w:rsidRPr="00D273F0" w:rsidRDefault="00130923" w:rsidP="007D58FB">
      <w:r w:rsidRPr="00D273F0">
        <w:t>ISBN</w:t>
      </w:r>
    </w:p>
    <w:p w14:paraId="328CADC1" w14:textId="77777777" w:rsidR="0078487C" w:rsidRPr="00D273F0" w:rsidRDefault="00F34BF9" w:rsidP="0078487C">
      <w:pPr>
        <w:pStyle w:val="NoSpacing"/>
      </w:pPr>
      <w:r w:rsidRPr="00D273F0">
        <w:t>978-1-76051-156-2</w:t>
      </w:r>
      <w:r w:rsidR="0078487C" w:rsidRPr="00D273F0">
        <w:t xml:space="preserve"> [PDF]</w:t>
      </w:r>
    </w:p>
    <w:p w14:paraId="59F29A3B" w14:textId="77777777" w:rsidR="0078487C" w:rsidRDefault="00F34BF9" w:rsidP="00976447">
      <w:pPr>
        <w:pStyle w:val="NoSpacing"/>
        <w:spacing w:after="360"/>
      </w:pPr>
      <w:r w:rsidRPr="00D273F0">
        <w:t xml:space="preserve">978-1-76051-157-9 </w:t>
      </w:r>
      <w:r w:rsidR="0078487C" w:rsidRPr="000B62AB">
        <w:t>[DOCX]</w:t>
      </w:r>
    </w:p>
    <w:p w14:paraId="4B13B076" w14:textId="77777777" w:rsidR="00130923" w:rsidRDefault="00130923" w:rsidP="00130923">
      <w:pPr>
        <w:pStyle w:val="numberedpara"/>
        <w:numPr>
          <w:ilvl w:val="0"/>
          <w:numId w:val="0"/>
        </w:numPr>
        <w:tabs>
          <w:tab w:val="left" w:pos="720"/>
        </w:tabs>
        <w:rPr>
          <w:sz w:val="20"/>
          <w:szCs w:val="20"/>
        </w:rPr>
      </w:pPr>
      <w:r>
        <w:rPr>
          <w:noProof/>
          <w:sz w:val="20"/>
          <w:szCs w:val="20"/>
        </w:rPr>
        <w:drawing>
          <wp:inline distT="0" distB="0" distL="0" distR="0" wp14:anchorId="6CFFF038" wp14:editId="31AF7A9F">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7" r:link="rId18"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4D656F57" w14:textId="77777777" w:rsidR="00130923" w:rsidRPr="000462F1" w:rsidRDefault="00130923" w:rsidP="007D58FB">
      <w:r w:rsidRPr="000462F1">
        <w:t xml:space="preserve">With the exception of the Commonwealth Coat of Arms, the Department’s logo, any material protected by a </w:t>
      </w:r>
      <w:proofErr w:type="gramStart"/>
      <w:r w:rsidRPr="000462F1">
        <w:t>trade mark</w:t>
      </w:r>
      <w:proofErr w:type="gramEnd"/>
      <w:r w:rsidRPr="000462F1">
        <w:t xml:space="preserve"> and where otherwise noted all material presented in this document is provided under a </w:t>
      </w:r>
      <w:hyperlink r:id="rId19" w:history="1">
        <w:r w:rsidR="00C84E0C" w:rsidRPr="004164A2">
          <w:rPr>
            <w:rStyle w:val="Hyperlink"/>
          </w:rPr>
          <w:t>Creative Commons Attribution 4.0 International</w:t>
        </w:r>
      </w:hyperlink>
      <w:r w:rsidR="007D58FB">
        <w:t xml:space="preserve"> </w:t>
      </w:r>
      <w:r w:rsidRPr="000462F1">
        <w:t>(</w:t>
      </w:r>
      <w:r w:rsidRPr="00EC78E7">
        <w:t>http://creativecommons.org/licenses/by/3.0/au/</w:t>
      </w:r>
      <w:r w:rsidRPr="000462F1">
        <w:t xml:space="preserve">) licence. </w:t>
      </w:r>
    </w:p>
    <w:p w14:paraId="476D3997" w14:textId="77777777" w:rsidR="00130923" w:rsidRPr="000462F1" w:rsidRDefault="00130923" w:rsidP="007D58FB">
      <w:r w:rsidRPr="000462F1">
        <w:t xml:space="preserve">The details of the relevant licence conditions are available on the Creative Commons website (accessible using the links provided) as is the full legal code for the </w:t>
      </w:r>
      <w:hyperlink r:id="rId20" w:history="1">
        <w:r w:rsidR="00C84E0C" w:rsidRPr="004164A2">
          <w:rPr>
            <w:rStyle w:val="Hyperlink"/>
          </w:rPr>
          <w:t>CC BY 4.0 International</w:t>
        </w:r>
      </w:hyperlink>
      <w:r w:rsidRPr="000462F1">
        <w:t xml:space="preserve"> (</w:t>
      </w:r>
      <w:r w:rsidRPr="00EC78E7">
        <w:t>http://creativecommons.org/licenses/by/</w:t>
      </w:r>
      <w:r w:rsidR="00C84E0C">
        <w:t>4</w:t>
      </w:r>
      <w:r w:rsidRPr="00EC78E7">
        <w:t>.0</w:t>
      </w:r>
      <w:r w:rsidR="00C84E0C">
        <w:t>/</w:t>
      </w:r>
      <w:r w:rsidRPr="00EC78E7">
        <w:t>legalcode</w:t>
      </w:r>
      <w:r w:rsidRPr="000462F1">
        <w:t xml:space="preserve">). </w:t>
      </w:r>
    </w:p>
    <w:p w14:paraId="44473FA7" w14:textId="5272D944" w:rsidR="004A746F" w:rsidRDefault="00130923" w:rsidP="007D58FB">
      <w:r w:rsidRPr="000462F1">
        <w:t xml:space="preserve">The </w:t>
      </w:r>
      <w:r w:rsidR="00563E18">
        <w:t xml:space="preserve">document </w:t>
      </w:r>
      <w:proofErr w:type="gramStart"/>
      <w:r w:rsidR="00563E18">
        <w:t>must be attributed</w:t>
      </w:r>
      <w:proofErr w:type="gramEnd"/>
      <w:r w:rsidR="00563E18">
        <w:t xml:space="preserve"> as </w:t>
      </w:r>
      <w:r w:rsidR="005524AC" w:rsidRPr="005524AC">
        <w:rPr>
          <w:i/>
        </w:rPr>
        <w:t>Final Report -</w:t>
      </w:r>
      <w:r w:rsidR="005524AC">
        <w:t xml:space="preserve"> </w:t>
      </w:r>
      <w:r w:rsidR="00563E18" w:rsidRPr="00563E18">
        <w:rPr>
          <w:i/>
        </w:rPr>
        <w:t>Improving retention</w:t>
      </w:r>
      <w:r w:rsidR="001D20F0">
        <w:rPr>
          <w:i/>
        </w:rPr>
        <w:t>,</w:t>
      </w:r>
      <w:r w:rsidR="00563E18" w:rsidRPr="00563E18">
        <w:rPr>
          <w:i/>
        </w:rPr>
        <w:t xml:space="preserve"> completion and success</w:t>
      </w:r>
      <w:r w:rsidR="00ED52B7">
        <w:rPr>
          <w:i/>
        </w:rPr>
        <w:t xml:space="preserve"> in higher education</w:t>
      </w:r>
      <w:r w:rsidR="00563E18">
        <w:rPr>
          <w:i/>
        </w:rPr>
        <w:t>.</w:t>
      </w:r>
      <w:r w:rsidR="00563E18">
        <w:t xml:space="preserve"> </w:t>
      </w:r>
    </w:p>
    <w:p w14:paraId="1B05F5B9" w14:textId="50FB456E" w:rsidR="009138CF" w:rsidRDefault="009138CF" w:rsidP="007D58FB">
      <w:r>
        <w:t>2017</w:t>
      </w:r>
    </w:p>
    <w:p w14:paraId="7C61D5C9" w14:textId="77777777" w:rsidR="004A746F" w:rsidRDefault="004A746F" w:rsidP="004A746F">
      <w:r>
        <w:br w:type="page"/>
      </w:r>
    </w:p>
    <w:p w14:paraId="1035F2F9" w14:textId="077D52D2" w:rsidR="00F6249B" w:rsidRDefault="005C6AFD">
      <w:pPr>
        <w:pStyle w:val="TOC1"/>
        <w:tabs>
          <w:tab w:val="right" w:pos="9016"/>
        </w:tabs>
        <w:rPr>
          <w:noProof/>
          <w:lang w:eastAsia="en-AU"/>
        </w:rPr>
      </w:pPr>
      <w:r>
        <w:lastRenderedPageBreak/>
        <w:fldChar w:fldCharType="begin"/>
      </w:r>
      <w:r>
        <w:instrText xml:space="preserve"> TOC \o "1-1" \h \z \u </w:instrText>
      </w:r>
      <w:r>
        <w:fldChar w:fldCharType="separate"/>
      </w:r>
      <w:hyperlink w:anchor="_Toc516120028" w:history="1">
        <w:r w:rsidR="00F6249B" w:rsidRPr="00C96D0D">
          <w:rPr>
            <w:rStyle w:val="Hyperlink"/>
            <w:noProof/>
          </w:rPr>
          <w:t>Executive summary</w:t>
        </w:r>
        <w:r w:rsidR="00F6249B">
          <w:rPr>
            <w:noProof/>
            <w:webHidden/>
          </w:rPr>
          <w:tab/>
        </w:r>
        <w:r w:rsidR="00F6249B">
          <w:rPr>
            <w:noProof/>
            <w:webHidden/>
          </w:rPr>
          <w:fldChar w:fldCharType="begin"/>
        </w:r>
        <w:r w:rsidR="00F6249B">
          <w:rPr>
            <w:noProof/>
            <w:webHidden/>
          </w:rPr>
          <w:instrText xml:space="preserve"> PAGEREF _Toc516120028 \h </w:instrText>
        </w:r>
        <w:r w:rsidR="00F6249B">
          <w:rPr>
            <w:noProof/>
            <w:webHidden/>
          </w:rPr>
        </w:r>
        <w:r w:rsidR="00F6249B">
          <w:rPr>
            <w:noProof/>
            <w:webHidden/>
          </w:rPr>
          <w:fldChar w:fldCharType="separate"/>
        </w:r>
        <w:r w:rsidR="00A74556">
          <w:rPr>
            <w:noProof/>
            <w:webHidden/>
          </w:rPr>
          <w:t>4</w:t>
        </w:r>
        <w:r w:rsidR="00F6249B">
          <w:rPr>
            <w:noProof/>
            <w:webHidden/>
          </w:rPr>
          <w:fldChar w:fldCharType="end"/>
        </w:r>
      </w:hyperlink>
    </w:p>
    <w:p w14:paraId="00B6EBFD" w14:textId="13E5805B" w:rsidR="00F6249B" w:rsidRDefault="00F6249B">
      <w:pPr>
        <w:pStyle w:val="TOC1"/>
        <w:tabs>
          <w:tab w:val="right" w:pos="9016"/>
        </w:tabs>
        <w:rPr>
          <w:noProof/>
          <w:lang w:eastAsia="en-AU"/>
        </w:rPr>
      </w:pPr>
      <w:hyperlink w:anchor="_Toc516120029" w:history="1">
        <w:r w:rsidRPr="00C96D0D">
          <w:rPr>
            <w:rStyle w:val="Hyperlink"/>
            <w:noProof/>
          </w:rPr>
          <w:t>Recommendations</w:t>
        </w:r>
        <w:r>
          <w:rPr>
            <w:noProof/>
            <w:webHidden/>
          </w:rPr>
          <w:tab/>
        </w:r>
        <w:r>
          <w:rPr>
            <w:noProof/>
            <w:webHidden/>
          </w:rPr>
          <w:fldChar w:fldCharType="begin"/>
        </w:r>
        <w:r>
          <w:rPr>
            <w:noProof/>
            <w:webHidden/>
          </w:rPr>
          <w:instrText xml:space="preserve"> PAGEREF _Toc516120029 \h </w:instrText>
        </w:r>
        <w:r>
          <w:rPr>
            <w:noProof/>
            <w:webHidden/>
          </w:rPr>
        </w:r>
        <w:r>
          <w:rPr>
            <w:noProof/>
            <w:webHidden/>
          </w:rPr>
          <w:fldChar w:fldCharType="separate"/>
        </w:r>
        <w:r w:rsidR="00A74556">
          <w:rPr>
            <w:noProof/>
            <w:webHidden/>
          </w:rPr>
          <w:t>9</w:t>
        </w:r>
        <w:r>
          <w:rPr>
            <w:noProof/>
            <w:webHidden/>
          </w:rPr>
          <w:fldChar w:fldCharType="end"/>
        </w:r>
      </w:hyperlink>
    </w:p>
    <w:p w14:paraId="0487FEDD" w14:textId="6EEDEBFC" w:rsidR="00F6249B" w:rsidRDefault="00F6249B">
      <w:pPr>
        <w:pStyle w:val="TOC1"/>
        <w:tabs>
          <w:tab w:val="right" w:pos="9016"/>
        </w:tabs>
        <w:rPr>
          <w:noProof/>
          <w:lang w:eastAsia="en-AU"/>
        </w:rPr>
      </w:pPr>
      <w:hyperlink w:anchor="_Toc516120030" w:history="1">
        <w:r w:rsidRPr="00C96D0D">
          <w:rPr>
            <w:rStyle w:val="Hyperlink"/>
            <w:noProof/>
          </w:rPr>
          <w:t>Expectations of completion in the current context</w:t>
        </w:r>
        <w:r>
          <w:rPr>
            <w:noProof/>
            <w:webHidden/>
          </w:rPr>
          <w:tab/>
        </w:r>
        <w:r>
          <w:rPr>
            <w:noProof/>
            <w:webHidden/>
          </w:rPr>
          <w:fldChar w:fldCharType="begin"/>
        </w:r>
        <w:r>
          <w:rPr>
            <w:noProof/>
            <w:webHidden/>
          </w:rPr>
          <w:instrText xml:space="preserve"> PAGEREF _Toc516120030 \h </w:instrText>
        </w:r>
        <w:r>
          <w:rPr>
            <w:noProof/>
            <w:webHidden/>
          </w:rPr>
        </w:r>
        <w:r>
          <w:rPr>
            <w:noProof/>
            <w:webHidden/>
          </w:rPr>
          <w:fldChar w:fldCharType="separate"/>
        </w:r>
        <w:r w:rsidR="00A74556">
          <w:rPr>
            <w:noProof/>
            <w:webHidden/>
          </w:rPr>
          <w:t>11</w:t>
        </w:r>
        <w:r>
          <w:rPr>
            <w:noProof/>
            <w:webHidden/>
          </w:rPr>
          <w:fldChar w:fldCharType="end"/>
        </w:r>
      </w:hyperlink>
    </w:p>
    <w:p w14:paraId="70490F5E" w14:textId="193DB87C" w:rsidR="00F6249B" w:rsidRDefault="00F6249B">
      <w:pPr>
        <w:pStyle w:val="TOC1"/>
        <w:tabs>
          <w:tab w:val="right" w:pos="9016"/>
        </w:tabs>
        <w:rPr>
          <w:noProof/>
          <w:lang w:eastAsia="en-AU"/>
        </w:rPr>
      </w:pPr>
      <w:hyperlink w:anchor="_Toc516120031" w:history="1">
        <w:r w:rsidRPr="00C96D0D">
          <w:rPr>
            <w:rStyle w:val="Hyperlink"/>
            <w:noProof/>
          </w:rPr>
          <w:t>Supporting students to make the right choices</w:t>
        </w:r>
        <w:r>
          <w:rPr>
            <w:noProof/>
            <w:webHidden/>
          </w:rPr>
          <w:tab/>
        </w:r>
        <w:r>
          <w:rPr>
            <w:noProof/>
            <w:webHidden/>
          </w:rPr>
          <w:fldChar w:fldCharType="begin"/>
        </w:r>
        <w:r>
          <w:rPr>
            <w:noProof/>
            <w:webHidden/>
          </w:rPr>
          <w:instrText xml:space="preserve"> PAGEREF _Toc516120031 \h </w:instrText>
        </w:r>
        <w:r>
          <w:rPr>
            <w:noProof/>
            <w:webHidden/>
          </w:rPr>
        </w:r>
        <w:r>
          <w:rPr>
            <w:noProof/>
            <w:webHidden/>
          </w:rPr>
          <w:fldChar w:fldCharType="separate"/>
        </w:r>
        <w:r w:rsidR="00A74556">
          <w:rPr>
            <w:noProof/>
            <w:webHidden/>
          </w:rPr>
          <w:t>16</w:t>
        </w:r>
        <w:r>
          <w:rPr>
            <w:noProof/>
            <w:webHidden/>
          </w:rPr>
          <w:fldChar w:fldCharType="end"/>
        </w:r>
      </w:hyperlink>
    </w:p>
    <w:p w14:paraId="3DDF7F7E" w14:textId="4450684B" w:rsidR="00F6249B" w:rsidRDefault="00F6249B">
      <w:pPr>
        <w:pStyle w:val="TOC1"/>
        <w:tabs>
          <w:tab w:val="right" w:pos="9016"/>
        </w:tabs>
        <w:rPr>
          <w:noProof/>
          <w:lang w:eastAsia="en-AU"/>
        </w:rPr>
      </w:pPr>
      <w:hyperlink w:anchor="_Toc516120032" w:history="1">
        <w:r w:rsidRPr="00C96D0D">
          <w:rPr>
            <w:rStyle w:val="Hyperlink"/>
            <w:noProof/>
          </w:rPr>
          <w:t>Supporting students to complete their studies</w:t>
        </w:r>
        <w:r>
          <w:rPr>
            <w:noProof/>
            <w:webHidden/>
          </w:rPr>
          <w:tab/>
        </w:r>
        <w:r>
          <w:rPr>
            <w:noProof/>
            <w:webHidden/>
          </w:rPr>
          <w:fldChar w:fldCharType="begin"/>
        </w:r>
        <w:r>
          <w:rPr>
            <w:noProof/>
            <w:webHidden/>
          </w:rPr>
          <w:instrText xml:space="preserve"> PAGEREF _Toc516120032 \h </w:instrText>
        </w:r>
        <w:r>
          <w:rPr>
            <w:noProof/>
            <w:webHidden/>
          </w:rPr>
        </w:r>
        <w:r>
          <w:rPr>
            <w:noProof/>
            <w:webHidden/>
          </w:rPr>
          <w:fldChar w:fldCharType="separate"/>
        </w:r>
        <w:r w:rsidR="00A74556">
          <w:rPr>
            <w:noProof/>
            <w:webHidden/>
          </w:rPr>
          <w:t>21</w:t>
        </w:r>
        <w:r>
          <w:rPr>
            <w:noProof/>
            <w:webHidden/>
          </w:rPr>
          <w:fldChar w:fldCharType="end"/>
        </w:r>
      </w:hyperlink>
    </w:p>
    <w:p w14:paraId="422AE668" w14:textId="1BD9BB0D" w:rsidR="00F6249B" w:rsidRDefault="00F6249B">
      <w:pPr>
        <w:pStyle w:val="TOC1"/>
        <w:tabs>
          <w:tab w:val="right" w:pos="9016"/>
        </w:tabs>
        <w:rPr>
          <w:noProof/>
          <w:lang w:eastAsia="en-AU"/>
        </w:rPr>
      </w:pPr>
      <w:hyperlink w:anchor="_Toc516120033" w:history="1">
        <w:r w:rsidRPr="00C96D0D">
          <w:rPr>
            <w:rStyle w:val="Hyperlink"/>
            <w:noProof/>
          </w:rPr>
          <w:t>Sharing best practice</w:t>
        </w:r>
        <w:r>
          <w:rPr>
            <w:noProof/>
            <w:webHidden/>
          </w:rPr>
          <w:tab/>
        </w:r>
        <w:r>
          <w:rPr>
            <w:noProof/>
            <w:webHidden/>
          </w:rPr>
          <w:fldChar w:fldCharType="begin"/>
        </w:r>
        <w:r>
          <w:rPr>
            <w:noProof/>
            <w:webHidden/>
          </w:rPr>
          <w:instrText xml:space="preserve"> PAGEREF _Toc516120033 \h </w:instrText>
        </w:r>
        <w:r>
          <w:rPr>
            <w:noProof/>
            <w:webHidden/>
          </w:rPr>
        </w:r>
        <w:r>
          <w:rPr>
            <w:noProof/>
            <w:webHidden/>
          </w:rPr>
          <w:fldChar w:fldCharType="separate"/>
        </w:r>
        <w:r w:rsidR="00A74556">
          <w:rPr>
            <w:noProof/>
            <w:webHidden/>
          </w:rPr>
          <w:t>32</w:t>
        </w:r>
        <w:r>
          <w:rPr>
            <w:noProof/>
            <w:webHidden/>
          </w:rPr>
          <w:fldChar w:fldCharType="end"/>
        </w:r>
      </w:hyperlink>
    </w:p>
    <w:p w14:paraId="02D5F143" w14:textId="3D7DDDAA" w:rsidR="00F6249B" w:rsidRDefault="00F6249B">
      <w:pPr>
        <w:pStyle w:val="TOC1"/>
        <w:tabs>
          <w:tab w:val="right" w:pos="9016"/>
        </w:tabs>
        <w:rPr>
          <w:noProof/>
          <w:lang w:eastAsia="en-AU"/>
        </w:rPr>
      </w:pPr>
      <w:hyperlink w:anchor="_Toc516120034" w:history="1">
        <w:r w:rsidRPr="00C96D0D">
          <w:rPr>
            <w:rStyle w:val="Hyperlink"/>
            <w:noProof/>
          </w:rPr>
          <w:t>Clarity of definitions and enhancing transparency</w:t>
        </w:r>
        <w:r>
          <w:rPr>
            <w:noProof/>
            <w:webHidden/>
          </w:rPr>
          <w:tab/>
        </w:r>
        <w:r>
          <w:rPr>
            <w:noProof/>
            <w:webHidden/>
          </w:rPr>
          <w:fldChar w:fldCharType="begin"/>
        </w:r>
        <w:r>
          <w:rPr>
            <w:noProof/>
            <w:webHidden/>
          </w:rPr>
          <w:instrText xml:space="preserve"> PAGEREF _Toc516120034 \h </w:instrText>
        </w:r>
        <w:r>
          <w:rPr>
            <w:noProof/>
            <w:webHidden/>
          </w:rPr>
        </w:r>
        <w:r>
          <w:rPr>
            <w:noProof/>
            <w:webHidden/>
          </w:rPr>
          <w:fldChar w:fldCharType="separate"/>
        </w:r>
        <w:r w:rsidR="00A74556">
          <w:rPr>
            <w:noProof/>
            <w:webHidden/>
          </w:rPr>
          <w:t>35</w:t>
        </w:r>
        <w:r>
          <w:rPr>
            <w:noProof/>
            <w:webHidden/>
          </w:rPr>
          <w:fldChar w:fldCharType="end"/>
        </w:r>
      </w:hyperlink>
    </w:p>
    <w:p w14:paraId="649543C5" w14:textId="416E5375" w:rsidR="00F6249B" w:rsidRDefault="00F6249B">
      <w:pPr>
        <w:pStyle w:val="TOC1"/>
        <w:tabs>
          <w:tab w:val="right" w:pos="9016"/>
        </w:tabs>
        <w:rPr>
          <w:noProof/>
          <w:lang w:eastAsia="en-AU"/>
        </w:rPr>
      </w:pPr>
      <w:hyperlink w:anchor="_Toc516120035" w:history="1">
        <w:r w:rsidRPr="00C96D0D">
          <w:rPr>
            <w:rStyle w:val="Hyperlink"/>
            <w:noProof/>
          </w:rPr>
          <w:t>Accountability and regulation</w:t>
        </w:r>
        <w:r>
          <w:rPr>
            <w:noProof/>
            <w:webHidden/>
          </w:rPr>
          <w:tab/>
        </w:r>
        <w:r>
          <w:rPr>
            <w:noProof/>
            <w:webHidden/>
          </w:rPr>
          <w:fldChar w:fldCharType="begin"/>
        </w:r>
        <w:r>
          <w:rPr>
            <w:noProof/>
            <w:webHidden/>
          </w:rPr>
          <w:instrText xml:space="preserve"> PAGEREF _Toc516120035 \h </w:instrText>
        </w:r>
        <w:r>
          <w:rPr>
            <w:noProof/>
            <w:webHidden/>
          </w:rPr>
        </w:r>
        <w:r>
          <w:rPr>
            <w:noProof/>
            <w:webHidden/>
          </w:rPr>
          <w:fldChar w:fldCharType="separate"/>
        </w:r>
        <w:r w:rsidR="00A74556">
          <w:rPr>
            <w:noProof/>
            <w:webHidden/>
          </w:rPr>
          <w:t>41</w:t>
        </w:r>
        <w:r>
          <w:rPr>
            <w:noProof/>
            <w:webHidden/>
          </w:rPr>
          <w:fldChar w:fldCharType="end"/>
        </w:r>
      </w:hyperlink>
    </w:p>
    <w:p w14:paraId="4D55D1C2" w14:textId="38DD77E6" w:rsidR="00F6249B" w:rsidRDefault="00F6249B">
      <w:pPr>
        <w:pStyle w:val="TOC1"/>
        <w:tabs>
          <w:tab w:val="right" w:pos="9016"/>
        </w:tabs>
        <w:rPr>
          <w:noProof/>
          <w:lang w:eastAsia="en-AU"/>
        </w:rPr>
      </w:pPr>
      <w:hyperlink w:anchor="_Toc516120036" w:history="1">
        <w:r w:rsidRPr="00C96D0D">
          <w:rPr>
            <w:rStyle w:val="Hyperlink"/>
            <w:rFonts w:eastAsia="Times New Roman"/>
            <w:noProof/>
          </w:rPr>
          <w:t xml:space="preserve">Appendix A – </w:t>
        </w:r>
        <w:r w:rsidRPr="00C96D0D">
          <w:rPr>
            <w:rStyle w:val="Hyperlink"/>
            <w:noProof/>
          </w:rPr>
          <w:t>Regression analysis</w:t>
        </w:r>
        <w:r>
          <w:rPr>
            <w:noProof/>
            <w:webHidden/>
          </w:rPr>
          <w:tab/>
        </w:r>
        <w:r>
          <w:rPr>
            <w:noProof/>
            <w:webHidden/>
          </w:rPr>
          <w:fldChar w:fldCharType="begin"/>
        </w:r>
        <w:r>
          <w:rPr>
            <w:noProof/>
            <w:webHidden/>
          </w:rPr>
          <w:instrText xml:space="preserve"> PAGEREF _Toc516120036 \h </w:instrText>
        </w:r>
        <w:r>
          <w:rPr>
            <w:noProof/>
            <w:webHidden/>
          </w:rPr>
        </w:r>
        <w:r>
          <w:rPr>
            <w:noProof/>
            <w:webHidden/>
          </w:rPr>
          <w:fldChar w:fldCharType="separate"/>
        </w:r>
        <w:r w:rsidR="00A74556">
          <w:rPr>
            <w:noProof/>
            <w:webHidden/>
          </w:rPr>
          <w:t>43</w:t>
        </w:r>
        <w:r>
          <w:rPr>
            <w:noProof/>
            <w:webHidden/>
          </w:rPr>
          <w:fldChar w:fldCharType="end"/>
        </w:r>
      </w:hyperlink>
    </w:p>
    <w:p w14:paraId="705CCD40" w14:textId="6F94616F" w:rsidR="00F6249B" w:rsidRDefault="00F6249B">
      <w:pPr>
        <w:pStyle w:val="TOC1"/>
        <w:tabs>
          <w:tab w:val="right" w:pos="9016"/>
        </w:tabs>
        <w:rPr>
          <w:noProof/>
          <w:lang w:eastAsia="en-AU"/>
        </w:rPr>
      </w:pPr>
      <w:hyperlink w:anchor="_Toc516120037" w:history="1">
        <w:r w:rsidRPr="00C96D0D">
          <w:rPr>
            <w:rStyle w:val="Hyperlink"/>
            <w:rFonts w:eastAsia="Times New Roman"/>
            <w:noProof/>
          </w:rPr>
          <w:t>Appendix B – Terms of reference</w:t>
        </w:r>
        <w:r>
          <w:rPr>
            <w:noProof/>
            <w:webHidden/>
          </w:rPr>
          <w:tab/>
        </w:r>
        <w:r>
          <w:rPr>
            <w:noProof/>
            <w:webHidden/>
          </w:rPr>
          <w:fldChar w:fldCharType="begin"/>
        </w:r>
        <w:r>
          <w:rPr>
            <w:noProof/>
            <w:webHidden/>
          </w:rPr>
          <w:instrText xml:space="preserve"> PAGEREF _Toc516120037 \h </w:instrText>
        </w:r>
        <w:r>
          <w:rPr>
            <w:noProof/>
            <w:webHidden/>
          </w:rPr>
        </w:r>
        <w:r>
          <w:rPr>
            <w:noProof/>
            <w:webHidden/>
          </w:rPr>
          <w:fldChar w:fldCharType="separate"/>
        </w:r>
        <w:r w:rsidR="00A74556">
          <w:rPr>
            <w:noProof/>
            <w:webHidden/>
          </w:rPr>
          <w:t>51</w:t>
        </w:r>
        <w:r>
          <w:rPr>
            <w:noProof/>
            <w:webHidden/>
          </w:rPr>
          <w:fldChar w:fldCharType="end"/>
        </w:r>
      </w:hyperlink>
    </w:p>
    <w:p w14:paraId="333AFEEC" w14:textId="5C4586E2" w:rsidR="00F6249B" w:rsidRDefault="00F6249B">
      <w:pPr>
        <w:pStyle w:val="TOC1"/>
        <w:tabs>
          <w:tab w:val="right" w:pos="9016"/>
        </w:tabs>
        <w:rPr>
          <w:noProof/>
          <w:lang w:eastAsia="en-AU"/>
        </w:rPr>
      </w:pPr>
      <w:hyperlink w:anchor="_Toc516120038" w:history="1">
        <w:r w:rsidRPr="00C96D0D">
          <w:rPr>
            <w:rStyle w:val="Hyperlink"/>
            <w:rFonts w:eastAsia="Times New Roman"/>
            <w:noProof/>
          </w:rPr>
          <w:t>Appendix C – Higher Education Standards Panel membership</w:t>
        </w:r>
        <w:r>
          <w:rPr>
            <w:noProof/>
            <w:webHidden/>
          </w:rPr>
          <w:tab/>
        </w:r>
        <w:r>
          <w:rPr>
            <w:noProof/>
            <w:webHidden/>
          </w:rPr>
          <w:fldChar w:fldCharType="begin"/>
        </w:r>
        <w:r>
          <w:rPr>
            <w:noProof/>
            <w:webHidden/>
          </w:rPr>
          <w:instrText xml:space="preserve"> PAGEREF _Toc516120038 \h </w:instrText>
        </w:r>
        <w:r>
          <w:rPr>
            <w:noProof/>
            <w:webHidden/>
          </w:rPr>
        </w:r>
        <w:r>
          <w:rPr>
            <w:noProof/>
            <w:webHidden/>
          </w:rPr>
          <w:fldChar w:fldCharType="separate"/>
        </w:r>
        <w:r w:rsidR="00A74556">
          <w:rPr>
            <w:noProof/>
            <w:webHidden/>
          </w:rPr>
          <w:t>52</w:t>
        </w:r>
        <w:r>
          <w:rPr>
            <w:noProof/>
            <w:webHidden/>
          </w:rPr>
          <w:fldChar w:fldCharType="end"/>
        </w:r>
      </w:hyperlink>
    </w:p>
    <w:p w14:paraId="79526225" w14:textId="2A7304C0" w:rsidR="00F6249B" w:rsidRDefault="00F6249B">
      <w:pPr>
        <w:pStyle w:val="TOC1"/>
        <w:tabs>
          <w:tab w:val="right" w:pos="9016"/>
        </w:tabs>
        <w:rPr>
          <w:noProof/>
          <w:lang w:eastAsia="en-AU"/>
        </w:rPr>
      </w:pPr>
      <w:hyperlink w:anchor="_Toc516120039" w:history="1">
        <w:r w:rsidRPr="00C96D0D">
          <w:rPr>
            <w:rStyle w:val="Hyperlink"/>
            <w:noProof/>
          </w:rPr>
          <w:t>Appendix D – Consultation process</w:t>
        </w:r>
        <w:r>
          <w:rPr>
            <w:noProof/>
            <w:webHidden/>
          </w:rPr>
          <w:tab/>
        </w:r>
        <w:r>
          <w:rPr>
            <w:noProof/>
            <w:webHidden/>
          </w:rPr>
          <w:fldChar w:fldCharType="begin"/>
        </w:r>
        <w:r>
          <w:rPr>
            <w:noProof/>
            <w:webHidden/>
          </w:rPr>
          <w:instrText xml:space="preserve"> PAGEREF _Toc516120039 \h </w:instrText>
        </w:r>
        <w:r>
          <w:rPr>
            <w:noProof/>
            <w:webHidden/>
          </w:rPr>
        </w:r>
        <w:r>
          <w:rPr>
            <w:noProof/>
            <w:webHidden/>
          </w:rPr>
          <w:fldChar w:fldCharType="separate"/>
        </w:r>
        <w:r w:rsidR="00A74556">
          <w:rPr>
            <w:noProof/>
            <w:webHidden/>
          </w:rPr>
          <w:t>53</w:t>
        </w:r>
        <w:r>
          <w:rPr>
            <w:noProof/>
            <w:webHidden/>
          </w:rPr>
          <w:fldChar w:fldCharType="end"/>
        </w:r>
      </w:hyperlink>
    </w:p>
    <w:p w14:paraId="39BF5BBC" w14:textId="4AA0A710" w:rsidR="00EA72B6" w:rsidRDefault="005C6AFD" w:rsidP="00C17865">
      <w:pPr>
        <w:pStyle w:val="TOCHeading"/>
      </w:pPr>
      <w:r>
        <w:fldChar w:fldCharType="end"/>
      </w:r>
    </w:p>
    <w:p w14:paraId="7D2F173B" w14:textId="77777777" w:rsidR="00EF4A38" w:rsidRDefault="00EF4A38" w:rsidP="00EF4A38">
      <w:pPr>
        <w:pStyle w:val="numberedpara"/>
        <w:numPr>
          <w:ilvl w:val="0"/>
          <w:numId w:val="0"/>
        </w:numPr>
        <w:tabs>
          <w:tab w:val="left" w:pos="720"/>
        </w:tabs>
        <w:spacing w:before="120" w:after="120"/>
        <w:rPr>
          <w:sz w:val="20"/>
          <w:szCs w:val="20"/>
        </w:rPr>
        <w:sectPr w:rsidR="00EF4A38" w:rsidSect="008C2641">
          <w:type w:val="continuous"/>
          <w:pgSz w:w="11906" w:h="16838"/>
          <w:pgMar w:top="3544" w:right="1440" w:bottom="1440" w:left="1440" w:header="708" w:footer="708" w:gutter="0"/>
          <w:cols w:space="708"/>
          <w:docGrid w:linePitch="360"/>
        </w:sectPr>
      </w:pPr>
    </w:p>
    <w:p w14:paraId="129B2DC5" w14:textId="77777777" w:rsidR="00130923" w:rsidRDefault="00130923">
      <w:pPr>
        <w:rPr>
          <w:rFonts w:ascii="Calibri" w:eastAsiaTheme="majorEastAsia" w:hAnsi="Calibri" w:cstheme="majorBidi"/>
          <w:b/>
          <w:spacing w:val="5"/>
          <w:sz w:val="56"/>
          <w:szCs w:val="52"/>
        </w:rPr>
      </w:pPr>
      <w:r>
        <w:br w:type="page"/>
      </w:r>
    </w:p>
    <w:p w14:paraId="66379171" w14:textId="77777777" w:rsidR="000B7C82" w:rsidRPr="009B4CE6" w:rsidRDefault="000B7C82" w:rsidP="000B7C82">
      <w:pPr>
        <w:pStyle w:val="Heading1"/>
      </w:pPr>
      <w:bookmarkStart w:id="0" w:name="_Toc488181508"/>
      <w:bookmarkStart w:id="1" w:name="_Toc479802786"/>
      <w:bookmarkStart w:id="2" w:name="_Toc482367233"/>
      <w:bookmarkStart w:id="3" w:name="_Toc516120028"/>
      <w:r w:rsidRPr="009B4CE6">
        <w:t>Executive summary</w:t>
      </w:r>
      <w:bookmarkEnd w:id="0"/>
      <w:bookmarkEnd w:id="3"/>
    </w:p>
    <w:p w14:paraId="7CD382B3" w14:textId="77777777" w:rsidR="001D5299" w:rsidRPr="006C661E" w:rsidRDefault="0065234F" w:rsidP="001D5299">
      <w:pPr>
        <w:rPr>
          <w:lang w:eastAsia="en-AU"/>
        </w:rPr>
      </w:pPr>
      <w:r w:rsidRPr="006C661E">
        <w:rPr>
          <w:lang w:eastAsia="en-AU"/>
        </w:rPr>
        <w:t xml:space="preserve">Higher education attrition is an issue </w:t>
      </w:r>
      <w:r w:rsidR="009B41A2" w:rsidRPr="006C661E">
        <w:rPr>
          <w:lang w:eastAsia="en-AU"/>
        </w:rPr>
        <w:t>that has concerned government and institutions for decades, and, indeed,</w:t>
      </w:r>
      <w:r w:rsidR="00992DB9" w:rsidRPr="006C661E">
        <w:rPr>
          <w:lang w:eastAsia="en-AU"/>
        </w:rPr>
        <w:t xml:space="preserve"> is an issue that </w:t>
      </w:r>
      <w:r w:rsidR="009B41A2" w:rsidRPr="006C661E">
        <w:rPr>
          <w:lang w:eastAsia="en-AU"/>
        </w:rPr>
        <w:t xml:space="preserve">continues to </w:t>
      </w:r>
      <w:r w:rsidR="007C6580">
        <w:rPr>
          <w:lang w:eastAsia="en-AU"/>
        </w:rPr>
        <w:t xml:space="preserve">cause </w:t>
      </w:r>
      <w:r w:rsidR="009B41A2" w:rsidRPr="006C661E">
        <w:rPr>
          <w:lang w:eastAsia="en-AU"/>
        </w:rPr>
        <w:t xml:space="preserve">concern. </w:t>
      </w:r>
    </w:p>
    <w:p w14:paraId="594A0762" w14:textId="77777777" w:rsidR="009B41A2" w:rsidRPr="006C661E" w:rsidRDefault="009B41A2" w:rsidP="001D5299">
      <w:pPr>
        <w:rPr>
          <w:lang w:eastAsia="en-AU"/>
        </w:rPr>
      </w:pPr>
      <w:r w:rsidRPr="006C661E">
        <w:rPr>
          <w:lang w:eastAsia="en-AU"/>
        </w:rPr>
        <w:t xml:space="preserve">Extensive research over the years has consistently shown </w:t>
      </w:r>
      <w:r w:rsidR="00992DB9" w:rsidRPr="006C661E">
        <w:rPr>
          <w:lang w:eastAsia="en-AU"/>
        </w:rPr>
        <w:t xml:space="preserve">the drivers of attrition to be </w:t>
      </w:r>
      <w:r w:rsidR="007C6580">
        <w:rPr>
          <w:lang w:eastAsia="en-AU"/>
        </w:rPr>
        <w:t xml:space="preserve">both </w:t>
      </w:r>
      <w:r w:rsidR="00992DB9" w:rsidRPr="006C661E">
        <w:rPr>
          <w:lang w:eastAsia="en-AU"/>
        </w:rPr>
        <w:t xml:space="preserve">student and institution-based and many recommendations have focussed on </w:t>
      </w:r>
      <w:r w:rsidR="007C6580">
        <w:rPr>
          <w:lang w:eastAsia="en-AU"/>
        </w:rPr>
        <w:t xml:space="preserve">institutions increasing support </w:t>
      </w:r>
      <w:r w:rsidR="00272480">
        <w:rPr>
          <w:lang w:eastAsia="en-AU"/>
        </w:rPr>
        <w:t xml:space="preserve">and services for students and holding institutions to account for student outcomes. </w:t>
      </w:r>
    </w:p>
    <w:p w14:paraId="080A2C46" w14:textId="77777777" w:rsidR="002D70C9" w:rsidRPr="006C661E" w:rsidRDefault="00992DB9" w:rsidP="001D5299">
      <w:pPr>
        <w:rPr>
          <w:lang w:eastAsia="en-AU"/>
        </w:rPr>
      </w:pPr>
      <w:r w:rsidRPr="006C661E">
        <w:rPr>
          <w:lang w:eastAsia="en-AU"/>
        </w:rPr>
        <w:t xml:space="preserve">Australia’s higher education attrition rates have been relatively stable </w:t>
      </w:r>
      <w:r w:rsidR="00A76384">
        <w:rPr>
          <w:lang w:eastAsia="en-AU"/>
        </w:rPr>
        <w:t xml:space="preserve">for over a decade </w:t>
      </w:r>
      <w:r w:rsidR="000D6757">
        <w:rPr>
          <w:lang w:eastAsia="en-AU"/>
        </w:rPr>
        <w:t xml:space="preserve">and it is clear many institutions already invest significantly to support their students. However, </w:t>
      </w:r>
      <w:r w:rsidR="00272480">
        <w:rPr>
          <w:lang w:eastAsia="en-AU"/>
        </w:rPr>
        <w:t>it is</w:t>
      </w:r>
      <w:r w:rsidR="000D6757">
        <w:rPr>
          <w:lang w:eastAsia="en-AU"/>
        </w:rPr>
        <w:t xml:space="preserve"> also </w:t>
      </w:r>
      <w:r w:rsidR="002D70C9">
        <w:rPr>
          <w:lang w:eastAsia="en-AU"/>
        </w:rPr>
        <w:t>apparent</w:t>
      </w:r>
      <w:r w:rsidR="00272480">
        <w:rPr>
          <w:lang w:eastAsia="en-AU"/>
        </w:rPr>
        <w:t xml:space="preserve"> that </w:t>
      </w:r>
      <w:r w:rsidR="006C661E" w:rsidRPr="006C661E">
        <w:rPr>
          <w:lang w:eastAsia="en-AU"/>
        </w:rPr>
        <w:t xml:space="preserve">some institutions are </w:t>
      </w:r>
      <w:r w:rsidR="000D6757">
        <w:rPr>
          <w:lang w:eastAsia="en-AU"/>
        </w:rPr>
        <w:t>more successful than others</w:t>
      </w:r>
      <w:r w:rsidR="00A76384">
        <w:rPr>
          <w:lang w:eastAsia="en-AU"/>
        </w:rPr>
        <w:t xml:space="preserve"> at retaining </w:t>
      </w:r>
      <w:proofErr w:type="gramStart"/>
      <w:r w:rsidR="00A76384">
        <w:rPr>
          <w:lang w:eastAsia="en-AU"/>
        </w:rPr>
        <w:t>students</w:t>
      </w:r>
      <w:proofErr w:type="gramEnd"/>
      <w:r w:rsidR="000D6757">
        <w:rPr>
          <w:lang w:eastAsia="en-AU"/>
        </w:rPr>
        <w:t xml:space="preserve"> and their methods and strategies are of</w:t>
      </w:r>
      <w:r w:rsidR="006C661E" w:rsidRPr="006C661E">
        <w:rPr>
          <w:lang w:eastAsia="en-AU"/>
        </w:rPr>
        <w:t xml:space="preserve"> interest to the entire higher education community. </w:t>
      </w:r>
    </w:p>
    <w:p w14:paraId="09511B9A" w14:textId="77777777" w:rsidR="006C661E" w:rsidRPr="006C661E" w:rsidRDefault="006C661E" w:rsidP="001D5299">
      <w:pPr>
        <w:rPr>
          <w:lang w:eastAsia="en-AU"/>
        </w:rPr>
      </w:pPr>
      <w:r w:rsidRPr="006C661E">
        <w:rPr>
          <w:lang w:eastAsia="en-AU"/>
        </w:rPr>
        <w:t>Innovation in higher education and the movement away from</w:t>
      </w:r>
      <w:r w:rsidR="00272480">
        <w:rPr>
          <w:lang w:eastAsia="en-AU"/>
        </w:rPr>
        <w:t xml:space="preserve"> a</w:t>
      </w:r>
      <w:r w:rsidRPr="006C661E">
        <w:rPr>
          <w:lang w:eastAsia="en-AU"/>
        </w:rPr>
        <w:t xml:space="preserve"> traditional higher education experience </w:t>
      </w:r>
      <w:r w:rsidR="00272480">
        <w:rPr>
          <w:lang w:eastAsia="en-AU"/>
        </w:rPr>
        <w:t xml:space="preserve">to suit current and future labour market needs </w:t>
      </w:r>
      <w:proofErr w:type="gramStart"/>
      <w:r w:rsidRPr="006C661E">
        <w:rPr>
          <w:lang w:eastAsia="en-AU"/>
        </w:rPr>
        <w:t>must be taken</w:t>
      </w:r>
      <w:proofErr w:type="gramEnd"/>
      <w:r w:rsidRPr="006C661E">
        <w:rPr>
          <w:lang w:eastAsia="en-AU"/>
        </w:rPr>
        <w:t xml:space="preserve"> into account in current discussions on attrition.  </w:t>
      </w:r>
    </w:p>
    <w:p w14:paraId="079C8FD5" w14:textId="77777777" w:rsidR="006C661E" w:rsidRPr="006C661E" w:rsidRDefault="006C661E" w:rsidP="001D5299">
      <w:pPr>
        <w:rPr>
          <w:lang w:eastAsia="en-AU"/>
        </w:rPr>
      </w:pPr>
      <w:r w:rsidRPr="006C661E">
        <w:rPr>
          <w:lang w:eastAsia="en-AU"/>
        </w:rPr>
        <w:t>This final report of the Higher Education Standards Panel</w:t>
      </w:r>
      <w:r w:rsidR="00272480">
        <w:rPr>
          <w:lang w:eastAsia="en-AU"/>
        </w:rPr>
        <w:t xml:space="preserve"> (the Panel)</w:t>
      </w:r>
      <w:r w:rsidRPr="006C661E">
        <w:rPr>
          <w:lang w:eastAsia="en-AU"/>
        </w:rPr>
        <w:t xml:space="preserve"> explains how this</w:t>
      </w:r>
      <w:r w:rsidR="00272480">
        <w:rPr>
          <w:lang w:eastAsia="en-AU"/>
        </w:rPr>
        <w:t xml:space="preserve"> </w:t>
      </w:r>
      <w:r w:rsidRPr="006C661E">
        <w:rPr>
          <w:lang w:eastAsia="en-AU"/>
        </w:rPr>
        <w:t>examination of retention, completion and success in higher education</w:t>
      </w:r>
      <w:r w:rsidR="000D6757">
        <w:rPr>
          <w:lang w:eastAsia="en-AU"/>
        </w:rPr>
        <w:t xml:space="preserve"> has come about. It looks at</w:t>
      </w:r>
      <w:r w:rsidRPr="006C661E">
        <w:rPr>
          <w:lang w:eastAsia="en-AU"/>
        </w:rPr>
        <w:t xml:space="preserve"> what the higher education sector is saying about the factors</w:t>
      </w:r>
      <w:r w:rsidR="002F795A">
        <w:rPr>
          <w:lang w:eastAsia="en-AU"/>
        </w:rPr>
        <w:t xml:space="preserve"> that impact on these</w:t>
      </w:r>
      <w:r w:rsidRPr="006C661E">
        <w:rPr>
          <w:lang w:eastAsia="en-AU"/>
        </w:rPr>
        <w:t xml:space="preserve"> </w:t>
      </w:r>
      <w:r w:rsidR="000D6757">
        <w:rPr>
          <w:lang w:eastAsia="en-AU"/>
        </w:rPr>
        <w:t>issue</w:t>
      </w:r>
      <w:r w:rsidR="002F795A">
        <w:rPr>
          <w:lang w:eastAsia="en-AU"/>
        </w:rPr>
        <w:t>s</w:t>
      </w:r>
      <w:r w:rsidR="000D6757">
        <w:rPr>
          <w:lang w:eastAsia="en-AU"/>
        </w:rPr>
        <w:t xml:space="preserve"> and </w:t>
      </w:r>
      <w:r w:rsidRPr="006C661E">
        <w:rPr>
          <w:lang w:eastAsia="en-AU"/>
        </w:rPr>
        <w:t>makes recommendations about how Australia can further build on its success in supporting students to succeed</w:t>
      </w:r>
      <w:r w:rsidR="00272480">
        <w:rPr>
          <w:lang w:eastAsia="en-AU"/>
        </w:rPr>
        <w:t xml:space="preserve"> in their higher education studies</w:t>
      </w:r>
      <w:r w:rsidRPr="006C661E">
        <w:rPr>
          <w:lang w:eastAsia="en-AU"/>
        </w:rPr>
        <w:t>.</w:t>
      </w:r>
    </w:p>
    <w:p w14:paraId="1C468A4A" w14:textId="77777777" w:rsidR="00F76C7C" w:rsidRDefault="00F76C7C" w:rsidP="000B7C82">
      <w:pPr>
        <w:pStyle w:val="Heading2"/>
      </w:pPr>
      <w:r>
        <w:t>The story so far</w:t>
      </w:r>
    </w:p>
    <w:p w14:paraId="5933FD4B" w14:textId="77777777" w:rsidR="00EE37D1" w:rsidRDefault="00500CD1" w:rsidP="00500CD1">
      <w:pPr>
        <w:rPr>
          <w:lang w:eastAsia="en-AU"/>
        </w:rPr>
      </w:pPr>
      <w:proofErr w:type="gramStart"/>
      <w:r w:rsidRPr="00500CD1">
        <w:rPr>
          <w:lang w:eastAsia="en-AU"/>
        </w:rPr>
        <w:t>In September 2016, following the release of 2015 student data by the Department of Education and Training</w:t>
      </w:r>
      <w:r w:rsidR="00272480">
        <w:rPr>
          <w:lang w:eastAsia="en-AU"/>
        </w:rPr>
        <w:t xml:space="preserve"> (the department)</w:t>
      </w:r>
      <w:r w:rsidRPr="00500CD1">
        <w:rPr>
          <w:lang w:eastAsia="en-AU"/>
        </w:rPr>
        <w:t>, media reports s</w:t>
      </w:r>
      <w:r w:rsidR="00142BAD">
        <w:rPr>
          <w:lang w:eastAsia="en-AU"/>
        </w:rPr>
        <w:t>uggested</w:t>
      </w:r>
      <w:r w:rsidRPr="00500CD1">
        <w:rPr>
          <w:lang w:eastAsia="en-AU"/>
        </w:rPr>
        <w:t xml:space="preserve"> that high attrition rates are symptomatic of poor admission standards; the lower a student’s Australian Tertiary Admission Rank (ATAR) the greater the risk of non-completion; and as a result of the demand driven system, higher student numbers are leading to greater numbers of student drop-outs.</w:t>
      </w:r>
      <w:proofErr w:type="gramEnd"/>
      <w:r w:rsidRPr="00500CD1">
        <w:rPr>
          <w:lang w:eastAsia="en-AU"/>
        </w:rPr>
        <w:t xml:space="preserve"> </w:t>
      </w:r>
    </w:p>
    <w:p w14:paraId="3A88F9DE" w14:textId="77777777" w:rsidR="00EE37D1" w:rsidRDefault="001A7D00" w:rsidP="00EE37D1">
      <w:r>
        <w:rPr>
          <w:lang w:eastAsia="en-AU"/>
        </w:rPr>
        <w:t xml:space="preserve">The </w:t>
      </w:r>
      <w:r w:rsidR="00272480">
        <w:rPr>
          <w:lang w:eastAsia="en-AU"/>
        </w:rPr>
        <w:t>Panel</w:t>
      </w:r>
      <w:r>
        <w:rPr>
          <w:lang w:eastAsia="en-AU"/>
        </w:rPr>
        <w:t xml:space="preserve"> argued in its </w:t>
      </w:r>
      <w:r w:rsidR="00EE37D1" w:rsidRPr="00500CD1">
        <w:t xml:space="preserve">November 2016 report, </w:t>
      </w:r>
      <w:proofErr w:type="gramStart"/>
      <w:r w:rsidR="00EE37D1" w:rsidRPr="00500CD1">
        <w:rPr>
          <w:i/>
        </w:rPr>
        <w:t>Improving</w:t>
      </w:r>
      <w:proofErr w:type="gramEnd"/>
      <w:r w:rsidR="00EE37D1" w:rsidRPr="00500CD1">
        <w:rPr>
          <w:i/>
        </w:rPr>
        <w:t xml:space="preserve"> the</w:t>
      </w:r>
      <w:r w:rsidR="00EE37D1" w:rsidRPr="00500CD1">
        <w:t xml:space="preserve"> </w:t>
      </w:r>
      <w:r w:rsidR="00EE37D1" w:rsidRPr="00500CD1">
        <w:rPr>
          <w:i/>
        </w:rPr>
        <w:t>Transparency of Higher Education Admissions</w:t>
      </w:r>
      <w:r w:rsidR="00EE37D1" w:rsidRPr="00500CD1">
        <w:rPr>
          <w:lang w:eastAsia="en-AU"/>
        </w:rPr>
        <w:t xml:space="preserve">, that </w:t>
      </w:r>
      <w:r w:rsidR="00EE37D1">
        <w:rPr>
          <w:lang w:eastAsia="en-AU"/>
        </w:rPr>
        <w:t xml:space="preserve">this </w:t>
      </w:r>
      <w:r w:rsidR="00EE37D1" w:rsidRPr="00500CD1">
        <w:rPr>
          <w:lang w:eastAsia="en-AU"/>
        </w:rPr>
        <w:t>media coverage wa</w:t>
      </w:r>
      <w:r w:rsidR="009F0264">
        <w:rPr>
          <w:lang w:eastAsia="en-AU"/>
        </w:rPr>
        <w:t>s alarmist</w:t>
      </w:r>
      <w:r w:rsidR="00EE37D1" w:rsidRPr="00500CD1">
        <w:rPr>
          <w:lang w:eastAsia="en-AU"/>
        </w:rPr>
        <w:t xml:space="preserve">. Reports misrepresented the scale of the problem, using attrition rates that were unadjusted for the impact of students changing courses or institutions. </w:t>
      </w:r>
      <w:r w:rsidR="00EE37D1">
        <w:rPr>
          <w:lang w:eastAsia="en-AU"/>
        </w:rPr>
        <w:t xml:space="preserve">However, the Panel </w:t>
      </w:r>
      <w:r>
        <w:rPr>
          <w:lang w:eastAsia="en-AU"/>
        </w:rPr>
        <w:t xml:space="preserve">also </w:t>
      </w:r>
      <w:r w:rsidR="00142BAD">
        <w:rPr>
          <w:lang w:eastAsia="en-AU"/>
        </w:rPr>
        <w:t>considered</w:t>
      </w:r>
      <w:r w:rsidR="00EE37D1">
        <w:rPr>
          <w:lang w:eastAsia="en-AU"/>
        </w:rPr>
        <w:t xml:space="preserve"> that it is</w:t>
      </w:r>
      <w:r w:rsidR="00EE37D1" w:rsidRPr="00500CD1">
        <w:t xml:space="preserve"> not appropriate t</w:t>
      </w:r>
      <w:r w:rsidR="00EE37D1">
        <w:t>o be complacent about the issue and i</w:t>
      </w:r>
      <w:r w:rsidR="00EE37D1" w:rsidRPr="00500CD1">
        <w:t>nstitutions should seek to reduce the level</w:t>
      </w:r>
      <w:r w:rsidR="00EE37D1">
        <w:t>s</w:t>
      </w:r>
      <w:r w:rsidR="00EE37D1" w:rsidRPr="00500CD1">
        <w:t xml:space="preserve"> of non-completion. </w:t>
      </w:r>
    </w:p>
    <w:p w14:paraId="33E68866" w14:textId="77777777" w:rsidR="00EE37D1" w:rsidRPr="00FC1030" w:rsidRDefault="00EE37D1" w:rsidP="00EE37D1">
      <w:r>
        <w:t xml:space="preserve">In response to the Panel’s report, the </w:t>
      </w:r>
      <w:r w:rsidRPr="00FC1030">
        <w:t>Minister for Education and Training</w:t>
      </w:r>
      <w:r>
        <w:t>, Senator</w:t>
      </w:r>
      <w:r w:rsidR="0047021F">
        <w:t xml:space="preserve"> the Hon </w:t>
      </w:r>
      <w:r>
        <w:t>Simon Birmingham</w:t>
      </w:r>
      <w:r w:rsidRPr="00FC1030">
        <w:t xml:space="preserve"> asked the Panel to examine Austral</w:t>
      </w:r>
      <w:r>
        <w:t>ian higher education completion</w:t>
      </w:r>
      <w:r w:rsidRPr="00FC1030">
        <w:t xml:space="preserve"> and attrition to ensure </w:t>
      </w:r>
      <w:r w:rsidR="009A20B9">
        <w:t xml:space="preserve">that </w:t>
      </w:r>
      <w:r w:rsidRPr="00FC1030">
        <w:t>students have the best chance of successfully completing their enrolled units, courses and qualifications.</w:t>
      </w:r>
    </w:p>
    <w:p w14:paraId="2E0B8739" w14:textId="77777777" w:rsidR="00272480" w:rsidRDefault="00272480">
      <w:r>
        <w:br w:type="page"/>
      </w:r>
    </w:p>
    <w:p w14:paraId="0B4F6B34" w14:textId="7A8E5B3C" w:rsidR="00500CD1" w:rsidRDefault="00EE37D1" w:rsidP="00500CD1">
      <w:pPr>
        <w:rPr>
          <w:lang w:eastAsia="en-AU"/>
        </w:rPr>
      </w:pPr>
      <w:r w:rsidRPr="00EE37D1">
        <w:t xml:space="preserve">In June </w:t>
      </w:r>
      <w:proofErr w:type="gramStart"/>
      <w:r w:rsidRPr="00EE37D1">
        <w:t>2017</w:t>
      </w:r>
      <w:proofErr w:type="gramEnd"/>
      <w:r w:rsidRPr="00EE37D1">
        <w:t xml:space="preserve"> the Panel released </w:t>
      </w:r>
      <w:r w:rsidR="00177078">
        <w:t>a</w:t>
      </w:r>
      <w:r w:rsidR="00177078" w:rsidRPr="00EE37D1">
        <w:t xml:space="preserve"> </w:t>
      </w:r>
      <w:r w:rsidRPr="00EE37D1">
        <w:t>discussion paper</w:t>
      </w:r>
      <w:r w:rsidRPr="00EE37D1">
        <w:rPr>
          <w:i/>
        </w:rPr>
        <w:t xml:space="preserve"> Improving retention, completion and success in higher education</w:t>
      </w:r>
      <w:r w:rsidRPr="00EE37D1">
        <w:t xml:space="preserve">. </w:t>
      </w:r>
      <w:r>
        <w:t xml:space="preserve">This paper outlined the long history of concern about higher education student attrition and the factors driving it. </w:t>
      </w:r>
      <w:r w:rsidR="000F01F9">
        <w:rPr>
          <w:lang w:eastAsia="en-AU"/>
        </w:rPr>
        <w:t xml:space="preserve">Since the 1950s, </w:t>
      </w:r>
      <w:r w:rsidR="00500CD1" w:rsidRPr="00500CD1">
        <w:rPr>
          <w:lang w:eastAsia="en-AU"/>
        </w:rPr>
        <w:t>when the Australian Government claimed a role in higher education funding, there have been numerous reviews and various recommendations</w:t>
      </w:r>
      <w:r w:rsidR="009A20B9">
        <w:rPr>
          <w:lang w:eastAsia="en-AU"/>
        </w:rPr>
        <w:t xml:space="preserve"> by </w:t>
      </w:r>
      <w:r w:rsidR="0047021F">
        <w:rPr>
          <w:lang w:eastAsia="en-AU"/>
        </w:rPr>
        <w:t xml:space="preserve">successive </w:t>
      </w:r>
      <w:r w:rsidR="00A76384">
        <w:rPr>
          <w:lang w:eastAsia="en-AU"/>
        </w:rPr>
        <w:t>g</w:t>
      </w:r>
      <w:r w:rsidR="00B4784A">
        <w:rPr>
          <w:lang w:eastAsia="en-AU"/>
        </w:rPr>
        <w:t>overnments</w:t>
      </w:r>
      <w:r w:rsidR="00500CD1" w:rsidRPr="00500CD1">
        <w:rPr>
          <w:lang w:eastAsia="en-AU"/>
        </w:rPr>
        <w:t xml:space="preserve"> </w:t>
      </w:r>
      <w:r w:rsidR="00177078">
        <w:rPr>
          <w:lang w:eastAsia="en-AU"/>
        </w:rPr>
        <w:t>on</w:t>
      </w:r>
      <w:r w:rsidR="00177078" w:rsidRPr="00500CD1">
        <w:rPr>
          <w:lang w:eastAsia="en-AU"/>
        </w:rPr>
        <w:t xml:space="preserve"> </w:t>
      </w:r>
      <w:r w:rsidR="00500CD1" w:rsidRPr="00500CD1">
        <w:rPr>
          <w:lang w:eastAsia="en-AU"/>
        </w:rPr>
        <w:t xml:space="preserve">how to support students </w:t>
      </w:r>
      <w:r w:rsidR="0047021F">
        <w:rPr>
          <w:lang w:eastAsia="en-AU"/>
        </w:rPr>
        <w:t xml:space="preserve">to </w:t>
      </w:r>
      <w:r w:rsidR="00500CD1" w:rsidRPr="00500CD1">
        <w:rPr>
          <w:lang w:eastAsia="en-AU"/>
        </w:rPr>
        <w:t>complet</w:t>
      </w:r>
      <w:r w:rsidR="001A7D00">
        <w:rPr>
          <w:lang w:eastAsia="en-AU"/>
        </w:rPr>
        <w:t>e</w:t>
      </w:r>
      <w:r w:rsidR="00500CD1" w:rsidRPr="00500CD1">
        <w:rPr>
          <w:lang w:eastAsia="en-AU"/>
        </w:rPr>
        <w:t xml:space="preserve"> their </w:t>
      </w:r>
      <w:r w:rsidR="00A76384">
        <w:rPr>
          <w:lang w:eastAsia="en-AU"/>
        </w:rPr>
        <w:t>studies</w:t>
      </w:r>
      <w:r w:rsidR="00500CD1" w:rsidRPr="00500CD1">
        <w:rPr>
          <w:lang w:eastAsia="en-AU"/>
        </w:rPr>
        <w:t xml:space="preserve">. </w:t>
      </w:r>
      <w:r w:rsidR="009F0264">
        <w:rPr>
          <w:lang w:eastAsia="en-AU"/>
        </w:rPr>
        <w:t>The reviews consistently reported drivers of attrition to be the learning environment, teaching ability of lecturers, lack of s</w:t>
      </w:r>
      <w:r w:rsidR="0047021F">
        <w:rPr>
          <w:lang w:eastAsia="en-AU"/>
        </w:rPr>
        <w:t>tudent engagement, high student/</w:t>
      </w:r>
      <w:r w:rsidR="009F0264">
        <w:rPr>
          <w:lang w:eastAsia="en-AU"/>
        </w:rPr>
        <w:t>staff ratios, lack of student support and personal factors relating to the student, such as financial, emotional, health or other life events. Recommendations from these reviews to reduce attrition</w:t>
      </w:r>
      <w:r w:rsidR="001A7D00">
        <w:rPr>
          <w:lang w:eastAsia="en-AU"/>
        </w:rPr>
        <w:t xml:space="preserve"> </w:t>
      </w:r>
      <w:r w:rsidR="009F0264">
        <w:rPr>
          <w:lang w:eastAsia="en-AU"/>
        </w:rPr>
        <w:t xml:space="preserve">included better quality support services, more flexible entry requirements, improved teaching quality and ability, a </w:t>
      </w:r>
      <w:r w:rsidR="0047021F">
        <w:rPr>
          <w:lang w:eastAsia="en-AU"/>
        </w:rPr>
        <w:t xml:space="preserve">more </w:t>
      </w:r>
      <w:r w:rsidR="009F0264">
        <w:rPr>
          <w:lang w:eastAsia="en-AU"/>
        </w:rPr>
        <w:t xml:space="preserve">supportive institutional environment, monitoring student </w:t>
      </w:r>
      <w:proofErr w:type="gramStart"/>
      <w:r w:rsidR="009F0264">
        <w:rPr>
          <w:lang w:eastAsia="en-AU"/>
        </w:rPr>
        <w:t xml:space="preserve">progress and </w:t>
      </w:r>
      <w:r w:rsidR="001A7D00">
        <w:rPr>
          <w:lang w:eastAsia="en-AU"/>
        </w:rPr>
        <w:t xml:space="preserve">providing </w:t>
      </w:r>
      <w:r w:rsidR="009F0264">
        <w:rPr>
          <w:lang w:eastAsia="en-AU"/>
        </w:rPr>
        <w:t xml:space="preserve">study support </w:t>
      </w:r>
      <w:r w:rsidR="00A76384">
        <w:rPr>
          <w:lang w:eastAsia="en-AU"/>
        </w:rPr>
        <w:t>where necessary</w:t>
      </w:r>
      <w:proofErr w:type="gramEnd"/>
      <w:r w:rsidR="00A76384">
        <w:rPr>
          <w:lang w:eastAsia="en-AU"/>
        </w:rPr>
        <w:t xml:space="preserve"> </w:t>
      </w:r>
      <w:r w:rsidR="009F0264">
        <w:rPr>
          <w:lang w:eastAsia="en-AU"/>
        </w:rPr>
        <w:t>and making institutions</w:t>
      </w:r>
      <w:r w:rsidR="00177078">
        <w:rPr>
          <w:lang w:eastAsia="en-AU"/>
        </w:rPr>
        <w:t>’</w:t>
      </w:r>
      <w:r w:rsidR="009F0264">
        <w:rPr>
          <w:lang w:eastAsia="en-AU"/>
        </w:rPr>
        <w:t xml:space="preserve"> completion rates transparent.  </w:t>
      </w:r>
    </w:p>
    <w:p w14:paraId="00D06709" w14:textId="77777777" w:rsidR="001A7D00" w:rsidRDefault="00EE37D1" w:rsidP="001A7D00">
      <w:pPr>
        <w:rPr>
          <w:rFonts w:ascii="Calibri" w:hAnsi="Calibri" w:cs="Calibri"/>
        </w:rPr>
      </w:pPr>
      <w:r>
        <w:rPr>
          <w:lang w:eastAsia="en-AU"/>
        </w:rPr>
        <w:t xml:space="preserve">The Panel’s discussion paper </w:t>
      </w:r>
      <w:r w:rsidR="009A20B9">
        <w:rPr>
          <w:lang w:eastAsia="en-AU"/>
        </w:rPr>
        <w:t xml:space="preserve">identified </w:t>
      </w:r>
      <w:r>
        <w:rPr>
          <w:lang w:eastAsia="en-AU"/>
        </w:rPr>
        <w:t xml:space="preserve">that while there </w:t>
      </w:r>
      <w:r w:rsidR="00500CD1" w:rsidRPr="00500CD1">
        <w:rPr>
          <w:lang w:eastAsia="en-AU"/>
        </w:rPr>
        <w:t>have been fluctuations in retention - and variations by institution</w:t>
      </w:r>
      <w:r w:rsidR="009A20B9">
        <w:rPr>
          <w:lang w:eastAsia="en-AU"/>
        </w:rPr>
        <w:t xml:space="preserve"> -</w:t>
      </w:r>
      <w:r w:rsidR="00500CD1" w:rsidRPr="00500CD1">
        <w:rPr>
          <w:lang w:eastAsia="en-AU"/>
        </w:rPr>
        <w:t xml:space="preserve"> </w:t>
      </w:r>
      <w:r>
        <w:rPr>
          <w:lang w:eastAsia="en-AU"/>
        </w:rPr>
        <w:t>t</w:t>
      </w:r>
      <w:r w:rsidR="00500CD1" w:rsidRPr="00500CD1">
        <w:rPr>
          <w:lang w:eastAsia="en-AU"/>
        </w:rPr>
        <w:t xml:space="preserve">he attrition rate for Australian universities in 2014 is </w:t>
      </w:r>
      <w:r w:rsidR="00142BAD">
        <w:rPr>
          <w:lang w:eastAsia="en-AU"/>
        </w:rPr>
        <w:t xml:space="preserve">fundamentally </w:t>
      </w:r>
      <w:r w:rsidR="00500CD1" w:rsidRPr="00500CD1">
        <w:rPr>
          <w:lang w:eastAsia="en-AU"/>
        </w:rPr>
        <w:t>similar to what it was in 2005, despite some movement during that period</w:t>
      </w:r>
      <w:r w:rsidR="00500CD1" w:rsidRPr="00500CD1">
        <w:rPr>
          <w:vertAlign w:val="superscript"/>
          <w:lang w:eastAsia="en-AU"/>
        </w:rPr>
        <w:footnoteReference w:id="1"/>
      </w:r>
      <w:r w:rsidR="00500CD1" w:rsidRPr="00500CD1">
        <w:rPr>
          <w:lang w:eastAsia="en-AU"/>
        </w:rPr>
        <w:t>.</w:t>
      </w:r>
      <w:r w:rsidR="001A7D00">
        <w:rPr>
          <w:lang w:eastAsia="en-AU"/>
        </w:rPr>
        <w:t xml:space="preserve"> </w:t>
      </w:r>
      <w:r w:rsidR="00142BAD">
        <w:rPr>
          <w:lang w:eastAsia="en-AU"/>
        </w:rPr>
        <w:t xml:space="preserve">The attrition rate was 15.04 per cent in 2005 and 15.18 per cent in 2014. </w:t>
      </w:r>
      <w:r w:rsidR="001A7D00">
        <w:rPr>
          <w:lang w:eastAsia="en-AU"/>
        </w:rPr>
        <w:t xml:space="preserve">The discussion paper also highlighted the </w:t>
      </w:r>
      <w:r w:rsidR="00177078">
        <w:rPr>
          <w:lang w:eastAsia="en-AU"/>
        </w:rPr>
        <w:t xml:space="preserve">wide variation </w:t>
      </w:r>
      <w:r w:rsidR="001A7D00">
        <w:rPr>
          <w:lang w:eastAsia="en-AU"/>
        </w:rPr>
        <w:t xml:space="preserve">between university attrition rates, including data that suggests some </w:t>
      </w:r>
      <w:r w:rsidR="001A7D00">
        <w:rPr>
          <w:rFonts w:ascii="Calibri" w:hAnsi="Calibri" w:cs="Calibri"/>
        </w:rPr>
        <w:t xml:space="preserve">institutions are supporting higher-risk students to succeed more successfully than others. </w:t>
      </w:r>
    </w:p>
    <w:p w14:paraId="560D8023" w14:textId="77777777" w:rsidR="001A7D00" w:rsidRDefault="001A7D00" w:rsidP="001A7D00">
      <w:r>
        <w:t xml:space="preserve">An analysis using </w:t>
      </w:r>
      <w:r w:rsidR="00177078">
        <w:t xml:space="preserve">statistical </w:t>
      </w:r>
      <w:r>
        <w:t xml:space="preserve">regression techniques, published in the discussion paper, </w:t>
      </w:r>
      <w:r w:rsidRPr="00987335">
        <w:t xml:space="preserve">showed that student characteristics only explained </w:t>
      </w:r>
      <w:r w:rsidR="007146AA">
        <w:t xml:space="preserve">a </w:t>
      </w:r>
      <w:r w:rsidRPr="00987335">
        <w:t xml:space="preserve">small part </w:t>
      </w:r>
      <w:r w:rsidR="007146AA">
        <w:t xml:space="preserve">(22.5 per cent) </w:t>
      </w:r>
      <w:r w:rsidRPr="00987335">
        <w:t xml:space="preserve">of the overall variation in student attrition. </w:t>
      </w:r>
      <w:r>
        <w:t xml:space="preserve">The statistical evidence suggests that the </w:t>
      </w:r>
      <w:r w:rsidRPr="00987335">
        <w:t>institution is</w:t>
      </w:r>
      <w:r>
        <w:t xml:space="preserve"> a</w:t>
      </w:r>
      <w:r w:rsidRPr="00987335">
        <w:t xml:space="preserve"> more important </w:t>
      </w:r>
      <w:r>
        <w:t xml:space="preserve">factor </w:t>
      </w:r>
      <w:r w:rsidR="00177078" w:rsidRPr="00987335">
        <w:t xml:space="preserve">in explaining attrition </w:t>
      </w:r>
      <w:r w:rsidRPr="00987335">
        <w:t>than</w:t>
      </w:r>
      <w:r>
        <w:t xml:space="preserve"> the</w:t>
      </w:r>
      <w:r w:rsidRPr="00987335">
        <w:t xml:space="preserve"> basis of admission</w:t>
      </w:r>
      <w:r>
        <w:t>, the student</w:t>
      </w:r>
      <w:r w:rsidR="0047021F">
        <w:t>’</w:t>
      </w:r>
      <w:r>
        <w:t>s</w:t>
      </w:r>
      <w:r w:rsidRPr="00987335">
        <w:t xml:space="preserve"> ATAR, type of attendance, mode of attendance </w:t>
      </w:r>
      <w:r>
        <w:t>or</w:t>
      </w:r>
      <w:r w:rsidRPr="00987335">
        <w:t xml:space="preserve"> age</w:t>
      </w:r>
      <w:r w:rsidR="007146AA">
        <w:t xml:space="preserve">. </w:t>
      </w:r>
      <w:r>
        <w:t xml:space="preserve">This analysis is </w:t>
      </w:r>
      <w:r w:rsidR="009A20B9">
        <w:t>available at</w:t>
      </w:r>
      <w:r>
        <w:t xml:space="preserve"> </w:t>
      </w:r>
      <w:r w:rsidRPr="008C459F">
        <w:t>Appendix A</w:t>
      </w:r>
      <w:r>
        <w:t>.</w:t>
      </w:r>
      <w:r w:rsidRPr="00987335">
        <w:t xml:space="preserve"> </w:t>
      </w:r>
    </w:p>
    <w:p w14:paraId="5EF99D93" w14:textId="77777777" w:rsidR="00500CD1" w:rsidRDefault="009F0264" w:rsidP="00500CD1">
      <w:pPr>
        <w:rPr>
          <w:lang w:eastAsia="en-AU"/>
        </w:rPr>
      </w:pPr>
      <w:r>
        <w:rPr>
          <w:lang w:eastAsia="en-AU"/>
        </w:rPr>
        <w:t xml:space="preserve">Students at </w:t>
      </w:r>
      <w:r w:rsidR="00500CD1" w:rsidRPr="00500CD1">
        <w:rPr>
          <w:lang w:eastAsia="en-AU"/>
        </w:rPr>
        <w:t xml:space="preserve">non-university higher education </w:t>
      </w:r>
      <w:r>
        <w:rPr>
          <w:lang w:eastAsia="en-AU"/>
        </w:rPr>
        <w:t xml:space="preserve">providers </w:t>
      </w:r>
      <w:r w:rsidR="0017684D">
        <w:rPr>
          <w:lang w:eastAsia="en-AU"/>
        </w:rPr>
        <w:t xml:space="preserve">(NUHEPs) </w:t>
      </w:r>
      <w:r w:rsidR="00500CD1" w:rsidRPr="00500CD1">
        <w:rPr>
          <w:lang w:eastAsia="en-AU"/>
        </w:rPr>
        <w:t>have higher attrition rates and lower completion rates compared to Table A and B universities. However, their record is improving. The attrition r</w:t>
      </w:r>
      <w:r w:rsidR="00142BAD">
        <w:rPr>
          <w:lang w:eastAsia="en-AU"/>
        </w:rPr>
        <w:t>ate for NUHEPs in 2007 was 35.9</w:t>
      </w:r>
      <w:r w:rsidR="00500CD1" w:rsidRPr="00500CD1">
        <w:rPr>
          <w:lang w:eastAsia="en-AU"/>
        </w:rPr>
        <w:t xml:space="preserve"> per ce</w:t>
      </w:r>
      <w:r w:rsidR="00142BAD">
        <w:rPr>
          <w:lang w:eastAsia="en-AU"/>
        </w:rPr>
        <w:t>nt and this has dropped to 26.2</w:t>
      </w:r>
      <w:r w:rsidR="00500CD1" w:rsidRPr="00500CD1">
        <w:rPr>
          <w:lang w:eastAsia="en-AU"/>
        </w:rPr>
        <w:t xml:space="preserve"> per cent in 2014. The completion gap between universities and NUHEPs has slightly narrowed. </w:t>
      </w:r>
    </w:p>
    <w:p w14:paraId="291EF40F" w14:textId="77777777" w:rsidR="00F02998" w:rsidRPr="00500CD1" w:rsidRDefault="00F02998" w:rsidP="00500CD1">
      <w:pPr>
        <w:rPr>
          <w:lang w:eastAsia="en-AU"/>
        </w:rPr>
      </w:pPr>
      <w:r>
        <w:rPr>
          <w:lang w:eastAsia="en-AU"/>
        </w:rPr>
        <w:t xml:space="preserve">The discussion paper pointed out that while international higher education completion rates </w:t>
      </w:r>
      <w:proofErr w:type="gramStart"/>
      <w:r>
        <w:rPr>
          <w:lang w:eastAsia="en-AU"/>
        </w:rPr>
        <w:t>must be compared</w:t>
      </w:r>
      <w:proofErr w:type="gramEnd"/>
      <w:r>
        <w:rPr>
          <w:lang w:eastAsia="en-AU"/>
        </w:rPr>
        <w:t xml:space="preserve"> with caution</w:t>
      </w:r>
      <w:r w:rsidR="009A20B9">
        <w:rPr>
          <w:lang w:eastAsia="en-AU"/>
        </w:rPr>
        <w:t>,</w:t>
      </w:r>
      <w:r>
        <w:rPr>
          <w:lang w:eastAsia="en-AU"/>
        </w:rPr>
        <w:t xml:space="preserve"> because of the wide variety of systems across the world, in Australia, 70 per cent of new entrants in 2009 who enrolled in a bachelor degree had completed by 2014. This is around the OECD average of 69 per cent</w:t>
      </w:r>
      <w:r w:rsidR="00BD6232">
        <w:rPr>
          <w:lang w:eastAsia="en-AU"/>
        </w:rPr>
        <w:t xml:space="preserve">. </w:t>
      </w:r>
      <w:r w:rsidR="00BD6232" w:rsidRPr="00BD6232">
        <w:rPr>
          <w:lang w:eastAsia="en-AU"/>
        </w:rPr>
        <w:t xml:space="preserve">Earlier data suggested the completion rate of graduates in 2011 in Australia was 82 per cent, above the OECD average of 70 per cent. However, it </w:t>
      </w:r>
      <w:proofErr w:type="gramStart"/>
      <w:r w:rsidR="00BD6232" w:rsidRPr="00BD6232">
        <w:rPr>
          <w:lang w:eastAsia="en-AU"/>
        </w:rPr>
        <w:t>should be noted</w:t>
      </w:r>
      <w:proofErr w:type="gramEnd"/>
      <w:r w:rsidR="00BD6232" w:rsidRPr="00BD6232">
        <w:rPr>
          <w:lang w:eastAsia="en-AU"/>
        </w:rPr>
        <w:t xml:space="preserve"> the earlier OECD data used a different methodology</w:t>
      </w:r>
      <w:r w:rsidR="00BD6232">
        <w:rPr>
          <w:lang w:eastAsia="en-AU"/>
        </w:rPr>
        <w:t>.</w:t>
      </w:r>
    </w:p>
    <w:p w14:paraId="2385AD41" w14:textId="77777777" w:rsidR="00272480" w:rsidRDefault="00272480">
      <w:r>
        <w:br w:type="page"/>
      </w:r>
    </w:p>
    <w:p w14:paraId="5A546D3B" w14:textId="77777777" w:rsidR="000D0987" w:rsidRDefault="000D0987" w:rsidP="00500CD1">
      <w:r>
        <w:t>The Panel</w:t>
      </w:r>
      <w:r>
        <w:rPr>
          <w:lang w:eastAsia="en-AU"/>
        </w:rPr>
        <w:t xml:space="preserve"> posed 12 questions to guide discussion on issues relating to retention, completion and success in higher education. These questions looked at whether there should be expectations of completion, in terms of completion rates and the speed of completion, how data collection and the transpar</w:t>
      </w:r>
      <w:r w:rsidR="00BD012D">
        <w:rPr>
          <w:lang w:eastAsia="en-AU"/>
        </w:rPr>
        <w:t xml:space="preserve">ency of data </w:t>
      </w:r>
      <w:proofErr w:type="gramStart"/>
      <w:r w:rsidR="00BD012D">
        <w:rPr>
          <w:lang w:eastAsia="en-AU"/>
        </w:rPr>
        <w:t>could be improved</w:t>
      </w:r>
      <w:proofErr w:type="gramEnd"/>
      <w:r w:rsidR="00BD012D">
        <w:rPr>
          <w:lang w:eastAsia="en-AU"/>
        </w:rPr>
        <w:t xml:space="preserve"> and</w:t>
      </w:r>
      <w:r>
        <w:rPr>
          <w:lang w:eastAsia="en-AU"/>
        </w:rPr>
        <w:t xml:space="preserve"> how students could be supported to make the right choices and </w:t>
      </w:r>
      <w:r w:rsidR="00BD012D">
        <w:rPr>
          <w:lang w:eastAsia="en-AU"/>
        </w:rPr>
        <w:t xml:space="preserve">then </w:t>
      </w:r>
      <w:r>
        <w:rPr>
          <w:lang w:eastAsia="en-AU"/>
        </w:rPr>
        <w:t xml:space="preserve">complete their studies once they are enrolled in higher education. The Panel asked about best practice and how this </w:t>
      </w:r>
      <w:proofErr w:type="gramStart"/>
      <w:r>
        <w:rPr>
          <w:lang w:eastAsia="en-AU"/>
        </w:rPr>
        <w:t>could be shared</w:t>
      </w:r>
      <w:proofErr w:type="gramEnd"/>
      <w:r>
        <w:rPr>
          <w:lang w:eastAsia="en-AU"/>
        </w:rPr>
        <w:t xml:space="preserve"> across the sector, as well as whether there needs to be any further powers provided to </w:t>
      </w:r>
      <w:r w:rsidR="00570401">
        <w:rPr>
          <w:lang w:eastAsia="en-AU"/>
        </w:rPr>
        <w:t>the</w:t>
      </w:r>
      <w:r w:rsidR="00570401" w:rsidRPr="00570401">
        <w:rPr>
          <w:rFonts w:ascii="Arial" w:hAnsi="Arial" w:cs="Arial"/>
          <w:color w:val="333333"/>
          <w:sz w:val="20"/>
          <w:szCs w:val="20"/>
          <w:lang w:val="en"/>
        </w:rPr>
        <w:t xml:space="preserve"> </w:t>
      </w:r>
      <w:r w:rsidR="00570401" w:rsidRPr="00570401">
        <w:rPr>
          <w:lang w:val="en" w:eastAsia="en-AU"/>
        </w:rPr>
        <w:t xml:space="preserve">Tertiary Education Quality and Standards Agency </w:t>
      </w:r>
      <w:r w:rsidR="00570401">
        <w:rPr>
          <w:lang w:eastAsia="en-AU"/>
        </w:rPr>
        <w:t>(</w:t>
      </w:r>
      <w:r>
        <w:rPr>
          <w:lang w:eastAsia="en-AU"/>
        </w:rPr>
        <w:t>TEQSA</w:t>
      </w:r>
      <w:r w:rsidR="00570401">
        <w:rPr>
          <w:lang w:eastAsia="en-AU"/>
        </w:rPr>
        <w:t>)</w:t>
      </w:r>
      <w:r>
        <w:rPr>
          <w:lang w:eastAsia="en-AU"/>
        </w:rPr>
        <w:t xml:space="preserve"> to ensure</w:t>
      </w:r>
      <w:r w:rsidR="00BD012D">
        <w:rPr>
          <w:lang w:eastAsia="en-AU"/>
        </w:rPr>
        <w:t xml:space="preserve"> that</w:t>
      </w:r>
      <w:r>
        <w:rPr>
          <w:lang w:eastAsia="en-AU"/>
        </w:rPr>
        <w:t xml:space="preserve"> institutions comply with the Higher Education Standards Framework in supporting students to succeed. </w:t>
      </w:r>
    </w:p>
    <w:p w14:paraId="73EF495F" w14:textId="77777777" w:rsidR="000B7C82" w:rsidRDefault="000B7C82" w:rsidP="000B7C82">
      <w:pPr>
        <w:pStyle w:val="Heading2"/>
      </w:pPr>
      <w:r w:rsidRPr="00B47CD0">
        <w:t>Stakeholders</w:t>
      </w:r>
      <w:r>
        <w:t>’</w:t>
      </w:r>
      <w:r w:rsidRPr="00B47CD0">
        <w:t xml:space="preserve"> views</w:t>
      </w:r>
    </w:p>
    <w:p w14:paraId="3DDEB2A7" w14:textId="77777777" w:rsidR="00EE37D1" w:rsidRPr="00EE37D1" w:rsidRDefault="00EE37D1" w:rsidP="00EE37D1">
      <w:r w:rsidRPr="00EE37D1">
        <w:t xml:space="preserve">Forty-three written submissions </w:t>
      </w:r>
      <w:proofErr w:type="gramStart"/>
      <w:r w:rsidRPr="00EE37D1">
        <w:t>were made</w:t>
      </w:r>
      <w:proofErr w:type="gramEnd"/>
      <w:r w:rsidRPr="00EE37D1">
        <w:t xml:space="preserve"> in response to the </w:t>
      </w:r>
      <w:r w:rsidR="009F0264">
        <w:t>Panel’</w:t>
      </w:r>
      <w:r w:rsidR="00BD012D">
        <w:t>s</w:t>
      </w:r>
      <w:r w:rsidR="009F0264">
        <w:t xml:space="preserve"> discussion </w:t>
      </w:r>
      <w:r w:rsidRPr="00EE37D1">
        <w:t xml:space="preserve">paper </w:t>
      </w:r>
      <w:r w:rsidR="009F0264">
        <w:t>from individual institutions and peak bodies</w:t>
      </w:r>
      <w:r w:rsidR="00272480">
        <w:t xml:space="preserve"> (Appendix D)</w:t>
      </w:r>
      <w:r w:rsidR="009F0264">
        <w:t>. In addition</w:t>
      </w:r>
      <w:r w:rsidR="00BD012D">
        <w:t>,</w:t>
      </w:r>
      <w:r w:rsidR="009F0264">
        <w:t xml:space="preserve"> t</w:t>
      </w:r>
      <w:r w:rsidRPr="00EE37D1">
        <w:t xml:space="preserve">he </w:t>
      </w:r>
      <w:r w:rsidR="00BD012D">
        <w:t>P</w:t>
      </w:r>
      <w:r w:rsidRPr="00EE37D1">
        <w:t xml:space="preserve">anel conducted face-to-face hearings </w:t>
      </w:r>
      <w:r w:rsidR="009F0264">
        <w:t xml:space="preserve">over two days </w:t>
      </w:r>
      <w:r w:rsidRPr="00EE37D1">
        <w:t>with stakeholders</w:t>
      </w:r>
      <w:r w:rsidR="009F0264">
        <w:t>,</w:t>
      </w:r>
      <w:r w:rsidRPr="00EE37D1">
        <w:t xml:space="preserve"> </w:t>
      </w:r>
      <w:r w:rsidR="009F0264">
        <w:t>including peak bodies in the university, NUHEP, careers and equity sectors, deputy vice-chancellors, student groups, academics and researchers</w:t>
      </w:r>
      <w:r w:rsidRPr="00EE37D1">
        <w:t>.</w:t>
      </w:r>
    </w:p>
    <w:p w14:paraId="2378954C" w14:textId="77777777" w:rsidR="003F0A40" w:rsidRDefault="0047021F" w:rsidP="000B7C82">
      <w:r>
        <w:t>There</w:t>
      </w:r>
      <w:r w:rsidR="00B4784A">
        <w:t xml:space="preserve"> was </w:t>
      </w:r>
      <w:r w:rsidR="000801FC">
        <w:t xml:space="preserve">general </w:t>
      </w:r>
      <w:r w:rsidR="00177078">
        <w:t xml:space="preserve">support for </w:t>
      </w:r>
      <w:r w:rsidR="000801FC">
        <w:t>the Panel</w:t>
      </w:r>
      <w:r w:rsidR="00177078">
        <w:t>’s</w:t>
      </w:r>
      <w:r w:rsidR="008D00FE">
        <w:t xml:space="preserve"> view t</w:t>
      </w:r>
      <w:r w:rsidR="000801FC">
        <w:t xml:space="preserve">hat there is </w:t>
      </w:r>
      <w:r w:rsidR="008D00FE">
        <w:t>not an</w:t>
      </w:r>
      <w:r w:rsidR="000801FC">
        <w:t xml:space="preserve"> immediate crisis in higher education attrition</w:t>
      </w:r>
      <w:r w:rsidR="00DD254D">
        <w:t xml:space="preserve">, with attrition rates remaining relatively stable over the past 12 years. There was also general </w:t>
      </w:r>
      <w:r w:rsidR="00B4784A">
        <w:t>agreement, including from Universities Australia</w:t>
      </w:r>
      <w:r w:rsidR="00160409">
        <w:t>,</w:t>
      </w:r>
      <w:r w:rsidR="00B4784A">
        <w:t xml:space="preserve"> that there </w:t>
      </w:r>
      <w:r w:rsidR="00160409">
        <w:t xml:space="preserve">is ‘no reason for </w:t>
      </w:r>
      <w:r w:rsidR="00B4784A">
        <w:t>complacency</w:t>
      </w:r>
      <w:r w:rsidR="00160409">
        <w:t>’</w:t>
      </w:r>
      <w:r w:rsidR="00B4784A">
        <w:t>. There was</w:t>
      </w:r>
      <w:r w:rsidR="000801FC">
        <w:t xml:space="preserve"> </w:t>
      </w:r>
      <w:r w:rsidR="00B4784A">
        <w:t>acceptance that attrition r</w:t>
      </w:r>
      <w:r w:rsidR="00272480">
        <w:t>epresented a financial loss to g</w:t>
      </w:r>
      <w:r w:rsidR="00B4784A">
        <w:t xml:space="preserve">overnment and students themselves and there </w:t>
      </w:r>
      <w:r w:rsidR="00160409">
        <w:t xml:space="preserve">should be a </w:t>
      </w:r>
      <w:r w:rsidR="00B4784A">
        <w:t xml:space="preserve">sustained effort to improve completion rates. </w:t>
      </w:r>
    </w:p>
    <w:p w14:paraId="64045C46" w14:textId="77777777" w:rsidR="000B7C82" w:rsidRDefault="000B7C82" w:rsidP="000B7C82">
      <w:r>
        <w:t xml:space="preserve">Many </w:t>
      </w:r>
      <w:r w:rsidR="0047021F">
        <w:t>submissions</w:t>
      </w:r>
      <w:r>
        <w:t xml:space="preserve"> noted the changing economy and workforce and the increasing proportion of students studying part-time and taking time off from study. They highlighted that attrition is often a reflection of balancing work, personal commitments</w:t>
      </w:r>
      <w:r w:rsidR="001C24A4">
        <w:t>, financial circumstances</w:t>
      </w:r>
      <w:r>
        <w:t xml:space="preserve"> and study. </w:t>
      </w:r>
      <w:r w:rsidR="0047021F">
        <w:t>W</w:t>
      </w:r>
      <w:r>
        <w:t xml:space="preserve">hile course completion should remain a primary focus for institutions, there will never be zero attrition. </w:t>
      </w:r>
      <w:r w:rsidR="00160409">
        <w:t xml:space="preserve">If standards </w:t>
      </w:r>
      <w:r w:rsidR="0047021F">
        <w:t>are to</w:t>
      </w:r>
      <w:r w:rsidR="00160409">
        <w:t xml:space="preserve"> </w:t>
      </w:r>
      <w:proofErr w:type="gramStart"/>
      <w:r w:rsidR="00160409">
        <w:t>be maintained</w:t>
      </w:r>
      <w:proofErr w:type="gramEnd"/>
      <w:r w:rsidR="00160409">
        <w:t xml:space="preserve"> it is inevitable that some students would still fail their courses. </w:t>
      </w:r>
      <w:r w:rsidR="0047021F">
        <w:t>N</w:t>
      </w:r>
      <w:r>
        <w:t xml:space="preserve">ot all attrition </w:t>
      </w:r>
      <w:proofErr w:type="gramStart"/>
      <w:r>
        <w:t>should be viewe</w:t>
      </w:r>
      <w:r w:rsidR="00034BF0">
        <w:t>d</w:t>
      </w:r>
      <w:proofErr w:type="gramEnd"/>
      <w:r w:rsidR="00034BF0">
        <w:t xml:space="preserve"> negatively</w:t>
      </w:r>
      <w:r w:rsidR="00153BC2">
        <w:t xml:space="preserve"> - </w:t>
      </w:r>
      <w:r>
        <w:t xml:space="preserve">especially if higher education </w:t>
      </w:r>
      <w:r w:rsidR="00160409">
        <w:t xml:space="preserve">proved </w:t>
      </w:r>
      <w:r>
        <w:t>not</w:t>
      </w:r>
      <w:r w:rsidR="00160409">
        <w:t xml:space="preserve"> to be</w:t>
      </w:r>
      <w:r w:rsidR="002854B4">
        <w:t xml:space="preserve"> the best fit for the student.</w:t>
      </w:r>
    </w:p>
    <w:p w14:paraId="1654D734" w14:textId="77777777" w:rsidR="000B7C82" w:rsidRDefault="001B279A" w:rsidP="000B7C82">
      <w:r>
        <w:t>Some st</w:t>
      </w:r>
      <w:r w:rsidR="00160409">
        <w:t xml:space="preserve">akeholders warned against setting arbitrary expectations around </w:t>
      </w:r>
      <w:r w:rsidR="00A038F1">
        <w:t>rates</w:t>
      </w:r>
      <w:r w:rsidR="00160409">
        <w:t xml:space="preserve"> and speed of completion; noting they are difficult to establish. However, measurement</w:t>
      </w:r>
      <w:r w:rsidR="00BD012D">
        <w:t xml:space="preserve"> of completion</w:t>
      </w:r>
      <w:r w:rsidR="00272480">
        <w:t xml:space="preserve"> is important.</w:t>
      </w:r>
    </w:p>
    <w:p w14:paraId="4FD09D56" w14:textId="77777777" w:rsidR="000B7C82" w:rsidRDefault="002854B4" w:rsidP="000B7C82">
      <w:r>
        <w:t>A</w:t>
      </w:r>
      <w:r w:rsidR="000B7C82">
        <w:t>spiration building, early intervention prior to admission through outreach and sound career advice</w:t>
      </w:r>
      <w:r>
        <w:t xml:space="preserve"> </w:t>
      </w:r>
      <w:r w:rsidR="00160409">
        <w:t xml:space="preserve">before and after admission to higher education </w:t>
      </w:r>
      <w:r>
        <w:t>were highlighted as extremely important factors in assisting students making the right choices</w:t>
      </w:r>
      <w:r w:rsidR="000B7C82">
        <w:t xml:space="preserve">. </w:t>
      </w:r>
      <w:r w:rsidR="0047021F">
        <w:t>T</w:t>
      </w:r>
      <w:r w:rsidR="000B7C82">
        <w:t xml:space="preserve">he range of work already </w:t>
      </w:r>
      <w:proofErr w:type="gramStart"/>
      <w:r w:rsidR="000B7C82">
        <w:t>being undertaken</w:t>
      </w:r>
      <w:proofErr w:type="gramEnd"/>
      <w:r w:rsidR="000B7C82">
        <w:t xml:space="preserve"> by institutions in terms of student outreach, often funded by the Higher Education Participation an</w:t>
      </w:r>
      <w:r w:rsidR="0047021F">
        <w:t>d Partnerships Program (HEPPP)</w:t>
      </w:r>
      <w:r w:rsidR="004E0ABC">
        <w:t>,</w:t>
      </w:r>
      <w:r w:rsidR="0047021F">
        <w:t xml:space="preserve"> was noted </w:t>
      </w:r>
      <w:r w:rsidR="000B7C82">
        <w:t xml:space="preserve">and there were many calls for greater investment in </w:t>
      </w:r>
      <w:r w:rsidR="00177078">
        <w:t>career education</w:t>
      </w:r>
      <w:r w:rsidR="000B7C82">
        <w:t xml:space="preserve"> for primary and high school </w:t>
      </w:r>
      <w:r w:rsidR="00044389">
        <w:t>students, as well as for mature-</w:t>
      </w:r>
      <w:r w:rsidR="001259CB">
        <w:t xml:space="preserve">age people and people already studying within a higher education institution. </w:t>
      </w:r>
    </w:p>
    <w:p w14:paraId="1130D5F8" w14:textId="77777777" w:rsidR="000B7C82" w:rsidRDefault="000B7C82" w:rsidP="000B7C82">
      <w:r>
        <w:t xml:space="preserve">There was general acknowledgement that, </w:t>
      </w:r>
      <w:proofErr w:type="gramStart"/>
      <w:r>
        <w:t>as a result</w:t>
      </w:r>
      <w:proofErr w:type="gramEnd"/>
      <w:r>
        <w:t xml:space="preserve"> of the new economy, digitalisation and complex factors leading to attrition, institutions should be continually adjusting curriculum, pedag</w:t>
      </w:r>
      <w:r w:rsidR="00160409">
        <w:t xml:space="preserve">ogy and academic policy design to meet student needs and expectations. </w:t>
      </w:r>
    </w:p>
    <w:p w14:paraId="198D49E3" w14:textId="5491D2A1" w:rsidR="000B7C82" w:rsidRDefault="0047021F" w:rsidP="000B7C82">
      <w:r>
        <w:t>A</w:t>
      </w:r>
      <w:r w:rsidR="000B7C82">
        <w:t xml:space="preserve"> student-centric institutional culture and </w:t>
      </w:r>
      <w:r w:rsidR="000100CC">
        <w:t>well-targeted</w:t>
      </w:r>
      <w:r w:rsidR="000B7C82">
        <w:t xml:space="preserve"> and </w:t>
      </w:r>
      <w:r w:rsidR="000100CC">
        <w:t>well-communicated</w:t>
      </w:r>
      <w:r w:rsidR="000B7C82">
        <w:t xml:space="preserve"> support services have a positive impact </w:t>
      </w:r>
      <w:r w:rsidR="00BD012D">
        <w:t>on student retention, completion</w:t>
      </w:r>
      <w:r w:rsidR="000B7C82">
        <w:t xml:space="preserve"> and success. </w:t>
      </w:r>
      <w:proofErr w:type="gramStart"/>
      <w:r w:rsidR="000B7C82">
        <w:t xml:space="preserve">Many institutions cited examples of their </w:t>
      </w:r>
      <w:r>
        <w:t>own</w:t>
      </w:r>
      <w:r w:rsidR="000B7C82">
        <w:t xml:space="preserve"> work in developing a strong student culture and of their successful student support services, though there </w:t>
      </w:r>
      <w:r w:rsidR="001259CB">
        <w:t>were</w:t>
      </w:r>
      <w:r w:rsidR="000B7C82">
        <w:t xml:space="preserve"> only limited examples of attempts to integrate these measures through comprehensive retention strategies.</w:t>
      </w:r>
      <w:proofErr w:type="gramEnd"/>
      <w:r w:rsidR="000B7C82">
        <w:t xml:space="preserve"> There was broad consensus that more needed to </w:t>
      </w:r>
      <w:proofErr w:type="gramStart"/>
      <w:r w:rsidR="000B7C82">
        <w:t>be done</w:t>
      </w:r>
      <w:proofErr w:type="gramEnd"/>
      <w:r w:rsidR="000B7C82">
        <w:t xml:space="preserve"> across the board for external students and for students </w:t>
      </w:r>
      <w:r w:rsidR="00160409">
        <w:t>suffering</w:t>
      </w:r>
      <w:r w:rsidR="000B7C82">
        <w:t xml:space="preserve"> mental illness</w:t>
      </w:r>
      <w:r w:rsidR="005A083F">
        <w:t xml:space="preserve"> or emotional stress</w:t>
      </w:r>
      <w:r w:rsidR="000B7C82">
        <w:t xml:space="preserve">. </w:t>
      </w:r>
    </w:p>
    <w:p w14:paraId="5C58452E" w14:textId="77777777" w:rsidR="000B7C82" w:rsidRDefault="001259CB" w:rsidP="000B7C82">
      <w:r>
        <w:t>Some</w:t>
      </w:r>
      <w:r w:rsidR="0047021F">
        <w:t xml:space="preserve"> submissions</w:t>
      </w:r>
      <w:r w:rsidR="000B7C82">
        <w:t xml:space="preserve"> noted the complexities around evaluating the success of targeted interventions and support services. </w:t>
      </w:r>
      <w:r w:rsidR="005A083F">
        <w:t xml:space="preserve">A number of respondents pointed out </w:t>
      </w:r>
      <w:r w:rsidR="000B7C82">
        <w:t xml:space="preserve">that approaches that work for one cohort or institution may not necessarily work for another and what works for one faculty or field of study may not be scalable across the whole sector. </w:t>
      </w:r>
      <w:r w:rsidR="0047021F">
        <w:t xml:space="preserve">However, </w:t>
      </w:r>
      <w:r w:rsidR="004E0ABC">
        <w:t xml:space="preserve">stakeholders </w:t>
      </w:r>
      <w:r w:rsidR="0047021F">
        <w:t>were generally enthusiastic about, and provided a range of suggestions for, new ways to share best practice.</w:t>
      </w:r>
    </w:p>
    <w:p w14:paraId="4162ECFF" w14:textId="77777777" w:rsidR="000B7C82" w:rsidRDefault="000B7C82" w:rsidP="000B7C82">
      <w:r>
        <w:t>Consistency in language around completions and attriti</w:t>
      </w:r>
      <w:r w:rsidR="005A083F">
        <w:t>on is important to stakeholders. T</w:t>
      </w:r>
      <w:r>
        <w:t>here were many suggestions on how changes to the collection and reporting of data could better reflect the situation of retention, completion and success in higher education.</w:t>
      </w:r>
      <w:r w:rsidR="005A083F">
        <w:t xml:space="preserve"> Given how difficult it is to understand the increasingly complex pathways between school</w:t>
      </w:r>
      <w:r w:rsidR="00BD012D">
        <w:t>,</w:t>
      </w:r>
      <w:r w:rsidR="005A083F">
        <w:t xml:space="preserve"> vocational training, higher education and employment, t</w:t>
      </w:r>
      <w:r>
        <w:t>here was almost unanimous support for a common student identifier across tertiary education</w:t>
      </w:r>
      <w:r w:rsidR="005A083F">
        <w:t>. Indeed, m</w:t>
      </w:r>
      <w:r>
        <w:t xml:space="preserve">any </w:t>
      </w:r>
      <w:r w:rsidR="005A083F">
        <w:t>respondents called</w:t>
      </w:r>
      <w:r>
        <w:t xml:space="preserve"> for a common student identifier across all levels of education, including school.</w:t>
      </w:r>
      <w:r w:rsidR="0047021F">
        <w:t xml:space="preserve"> Such a scheme </w:t>
      </w:r>
      <w:proofErr w:type="gramStart"/>
      <w:r w:rsidR="0047021F">
        <w:t>has been implemented</w:t>
      </w:r>
      <w:proofErr w:type="gramEnd"/>
      <w:r w:rsidR="0047021F">
        <w:t xml:space="preserve"> in New Zealand. </w:t>
      </w:r>
    </w:p>
    <w:p w14:paraId="0B2AD313" w14:textId="77777777" w:rsidR="000B7C82" w:rsidRDefault="00F415A5" w:rsidP="000B7C82">
      <w:r>
        <w:t>Some s</w:t>
      </w:r>
      <w:r w:rsidR="0047021F">
        <w:t xml:space="preserve">ubmissions </w:t>
      </w:r>
      <w:r w:rsidR="00D1717B">
        <w:t>noted</w:t>
      </w:r>
      <w:r w:rsidR="00D1717B" w:rsidRPr="00FC1030">
        <w:t xml:space="preserve"> </w:t>
      </w:r>
      <w:r w:rsidR="000B7C82" w:rsidRPr="00FC1030">
        <w:t>the Government’s proposed introduction of a 7.5 per cent performance-</w:t>
      </w:r>
      <w:r w:rsidR="00D1717B">
        <w:t>contingent</w:t>
      </w:r>
      <w:r w:rsidR="000B7C82" w:rsidRPr="00FC1030">
        <w:t xml:space="preserve"> element to the Commonwealth Grant Scheme and the metrics that may sit behind this. </w:t>
      </w:r>
      <w:r w:rsidR="000B7C82">
        <w:t xml:space="preserve">This policy and any </w:t>
      </w:r>
      <w:r w:rsidR="005A083F">
        <w:t xml:space="preserve">criteria and metrics </w:t>
      </w:r>
      <w:r w:rsidR="000B7C82">
        <w:t xml:space="preserve">that might contribute to its implementation </w:t>
      </w:r>
      <w:r w:rsidR="000B7C82" w:rsidRPr="00FC1030">
        <w:t xml:space="preserve">are </w:t>
      </w:r>
      <w:r w:rsidR="00D1717B">
        <w:t>beyond</w:t>
      </w:r>
      <w:r w:rsidR="000B7C82" w:rsidRPr="00FC1030">
        <w:t xml:space="preserve"> </w:t>
      </w:r>
      <w:r w:rsidR="000B7C82">
        <w:t xml:space="preserve">the </w:t>
      </w:r>
      <w:r w:rsidR="000B7C82" w:rsidRPr="00FC1030">
        <w:t>scope of this review.</w:t>
      </w:r>
    </w:p>
    <w:p w14:paraId="04F02A9E" w14:textId="77777777" w:rsidR="000B7C82" w:rsidRPr="00B47CD0" w:rsidRDefault="000B7C82" w:rsidP="000B7C82">
      <w:pPr>
        <w:pStyle w:val="Heading2"/>
      </w:pPr>
      <w:r w:rsidRPr="00B47CD0">
        <w:t>The Panel’s view</w:t>
      </w:r>
    </w:p>
    <w:p w14:paraId="0C9F910B" w14:textId="77777777" w:rsidR="000B7C82" w:rsidRDefault="00C24A5D" w:rsidP="000B7C82">
      <w:r>
        <w:t xml:space="preserve">In this report, the Panel </w:t>
      </w:r>
      <w:r w:rsidR="000B7C82" w:rsidRPr="00FC1030">
        <w:t>reaffirms there is no</w:t>
      </w:r>
      <w:r w:rsidR="005A083F">
        <w:t xml:space="preserve"> immediate</w:t>
      </w:r>
      <w:r w:rsidR="000B7C82" w:rsidRPr="00FC1030">
        <w:t xml:space="preserve"> crisis in higher education</w:t>
      </w:r>
      <w:r w:rsidR="005A083F">
        <w:t xml:space="preserve">. Members are nevertheless concerned about the </w:t>
      </w:r>
      <w:r w:rsidR="000B7C82">
        <w:t xml:space="preserve">imbalance of attrition rates between </w:t>
      </w:r>
      <w:r w:rsidR="00DD254D">
        <w:t xml:space="preserve">a small number of </w:t>
      </w:r>
      <w:r w:rsidR="000B7C82">
        <w:t>institutions and between external and int</w:t>
      </w:r>
      <w:r w:rsidR="00882F25">
        <w:t>ernal</w:t>
      </w:r>
      <w:r w:rsidR="004F23C9">
        <w:t xml:space="preserve"> or </w:t>
      </w:r>
      <w:r w:rsidR="00882F25">
        <w:t xml:space="preserve">mixed modes of </w:t>
      </w:r>
      <w:r w:rsidR="005A083F">
        <w:t xml:space="preserve">educational </w:t>
      </w:r>
      <w:r w:rsidR="00882F25">
        <w:t xml:space="preserve">delivery. </w:t>
      </w:r>
      <w:r w:rsidR="005A083F">
        <w:t xml:space="preserve">These issues </w:t>
      </w:r>
      <w:proofErr w:type="gramStart"/>
      <w:r w:rsidR="005A083F">
        <w:t>were</w:t>
      </w:r>
      <w:r w:rsidR="000B7C82">
        <w:t xml:space="preserve"> highlighted</w:t>
      </w:r>
      <w:proofErr w:type="gramEnd"/>
      <w:r w:rsidR="000B7C82">
        <w:t xml:space="preserve"> in the discussion paper. </w:t>
      </w:r>
    </w:p>
    <w:p w14:paraId="608C1BD3" w14:textId="77777777" w:rsidR="002854B4" w:rsidRDefault="00EF690A" w:rsidP="002854B4">
      <w:r>
        <w:t xml:space="preserve">The Panel </w:t>
      </w:r>
      <w:r w:rsidRPr="00FC1030">
        <w:t xml:space="preserve">considers that significant improvements </w:t>
      </w:r>
      <w:r w:rsidR="004F23C9">
        <w:t xml:space="preserve">in provider approach </w:t>
      </w:r>
      <w:r w:rsidRPr="00FC1030">
        <w:t xml:space="preserve">are possible to maximise students’ chances of successfully completing their </w:t>
      </w:r>
      <w:r>
        <w:t>studies</w:t>
      </w:r>
      <w:r w:rsidR="00BD012D">
        <w:t xml:space="preserve">. The Panel </w:t>
      </w:r>
      <w:r w:rsidR="002854B4">
        <w:t xml:space="preserve">recommends as a first priority </w:t>
      </w:r>
      <w:r>
        <w:t xml:space="preserve">that </w:t>
      </w:r>
      <w:r w:rsidR="002854B4">
        <w:t xml:space="preserve">institutions must ensure students who have </w:t>
      </w:r>
      <w:r w:rsidR="002854B4" w:rsidRPr="00655561">
        <w:t>the capacit</w:t>
      </w:r>
      <w:r w:rsidR="002854B4">
        <w:t>y to succeed in higher education</w:t>
      </w:r>
      <w:r w:rsidR="002854B4" w:rsidRPr="00655561">
        <w:t xml:space="preserve"> </w:t>
      </w:r>
      <w:proofErr w:type="gramStart"/>
      <w:r w:rsidR="002854B4" w:rsidRPr="00655561">
        <w:t>are given</w:t>
      </w:r>
      <w:proofErr w:type="gramEnd"/>
      <w:r w:rsidR="002854B4" w:rsidRPr="00655561">
        <w:t xml:space="preserve"> the best chance to complete their studies through the appropriate provision of academic and</w:t>
      </w:r>
      <w:r w:rsidR="002854B4">
        <w:t xml:space="preserve"> other</w:t>
      </w:r>
      <w:r w:rsidR="0047021F">
        <w:t xml:space="preserve"> support as required </w:t>
      </w:r>
      <w:r w:rsidR="002854B4">
        <w:t xml:space="preserve">by the </w:t>
      </w:r>
      <w:r w:rsidR="0047021F">
        <w:t>Higher Education Standards</w:t>
      </w:r>
      <w:r w:rsidR="004F23C9">
        <w:t xml:space="preserve"> Framework</w:t>
      </w:r>
      <w:r w:rsidR="002854B4">
        <w:t>.</w:t>
      </w:r>
    </w:p>
    <w:p w14:paraId="7A145CC5" w14:textId="77777777" w:rsidR="005A083F" w:rsidRDefault="00C24A5D" w:rsidP="00B4784A">
      <w:r>
        <w:t xml:space="preserve">This </w:t>
      </w:r>
      <w:r w:rsidR="000B7C82" w:rsidRPr="00FC1030">
        <w:t xml:space="preserve">report makes recommendations to </w:t>
      </w:r>
      <w:r w:rsidR="000B7C82">
        <w:t>improve the guidance available to</w:t>
      </w:r>
      <w:r w:rsidR="001259CB">
        <w:t xml:space="preserve"> school </w:t>
      </w:r>
      <w:r w:rsidR="000B7C82" w:rsidRPr="00FC1030">
        <w:t xml:space="preserve">students </w:t>
      </w:r>
      <w:r w:rsidR="00DD254D">
        <w:t xml:space="preserve">and mature-age people </w:t>
      </w:r>
      <w:r w:rsidR="000B7C82" w:rsidRPr="00FC1030">
        <w:t xml:space="preserve">prior to </w:t>
      </w:r>
      <w:r w:rsidR="00DD254D">
        <w:t xml:space="preserve">enrolment and the provision of careers advice to students by higher education institutions. </w:t>
      </w:r>
      <w:r w:rsidR="005A083F">
        <w:t xml:space="preserve">It </w:t>
      </w:r>
      <w:r w:rsidR="000B7C82">
        <w:t>suggests</w:t>
      </w:r>
      <w:r w:rsidR="000B7C82" w:rsidRPr="00FC1030">
        <w:t xml:space="preserve"> </w:t>
      </w:r>
      <w:r w:rsidR="005A083F">
        <w:t xml:space="preserve">a variety of </w:t>
      </w:r>
      <w:r w:rsidR="000B7C82" w:rsidRPr="00FC1030">
        <w:t>ways i</w:t>
      </w:r>
      <w:r w:rsidR="005A083F">
        <w:t>n which i</w:t>
      </w:r>
      <w:r w:rsidR="000B7C82" w:rsidRPr="00FC1030">
        <w:t>nstitutions could further support stud</w:t>
      </w:r>
      <w:r w:rsidR="000B7C82">
        <w:t>ents to complete their studies. The Panel makes recommendations specifically in relation to</w:t>
      </w:r>
      <w:r w:rsidR="005A083F">
        <w:t xml:space="preserve"> e</w:t>
      </w:r>
      <w:r w:rsidR="00142BAD">
        <w:t>very</w:t>
      </w:r>
      <w:r w:rsidR="005A083F">
        <w:t xml:space="preserve"> institution</w:t>
      </w:r>
      <w:r w:rsidR="000B7C82">
        <w:t xml:space="preserve"> developing</w:t>
      </w:r>
      <w:r w:rsidR="005A083F">
        <w:t xml:space="preserve"> its own</w:t>
      </w:r>
      <w:r w:rsidR="000B7C82">
        <w:t xml:space="preserve"> retention strateg</w:t>
      </w:r>
      <w:r w:rsidR="005A083F">
        <w:t>y</w:t>
      </w:r>
      <w:r w:rsidR="000B7C82">
        <w:t>,</w:t>
      </w:r>
      <w:r w:rsidR="004E0ABC">
        <w:t xml:space="preserve"> </w:t>
      </w:r>
      <w:r w:rsidR="000B7C82">
        <w:t xml:space="preserve">support for external students and the need for </w:t>
      </w:r>
      <w:r w:rsidR="004E0ABC">
        <w:t xml:space="preserve">an institutional strategy and implementation plan to </w:t>
      </w:r>
      <w:r w:rsidR="000B7C82">
        <w:t xml:space="preserve">assist students with mental illness. </w:t>
      </w:r>
    </w:p>
    <w:p w14:paraId="7A37D9B7" w14:textId="77777777" w:rsidR="00B4784A" w:rsidRPr="00B4784A" w:rsidRDefault="000B7C82" w:rsidP="00B4784A">
      <w:r>
        <w:t xml:space="preserve">The Panel also encourages </w:t>
      </w:r>
      <w:r w:rsidR="00B4784A">
        <w:t xml:space="preserve">the </w:t>
      </w:r>
      <w:r w:rsidR="004F23C9">
        <w:t xml:space="preserve">greater development </w:t>
      </w:r>
      <w:r w:rsidR="00B4784A">
        <w:t xml:space="preserve">of </w:t>
      </w:r>
      <w:r>
        <w:t>nested courses</w:t>
      </w:r>
      <w:r w:rsidR="005A083F" w:rsidRPr="005A083F">
        <w:t xml:space="preserve"> </w:t>
      </w:r>
      <w:r w:rsidR="004F23C9">
        <w:t xml:space="preserve">– where appropriate and </w:t>
      </w:r>
      <w:r w:rsidR="0047021F">
        <w:t>compliant</w:t>
      </w:r>
      <w:r w:rsidR="005A083F">
        <w:t xml:space="preserve"> with the Australian Qualifications Framework</w:t>
      </w:r>
      <w:r w:rsidR="00BD012D">
        <w:t xml:space="preserve"> (AQF)</w:t>
      </w:r>
      <w:r w:rsidR="005A083F">
        <w:t>. This means</w:t>
      </w:r>
      <w:r>
        <w:t xml:space="preserve"> </w:t>
      </w:r>
      <w:r w:rsidR="00B4784A" w:rsidRPr="00B4784A">
        <w:t xml:space="preserve">that qualifications such as </w:t>
      </w:r>
      <w:r w:rsidR="004F23C9">
        <w:t xml:space="preserve">a </w:t>
      </w:r>
      <w:r w:rsidR="00B4784A" w:rsidRPr="00B4784A">
        <w:t>diploma</w:t>
      </w:r>
      <w:r w:rsidR="004F23C9">
        <w:t xml:space="preserve">, advanced diploma </w:t>
      </w:r>
      <w:r w:rsidR="00B4784A" w:rsidRPr="00B4784A">
        <w:t xml:space="preserve">or associate degrees </w:t>
      </w:r>
      <w:proofErr w:type="gramStart"/>
      <w:r w:rsidR="00B4784A" w:rsidRPr="00B4784A">
        <w:t xml:space="preserve">can be </w:t>
      </w:r>
      <w:r w:rsidR="004F23C9">
        <w:t>incorporated</w:t>
      </w:r>
      <w:proofErr w:type="gramEnd"/>
      <w:r w:rsidR="004F23C9">
        <w:t xml:space="preserve"> </w:t>
      </w:r>
      <w:r w:rsidR="00B4784A" w:rsidRPr="00B4784A">
        <w:t xml:space="preserve">within a bachelor degree, with appropriate exit points. </w:t>
      </w:r>
      <w:r w:rsidR="005A083F">
        <w:t>This course design</w:t>
      </w:r>
      <w:r w:rsidR="00B4784A" w:rsidRPr="00B4784A">
        <w:t xml:space="preserve"> can maximise the opportunit</w:t>
      </w:r>
      <w:r w:rsidR="004F23C9">
        <w:t xml:space="preserve">y for </w:t>
      </w:r>
      <w:r w:rsidR="00B4784A" w:rsidRPr="00B4784A">
        <w:t xml:space="preserve">students who successfully complete </w:t>
      </w:r>
      <w:r w:rsidR="004F23C9">
        <w:t xml:space="preserve">part </w:t>
      </w:r>
      <w:r w:rsidR="00B4784A" w:rsidRPr="00B4784A">
        <w:t xml:space="preserve">of </w:t>
      </w:r>
      <w:r w:rsidR="001259CB">
        <w:t>a course but do not</w:t>
      </w:r>
      <w:r w:rsidR="004F23C9">
        <w:t xml:space="preserve"> fully complete a bachelor degree to exit with a meaningful and economically useful qualification</w:t>
      </w:r>
      <w:r w:rsidR="00B4784A" w:rsidRPr="00B4784A">
        <w:t>.</w:t>
      </w:r>
      <w:r w:rsidR="003600FB">
        <w:t xml:space="preserve"> </w:t>
      </w:r>
      <w:r w:rsidR="005A083F">
        <w:t xml:space="preserve">It should not be anticipated that each entrant to higher education </w:t>
      </w:r>
      <w:proofErr w:type="gramStart"/>
      <w:r w:rsidR="005A083F">
        <w:t>will</w:t>
      </w:r>
      <w:proofErr w:type="gramEnd"/>
      <w:r w:rsidR="005A083F">
        <w:t xml:space="preserve"> leave with a </w:t>
      </w:r>
      <w:r w:rsidR="00BD012D">
        <w:t>b</w:t>
      </w:r>
      <w:r w:rsidR="005A083F">
        <w:t>achelor degree.</w:t>
      </w:r>
    </w:p>
    <w:p w14:paraId="4BA82DE7" w14:textId="77777777" w:rsidR="000B7C82" w:rsidRDefault="000B7C82" w:rsidP="000B7C82">
      <w:r>
        <w:t>The Panel is of the view that m</w:t>
      </w:r>
      <w:r w:rsidRPr="00FC1030">
        <w:t xml:space="preserve">ore </w:t>
      </w:r>
      <w:r>
        <w:t xml:space="preserve">streamlined and </w:t>
      </w:r>
      <w:r w:rsidRPr="00FC1030">
        <w:t>widespread sharing of best practice across the higher education sector would continue to build knowledge and capacity in all these areas.</w:t>
      </w:r>
    </w:p>
    <w:p w14:paraId="0DF5CA77" w14:textId="77777777" w:rsidR="000B7C82" w:rsidRPr="00FC1030" w:rsidRDefault="000B7C82" w:rsidP="000B7C82">
      <w:r>
        <w:t xml:space="preserve">The report </w:t>
      </w:r>
      <w:r w:rsidRPr="00FC1030">
        <w:t xml:space="preserve">suggests </w:t>
      </w:r>
      <w:r w:rsidR="00764739">
        <w:t>clarity of definitions</w:t>
      </w:r>
      <w:r w:rsidRPr="00FC1030">
        <w:t xml:space="preserve"> and enhanced transparency</w:t>
      </w:r>
      <w:r w:rsidR="005A083F">
        <w:t xml:space="preserve"> </w:t>
      </w:r>
      <w:r w:rsidR="001259CB">
        <w:t xml:space="preserve">in relation to attrition, completion, </w:t>
      </w:r>
      <w:proofErr w:type="gramStart"/>
      <w:r w:rsidR="001259CB">
        <w:t>retention</w:t>
      </w:r>
      <w:proofErr w:type="gramEnd"/>
      <w:r w:rsidR="001259CB">
        <w:t xml:space="preserve"> and student success</w:t>
      </w:r>
      <w:r w:rsidR="003D58DB">
        <w:t xml:space="preserve"> </w:t>
      </w:r>
      <w:r w:rsidRPr="00FC1030">
        <w:t xml:space="preserve">would assist prospective students to </w:t>
      </w:r>
      <w:r w:rsidR="00153BC2">
        <w:t>improve their decision-</w:t>
      </w:r>
      <w:r>
        <w:t>making about study progression</w:t>
      </w:r>
      <w:r w:rsidR="005A083F">
        <w:t xml:space="preserve">. It </w:t>
      </w:r>
      <w:r w:rsidRPr="00FC1030">
        <w:t xml:space="preserve">would </w:t>
      </w:r>
      <w:r w:rsidR="0047021F">
        <w:t xml:space="preserve">also </w:t>
      </w:r>
      <w:r w:rsidRPr="00FC1030">
        <w:t>benefit i</w:t>
      </w:r>
      <w:r>
        <w:t xml:space="preserve">nstitutions and policy-makers. The Panel’s recommendations include publishing attrition data at more </w:t>
      </w:r>
      <w:r w:rsidR="00593C0C">
        <w:t>dis</w:t>
      </w:r>
      <w:r>
        <w:t xml:space="preserve">aggregated levels and the introduction of a common student identifier </w:t>
      </w:r>
      <w:r w:rsidR="005A083F">
        <w:t>across tertiary education</w:t>
      </w:r>
      <w:proofErr w:type="gramStart"/>
      <w:r w:rsidR="00700F6B">
        <w:t>;</w:t>
      </w:r>
      <w:proofErr w:type="gramEnd"/>
      <w:r w:rsidR="005A083F">
        <w:t xml:space="preserve"> with a view to working with states and territories to establish a common identifier across all levels of </w:t>
      </w:r>
      <w:r w:rsidR="00700F6B">
        <w:t>education</w:t>
      </w:r>
      <w:r w:rsidR="002F382B">
        <w:t>. For the first time, this would allow a holistic view of an individual’s educational progress</w:t>
      </w:r>
      <w:r w:rsidR="00700F6B">
        <w:t xml:space="preserve"> and a national picture of successful education pathways to </w:t>
      </w:r>
      <w:proofErr w:type="gramStart"/>
      <w:r w:rsidR="00700F6B">
        <w:t>be developed</w:t>
      </w:r>
      <w:proofErr w:type="gramEnd"/>
      <w:r w:rsidR="00700F6B">
        <w:t xml:space="preserve"> over time</w:t>
      </w:r>
      <w:r w:rsidR="002F382B">
        <w:t>.</w:t>
      </w:r>
    </w:p>
    <w:p w14:paraId="2964FF03" w14:textId="77777777" w:rsidR="00632AF1" w:rsidRDefault="002F382B">
      <w:pPr>
        <w:rPr>
          <w:rFonts w:ascii="Calibri" w:eastAsiaTheme="majorEastAsia" w:hAnsi="Calibri" w:cstheme="majorBidi"/>
          <w:b/>
          <w:bCs/>
          <w:color w:val="522761"/>
          <w:sz w:val="36"/>
          <w:szCs w:val="28"/>
        </w:rPr>
      </w:pPr>
      <w:r>
        <w:t>With this diversity of objectives in mind, t</w:t>
      </w:r>
      <w:r w:rsidR="000B7C82" w:rsidRPr="00FC1030">
        <w:t xml:space="preserve">he Panel </w:t>
      </w:r>
      <w:r w:rsidR="000B7C82" w:rsidRPr="006041D4">
        <w:t>offers</w:t>
      </w:r>
      <w:r w:rsidR="00BE380C">
        <w:t xml:space="preserve"> 1</w:t>
      </w:r>
      <w:r w:rsidR="001259CB">
        <w:t>8</w:t>
      </w:r>
      <w:r w:rsidR="000B7C82" w:rsidRPr="006041D4">
        <w:t xml:space="preserve"> recommendations to help ensure students have the best chance of successfully completing their studies and</w:t>
      </w:r>
      <w:r w:rsidR="000B7C82">
        <w:t xml:space="preserve"> transitioning into the workforce.</w:t>
      </w:r>
    </w:p>
    <w:p w14:paraId="2297F061" w14:textId="77777777" w:rsidR="00A65655" w:rsidRDefault="00A65655">
      <w:pPr>
        <w:rPr>
          <w:rFonts w:ascii="Calibri" w:eastAsiaTheme="majorEastAsia" w:hAnsi="Calibri" w:cstheme="majorBidi"/>
          <w:b/>
          <w:bCs/>
          <w:color w:val="522761"/>
          <w:sz w:val="36"/>
          <w:szCs w:val="28"/>
        </w:rPr>
      </w:pPr>
      <w:bookmarkStart w:id="4" w:name="_Toc488181509"/>
      <w:bookmarkStart w:id="5" w:name="_Toc479802787"/>
      <w:bookmarkStart w:id="6" w:name="_Toc482961763"/>
      <w:bookmarkEnd w:id="1"/>
      <w:bookmarkEnd w:id="2"/>
      <w:r>
        <w:br w:type="page"/>
      </w:r>
    </w:p>
    <w:p w14:paraId="39ED8E5C" w14:textId="77777777" w:rsidR="00AB27C9" w:rsidRPr="009B4CE6" w:rsidRDefault="00AB27C9" w:rsidP="00AB27C9">
      <w:pPr>
        <w:pStyle w:val="Heading1"/>
      </w:pPr>
      <w:bookmarkStart w:id="7" w:name="_Toc516120029"/>
      <w:bookmarkEnd w:id="4"/>
      <w:r w:rsidRPr="009B4CE6">
        <w:t>Recommendations</w:t>
      </w:r>
      <w:bookmarkEnd w:id="7"/>
    </w:p>
    <w:p w14:paraId="697B2015" w14:textId="77777777" w:rsidR="00AB27C9" w:rsidRDefault="00AB27C9" w:rsidP="00AB27C9">
      <w:pPr>
        <w:pStyle w:val="Heading2"/>
      </w:pPr>
      <w:r>
        <w:t>Expectations of completion in the current context</w:t>
      </w:r>
    </w:p>
    <w:p w14:paraId="338ABC77" w14:textId="77777777" w:rsidR="00AB27C9" w:rsidRDefault="00AB27C9" w:rsidP="00AB27C9">
      <w:pPr>
        <w:pStyle w:val="ListParagraph"/>
        <w:numPr>
          <w:ilvl w:val="0"/>
          <w:numId w:val="6"/>
        </w:numPr>
      </w:pPr>
      <w:r>
        <w:t xml:space="preserve">As a first priority, institutions should ensure </w:t>
      </w:r>
      <w:proofErr w:type="gramStart"/>
      <w:r>
        <w:t xml:space="preserve">students who have </w:t>
      </w:r>
      <w:r w:rsidRPr="00655561">
        <w:t>the capacit</w:t>
      </w:r>
      <w:r>
        <w:t>y to succeed in higher education</w:t>
      </w:r>
      <w:r w:rsidRPr="00655561">
        <w:t xml:space="preserve"> are given the best chance to complete their studies through the appropriate provision of academic and</w:t>
      </w:r>
      <w:r>
        <w:t xml:space="preserve"> other support services as required of them by the Higher Education Standards Framework</w:t>
      </w:r>
      <w:proofErr w:type="gramEnd"/>
      <w:r>
        <w:t>.</w:t>
      </w:r>
    </w:p>
    <w:p w14:paraId="6C6CFE37" w14:textId="77777777" w:rsidR="00AB27C9" w:rsidRPr="00FC1030" w:rsidRDefault="00AB27C9" w:rsidP="00AB27C9">
      <w:pPr>
        <w:pStyle w:val="Heading2"/>
      </w:pPr>
      <w:r w:rsidRPr="00FC1030">
        <w:t>Supporting students to make the right choices</w:t>
      </w:r>
    </w:p>
    <w:p w14:paraId="2C616DC8" w14:textId="37DA27B8" w:rsidR="00AB27C9" w:rsidRDefault="00AB27C9" w:rsidP="00AB27C9">
      <w:pPr>
        <w:pStyle w:val="ListParagraph"/>
        <w:numPr>
          <w:ilvl w:val="0"/>
          <w:numId w:val="6"/>
        </w:numPr>
      </w:pPr>
      <w:r>
        <w:t>School students and mature-age people need better access to effective career advice. The National Career Education Stra</w:t>
      </w:r>
      <w:r w:rsidR="001E5E7F">
        <w:t>tegy, due to be released in 2018</w:t>
      </w:r>
      <w:r>
        <w:t xml:space="preserve">, should be closely monitored to identify improvements in the area of student career advice, including study options and pathways, and information about the post school learning environment. This strategy </w:t>
      </w:r>
      <w:proofErr w:type="gramStart"/>
      <w:r>
        <w:t>should also be expanded</w:t>
      </w:r>
      <w:proofErr w:type="gramEnd"/>
      <w:r>
        <w:t xml:space="preserve"> to include mature-</w:t>
      </w:r>
      <w:r w:rsidRPr="00541949">
        <w:t xml:space="preserve">age </w:t>
      </w:r>
      <w:r>
        <w:t>students</w:t>
      </w:r>
      <w:r w:rsidRPr="00541949">
        <w:t xml:space="preserve"> or a separate strategy </w:t>
      </w:r>
      <w:r>
        <w:t xml:space="preserve">should be initiated for this cohort. </w:t>
      </w:r>
    </w:p>
    <w:p w14:paraId="30BD576A" w14:textId="77777777" w:rsidR="00AB27C9" w:rsidRDefault="00AB27C9" w:rsidP="00AB27C9">
      <w:pPr>
        <w:pStyle w:val="ListParagraph"/>
        <w:numPr>
          <w:ilvl w:val="0"/>
          <w:numId w:val="6"/>
        </w:numPr>
      </w:pPr>
      <w:r>
        <w:t xml:space="preserve">Career advice </w:t>
      </w:r>
      <w:proofErr w:type="gramStart"/>
      <w:r>
        <w:t>cannot be left</w:t>
      </w:r>
      <w:proofErr w:type="gramEnd"/>
      <w:r>
        <w:t xml:space="preserve"> to schools. Every higher education institution should ensure that their students are given the opportunity for career planning and course advice on entry to the institution and as they require it throughout their studies. </w:t>
      </w:r>
    </w:p>
    <w:p w14:paraId="6ACF5B77" w14:textId="77777777" w:rsidR="00AB27C9" w:rsidRPr="001D657F" w:rsidRDefault="00AB27C9" w:rsidP="00AB27C9">
      <w:pPr>
        <w:pStyle w:val="ListParagraph"/>
        <w:numPr>
          <w:ilvl w:val="0"/>
          <w:numId w:val="6"/>
        </w:numPr>
      </w:pPr>
      <w:r w:rsidRPr="00EF690A">
        <w:t xml:space="preserve">Where and how </w:t>
      </w:r>
      <w:r w:rsidRPr="00044389">
        <w:t>student success, completions, retention and attrition d</w:t>
      </w:r>
      <w:r>
        <w:t>ata</w:t>
      </w:r>
      <w:r w:rsidRPr="00044389">
        <w:rPr>
          <w:rFonts w:eastAsia="Times New Roman"/>
        </w:rPr>
        <w:t xml:space="preserve"> </w:t>
      </w:r>
      <w:proofErr w:type="gramStart"/>
      <w:r>
        <w:rPr>
          <w:rFonts w:eastAsia="Times New Roman"/>
        </w:rPr>
        <w:t>is</w:t>
      </w:r>
      <w:r w:rsidRPr="00044389">
        <w:rPr>
          <w:rFonts w:eastAsia="Times New Roman"/>
        </w:rPr>
        <w:t xml:space="preserve"> made</w:t>
      </w:r>
      <w:proofErr w:type="gramEnd"/>
      <w:r w:rsidRPr="00044389">
        <w:rPr>
          <w:rFonts w:eastAsia="Times New Roman"/>
        </w:rPr>
        <w:t xml:space="preserve"> accessible to students should form part of </w:t>
      </w:r>
      <w:r>
        <w:t>considerations by the Department of Education and Training</w:t>
      </w:r>
      <w:r>
        <w:rPr>
          <w:rFonts w:eastAsia="Times New Roman"/>
        </w:rPr>
        <w:t xml:space="preserve"> </w:t>
      </w:r>
      <w:r>
        <w:t>in the establishment of</w:t>
      </w:r>
      <w:r w:rsidRPr="00044389">
        <w:t xml:space="preserve"> a new online information platform.</w:t>
      </w:r>
      <w:r w:rsidRPr="00044389">
        <w:rPr>
          <w:rFonts w:eastAsia="Times New Roman"/>
        </w:rPr>
        <w:t xml:space="preserve"> </w:t>
      </w:r>
    </w:p>
    <w:p w14:paraId="2FF4DBE4" w14:textId="77777777" w:rsidR="00AB27C9" w:rsidRPr="00FC1030" w:rsidRDefault="00AB27C9" w:rsidP="00AB27C9">
      <w:pPr>
        <w:pStyle w:val="Heading2"/>
      </w:pPr>
      <w:r>
        <w:t>S</w:t>
      </w:r>
      <w:r w:rsidRPr="00FC1030">
        <w:t xml:space="preserve">upporting students to complete their studies </w:t>
      </w:r>
    </w:p>
    <w:p w14:paraId="5FA496D0" w14:textId="77777777" w:rsidR="00AB27C9" w:rsidRDefault="00AB27C9" w:rsidP="00AB27C9">
      <w:pPr>
        <w:pStyle w:val="ListParagraph"/>
        <w:numPr>
          <w:ilvl w:val="0"/>
          <w:numId w:val="6"/>
        </w:numPr>
      </w:pPr>
      <w:r w:rsidRPr="00AE597C">
        <w:t>E</w:t>
      </w:r>
      <w:r>
        <w:t>very</w:t>
      </w:r>
      <w:r w:rsidRPr="00AE597C">
        <w:t xml:space="preserve"> institution should have </w:t>
      </w:r>
      <w:r>
        <w:t xml:space="preserve">its own </w:t>
      </w:r>
      <w:r w:rsidRPr="00AE597C">
        <w:t>comprehensive</w:t>
      </w:r>
      <w:r>
        <w:t xml:space="preserve"> student-centred</w:t>
      </w:r>
      <w:r w:rsidRPr="00AE597C">
        <w:t xml:space="preserve"> retention strategy</w:t>
      </w:r>
      <w:r>
        <w:t xml:space="preserve">, which </w:t>
      </w:r>
      <w:proofErr w:type="gramStart"/>
      <w:r>
        <w:t>is regularly evaluated</w:t>
      </w:r>
      <w:proofErr w:type="gramEnd"/>
      <w:r>
        <w:t>. These strategies could</w:t>
      </w:r>
      <w:r w:rsidRPr="00AE597C">
        <w:t xml:space="preserve"> include institutional retention </w:t>
      </w:r>
      <w:r>
        <w:t>benchmarks and, as appropriate,</w:t>
      </w:r>
      <w:r w:rsidRPr="00AE597C">
        <w:t xml:space="preserve"> processes for entry </w:t>
      </w:r>
      <w:r>
        <w:t xml:space="preserve">and exit interviews, the integration of </w:t>
      </w:r>
      <w:proofErr w:type="gramStart"/>
      <w:r>
        <w:t>data-based</w:t>
      </w:r>
      <w:proofErr w:type="gramEnd"/>
      <w:r>
        <w:t xml:space="preserve"> risk analytics and targeted support interventions, a suite of support services and a means to re-engage with students who have withdrawn. </w:t>
      </w:r>
    </w:p>
    <w:p w14:paraId="483A935C" w14:textId="77777777" w:rsidR="00AB27C9" w:rsidRPr="00AE691D" w:rsidRDefault="00AB27C9" w:rsidP="00AB27C9">
      <w:pPr>
        <w:pStyle w:val="ListParagraph"/>
        <w:numPr>
          <w:ilvl w:val="0"/>
          <w:numId w:val="6"/>
        </w:numPr>
      </w:pPr>
      <w:r>
        <w:t>Institutions should automatically review the enrolment of all students who have not engaged in their studies to an agreed level by the census date.</w:t>
      </w:r>
    </w:p>
    <w:p w14:paraId="0A341C8C" w14:textId="0D90864F" w:rsidR="00AB27C9" w:rsidRDefault="00AB27C9" w:rsidP="00AB27C9">
      <w:pPr>
        <w:pStyle w:val="ListParagraph"/>
        <w:numPr>
          <w:ilvl w:val="0"/>
          <w:numId w:val="6"/>
        </w:numPr>
      </w:pPr>
      <w:r w:rsidRPr="00AE691D">
        <w:t xml:space="preserve">Institutions should </w:t>
      </w:r>
      <w:r>
        <w:t xml:space="preserve">pay particular attention to ensuring their support services are meeting the needs of external students who are not regularly attending campus because these students </w:t>
      </w:r>
      <w:proofErr w:type="gramStart"/>
      <w:r>
        <w:t>are identified</w:t>
      </w:r>
      <w:proofErr w:type="gramEnd"/>
      <w:r>
        <w:t xml:space="preserve"> as at risk of not completing their studies. </w:t>
      </w:r>
    </w:p>
    <w:p w14:paraId="0C37DE76" w14:textId="77777777" w:rsidR="00AB27C9" w:rsidRDefault="00AB27C9" w:rsidP="00AB27C9">
      <w:pPr>
        <w:pStyle w:val="ListParagraph"/>
        <w:numPr>
          <w:ilvl w:val="0"/>
          <w:numId w:val="6"/>
        </w:numPr>
      </w:pPr>
      <w:r>
        <w:t xml:space="preserve">Every institution should have an institution-wide mental health strategy and implementation plan. </w:t>
      </w:r>
    </w:p>
    <w:p w14:paraId="565DFFCD" w14:textId="77777777" w:rsidR="00AB27C9" w:rsidRPr="00BE380C" w:rsidRDefault="00AB27C9" w:rsidP="00AB27C9">
      <w:pPr>
        <w:pStyle w:val="ListParagraph"/>
        <w:numPr>
          <w:ilvl w:val="0"/>
          <w:numId w:val="6"/>
        </w:numPr>
      </w:pPr>
      <w:r w:rsidRPr="00AE691D">
        <w:t>Institutions should increasingly offer nested courses</w:t>
      </w:r>
      <w:r>
        <w:t>,</w:t>
      </w:r>
      <w:r w:rsidRPr="00AE691D">
        <w:t xml:space="preserve"> which are appropriate and co</w:t>
      </w:r>
      <w:r>
        <w:t>mpliant</w:t>
      </w:r>
      <w:r w:rsidRPr="00AE691D">
        <w:t xml:space="preserve"> with the Austr</w:t>
      </w:r>
      <w:r>
        <w:t xml:space="preserve">alian Qualifications Framework, to provide students with a greater range of exit options with meaningful qualifications. </w:t>
      </w:r>
      <w:r>
        <w:br w:type="page"/>
      </w:r>
    </w:p>
    <w:p w14:paraId="6F2B3862" w14:textId="77777777" w:rsidR="00AB27C9" w:rsidRPr="00FC1030" w:rsidRDefault="00AB27C9" w:rsidP="00AB27C9">
      <w:pPr>
        <w:pStyle w:val="Heading2"/>
      </w:pPr>
      <w:r>
        <w:t>Sharing</w:t>
      </w:r>
      <w:r w:rsidRPr="00FC1030">
        <w:t xml:space="preserve"> best practice</w:t>
      </w:r>
    </w:p>
    <w:p w14:paraId="681EEA6E" w14:textId="516656D0" w:rsidR="00AB27C9" w:rsidRPr="00FC1030" w:rsidRDefault="000100CC" w:rsidP="00AB27C9">
      <w:pPr>
        <w:pStyle w:val="ListParagraph"/>
        <w:numPr>
          <w:ilvl w:val="0"/>
          <w:numId w:val="6"/>
        </w:numPr>
      </w:pPr>
      <w:r>
        <w:t>There is</w:t>
      </w:r>
      <w:r w:rsidR="00AB27C9">
        <w:t xml:space="preserve"> already a wide variety of approaches to sharing best practice within the higher education sector. However, these approaches are not always scalable or frequently evaluated. </w:t>
      </w:r>
      <w:r w:rsidR="000F01F9">
        <w:t>P</w:t>
      </w:r>
      <w:r w:rsidR="00AB27C9">
        <w:t xml:space="preserve">eak bodies should collaborate to develop </w:t>
      </w:r>
      <w:r w:rsidR="00AB27C9" w:rsidRPr="00FC1030">
        <w:t>streamlined processes to collect and disseminate best practice</w:t>
      </w:r>
      <w:r w:rsidR="00AB27C9">
        <w:t>, with support from the Department of Education and Training</w:t>
      </w:r>
      <w:r w:rsidR="00AB27C9" w:rsidRPr="00FC1030">
        <w:t>.</w:t>
      </w:r>
      <w:r w:rsidR="00AB27C9">
        <w:t xml:space="preserve"> A dedicated website </w:t>
      </w:r>
      <w:proofErr w:type="gramStart"/>
      <w:r w:rsidR="00AB27C9">
        <w:t>could be established</w:t>
      </w:r>
      <w:proofErr w:type="gramEnd"/>
      <w:r w:rsidR="00AB27C9">
        <w:t xml:space="preserve"> for this purpose. </w:t>
      </w:r>
      <w:r w:rsidR="00AB27C9" w:rsidRPr="00FC1030">
        <w:t xml:space="preserve"> </w:t>
      </w:r>
    </w:p>
    <w:p w14:paraId="05146E48" w14:textId="77777777" w:rsidR="00AB27C9" w:rsidRPr="00EF690A" w:rsidRDefault="00AB27C9" w:rsidP="00AB27C9">
      <w:pPr>
        <w:pStyle w:val="Heading2"/>
      </w:pPr>
      <w:r w:rsidRPr="00EF690A">
        <w:t>Clarity of definitions and enhancing transparency</w:t>
      </w:r>
    </w:p>
    <w:p w14:paraId="7BD77E58" w14:textId="77777777" w:rsidR="00AB27C9" w:rsidRPr="00FC1030" w:rsidRDefault="00AB27C9" w:rsidP="00AB27C9">
      <w:pPr>
        <w:pStyle w:val="ListParagraph"/>
        <w:numPr>
          <w:ilvl w:val="0"/>
          <w:numId w:val="6"/>
        </w:numPr>
      </w:pPr>
      <w:r w:rsidRPr="00FC1030">
        <w:t xml:space="preserve">The higher education community should </w:t>
      </w:r>
      <w:r>
        <w:t xml:space="preserve">work together with the Department of Education and Training to </w:t>
      </w:r>
      <w:r w:rsidRPr="00FC1030">
        <w:t xml:space="preserve">ensure a greater understanding and clarity of definitions in attrition, retention, </w:t>
      </w:r>
      <w:proofErr w:type="gramStart"/>
      <w:r w:rsidRPr="00FC1030">
        <w:t>success</w:t>
      </w:r>
      <w:proofErr w:type="gramEnd"/>
      <w:r w:rsidRPr="00FC1030">
        <w:t xml:space="preserve"> and completion</w:t>
      </w:r>
      <w:r>
        <w:t>s</w:t>
      </w:r>
      <w:r w:rsidRPr="00FC1030">
        <w:t xml:space="preserve"> data.</w:t>
      </w:r>
      <w:r>
        <w:t xml:space="preserve"> The Department should continue to measure and publish adjusted attrition, retention, </w:t>
      </w:r>
      <w:proofErr w:type="gramStart"/>
      <w:r>
        <w:t>student</w:t>
      </w:r>
      <w:proofErr w:type="gramEnd"/>
      <w:r>
        <w:t xml:space="preserve"> success and completions data. </w:t>
      </w:r>
    </w:p>
    <w:p w14:paraId="1516ED08" w14:textId="77777777" w:rsidR="00AB27C9" w:rsidRPr="00FC1030" w:rsidRDefault="00AB27C9" w:rsidP="00AB27C9">
      <w:pPr>
        <w:pStyle w:val="ListParagraph"/>
        <w:numPr>
          <w:ilvl w:val="0"/>
          <w:numId w:val="6"/>
        </w:numPr>
      </w:pPr>
      <w:r>
        <w:t xml:space="preserve">At </w:t>
      </w:r>
      <w:proofErr w:type="gramStart"/>
      <w:r>
        <w:t>present</w:t>
      </w:r>
      <w:proofErr w:type="gramEnd"/>
      <w:r>
        <w:t xml:space="preserve"> some institutions have a trimester structure of teaching and this can lead to different timings for assessment, graduation and reporting. As a result, students who complete Semester 1 and 2 and enrol in Semester 3 but not Semester 4 </w:t>
      </w:r>
      <w:proofErr w:type="gramStart"/>
      <w:r>
        <w:t>are recorded</w:t>
      </w:r>
      <w:proofErr w:type="gramEnd"/>
      <w:r>
        <w:t xml:space="preserve"> as not completed. Consequently, t</w:t>
      </w:r>
      <w:r w:rsidRPr="00FC1030">
        <w:t xml:space="preserve">he definition of attrition </w:t>
      </w:r>
      <w:proofErr w:type="gramStart"/>
      <w:r w:rsidRPr="00FC1030">
        <w:t>should be changed</w:t>
      </w:r>
      <w:proofErr w:type="gramEnd"/>
      <w:r w:rsidRPr="00FC1030">
        <w:t xml:space="preserve"> to reflect </w:t>
      </w:r>
      <w:r>
        <w:t xml:space="preserve">the </w:t>
      </w:r>
      <w:r w:rsidRPr="00FC1030">
        <w:t xml:space="preserve">trimester </w:t>
      </w:r>
      <w:r>
        <w:t xml:space="preserve">teaching </w:t>
      </w:r>
      <w:r w:rsidRPr="00FC1030">
        <w:t>structure.</w:t>
      </w:r>
    </w:p>
    <w:p w14:paraId="2B901783" w14:textId="77777777" w:rsidR="00AB27C9" w:rsidRDefault="00AB27C9" w:rsidP="00AB27C9">
      <w:pPr>
        <w:pStyle w:val="ListParagraph"/>
        <w:numPr>
          <w:ilvl w:val="0"/>
          <w:numId w:val="6"/>
        </w:numPr>
      </w:pPr>
      <w:r w:rsidRPr="00FC1030">
        <w:t xml:space="preserve">The adjusted attrition rate should be the </w:t>
      </w:r>
      <w:r>
        <w:t>primary</w:t>
      </w:r>
      <w:r w:rsidRPr="00FC1030">
        <w:t xml:space="preserve"> measure of attrition published for domestic commencing bachelor students. </w:t>
      </w:r>
    </w:p>
    <w:p w14:paraId="51E2BAA1" w14:textId="77777777" w:rsidR="00AB27C9" w:rsidRPr="00BD6232" w:rsidRDefault="00AB27C9" w:rsidP="00AB27C9">
      <w:pPr>
        <w:pStyle w:val="ListParagraph"/>
        <w:numPr>
          <w:ilvl w:val="0"/>
          <w:numId w:val="6"/>
        </w:numPr>
      </w:pPr>
      <w:r w:rsidRPr="00BD6232">
        <w:t xml:space="preserve">The Department of Education and Training should further develop </w:t>
      </w:r>
      <w:r w:rsidR="00CE7B1F">
        <w:t xml:space="preserve">and publish </w:t>
      </w:r>
      <w:r w:rsidRPr="00BD6232">
        <w:t xml:space="preserve">the calculation of attrition rates that take into account key student characteristics </w:t>
      </w:r>
      <w:proofErr w:type="gramStart"/>
      <w:r>
        <w:t>so as to</w:t>
      </w:r>
      <w:proofErr w:type="gramEnd"/>
      <w:r>
        <w:t xml:space="preserve"> </w:t>
      </w:r>
      <w:r w:rsidRPr="00BD6232">
        <w:t xml:space="preserve">better reflect institutional differences. </w:t>
      </w:r>
    </w:p>
    <w:p w14:paraId="021E9B9E" w14:textId="77777777" w:rsidR="00AB27C9" w:rsidRPr="00CE291C" w:rsidRDefault="00AB27C9" w:rsidP="00AB27C9">
      <w:pPr>
        <w:pStyle w:val="ListParagraph"/>
        <w:numPr>
          <w:ilvl w:val="0"/>
          <w:numId w:val="6"/>
        </w:numPr>
      </w:pPr>
      <w:r w:rsidRPr="00CE291C">
        <w:t xml:space="preserve">The Department of Education and Training should report attrition among non-university higher education providers on a similar basis </w:t>
      </w:r>
      <w:r>
        <w:t>to its reporting of</w:t>
      </w:r>
      <w:r w:rsidRPr="00FC1030">
        <w:t xml:space="preserve"> </w:t>
      </w:r>
      <w:r w:rsidRPr="00CE291C">
        <w:t>Table A and B universities.</w:t>
      </w:r>
    </w:p>
    <w:p w14:paraId="6B44A9CD" w14:textId="77777777" w:rsidR="00AB27C9" w:rsidRPr="00FC1030" w:rsidRDefault="00AB27C9" w:rsidP="00AB27C9">
      <w:pPr>
        <w:pStyle w:val="ListParagraph"/>
        <w:numPr>
          <w:ilvl w:val="0"/>
          <w:numId w:val="6"/>
        </w:numPr>
      </w:pPr>
      <w:r w:rsidRPr="00FC1030">
        <w:t>The Department of Education and Training should publish attrition data at more disaggregated levels, for example, by institution, by study area and by student characteristics.</w:t>
      </w:r>
    </w:p>
    <w:p w14:paraId="44332086" w14:textId="77777777" w:rsidR="00AB27C9" w:rsidRPr="00FC1030" w:rsidRDefault="00AB27C9" w:rsidP="00AB27C9">
      <w:pPr>
        <w:pStyle w:val="ListParagraph"/>
        <w:numPr>
          <w:ilvl w:val="0"/>
          <w:numId w:val="6"/>
        </w:numPr>
      </w:pPr>
      <w:r>
        <w:t xml:space="preserve">The Department of Education and Training should </w:t>
      </w:r>
      <w:r w:rsidRPr="00FC1030">
        <w:t xml:space="preserve">establish a common student identifier </w:t>
      </w:r>
      <w:proofErr w:type="gramStart"/>
      <w:r w:rsidRPr="00FC1030">
        <w:t>to better understand</w:t>
      </w:r>
      <w:proofErr w:type="gramEnd"/>
      <w:r w:rsidRPr="00FC1030">
        <w:t xml:space="preserve"> student pathways across tertiary education with a view to </w:t>
      </w:r>
      <w:r>
        <w:t xml:space="preserve">working with State and Territory Governments to establish a common student </w:t>
      </w:r>
      <w:r w:rsidRPr="00FC1030">
        <w:t xml:space="preserve">identifier </w:t>
      </w:r>
      <w:r>
        <w:t xml:space="preserve">across all levels of schooling. </w:t>
      </w:r>
    </w:p>
    <w:p w14:paraId="7873999B" w14:textId="77777777" w:rsidR="00AB27C9" w:rsidRPr="00284A0C" w:rsidRDefault="00AB27C9" w:rsidP="00AB27C9">
      <w:pPr>
        <w:pStyle w:val="Heading2"/>
      </w:pPr>
      <w:r w:rsidRPr="00284A0C">
        <w:t xml:space="preserve">Accountability and regulation </w:t>
      </w:r>
    </w:p>
    <w:p w14:paraId="05D8C2DA" w14:textId="77777777" w:rsidR="00AB27C9" w:rsidRPr="00284A0C" w:rsidRDefault="00AB27C9" w:rsidP="00AB27C9">
      <w:pPr>
        <w:pStyle w:val="ListParagraph"/>
        <w:numPr>
          <w:ilvl w:val="0"/>
          <w:numId w:val="6"/>
        </w:numPr>
        <w:rPr>
          <w:rFonts w:eastAsia="Times New Roman"/>
        </w:rPr>
      </w:pPr>
      <w:r w:rsidRPr="00284A0C">
        <w:rPr>
          <w:rFonts w:eastAsia="Times New Roman"/>
        </w:rPr>
        <w:t xml:space="preserve">TEQSA already has sufficient powers in relation to provider compliance with the Higher Education Standards Framework in terms of </w:t>
      </w:r>
      <w:r>
        <w:rPr>
          <w:rFonts w:eastAsia="Times New Roman"/>
        </w:rPr>
        <w:t xml:space="preserve">the </w:t>
      </w:r>
      <w:r w:rsidRPr="00284A0C">
        <w:rPr>
          <w:rFonts w:eastAsia="Times New Roman"/>
        </w:rPr>
        <w:t xml:space="preserve">identification and tracking of students at risk with support strategies in place, analysis of student performance and evidence on reasons for attrition. TEQSA </w:t>
      </w:r>
      <w:r>
        <w:rPr>
          <w:rFonts w:eastAsia="Times New Roman"/>
        </w:rPr>
        <w:t xml:space="preserve">should continue to </w:t>
      </w:r>
      <w:r w:rsidRPr="00284A0C">
        <w:rPr>
          <w:rFonts w:eastAsia="Times New Roman"/>
        </w:rPr>
        <w:t xml:space="preserve">take account of </w:t>
      </w:r>
      <w:r>
        <w:rPr>
          <w:rFonts w:eastAsia="Times New Roman"/>
        </w:rPr>
        <w:t>every</w:t>
      </w:r>
      <w:r w:rsidRPr="00284A0C">
        <w:rPr>
          <w:rFonts w:eastAsia="Times New Roman"/>
        </w:rPr>
        <w:t xml:space="preserve"> institution’s retention </w:t>
      </w:r>
      <w:r>
        <w:rPr>
          <w:rFonts w:eastAsia="Times New Roman"/>
        </w:rPr>
        <w:t>performance</w:t>
      </w:r>
      <w:r w:rsidRPr="00284A0C">
        <w:rPr>
          <w:rFonts w:eastAsia="Times New Roman"/>
        </w:rPr>
        <w:t xml:space="preserve"> in assessing whether these standards </w:t>
      </w:r>
      <w:proofErr w:type="gramStart"/>
      <w:r w:rsidRPr="00284A0C">
        <w:rPr>
          <w:rFonts w:eastAsia="Times New Roman"/>
        </w:rPr>
        <w:t>are being met</w:t>
      </w:r>
      <w:proofErr w:type="gramEnd"/>
      <w:r w:rsidRPr="00284A0C">
        <w:rPr>
          <w:rFonts w:eastAsia="Times New Roman"/>
        </w:rPr>
        <w:t xml:space="preserve">.  </w:t>
      </w:r>
    </w:p>
    <w:p w14:paraId="67B7DC44" w14:textId="77777777" w:rsidR="000B7C82" w:rsidRDefault="000B7C82">
      <w:pPr>
        <w:rPr>
          <w:rFonts w:ascii="Calibri" w:eastAsiaTheme="majorEastAsia" w:hAnsi="Calibri" w:cstheme="majorBidi"/>
          <w:b/>
          <w:bCs/>
          <w:color w:val="522761"/>
          <w:sz w:val="36"/>
          <w:szCs w:val="28"/>
        </w:rPr>
      </w:pPr>
    </w:p>
    <w:p w14:paraId="138A09F4" w14:textId="77777777" w:rsidR="00631C2F" w:rsidRDefault="00631C2F">
      <w:pPr>
        <w:rPr>
          <w:rFonts w:ascii="Calibri" w:eastAsiaTheme="majorEastAsia" w:hAnsi="Calibri" w:cstheme="majorBidi"/>
          <w:b/>
          <w:bCs/>
          <w:color w:val="522761"/>
          <w:sz w:val="36"/>
          <w:szCs w:val="28"/>
        </w:rPr>
      </w:pPr>
      <w:bookmarkStart w:id="8" w:name="_Toc488181510"/>
      <w:bookmarkStart w:id="9" w:name="_Toc479802788"/>
      <w:bookmarkEnd w:id="5"/>
      <w:bookmarkEnd w:id="6"/>
      <w:r>
        <w:br w:type="page"/>
      </w:r>
    </w:p>
    <w:p w14:paraId="31AC82AC" w14:textId="77777777" w:rsidR="000B7C82" w:rsidRPr="009B4CE6" w:rsidRDefault="002B5608" w:rsidP="000B7C82">
      <w:pPr>
        <w:pStyle w:val="Heading1"/>
      </w:pPr>
      <w:bookmarkStart w:id="10" w:name="_Toc516120030"/>
      <w:r>
        <w:t>E</w:t>
      </w:r>
      <w:r w:rsidR="000B7C82" w:rsidRPr="009B4CE6">
        <w:t xml:space="preserve">xpectations of completion </w:t>
      </w:r>
      <w:r w:rsidR="005524AC">
        <w:t xml:space="preserve">in </w:t>
      </w:r>
      <w:r w:rsidR="000B7C82" w:rsidRPr="009B4CE6">
        <w:t>the current context</w:t>
      </w:r>
      <w:bookmarkEnd w:id="8"/>
      <w:bookmarkEnd w:id="10"/>
    </w:p>
    <w:p w14:paraId="421DE0B1" w14:textId="77777777" w:rsidR="000B7C82" w:rsidRPr="00987335" w:rsidRDefault="004A746F" w:rsidP="000B7C82">
      <w:pPr>
        <w:rPr>
          <w:b/>
        </w:rPr>
      </w:pPr>
      <w:r>
        <w:t xml:space="preserve">While the higher education sector </w:t>
      </w:r>
      <w:proofErr w:type="gramStart"/>
      <w:r>
        <w:t>is in agreement</w:t>
      </w:r>
      <w:proofErr w:type="gramEnd"/>
      <w:r>
        <w:t xml:space="preserve"> on the importance of higher education, there are varying views on whether full c</w:t>
      </w:r>
      <w:r w:rsidR="00CD3EC0">
        <w:t>ourse completion is necessary</w:t>
      </w:r>
      <w:r w:rsidR="0047021F">
        <w:t xml:space="preserve"> for a benefit to be achieved</w:t>
      </w:r>
      <w:r w:rsidR="00CD3EC0">
        <w:t xml:space="preserve">. </w:t>
      </w:r>
      <w:r w:rsidR="003B6A5D">
        <w:t>For instance</w:t>
      </w:r>
      <w:r w:rsidR="00E77D98">
        <w:t>,</w:t>
      </w:r>
      <w:r w:rsidR="002B1321">
        <w:t xml:space="preserve"> T</w:t>
      </w:r>
      <w:r w:rsidR="003B6A5D">
        <w:t>he University of Sydney stated:</w:t>
      </w:r>
    </w:p>
    <w:p w14:paraId="0F41C8D6" w14:textId="77777777" w:rsidR="000B7C82" w:rsidRDefault="000B7C82" w:rsidP="000B7C82">
      <w:pPr>
        <w:pStyle w:val="ListParagraph"/>
        <w:rPr>
          <w:b/>
        </w:rPr>
      </w:pPr>
      <w:r w:rsidRPr="00987335">
        <w:rPr>
          <w:i/>
        </w:rPr>
        <w:t>We agree with the HESP that attrition of students from higher education represents a loss of the government’s financial investment, as well as a financial and time-investment by the student, opportunities for social mobility and knowledge-based careers for students, and the further impact these losses might have on the overall economy. Striving for improved completion rates is therefore something we endorse, whether this is ‘straight line’ completions, completion with a nested qualification, or a student returning to complete study with credit from an earlier withdrawal.</w:t>
      </w:r>
      <w:r w:rsidRPr="00987335">
        <w:rPr>
          <w:b/>
        </w:rPr>
        <w:t xml:space="preserve"> </w:t>
      </w:r>
    </w:p>
    <w:p w14:paraId="69C267BF" w14:textId="77777777" w:rsidR="0047252B" w:rsidRDefault="0047252B" w:rsidP="000B7C82">
      <w:pPr>
        <w:pStyle w:val="ListParagraph"/>
        <w:rPr>
          <w:b/>
        </w:rPr>
      </w:pPr>
    </w:p>
    <w:p w14:paraId="6212F874" w14:textId="77777777" w:rsidR="00FD795B" w:rsidRDefault="00FD795B" w:rsidP="0047252B">
      <w:pPr>
        <w:pStyle w:val="ListParagraph"/>
        <w:ind w:left="0"/>
      </w:pPr>
      <w:r w:rsidRPr="00E77D98">
        <w:t xml:space="preserve">The Group of Eight acknowledged that students who receive some higher education are better off than those who receive none but this </w:t>
      </w:r>
      <w:proofErr w:type="gramStart"/>
      <w:r w:rsidRPr="00E77D98">
        <w:t>should not be accepted</w:t>
      </w:r>
      <w:proofErr w:type="gramEnd"/>
      <w:r w:rsidRPr="00E77D98">
        <w:t xml:space="preserve"> as an argument for hi</w:t>
      </w:r>
      <w:r w:rsidR="00E77D98" w:rsidRPr="00E77D98">
        <w:t>gher levels of non-completion.</w:t>
      </w:r>
      <w:r w:rsidR="0047252B">
        <w:t xml:space="preserve"> It</w:t>
      </w:r>
      <w:r w:rsidR="00E77D98" w:rsidRPr="00E77D98">
        <w:t xml:space="preserve"> stated that </w:t>
      </w:r>
      <w:r w:rsidRPr="00E77D98">
        <w:t>complete higher education is necessary for entry to fields with profess</w:t>
      </w:r>
      <w:r w:rsidR="00E77D98" w:rsidRPr="00E77D98">
        <w:t>ional accreditation</w:t>
      </w:r>
      <w:r w:rsidR="0047252B">
        <w:t>,</w:t>
      </w:r>
      <w:r w:rsidR="00E77D98" w:rsidRPr="00E77D98">
        <w:t xml:space="preserve"> for example</w:t>
      </w:r>
      <w:r w:rsidR="0047252B">
        <w:t>,</w:t>
      </w:r>
      <w:r w:rsidR="00E77D98" w:rsidRPr="00E77D98">
        <w:t xml:space="preserve"> and </w:t>
      </w:r>
      <w:r w:rsidR="0047021F">
        <w:t xml:space="preserve">a </w:t>
      </w:r>
      <w:r w:rsidR="00E77D98" w:rsidRPr="00E77D98">
        <w:t>co</w:t>
      </w:r>
      <w:r w:rsidRPr="00E77D98">
        <w:t>mplete</w:t>
      </w:r>
      <w:r w:rsidR="0047021F">
        <w:t>d</w:t>
      </w:r>
      <w:r w:rsidRPr="00E77D98">
        <w:t xml:space="preserve"> higher education</w:t>
      </w:r>
      <w:r w:rsidR="0047021F">
        <w:t xml:space="preserve"> qualification</w:t>
      </w:r>
      <w:r w:rsidRPr="00E77D98">
        <w:t xml:space="preserve"> is an essential element of accomplishing the benefits of the undergraduate experience</w:t>
      </w:r>
      <w:r w:rsidR="0047252B">
        <w:rPr>
          <w:i/>
        </w:rPr>
        <w:t>.</w:t>
      </w:r>
    </w:p>
    <w:p w14:paraId="0CD273D4" w14:textId="77777777" w:rsidR="0047252B" w:rsidRPr="00E77D98" w:rsidRDefault="0047252B" w:rsidP="0047252B">
      <w:pPr>
        <w:pStyle w:val="ListParagraph"/>
        <w:ind w:left="0"/>
      </w:pPr>
    </w:p>
    <w:p w14:paraId="00B23EE5" w14:textId="77777777" w:rsidR="003B6A5D" w:rsidRDefault="003B6A5D" w:rsidP="003B6A5D">
      <w:pPr>
        <w:pStyle w:val="ListParagraph"/>
        <w:ind w:left="0"/>
      </w:pPr>
      <w:r>
        <w:t>Other stakeholders, such as the University of Canberra, noted that students enter university for a variety of reasons</w:t>
      </w:r>
      <w:r w:rsidR="002B1321">
        <w:t>,</w:t>
      </w:r>
      <w:r>
        <w:t xml:space="preserve"> such as employment</w:t>
      </w:r>
      <w:r w:rsidR="002B1321">
        <w:t>,</w:t>
      </w:r>
      <w:r>
        <w:t xml:space="preserve"> and once they achieve </w:t>
      </w:r>
      <w:proofErr w:type="gramStart"/>
      <w:r>
        <w:t>these</w:t>
      </w:r>
      <w:proofErr w:type="gramEnd"/>
      <w:r>
        <w:t xml:space="preserve"> goals they may choose to delay or cease their studie</w:t>
      </w:r>
      <w:r w:rsidR="00882F25">
        <w:t xml:space="preserve">s. </w:t>
      </w:r>
      <w:r w:rsidR="0047021F">
        <w:t>The University stated</w:t>
      </w:r>
      <w:r>
        <w:t xml:space="preserve"> that this </w:t>
      </w:r>
      <w:proofErr w:type="gramStart"/>
      <w:r>
        <w:t>should not be considered</w:t>
      </w:r>
      <w:proofErr w:type="gramEnd"/>
      <w:r>
        <w:t xml:space="preserve"> negatively</w:t>
      </w:r>
      <w:r w:rsidR="00284A0C">
        <w:t>,</w:t>
      </w:r>
      <w:r w:rsidR="00153BC2">
        <w:t xml:space="preserve"> </w:t>
      </w:r>
      <w:r>
        <w:t>for some students may specifically wish to develop a certain set of skills that can be achieved through partial completion of a study program</w:t>
      </w:r>
      <w:r w:rsidR="0047252B">
        <w:rPr>
          <w:i/>
        </w:rPr>
        <w:t>.</w:t>
      </w:r>
    </w:p>
    <w:p w14:paraId="5123977B" w14:textId="77777777" w:rsidR="00BB1E8D" w:rsidRDefault="00BB1E8D" w:rsidP="003B6A5D">
      <w:pPr>
        <w:pStyle w:val="ListParagraph"/>
        <w:ind w:left="0"/>
      </w:pPr>
    </w:p>
    <w:p w14:paraId="5D771DAE" w14:textId="77777777" w:rsidR="000B7C82" w:rsidRDefault="00BB1E8D" w:rsidP="00BB1E8D">
      <w:pPr>
        <w:pStyle w:val="ListParagraph"/>
        <w:ind w:left="0"/>
        <w:rPr>
          <w:i/>
        </w:rPr>
      </w:pPr>
      <w:r>
        <w:t>Western Sydney Uni</w:t>
      </w:r>
      <w:r w:rsidR="0002361B">
        <w:t>versity agreed with this notion</w:t>
      </w:r>
      <w:r>
        <w:t xml:space="preserve"> explaining</w:t>
      </w:r>
      <w:r w:rsidR="0002361B">
        <w:t xml:space="preserve"> that</w:t>
      </w:r>
      <w:r>
        <w:t xml:space="preserve"> </w:t>
      </w:r>
      <w:r w:rsidR="00D27DC2" w:rsidRPr="00987335">
        <w:t xml:space="preserve">not all students </w:t>
      </w:r>
      <w:r w:rsidR="00D27DC2" w:rsidRPr="00952265">
        <w:t>will require a full degree to be su</w:t>
      </w:r>
      <w:r w:rsidR="0002361B">
        <w:t>ccessful in their careers. Its submission pointed out that there</w:t>
      </w:r>
      <w:r w:rsidR="00D27DC2" w:rsidRPr="00952265">
        <w:t xml:space="preserve"> is a need to look beyond traditional concepts, such as degree completion, </w:t>
      </w:r>
      <w:proofErr w:type="gramStart"/>
      <w:r w:rsidR="00D27DC2" w:rsidRPr="00952265">
        <w:t>to better understand</w:t>
      </w:r>
      <w:proofErr w:type="gramEnd"/>
      <w:r w:rsidR="00D27DC2" w:rsidRPr="00952265">
        <w:t xml:space="preserve"> how qualifications provide value to students in a shifting economy</w:t>
      </w:r>
      <w:r w:rsidR="0047252B">
        <w:rPr>
          <w:i/>
        </w:rPr>
        <w:t>.</w:t>
      </w:r>
    </w:p>
    <w:p w14:paraId="3DBA72E7" w14:textId="77777777" w:rsidR="00BB1E8D" w:rsidRDefault="00BB1E8D" w:rsidP="00BB1E8D">
      <w:pPr>
        <w:pStyle w:val="ListParagraph"/>
        <w:ind w:left="0"/>
        <w:rPr>
          <w:i/>
        </w:rPr>
      </w:pPr>
    </w:p>
    <w:p w14:paraId="34D6E7D4" w14:textId="77777777" w:rsidR="00BB1E8D" w:rsidRDefault="00BB1E8D" w:rsidP="00BB1E8D">
      <w:pPr>
        <w:pStyle w:val="ListParagraph"/>
        <w:ind w:left="0"/>
      </w:pPr>
      <w:r w:rsidRPr="00BB1E8D">
        <w:t>The Australian Council for Private Education and Training</w:t>
      </w:r>
      <w:r>
        <w:t xml:space="preserve"> (ACPET) wrote</w:t>
      </w:r>
      <w:r w:rsidRPr="00BB1E8D">
        <w:t xml:space="preserve"> of the </w:t>
      </w:r>
      <w:proofErr w:type="gramStart"/>
      <w:r w:rsidRPr="00BB1E8D">
        <w:t>4th</w:t>
      </w:r>
      <w:proofErr w:type="gramEnd"/>
      <w:r w:rsidRPr="00BB1E8D">
        <w:t xml:space="preserve"> </w:t>
      </w:r>
      <w:r>
        <w:t>Industrial Revolution as the cause for reform and change to career structures and ways of learning. In their submission, ACPET s</w:t>
      </w:r>
      <w:r w:rsidR="00484BFE">
        <w:t>aid</w:t>
      </w:r>
      <w:r>
        <w:t>:</w:t>
      </w:r>
    </w:p>
    <w:p w14:paraId="338876AD" w14:textId="77777777" w:rsidR="00284A0C" w:rsidRPr="00284A0C" w:rsidRDefault="00284A0C" w:rsidP="00284A0C">
      <w:pPr>
        <w:ind w:left="720"/>
        <w:rPr>
          <w:i/>
        </w:rPr>
      </w:pPr>
      <w:r w:rsidRPr="00284A0C">
        <w:rPr>
          <w:i/>
        </w:rPr>
        <w:t xml:space="preserve">The economy and labour market, nationally and internationally, are undergoing fundamental reform and change. There has been a near decade of subdued economic growth following the Global Financial Crisis. The </w:t>
      </w:r>
      <w:proofErr w:type="gramStart"/>
      <w:r w:rsidRPr="00284A0C">
        <w:rPr>
          <w:i/>
        </w:rPr>
        <w:t>so called</w:t>
      </w:r>
      <w:proofErr w:type="gramEnd"/>
      <w:r w:rsidRPr="00284A0C">
        <w:rPr>
          <w:i/>
        </w:rPr>
        <w:t xml:space="preserve"> 4</w:t>
      </w:r>
      <w:r w:rsidRPr="00284A0C">
        <w:rPr>
          <w:i/>
          <w:sz w:val="14"/>
          <w:szCs w:val="14"/>
        </w:rPr>
        <w:t xml:space="preserve">th </w:t>
      </w:r>
      <w:r w:rsidRPr="00284A0C">
        <w:rPr>
          <w:i/>
        </w:rPr>
        <w:t xml:space="preserve">Industrial Revolution is challenging whole industries, career structures and ways of learning. The rise of MOOCs and learners accessing ‘bite-size’ knowledge and skills are examples of the impact of this reform and change. </w:t>
      </w:r>
    </w:p>
    <w:p w14:paraId="153D8957" w14:textId="77777777" w:rsidR="003F0A40" w:rsidRDefault="003F0A40">
      <w:r>
        <w:br w:type="page"/>
      </w:r>
    </w:p>
    <w:p w14:paraId="74CA94CF" w14:textId="77777777" w:rsidR="00BB1E8D" w:rsidRDefault="000B7C82" w:rsidP="000B7C82">
      <w:r w:rsidRPr="00987335">
        <w:t>The digit</w:t>
      </w:r>
      <w:r w:rsidR="001902A1" w:rsidRPr="00987335">
        <w:t>alisation of higher education was</w:t>
      </w:r>
      <w:r w:rsidRPr="00987335">
        <w:t xml:space="preserve"> a</w:t>
      </w:r>
      <w:r w:rsidR="00BB1E8D">
        <w:t>lso a</w:t>
      </w:r>
      <w:r w:rsidRPr="00987335">
        <w:t>n area of interest for many stakeholders.</w:t>
      </w:r>
      <w:r w:rsidR="00976E42">
        <w:t xml:space="preserve"> Blended face-to-face and online learning is becoming the norm. </w:t>
      </w:r>
      <w:r w:rsidR="005C0BE9">
        <w:t>A number of s</w:t>
      </w:r>
      <w:r w:rsidR="00BB1E8D">
        <w:t>ubmissions explained that m</w:t>
      </w:r>
      <w:r w:rsidR="00D27DC2" w:rsidRPr="00987335">
        <w:t>any students are choosing online learning because it accommodates their circumstances</w:t>
      </w:r>
      <w:r w:rsidR="00402431">
        <w:t>,</w:t>
      </w:r>
      <w:r w:rsidR="00D27DC2" w:rsidRPr="00987335">
        <w:t xml:space="preserve"> such as employment, family and geographical proximity to</w:t>
      </w:r>
      <w:r w:rsidR="001902A1" w:rsidRPr="00987335">
        <w:t xml:space="preserve"> campuses.</w:t>
      </w:r>
      <w:r w:rsidRPr="00987335">
        <w:t xml:space="preserve"> </w:t>
      </w:r>
    </w:p>
    <w:p w14:paraId="1ABBD0F9" w14:textId="77777777" w:rsidR="000B7C82" w:rsidRPr="00987335" w:rsidRDefault="000B7C82" w:rsidP="000B7C82">
      <w:r w:rsidRPr="00987335">
        <w:t>Deakin University pointed out that even those students who go to a physical location to learn</w:t>
      </w:r>
      <w:r w:rsidR="00402431">
        <w:t>,</w:t>
      </w:r>
      <w:r w:rsidRPr="00987335">
        <w:t xml:space="preserve"> acces</w:t>
      </w:r>
      <w:r w:rsidR="00593C0C">
        <w:t>s much of their learning online:</w:t>
      </w:r>
    </w:p>
    <w:p w14:paraId="324C9907" w14:textId="77777777" w:rsidR="000B7C82" w:rsidRPr="00987335" w:rsidRDefault="000B7C82" w:rsidP="000B7C82">
      <w:pPr>
        <w:ind w:left="720"/>
      </w:pPr>
      <w:r w:rsidRPr="00987335">
        <w:rPr>
          <w:i/>
        </w:rPr>
        <w:t>We are</w:t>
      </w:r>
      <w:r w:rsidR="007124B1">
        <w:rPr>
          <w:i/>
        </w:rPr>
        <w:t xml:space="preserve"> amid the</w:t>
      </w:r>
      <w:r w:rsidRPr="00987335">
        <w:rPr>
          <w:i/>
        </w:rPr>
        <w:t xml:space="preserve"> digital revolution where consumers, including students, have more choice than ever and can go in and out of platforms...In the digital world, it is as easy to enrol in an institution on your doorstep, or half a world away, and increasingly at a compelling price point and through an open, free taster course. </w:t>
      </w:r>
    </w:p>
    <w:p w14:paraId="3F9780B4" w14:textId="5AE2F394" w:rsidR="00AB6E33" w:rsidRDefault="00AB6E33" w:rsidP="00AC5772">
      <w:proofErr w:type="spellStart"/>
      <w:r>
        <w:t>Your</w:t>
      </w:r>
      <w:r w:rsidR="00C24A5D">
        <w:t>T</w:t>
      </w:r>
      <w:r>
        <w:t>utor</w:t>
      </w:r>
      <w:proofErr w:type="spellEnd"/>
      <w:r>
        <w:t xml:space="preserve"> </w:t>
      </w:r>
      <w:r w:rsidR="002F18BC">
        <w:t xml:space="preserve">echoed this sentiment and stated that online students and </w:t>
      </w:r>
      <w:r w:rsidR="000100CC">
        <w:t>campus-based</w:t>
      </w:r>
      <w:r w:rsidR="002F18BC">
        <w:t xml:space="preserve"> students are taking </w:t>
      </w:r>
      <w:r w:rsidR="00153BC2">
        <w:t>on each other’s traits</w:t>
      </w:r>
      <w:r w:rsidR="002F18BC">
        <w:t xml:space="preserve"> and increasingly becoming digital students</w:t>
      </w:r>
      <w:r w:rsidR="00153BC2">
        <w:t>,</w:t>
      </w:r>
      <w:r w:rsidR="002F18BC">
        <w:t xml:space="preserve"> spending more time</w:t>
      </w:r>
      <w:r w:rsidR="00153BC2">
        <w:t xml:space="preserve"> online and less time on campus</w:t>
      </w:r>
      <w:r w:rsidR="002F18BC">
        <w:t xml:space="preserve"> and expecting more services to </w:t>
      </w:r>
      <w:proofErr w:type="gramStart"/>
      <w:r w:rsidR="002F18BC">
        <w:t>be delivered</w:t>
      </w:r>
      <w:proofErr w:type="gramEnd"/>
      <w:r w:rsidR="002F18BC">
        <w:t xml:space="preserve"> digitally. </w:t>
      </w:r>
    </w:p>
    <w:p w14:paraId="32314718" w14:textId="77777777" w:rsidR="00AC5772" w:rsidRDefault="007E3F05" w:rsidP="00AC5772">
      <w:r>
        <w:t>The Panel agrees</w:t>
      </w:r>
      <w:r w:rsidR="00484BFE">
        <w:t xml:space="preserve"> that d</w:t>
      </w:r>
      <w:r w:rsidR="00AC5772" w:rsidRPr="00987335">
        <w:t xml:space="preserve">igitalisation of education will continue to grow and students will increasingly need and demand high quality </w:t>
      </w:r>
      <w:r w:rsidR="00484BFE">
        <w:t xml:space="preserve">online </w:t>
      </w:r>
      <w:r w:rsidR="007124B1">
        <w:t>curricul</w:t>
      </w:r>
      <w:r w:rsidR="0047021F">
        <w:t>a</w:t>
      </w:r>
      <w:r w:rsidR="00D27DC2" w:rsidRPr="00987335">
        <w:t xml:space="preserve">. </w:t>
      </w:r>
    </w:p>
    <w:p w14:paraId="2781250F" w14:textId="77777777" w:rsidR="000B7C82" w:rsidRPr="00987335" w:rsidRDefault="000B7C82" w:rsidP="000B7C82">
      <w:pPr>
        <w:pStyle w:val="Heading2"/>
      </w:pPr>
      <w:r w:rsidRPr="00987335">
        <w:t xml:space="preserve">Expectations and the speed of completion </w:t>
      </w:r>
    </w:p>
    <w:p w14:paraId="207772EA" w14:textId="77777777" w:rsidR="005436D8" w:rsidRPr="00987335" w:rsidRDefault="005436D8" w:rsidP="005436D8">
      <w:r w:rsidRPr="00987335">
        <w:t>T</w:t>
      </w:r>
      <w:r w:rsidR="005C0BE9">
        <w:t xml:space="preserve">he Panel posed the question, </w:t>
      </w:r>
      <w:r w:rsidRPr="00987335">
        <w:t>what should be the sector’s expectations of completio</w:t>
      </w:r>
      <w:r w:rsidR="00ED3EDB">
        <w:t>n rates or speed of completion.</w:t>
      </w:r>
    </w:p>
    <w:p w14:paraId="218032E8" w14:textId="77777777" w:rsidR="00402431" w:rsidRDefault="00C72362" w:rsidP="000B7C82">
      <w:r>
        <w:t>Many respondents</w:t>
      </w:r>
      <w:r w:rsidR="00882F25">
        <w:t xml:space="preserve"> </w:t>
      </w:r>
      <w:r w:rsidR="005436D8" w:rsidRPr="00987335">
        <w:t xml:space="preserve">highlighted </w:t>
      </w:r>
      <w:r w:rsidR="000B7C82" w:rsidRPr="00987335">
        <w:t>the complexity of an indivi</w:t>
      </w:r>
      <w:r>
        <w:t xml:space="preserve">dual’s engagement with learning. It </w:t>
      </w:r>
      <w:proofErr w:type="gramStart"/>
      <w:r>
        <w:t>was pointed out</w:t>
      </w:r>
      <w:proofErr w:type="gramEnd"/>
      <w:r>
        <w:t xml:space="preserve"> that </w:t>
      </w:r>
      <w:r w:rsidR="000B7C82" w:rsidRPr="00987335">
        <w:t xml:space="preserve">students withdraw from higher education for reasons such as physical and mental health, financial pressure, and their </w:t>
      </w:r>
      <w:r w:rsidR="005436D8" w:rsidRPr="00987335">
        <w:t>family or employment situation</w:t>
      </w:r>
      <w:r w:rsidR="00C24A5D">
        <w:t xml:space="preserve">. </w:t>
      </w:r>
      <w:r>
        <w:t>Personal reasons, as well as institutional factors, contributed to decisions to withdraw (at least temporarily</w:t>
      </w:r>
      <w:r w:rsidR="00402431">
        <w:t>) from higher education</w:t>
      </w:r>
      <w:r>
        <w:t xml:space="preserve">. </w:t>
      </w:r>
    </w:p>
    <w:p w14:paraId="4E2DB517" w14:textId="77777777" w:rsidR="000B7C82" w:rsidRPr="00987335" w:rsidRDefault="00022B5C" w:rsidP="000B7C82">
      <w:r>
        <w:t xml:space="preserve">ACPET </w:t>
      </w:r>
      <w:r w:rsidR="00402431">
        <w:t>stated in their submission that</w:t>
      </w:r>
      <w:r>
        <w:t xml:space="preserve"> </w:t>
      </w:r>
      <w:r w:rsidR="005436D8" w:rsidRPr="00882F25">
        <w:t>the sector should</w:t>
      </w:r>
      <w:r w:rsidR="00402431">
        <w:t xml:space="preserve"> </w:t>
      </w:r>
      <w:r w:rsidR="005436D8" w:rsidRPr="00882F25">
        <w:t>n</w:t>
      </w:r>
      <w:r w:rsidR="00402431">
        <w:t>o</w:t>
      </w:r>
      <w:r w:rsidR="005436D8" w:rsidRPr="00882F25">
        <w:t>t expect some ‘set in stone’ attrition and completion rates agains</w:t>
      </w:r>
      <w:r>
        <w:t xml:space="preserve">t which all providers </w:t>
      </w:r>
      <w:proofErr w:type="gramStart"/>
      <w:r>
        <w:t>are judged</w:t>
      </w:r>
      <w:proofErr w:type="gramEnd"/>
      <w:r w:rsidR="005436D8" w:rsidRPr="00987335">
        <w:rPr>
          <w:i/>
        </w:rPr>
        <w:t>.</w:t>
      </w:r>
      <w:r w:rsidR="005F1489" w:rsidRPr="00987335">
        <w:rPr>
          <w:i/>
        </w:rPr>
        <w:t xml:space="preserve"> </w:t>
      </w:r>
      <w:r w:rsidR="005F1489" w:rsidRPr="00987335">
        <w:t xml:space="preserve">The Australian Technology Network described the </w:t>
      </w:r>
      <w:r w:rsidR="005F1489" w:rsidRPr="00882F25">
        <w:t>idea of fixed completion rates as unrealistic with student cohorts across the university sector ranging in diversity from institution to institution</w:t>
      </w:r>
      <w:r w:rsidR="005F1489" w:rsidRPr="00987335">
        <w:t xml:space="preserve">.  </w:t>
      </w:r>
    </w:p>
    <w:p w14:paraId="4A88FFC8" w14:textId="77777777" w:rsidR="00AC5772" w:rsidRPr="00987335" w:rsidRDefault="00AC5772" w:rsidP="000B7C82">
      <w:r w:rsidRPr="00987335">
        <w:t>Other submissions</w:t>
      </w:r>
      <w:r w:rsidR="00022B5C">
        <w:t xml:space="preserve">, such as </w:t>
      </w:r>
      <w:r w:rsidR="00153BC2">
        <w:t xml:space="preserve">from </w:t>
      </w:r>
      <w:r w:rsidR="00022B5C">
        <w:t>Victoria University,</w:t>
      </w:r>
      <w:r w:rsidRPr="00987335">
        <w:t xml:space="preserve"> suggested that if there was to be a rate of expected completions </w:t>
      </w:r>
      <w:r w:rsidR="00987335">
        <w:t>i</w:t>
      </w:r>
      <w:r w:rsidRPr="00987335">
        <w:t xml:space="preserve">t should be </w:t>
      </w:r>
      <w:r w:rsidRPr="00882F25">
        <w:t>based on a formula that is sensitive and reflects the diversity of institutions</w:t>
      </w:r>
      <w:r w:rsidR="00FE747A">
        <w:t>, including</w:t>
      </w:r>
      <w:r w:rsidR="00882F25">
        <w:t xml:space="preserve"> institutions tha</w:t>
      </w:r>
      <w:r w:rsidR="00044389">
        <w:t>t enrol large numbers of mature-</w:t>
      </w:r>
      <w:r w:rsidR="00882F25">
        <w:t>age s</w:t>
      </w:r>
      <w:r w:rsidR="004A746F">
        <w:t>tudents, part-</w:t>
      </w:r>
      <w:r w:rsidR="00882F25">
        <w:t xml:space="preserve">time students and students from low </w:t>
      </w:r>
      <w:r w:rsidR="0002361B">
        <w:t>socioeconomic</w:t>
      </w:r>
      <w:r w:rsidR="00882F25">
        <w:t xml:space="preserve"> or other equity backgrounds</w:t>
      </w:r>
      <w:r w:rsidRPr="00987335">
        <w:t xml:space="preserve">. </w:t>
      </w:r>
    </w:p>
    <w:p w14:paraId="04C97FFD" w14:textId="77777777" w:rsidR="003F0A40" w:rsidRDefault="003F0A40">
      <w:r>
        <w:br w:type="page"/>
      </w:r>
    </w:p>
    <w:p w14:paraId="413FC8B4" w14:textId="77777777" w:rsidR="000B7C82" w:rsidRPr="00987335" w:rsidRDefault="000B7C82" w:rsidP="000B7C82">
      <w:r w:rsidRPr="00987335">
        <w:t xml:space="preserve">In response to what expectations there should be around the speed of completion, </w:t>
      </w:r>
      <w:r w:rsidR="00C72362">
        <w:t>submissions</w:t>
      </w:r>
      <w:r w:rsidR="00882F25">
        <w:t xml:space="preserve"> </w:t>
      </w:r>
      <w:r w:rsidR="00153BC2">
        <w:t xml:space="preserve">identified </w:t>
      </w:r>
      <w:r w:rsidRPr="00987335">
        <w:t>substantial number</w:t>
      </w:r>
      <w:r w:rsidR="00044389">
        <w:t>s of part-time and mature-</w:t>
      </w:r>
      <w:r w:rsidRPr="00987335">
        <w:t xml:space="preserve">age students who can take up to nine years to complete their degrees. </w:t>
      </w:r>
      <w:r w:rsidR="00C24A5D">
        <w:t>Griffith University stated:</w:t>
      </w:r>
    </w:p>
    <w:p w14:paraId="47037948" w14:textId="77777777" w:rsidR="000B7C82" w:rsidRPr="00987335" w:rsidRDefault="000B7C82" w:rsidP="000B7C82">
      <w:pPr>
        <w:pStyle w:val="ListParagraph"/>
        <w:rPr>
          <w:i/>
        </w:rPr>
      </w:pPr>
      <w:r w:rsidRPr="00987335">
        <w:rPr>
          <w:i/>
        </w:rPr>
        <w:t>The increasing proportion of students studying part-time, or taking time off from study, inevitably means that less than half of students complete a sta</w:t>
      </w:r>
      <w:r w:rsidR="007124B1">
        <w:rPr>
          <w:i/>
        </w:rPr>
        <w:t xml:space="preserve">ndard bachelor’s degree within 4 </w:t>
      </w:r>
      <w:r w:rsidRPr="00987335">
        <w:rPr>
          <w:i/>
        </w:rPr>
        <w:t xml:space="preserve">years. At a minimum </w:t>
      </w:r>
      <w:proofErr w:type="gramStart"/>
      <w:r w:rsidRPr="00987335">
        <w:rPr>
          <w:i/>
        </w:rPr>
        <w:t>completion</w:t>
      </w:r>
      <w:proofErr w:type="gramEnd"/>
      <w:r w:rsidRPr="00987335">
        <w:rPr>
          <w:i/>
        </w:rPr>
        <w:t xml:space="preserve"> rates should be measured as the leng</w:t>
      </w:r>
      <w:r w:rsidR="007124B1">
        <w:rPr>
          <w:i/>
        </w:rPr>
        <w:t>th of the standard degree plus 3</w:t>
      </w:r>
      <w:r w:rsidRPr="00987335">
        <w:rPr>
          <w:i/>
        </w:rPr>
        <w:t xml:space="preserve"> years. </w:t>
      </w:r>
    </w:p>
    <w:p w14:paraId="6B509B77" w14:textId="77777777" w:rsidR="000B7C82" w:rsidRPr="00ED3EDB" w:rsidRDefault="007E3F05" w:rsidP="007E3F05">
      <w:r>
        <w:t>The University of Newcastle’s</w:t>
      </w:r>
      <w:r w:rsidRPr="00987335">
        <w:t xml:space="preserve"> </w:t>
      </w:r>
      <w:proofErr w:type="spellStart"/>
      <w:r w:rsidRPr="00987335">
        <w:t>Wollotuka</w:t>
      </w:r>
      <w:proofErr w:type="spellEnd"/>
      <w:r w:rsidRPr="00987335">
        <w:t xml:space="preserve"> Institute</w:t>
      </w:r>
      <w:r>
        <w:t xml:space="preserve"> suggested that </w:t>
      </w:r>
      <w:r w:rsidR="00EA3794">
        <w:t>there should be wider</w:t>
      </w:r>
      <w:r>
        <w:t xml:space="preserve"> promot</w:t>
      </w:r>
      <w:r w:rsidR="00EA3794">
        <w:t xml:space="preserve">ion of the message </w:t>
      </w:r>
      <w:r>
        <w:t>that students can take several years to complete a degree. The Institute notes that some students are disheartened</w:t>
      </w:r>
      <w:r w:rsidR="00FE747A">
        <w:t xml:space="preserve"> because they cannot study full-</w:t>
      </w:r>
      <w:r>
        <w:t xml:space="preserve">time and feel like they will never complete their studies. </w:t>
      </w:r>
    </w:p>
    <w:p w14:paraId="0E691C0B" w14:textId="77777777" w:rsidR="002B1321" w:rsidRDefault="002B1321" w:rsidP="00ED3EDB">
      <w:r w:rsidRPr="00987335">
        <w:t>Equity Practitioners in Higher Education Australasia</w:t>
      </w:r>
      <w:r>
        <w:t xml:space="preserve">, the </w:t>
      </w:r>
      <w:r w:rsidRPr="00C9202E">
        <w:t>organisation for university and TAFE equity practitioners</w:t>
      </w:r>
      <w:r>
        <w:t>,</w:t>
      </w:r>
      <w:r w:rsidRPr="00882F25">
        <w:t xml:space="preserve"> stated that </w:t>
      </w:r>
      <w:r>
        <w:t xml:space="preserve">for many reasons students from all </w:t>
      </w:r>
      <w:proofErr w:type="gramStart"/>
      <w:r>
        <w:t>walks of life</w:t>
      </w:r>
      <w:proofErr w:type="gramEnd"/>
      <w:r>
        <w:t xml:space="preserve"> do not complete. They wrote about lifelong learning and</w:t>
      </w:r>
      <w:r w:rsidR="00A54781">
        <w:t>,</w:t>
      </w:r>
      <w:r>
        <w:t xml:space="preserve"> </w:t>
      </w:r>
      <w:proofErr w:type="gramStart"/>
      <w:r>
        <w:t>as a consequence</w:t>
      </w:r>
      <w:proofErr w:type="gramEnd"/>
      <w:r w:rsidR="00A54781">
        <w:t>,</w:t>
      </w:r>
      <w:r>
        <w:t xml:space="preserve"> </w:t>
      </w:r>
      <w:r w:rsidRPr="00882F25">
        <w:t>completion as the only end game</w:t>
      </w:r>
      <w:r>
        <w:t>,</w:t>
      </w:r>
      <w:r w:rsidRPr="00882F25">
        <w:t xml:space="preserve"> or speed of completion</w:t>
      </w:r>
      <w:r>
        <w:t>,</w:t>
      </w:r>
      <w:r w:rsidRPr="00882F25">
        <w:t xml:space="preserve"> is a problematic concept</w:t>
      </w:r>
      <w:r>
        <w:t>.</w:t>
      </w:r>
    </w:p>
    <w:p w14:paraId="7165968E" w14:textId="77777777" w:rsidR="00882F25" w:rsidRPr="00987335" w:rsidRDefault="00882F25" w:rsidP="00ED3EDB">
      <w:r w:rsidRPr="00ED3EDB">
        <w:t>Other submissions suggested</w:t>
      </w:r>
      <w:r w:rsidR="007E3F05" w:rsidRPr="00ED3EDB">
        <w:t xml:space="preserve"> that by offering accelerated models of delivery, institutions could increase the speed of completion</w:t>
      </w:r>
      <w:r w:rsidR="00511260">
        <w:t>s</w:t>
      </w:r>
      <w:r w:rsidR="007E3F05" w:rsidRPr="00ED3EDB">
        <w:t xml:space="preserve"> and this wou</w:t>
      </w:r>
      <w:r w:rsidR="0002361B" w:rsidRPr="00ED3EDB">
        <w:t xml:space="preserve">ld in fact suit many students. </w:t>
      </w:r>
      <w:r w:rsidR="007E3F05" w:rsidRPr="00ED3EDB">
        <w:t xml:space="preserve">For instance, </w:t>
      </w:r>
      <w:r w:rsidR="00BD0319">
        <w:t xml:space="preserve">the University of Notre Dame Australia suggested </w:t>
      </w:r>
      <w:r w:rsidR="007E3F05" w:rsidRPr="00ED3EDB">
        <w:t>offering</w:t>
      </w:r>
      <w:r w:rsidRPr="00ED3EDB">
        <w:t xml:space="preserve"> trimesters, the use of intensive</w:t>
      </w:r>
      <w:r w:rsidR="00D55252" w:rsidRPr="00ED3EDB">
        <w:t xml:space="preserve"> weeks in </w:t>
      </w:r>
      <w:proofErr w:type="gramStart"/>
      <w:r w:rsidR="00D55252" w:rsidRPr="00ED3EDB">
        <w:t>Winter</w:t>
      </w:r>
      <w:proofErr w:type="gramEnd"/>
      <w:r w:rsidR="00D55252" w:rsidRPr="00ED3EDB">
        <w:t xml:space="preserve"> or Summer t</w:t>
      </w:r>
      <w:r w:rsidR="007E3F05" w:rsidRPr="00ED3EDB">
        <w:t>erm and</w:t>
      </w:r>
      <w:r w:rsidRPr="00ED3EDB">
        <w:t xml:space="preserve"> additional credit-bearing online modules of study</w:t>
      </w:r>
      <w:r w:rsidR="00ED3EDB">
        <w:t>.</w:t>
      </w:r>
      <w:r w:rsidRPr="00ED3EDB">
        <w:rPr>
          <w:rStyle w:val="FootnoteReference"/>
          <w:i/>
        </w:rPr>
        <w:t>.</w:t>
      </w:r>
      <w:r w:rsidRPr="00ED3EDB">
        <w:t xml:space="preserve"> </w:t>
      </w:r>
    </w:p>
    <w:p w14:paraId="614DA724" w14:textId="77777777" w:rsidR="007B0939" w:rsidRDefault="007B0939" w:rsidP="007B0939">
      <w:r>
        <w:t>The Panel con</w:t>
      </w:r>
      <w:r w:rsidR="00644B8D">
        <w:t xml:space="preserve">siders institutions should seek to set </w:t>
      </w:r>
      <w:r>
        <w:t>i</w:t>
      </w:r>
      <w:r w:rsidR="00276CC2">
        <w:t xml:space="preserve">nternal retention </w:t>
      </w:r>
      <w:proofErr w:type="gramStart"/>
      <w:r w:rsidR="00276CC2">
        <w:t xml:space="preserve">benchmarks </w:t>
      </w:r>
      <w:r>
        <w:t>which</w:t>
      </w:r>
      <w:proofErr w:type="gramEnd"/>
      <w:r w:rsidR="00644B8D">
        <w:t xml:space="preserve"> reflect the composition and aspirations of their student</w:t>
      </w:r>
      <w:r w:rsidR="000D6757">
        <w:t>s</w:t>
      </w:r>
      <w:r w:rsidR="00644B8D">
        <w:t xml:space="preserve">. These could </w:t>
      </w:r>
      <w:r>
        <w:t>be incorporated into</w:t>
      </w:r>
      <w:r w:rsidR="00644B8D">
        <w:t xml:space="preserve"> </w:t>
      </w:r>
      <w:r>
        <w:t xml:space="preserve">institution specific retention </w:t>
      </w:r>
      <w:proofErr w:type="gramStart"/>
      <w:r>
        <w:t>strategies</w:t>
      </w:r>
      <w:r w:rsidR="00402431">
        <w:t xml:space="preserve"> </w:t>
      </w:r>
      <w:r w:rsidR="00644B8D">
        <w:t>which</w:t>
      </w:r>
      <w:proofErr w:type="gramEnd"/>
      <w:r w:rsidR="00644B8D">
        <w:t xml:space="preserve"> are</w:t>
      </w:r>
      <w:r w:rsidR="00402431">
        <w:t xml:space="preserve"> detailed later in the report.</w:t>
      </w:r>
    </w:p>
    <w:p w14:paraId="7B11FD18" w14:textId="77777777" w:rsidR="000B7C82" w:rsidRPr="00987335" w:rsidRDefault="000B7C82" w:rsidP="000B7C82">
      <w:pPr>
        <w:pStyle w:val="Heading2"/>
      </w:pPr>
      <w:r w:rsidRPr="00987335">
        <w:t>A role for institutions</w:t>
      </w:r>
    </w:p>
    <w:p w14:paraId="7C278CEF" w14:textId="77777777" w:rsidR="00FE747A" w:rsidRDefault="00644B8D" w:rsidP="00DE456B">
      <w:r>
        <w:t xml:space="preserve">The Panel stands by its view </w:t>
      </w:r>
      <w:r w:rsidR="00FE747A">
        <w:t xml:space="preserve">that higher education institutions </w:t>
      </w:r>
      <w:r w:rsidR="00A54781">
        <w:t>should</w:t>
      </w:r>
      <w:r w:rsidR="00FE747A">
        <w:t xml:space="preserve"> ensure that</w:t>
      </w:r>
      <w:r>
        <w:t xml:space="preserve"> the</w:t>
      </w:r>
      <w:r w:rsidR="00FE747A">
        <w:t xml:space="preserve"> students they admit have the capacity</w:t>
      </w:r>
      <w:r w:rsidR="00153BC2">
        <w:t xml:space="preserve"> to succeed in higher education</w:t>
      </w:r>
      <w:r w:rsidR="00FE747A">
        <w:t xml:space="preserve"> and </w:t>
      </w:r>
      <w:proofErr w:type="gramStart"/>
      <w:r w:rsidR="00FE747A">
        <w:t>are given</w:t>
      </w:r>
      <w:proofErr w:type="gramEnd"/>
      <w:r w:rsidR="00FE747A">
        <w:t xml:space="preserve"> the best chance to complete their studies through the appropriate provision of academic and other support services. </w:t>
      </w:r>
      <w:r>
        <w:t xml:space="preserve">It is for this reason that </w:t>
      </w:r>
      <w:proofErr w:type="gramStart"/>
      <w:r w:rsidR="002B1321">
        <w:t>those services are required</w:t>
      </w:r>
      <w:r w:rsidR="00C46C09">
        <w:t xml:space="preserve"> by </w:t>
      </w:r>
      <w:r>
        <w:t>the Higher Education Standards Framework</w:t>
      </w:r>
      <w:proofErr w:type="gramEnd"/>
      <w:r>
        <w:t>.</w:t>
      </w:r>
    </w:p>
    <w:p w14:paraId="1456998C" w14:textId="77777777" w:rsidR="00DE456B" w:rsidRDefault="000B7C82" w:rsidP="00DE456B">
      <w:r w:rsidRPr="00987335">
        <w:t>While the Panel accepts the complexity of factors contributing to attrition, it reflects on the attrition data contained in its discussion paper</w:t>
      </w:r>
      <w:r w:rsidR="00402431">
        <w:t xml:space="preserve">. </w:t>
      </w:r>
      <w:r w:rsidR="00402431">
        <w:rPr>
          <w:rFonts w:ascii="Calibri" w:hAnsi="Calibri" w:cs="Calibri"/>
        </w:rPr>
        <w:t xml:space="preserve">There are some institutions supporting higher-risk students to succeed </w:t>
      </w:r>
      <w:r w:rsidR="002B1321">
        <w:rPr>
          <w:rFonts w:ascii="Calibri" w:hAnsi="Calibri" w:cs="Calibri"/>
        </w:rPr>
        <w:t>to greater effect</w:t>
      </w:r>
      <w:r w:rsidR="00402431">
        <w:rPr>
          <w:rFonts w:ascii="Calibri" w:hAnsi="Calibri" w:cs="Calibri"/>
        </w:rPr>
        <w:t xml:space="preserve"> than others. </w:t>
      </w:r>
      <w:r w:rsidR="00402431">
        <w:t>A</w:t>
      </w:r>
      <w:r w:rsidR="00DE456B">
        <w:t xml:space="preserve">n analysis using regression techniques </w:t>
      </w:r>
      <w:r w:rsidR="008C459F">
        <w:t xml:space="preserve">(Appendix A) </w:t>
      </w:r>
      <w:r w:rsidR="00DE456B" w:rsidRPr="00987335">
        <w:t xml:space="preserve">showed that student characteristics only explained a small part of the overall </w:t>
      </w:r>
      <w:r w:rsidR="00402431">
        <w:t>variation in student attrition. T</w:t>
      </w:r>
      <w:r w:rsidR="00C72362">
        <w:t xml:space="preserve">he </w:t>
      </w:r>
      <w:r w:rsidR="00DE456B" w:rsidRPr="00987335">
        <w:t>institution is</w:t>
      </w:r>
      <w:r w:rsidR="00C72362">
        <w:t xml:space="preserve"> a</w:t>
      </w:r>
      <w:r w:rsidR="00DE456B" w:rsidRPr="00987335">
        <w:t xml:space="preserve"> more important </w:t>
      </w:r>
      <w:r w:rsidR="00C72362">
        <w:t xml:space="preserve">factor </w:t>
      </w:r>
      <w:r w:rsidR="00DE456B" w:rsidRPr="00987335">
        <w:t>than</w:t>
      </w:r>
      <w:r w:rsidR="00C72362">
        <w:t xml:space="preserve"> the</w:t>
      </w:r>
      <w:r w:rsidR="00DE456B" w:rsidRPr="00987335">
        <w:t xml:space="preserve"> basis of admission</w:t>
      </w:r>
      <w:r w:rsidR="00C72362">
        <w:t>, the student</w:t>
      </w:r>
      <w:r w:rsidR="00402431">
        <w:t>’</w:t>
      </w:r>
      <w:r w:rsidR="00C72362">
        <w:t>s</w:t>
      </w:r>
      <w:r w:rsidR="00DE456B" w:rsidRPr="00987335">
        <w:t xml:space="preserve"> ATAR</w:t>
      </w:r>
      <w:r w:rsidR="00C72362">
        <w:t xml:space="preserve"> score</w:t>
      </w:r>
      <w:r w:rsidR="00DE456B" w:rsidRPr="00987335">
        <w:t xml:space="preserve">, type of attendance, mode of attendance </w:t>
      </w:r>
      <w:r w:rsidR="00C72362">
        <w:t>or</w:t>
      </w:r>
      <w:r w:rsidR="00A54781">
        <w:t xml:space="preserve"> age in explaining attrition - a</w:t>
      </w:r>
      <w:r w:rsidR="00557F87">
        <w:t>lthough, all measurable factors only explain 22.5 per cent of the overall variation in attrition.</w:t>
      </w:r>
    </w:p>
    <w:p w14:paraId="594D58EA" w14:textId="77777777" w:rsidR="002D70C9" w:rsidRDefault="002D70C9">
      <w:pPr>
        <w:rPr>
          <w:rFonts w:ascii="Calibri" w:hAnsi="Calibri" w:cs="Calibri"/>
        </w:rPr>
      </w:pPr>
      <w:r>
        <w:rPr>
          <w:rFonts w:ascii="Calibri" w:hAnsi="Calibri" w:cs="Calibri"/>
        </w:rPr>
        <w:br w:type="page"/>
      </w:r>
    </w:p>
    <w:p w14:paraId="0758E6AC" w14:textId="77777777" w:rsidR="00222021" w:rsidRPr="00AE0EA4" w:rsidRDefault="00222021" w:rsidP="00222021">
      <w:pPr>
        <w:rPr>
          <w:color w:val="1F497D"/>
        </w:rPr>
      </w:pPr>
      <w:r>
        <w:rPr>
          <w:rFonts w:ascii="Calibri" w:hAnsi="Calibri" w:cs="Calibri"/>
        </w:rPr>
        <w:t xml:space="preserve">In 2014, a large number of institutions had lower adjusted attrition rates than they did in 2005. However, there are exceptions, with three institutions - Federation University, Swinburne University of Technology and University of Tasmania - specifically showing significant rises in attrition over the past few years. </w:t>
      </w:r>
      <w:r w:rsidR="00AE0EA4" w:rsidRPr="00AE0EA4">
        <w:rPr>
          <w:iCs/>
        </w:rPr>
        <w:t xml:space="preserve">Remarkably, when these institutions </w:t>
      </w:r>
      <w:proofErr w:type="gramStart"/>
      <w:r w:rsidR="00AE0EA4" w:rsidRPr="00AE0EA4">
        <w:rPr>
          <w:iCs/>
        </w:rPr>
        <w:t>are excluded</w:t>
      </w:r>
      <w:proofErr w:type="gramEnd"/>
      <w:r w:rsidR="00AE0EA4" w:rsidRPr="00AE0EA4">
        <w:rPr>
          <w:iCs/>
        </w:rPr>
        <w:t xml:space="preserve"> from the calculation of adjusted attrition at Table A and B universities in 2014, the rate drops from 15.18 per cent to 13.63 per cent</w:t>
      </w:r>
      <w:r w:rsidR="00AE0EA4">
        <w:rPr>
          <w:rStyle w:val="FootnoteReference"/>
          <w:iCs/>
        </w:rPr>
        <w:footnoteReference w:id="2"/>
      </w:r>
      <w:r w:rsidR="00AE0EA4" w:rsidRPr="00AE0EA4">
        <w:rPr>
          <w:iCs/>
        </w:rPr>
        <w:t>, see Table 1</w:t>
      </w:r>
      <w:r w:rsidR="00AE0EA4" w:rsidRPr="00AE0EA4">
        <w:t>.</w:t>
      </w:r>
    </w:p>
    <w:tbl>
      <w:tblPr>
        <w:tblStyle w:val="LightShading-Accent52"/>
        <w:tblW w:w="9282" w:type="dxa"/>
        <w:tblLook w:val="04A0" w:firstRow="1" w:lastRow="0" w:firstColumn="1" w:lastColumn="0" w:noHBand="0" w:noVBand="1"/>
      </w:tblPr>
      <w:tblGrid>
        <w:gridCol w:w="2562"/>
        <w:gridCol w:w="672"/>
        <w:gridCol w:w="672"/>
        <w:gridCol w:w="672"/>
        <w:gridCol w:w="672"/>
        <w:gridCol w:w="672"/>
        <w:gridCol w:w="672"/>
        <w:gridCol w:w="672"/>
        <w:gridCol w:w="672"/>
        <w:gridCol w:w="672"/>
        <w:gridCol w:w="672"/>
      </w:tblGrid>
      <w:tr w:rsidR="00222021" w:rsidRPr="00222021" w14:paraId="53962BA3" w14:textId="77777777" w:rsidTr="00222021">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000" w:firstRow="0" w:lastRow="0" w:firstColumn="1" w:lastColumn="0" w:oddVBand="0" w:evenVBand="0" w:oddHBand="0" w:evenHBand="0" w:firstRowFirstColumn="0" w:firstRowLastColumn="0" w:lastRowFirstColumn="0" w:lastRowLastColumn="0"/>
            <w:tcW w:w="2632" w:type="dxa"/>
            <w:hideMark/>
          </w:tcPr>
          <w:p w14:paraId="789609E8" w14:textId="77777777" w:rsidR="00AE0EA4" w:rsidRDefault="00222021">
            <w:pPr>
              <w:rPr>
                <w:rFonts w:ascii="Calibri" w:hAnsi="Calibri" w:cs="Calibri"/>
                <w:color w:val="auto"/>
                <w:sz w:val="20"/>
                <w:szCs w:val="20"/>
                <w:lang w:eastAsia="en-AU"/>
              </w:rPr>
            </w:pPr>
            <w:r w:rsidRPr="00222021">
              <w:rPr>
                <w:rFonts w:ascii="Calibri" w:hAnsi="Calibri" w:cs="Calibri"/>
                <w:color w:val="auto"/>
                <w:sz w:val="20"/>
                <w:szCs w:val="20"/>
                <w:lang w:eastAsia="en-AU"/>
              </w:rPr>
              <w:t xml:space="preserve">Table 1: </w:t>
            </w:r>
          </w:p>
          <w:p w14:paraId="2F06F6AE" w14:textId="77777777" w:rsidR="00222021" w:rsidRPr="00222021" w:rsidRDefault="00AE0EA4">
            <w:pPr>
              <w:rPr>
                <w:rFonts w:ascii="Calibri" w:hAnsi="Calibri" w:cs="Calibri"/>
                <w:color w:val="auto"/>
                <w:sz w:val="20"/>
                <w:szCs w:val="20"/>
                <w:lang w:eastAsia="en-AU"/>
              </w:rPr>
            </w:pPr>
            <w:r>
              <w:rPr>
                <w:rFonts w:ascii="Calibri" w:hAnsi="Calibri" w:cs="Calibri"/>
                <w:color w:val="auto"/>
                <w:sz w:val="20"/>
                <w:szCs w:val="20"/>
                <w:lang w:eastAsia="en-AU"/>
              </w:rPr>
              <w:t xml:space="preserve">Adjusted </w:t>
            </w:r>
            <w:r w:rsidR="00222021" w:rsidRPr="00222021">
              <w:rPr>
                <w:rFonts w:ascii="Calibri" w:hAnsi="Calibri" w:cs="Calibri"/>
                <w:color w:val="auto"/>
                <w:sz w:val="20"/>
                <w:szCs w:val="20"/>
                <w:lang w:eastAsia="en-AU"/>
              </w:rPr>
              <w:t>Attrition Rate (%)</w:t>
            </w:r>
          </w:p>
        </w:tc>
        <w:tc>
          <w:tcPr>
            <w:tcW w:w="0" w:type="auto"/>
            <w:hideMark/>
          </w:tcPr>
          <w:p w14:paraId="39322C2E" w14:textId="77777777" w:rsidR="00222021" w:rsidRPr="00222021" w:rsidRDefault="0022202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eastAsia="en-AU"/>
              </w:rPr>
            </w:pPr>
            <w:r w:rsidRPr="00222021">
              <w:rPr>
                <w:rFonts w:ascii="Calibri" w:hAnsi="Calibri" w:cs="Calibri"/>
                <w:color w:val="auto"/>
                <w:sz w:val="20"/>
                <w:szCs w:val="20"/>
                <w:lang w:eastAsia="en-AU"/>
              </w:rPr>
              <w:t>2005</w:t>
            </w:r>
          </w:p>
        </w:tc>
        <w:tc>
          <w:tcPr>
            <w:tcW w:w="0" w:type="auto"/>
            <w:hideMark/>
          </w:tcPr>
          <w:p w14:paraId="54D5B8AD" w14:textId="77777777" w:rsidR="00222021" w:rsidRPr="00222021" w:rsidRDefault="0022202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eastAsia="en-AU"/>
              </w:rPr>
            </w:pPr>
            <w:r w:rsidRPr="00222021">
              <w:rPr>
                <w:rFonts w:ascii="Calibri" w:hAnsi="Calibri" w:cs="Calibri"/>
                <w:color w:val="auto"/>
                <w:sz w:val="20"/>
                <w:szCs w:val="20"/>
                <w:lang w:eastAsia="en-AU"/>
              </w:rPr>
              <w:t>2006</w:t>
            </w:r>
          </w:p>
        </w:tc>
        <w:tc>
          <w:tcPr>
            <w:tcW w:w="0" w:type="auto"/>
            <w:hideMark/>
          </w:tcPr>
          <w:p w14:paraId="261AA821" w14:textId="77777777" w:rsidR="00222021" w:rsidRPr="00222021" w:rsidRDefault="0022202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eastAsia="en-AU"/>
              </w:rPr>
            </w:pPr>
            <w:r w:rsidRPr="00222021">
              <w:rPr>
                <w:rFonts w:ascii="Calibri" w:hAnsi="Calibri" w:cs="Calibri"/>
                <w:color w:val="auto"/>
                <w:sz w:val="20"/>
                <w:szCs w:val="20"/>
                <w:lang w:eastAsia="en-AU"/>
              </w:rPr>
              <w:t>2007</w:t>
            </w:r>
          </w:p>
        </w:tc>
        <w:tc>
          <w:tcPr>
            <w:tcW w:w="0" w:type="auto"/>
            <w:hideMark/>
          </w:tcPr>
          <w:p w14:paraId="67B0C750" w14:textId="77777777" w:rsidR="00222021" w:rsidRPr="00222021" w:rsidRDefault="0022202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eastAsia="en-AU"/>
              </w:rPr>
            </w:pPr>
            <w:r w:rsidRPr="00222021">
              <w:rPr>
                <w:rFonts w:ascii="Calibri" w:hAnsi="Calibri" w:cs="Calibri"/>
                <w:color w:val="auto"/>
                <w:sz w:val="20"/>
                <w:szCs w:val="20"/>
                <w:lang w:eastAsia="en-AU"/>
              </w:rPr>
              <w:t>2008</w:t>
            </w:r>
          </w:p>
        </w:tc>
        <w:tc>
          <w:tcPr>
            <w:tcW w:w="0" w:type="auto"/>
            <w:hideMark/>
          </w:tcPr>
          <w:p w14:paraId="03DB334A" w14:textId="77777777" w:rsidR="00222021" w:rsidRPr="00222021" w:rsidRDefault="0022202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eastAsia="en-AU"/>
              </w:rPr>
            </w:pPr>
            <w:r w:rsidRPr="00222021">
              <w:rPr>
                <w:rFonts w:ascii="Calibri" w:hAnsi="Calibri" w:cs="Calibri"/>
                <w:color w:val="auto"/>
                <w:sz w:val="20"/>
                <w:szCs w:val="20"/>
                <w:lang w:eastAsia="en-AU"/>
              </w:rPr>
              <w:t>2009</w:t>
            </w:r>
          </w:p>
        </w:tc>
        <w:tc>
          <w:tcPr>
            <w:tcW w:w="0" w:type="auto"/>
            <w:hideMark/>
          </w:tcPr>
          <w:p w14:paraId="0B4B4E97" w14:textId="77777777" w:rsidR="00222021" w:rsidRPr="00222021" w:rsidRDefault="0022202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eastAsia="en-AU"/>
              </w:rPr>
            </w:pPr>
            <w:r w:rsidRPr="00222021">
              <w:rPr>
                <w:rFonts w:ascii="Calibri" w:hAnsi="Calibri" w:cs="Calibri"/>
                <w:color w:val="auto"/>
                <w:sz w:val="20"/>
                <w:szCs w:val="20"/>
                <w:lang w:eastAsia="en-AU"/>
              </w:rPr>
              <w:t>2010</w:t>
            </w:r>
          </w:p>
        </w:tc>
        <w:tc>
          <w:tcPr>
            <w:tcW w:w="0" w:type="auto"/>
            <w:noWrap/>
            <w:hideMark/>
          </w:tcPr>
          <w:p w14:paraId="6312ACE1" w14:textId="77777777" w:rsidR="00222021" w:rsidRPr="00222021" w:rsidRDefault="0022202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eastAsia="en-AU"/>
              </w:rPr>
            </w:pPr>
            <w:r w:rsidRPr="00222021">
              <w:rPr>
                <w:rFonts w:ascii="Calibri" w:hAnsi="Calibri" w:cs="Calibri"/>
                <w:color w:val="auto"/>
                <w:sz w:val="20"/>
                <w:szCs w:val="20"/>
                <w:lang w:eastAsia="en-AU"/>
              </w:rPr>
              <w:t>2011</w:t>
            </w:r>
          </w:p>
        </w:tc>
        <w:tc>
          <w:tcPr>
            <w:tcW w:w="0" w:type="auto"/>
            <w:hideMark/>
          </w:tcPr>
          <w:p w14:paraId="5E7F0C27" w14:textId="77777777" w:rsidR="00222021" w:rsidRPr="00222021" w:rsidRDefault="0022202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eastAsia="en-AU"/>
              </w:rPr>
            </w:pPr>
            <w:r w:rsidRPr="00222021">
              <w:rPr>
                <w:rFonts w:ascii="Calibri" w:hAnsi="Calibri" w:cs="Calibri"/>
                <w:color w:val="auto"/>
                <w:sz w:val="20"/>
                <w:szCs w:val="20"/>
                <w:lang w:eastAsia="en-AU"/>
              </w:rPr>
              <w:t>2012</w:t>
            </w:r>
          </w:p>
        </w:tc>
        <w:tc>
          <w:tcPr>
            <w:tcW w:w="0" w:type="auto"/>
            <w:hideMark/>
          </w:tcPr>
          <w:p w14:paraId="4B021AE5" w14:textId="77777777" w:rsidR="00222021" w:rsidRPr="00222021" w:rsidRDefault="0022202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eastAsia="en-AU"/>
              </w:rPr>
            </w:pPr>
            <w:r w:rsidRPr="00222021">
              <w:rPr>
                <w:rFonts w:ascii="Calibri" w:hAnsi="Calibri" w:cs="Calibri"/>
                <w:color w:val="auto"/>
                <w:sz w:val="20"/>
                <w:szCs w:val="20"/>
                <w:lang w:eastAsia="en-AU"/>
              </w:rPr>
              <w:t>2013</w:t>
            </w:r>
          </w:p>
        </w:tc>
        <w:tc>
          <w:tcPr>
            <w:tcW w:w="0" w:type="auto"/>
            <w:hideMark/>
          </w:tcPr>
          <w:p w14:paraId="2ACE9E28" w14:textId="77777777" w:rsidR="00222021" w:rsidRPr="00222021" w:rsidRDefault="0022202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eastAsia="en-AU"/>
              </w:rPr>
            </w:pPr>
            <w:r w:rsidRPr="00222021">
              <w:rPr>
                <w:rFonts w:ascii="Calibri" w:hAnsi="Calibri" w:cs="Calibri"/>
                <w:color w:val="auto"/>
                <w:sz w:val="20"/>
                <w:szCs w:val="20"/>
                <w:lang w:eastAsia="en-AU"/>
              </w:rPr>
              <w:t>2014</w:t>
            </w:r>
          </w:p>
        </w:tc>
      </w:tr>
      <w:tr w:rsidR="00222021" w:rsidRPr="00222021" w14:paraId="48087888" w14:textId="77777777" w:rsidTr="0022202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632" w:type="dxa"/>
            <w:tcBorders>
              <w:top w:val="nil"/>
              <w:bottom w:val="nil"/>
            </w:tcBorders>
            <w:hideMark/>
          </w:tcPr>
          <w:p w14:paraId="4314F484" w14:textId="77777777" w:rsidR="00222021" w:rsidRPr="00222021" w:rsidRDefault="00222021">
            <w:pPr>
              <w:rPr>
                <w:rFonts w:ascii="Calibri" w:hAnsi="Calibri" w:cs="Calibri"/>
                <w:color w:val="auto"/>
                <w:sz w:val="20"/>
                <w:szCs w:val="20"/>
                <w:lang w:eastAsia="en-AU"/>
              </w:rPr>
            </w:pPr>
            <w:r w:rsidRPr="00222021">
              <w:rPr>
                <w:rFonts w:ascii="Calibri" w:hAnsi="Calibri" w:cs="Calibri"/>
                <w:color w:val="auto"/>
                <w:sz w:val="20"/>
                <w:szCs w:val="20"/>
                <w:lang w:eastAsia="en-AU"/>
              </w:rPr>
              <w:t>Adjusted Attrition Rate</w:t>
            </w:r>
          </w:p>
        </w:tc>
        <w:tc>
          <w:tcPr>
            <w:tcW w:w="0" w:type="auto"/>
            <w:tcBorders>
              <w:top w:val="nil"/>
              <w:bottom w:val="nil"/>
            </w:tcBorders>
            <w:vAlign w:val="center"/>
            <w:hideMark/>
          </w:tcPr>
          <w:p w14:paraId="15F53FCD"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20"/>
                <w:szCs w:val="20"/>
                <w:lang w:eastAsia="en-AU"/>
              </w:rPr>
            </w:pPr>
            <w:r w:rsidRPr="00222021">
              <w:rPr>
                <w:rFonts w:ascii="Calibri" w:hAnsi="Calibri" w:cs="Calibri"/>
                <w:bCs/>
                <w:color w:val="auto"/>
                <w:sz w:val="20"/>
                <w:szCs w:val="20"/>
                <w:lang w:eastAsia="en-AU"/>
              </w:rPr>
              <w:t>15.04</w:t>
            </w:r>
          </w:p>
        </w:tc>
        <w:tc>
          <w:tcPr>
            <w:tcW w:w="0" w:type="auto"/>
            <w:tcBorders>
              <w:top w:val="nil"/>
              <w:bottom w:val="nil"/>
            </w:tcBorders>
            <w:vAlign w:val="center"/>
            <w:hideMark/>
          </w:tcPr>
          <w:p w14:paraId="7C9D58C3"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20"/>
                <w:szCs w:val="20"/>
                <w:lang w:eastAsia="en-AU"/>
              </w:rPr>
            </w:pPr>
            <w:r w:rsidRPr="00222021">
              <w:rPr>
                <w:rFonts w:ascii="Calibri" w:hAnsi="Calibri" w:cs="Calibri"/>
                <w:bCs/>
                <w:color w:val="auto"/>
                <w:sz w:val="20"/>
                <w:szCs w:val="20"/>
                <w:lang w:eastAsia="en-AU"/>
              </w:rPr>
              <w:t>14.62</w:t>
            </w:r>
          </w:p>
        </w:tc>
        <w:tc>
          <w:tcPr>
            <w:tcW w:w="0" w:type="auto"/>
            <w:tcBorders>
              <w:top w:val="nil"/>
              <w:bottom w:val="nil"/>
            </w:tcBorders>
            <w:vAlign w:val="center"/>
            <w:hideMark/>
          </w:tcPr>
          <w:p w14:paraId="3B632102"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20"/>
                <w:szCs w:val="20"/>
                <w:lang w:eastAsia="en-AU"/>
              </w:rPr>
            </w:pPr>
            <w:r w:rsidRPr="00222021">
              <w:rPr>
                <w:rFonts w:ascii="Calibri" w:hAnsi="Calibri" w:cs="Calibri"/>
                <w:bCs/>
                <w:color w:val="auto"/>
                <w:sz w:val="20"/>
                <w:szCs w:val="20"/>
                <w:lang w:eastAsia="en-AU"/>
              </w:rPr>
              <w:t>14.76</w:t>
            </w:r>
          </w:p>
        </w:tc>
        <w:tc>
          <w:tcPr>
            <w:tcW w:w="0" w:type="auto"/>
            <w:tcBorders>
              <w:top w:val="nil"/>
              <w:bottom w:val="nil"/>
            </w:tcBorders>
            <w:vAlign w:val="center"/>
            <w:hideMark/>
          </w:tcPr>
          <w:p w14:paraId="64F6206B"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20"/>
                <w:szCs w:val="20"/>
                <w:lang w:eastAsia="en-AU"/>
              </w:rPr>
            </w:pPr>
            <w:r w:rsidRPr="00222021">
              <w:rPr>
                <w:rFonts w:ascii="Calibri" w:hAnsi="Calibri" w:cs="Calibri"/>
                <w:bCs/>
                <w:color w:val="auto"/>
                <w:sz w:val="20"/>
                <w:szCs w:val="20"/>
                <w:lang w:eastAsia="en-AU"/>
              </w:rPr>
              <w:t>12.77</w:t>
            </w:r>
          </w:p>
        </w:tc>
        <w:tc>
          <w:tcPr>
            <w:tcW w:w="0" w:type="auto"/>
            <w:tcBorders>
              <w:top w:val="nil"/>
              <w:bottom w:val="nil"/>
            </w:tcBorders>
            <w:vAlign w:val="center"/>
            <w:hideMark/>
          </w:tcPr>
          <w:p w14:paraId="514688C7"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20"/>
                <w:szCs w:val="20"/>
                <w:lang w:eastAsia="en-AU"/>
              </w:rPr>
            </w:pPr>
            <w:r w:rsidRPr="00222021">
              <w:rPr>
                <w:rFonts w:ascii="Calibri" w:hAnsi="Calibri" w:cs="Calibri"/>
                <w:bCs/>
                <w:color w:val="auto"/>
                <w:sz w:val="20"/>
                <w:szCs w:val="20"/>
                <w:lang w:eastAsia="en-AU"/>
              </w:rPr>
              <w:t>12.48</w:t>
            </w:r>
          </w:p>
        </w:tc>
        <w:tc>
          <w:tcPr>
            <w:tcW w:w="0" w:type="auto"/>
            <w:tcBorders>
              <w:top w:val="nil"/>
              <w:bottom w:val="nil"/>
            </w:tcBorders>
            <w:vAlign w:val="center"/>
            <w:hideMark/>
          </w:tcPr>
          <w:p w14:paraId="19FA2751"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20"/>
                <w:szCs w:val="20"/>
                <w:lang w:eastAsia="en-AU"/>
              </w:rPr>
            </w:pPr>
            <w:r w:rsidRPr="00222021">
              <w:rPr>
                <w:rFonts w:ascii="Calibri" w:hAnsi="Calibri" w:cs="Calibri"/>
                <w:bCs/>
                <w:color w:val="auto"/>
                <w:sz w:val="20"/>
                <w:szCs w:val="20"/>
                <w:lang w:eastAsia="en-AU"/>
              </w:rPr>
              <w:t>13.09</w:t>
            </w:r>
          </w:p>
        </w:tc>
        <w:tc>
          <w:tcPr>
            <w:tcW w:w="0" w:type="auto"/>
            <w:tcBorders>
              <w:top w:val="nil"/>
              <w:bottom w:val="nil"/>
            </w:tcBorders>
            <w:noWrap/>
            <w:vAlign w:val="center"/>
            <w:hideMark/>
          </w:tcPr>
          <w:p w14:paraId="2CC30CEB"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20"/>
                <w:szCs w:val="20"/>
                <w:lang w:eastAsia="en-AU"/>
              </w:rPr>
            </w:pPr>
            <w:r w:rsidRPr="00222021">
              <w:rPr>
                <w:rFonts w:ascii="Calibri" w:hAnsi="Calibri" w:cs="Calibri"/>
                <w:bCs/>
                <w:color w:val="auto"/>
                <w:sz w:val="20"/>
                <w:szCs w:val="20"/>
                <w:lang w:eastAsia="en-AU"/>
              </w:rPr>
              <w:t>12.79</w:t>
            </w:r>
          </w:p>
        </w:tc>
        <w:tc>
          <w:tcPr>
            <w:tcW w:w="0" w:type="auto"/>
            <w:tcBorders>
              <w:top w:val="nil"/>
              <w:bottom w:val="nil"/>
            </w:tcBorders>
            <w:vAlign w:val="center"/>
            <w:hideMark/>
          </w:tcPr>
          <w:p w14:paraId="51D35994"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20"/>
                <w:szCs w:val="20"/>
                <w:lang w:eastAsia="en-AU"/>
              </w:rPr>
            </w:pPr>
            <w:r w:rsidRPr="00222021">
              <w:rPr>
                <w:rFonts w:ascii="Calibri" w:hAnsi="Calibri" w:cs="Calibri"/>
                <w:bCs/>
                <w:color w:val="auto"/>
                <w:sz w:val="20"/>
                <w:szCs w:val="20"/>
                <w:lang w:eastAsia="en-AU"/>
              </w:rPr>
              <w:t>13.43</w:t>
            </w:r>
          </w:p>
        </w:tc>
        <w:tc>
          <w:tcPr>
            <w:tcW w:w="0" w:type="auto"/>
            <w:tcBorders>
              <w:top w:val="nil"/>
              <w:bottom w:val="nil"/>
            </w:tcBorders>
            <w:vAlign w:val="center"/>
            <w:hideMark/>
          </w:tcPr>
          <w:p w14:paraId="3420642C"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20"/>
                <w:szCs w:val="20"/>
                <w:lang w:eastAsia="en-AU"/>
              </w:rPr>
            </w:pPr>
            <w:r w:rsidRPr="00222021">
              <w:rPr>
                <w:rFonts w:ascii="Calibri" w:hAnsi="Calibri" w:cs="Calibri"/>
                <w:bCs/>
                <w:color w:val="auto"/>
                <w:sz w:val="20"/>
                <w:szCs w:val="20"/>
                <w:lang w:eastAsia="en-AU"/>
              </w:rPr>
              <w:t>14.79</w:t>
            </w:r>
          </w:p>
        </w:tc>
        <w:tc>
          <w:tcPr>
            <w:tcW w:w="0" w:type="auto"/>
            <w:tcBorders>
              <w:top w:val="nil"/>
              <w:bottom w:val="nil"/>
            </w:tcBorders>
            <w:vAlign w:val="center"/>
            <w:hideMark/>
          </w:tcPr>
          <w:p w14:paraId="59AFCAEB"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20"/>
                <w:szCs w:val="20"/>
                <w:lang w:eastAsia="en-AU"/>
              </w:rPr>
            </w:pPr>
            <w:r w:rsidRPr="00222021">
              <w:rPr>
                <w:rFonts w:ascii="Calibri" w:hAnsi="Calibri" w:cs="Calibri"/>
                <w:bCs/>
                <w:color w:val="auto"/>
                <w:sz w:val="20"/>
                <w:szCs w:val="20"/>
                <w:lang w:eastAsia="en-AU"/>
              </w:rPr>
              <w:t>15.18</w:t>
            </w:r>
          </w:p>
        </w:tc>
      </w:tr>
      <w:tr w:rsidR="00222021" w:rsidRPr="00222021" w14:paraId="74D7C376" w14:textId="77777777" w:rsidTr="00222021">
        <w:trPr>
          <w:trHeight w:val="310"/>
        </w:trPr>
        <w:tc>
          <w:tcPr>
            <w:cnfStyle w:val="001000000000" w:firstRow="0" w:lastRow="0" w:firstColumn="1" w:lastColumn="0" w:oddVBand="0" w:evenVBand="0" w:oddHBand="0" w:evenHBand="0" w:firstRowFirstColumn="0" w:firstRowLastColumn="0" w:lastRowFirstColumn="0" w:lastRowLastColumn="0"/>
            <w:tcW w:w="2632" w:type="dxa"/>
            <w:tcBorders>
              <w:top w:val="nil"/>
              <w:left w:val="nil"/>
              <w:bottom w:val="nil"/>
              <w:right w:val="nil"/>
            </w:tcBorders>
            <w:hideMark/>
          </w:tcPr>
          <w:p w14:paraId="0804C71C" w14:textId="77777777" w:rsidR="00222021" w:rsidRPr="00222021" w:rsidRDefault="00222021">
            <w:pPr>
              <w:rPr>
                <w:rFonts w:ascii="Calibri" w:hAnsi="Calibri" w:cs="Calibri"/>
                <w:color w:val="auto"/>
                <w:sz w:val="20"/>
                <w:szCs w:val="20"/>
                <w:lang w:eastAsia="en-AU"/>
              </w:rPr>
            </w:pPr>
            <w:r w:rsidRPr="00222021">
              <w:rPr>
                <w:rFonts w:ascii="Calibri" w:hAnsi="Calibri" w:cs="Calibri"/>
                <w:color w:val="auto"/>
                <w:sz w:val="20"/>
                <w:szCs w:val="20"/>
                <w:lang w:eastAsia="en-AU"/>
              </w:rPr>
              <w:t xml:space="preserve">Minus </w:t>
            </w:r>
            <w:proofErr w:type="spellStart"/>
            <w:r w:rsidRPr="00222021">
              <w:rPr>
                <w:rFonts w:ascii="Calibri" w:hAnsi="Calibri" w:cs="Calibri"/>
                <w:color w:val="auto"/>
                <w:sz w:val="20"/>
                <w:szCs w:val="20"/>
                <w:lang w:eastAsia="en-AU"/>
              </w:rPr>
              <w:t>FedU</w:t>
            </w:r>
            <w:proofErr w:type="spellEnd"/>
            <w:r w:rsidRPr="00222021">
              <w:rPr>
                <w:rFonts w:ascii="Calibri" w:hAnsi="Calibri" w:cs="Calibri"/>
                <w:color w:val="auto"/>
                <w:sz w:val="20"/>
                <w:szCs w:val="20"/>
                <w:lang w:eastAsia="en-AU"/>
              </w:rPr>
              <w:t xml:space="preserve">, SUT &amp; </w:t>
            </w:r>
            <w:proofErr w:type="spellStart"/>
            <w:r w:rsidRPr="00222021">
              <w:rPr>
                <w:rFonts w:ascii="Calibri" w:hAnsi="Calibri" w:cs="Calibri"/>
                <w:color w:val="auto"/>
                <w:sz w:val="20"/>
                <w:szCs w:val="20"/>
                <w:lang w:eastAsia="en-AU"/>
              </w:rPr>
              <w:t>UTas</w:t>
            </w:r>
            <w:proofErr w:type="spellEnd"/>
          </w:p>
        </w:tc>
        <w:tc>
          <w:tcPr>
            <w:tcW w:w="0" w:type="auto"/>
            <w:tcBorders>
              <w:top w:val="nil"/>
              <w:left w:val="nil"/>
              <w:bottom w:val="nil"/>
              <w:right w:val="nil"/>
            </w:tcBorders>
            <w:vAlign w:val="center"/>
            <w:hideMark/>
          </w:tcPr>
          <w:p w14:paraId="3A573E83" w14:textId="77777777" w:rsidR="00222021" w:rsidRPr="00222021" w:rsidRDefault="0022202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14.97</w:t>
            </w:r>
          </w:p>
        </w:tc>
        <w:tc>
          <w:tcPr>
            <w:tcW w:w="0" w:type="auto"/>
            <w:tcBorders>
              <w:top w:val="nil"/>
              <w:left w:val="nil"/>
              <w:bottom w:val="nil"/>
              <w:right w:val="nil"/>
            </w:tcBorders>
            <w:vAlign w:val="center"/>
            <w:hideMark/>
          </w:tcPr>
          <w:p w14:paraId="4005EA0D" w14:textId="77777777" w:rsidR="00222021" w:rsidRPr="00222021" w:rsidRDefault="0022202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14.51</w:t>
            </w:r>
          </w:p>
        </w:tc>
        <w:tc>
          <w:tcPr>
            <w:tcW w:w="0" w:type="auto"/>
            <w:tcBorders>
              <w:top w:val="nil"/>
              <w:left w:val="nil"/>
              <w:bottom w:val="nil"/>
              <w:right w:val="nil"/>
            </w:tcBorders>
            <w:vAlign w:val="center"/>
            <w:hideMark/>
          </w:tcPr>
          <w:p w14:paraId="3DF0D2FC" w14:textId="77777777" w:rsidR="00222021" w:rsidRPr="00222021" w:rsidRDefault="0022202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14.64</w:t>
            </w:r>
          </w:p>
        </w:tc>
        <w:tc>
          <w:tcPr>
            <w:tcW w:w="0" w:type="auto"/>
            <w:tcBorders>
              <w:top w:val="nil"/>
              <w:left w:val="nil"/>
              <w:bottom w:val="nil"/>
              <w:right w:val="nil"/>
            </w:tcBorders>
            <w:vAlign w:val="center"/>
            <w:hideMark/>
          </w:tcPr>
          <w:p w14:paraId="5ADAD45A" w14:textId="77777777" w:rsidR="00222021" w:rsidRPr="00222021" w:rsidRDefault="0022202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12.54</w:t>
            </w:r>
          </w:p>
        </w:tc>
        <w:tc>
          <w:tcPr>
            <w:tcW w:w="0" w:type="auto"/>
            <w:tcBorders>
              <w:top w:val="nil"/>
              <w:left w:val="nil"/>
              <w:bottom w:val="nil"/>
              <w:right w:val="nil"/>
            </w:tcBorders>
            <w:vAlign w:val="center"/>
            <w:hideMark/>
          </w:tcPr>
          <w:p w14:paraId="1811737D" w14:textId="77777777" w:rsidR="00222021" w:rsidRPr="00222021" w:rsidRDefault="0022202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12.39</w:t>
            </w:r>
          </w:p>
        </w:tc>
        <w:tc>
          <w:tcPr>
            <w:tcW w:w="0" w:type="auto"/>
            <w:tcBorders>
              <w:top w:val="nil"/>
              <w:left w:val="nil"/>
              <w:bottom w:val="nil"/>
              <w:right w:val="nil"/>
            </w:tcBorders>
            <w:vAlign w:val="center"/>
            <w:hideMark/>
          </w:tcPr>
          <w:p w14:paraId="70884060" w14:textId="77777777" w:rsidR="00222021" w:rsidRPr="00222021" w:rsidRDefault="0022202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12.94</w:t>
            </w:r>
          </w:p>
        </w:tc>
        <w:tc>
          <w:tcPr>
            <w:tcW w:w="0" w:type="auto"/>
            <w:tcBorders>
              <w:top w:val="nil"/>
              <w:left w:val="nil"/>
              <w:bottom w:val="nil"/>
              <w:right w:val="nil"/>
            </w:tcBorders>
            <w:noWrap/>
            <w:vAlign w:val="center"/>
            <w:hideMark/>
          </w:tcPr>
          <w:p w14:paraId="361A8508" w14:textId="77777777" w:rsidR="00222021" w:rsidRPr="00222021" w:rsidRDefault="0022202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12.64</w:t>
            </w:r>
          </w:p>
        </w:tc>
        <w:tc>
          <w:tcPr>
            <w:tcW w:w="0" w:type="auto"/>
            <w:tcBorders>
              <w:top w:val="nil"/>
              <w:left w:val="nil"/>
              <w:bottom w:val="nil"/>
              <w:right w:val="nil"/>
            </w:tcBorders>
            <w:vAlign w:val="center"/>
            <w:hideMark/>
          </w:tcPr>
          <w:p w14:paraId="326E5BF3" w14:textId="77777777" w:rsidR="00222021" w:rsidRPr="00222021" w:rsidRDefault="0022202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12.96</w:t>
            </w:r>
          </w:p>
        </w:tc>
        <w:tc>
          <w:tcPr>
            <w:tcW w:w="0" w:type="auto"/>
            <w:tcBorders>
              <w:top w:val="nil"/>
              <w:left w:val="nil"/>
              <w:bottom w:val="nil"/>
              <w:right w:val="nil"/>
            </w:tcBorders>
            <w:vAlign w:val="center"/>
            <w:hideMark/>
          </w:tcPr>
          <w:p w14:paraId="4ECA3D29" w14:textId="77777777" w:rsidR="00222021" w:rsidRPr="00222021" w:rsidRDefault="0022202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13.54</w:t>
            </w:r>
          </w:p>
        </w:tc>
        <w:tc>
          <w:tcPr>
            <w:tcW w:w="0" w:type="auto"/>
            <w:tcBorders>
              <w:top w:val="nil"/>
              <w:left w:val="nil"/>
              <w:bottom w:val="nil"/>
              <w:right w:val="nil"/>
            </w:tcBorders>
            <w:vAlign w:val="center"/>
            <w:hideMark/>
          </w:tcPr>
          <w:p w14:paraId="3F993D77" w14:textId="77777777" w:rsidR="00222021" w:rsidRPr="00222021" w:rsidRDefault="0022202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13.63</w:t>
            </w:r>
          </w:p>
        </w:tc>
      </w:tr>
      <w:tr w:rsidR="00222021" w:rsidRPr="00222021" w14:paraId="5E9E2B4F" w14:textId="77777777" w:rsidTr="0022202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632" w:type="dxa"/>
            <w:tcBorders>
              <w:top w:val="nil"/>
              <w:bottom w:val="single" w:sz="8" w:space="0" w:color="CF9A3E" w:themeColor="accent5"/>
            </w:tcBorders>
            <w:hideMark/>
          </w:tcPr>
          <w:p w14:paraId="14727FC7" w14:textId="77777777" w:rsidR="00222021" w:rsidRPr="00222021" w:rsidRDefault="00222021">
            <w:pPr>
              <w:rPr>
                <w:rFonts w:ascii="Calibri" w:hAnsi="Calibri" w:cs="Calibri"/>
                <w:color w:val="auto"/>
                <w:sz w:val="20"/>
                <w:szCs w:val="20"/>
                <w:lang w:eastAsia="en-AU"/>
              </w:rPr>
            </w:pPr>
            <w:r w:rsidRPr="00222021">
              <w:rPr>
                <w:rFonts w:ascii="Calibri" w:hAnsi="Calibri" w:cs="Calibri"/>
                <w:color w:val="auto"/>
                <w:sz w:val="20"/>
                <w:szCs w:val="20"/>
                <w:lang w:eastAsia="en-AU"/>
              </w:rPr>
              <w:t>Difference</w:t>
            </w:r>
          </w:p>
        </w:tc>
        <w:tc>
          <w:tcPr>
            <w:tcW w:w="0" w:type="auto"/>
            <w:tcBorders>
              <w:top w:val="nil"/>
              <w:bottom w:val="single" w:sz="8" w:space="0" w:color="CF9A3E" w:themeColor="accent5"/>
            </w:tcBorders>
            <w:vAlign w:val="center"/>
            <w:hideMark/>
          </w:tcPr>
          <w:p w14:paraId="079CBD27"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0.07</w:t>
            </w:r>
          </w:p>
        </w:tc>
        <w:tc>
          <w:tcPr>
            <w:tcW w:w="0" w:type="auto"/>
            <w:tcBorders>
              <w:top w:val="nil"/>
              <w:bottom w:val="single" w:sz="8" w:space="0" w:color="CF9A3E" w:themeColor="accent5"/>
            </w:tcBorders>
            <w:vAlign w:val="center"/>
            <w:hideMark/>
          </w:tcPr>
          <w:p w14:paraId="23113C10"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0.11</w:t>
            </w:r>
          </w:p>
        </w:tc>
        <w:tc>
          <w:tcPr>
            <w:tcW w:w="0" w:type="auto"/>
            <w:tcBorders>
              <w:top w:val="nil"/>
              <w:bottom w:val="single" w:sz="8" w:space="0" w:color="CF9A3E" w:themeColor="accent5"/>
            </w:tcBorders>
            <w:vAlign w:val="center"/>
            <w:hideMark/>
          </w:tcPr>
          <w:p w14:paraId="673A02CF"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0.12</w:t>
            </w:r>
          </w:p>
        </w:tc>
        <w:tc>
          <w:tcPr>
            <w:tcW w:w="0" w:type="auto"/>
            <w:tcBorders>
              <w:top w:val="nil"/>
              <w:bottom w:val="single" w:sz="8" w:space="0" w:color="CF9A3E" w:themeColor="accent5"/>
            </w:tcBorders>
            <w:vAlign w:val="center"/>
            <w:hideMark/>
          </w:tcPr>
          <w:p w14:paraId="378AA69A"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0.23</w:t>
            </w:r>
          </w:p>
        </w:tc>
        <w:tc>
          <w:tcPr>
            <w:tcW w:w="0" w:type="auto"/>
            <w:tcBorders>
              <w:top w:val="nil"/>
              <w:bottom w:val="single" w:sz="8" w:space="0" w:color="CF9A3E" w:themeColor="accent5"/>
            </w:tcBorders>
            <w:vAlign w:val="center"/>
            <w:hideMark/>
          </w:tcPr>
          <w:p w14:paraId="5D262EE5"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0.09</w:t>
            </w:r>
          </w:p>
        </w:tc>
        <w:tc>
          <w:tcPr>
            <w:tcW w:w="0" w:type="auto"/>
            <w:tcBorders>
              <w:top w:val="nil"/>
              <w:bottom w:val="single" w:sz="8" w:space="0" w:color="CF9A3E" w:themeColor="accent5"/>
            </w:tcBorders>
            <w:vAlign w:val="center"/>
            <w:hideMark/>
          </w:tcPr>
          <w:p w14:paraId="1CE1F5F0"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0.15</w:t>
            </w:r>
          </w:p>
        </w:tc>
        <w:tc>
          <w:tcPr>
            <w:tcW w:w="0" w:type="auto"/>
            <w:tcBorders>
              <w:top w:val="nil"/>
              <w:bottom w:val="single" w:sz="8" w:space="0" w:color="CF9A3E" w:themeColor="accent5"/>
            </w:tcBorders>
            <w:noWrap/>
            <w:vAlign w:val="center"/>
            <w:hideMark/>
          </w:tcPr>
          <w:p w14:paraId="23A4BD80"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0.15</w:t>
            </w:r>
          </w:p>
        </w:tc>
        <w:tc>
          <w:tcPr>
            <w:tcW w:w="0" w:type="auto"/>
            <w:tcBorders>
              <w:top w:val="nil"/>
              <w:bottom w:val="single" w:sz="8" w:space="0" w:color="CF9A3E" w:themeColor="accent5"/>
            </w:tcBorders>
            <w:vAlign w:val="center"/>
            <w:hideMark/>
          </w:tcPr>
          <w:p w14:paraId="02068BA7"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0.47</w:t>
            </w:r>
          </w:p>
        </w:tc>
        <w:tc>
          <w:tcPr>
            <w:tcW w:w="0" w:type="auto"/>
            <w:tcBorders>
              <w:top w:val="nil"/>
              <w:bottom w:val="single" w:sz="8" w:space="0" w:color="CF9A3E" w:themeColor="accent5"/>
            </w:tcBorders>
            <w:vAlign w:val="center"/>
            <w:hideMark/>
          </w:tcPr>
          <w:p w14:paraId="50284954"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1.25</w:t>
            </w:r>
          </w:p>
        </w:tc>
        <w:tc>
          <w:tcPr>
            <w:tcW w:w="0" w:type="auto"/>
            <w:tcBorders>
              <w:top w:val="nil"/>
              <w:bottom w:val="single" w:sz="8" w:space="0" w:color="CF9A3E" w:themeColor="accent5"/>
            </w:tcBorders>
            <w:vAlign w:val="center"/>
            <w:hideMark/>
          </w:tcPr>
          <w:p w14:paraId="3491F62F" w14:textId="77777777" w:rsidR="00222021" w:rsidRPr="00222021" w:rsidRDefault="0022202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222021">
              <w:rPr>
                <w:rFonts w:ascii="Calibri" w:hAnsi="Calibri" w:cs="Calibri"/>
                <w:color w:val="auto"/>
                <w:sz w:val="20"/>
                <w:szCs w:val="20"/>
              </w:rPr>
              <w:t>1.55</w:t>
            </w:r>
          </w:p>
        </w:tc>
      </w:tr>
    </w:tbl>
    <w:p w14:paraId="74F0656A" w14:textId="77777777" w:rsidR="005062BF" w:rsidRDefault="005062BF" w:rsidP="00F24502"/>
    <w:p w14:paraId="456F8D0B" w14:textId="77777777" w:rsidR="00F24502" w:rsidRDefault="00F24502" w:rsidP="00F24502">
      <w:r>
        <w:t xml:space="preserve">Attrition rates for </w:t>
      </w:r>
      <w:r w:rsidR="005062BF">
        <w:t>NUHEPs</w:t>
      </w:r>
      <w:r>
        <w:t>, while complex to measure and difficult to compare to u</w:t>
      </w:r>
      <w:r w:rsidR="003600FB">
        <w:t>niversity attrition rates, are generall</w:t>
      </w:r>
      <w:r>
        <w:t>y higher than Table A and B univ</w:t>
      </w:r>
      <w:r w:rsidR="003600FB">
        <w:t xml:space="preserve">ersities and, again, there are significant </w:t>
      </w:r>
      <w:r>
        <w:t xml:space="preserve">differences in attrition rates between various NUHEPs. </w:t>
      </w:r>
    </w:p>
    <w:p w14:paraId="6382AA72" w14:textId="77777777" w:rsidR="0002361B" w:rsidRDefault="007E3F05" w:rsidP="000B7C82">
      <w:pPr>
        <w:rPr>
          <w:lang w:eastAsia="en-AU"/>
        </w:rPr>
      </w:pPr>
      <w:r>
        <w:t>The Panel</w:t>
      </w:r>
      <w:r w:rsidR="001B7C59">
        <w:t xml:space="preserve"> also</w:t>
      </w:r>
      <w:r>
        <w:t xml:space="preserve"> </w:t>
      </w:r>
      <w:r w:rsidR="00DE456B">
        <w:t>reflects on</w:t>
      </w:r>
      <w:r>
        <w:t xml:space="preserve"> the differences in attrition data between modes of delivery. </w:t>
      </w:r>
      <w:r w:rsidR="000B7C82" w:rsidRPr="00987335">
        <w:t xml:space="preserve">For instance, </w:t>
      </w:r>
      <w:r w:rsidR="000B7C82" w:rsidRPr="00987335">
        <w:rPr>
          <w:lang w:eastAsia="en-AU"/>
        </w:rPr>
        <w:t>external students are around 2½ times more likely to withdraw from higher education than internal students</w:t>
      </w:r>
      <w:r w:rsidR="00242E04">
        <w:rPr>
          <w:lang w:eastAsia="en-AU"/>
        </w:rPr>
        <w:t xml:space="preserve"> – see Figure 1</w:t>
      </w:r>
      <w:r w:rsidR="000B7C82" w:rsidRPr="00987335">
        <w:rPr>
          <w:lang w:eastAsia="en-AU"/>
        </w:rPr>
        <w:t>.</w:t>
      </w:r>
      <w:r>
        <w:rPr>
          <w:lang w:eastAsia="en-AU"/>
        </w:rPr>
        <w:t xml:space="preserve"> </w:t>
      </w:r>
      <w:r w:rsidR="000B7C82" w:rsidRPr="00987335">
        <w:rPr>
          <w:lang w:eastAsia="en-AU"/>
        </w:rPr>
        <w:t>This is problematic</w:t>
      </w:r>
      <w:r w:rsidR="00C72362">
        <w:rPr>
          <w:lang w:eastAsia="en-AU"/>
        </w:rPr>
        <w:t>, given that, in th</w:t>
      </w:r>
      <w:r>
        <w:rPr>
          <w:lang w:eastAsia="en-AU"/>
        </w:rPr>
        <w:t xml:space="preserve">e age of increased digitalisation, </w:t>
      </w:r>
      <w:r w:rsidR="000B7C82" w:rsidRPr="00987335">
        <w:rPr>
          <w:lang w:eastAsia="en-AU"/>
        </w:rPr>
        <w:t>the number of external students</w:t>
      </w:r>
      <w:r w:rsidR="005062BF">
        <w:rPr>
          <w:lang w:eastAsia="en-AU"/>
        </w:rPr>
        <w:t xml:space="preserve"> is</w:t>
      </w:r>
      <w:r w:rsidR="000B7C82" w:rsidRPr="00987335">
        <w:rPr>
          <w:lang w:eastAsia="en-AU"/>
        </w:rPr>
        <w:t xml:space="preserve"> rising faster than the number of internal students</w:t>
      </w:r>
      <w:r w:rsidR="005062BF">
        <w:rPr>
          <w:lang w:eastAsia="en-AU"/>
        </w:rPr>
        <w:t>,</w:t>
      </w:r>
      <w:r w:rsidR="00C72362">
        <w:rPr>
          <w:lang w:eastAsia="en-AU"/>
        </w:rPr>
        <w:t xml:space="preserve"> increasing from a low of 8.3 per cent in 2006 to </w:t>
      </w:r>
      <w:r w:rsidR="005062BF">
        <w:rPr>
          <w:lang w:eastAsia="en-AU"/>
        </w:rPr>
        <w:t>1</w:t>
      </w:r>
      <w:r w:rsidR="00C72362">
        <w:rPr>
          <w:lang w:eastAsia="en-AU"/>
        </w:rPr>
        <w:t>4.5 per cent in 2015</w:t>
      </w:r>
      <w:r w:rsidR="00EA3794">
        <w:rPr>
          <w:lang w:eastAsia="en-AU"/>
        </w:rPr>
        <w:t xml:space="preserve">. </w:t>
      </w:r>
      <w:r w:rsidR="000B7C82" w:rsidRPr="00987335">
        <w:rPr>
          <w:lang w:eastAsia="en-AU"/>
        </w:rPr>
        <w:t xml:space="preserve">The discussion paper notes that four universities </w:t>
      </w:r>
      <w:r w:rsidR="0002361B">
        <w:rPr>
          <w:lang w:eastAsia="en-AU"/>
        </w:rPr>
        <w:t xml:space="preserve">- </w:t>
      </w:r>
      <w:r w:rsidR="000B7C82" w:rsidRPr="00987335">
        <w:rPr>
          <w:lang w:eastAsia="en-AU"/>
        </w:rPr>
        <w:t>University of Tasmania, Swinburne</w:t>
      </w:r>
      <w:r w:rsidR="00C24A5D">
        <w:rPr>
          <w:lang w:eastAsia="en-AU"/>
        </w:rPr>
        <w:t xml:space="preserve"> University of Technology</w:t>
      </w:r>
      <w:r w:rsidR="000B7C82" w:rsidRPr="00987335">
        <w:rPr>
          <w:lang w:eastAsia="en-AU"/>
        </w:rPr>
        <w:t xml:space="preserve">, </w:t>
      </w:r>
      <w:r w:rsidR="00C24A5D">
        <w:rPr>
          <w:lang w:eastAsia="en-AU"/>
        </w:rPr>
        <w:t xml:space="preserve">the </w:t>
      </w:r>
      <w:r w:rsidR="000B7C82" w:rsidRPr="00987335">
        <w:rPr>
          <w:lang w:eastAsia="en-AU"/>
        </w:rPr>
        <w:t>University of New Engla</w:t>
      </w:r>
      <w:r w:rsidR="0002361B">
        <w:rPr>
          <w:lang w:eastAsia="en-AU"/>
        </w:rPr>
        <w:t>nd and Charles Sturt University -</w:t>
      </w:r>
      <w:r w:rsidR="000B7C82" w:rsidRPr="00987335">
        <w:rPr>
          <w:lang w:eastAsia="en-AU"/>
        </w:rPr>
        <w:t xml:space="preserve"> account for over half of all external students. Of these providers, Charles Sturt </w:t>
      </w:r>
      <w:r w:rsidR="00C24A5D">
        <w:rPr>
          <w:lang w:eastAsia="en-AU"/>
        </w:rPr>
        <w:t xml:space="preserve">University </w:t>
      </w:r>
      <w:r w:rsidR="000B7C82" w:rsidRPr="00987335">
        <w:rPr>
          <w:lang w:eastAsia="en-AU"/>
        </w:rPr>
        <w:t xml:space="preserve">and </w:t>
      </w:r>
      <w:r w:rsidR="00C24A5D">
        <w:rPr>
          <w:lang w:eastAsia="en-AU"/>
        </w:rPr>
        <w:t xml:space="preserve">the University of </w:t>
      </w:r>
      <w:r w:rsidR="000B7C82" w:rsidRPr="00987335">
        <w:rPr>
          <w:lang w:eastAsia="en-AU"/>
        </w:rPr>
        <w:t>New England have a long history of high numbers of external students. In contrast, Swinburne</w:t>
      </w:r>
      <w:r w:rsidR="00C24A5D">
        <w:rPr>
          <w:lang w:eastAsia="en-AU"/>
        </w:rPr>
        <w:t xml:space="preserve"> University of Technology</w:t>
      </w:r>
      <w:r w:rsidR="000B7C82" w:rsidRPr="00987335">
        <w:rPr>
          <w:lang w:eastAsia="en-AU"/>
        </w:rPr>
        <w:t xml:space="preserve"> and University of Tasmania have increased their external student numbers</w:t>
      </w:r>
      <w:r w:rsidR="009565DB">
        <w:rPr>
          <w:lang w:eastAsia="en-AU"/>
        </w:rPr>
        <w:t xml:space="preserve"> significantly</w:t>
      </w:r>
      <w:r w:rsidR="000B7C82" w:rsidRPr="00987335">
        <w:rPr>
          <w:lang w:eastAsia="en-AU"/>
        </w:rPr>
        <w:t>, correlating strongly with these institutions’ rising attrition rates over the same period</w:t>
      </w:r>
      <w:r w:rsidR="00EA3794">
        <w:rPr>
          <w:rStyle w:val="FootnoteReference"/>
        </w:rPr>
        <w:footnoteReference w:id="3"/>
      </w:r>
      <w:r w:rsidR="00EA3794">
        <w:t>.</w:t>
      </w:r>
      <w:r w:rsidR="000B7C82" w:rsidRPr="00987335">
        <w:rPr>
          <w:lang w:eastAsia="en-AU"/>
        </w:rPr>
        <w:t xml:space="preserve"> </w:t>
      </w:r>
    </w:p>
    <w:p w14:paraId="26D1D43F" w14:textId="77777777" w:rsidR="00FC4CE2" w:rsidRDefault="00242E04" w:rsidP="005062BF">
      <w:pPr>
        <w:jc w:val="center"/>
        <w:rPr>
          <w:lang w:eastAsia="en-AU"/>
        </w:rPr>
      </w:pPr>
      <w:r>
        <w:rPr>
          <w:noProof/>
          <w:lang w:eastAsia="en-AU"/>
        </w:rPr>
        <w:drawing>
          <wp:inline distT="0" distB="0" distL="0" distR="0" wp14:anchorId="33FFFD5B" wp14:editId="7EA74C7E">
            <wp:extent cx="4146550" cy="2017718"/>
            <wp:effectExtent l="0" t="0" r="6350" b="1905"/>
            <wp:docPr id="7" name="Picture 7" descr="As per paragraph above" title="Attrition rate by mode of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7531" cy="2018196"/>
                    </a:xfrm>
                    <a:prstGeom prst="rect">
                      <a:avLst/>
                    </a:prstGeom>
                    <a:noFill/>
                  </pic:spPr>
                </pic:pic>
              </a:graphicData>
            </a:graphic>
          </wp:inline>
        </w:drawing>
      </w:r>
    </w:p>
    <w:p w14:paraId="5AC83FE3" w14:textId="77777777" w:rsidR="000B7C82" w:rsidRPr="00987335" w:rsidRDefault="00A038F1" w:rsidP="000B7C82">
      <w:pPr>
        <w:rPr>
          <w:lang w:eastAsia="en-AU"/>
        </w:rPr>
      </w:pPr>
      <w:r w:rsidRPr="00A038F1">
        <w:rPr>
          <w:lang w:eastAsia="en-AU"/>
        </w:rPr>
        <w:t xml:space="preserve">Institutions need to take greater responsibility to ensure they retain </w:t>
      </w:r>
      <w:r>
        <w:rPr>
          <w:lang w:eastAsia="en-AU"/>
        </w:rPr>
        <w:t xml:space="preserve">the </w:t>
      </w:r>
      <w:r w:rsidRPr="00A038F1">
        <w:rPr>
          <w:lang w:eastAsia="en-AU"/>
        </w:rPr>
        <w:t>students</w:t>
      </w:r>
      <w:r>
        <w:rPr>
          <w:lang w:eastAsia="en-AU"/>
        </w:rPr>
        <w:t xml:space="preserve"> they enrol</w:t>
      </w:r>
      <w:r w:rsidRPr="00A038F1">
        <w:rPr>
          <w:lang w:eastAsia="en-AU"/>
        </w:rPr>
        <w:t xml:space="preserve">. </w:t>
      </w:r>
      <w:r w:rsidR="0047021F">
        <w:rPr>
          <w:lang w:eastAsia="en-AU"/>
        </w:rPr>
        <w:t xml:space="preserve">Curricula for external courses </w:t>
      </w:r>
      <w:proofErr w:type="gramStart"/>
      <w:r w:rsidR="0047021F">
        <w:rPr>
          <w:lang w:eastAsia="en-AU"/>
        </w:rPr>
        <w:t>must be designed</w:t>
      </w:r>
      <w:proofErr w:type="gramEnd"/>
      <w:r w:rsidR="0047021F">
        <w:rPr>
          <w:lang w:eastAsia="en-AU"/>
        </w:rPr>
        <w:t xml:space="preserve"> with the external student in mind and must utilise the benefits of contemporary technology in course design.</w:t>
      </w:r>
      <w:r w:rsidRPr="00A038F1">
        <w:rPr>
          <w:lang w:eastAsia="en-AU"/>
        </w:rPr>
        <w:t xml:space="preserve"> </w:t>
      </w:r>
      <w:r w:rsidR="000B7C82" w:rsidRPr="00987335">
        <w:rPr>
          <w:lang w:eastAsia="en-AU"/>
        </w:rPr>
        <w:t xml:space="preserve">The Panel makes recommendations in relation to the retention of external students </w:t>
      </w:r>
      <w:r w:rsidR="00EA3794">
        <w:rPr>
          <w:lang w:eastAsia="en-AU"/>
        </w:rPr>
        <w:t>in this report</w:t>
      </w:r>
      <w:r w:rsidR="000B7C82" w:rsidRPr="00987335">
        <w:rPr>
          <w:lang w:eastAsia="en-AU"/>
        </w:rPr>
        <w:t xml:space="preserve">. </w:t>
      </w:r>
    </w:p>
    <w:p w14:paraId="4F47E0D9" w14:textId="130FCE2C" w:rsidR="000B7C82" w:rsidRPr="00987335" w:rsidRDefault="000100CC" w:rsidP="000B7C82">
      <w:r>
        <w:t>Overall,</w:t>
      </w:r>
      <w:r w:rsidR="00B83CC0">
        <w:t xml:space="preserve"> t</w:t>
      </w:r>
      <w:r w:rsidR="00DE456B">
        <w:t xml:space="preserve">he Panel </w:t>
      </w:r>
      <w:r w:rsidR="00644B8D">
        <w:t>believes</w:t>
      </w:r>
      <w:r w:rsidR="00A54781">
        <w:t xml:space="preserve"> that</w:t>
      </w:r>
      <w:r w:rsidR="002D70C9">
        <w:t xml:space="preserve"> in the current changing context of higher education</w:t>
      </w:r>
      <w:r w:rsidR="001E5E7F">
        <w:t>,</w:t>
      </w:r>
      <w:r w:rsidR="00644B8D">
        <w:t xml:space="preserve"> </w:t>
      </w:r>
      <w:r w:rsidR="00DE456B">
        <w:t>i</w:t>
      </w:r>
      <w:r w:rsidR="00B83CC0">
        <w:t xml:space="preserve">nstitutions </w:t>
      </w:r>
      <w:r w:rsidR="00644B8D">
        <w:t xml:space="preserve">should consider </w:t>
      </w:r>
      <w:r w:rsidR="00B83CC0">
        <w:t>increasing their performance by making significant improvements to their academic and non-academic support mechanisms and the quality of their intervention strategies. This will maximise their</w:t>
      </w:r>
      <w:r w:rsidR="001E5E7F">
        <w:t xml:space="preserve"> students’</w:t>
      </w:r>
      <w:r w:rsidR="00B83CC0">
        <w:t xml:space="preserve"> chances of successfully completing their courses</w:t>
      </w:r>
      <w:r w:rsidR="005062BF">
        <w:t>. Some</w:t>
      </w:r>
      <w:r w:rsidR="00FD795B">
        <w:t xml:space="preserve"> stakeholders agreed</w:t>
      </w:r>
      <w:r w:rsidR="000B7C82" w:rsidRPr="00987335">
        <w:t>.</w:t>
      </w:r>
      <w:r w:rsidR="00DE456B">
        <w:t xml:space="preserve"> </w:t>
      </w:r>
      <w:r w:rsidR="00D752DE">
        <w:t xml:space="preserve">The </w:t>
      </w:r>
      <w:r w:rsidR="00D752DE" w:rsidRPr="00987335">
        <w:t xml:space="preserve">Equity Practitioners </w:t>
      </w:r>
      <w:r w:rsidR="00D752DE">
        <w:t>in Higher Education Australasia stated:</w:t>
      </w:r>
    </w:p>
    <w:p w14:paraId="1389C891" w14:textId="77777777" w:rsidR="003F0A40" w:rsidRDefault="000B7C82" w:rsidP="000B7C82">
      <w:pPr>
        <w:ind w:left="720"/>
        <w:rPr>
          <w:i/>
        </w:rPr>
      </w:pPr>
      <w:r w:rsidRPr="00987335">
        <w:rPr>
          <w:i/>
        </w:rPr>
        <w:t xml:space="preserve">Of course higher education practitioners can always do better to retain students – strategies and interventions such as widening participation activities in both outreach and retention spaces; enabling programs which support increased preparedness; innovative activity in the teaching and learning space as well as in transition out initiatives are all necessary and currently exist.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DBD2" w:themeFill="accent6" w:themeFillTint="33"/>
        <w:tblLook w:val="04A0" w:firstRow="1" w:lastRow="0" w:firstColumn="1" w:lastColumn="0" w:noHBand="0" w:noVBand="1"/>
      </w:tblPr>
      <w:tblGrid>
        <w:gridCol w:w="9026"/>
      </w:tblGrid>
      <w:tr w:rsidR="002B5608" w14:paraId="3FF1AFBA" w14:textId="77777777" w:rsidTr="00FE747A">
        <w:tc>
          <w:tcPr>
            <w:tcW w:w="9242" w:type="dxa"/>
            <w:shd w:val="clear" w:color="auto" w:fill="F1DBD2" w:themeFill="accent6" w:themeFillTint="33"/>
          </w:tcPr>
          <w:p w14:paraId="27E00D16" w14:textId="77777777" w:rsidR="002B5608" w:rsidRPr="00E97CE6" w:rsidRDefault="002B5608" w:rsidP="00FE747A">
            <w:pPr>
              <w:rPr>
                <w:b/>
              </w:rPr>
            </w:pPr>
            <w:r w:rsidRPr="00E97CE6">
              <w:rPr>
                <w:b/>
              </w:rPr>
              <w:t>Recommendations</w:t>
            </w:r>
          </w:p>
          <w:p w14:paraId="5962D77D" w14:textId="77777777" w:rsidR="00BE380C" w:rsidRDefault="00AB27C9" w:rsidP="00AB27C9">
            <w:pPr>
              <w:pStyle w:val="ListParagraph"/>
              <w:numPr>
                <w:ilvl w:val="0"/>
                <w:numId w:val="28"/>
              </w:numPr>
            </w:pPr>
            <w:r>
              <w:t xml:space="preserve">As a first priority, institutions should ensure </w:t>
            </w:r>
            <w:proofErr w:type="gramStart"/>
            <w:r>
              <w:t xml:space="preserve">students who have </w:t>
            </w:r>
            <w:r w:rsidRPr="00655561">
              <w:t>the capacit</w:t>
            </w:r>
            <w:r>
              <w:t>y to succeed in higher education</w:t>
            </w:r>
            <w:r w:rsidRPr="00655561">
              <w:t xml:space="preserve"> are given the best chance to complete their studies through the appropriate provision of academic and</w:t>
            </w:r>
            <w:r>
              <w:t xml:space="preserve"> other support services as required of them by the Higher Education Standards Framework</w:t>
            </w:r>
            <w:proofErr w:type="gramEnd"/>
            <w:r>
              <w:t>.</w:t>
            </w:r>
          </w:p>
        </w:tc>
      </w:tr>
    </w:tbl>
    <w:p w14:paraId="35EF39D4" w14:textId="77777777" w:rsidR="002B5608" w:rsidRDefault="002B5608" w:rsidP="00AE0EA4"/>
    <w:p w14:paraId="358A49E4" w14:textId="77777777" w:rsidR="00FA440C" w:rsidRDefault="00FA440C" w:rsidP="00AE0EA4">
      <w:pPr>
        <w:rPr>
          <w:rFonts w:ascii="Calibri" w:eastAsiaTheme="majorEastAsia" w:hAnsi="Calibri" w:cstheme="majorBidi"/>
          <w:b/>
          <w:bCs/>
          <w:color w:val="522761"/>
          <w:sz w:val="36"/>
          <w:szCs w:val="28"/>
        </w:rPr>
      </w:pPr>
      <w:r>
        <w:br w:type="page"/>
      </w:r>
    </w:p>
    <w:p w14:paraId="15417B6F" w14:textId="77777777" w:rsidR="000B7C82" w:rsidRPr="009B4CE6" w:rsidRDefault="000B7C82" w:rsidP="000B7C82">
      <w:pPr>
        <w:pStyle w:val="Heading1"/>
      </w:pPr>
      <w:bookmarkStart w:id="11" w:name="_Toc488181511"/>
      <w:bookmarkStart w:id="12" w:name="_Toc516120031"/>
      <w:bookmarkEnd w:id="9"/>
      <w:r w:rsidRPr="009B4CE6">
        <w:t>Supporting students to make the right choices</w:t>
      </w:r>
      <w:bookmarkEnd w:id="11"/>
      <w:bookmarkEnd w:id="12"/>
    </w:p>
    <w:p w14:paraId="0C290F5E" w14:textId="77777777" w:rsidR="00FE747A" w:rsidRPr="00FE747A" w:rsidRDefault="00FE747A" w:rsidP="00FE747A">
      <w:r>
        <w:t xml:space="preserve">In response to how students </w:t>
      </w:r>
      <w:proofErr w:type="gramStart"/>
      <w:r>
        <w:t>can better be supported</w:t>
      </w:r>
      <w:proofErr w:type="gramEnd"/>
      <w:r>
        <w:t xml:space="preserve"> to make the right choices, the Australian Technology Network stated:</w:t>
      </w:r>
    </w:p>
    <w:p w14:paraId="1E3F4BE9" w14:textId="77777777" w:rsidR="000B7C82" w:rsidRPr="00390304" w:rsidRDefault="000B7C82" w:rsidP="000B7C82">
      <w:pPr>
        <w:ind w:left="720"/>
        <w:rPr>
          <w:i/>
        </w:rPr>
      </w:pPr>
      <w:r w:rsidRPr="00390304">
        <w:rPr>
          <w:i/>
        </w:rPr>
        <w:t xml:space="preserve">The ATN believes that strategies that encourage students to gain confidence and skills to succeed post-high school, prior to higher education are critical. Further, raising aspirations of prospective students through outreach and early intervention and providing informed career advice as early as possible, particularly for students of disadvantage, will yield benefits. The advice to students should be high quality and unbiased, tailored to the skills, interests and abilities of the prospective student. This advice should improve their chances of course completion. </w:t>
      </w:r>
    </w:p>
    <w:p w14:paraId="7D4FFD69" w14:textId="77777777" w:rsidR="000B7C82" w:rsidRDefault="000B7C82" w:rsidP="000B7C82">
      <w:pPr>
        <w:pStyle w:val="Heading2"/>
      </w:pPr>
      <w:r>
        <w:t>Raising aspirations</w:t>
      </w:r>
      <w:r w:rsidR="000F321B">
        <w:t xml:space="preserve"> and outreach programs</w:t>
      </w:r>
    </w:p>
    <w:p w14:paraId="00B9A833" w14:textId="77777777" w:rsidR="000B7C82" w:rsidRDefault="000B7C82" w:rsidP="000B7C82">
      <w:r>
        <w:t xml:space="preserve">Feedback emphasised how important </w:t>
      </w:r>
      <w:r w:rsidRPr="00FC1030">
        <w:t xml:space="preserve">parents, teachers and </w:t>
      </w:r>
      <w:r w:rsidR="00177078">
        <w:t>career</w:t>
      </w:r>
      <w:r w:rsidRPr="00FC1030">
        <w:t xml:space="preserve"> </w:t>
      </w:r>
      <w:r w:rsidR="00177078">
        <w:t>adviser</w:t>
      </w:r>
      <w:r w:rsidRPr="00FC1030">
        <w:t xml:space="preserve">s are </w:t>
      </w:r>
      <w:r>
        <w:t xml:space="preserve">in terms of building aspiration and influencing students, </w:t>
      </w:r>
      <w:r w:rsidR="00AC5772">
        <w:t xml:space="preserve">especially low </w:t>
      </w:r>
      <w:r w:rsidR="00ED3EDB">
        <w:t>socioeconomic</w:t>
      </w:r>
      <w:r w:rsidR="00AC5772">
        <w:t xml:space="preserve"> and Indigenous students. </w:t>
      </w:r>
      <w:r w:rsidR="00FE747A">
        <w:t>The Australian Secondary Principals Association stated:</w:t>
      </w:r>
    </w:p>
    <w:p w14:paraId="6D765429" w14:textId="77777777" w:rsidR="000B7C82" w:rsidRDefault="007124B1" w:rsidP="000B7C82">
      <w:pPr>
        <w:ind w:left="720"/>
      </w:pPr>
      <w:r>
        <w:rPr>
          <w:i/>
        </w:rPr>
        <w:t xml:space="preserve">Prior to entry. </w:t>
      </w:r>
      <w:r w:rsidR="000B7C82" w:rsidRPr="002140C8">
        <w:rPr>
          <w:i/>
        </w:rPr>
        <w:t xml:space="preserve">Raise the aspirations of prospective students through outreach and early intervention - It needs to go further than this for students in low SEI areas and those with families with welfare dependency. </w:t>
      </w:r>
      <w:proofErr w:type="gramStart"/>
      <w:r w:rsidR="000B7C82" w:rsidRPr="002140C8">
        <w:rPr>
          <w:i/>
        </w:rPr>
        <w:t>We must raise the aspirations of parents, families and carers – and dare we say it, educators as well – so that student</w:t>
      </w:r>
      <w:r w:rsidR="000B7C82">
        <w:rPr>
          <w:i/>
        </w:rPr>
        <w:t>s</w:t>
      </w:r>
      <w:r w:rsidR="000B7C82" w:rsidRPr="002140C8">
        <w:rPr>
          <w:i/>
        </w:rPr>
        <w:t xml:space="preserve"> feel it is OK to perform well and aim high.</w:t>
      </w:r>
      <w:proofErr w:type="gramEnd"/>
      <w:r w:rsidR="000B7C82" w:rsidRPr="002140C8">
        <w:rPr>
          <w:i/>
        </w:rPr>
        <w:t xml:space="preserve"> It is never too early to work on aspiration and inspiration – it adds relevance to learning and engagement and buy in from students.</w:t>
      </w:r>
      <w:r w:rsidR="000B7C82">
        <w:rPr>
          <w:i/>
        </w:rPr>
        <w:t xml:space="preserve"> </w:t>
      </w:r>
    </w:p>
    <w:p w14:paraId="6F87AC78" w14:textId="77777777" w:rsidR="000F321B" w:rsidRDefault="000F321B" w:rsidP="000B7C82">
      <w:r>
        <w:t xml:space="preserve">There was a strong focus on providing these influencers with up to date, relevant information to guide students’ choices. </w:t>
      </w:r>
    </w:p>
    <w:p w14:paraId="42F05B79" w14:textId="77777777" w:rsidR="000B7C82" w:rsidRDefault="000B7C82" w:rsidP="000B7C82">
      <w:r>
        <w:t xml:space="preserve">Many institutions cited their </w:t>
      </w:r>
      <w:r w:rsidR="000F321B">
        <w:t xml:space="preserve">successful </w:t>
      </w:r>
      <w:r>
        <w:t xml:space="preserve">outreach programs, </w:t>
      </w:r>
      <w:r w:rsidR="00D27DC2">
        <w:t xml:space="preserve">such as </w:t>
      </w:r>
      <w:r w:rsidR="00FE747A">
        <w:t xml:space="preserve">partnerships with schools, regional </w:t>
      </w:r>
      <w:r w:rsidR="00F8207E">
        <w:t>road shows</w:t>
      </w:r>
      <w:r w:rsidR="00D27DC2">
        <w:t xml:space="preserve"> and expos</w:t>
      </w:r>
      <w:r w:rsidR="005062BF">
        <w:t>.</w:t>
      </w:r>
      <w:r w:rsidR="006F4050">
        <w:t xml:space="preserve"> They </w:t>
      </w:r>
      <w:r w:rsidR="005062BF">
        <w:t xml:space="preserve">also </w:t>
      </w:r>
      <w:r w:rsidR="006F4050">
        <w:t xml:space="preserve">noted </w:t>
      </w:r>
      <w:r>
        <w:t>the large amount of time and resources required to operate outreach programs effectively</w:t>
      </w:r>
      <w:r w:rsidR="00C74186" w:rsidRPr="00C74186">
        <w:t xml:space="preserve"> </w:t>
      </w:r>
      <w:r w:rsidR="00C74186">
        <w:t>and the lack of clear evidence on what works</w:t>
      </w:r>
      <w:r>
        <w:t xml:space="preserve">. </w:t>
      </w:r>
      <w:r w:rsidR="00DB1BDC">
        <w:t>Griffith University stated:</w:t>
      </w:r>
    </w:p>
    <w:p w14:paraId="19F20FBE" w14:textId="77777777" w:rsidR="000B7C82" w:rsidRPr="00877637" w:rsidRDefault="000B7C82" w:rsidP="000B7C82">
      <w:pPr>
        <w:ind w:left="720"/>
        <w:rPr>
          <w:i/>
        </w:rPr>
      </w:pPr>
      <w:r w:rsidRPr="00877637">
        <w:rPr>
          <w:i/>
        </w:rPr>
        <w:t xml:space="preserve">Griffith has recently conducted an evaluation of its outreach activities in the light of evidence of successful engagement strategies outlined </w:t>
      </w:r>
      <w:r>
        <w:rPr>
          <w:i/>
        </w:rPr>
        <w:t xml:space="preserve">in the literature. </w:t>
      </w:r>
      <w:r w:rsidRPr="00877637">
        <w:rPr>
          <w:i/>
        </w:rPr>
        <w:t xml:space="preserve">Very few rigorous studies of the impact of outreach and careers advice </w:t>
      </w:r>
      <w:proofErr w:type="gramStart"/>
      <w:r w:rsidRPr="00877637">
        <w:rPr>
          <w:i/>
        </w:rPr>
        <w:t>have been carried</w:t>
      </w:r>
      <w:proofErr w:type="gramEnd"/>
      <w:r w:rsidRPr="00877637">
        <w:rPr>
          <w:i/>
        </w:rPr>
        <w:t xml:space="preserve"> out t</w:t>
      </w:r>
      <w:r>
        <w:rPr>
          <w:i/>
        </w:rPr>
        <w:t>hat could inform good practice.</w:t>
      </w:r>
      <w:r w:rsidRPr="00877637">
        <w:rPr>
          <w:i/>
        </w:rPr>
        <w:t xml:space="preserve"> Early and frequent engagement seems to be a predictor of later higher education engagement, but the most effective types of engagement are unclear.</w:t>
      </w:r>
      <w:r>
        <w:rPr>
          <w:i/>
        </w:rPr>
        <w:t xml:space="preserve"> </w:t>
      </w:r>
      <w:r w:rsidRPr="00877637">
        <w:rPr>
          <w:i/>
        </w:rPr>
        <w:t xml:space="preserve">The tertiary sector faces capacity constraints in servicing a large number of schools, particularly if engagement </w:t>
      </w:r>
      <w:proofErr w:type="gramStart"/>
      <w:r>
        <w:rPr>
          <w:i/>
        </w:rPr>
        <w:t>is extended</w:t>
      </w:r>
      <w:proofErr w:type="gramEnd"/>
      <w:r>
        <w:rPr>
          <w:i/>
        </w:rPr>
        <w:t xml:space="preserve"> to primary school</w:t>
      </w:r>
      <w:r w:rsidR="00DB1BDC">
        <w:rPr>
          <w:i/>
        </w:rPr>
        <w:t>.</w:t>
      </w:r>
    </w:p>
    <w:p w14:paraId="7652BD3E" w14:textId="77777777" w:rsidR="003F0A40" w:rsidRDefault="003F0A40">
      <w:r>
        <w:br w:type="page"/>
      </w:r>
    </w:p>
    <w:p w14:paraId="5F32EFD4" w14:textId="77777777" w:rsidR="00C74186" w:rsidRDefault="000F321B" w:rsidP="000F321B">
      <w:pPr>
        <w:rPr>
          <w:lang w:val="en"/>
        </w:rPr>
      </w:pPr>
      <w:r>
        <w:t xml:space="preserve">Stakeholders </w:t>
      </w:r>
      <w:r w:rsidR="005062BF">
        <w:t>mentioned</w:t>
      </w:r>
      <w:r>
        <w:t xml:space="preserve"> the importance of the partnership component of the HEPPP</w:t>
      </w:r>
      <w:r w:rsidR="005062BF">
        <w:t xml:space="preserve"> </w:t>
      </w:r>
      <w:r w:rsidR="00DE456B">
        <w:rPr>
          <w:lang w:val="en"/>
        </w:rPr>
        <w:t xml:space="preserve">which </w:t>
      </w:r>
      <w:r w:rsidR="00DE456B" w:rsidRPr="00DE456B">
        <w:rPr>
          <w:lang w:val="en"/>
        </w:rPr>
        <w:t xml:space="preserve">provides funding to universities to raise the aspirations and build the capacity of people from low </w:t>
      </w:r>
      <w:r w:rsidR="00274934">
        <w:rPr>
          <w:lang w:val="en"/>
        </w:rPr>
        <w:t>socioeconomic</w:t>
      </w:r>
      <w:r w:rsidR="00DE456B" w:rsidRPr="00DE456B">
        <w:rPr>
          <w:lang w:val="en"/>
        </w:rPr>
        <w:t xml:space="preserve"> backgrounds to participate in higher education, by developing activities in partnership with primary and </w:t>
      </w:r>
      <w:r w:rsidR="00274934">
        <w:rPr>
          <w:lang w:val="en"/>
        </w:rPr>
        <w:t xml:space="preserve">secondary schools, VET providers, </w:t>
      </w:r>
      <w:r w:rsidR="00DE456B" w:rsidRPr="00DE456B">
        <w:rPr>
          <w:lang w:val="en"/>
        </w:rPr>
        <w:t xml:space="preserve">other universities, </w:t>
      </w:r>
      <w:r w:rsidR="00274934">
        <w:rPr>
          <w:lang w:val="en"/>
        </w:rPr>
        <w:t>state and te</w:t>
      </w:r>
      <w:r w:rsidR="00DE456B" w:rsidRPr="00DE456B">
        <w:rPr>
          <w:lang w:val="en"/>
        </w:rPr>
        <w:t>rritory governments, community groups and other stakeholders.</w:t>
      </w:r>
    </w:p>
    <w:p w14:paraId="40277F0B" w14:textId="457B4DC7" w:rsidR="000F321B" w:rsidRPr="006F4050" w:rsidRDefault="007B68B9" w:rsidP="000F321B">
      <w:r>
        <w:t xml:space="preserve">Between 2010 and </w:t>
      </w:r>
      <w:proofErr w:type="gramStart"/>
      <w:r>
        <w:t>2015</w:t>
      </w:r>
      <w:proofErr w:type="gramEnd"/>
      <w:r>
        <w:t xml:space="preserve"> </w:t>
      </w:r>
      <w:r w:rsidRPr="000F321B">
        <w:rPr>
          <w:lang w:val="en"/>
        </w:rPr>
        <w:t>at</w:t>
      </w:r>
      <w:r w:rsidR="000F321B" w:rsidRPr="000F321B">
        <w:rPr>
          <w:lang w:val="en"/>
        </w:rPr>
        <w:t xml:space="preserve"> least 2,913 partner </w:t>
      </w:r>
      <w:proofErr w:type="spellStart"/>
      <w:r w:rsidR="000F321B" w:rsidRPr="000F321B">
        <w:rPr>
          <w:lang w:val="en"/>
        </w:rPr>
        <w:t>organisations</w:t>
      </w:r>
      <w:proofErr w:type="spellEnd"/>
      <w:r w:rsidR="000F321B" w:rsidRPr="000F321B">
        <w:rPr>
          <w:lang w:val="en"/>
        </w:rPr>
        <w:t xml:space="preserve"> participated in HEPPP outreach activities</w:t>
      </w:r>
      <w:r w:rsidR="000F321B">
        <w:rPr>
          <w:rStyle w:val="FootnoteReference"/>
          <w:lang w:val="en"/>
        </w:rPr>
        <w:footnoteReference w:id="4"/>
      </w:r>
      <w:r w:rsidR="000F321B">
        <w:rPr>
          <w:lang w:val="en"/>
        </w:rPr>
        <w:t xml:space="preserve">. The </w:t>
      </w:r>
      <w:r w:rsidR="000B7C82">
        <w:t xml:space="preserve">evaluation of the HEPPP, </w:t>
      </w:r>
      <w:r w:rsidR="000B7C82" w:rsidRPr="006F4050">
        <w:t xml:space="preserve">published in March 2017, confirms HEPPP outreach activities are meeting the HEPPP objective to increase the total number of people from low </w:t>
      </w:r>
      <w:r w:rsidR="005062BF">
        <w:t>socioeconomic</w:t>
      </w:r>
      <w:r w:rsidR="000B7C82" w:rsidRPr="006F4050">
        <w:t xml:space="preserve"> backgrounds who access and participate in higher education through ou</w:t>
      </w:r>
      <w:r w:rsidR="00A54781">
        <w:t>treach and related activities.</w:t>
      </w:r>
    </w:p>
    <w:p w14:paraId="46419978" w14:textId="77777777" w:rsidR="00655561" w:rsidRDefault="00DB1BDC" w:rsidP="00655561">
      <w:pPr>
        <w:pStyle w:val="Heading2"/>
        <w:rPr>
          <w:rFonts w:asciiTheme="minorHAnsi" w:eastAsiaTheme="minorEastAsia" w:hAnsiTheme="minorHAnsi" w:cstheme="minorBidi"/>
          <w:b w:val="0"/>
          <w:bCs w:val="0"/>
          <w:sz w:val="22"/>
          <w:szCs w:val="22"/>
          <w:lang w:val="en"/>
        </w:rPr>
      </w:pPr>
      <w:proofErr w:type="gramStart"/>
      <w:r>
        <w:rPr>
          <w:rFonts w:asciiTheme="minorHAnsi" w:eastAsiaTheme="minorEastAsia" w:hAnsiTheme="minorHAnsi" w:cstheme="minorBidi"/>
          <w:b w:val="0"/>
          <w:bCs w:val="0"/>
          <w:sz w:val="22"/>
          <w:szCs w:val="22"/>
          <w:lang w:val="en"/>
        </w:rPr>
        <w:t>As detailed in the discussion paper, t</w:t>
      </w:r>
      <w:r w:rsidRPr="00DB1BDC">
        <w:rPr>
          <w:rFonts w:asciiTheme="minorHAnsi" w:eastAsiaTheme="minorEastAsia" w:hAnsiTheme="minorHAnsi" w:cstheme="minorBidi"/>
          <w:b w:val="0"/>
          <w:bCs w:val="0"/>
          <w:sz w:val="22"/>
          <w:szCs w:val="22"/>
          <w:lang w:val="en"/>
        </w:rPr>
        <w:t xml:space="preserve">he Government’s proposed higher education reforms </w:t>
      </w:r>
      <w:r>
        <w:rPr>
          <w:rFonts w:asciiTheme="minorHAnsi" w:eastAsiaTheme="minorEastAsia" w:hAnsiTheme="minorHAnsi" w:cstheme="minorBidi"/>
          <w:b w:val="0"/>
          <w:bCs w:val="0"/>
          <w:sz w:val="22"/>
          <w:szCs w:val="22"/>
          <w:lang w:val="en"/>
        </w:rPr>
        <w:t xml:space="preserve">aim to </w:t>
      </w:r>
      <w:r w:rsidRPr="00DB1BDC">
        <w:rPr>
          <w:rFonts w:asciiTheme="minorHAnsi" w:eastAsiaTheme="minorEastAsia" w:hAnsiTheme="minorHAnsi" w:cstheme="minorBidi"/>
          <w:b w:val="0"/>
          <w:bCs w:val="0"/>
          <w:sz w:val="22"/>
          <w:szCs w:val="22"/>
          <w:lang w:val="en"/>
        </w:rPr>
        <w:t xml:space="preserve">strengthen the HEPPP access and participation component by implementing two types of incentives </w:t>
      </w:r>
      <w:r w:rsidR="00655561">
        <w:rPr>
          <w:rFonts w:asciiTheme="minorHAnsi" w:eastAsiaTheme="minorEastAsia" w:hAnsiTheme="minorHAnsi" w:cstheme="minorBidi"/>
          <w:b w:val="0"/>
          <w:bCs w:val="0"/>
          <w:sz w:val="22"/>
          <w:szCs w:val="22"/>
        </w:rPr>
        <w:t xml:space="preserve">that </w:t>
      </w:r>
      <w:r>
        <w:rPr>
          <w:rFonts w:asciiTheme="minorHAnsi" w:eastAsiaTheme="minorEastAsia" w:hAnsiTheme="minorHAnsi" w:cstheme="minorBidi"/>
          <w:b w:val="0"/>
          <w:bCs w:val="0"/>
          <w:sz w:val="22"/>
          <w:szCs w:val="22"/>
          <w:lang w:val="en"/>
        </w:rPr>
        <w:t xml:space="preserve">will </w:t>
      </w:r>
      <w:r w:rsidR="00655561" w:rsidRPr="00655561">
        <w:rPr>
          <w:rFonts w:asciiTheme="minorHAnsi" w:eastAsiaTheme="minorEastAsia" w:hAnsiTheme="minorHAnsi" w:cstheme="minorBidi"/>
          <w:b w:val="0"/>
          <w:bCs w:val="0"/>
          <w:sz w:val="22"/>
          <w:szCs w:val="22"/>
          <w:lang w:val="en"/>
        </w:rPr>
        <w:t>provide a stimulus for eligible universities to recruit, support and retain students from</w:t>
      </w:r>
      <w:r w:rsidR="00525FBC">
        <w:rPr>
          <w:rFonts w:asciiTheme="minorHAnsi" w:eastAsiaTheme="minorEastAsia" w:hAnsiTheme="minorHAnsi" w:cstheme="minorBidi"/>
          <w:b w:val="0"/>
          <w:bCs w:val="0"/>
          <w:sz w:val="22"/>
          <w:szCs w:val="22"/>
          <w:lang w:val="en"/>
        </w:rPr>
        <w:t xml:space="preserve"> low socio</w:t>
      </w:r>
      <w:r w:rsidR="00655561" w:rsidRPr="00655561">
        <w:rPr>
          <w:rFonts w:asciiTheme="minorHAnsi" w:eastAsiaTheme="minorEastAsia" w:hAnsiTheme="minorHAnsi" w:cstheme="minorBidi"/>
          <w:b w:val="0"/>
          <w:bCs w:val="0"/>
          <w:sz w:val="22"/>
          <w:szCs w:val="22"/>
          <w:lang w:val="en"/>
        </w:rPr>
        <w:t>economic status backgrounds</w:t>
      </w:r>
      <w:r w:rsidR="00655561">
        <w:rPr>
          <w:rFonts w:asciiTheme="minorHAnsi" w:eastAsiaTheme="minorEastAsia" w:hAnsiTheme="minorHAnsi" w:cstheme="minorBidi"/>
          <w:b w:val="0"/>
          <w:bCs w:val="0"/>
          <w:sz w:val="22"/>
          <w:szCs w:val="22"/>
          <w:lang w:val="en"/>
        </w:rPr>
        <w:t xml:space="preserve"> and </w:t>
      </w:r>
      <w:r w:rsidR="00655561" w:rsidRPr="00655561">
        <w:rPr>
          <w:rFonts w:asciiTheme="minorHAnsi" w:eastAsiaTheme="minorEastAsia" w:hAnsiTheme="minorHAnsi" w:cstheme="minorBidi"/>
          <w:b w:val="0"/>
          <w:bCs w:val="0"/>
          <w:sz w:val="22"/>
          <w:szCs w:val="22"/>
        </w:rPr>
        <w:t>enable eligible universities to allocate funding to outreach activities as required by their particular demographic and strategic circumstances</w:t>
      </w:r>
      <w:r w:rsidR="005062BF">
        <w:rPr>
          <w:rFonts w:asciiTheme="minorHAnsi" w:eastAsiaTheme="minorEastAsia" w:hAnsiTheme="minorHAnsi" w:cstheme="minorBidi"/>
          <w:b w:val="0"/>
          <w:bCs w:val="0"/>
          <w:sz w:val="22"/>
          <w:szCs w:val="22"/>
        </w:rPr>
        <w:t>.</w:t>
      </w:r>
      <w:proofErr w:type="gramEnd"/>
      <w:r w:rsidR="005062BF">
        <w:rPr>
          <w:rFonts w:asciiTheme="minorHAnsi" w:eastAsiaTheme="minorEastAsia" w:hAnsiTheme="minorHAnsi" w:cstheme="minorBidi"/>
          <w:b w:val="0"/>
          <w:bCs w:val="0"/>
          <w:sz w:val="22"/>
          <w:szCs w:val="22"/>
        </w:rPr>
        <w:t xml:space="preserve"> This includes</w:t>
      </w:r>
      <w:r w:rsidR="00655561" w:rsidRPr="00655561">
        <w:rPr>
          <w:rFonts w:asciiTheme="minorHAnsi" w:eastAsiaTheme="minorEastAsia" w:hAnsiTheme="minorHAnsi" w:cstheme="minorBidi"/>
          <w:b w:val="0"/>
          <w:bCs w:val="0"/>
          <w:sz w:val="22"/>
          <w:szCs w:val="22"/>
        </w:rPr>
        <w:t xml:space="preserve"> early years outreach to build a pipeline of potential students from low socioeconomic status backgrounds</w:t>
      </w:r>
      <w:r w:rsidR="00655561">
        <w:rPr>
          <w:rFonts w:asciiTheme="minorHAnsi" w:eastAsiaTheme="minorEastAsia" w:hAnsiTheme="minorHAnsi" w:cstheme="minorBidi"/>
          <w:b w:val="0"/>
          <w:bCs w:val="0"/>
          <w:sz w:val="22"/>
          <w:szCs w:val="22"/>
        </w:rPr>
        <w:t>.</w:t>
      </w:r>
    </w:p>
    <w:p w14:paraId="5DA96D94" w14:textId="77777777" w:rsidR="00761727" w:rsidRDefault="00177078" w:rsidP="00761727">
      <w:pPr>
        <w:pStyle w:val="Heading2"/>
        <w:rPr>
          <w:rFonts w:cs="Calibri"/>
          <w:bCs w:val="0"/>
        </w:rPr>
      </w:pPr>
      <w:r>
        <w:rPr>
          <w:rFonts w:cs="Calibri"/>
          <w:bCs w:val="0"/>
        </w:rPr>
        <w:t>Career</w:t>
      </w:r>
      <w:r w:rsidR="00761727">
        <w:rPr>
          <w:rFonts w:cs="Calibri"/>
          <w:bCs w:val="0"/>
        </w:rPr>
        <w:t xml:space="preserve"> advice</w:t>
      </w:r>
    </w:p>
    <w:p w14:paraId="47DDB090" w14:textId="77777777" w:rsidR="00761727" w:rsidRDefault="00177078" w:rsidP="00761727">
      <w:pPr>
        <w:rPr>
          <w:rFonts w:ascii="Calibri" w:eastAsia="Times New Roman" w:hAnsi="Calibri" w:cs="Calibri"/>
          <w:bCs/>
        </w:rPr>
      </w:pPr>
      <w:r>
        <w:rPr>
          <w:rFonts w:ascii="Calibri" w:eastAsia="Times New Roman" w:hAnsi="Calibri" w:cs="Calibri"/>
        </w:rPr>
        <w:t>Career</w:t>
      </w:r>
      <w:r w:rsidR="00761727">
        <w:rPr>
          <w:rFonts w:ascii="Calibri" w:eastAsia="Times New Roman" w:hAnsi="Calibri" w:cs="Calibri"/>
          <w:bCs/>
        </w:rPr>
        <w:t xml:space="preserve"> education plays an important role in assisting students to choose the courses most appropriate to their skills, abilities and interests</w:t>
      </w:r>
      <w:r w:rsidR="00153BC2">
        <w:rPr>
          <w:rFonts w:ascii="Calibri" w:eastAsia="Times New Roman" w:hAnsi="Calibri" w:cs="Calibri"/>
          <w:bCs/>
        </w:rPr>
        <w:t>, subsequently increasing</w:t>
      </w:r>
      <w:r w:rsidR="00761727">
        <w:rPr>
          <w:rFonts w:ascii="Calibri" w:eastAsia="Times New Roman" w:hAnsi="Calibri" w:cs="Calibri"/>
          <w:bCs/>
        </w:rPr>
        <w:t xml:space="preserve"> their chances of course completion. </w:t>
      </w:r>
    </w:p>
    <w:p w14:paraId="1ECB7070" w14:textId="77777777" w:rsidR="00AF1A4D" w:rsidRDefault="00177078" w:rsidP="00AF1A4D">
      <w:pPr>
        <w:pStyle w:val="Heading3"/>
        <w:rPr>
          <w:rFonts w:eastAsia="Times New Roman"/>
        </w:rPr>
      </w:pPr>
      <w:r>
        <w:rPr>
          <w:rFonts w:eastAsia="Times New Roman"/>
        </w:rPr>
        <w:t>Career</w:t>
      </w:r>
      <w:r w:rsidR="00AF1A4D">
        <w:rPr>
          <w:rFonts w:eastAsia="Times New Roman"/>
        </w:rPr>
        <w:t xml:space="preserve"> advice in schools</w:t>
      </w:r>
    </w:p>
    <w:p w14:paraId="7DA53048" w14:textId="77777777" w:rsidR="00761727" w:rsidRDefault="00761727" w:rsidP="00761727">
      <w:pPr>
        <w:autoSpaceDE w:val="0"/>
        <w:autoSpaceDN w:val="0"/>
        <w:adjustRightInd w:val="0"/>
        <w:rPr>
          <w:rFonts w:ascii="Calibri" w:hAnsi="Calibri" w:cs="Calibri"/>
          <w:color w:val="000000"/>
        </w:rPr>
      </w:pPr>
      <w:r>
        <w:rPr>
          <w:rFonts w:ascii="Calibri" w:eastAsia="Times New Roman" w:hAnsi="Calibri" w:cs="Calibri"/>
          <w:bCs/>
        </w:rPr>
        <w:t xml:space="preserve">Stakeholders highlighted the </w:t>
      </w:r>
      <w:r>
        <w:rPr>
          <w:rFonts w:ascii="Calibri" w:hAnsi="Calibri" w:cs="Calibri"/>
          <w:color w:val="000000"/>
        </w:rPr>
        <w:t xml:space="preserve">need for a renewed focus on </w:t>
      </w:r>
      <w:r w:rsidR="00177078">
        <w:rPr>
          <w:rFonts w:ascii="Calibri" w:hAnsi="Calibri" w:cs="Calibri"/>
          <w:color w:val="000000"/>
        </w:rPr>
        <w:t>career</w:t>
      </w:r>
      <w:r>
        <w:rPr>
          <w:rFonts w:ascii="Calibri" w:hAnsi="Calibri" w:cs="Calibri"/>
          <w:color w:val="000000"/>
        </w:rPr>
        <w:t xml:space="preserve"> education in schools, especially disadvantaged schools. There was discussion around the lack of leadership at the national level and within individual schools, the lack of </w:t>
      </w:r>
      <w:r w:rsidR="00177078">
        <w:rPr>
          <w:rFonts w:ascii="Calibri" w:hAnsi="Calibri" w:cs="Calibri"/>
          <w:color w:val="000000"/>
        </w:rPr>
        <w:t>career</w:t>
      </w:r>
      <w:r>
        <w:rPr>
          <w:rFonts w:ascii="Calibri" w:hAnsi="Calibri" w:cs="Calibri"/>
          <w:color w:val="000000"/>
        </w:rPr>
        <w:t xml:space="preserve"> </w:t>
      </w:r>
      <w:r w:rsidR="00177078">
        <w:rPr>
          <w:rFonts w:ascii="Calibri" w:hAnsi="Calibri" w:cs="Calibri"/>
          <w:color w:val="000000"/>
        </w:rPr>
        <w:t>adviser</w:t>
      </w:r>
      <w:r>
        <w:rPr>
          <w:rFonts w:ascii="Calibri" w:hAnsi="Calibri" w:cs="Calibri"/>
          <w:color w:val="000000"/>
        </w:rPr>
        <w:t xml:space="preserve">s and the lack of connection and communication between teachers and </w:t>
      </w:r>
      <w:r w:rsidR="00177078">
        <w:rPr>
          <w:rFonts w:ascii="Calibri" w:hAnsi="Calibri" w:cs="Calibri"/>
          <w:color w:val="000000"/>
        </w:rPr>
        <w:t>career</w:t>
      </w:r>
      <w:r>
        <w:rPr>
          <w:rFonts w:ascii="Calibri" w:hAnsi="Calibri" w:cs="Calibri"/>
          <w:color w:val="000000"/>
        </w:rPr>
        <w:t xml:space="preserve"> </w:t>
      </w:r>
      <w:r w:rsidR="00177078">
        <w:rPr>
          <w:rFonts w:ascii="Calibri" w:hAnsi="Calibri" w:cs="Calibri"/>
          <w:color w:val="000000"/>
        </w:rPr>
        <w:t>adviser</w:t>
      </w:r>
      <w:r>
        <w:rPr>
          <w:rFonts w:ascii="Calibri" w:hAnsi="Calibri" w:cs="Calibri"/>
          <w:color w:val="000000"/>
        </w:rPr>
        <w:t xml:space="preserve">s. </w:t>
      </w:r>
    </w:p>
    <w:p w14:paraId="453A31D1" w14:textId="77777777" w:rsidR="00761727" w:rsidRDefault="00761727" w:rsidP="00761727">
      <w:pPr>
        <w:autoSpaceDE w:val="0"/>
        <w:autoSpaceDN w:val="0"/>
        <w:adjustRightInd w:val="0"/>
        <w:rPr>
          <w:rFonts w:ascii="Calibri" w:hAnsi="Calibri" w:cs="Calibri"/>
          <w:color w:val="000000"/>
        </w:rPr>
      </w:pPr>
      <w:r>
        <w:rPr>
          <w:rFonts w:ascii="Calibri" w:hAnsi="Calibri" w:cs="Calibri"/>
          <w:color w:val="000000"/>
        </w:rPr>
        <w:t xml:space="preserve">There were calls for more user friendly, career information to </w:t>
      </w:r>
      <w:proofErr w:type="gramStart"/>
      <w:r>
        <w:rPr>
          <w:rFonts w:ascii="Calibri" w:hAnsi="Calibri" w:cs="Calibri"/>
          <w:color w:val="000000"/>
        </w:rPr>
        <w:t>be made</w:t>
      </w:r>
      <w:proofErr w:type="gramEnd"/>
      <w:r>
        <w:rPr>
          <w:rFonts w:ascii="Calibri" w:hAnsi="Calibri" w:cs="Calibri"/>
          <w:color w:val="000000"/>
        </w:rPr>
        <w:t xml:space="preserve"> available throughout a student’s education, which would assist with more informed subject selection. </w:t>
      </w:r>
      <w:r w:rsidR="00C74186">
        <w:rPr>
          <w:rFonts w:ascii="Calibri" w:hAnsi="Calibri" w:cs="Calibri"/>
          <w:color w:val="000000"/>
        </w:rPr>
        <w:t xml:space="preserve">The </w:t>
      </w:r>
      <w:r w:rsidR="00C74186">
        <w:t>Australian Secondary Principals Association stated:</w:t>
      </w:r>
    </w:p>
    <w:p w14:paraId="6495FBE9" w14:textId="77777777" w:rsidR="00761727" w:rsidRDefault="00761727" w:rsidP="00761727">
      <w:pPr>
        <w:ind w:left="720"/>
        <w:rPr>
          <w:rFonts w:ascii="Calibri" w:hAnsi="Calibri" w:cs="Calibri"/>
          <w:i/>
        </w:rPr>
      </w:pPr>
      <w:r>
        <w:rPr>
          <w:rFonts w:ascii="Calibri" w:hAnsi="Calibri" w:cs="Calibri"/>
          <w:i/>
        </w:rPr>
        <w:t>Provide informed career advice from as early as primary school – this is critical, to inform not just about career possibilities but pathways to get there….Year 12 is too late when students are making choices in years 9 and 10. Information must be in accessible language so parents, students and school staff can unpick it easily.</w:t>
      </w:r>
    </w:p>
    <w:p w14:paraId="68EE0371" w14:textId="77777777" w:rsidR="00761727" w:rsidRDefault="00761727" w:rsidP="00761727">
      <w:pPr>
        <w:rPr>
          <w:rFonts w:ascii="Calibri" w:eastAsia="Times New Roman" w:hAnsi="Calibri" w:cs="Calibri"/>
          <w:bCs/>
        </w:rPr>
      </w:pPr>
      <w:r>
        <w:rPr>
          <w:rFonts w:ascii="Calibri" w:eastAsia="Times New Roman" w:hAnsi="Calibri" w:cs="Calibri"/>
          <w:bCs/>
        </w:rPr>
        <w:t>The discussion paper observed the large amount of work going on to further develop career services, such as the Gover</w:t>
      </w:r>
      <w:r w:rsidR="00636B77">
        <w:rPr>
          <w:rFonts w:ascii="Calibri" w:eastAsia="Times New Roman" w:hAnsi="Calibri" w:cs="Calibri"/>
          <w:bCs/>
        </w:rPr>
        <w:t>nment’s digital information kit</w:t>
      </w:r>
      <w:r>
        <w:rPr>
          <w:rFonts w:ascii="Calibri" w:eastAsia="Times New Roman" w:hAnsi="Calibri" w:cs="Calibri"/>
          <w:bCs/>
        </w:rPr>
        <w:t xml:space="preserve"> and the Government’s online </w:t>
      </w:r>
      <w:proofErr w:type="gramStart"/>
      <w:r>
        <w:rPr>
          <w:rFonts w:ascii="Calibri" w:eastAsia="Times New Roman" w:hAnsi="Calibri" w:cs="Calibri"/>
          <w:bCs/>
        </w:rPr>
        <w:t>career education self-assessment tool</w:t>
      </w:r>
      <w:proofErr w:type="gramEnd"/>
      <w:r>
        <w:rPr>
          <w:rFonts w:ascii="Calibri" w:eastAsia="Times New Roman" w:hAnsi="Calibri" w:cs="Calibri"/>
          <w:bCs/>
        </w:rPr>
        <w:t xml:space="preserve">. </w:t>
      </w:r>
    </w:p>
    <w:p w14:paraId="0E06F22D" w14:textId="77777777" w:rsidR="00EC5A28" w:rsidRDefault="00761727" w:rsidP="00761727">
      <w:pPr>
        <w:rPr>
          <w:rFonts w:ascii="Calibri" w:hAnsi="Calibri" w:cs="Calibri"/>
        </w:rPr>
      </w:pPr>
      <w:r>
        <w:rPr>
          <w:rFonts w:ascii="Calibri" w:eastAsia="Times New Roman" w:hAnsi="Calibri" w:cs="Calibri"/>
          <w:bCs/>
        </w:rPr>
        <w:t>The paper also noted</w:t>
      </w:r>
      <w:r w:rsidR="00EC5A28">
        <w:rPr>
          <w:rFonts w:ascii="Calibri" w:eastAsia="Times New Roman" w:hAnsi="Calibri" w:cs="Calibri"/>
          <w:bCs/>
        </w:rPr>
        <w:t xml:space="preserve"> with approval</w:t>
      </w:r>
      <w:r>
        <w:rPr>
          <w:rFonts w:ascii="Calibri" w:eastAsia="Times New Roman" w:hAnsi="Calibri" w:cs="Calibri"/>
          <w:bCs/>
        </w:rPr>
        <w:t xml:space="preserve"> the</w:t>
      </w:r>
      <w:r w:rsidR="00EC5A28">
        <w:rPr>
          <w:rFonts w:ascii="Calibri" w:eastAsia="Times New Roman" w:hAnsi="Calibri" w:cs="Calibri"/>
          <w:bCs/>
        </w:rPr>
        <w:t xml:space="preserve"> development of the</w:t>
      </w:r>
      <w:r>
        <w:rPr>
          <w:rFonts w:ascii="Calibri" w:eastAsia="Times New Roman" w:hAnsi="Calibri" w:cs="Calibri"/>
          <w:bCs/>
        </w:rPr>
        <w:t xml:space="preserve"> </w:t>
      </w:r>
      <w:r w:rsidR="005062BF">
        <w:rPr>
          <w:rFonts w:ascii="Calibri" w:hAnsi="Calibri" w:cs="Calibri"/>
        </w:rPr>
        <w:t>$3 million g</w:t>
      </w:r>
      <w:r>
        <w:rPr>
          <w:rFonts w:ascii="Calibri" w:hAnsi="Calibri" w:cs="Calibri"/>
        </w:rPr>
        <w:t>overnment and stakeholder National Career Education Strategy</w:t>
      </w:r>
      <w:r w:rsidR="00EC5A28">
        <w:rPr>
          <w:rFonts w:ascii="Calibri" w:hAnsi="Calibri" w:cs="Calibri"/>
        </w:rPr>
        <w:t>.</w:t>
      </w:r>
      <w:r>
        <w:rPr>
          <w:rFonts w:ascii="Calibri" w:hAnsi="Calibri" w:cs="Calibri"/>
        </w:rPr>
        <w:t xml:space="preserve"> </w:t>
      </w:r>
      <w:r w:rsidR="00EC5A28">
        <w:rPr>
          <w:rFonts w:ascii="Calibri" w:hAnsi="Calibri" w:cs="Calibri"/>
        </w:rPr>
        <w:t>The Strategy</w:t>
      </w:r>
      <w:r>
        <w:rPr>
          <w:rFonts w:ascii="Calibri" w:hAnsi="Calibri" w:cs="Calibri"/>
        </w:rPr>
        <w:t xml:space="preserve"> aims to ensure students receive effective career education to help them make a successful transition from school to further education, training and work. </w:t>
      </w:r>
    </w:p>
    <w:p w14:paraId="3B855FF2" w14:textId="7459102F" w:rsidR="00761727" w:rsidRDefault="00EC5A28" w:rsidP="00761727">
      <w:pPr>
        <w:rPr>
          <w:rFonts w:ascii="Calibri" w:hAnsi="Calibri" w:cs="Calibri"/>
        </w:rPr>
      </w:pPr>
      <w:r>
        <w:rPr>
          <w:rFonts w:ascii="Calibri" w:hAnsi="Calibri" w:cs="Calibri"/>
        </w:rPr>
        <w:t>This S</w:t>
      </w:r>
      <w:r w:rsidR="00761727">
        <w:rPr>
          <w:rFonts w:ascii="Calibri" w:hAnsi="Calibri" w:cs="Calibri"/>
        </w:rPr>
        <w:t xml:space="preserve">trategy, which is due to </w:t>
      </w:r>
      <w:proofErr w:type="gramStart"/>
      <w:r w:rsidR="00761727">
        <w:rPr>
          <w:rFonts w:ascii="Calibri" w:hAnsi="Calibri" w:cs="Calibri"/>
        </w:rPr>
        <w:t>be released</w:t>
      </w:r>
      <w:proofErr w:type="gramEnd"/>
      <w:r w:rsidR="00761727">
        <w:rPr>
          <w:rFonts w:ascii="Calibri" w:hAnsi="Calibri" w:cs="Calibri"/>
        </w:rPr>
        <w:t xml:space="preserve"> </w:t>
      </w:r>
      <w:r w:rsidR="001E5E7F">
        <w:rPr>
          <w:rFonts w:ascii="Calibri" w:hAnsi="Calibri" w:cs="Calibri"/>
        </w:rPr>
        <w:t>in 2018</w:t>
      </w:r>
      <w:r w:rsidR="00761727">
        <w:rPr>
          <w:rFonts w:ascii="Calibri" w:hAnsi="Calibri" w:cs="Calibri"/>
        </w:rPr>
        <w:t>, identifies areas where national consistency and leadership can improve the quality and consistency of career education in schools. It</w:t>
      </w:r>
      <w:r w:rsidR="00761727">
        <w:rPr>
          <w:rFonts w:ascii="Calibri" w:hAnsi="Calibri" w:cs="Calibri"/>
          <w:iCs/>
        </w:rPr>
        <w:t xml:space="preserve"> identifies the role of supporting students’ career education and preparation for work as a joint responsibility for individuals, their families and communities, the education system, business and government</w:t>
      </w:r>
      <w:r w:rsidR="00761727">
        <w:rPr>
          <w:rFonts w:ascii="Calibri" w:hAnsi="Calibri" w:cs="Calibri"/>
        </w:rPr>
        <w:t xml:space="preserve">. </w:t>
      </w:r>
    </w:p>
    <w:p w14:paraId="06BE9837" w14:textId="77777777" w:rsidR="00761727" w:rsidRDefault="00761727" w:rsidP="00761727">
      <w:pPr>
        <w:rPr>
          <w:rFonts w:ascii="Calibri" w:hAnsi="Calibri" w:cs="Calibri"/>
        </w:rPr>
      </w:pPr>
      <w:r>
        <w:rPr>
          <w:rFonts w:ascii="Calibri" w:hAnsi="Calibri" w:cs="Calibri"/>
        </w:rPr>
        <w:t xml:space="preserve">Submissions, including from Victoria University, </w:t>
      </w:r>
      <w:r w:rsidR="00C46C09">
        <w:rPr>
          <w:rFonts w:ascii="Calibri" w:hAnsi="Calibri" w:cs="Calibri"/>
        </w:rPr>
        <w:t>a</w:t>
      </w:r>
      <w:r w:rsidR="002D70C9">
        <w:rPr>
          <w:rFonts w:ascii="Calibri" w:hAnsi="Calibri" w:cs="Calibri"/>
        </w:rPr>
        <w:t>cknowledged</w:t>
      </w:r>
      <w:r>
        <w:rPr>
          <w:rFonts w:ascii="Calibri" w:hAnsi="Calibri" w:cs="Calibri"/>
        </w:rPr>
        <w:t xml:space="preserve"> the development of the National Career Education Strategy,</w:t>
      </w:r>
      <w:r w:rsidR="00153BC2">
        <w:rPr>
          <w:rFonts w:ascii="Calibri" w:hAnsi="Calibri" w:cs="Calibri"/>
        </w:rPr>
        <w:t xml:space="preserve"> anticipating the strategy </w:t>
      </w:r>
      <w:r>
        <w:rPr>
          <w:rFonts w:ascii="Calibri" w:hAnsi="Calibri" w:cs="Calibri"/>
        </w:rPr>
        <w:t xml:space="preserve">will improve career education for students. </w:t>
      </w:r>
    </w:p>
    <w:p w14:paraId="58E22C87" w14:textId="77777777" w:rsidR="00761727" w:rsidRDefault="00153BC2" w:rsidP="00761727">
      <w:pPr>
        <w:rPr>
          <w:rFonts w:ascii="Calibri" w:hAnsi="Calibri" w:cs="Calibri"/>
        </w:rPr>
      </w:pPr>
      <w:r>
        <w:rPr>
          <w:rFonts w:ascii="Calibri" w:hAnsi="Calibri" w:cs="Calibri"/>
        </w:rPr>
        <w:t xml:space="preserve">The Panel recommends </w:t>
      </w:r>
      <w:r w:rsidR="00EC5A28">
        <w:rPr>
          <w:rFonts w:ascii="Calibri" w:hAnsi="Calibri" w:cs="Calibri"/>
        </w:rPr>
        <w:t>the National Career Education Strategy</w:t>
      </w:r>
      <w:r w:rsidR="00761727">
        <w:rPr>
          <w:rFonts w:ascii="Calibri" w:hAnsi="Calibri" w:cs="Calibri"/>
        </w:rPr>
        <w:t xml:space="preserve"> </w:t>
      </w:r>
      <w:r w:rsidR="00AF1A4D">
        <w:rPr>
          <w:rFonts w:ascii="Calibri" w:hAnsi="Calibri" w:cs="Calibri"/>
        </w:rPr>
        <w:t xml:space="preserve">should </w:t>
      </w:r>
      <w:r w:rsidR="00761727">
        <w:rPr>
          <w:rFonts w:ascii="Calibri" w:hAnsi="Calibri" w:cs="Calibri"/>
        </w:rPr>
        <w:t xml:space="preserve">be closely monitored to </w:t>
      </w:r>
      <w:r w:rsidR="003D58DB">
        <w:rPr>
          <w:rFonts w:ascii="Calibri" w:hAnsi="Calibri" w:cs="Calibri"/>
        </w:rPr>
        <w:t xml:space="preserve">identify </w:t>
      </w:r>
      <w:r w:rsidR="00761727">
        <w:rPr>
          <w:rFonts w:ascii="Calibri" w:hAnsi="Calibri" w:cs="Calibri"/>
        </w:rPr>
        <w:t>improvements</w:t>
      </w:r>
      <w:r w:rsidR="00EC5A28">
        <w:rPr>
          <w:rFonts w:ascii="Calibri" w:hAnsi="Calibri" w:cs="Calibri"/>
        </w:rPr>
        <w:t xml:space="preserve"> </w:t>
      </w:r>
      <w:r w:rsidR="00761727">
        <w:rPr>
          <w:rFonts w:ascii="Calibri" w:hAnsi="Calibri" w:cs="Calibri"/>
        </w:rPr>
        <w:t xml:space="preserve">in the area of student </w:t>
      </w:r>
      <w:r w:rsidR="00177078">
        <w:rPr>
          <w:rFonts w:ascii="Calibri" w:hAnsi="Calibri" w:cs="Calibri"/>
        </w:rPr>
        <w:t>career</w:t>
      </w:r>
      <w:r w:rsidR="00761727">
        <w:rPr>
          <w:rFonts w:ascii="Calibri" w:hAnsi="Calibri" w:cs="Calibri"/>
        </w:rPr>
        <w:t xml:space="preserve"> advice, including study options and pathways, and information about the p</w:t>
      </w:r>
      <w:r w:rsidR="003D58DB">
        <w:rPr>
          <w:rFonts w:ascii="Calibri" w:hAnsi="Calibri" w:cs="Calibri"/>
        </w:rPr>
        <w:t>ost school learning environment</w:t>
      </w:r>
      <w:r w:rsidR="00AF1A4D">
        <w:rPr>
          <w:rFonts w:ascii="Calibri" w:hAnsi="Calibri" w:cs="Calibri"/>
        </w:rPr>
        <w:t xml:space="preserve">. </w:t>
      </w:r>
    </w:p>
    <w:p w14:paraId="77D319DF" w14:textId="77777777" w:rsidR="00AF1A4D" w:rsidRDefault="00177078" w:rsidP="00AF1A4D">
      <w:pPr>
        <w:pStyle w:val="Heading3"/>
      </w:pPr>
      <w:r>
        <w:t>Career</w:t>
      </w:r>
      <w:r w:rsidR="00AF1A4D">
        <w:t xml:space="preserve"> advice for mature-age people</w:t>
      </w:r>
    </w:p>
    <w:p w14:paraId="78947040" w14:textId="77777777" w:rsidR="00761727" w:rsidRDefault="00EC5A28" w:rsidP="00761727">
      <w:pPr>
        <w:rPr>
          <w:rFonts w:ascii="Calibri" w:hAnsi="Calibri" w:cs="Calibri"/>
        </w:rPr>
      </w:pPr>
      <w:r>
        <w:rPr>
          <w:rFonts w:ascii="Calibri" w:hAnsi="Calibri" w:cs="Calibri"/>
        </w:rPr>
        <w:t>A number of respondents</w:t>
      </w:r>
      <w:r w:rsidR="005062BF">
        <w:rPr>
          <w:rFonts w:ascii="Calibri" w:hAnsi="Calibri" w:cs="Calibri"/>
        </w:rPr>
        <w:t xml:space="preserve"> commented</w:t>
      </w:r>
      <w:r>
        <w:rPr>
          <w:rFonts w:ascii="Calibri" w:hAnsi="Calibri" w:cs="Calibri"/>
        </w:rPr>
        <w:t xml:space="preserve"> on the particular gap in </w:t>
      </w:r>
      <w:r w:rsidR="00177078">
        <w:rPr>
          <w:rFonts w:ascii="Calibri" w:hAnsi="Calibri" w:cs="Calibri"/>
        </w:rPr>
        <w:t>career</w:t>
      </w:r>
      <w:r w:rsidR="005062BF">
        <w:rPr>
          <w:rFonts w:ascii="Calibri" w:hAnsi="Calibri" w:cs="Calibri"/>
        </w:rPr>
        <w:t xml:space="preserve"> advice faced by mature-</w:t>
      </w:r>
      <w:r>
        <w:rPr>
          <w:rFonts w:ascii="Calibri" w:hAnsi="Calibri" w:cs="Calibri"/>
        </w:rPr>
        <w:t xml:space="preserve">age people. </w:t>
      </w:r>
      <w:r w:rsidR="00FC7938">
        <w:rPr>
          <w:rFonts w:ascii="Calibri" w:hAnsi="Calibri" w:cs="Calibri"/>
        </w:rPr>
        <w:t>Mature-age people</w:t>
      </w:r>
      <w:r>
        <w:rPr>
          <w:rFonts w:ascii="Calibri" w:hAnsi="Calibri" w:cs="Calibri"/>
        </w:rPr>
        <w:t xml:space="preserve"> find it extremely difficult to access the advice necessary to make informed decisions about which higher education path</w:t>
      </w:r>
      <w:r w:rsidR="005062BF">
        <w:rPr>
          <w:rFonts w:ascii="Calibri" w:hAnsi="Calibri" w:cs="Calibri"/>
        </w:rPr>
        <w:t xml:space="preserve"> bests suits their aspirations.</w:t>
      </w:r>
      <w:r w:rsidR="00761727">
        <w:rPr>
          <w:rFonts w:ascii="Calibri" w:hAnsi="Calibri" w:cs="Calibri"/>
        </w:rPr>
        <w:t xml:space="preserve"> Stakeholders pointed out the importance of </w:t>
      </w:r>
      <w:r w:rsidR="00177078">
        <w:rPr>
          <w:rFonts w:ascii="Calibri" w:hAnsi="Calibri" w:cs="Calibri"/>
        </w:rPr>
        <w:t>career</w:t>
      </w:r>
      <w:r w:rsidR="00761727">
        <w:rPr>
          <w:rFonts w:ascii="Calibri" w:hAnsi="Calibri" w:cs="Calibri"/>
        </w:rPr>
        <w:t xml:space="preserve"> advice throughout a person’s life as they transition in and out of work and education. The Australian Technology Network suggested the lack of university outreach programs for the non-school cohort, which results in less informed initial study and career advice, could be a reason for the higher attrition </w:t>
      </w:r>
      <w:r w:rsidR="00044389">
        <w:rPr>
          <w:rFonts w:ascii="Calibri" w:hAnsi="Calibri" w:cs="Calibri"/>
        </w:rPr>
        <w:t xml:space="preserve">rates for mature-age students. </w:t>
      </w:r>
      <w:r w:rsidR="00525FBC">
        <w:rPr>
          <w:rFonts w:ascii="Calibri" w:hAnsi="Calibri" w:cs="Calibri"/>
        </w:rPr>
        <w:t xml:space="preserve">Universities </w:t>
      </w:r>
      <w:r w:rsidR="00761727">
        <w:rPr>
          <w:rFonts w:ascii="Calibri" w:hAnsi="Calibri" w:cs="Calibri"/>
        </w:rPr>
        <w:t>Australia</w:t>
      </w:r>
      <w:r w:rsidR="00FC7938">
        <w:rPr>
          <w:rFonts w:ascii="Calibri" w:hAnsi="Calibri" w:cs="Calibri"/>
        </w:rPr>
        <w:t>, also noted their concerns</w:t>
      </w:r>
      <w:r w:rsidR="00761727">
        <w:rPr>
          <w:rFonts w:ascii="Calibri" w:hAnsi="Calibri" w:cs="Calibri"/>
        </w:rPr>
        <w:t>:</w:t>
      </w:r>
    </w:p>
    <w:p w14:paraId="71A34B59" w14:textId="77777777" w:rsidR="00761727" w:rsidRDefault="00761727" w:rsidP="00761727">
      <w:pPr>
        <w:ind w:left="720"/>
      </w:pPr>
      <w:r>
        <w:rPr>
          <w:rFonts w:ascii="Calibri" w:hAnsi="Calibri" w:cs="Calibri"/>
          <w:i/>
        </w:rPr>
        <w:t xml:space="preserve">Mature-age students also have a need for accurate career advice, and of </w:t>
      </w:r>
      <w:proofErr w:type="gramStart"/>
      <w:r>
        <w:rPr>
          <w:rFonts w:ascii="Calibri" w:hAnsi="Calibri" w:cs="Calibri"/>
          <w:i/>
        </w:rPr>
        <w:t>course</w:t>
      </w:r>
      <w:proofErr w:type="gramEnd"/>
      <w:r>
        <w:rPr>
          <w:rFonts w:ascii="Calibri" w:hAnsi="Calibri" w:cs="Calibri"/>
          <w:i/>
        </w:rPr>
        <w:t xml:space="preserve"> they do not have access to sch</w:t>
      </w:r>
      <w:r w:rsidR="00044389">
        <w:rPr>
          <w:rFonts w:ascii="Calibri" w:hAnsi="Calibri" w:cs="Calibri"/>
          <w:i/>
        </w:rPr>
        <w:t>ool careers services. As mature-</w:t>
      </w:r>
      <w:r>
        <w:rPr>
          <w:rFonts w:ascii="Calibri" w:hAnsi="Calibri" w:cs="Calibri"/>
          <w:i/>
        </w:rPr>
        <w:t xml:space="preserve">age students are one of the more at-risk cohorts for attrition, good careers advice for this group is particularly important. </w:t>
      </w:r>
    </w:p>
    <w:p w14:paraId="208E782A" w14:textId="77777777" w:rsidR="00761727" w:rsidRDefault="00761727" w:rsidP="00761727">
      <w:pPr>
        <w:rPr>
          <w:rFonts w:ascii="Calibri" w:hAnsi="Calibri" w:cs="Calibri"/>
          <w:i/>
        </w:rPr>
      </w:pPr>
      <w:r>
        <w:rPr>
          <w:rFonts w:ascii="Calibri" w:hAnsi="Calibri" w:cs="Calibri"/>
        </w:rPr>
        <w:t xml:space="preserve">Universities Australia </w:t>
      </w:r>
      <w:r w:rsidR="007124B1">
        <w:rPr>
          <w:rFonts w:ascii="Calibri" w:hAnsi="Calibri" w:cs="Calibri"/>
        </w:rPr>
        <w:t>recommended</w:t>
      </w:r>
      <w:r>
        <w:rPr>
          <w:rFonts w:ascii="Calibri" w:hAnsi="Calibri" w:cs="Calibri"/>
        </w:rPr>
        <w:t xml:space="preserve"> that the National </w:t>
      </w:r>
      <w:r w:rsidR="00177078">
        <w:rPr>
          <w:rFonts w:ascii="Calibri" w:hAnsi="Calibri" w:cs="Calibri"/>
        </w:rPr>
        <w:t>Career</w:t>
      </w:r>
      <w:r>
        <w:rPr>
          <w:rFonts w:ascii="Calibri" w:hAnsi="Calibri" w:cs="Calibri"/>
        </w:rPr>
        <w:t xml:space="preserve"> Education Strategy, which is currentl</w:t>
      </w:r>
      <w:r w:rsidR="00EC5A28">
        <w:rPr>
          <w:rFonts w:ascii="Calibri" w:hAnsi="Calibri" w:cs="Calibri"/>
        </w:rPr>
        <w:t>y only focussed on school-</w:t>
      </w:r>
      <w:r>
        <w:rPr>
          <w:rFonts w:ascii="Calibri" w:hAnsi="Calibri" w:cs="Calibri"/>
        </w:rPr>
        <w:t>leavers, be expanded</w:t>
      </w:r>
      <w:r w:rsidR="00593C0C">
        <w:rPr>
          <w:rFonts w:ascii="Calibri" w:hAnsi="Calibri" w:cs="Calibri"/>
        </w:rPr>
        <w:t xml:space="preserve"> to </w:t>
      </w:r>
      <w:r w:rsidR="00A54781">
        <w:rPr>
          <w:rFonts w:ascii="Calibri" w:hAnsi="Calibri" w:cs="Calibri"/>
        </w:rPr>
        <w:t>include</w:t>
      </w:r>
      <w:r w:rsidR="007124B1">
        <w:rPr>
          <w:rFonts w:ascii="Calibri" w:hAnsi="Calibri" w:cs="Calibri"/>
        </w:rPr>
        <w:t xml:space="preserve"> mature-age students </w:t>
      </w:r>
      <w:r w:rsidR="00A54781">
        <w:rPr>
          <w:rFonts w:ascii="Calibri" w:hAnsi="Calibri" w:cs="Calibri"/>
        </w:rPr>
        <w:t xml:space="preserve">so they too </w:t>
      </w:r>
      <w:r w:rsidR="007124B1">
        <w:rPr>
          <w:rFonts w:ascii="Calibri" w:hAnsi="Calibri" w:cs="Calibri"/>
        </w:rPr>
        <w:t xml:space="preserve">have access to </w:t>
      </w:r>
      <w:proofErr w:type="gramStart"/>
      <w:r w:rsidR="007124B1">
        <w:rPr>
          <w:rFonts w:ascii="Calibri" w:hAnsi="Calibri" w:cs="Calibri"/>
        </w:rPr>
        <w:t>appropriate and effective career</w:t>
      </w:r>
      <w:proofErr w:type="gramEnd"/>
      <w:r w:rsidR="007124B1">
        <w:rPr>
          <w:rFonts w:ascii="Calibri" w:hAnsi="Calibri" w:cs="Calibri"/>
        </w:rPr>
        <w:t xml:space="preserve"> and education advice. </w:t>
      </w:r>
      <w:r>
        <w:rPr>
          <w:rFonts w:ascii="Calibri" w:hAnsi="Calibri" w:cs="Calibri"/>
        </w:rPr>
        <w:t>The Panel agrees with this and</w:t>
      </w:r>
      <w:r w:rsidR="005D1A99">
        <w:rPr>
          <w:rFonts w:ascii="Calibri" w:hAnsi="Calibri" w:cs="Calibri"/>
        </w:rPr>
        <w:t>,</w:t>
      </w:r>
      <w:r>
        <w:rPr>
          <w:rFonts w:ascii="Calibri" w:hAnsi="Calibri" w:cs="Calibri"/>
        </w:rPr>
        <w:t xml:space="preserve"> if this is not the case, a separate strategy</w:t>
      </w:r>
      <w:r w:rsidR="00593C0C">
        <w:rPr>
          <w:rFonts w:ascii="Calibri" w:hAnsi="Calibri" w:cs="Calibri"/>
        </w:rPr>
        <w:t xml:space="preserve"> </w:t>
      </w:r>
      <w:proofErr w:type="gramStart"/>
      <w:r w:rsidR="00593C0C">
        <w:rPr>
          <w:rFonts w:ascii="Calibri" w:hAnsi="Calibri" w:cs="Calibri"/>
        </w:rPr>
        <w:t>should</w:t>
      </w:r>
      <w:r>
        <w:rPr>
          <w:rFonts w:ascii="Calibri" w:hAnsi="Calibri" w:cs="Calibri"/>
        </w:rPr>
        <w:t xml:space="preserve"> be initiated</w:t>
      </w:r>
      <w:proofErr w:type="gramEnd"/>
      <w:r>
        <w:rPr>
          <w:rFonts w:ascii="Calibri" w:hAnsi="Calibri" w:cs="Calibri"/>
        </w:rPr>
        <w:t xml:space="preserve"> for this cohort.</w:t>
      </w:r>
    </w:p>
    <w:p w14:paraId="14A4AD37" w14:textId="77777777" w:rsidR="00B62F50" w:rsidRDefault="00B62F50">
      <w:pPr>
        <w:rPr>
          <w:rFonts w:ascii="Calibri" w:eastAsiaTheme="majorEastAsia" w:hAnsi="Calibri" w:cstheme="majorBidi"/>
          <w:b/>
          <w:bCs/>
        </w:rPr>
      </w:pPr>
      <w:r>
        <w:br w:type="page"/>
      </w:r>
    </w:p>
    <w:p w14:paraId="0C95D52D" w14:textId="77777777" w:rsidR="00AF1A4D" w:rsidRPr="00EA0EB7" w:rsidRDefault="00177078" w:rsidP="00EA0EB7">
      <w:pPr>
        <w:pStyle w:val="Heading3"/>
      </w:pPr>
      <w:r>
        <w:t>Career</w:t>
      </w:r>
      <w:r w:rsidR="00AF1A4D" w:rsidRPr="00EA0EB7">
        <w:t xml:space="preserve"> advice in higher education institutions</w:t>
      </w:r>
    </w:p>
    <w:p w14:paraId="6B1FC9AE" w14:textId="686241F1" w:rsidR="00EA0EB7" w:rsidRDefault="00761727" w:rsidP="00AF1A4D">
      <w:pPr>
        <w:rPr>
          <w:rFonts w:ascii="Calibri" w:hAnsi="Calibri" w:cs="Calibri"/>
        </w:rPr>
      </w:pPr>
      <w:r w:rsidRPr="00EA0EB7">
        <w:rPr>
          <w:rFonts w:ascii="Calibri" w:hAnsi="Calibri" w:cs="Calibri"/>
        </w:rPr>
        <w:t>S</w:t>
      </w:r>
      <w:r w:rsidR="00AF1A4D" w:rsidRPr="00EA0EB7">
        <w:rPr>
          <w:rFonts w:ascii="Calibri" w:hAnsi="Calibri" w:cs="Calibri"/>
        </w:rPr>
        <w:t>ome s</w:t>
      </w:r>
      <w:r w:rsidRPr="00EA0EB7">
        <w:rPr>
          <w:rFonts w:ascii="Calibri" w:hAnsi="Calibri" w:cs="Calibri"/>
        </w:rPr>
        <w:t xml:space="preserve">takeholders </w:t>
      </w:r>
      <w:proofErr w:type="gramStart"/>
      <w:r w:rsidRPr="00EA0EB7">
        <w:rPr>
          <w:rFonts w:ascii="Calibri" w:hAnsi="Calibri" w:cs="Calibri"/>
        </w:rPr>
        <w:t>commented</w:t>
      </w:r>
      <w:proofErr w:type="gramEnd"/>
      <w:r w:rsidRPr="00EA0EB7">
        <w:rPr>
          <w:rFonts w:ascii="Calibri" w:hAnsi="Calibri" w:cs="Calibri"/>
        </w:rPr>
        <w:t xml:space="preserve"> that </w:t>
      </w:r>
      <w:r w:rsidR="00177078">
        <w:rPr>
          <w:rFonts w:ascii="Calibri" w:hAnsi="Calibri" w:cs="Calibri"/>
        </w:rPr>
        <w:t>career</w:t>
      </w:r>
      <w:r w:rsidRPr="00EA0EB7">
        <w:rPr>
          <w:rFonts w:ascii="Calibri" w:hAnsi="Calibri" w:cs="Calibri"/>
        </w:rPr>
        <w:t xml:space="preserve"> advice within institutions, if available at all, is usually</w:t>
      </w:r>
      <w:r w:rsidR="000100CC">
        <w:rPr>
          <w:rFonts w:ascii="Calibri" w:hAnsi="Calibri" w:cs="Calibri"/>
        </w:rPr>
        <w:t xml:space="preserve"> not well resourced</w:t>
      </w:r>
      <w:r w:rsidR="005D1A99" w:rsidRPr="00EA0EB7">
        <w:rPr>
          <w:rFonts w:ascii="Calibri" w:hAnsi="Calibri" w:cs="Calibri"/>
        </w:rPr>
        <w:t xml:space="preserve"> or promoted</w:t>
      </w:r>
      <w:r w:rsidR="00EA0EB7">
        <w:rPr>
          <w:rFonts w:ascii="Calibri" w:hAnsi="Calibri" w:cs="Calibri"/>
        </w:rPr>
        <w:t>,</w:t>
      </w:r>
      <w:r w:rsidRPr="00EA0EB7">
        <w:rPr>
          <w:rFonts w:ascii="Calibri" w:hAnsi="Calibri" w:cs="Calibri"/>
        </w:rPr>
        <w:t xml:space="preserve"> although t</w:t>
      </w:r>
      <w:r w:rsidR="00FC7938">
        <w:rPr>
          <w:rFonts w:ascii="Calibri" w:hAnsi="Calibri" w:cs="Calibri"/>
        </w:rPr>
        <w:t>he Panel notes there</w:t>
      </w:r>
      <w:r w:rsidRPr="00EA0EB7">
        <w:rPr>
          <w:rFonts w:ascii="Calibri" w:hAnsi="Calibri" w:cs="Calibri"/>
        </w:rPr>
        <w:t xml:space="preserve"> are examples of good practice in t</w:t>
      </w:r>
      <w:r w:rsidR="005D1A99" w:rsidRPr="00EA0EB7">
        <w:rPr>
          <w:rFonts w:ascii="Calibri" w:hAnsi="Calibri" w:cs="Calibri"/>
        </w:rPr>
        <w:t>his area</w:t>
      </w:r>
      <w:r w:rsidR="00AF1A4D" w:rsidRPr="00EA0EB7">
        <w:rPr>
          <w:rFonts w:ascii="Calibri" w:hAnsi="Calibri" w:cs="Calibri"/>
        </w:rPr>
        <w:t>.</w:t>
      </w:r>
      <w:r w:rsidR="00AF1A4D">
        <w:rPr>
          <w:rFonts w:ascii="Calibri" w:hAnsi="Calibri" w:cs="Calibri"/>
        </w:rPr>
        <w:t xml:space="preserve"> For example, </w:t>
      </w:r>
      <w:r w:rsidR="00EA0EB7" w:rsidRPr="00EA0EB7">
        <w:rPr>
          <w:rFonts w:ascii="Calibri" w:hAnsi="Calibri" w:cs="Calibri"/>
        </w:rPr>
        <w:t>James Cook University Career Development, Employability and Entrepreneurship</w:t>
      </w:r>
      <w:r w:rsidR="002B1321">
        <w:rPr>
          <w:rFonts w:ascii="Calibri" w:hAnsi="Calibri" w:cs="Calibri"/>
        </w:rPr>
        <w:t xml:space="preserve"> initiative </w:t>
      </w:r>
      <w:r w:rsidR="00570401" w:rsidRPr="00EA0EB7">
        <w:rPr>
          <w:rFonts w:ascii="Calibri" w:hAnsi="Calibri" w:cs="Calibri"/>
          <w:lang w:val="en"/>
        </w:rPr>
        <w:t>assists</w:t>
      </w:r>
      <w:r w:rsidR="00EA0EB7" w:rsidRPr="00EA0EB7">
        <w:rPr>
          <w:rFonts w:ascii="Calibri" w:hAnsi="Calibri" w:cs="Calibri"/>
          <w:lang w:val="en"/>
        </w:rPr>
        <w:t xml:space="preserve"> teaching staff with integration of online career development learning materi</w:t>
      </w:r>
      <w:r w:rsidR="00EA0EB7">
        <w:rPr>
          <w:rFonts w:ascii="Calibri" w:hAnsi="Calibri" w:cs="Calibri"/>
          <w:lang w:val="en"/>
        </w:rPr>
        <w:t>als into curriculum, develops</w:t>
      </w:r>
      <w:r w:rsidR="00EA0EB7" w:rsidRPr="00EA0EB7">
        <w:rPr>
          <w:rFonts w:ascii="Calibri" w:hAnsi="Calibri" w:cs="Calibri"/>
          <w:lang w:val="en"/>
        </w:rPr>
        <w:t xml:space="preserve"> authentic assessment tasks, </w:t>
      </w:r>
      <w:r w:rsidR="00EA0EB7">
        <w:rPr>
          <w:rFonts w:ascii="Calibri" w:hAnsi="Calibri" w:cs="Calibri"/>
          <w:lang w:val="en"/>
        </w:rPr>
        <w:t>and provides</w:t>
      </w:r>
      <w:r w:rsidR="00EA0EB7" w:rsidRPr="00EA0EB7">
        <w:rPr>
          <w:rFonts w:ascii="Calibri" w:hAnsi="Calibri" w:cs="Calibri"/>
          <w:lang w:val="en"/>
        </w:rPr>
        <w:t xml:space="preserve"> course-specific career activities to support graduate success and lifelong learning.</w:t>
      </w:r>
      <w:r w:rsidR="00276CC2">
        <w:rPr>
          <w:rFonts w:ascii="Calibri" w:hAnsi="Calibri" w:cs="Calibri"/>
          <w:lang w:val="en"/>
        </w:rPr>
        <w:t xml:space="preserve"> </w:t>
      </w:r>
      <w:r w:rsidR="001D5299">
        <w:rPr>
          <w:rFonts w:ascii="Calibri" w:hAnsi="Calibri" w:cs="Calibri"/>
          <w:lang w:val="en"/>
        </w:rPr>
        <w:t>The University of Wollongong Australia provide</w:t>
      </w:r>
      <w:r w:rsidR="0065234F">
        <w:rPr>
          <w:rFonts w:ascii="Calibri" w:hAnsi="Calibri" w:cs="Calibri"/>
          <w:lang w:val="en"/>
        </w:rPr>
        <w:t>s</w:t>
      </w:r>
      <w:r w:rsidR="001D5299">
        <w:rPr>
          <w:rFonts w:ascii="Calibri" w:hAnsi="Calibri" w:cs="Calibri"/>
          <w:lang w:val="en"/>
        </w:rPr>
        <w:t xml:space="preserve"> a dedicated careers hub for their students, </w:t>
      </w:r>
      <w:r w:rsidR="001D5299" w:rsidRPr="001D5299">
        <w:rPr>
          <w:rFonts w:ascii="Calibri" w:hAnsi="Calibri" w:cs="Calibri"/>
          <w:i/>
          <w:lang w:val="en"/>
        </w:rPr>
        <w:t>Careers Central</w:t>
      </w:r>
      <w:r w:rsidR="0065234F">
        <w:rPr>
          <w:rFonts w:ascii="Calibri" w:hAnsi="Calibri" w:cs="Calibri"/>
          <w:lang w:val="en"/>
        </w:rPr>
        <w:t xml:space="preserve">, which includes </w:t>
      </w:r>
      <w:r w:rsidR="0065234F" w:rsidRPr="0065234F">
        <w:rPr>
          <w:rFonts w:ascii="Calibri" w:hAnsi="Calibri" w:cs="Calibri"/>
          <w:lang w:val="en"/>
        </w:rPr>
        <w:t>resources, programs, events and services to help students to establish appropriate career goals, and to identify pathways and strategies to achieve those goals.</w:t>
      </w:r>
    </w:p>
    <w:p w14:paraId="3D890A1A" w14:textId="77777777" w:rsidR="005062BF" w:rsidRDefault="00D752DE" w:rsidP="00761727">
      <w:pPr>
        <w:rPr>
          <w:rFonts w:ascii="Calibri" w:hAnsi="Calibri" w:cs="Calibri"/>
        </w:rPr>
      </w:pPr>
      <w:r w:rsidRPr="00EA0EB7">
        <w:rPr>
          <w:rFonts w:ascii="Calibri" w:hAnsi="Calibri" w:cs="Calibri"/>
        </w:rPr>
        <w:t>Overall, t</w:t>
      </w:r>
      <w:r w:rsidR="00EF690A" w:rsidRPr="00EA0EB7">
        <w:rPr>
          <w:rFonts w:ascii="Calibri" w:hAnsi="Calibri" w:cs="Calibri"/>
        </w:rPr>
        <w:t xml:space="preserve">he Panel considers </w:t>
      </w:r>
      <w:r w:rsidR="00FC7938">
        <w:rPr>
          <w:rFonts w:ascii="Calibri" w:hAnsi="Calibri" w:cs="Calibri"/>
        </w:rPr>
        <w:t xml:space="preserve">higher education </w:t>
      </w:r>
      <w:r w:rsidR="00EF690A" w:rsidRPr="00EA0EB7">
        <w:rPr>
          <w:rFonts w:ascii="Calibri" w:hAnsi="Calibri" w:cs="Calibri"/>
        </w:rPr>
        <w:t>institutions need to do more to enhance the provision of career education services within their institutions.</w:t>
      </w:r>
      <w:r w:rsidR="00EF690A">
        <w:rPr>
          <w:rFonts w:ascii="Calibri" w:hAnsi="Calibri" w:cs="Calibri"/>
        </w:rPr>
        <w:t xml:space="preserve"> </w:t>
      </w:r>
      <w:r w:rsidR="00AF1A4D" w:rsidRPr="00EA0EB7">
        <w:rPr>
          <w:rFonts w:ascii="Calibri" w:hAnsi="Calibri" w:cs="Calibri"/>
        </w:rPr>
        <w:t>E</w:t>
      </w:r>
      <w:r w:rsidR="00142BAD">
        <w:rPr>
          <w:rFonts w:ascii="Calibri" w:hAnsi="Calibri" w:cs="Calibri"/>
        </w:rPr>
        <w:t>very</w:t>
      </w:r>
      <w:r w:rsidR="00AF1A4D" w:rsidRPr="00EA0EB7">
        <w:rPr>
          <w:rFonts w:ascii="Calibri" w:hAnsi="Calibri" w:cs="Calibri"/>
        </w:rPr>
        <w:t xml:space="preserve"> higher education institution should ensure that </w:t>
      </w:r>
      <w:r w:rsidR="00A54781">
        <w:rPr>
          <w:rFonts w:ascii="Calibri" w:hAnsi="Calibri" w:cs="Calibri"/>
        </w:rPr>
        <w:t xml:space="preserve">their </w:t>
      </w:r>
      <w:r w:rsidR="00AF1A4D" w:rsidRPr="00EA0EB7">
        <w:rPr>
          <w:rFonts w:ascii="Calibri" w:hAnsi="Calibri" w:cs="Calibri"/>
        </w:rPr>
        <w:t>students are given the opportunity of career planning and course advice on entry to the institution and as they require it throughout their studies.</w:t>
      </w:r>
    </w:p>
    <w:p w14:paraId="4D5564E1" w14:textId="77777777" w:rsidR="009E5897" w:rsidRPr="00FD4AA2" w:rsidRDefault="009E5897" w:rsidP="009E5897">
      <w:pPr>
        <w:pStyle w:val="Heading2"/>
        <w:rPr>
          <w:rFonts w:eastAsia="Times New Roman"/>
        </w:rPr>
      </w:pPr>
      <w:r>
        <w:rPr>
          <w:rFonts w:eastAsia="Times New Roman"/>
        </w:rPr>
        <w:t xml:space="preserve">Publishing relevant information </w:t>
      </w:r>
    </w:p>
    <w:p w14:paraId="600BF8FB" w14:textId="77777777" w:rsidR="00DB6F50" w:rsidRDefault="00DB6F50" w:rsidP="009E5897">
      <w:r>
        <w:t xml:space="preserve">The Panel sought advice from the sector on how Government websites </w:t>
      </w:r>
      <w:proofErr w:type="gramStart"/>
      <w:r>
        <w:t>could be improved</w:t>
      </w:r>
      <w:proofErr w:type="gramEnd"/>
      <w:r>
        <w:t xml:space="preserve"> to provide students with useful student completion, retention and success information.</w:t>
      </w:r>
    </w:p>
    <w:p w14:paraId="465BAEF1" w14:textId="77777777" w:rsidR="009B41A2" w:rsidRDefault="009B41A2" w:rsidP="009E5897">
      <w:r>
        <w:t xml:space="preserve">There were suggestions, including from the Council of Private Higher Education, about how </w:t>
      </w:r>
      <w:r w:rsidR="00FC7938">
        <w:t>the Quality Indicators for Learning and Teaching website (</w:t>
      </w:r>
      <w:r>
        <w:t>QILT</w:t>
      </w:r>
      <w:r w:rsidR="00FC7938">
        <w:t>)</w:t>
      </w:r>
      <w:r>
        <w:t xml:space="preserve"> </w:t>
      </w:r>
      <w:proofErr w:type="gramStart"/>
      <w:r>
        <w:t>could be used</w:t>
      </w:r>
      <w:proofErr w:type="gramEnd"/>
      <w:r>
        <w:t xml:space="preserve"> to publish this information and be further promoted as the primary website to students to assist making choices about institutions and courses. </w:t>
      </w:r>
    </w:p>
    <w:p w14:paraId="465333C2" w14:textId="64014C2A" w:rsidR="009E5897" w:rsidRPr="00044389" w:rsidRDefault="009E5897" w:rsidP="009E5897">
      <w:r>
        <w:t>S</w:t>
      </w:r>
      <w:r w:rsidR="009B41A2">
        <w:t>ome s</w:t>
      </w:r>
      <w:r>
        <w:t>ubmissions</w:t>
      </w:r>
      <w:r w:rsidRPr="00044389">
        <w:t xml:space="preserve"> indicate</w:t>
      </w:r>
      <w:r w:rsidR="009B41A2">
        <w:t>d</w:t>
      </w:r>
      <w:r w:rsidRPr="00044389">
        <w:t xml:space="preserve"> that a</w:t>
      </w:r>
      <w:r>
        <w:t xml:space="preserve"> single central resource for students and their families to access </w:t>
      </w:r>
      <w:r w:rsidRPr="00044389">
        <w:t xml:space="preserve">and compare </w:t>
      </w:r>
      <w:r>
        <w:t xml:space="preserve">relevant </w:t>
      </w:r>
      <w:r w:rsidR="000100CC">
        <w:t>user-friendly</w:t>
      </w:r>
      <w:r>
        <w:t xml:space="preserve"> information as part of their decision-making processes would be the preferred approach for the publication of higher education data.</w:t>
      </w:r>
    </w:p>
    <w:p w14:paraId="00F57C03" w14:textId="77777777" w:rsidR="009E5897" w:rsidRDefault="009E5897" w:rsidP="009E5897">
      <w:r>
        <w:t xml:space="preserve">The Panel’s final report on </w:t>
      </w:r>
      <w:proofErr w:type="gramStart"/>
      <w:r>
        <w:rPr>
          <w:i/>
          <w:iCs/>
        </w:rPr>
        <w:t>Improving</w:t>
      </w:r>
      <w:proofErr w:type="gramEnd"/>
      <w:r>
        <w:rPr>
          <w:i/>
          <w:iCs/>
        </w:rPr>
        <w:t xml:space="preserve"> the transparency of higher education admissions</w:t>
      </w:r>
      <w:r>
        <w:t xml:space="preserve">, recommended a national higher education admissions information platform be established to provide a single point of entry for information about higher education admissions policies and processes across all registered providers. This recommendation is being taken forward by the June 2017, </w:t>
      </w:r>
      <w:proofErr w:type="gramStart"/>
      <w:r>
        <w:rPr>
          <w:i/>
          <w:iCs/>
        </w:rPr>
        <w:t>Improving</w:t>
      </w:r>
      <w:proofErr w:type="gramEnd"/>
      <w:r>
        <w:rPr>
          <w:i/>
          <w:iCs/>
        </w:rPr>
        <w:t xml:space="preserve"> the transparency of higher education admissions: Joint higher education sector and Australian Government implementation plan</w:t>
      </w:r>
      <w:r>
        <w:t>. The plan states:</w:t>
      </w:r>
    </w:p>
    <w:p w14:paraId="64A32D18" w14:textId="77777777" w:rsidR="009E5897" w:rsidRDefault="009E5897" w:rsidP="009E5897">
      <w:pPr>
        <w:ind w:left="720"/>
        <w:rPr>
          <w:i/>
          <w:iCs/>
        </w:rPr>
      </w:pPr>
      <w:r>
        <w:rPr>
          <w:i/>
          <w:iCs/>
        </w:rPr>
        <w:t xml:space="preserve">The national admissions information platform will respond to the needs of students seeking information about institutions, courses, admission criteria and application pathways. It will be based on user </w:t>
      </w:r>
      <w:proofErr w:type="gramStart"/>
      <w:r>
        <w:rPr>
          <w:i/>
          <w:iCs/>
        </w:rPr>
        <w:t>research which</w:t>
      </w:r>
      <w:proofErr w:type="gramEnd"/>
      <w:r>
        <w:rPr>
          <w:i/>
          <w:iCs/>
        </w:rPr>
        <w:t xml:space="preserve"> examines how students use current services and identify what they think needs improvement</w:t>
      </w:r>
      <w:r>
        <w:rPr>
          <w:rStyle w:val="FootnoteReference"/>
          <w:i/>
          <w:iCs/>
        </w:rPr>
        <w:footnoteReference w:id="5"/>
      </w:r>
      <w:r>
        <w:rPr>
          <w:i/>
          <w:iCs/>
        </w:rPr>
        <w:t>.</w:t>
      </w:r>
    </w:p>
    <w:p w14:paraId="6305DFCA" w14:textId="4659EBE0" w:rsidR="009E5897" w:rsidRPr="00044389" w:rsidRDefault="009E5897" w:rsidP="009E5897">
      <w:r w:rsidRPr="00044389">
        <w:t xml:space="preserve">The department is currently undertaking a research discovery project to inform the development of the platform in line with the Digital Transformation Agency’s Digital Service Standard. </w:t>
      </w:r>
    </w:p>
    <w:p w14:paraId="7367272A" w14:textId="77777777" w:rsidR="009E5897" w:rsidRDefault="009E5897" w:rsidP="009E5897">
      <w:r>
        <w:t xml:space="preserve">It </w:t>
      </w:r>
      <w:proofErr w:type="gramStart"/>
      <w:r>
        <w:t>is anticipated</w:t>
      </w:r>
      <w:proofErr w:type="gramEnd"/>
      <w:r>
        <w:t xml:space="preserve"> the research discovery project will also </w:t>
      </w:r>
      <w:r w:rsidRPr="00044389">
        <w:t>provide insights about other departmental websites including</w:t>
      </w:r>
      <w:r>
        <w:t xml:space="preserve"> QILT and Study Assist.</w:t>
      </w:r>
    </w:p>
    <w:p w14:paraId="57566DD8" w14:textId="77777777" w:rsidR="009E5897" w:rsidRPr="00044389" w:rsidRDefault="009E5897" w:rsidP="009E5897">
      <w:r>
        <w:t>The Panel considers that w</w:t>
      </w:r>
      <w:r w:rsidRPr="00044389">
        <w:rPr>
          <w:rFonts w:eastAsia="Times New Roman"/>
        </w:rPr>
        <w:t xml:space="preserve">here and how </w:t>
      </w:r>
      <w:r w:rsidRPr="00044389">
        <w:t>student success, completion, retention and attrition data</w:t>
      </w:r>
      <w:r w:rsidRPr="00044389">
        <w:rPr>
          <w:rFonts w:eastAsia="Times New Roman"/>
        </w:rPr>
        <w:t xml:space="preserve"> </w:t>
      </w:r>
      <w:proofErr w:type="gramStart"/>
      <w:r w:rsidR="00B62F50">
        <w:rPr>
          <w:rFonts w:eastAsia="Times New Roman"/>
        </w:rPr>
        <w:t>is</w:t>
      </w:r>
      <w:r w:rsidRPr="00044389">
        <w:rPr>
          <w:rFonts w:eastAsia="Times New Roman"/>
        </w:rPr>
        <w:t xml:space="preserve"> made</w:t>
      </w:r>
      <w:proofErr w:type="gramEnd"/>
      <w:r w:rsidRPr="00044389">
        <w:rPr>
          <w:rFonts w:eastAsia="Times New Roman"/>
        </w:rPr>
        <w:t xml:space="preserve"> accessible to students should form part of </w:t>
      </w:r>
      <w:r w:rsidR="00081378">
        <w:rPr>
          <w:rFonts w:eastAsia="Times New Roman"/>
        </w:rPr>
        <w:t xml:space="preserve">considerations by the department in the establishment of a new </w:t>
      </w:r>
      <w:r w:rsidRPr="00044389">
        <w:t>online information platform.</w:t>
      </w:r>
      <w:r w:rsidRPr="00044389">
        <w:rPr>
          <w:rFonts w:eastAsia="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DBD2" w:themeFill="accent6" w:themeFillTint="33"/>
        <w:tblLook w:val="04A0" w:firstRow="1" w:lastRow="0" w:firstColumn="1" w:lastColumn="0" w:noHBand="0" w:noVBand="1"/>
      </w:tblPr>
      <w:tblGrid>
        <w:gridCol w:w="9026"/>
      </w:tblGrid>
      <w:tr w:rsidR="004A746F" w14:paraId="2BAA3A02" w14:textId="77777777" w:rsidTr="004A746F">
        <w:tc>
          <w:tcPr>
            <w:tcW w:w="9242" w:type="dxa"/>
            <w:shd w:val="clear" w:color="auto" w:fill="F1DBD2" w:themeFill="accent6" w:themeFillTint="33"/>
          </w:tcPr>
          <w:p w14:paraId="29C0CD6A" w14:textId="77777777" w:rsidR="004A746F" w:rsidRPr="00E97CE6" w:rsidRDefault="004A746F" w:rsidP="004A746F">
            <w:pPr>
              <w:rPr>
                <w:b/>
              </w:rPr>
            </w:pPr>
            <w:r w:rsidRPr="00E97CE6">
              <w:rPr>
                <w:b/>
              </w:rPr>
              <w:t>Recommendations</w:t>
            </w:r>
          </w:p>
          <w:p w14:paraId="64951C18" w14:textId="40A53644" w:rsidR="00AB27C9" w:rsidRDefault="00AB27C9" w:rsidP="00AB27C9">
            <w:pPr>
              <w:pStyle w:val="ListParagraph"/>
              <w:numPr>
                <w:ilvl w:val="0"/>
                <w:numId w:val="28"/>
              </w:numPr>
            </w:pPr>
            <w:r>
              <w:t>School students and mature-age people need better access to effective career advice. The National Career Education Stra</w:t>
            </w:r>
            <w:r w:rsidR="001E5E7F">
              <w:t>tegy, due to be released in 2018</w:t>
            </w:r>
            <w:r>
              <w:t xml:space="preserve">, should be closely monitored to identify improvements in the area of student career advice, including study options and pathways, and information about the post school learning environment. This strategy </w:t>
            </w:r>
            <w:proofErr w:type="gramStart"/>
            <w:r>
              <w:t>should also be expanded</w:t>
            </w:r>
            <w:proofErr w:type="gramEnd"/>
            <w:r>
              <w:t xml:space="preserve"> to include mature-</w:t>
            </w:r>
            <w:r w:rsidRPr="00541949">
              <w:t xml:space="preserve">age </w:t>
            </w:r>
            <w:r>
              <w:t>students</w:t>
            </w:r>
            <w:r w:rsidRPr="00541949">
              <w:t xml:space="preserve"> or a separate strategy </w:t>
            </w:r>
            <w:r>
              <w:t xml:space="preserve">should be initiated for this cohort. </w:t>
            </w:r>
          </w:p>
          <w:p w14:paraId="4763B496" w14:textId="77777777" w:rsidR="00AB27C9" w:rsidRDefault="00AB27C9" w:rsidP="00AB27C9">
            <w:pPr>
              <w:pStyle w:val="ListParagraph"/>
              <w:numPr>
                <w:ilvl w:val="0"/>
                <w:numId w:val="28"/>
              </w:numPr>
            </w:pPr>
            <w:r>
              <w:t xml:space="preserve">Career advice </w:t>
            </w:r>
            <w:proofErr w:type="gramStart"/>
            <w:r>
              <w:t>cannot be left</w:t>
            </w:r>
            <w:proofErr w:type="gramEnd"/>
            <w:r>
              <w:t xml:space="preserve"> to schools. Every higher education institution should ensure that their students are given the opportunity for career planning and course advice on entry to the institution and as they require it throughout their studies. </w:t>
            </w:r>
          </w:p>
          <w:p w14:paraId="5713BF99" w14:textId="77777777" w:rsidR="004A746F" w:rsidRDefault="00AB27C9" w:rsidP="00AB27C9">
            <w:pPr>
              <w:pStyle w:val="ListParagraph"/>
              <w:numPr>
                <w:ilvl w:val="0"/>
                <w:numId w:val="28"/>
              </w:numPr>
            </w:pPr>
            <w:r w:rsidRPr="00EF690A">
              <w:t xml:space="preserve">Where and how </w:t>
            </w:r>
            <w:r w:rsidRPr="00044389">
              <w:t>student success, completions, retention and attrition d</w:t>
            </w:r>
            <w:r>
              <w:t>ata</w:t>
            </w:r>
            <w:r w:rsidRPr="00044389">
              <w:rPr>
                <w:rFonts w:eastAsia="Times New Roman"/>
              </w:rPr>
              <w:t xml:space="preserve"> </w:t>
            </w:r>
            <w:proofErr w:type="gramStart"/>
            <w:r>
              <w:rPr>
                <w:rFonts w:eastAsia="Times New Roman"/>
              </w:rPr>
              <w:t>is</w:t>
            </w:r>
            <w:r w:rsidRPr="00044389">
              <w:rPr>
                <w:rFonts w:eastAsia="Times New Roman"/>
              </w:rPr>
              <w:t xml:space="preserve"> made</w:t>
            </w:r>
            <w:proofErr w:type="gramEnd"/>
            <w:r w:rsidRPr="00044389">
              <w:rPr>
                <w:rFonts w:eastAsia="Times New Roman"/>
              </w:rPr>
              <w:t xml:space="preserve"> accessible to students should form part of </w:t>
            </w:r>
            <w:r>
              <w:t>considerations by the Department of Education and Training</w:t>
            </w:r>
            <w:r>
              <w:rPr>
                <w:rFonts w:eastAsia="Times New Roman"/>
              </w:rPr>
              <w:t xml:space="preserve"> </w:t>
            </w:r>
            <w:r>
              <w:t>in the establishment of</w:t>
            </w:r>
            <w:r w:rsidRPr="00044389">
              <w:t xml:space="preserve"> a new online information platform.</w:t>
            </w:r>
          </w:p>
        </w:tc>
      </w:tr>
    </w:tbl>
    <w:p w14:paraId="3C802802" w14:textId="77777777" w:rsidR="002C48C9" w:rsidRDefault="002C48C9">
      <w:pPr>
        <w:rPr>
          <w:rFonts w:ascii="Calibri" w:eastAsiaTheme="majorEastAsia" w:hAnsi="Calibri" w:cstheme="majorBidi"/>
          <w:b/>
          <w:bCs/>
          <w:color w:val="522761"/>
          <w:sz w:val="36"/>
          <w:szCs w:val="28"/>
        </w:rPr>
      </w:pPr>
      <w:bookmarkStart w:id="13" w:name="_Toc488181512"/>
      <w:r>
        <w:br w:type="page"/>
      </w:r>
    </w:p>
    <w:p w14:paraId="1B8BA0EE" w14:textId="77777777" w:rsidR="000B7C82" w:rsidRPr="00D30110" w:rsidRDefault="000B7C82" w:rsidP="000B7C82">
      <w:pPr>
        <w:pStyle w:val="Heading1"/>
      </w:pPr>
      <w:bookmarkStart w:id="14" w:name="_Toc516120032"/>
      <w:r w:rsidRPr="00D30110">
        <w:t>Supporting students to complete their studies</w:t>
      </w:r>
      <w:bookmarkEnd w:id="13"/>
      <w:bookmarkEnd w:id="14"/>
    </w:p>
    <w:p w14:paraId="56A999E2" w14:textId="77777777" w:rsidR="006F4050" w:rsidRDefault="006F4050" w:rsidP="006F4050">
      <w:bookmarkStart w:id="15" w:name="_Toc486428890"/>
      <w:r>
        <w:t>Students enter higher education with widely different expectations of what they will gain from it and how it will contribute to their future careers and lives. Someti</w:t>
      </w:r>
      <w:r w:rsidR="00676EF7">
        <w:t>mes these expectations change.</w:t>
      </w:r>
      <w:r w:rsidR="00EC5A28">
        <w:t xml:space="preserve"> </w:t>
      </w:r>
      <w:r w:rsidR="00644B8D">
        <w:t xml:space="preserve">Sometimes they are dissatisfied with their educational experience. </w:t>
      </w:r>
      <w:r>
        <w:t>Often personal and family matters create</w:t>
      </w:r>
      <w:r w:rsidR="00676EF7">
        <w:t xml:space="preserve"> unexpected challenges. In</w:t>
      </w:r>
      <w:r>
        <w:t xml:space="preserve"> entering a higher education institution, and throughout </w:t>
      </w:r>
      <w:r w:rsidR="00676EF7">
        <w:t>their studies</w:t>
      </w:r>
      <w:r>
        <w:t xml:space="preserve">, </w:t>
      </w:r>
      <w:r w:rsidR="00676EF7">
        <w:t>students</w:t>
      </w:r>
      <w:r>
        <w:t xml:space="preserve"> need to </w:t>
      </w:r>
      <w:proofErr w:type="gramStart"/>
      <w:r>
        <w:t>be given</w:t>
      </w:r>
      <w:proofErr w:type="gramEnd"/>
      <w:r>
        <w:t xml:space="preserve"> the support necessary to ov</w:t>
      </w:r>
      <w:r w:rsidR="00676EF7">
        <w:t>ercome challenges and complete their</w:t>
      </w:r>
      <w:r>
        <w:t xml:space="preserve"> course</w:t>
      </w:r>
      <w:r w:rsidR="00FC7938">
        <w:t>s</w:t>
      </w:r>
      <w:r>
        <w:t xml:space="preserve"> of study. </w:t>
      </w:r>
    </w:p>
    <w:p w14:paraId="4381619F" w14:textId="77777777" w:rsidR="00593C0C" w:rsidRPr="00593C0C" w:rsidRDefault="00EC5A28" w:rsidP="00593C0C">
      <w:pPr>
        <w:rPr>
          <w:rFonts w:ascii="Calibri" w:hAnsi="Calibri" w:cs="Calibri"/>
        </w:rPr>
      </w:pPr>
      <w:r>
        <w:rPr>
          <w:rFonts w:ascii="Calibri" w:hAnsi="Calibri" w:cs="Calibri"/>
        </w:rPr>
        <w:t>Feedback from respondents</w:t>
      </w:r>
      <w:r w:rsidR="00593C0C" w:rsidRPr="00593C0C">
        <w:rPr>
          <w:rFonts w:ascii="Calibri" w:hAnsi="Calibri" w:cs="Calibri"/>
        </w:rPr>
        <w:t xml:space="preserve"> confirmed the Panel’s assessment of the wide variety of innovative strategies and interventions that have a positive impact on student retention, completion</w:t>
      </w:r>
      <w:r w:rsidR="00511260">
        <w:rPr>
          <w:rFonts w:ascii="Calibri" w:hAnsi="Calibri" w:cs="Calibri"/>
        </w:rPr>
        <w:t>s</w:t>
      </w:r>
      <w:r w:rsidR="00593C0C" w:rsidRPr="00593C0C">
        <w:rPr>
          <w:rFonts w:ascii="Calibri" w:hAnsi="Calibri" w:cs="Calibri"/>
        </w:rPr>
        <w:t xml:space="preserve"> and success</w:t>
      </w:r>
      <w:r>
        <w:rPr>
          <w:rFonts w:ascii="Calibri" w:hAnsi="Calibri" w:cs="Calibri"/>
        </w:rPr>
        <w:t xml:space="preserve">, in the areas of </w:t>
      </w:r>
      <w:r w:rsidR="00593C0C" w:rsidRPr="00593C0C">
        <w:rPr>
          <w:rFonts w:ascii="Calibri" w:hAnsi="Calibri" w:cs="Calibri"/>
        </w:rPr>
        <w:t xml:space="preserve">institutional culture, teaching and learning and student support services. </w:t>
      </w:r>
    </w:p>
    <w:p w14:paraId="558AE787" w14:textId="77777777" w:rsidR="006066C5" w:rsidRDefault="00593C0C" w:rsidP="006066C5">
      <w:pPr>
        <w:rPr>
          <w:rFonts w:ascii="Calibri" w:hAnsi="Calibri" w:cs="Calibri"/>
        </w:rPr>
      </w:pPr>
      <w:r w:rsidRPr="00593C0C">
        <w:rPr>
          <w:rFonts w:ascii="Calibri" w:hAnsi="Calibri" w:cs="Calibri"/>
        </w:rPr>
        <w:t>It</w:t>
      </w:r>
      <w:r w:rsidR="00EC5A28">
        <w:rPr>
          <w:rFonts w:ascii="Calibri" w:hAnsi="Calibri" w:cs="Calibri"/>
        </w:rPr>
        <w:t xml:space="preserve"> </w:t>
      </w:r>
      <w:proofErr w:type="gramStart"/>
      <w:r w:rsidR="00EC5A28">
        <w:rPr>
          <w:rFonts w:ascii="Calibri" w:hAnsi="Calibri" w:cs="Calibri"/>
        </w:rPr>
        <w:t>was</w:t>
      </w:r>
      <w:r w:rsidRPr="00593C0C">
        <w:rPr>
          <w:rFonts w:ascii="Calibri" w:hAnsi="Calibri" w:cs="Calibri"/>
        </w:rPr>
        <w:t xml:space="preserve"> </w:t>
      </w:r>
      <w:r w:rsidR="00081378">
        <w:rPr>
          <w:rFonts w:ascii="Calibri" w:hAnsi="Calibri" w:cs="Calibri"/>
        </w:rPr>
        <w:t>broadly</w:t>
      </w:r>
      <w:r w:rsidRPr="00593C0C">
        <w:rPr>
          <w:rFonts w:ascii="Calibri" w:hAnsi="Calibri" w:cs="Calibri"/>
        </w:rPr>
        <w:t xml:space="preserve"> accepted</w:t>
      </w:r>
      <w:proofErr w:type="gramEnd"/>
      <w:r w:rsidRPr="00593C0C">
        <w:rPr>
          <w:rFonts w:ascii="Calibri" w:hAnsi="Calibri" w:cs="Calibri"/>
        </w:rPr>
        <w:t xml:space="preserve"> that a healthy institutional culture that embraces diversity and flexibility and puts the student first is a key factor in whether a student feels like they are supported and a valued member </w:t>
      </w:r>
      <w:r w:rsidR="00644B8D">
        <w:rPr>
          <w:rFonts w:ascii="Calibri" w:hAnsi="Calibri" w:cs="Calibri"/>
        </w:rPr>
        <w:t>of the institutional community.</w:t>
      </w:r>
      <w:r w:rsidR="006066C5">
        <w:rPr>
          <w:rFonts w:ascii="Calibri" w:hAnsi="Calibri" w:cs="Calibri"/>
        </w:rPr>
        <w:t xml:space="preserve"> </w:t>
      </w:r>
      <w:r w:rsidR="006066C5" w:rsidRPr="00A53BB5">
        <w:rPr>
          <w:rFonts w:ascii="Calibri" w:hAnsi="Calibri" w:cs="Calibri"/>
        </w:rPr>
        <w:t xml:space="preserve">In hearings with the Panel, Dr Jessica </w:t>
      </w:r>
      <w:proofErr w:type="spellStart"/>
      <w:r w:rsidR="006066C5" w:rsidRPr="00A53BB5">
        <w:rPr>
          <w:rFonts w:ascii="Calibri" w:hAnsi="Calibri" w:cs="Calibri"/>
        </w:rPr>
        <w:t>Vanderlelie</w:t>
      </w:r>
      <w:proofErr w:type="spellEnd"/>
      <w:r w:rsidR="006066C5" w:rsidRPr="00A53BB5">
        <w:rPr>
          <w:rFonts w:ascii="Calibri" w:hAnsi="Calibri" w:cs="Calibri"/>
        </w:rPr>
        <w:t>, Griffith University and Innovative Research Universities Vice Chancellors’ Fellow, emphasised her work on the importance of institutions establishing a life-long connection with students from enrolment as a way of work</w:t>
      </w:r>
      <w:r w:rsidR="00EC5A28">
        <w:rPr>
          <w:rFonts w:ascii="Calibri" w:hAnsi="Calibri" w:cs="Calibri"/>
        </w:rPr>
        <w:t xml:space="preserve">ing towards graduate success. </w:t>
      </w:r>
      <w:r w:rsidR="006066C5">
        <w:rPr>
          <w:rFonts w:ascii="Calibri" w:hAnsi="Calibri" w:cs="Calibri"/>
        </w:rPr>
        <w:t>The University of South Australia expressed the importance of setting students up to succeed through its orientation experience which introduces students to the academic and non-academic elements of studying at the university, through presentations and social activities</w:t>
      </w:r>
      <w:r w:rsidR="0050292B">
        <w:rPr>
          <w:rFonts w:ascii="Calibri" w:hAnsi="Calibri" w:cs="Calibri"/>
        </w:rPr>
        <w:t>,</w:t>
      </w:r>
      <w:r w:rsidR="006066C5">
        <w:rPr>
          <w:rFonts w:ascii="Calibri" w:hAnsi="Calibri" w:cs="Calibri"/>
        </w:rPr>
        <w:t xml:space="preserve"> as well as through online induction resources. </w:t>
      </w:r>
    </w:p>
    <w:p w14:paraId="4CE10CEB" w14:textId="77777777" w:rsidR="00A53BB5" w:rsidRPr="00A53BB5" w:rsidRDefault="00593C0C" w:rsidP="00A53BB5">
      <w:pPr>
        <w:rPr>
          <w:rFonts w:ascii="Calibri" w:hAnsi="Calibri" w:cs="Calibri"/>
        </w:rPr>
      </w:pPr>
      <w:r w:rsidRPr="00593C0C">
        <w:rPr>
          <w:rFonts w:ascii="Calibri" w:hAnsi="Calibri" w:cs="Calibri"/>
        </w:rPr>
        <w:t xml:space="preserve">Promoting and rewarding high teacher quality and teacher ability and implementing effective learning and teaching strategies </w:t>
      </w:r>
      <w:proofErr w:type="gramStart"/>
      <w:r w:rsidRPr="00593C0C">
        <w:rPr>
          <w:rFonts w:ascii="Calibri" w:hAnsi="Calibri" w:cs="Calibri"/>
        </w:rPr>
        <w:t>were repeatedly highlighted</w:t>
      </w:r>
      <w:proofErr w:type="gramEnd"/>
      <w:r w:rsidRPr="00593C0C">
        <w:rPr>
          <w:rFonts w:ascii="Calibri" w:hAnsi="Calibri" w:cs="Calibri"/>
        </w:rPr>
        <w:t xml:space="preserve"> as important contributors to student success.</w:t>
      </w:r>
      <w:r w:rsidR="00A53BB5">
        <w:rPr>
          <w:rFonts w:ascii="Calibri" w:hAnsi="Calibri" w:cs="Calibri"/>
        </w:rPr>
        <w:t xml:space="preserve"> </w:t>
      </w:r>
      <w:r w:rsidR="00A53BB5" w:rsidRPr="00A53BB5">
        <w:rPr>
          <w:rFonts w:ascii="Calibri" w:hAnsi="Calibri" w:cs="Calibri"/>
        </w:rPr>
        <w:t xml:space="preserve">Universities Australia cited several </w:t>
      </w:r>
      <w:proofErr w:type="gramStart"/>
      <w:r w:rsidR="00A53BB5" w:rsidRPr="00A53BB5">
        <w:rPr>
          <w:rFonts w:ascii="Calibri" w:hAnsi="Calibri" w:cs="Calibri"/>
        </w:rPr>
        <w:t>initiatives which</w:t>
      </w:r>
      <w:proofErr w:type="gramEnd"/>
      <w:r w:rsidR="00A53BB5" w:rsidRPr="00A53BB5">
        <w:rPr>
          <w:rFonts w:ascii="Calibri" w:hAnsi="Calibri" w:cs="Calibri"/>
        </w:rPr>
        <w:t xml:space="preserve"> have </w:t>
      </w:r>
      <w:r w:rsidR="009565DB">
        <w:rPr>
          <w:rFonts w:ascii="Calibri" w:hAnsi="Calibri" w:cs="Calibri"/>
        </w:rPr>
        <w:t xml:space="preserve">recently </w:t>
      </w:r>
      <w:r w:rsidR="00A53BB5" w:rsidRPr="00A53BB5">
        <w:rPr>
          <w:rFonts w:ascii="Calibri" w:hAnsi="Calibri" w:cs="Calibri"/>
        </w:rPr>
        <w:t>emerged in Aust</w:t>
      </w:r>
      <w:r w:rsidR="005D1A99">
        <w:rPr>
          <w:rFonts w:ascii="Calibri" w:hAnsi="Calibri" w:cs="Calibri"/>
        </w:rPr>
        <w:t>ralia</w:t>
      </w:r>
      <w:r w:rsidR="0050292B">
        <w:rPr>
          <w:rFonts w:ascii="Calibri" w:hAnsi="Calibri" w:cs="Calibri"/>
        </w:rPr>
        <w:t>. These include</w:t>
      </w:r>
      <w:r w:rsidR="00A53BB5" w:rsidRPr="00A53BB5">
        <w:rPr>
          <w:rFonts w:ascii="Calibri" w:hAnsi="Calibri" w:cs="Calibri"/>
        </w:rPr>
        <w:t xml:space="preserve"> the United Kingdom’s Higher Education Academy</w:t>
      </w:r>
      <w:r w:rsidR="0050292B">
        <w:rPr>
          <w:rFonts w:ascii="Calibri" w:hAnsi="Calibri" w:cs="Calibri"/>
        </w:rPr>
        <w:t>,</w:t>
      </w:r>
      <w:r w:rsidR="00A53BB5" w:rsidRPr="00A53BB5">
        <w:rPr>
          <w:rFonts w:ascii="Calibri" w:hAnsi="Calibri" w:cs="Calibri"/>
        </w:rPr>
        <w:t xml:space="preserve"> which has set up an Australasian branch with over 1000 fello</w:t>
      </w:r>
      <w:r w:rsidR="005D1A99">
        <w:rPr>
          <w:rFonts w:ascii="Calibri" w:hAnsi="Calibri" w:cs="Calibri"/>
        </w:rPr>
        <w:t>ws in Australia and New Zealand</w:t>
      </w:r>
      <w:r w:rsidR="0050292B">
        <w:rPr>
          <w:rFonts w:ascii="Calibri" w:hAnsi="Calibri" w:cs="Calibri"/>
        </w:rPr>
        <w:t>,</w:t>
      </w:r>
      <w:r w:rsidR="005D1A99">
        <w:rPr>
          <w:rFonts w:ascii="Calibri" w:hAnsi="Calibri" w:cs="Calibri"/>
        </w:rPr>
        <w:t xml:space="preserve"> and</w:t>
      </w:r>
      <w:r w:rsidR="00A53BB5" w:rsidRPr="00A53BB5">
        <w:rPr>
          <w:rFonts w:ascii="Calibri" w:hAnsi="Calibri" w:cs="Calibri"/>
        </w:rPr>
        <w:t xml:space="preserve"> the Australian University Teaching Criteria and Standards</w:t>
      </w:r>
      <w:r w:rsidR="002B1321">
        <w:rPr>
          <w:rFonts w:ascii="Calibri" w:hAnsi="Calibri" w:cs="Calibri"/>
        </w:rPr>
        <w:t>,</w:t>
      </w:r>
      <w:r w:rsidR="00A53BB5" w:rsidRPr="00A53BB5">
        <w:rPr>
          <w:rFonts w:ascii="Calibri" w:hAnsi="Calibri" w:cs="Calibri"/>
        </w:rPr>
        <w:t xml:space="preserve"> </w:t>
      </w:r>
      <w:r w:rsidR="002B1321">
        <w:rPr>
          <w:rFonts w:ascii="Calibri" w:hAnsi="Calibri" w:cs="Calibri"/>
        </w:rPr>
        <w:t xml:space="preserve">a project funded through the Australian Government Office for Learning and Teaching, </w:t>
      </w:r>
      <w:r w:rsidR="00A53BB5" w:rsidRPr="00A53BB5">
        <w:rPr>
          <w:rFonts w:ascii="Calibri" w:hAnsi="Calibri" w:cs="Calibri"/>
        </w:rPr>
        <w:t xml:space="preserve">which </w:t>
      </w:r>
      <w:proofErr w:type="gramStart"/>
      <w:r w:rsidR="00A53BB5" w:rsidRPr="00A53BB5">
        <w:rPr>
          <w:rFonts w:ascii="Calibri" w:hAnsi="Calibri" w:cs="Calibri"/>
        </w:rPr>
        <w:t>are being used</w:t>
      </w:r>
      <w:proofErr w:type="gramEnd"/>
      <w:r w:rsidR="00A53BB5" w:rsidRPr="00A53BB5">
        <w:rPr>
          <w:rFonts w:ascii="Calibri" w:hAnsi="Calibri" w:cs="Calibri"/>
        </w:rPr>
        <w:t xml:space="preserve"> by a number of universities. Universities Australia noted that institutions are ultimately responsible for identifying the practices that will work best for them and their particular student demographic and community, communicating these to their staff and encouraging their use.</w:t>
      </w:r>
    </w:p>
    <w:p w14:paraId="70B97C45" w14:textId="77777777" w:rsidR="007A5FE2" w:rsidRPr="00265439" w:rsidRDefault="00EC5A28" w:rsidP="007A5FE2">
      <w:pPr>
        <w:rPr>
          <w:highlight w:val="yellow"/>
        </w:rPr>
      </w:pPr>
      <w:r>
        <w:rPr>
          <w:rFonts w:ascii="Calibri" w:hAnsi="Calibri" w:cs="Calibri"/>
        </w:rPr>
        <w:t xml:space="preserve">A number of submissions highlighted how institutions </w:t>
      </w:r>
      <w:r w:rsidR="00593C0C" w:rsidRPr="00593C0C">
        <w:rPr>
          <w:rFonts w:ascii="Calibri" w:hAnsi="Calibri" w:cs="Calibri"/>
        </w:rPr>
        <w:t>should be continually adjusting curriculum, academic and administrative policy design and pedagogy, and focussing on improving teaching skills for lecturers and teachers.</w:t>
      </w:r>
      <w:r w:rsidR="007A5FE2" w:rsidRPr="007A5FE2">
        <w:rPr>
          <w:rFonts w:ascii="Calibri" w:hAnsi="Calibri" w:cs="Calibri"/>
        </w:rPr>
        <w:t xml:space="preserve"> Griffith University stated:</w:t>
      </w:r>
    </w:p>
    <w:p w14:paraId="16E1484C" w14:textId="77777777" w:rsidR="007A5FE2" w:rsidRDefault="007A5FE2" w:rsidP="007A5FE2">
      <w:pPr>
        <w:ind w:left="720"/>
        <w:rPr>
          <w:i/>
        </w:rPr>
      </w:pPr>
      <w:r w:rsidRPr="007A5FE2">
        <w:rPr>
          <w:i/>
        </w:rPr>
        <w:t xml:space="preserve">Attrition is not always a problem to be remediated; it is a reflection of the complexity and tensions in balancing work/personal/study </w:t>
      </w:r>
      <w:proofErr w:type="gramStart"/>
      <w:r w:rsidRPr="007A5FE2">
        <w:rPr>
          <w:i/>
        </w:rPr>
        <w:t>commitments which</w:t>
      </w:r>
      <w:proofErr w:type="gramEnd"/>
      <w:r w:rsidRPr="007A5FE2">
        <w:rPr>
          <w:i/>
        </w:rPr>
        <w:t xml:space="preserve"> require flexibility in curriculum, pedagogy, and academic and administrative policy design.</w:t>
      </w:r>
    </w:p>
    <w:p w14:paraId="5B9F4E5E" w14:textId="77777777" w:rsidR="00BD5416" w:rsidRDefault="00BD5416">
      <w:r>
        <w:br w:type="page"/>
      </w:r>
    </w:p>
    <w:p w14:paraId="098E6649" w14:textId="77777777" w:rsidR="00786B57" w:rsidRPr="00786B57" w:rsidRDefault="00593C0C" w:rsidP="00786B57">
      <w:r>
        <w:t>Institutions reinforced that f</w:t>
      </w:r>
      <w:r w:rsidR="00786B57" w:rsidRPr="00786B57">
        <w:t>oundation/</w:t>
      </w:r>
      <w:proofErr w:type="gramStart"/>
      <w:r w:rsidR="00786B57" w:rsidRPr="00786B57">
        <w:t>transitional, academic and personal support</w:t>
      </w:r>
      <w:r>
        <w:t xml:space="preserve"> services are provided by them</w:t>
      </w:r>
      <w:proofErr w:type="gramEnd"/>
      <w:r>
        <w:t xml:space="preserve"> </w:t>
      </w:r>
      <w:r w:rsidR="00F742CB">
        <w:t>to all students and they shared</w:t>
      </w:r>
      <w:r>
        <w:t xml:space="preserve"> </w:t>
      </w:r>
      <w:r w:rsidR="005D1A99">
        <w:t xml:space="preserve">a plethora of </w:t>
      </w:r>
      <w:r>
        <w:t xml:space="preserve">examples of their work in this area.  Institutions also pointed out that it </w:t>
      </w:r>
      <w:r w:rsidR="00786B57" w:rsidRPr="00786B57">
        <w:t>is not necessarily the case that a stu</w:t>
      </w:r>
      <w:r>
        <w:t xml:space="preserve">dent will accept such support. </w:t>
      </w:r>
    </w:p>
    <w:p w14:paraId="36F6B4D8" w14:textId="77777777" w:rsidR="00786B57" w:rsidRDefault="00A80D44" w:rsidP="00786B57">
      <w:r>
        <w:t>Submissions, including from the NSW Department of Education, acknowledged that low socioeconomic status does not necessarily mean low achieving, however many students who are low socioeconomic also share other characteristics associated with poor retention and lower completion rates, such as being mature-age and part</w:t>
      </w:r>
      <w:r w:rsidR="00B62F50">
        <w:t>-</w:t>
      </w:r>
      <w:r>
        <w:t xml:space="preserve">time. Institutions provided examples of their support programs for equity students and </w:t>
      </w:r>
      <w:r w:rsidR="00593C0C">
        <w:t>recognised the Government’s</w:t>
      </w:r>
      <w:r w:rsidR="00786B57" w:rsidRPr="00786B57">
        <w:t xml:space="preserve"> support prog</w:t>
      </w:r>
      <w:r>
        <w:t xml:space="preserve">rams for disadvantaged students. For instance, </w:t>
      </w:r>
      <w:r w:rsidR="00786B57" w:rsidRPr="00786B57">
        <w:t xml:space="preserve">through </w:t>
      </w:r>
      <w:r w:rsidR="00BD027B">
        <w:t>the Higher Education Participation and Partnerships Program (</w:t>
      </w:r>
      <w:r w:rsidR="00593C0C" w:rsidRPr="00347AA8">
        <w:t>HEPPP</w:t>
      </w:r>
      <w:r w:rsidR="00BD027B">
        <w:t>)</w:t>
      </w:r>
      <w:r w:rsidR="00786B57" w:rsidRPr="00347AA8">
        <w:t xml:space="preserve"> and the </w:t>
      </w:r>
      <w:hyperlink r:id="rId22" w:history="1">
        <w:r w:rsidR="00786B57" w:rsidRPr="00347AA8">
          <w:t>National Centre for Student Equity in Higher Education</w:t>
        </w:r>
      </w:hyperlink>
      <w:r w:rsidR="005D1A99">
        <w:t>,</w:t>
      </w:r>
      <w:r w:rsidR="00786B57" w:rsidRPr="00347AA8">
        <w:t xml:space="preserve"> including </w:t>
      </w:r>
      <w:r w:rsidR="005D1A99">
        <w:t xml:space="preserve">for </w:t>
      </w:r>
      <w:r w:rsidR="00786B57" w:rsidRPr="00347AA8">
        <w:t xml:space="preserve">low socioeconomic students, those from regional and remote areas, Indigenous students and students with a disability. </w:t>
      </w:r>
      <w:r w:rsidR="00CB761F">
        <w:t xml:space="preserve"> </w:t>
      </w:r>
    </w:p>
    <w:p w14:paraId="31849065" w14:textId="77777777" w:rsidR="00593C0C" w:rsidRPr="00347AA8" w:rsidRDefault="00971D6D" w:rsidP="00593C0C">
      <w:pPr>
        <w:rPr>
          <w:rFonts w:ascii="Calibri" w:hAnsi="Calibri" w:cs="Calibri"/>
          <w:color w:val="000000"/>
        </w:rPr>
      </w:pPr>
      <w:r>
        <w:rPr>
          <w:rFonts w:ascii="Calibri" w:hAnsi="Calibri" w:cs="Calibri"/>
          <w:color w:val="000000"/>
        </w:rPr>
        <w:t xml:space="preserve">Given the increase in the number and variability in students </w:t>
      </w:r>
      <w:r w:rsidR="000A7B06">
        <w:rPr>
          <w:rFonts w:ascii="Calibri" w:hAnsi="Calibri" w:cs="Calibri"/>
          <w:color w:val="000000"/>
        </w:rPr>
        <w:t>who</w:t>
      </w:r>
      <w:r>
        <w:rPr>
          <w:rFonts w:ascii="Calibri" w:hAnsi="Calibri" w:cs="Calibri"/>
          <w:color w:val="000000"/>
        </w:rPr>
        <w:t xml:space="preserve"> have entered higher education since the introduction of the demand driven system, the Panel considers that institutions have done a good </w:t>
      </w:r>
      <w:r w:rsidRPr="008D00FE">
        <w:rPr>
          <w:rFonts w:ascii="Calibri" w:hAnsi="Calibri" w:cs="Calibri"/>
          <w:color w:val="000000"/>
        </w:rPr>
        <w:t>job in addressing attrition. However, the Panel believes it would be useful for</w:t>
      </w:r>
      <w:r w:rsidR="00B62F50" w:rsidRPr="008D00FE">
        <w:rPr>
          <w:rFonts w:ascii="Calibri" w:hAnsi="Calibri" w:cs="Calibri"/>
          <w:color w:val="000000"/>
        </w:rPr>
        <w:t xml:space="preserve"> every</w:t>
      </w:r>
      <w:r w:rsidRPr="008D00FE">
        <w:rPr>
          <w:rFonts w:ascii="Calibri" w:hAnsi="Calibri" w:cs="Calibri"/>
          <w:color w:val="000000"/>
        </w:rPr>
        <w:t xml:space="preserve"> </w:t>
      </w:r>
      <w:r w:rsidR="000A7B06" w:rsidRPr="008D00FE">
        <w:rPr>
          <w:rFonts w:ascii="Calibri" w:hAnsi="Calibri" w:cs="Calibri"/>
          <w:color w:val="000000"/>
        </w:rPr>
        <w:t>institution</w:t>
      </w:r>
      <w:r w:rsidRPr="008D00FE">
        <w:rPr>
          <w:rFonts w:ascii="Calibri" w:hAnsi="Calibri" w:cs="Calibri"/>
          <w:color w:val="000000"/>
        </w:rPr>
        <w:t xml:space="preserve"> </w:t>
      </w:r>
      <w:r w:rsidR="004D7821" w:rsidRPr="008D00FE">
        <w:rPr>
          <w:rFonts w:ascii="Calibri" w:hAnsi="Calibri" w:cs="Calibri"/>
          <w:color w:val="000000"/>
        </w:rPr>
        <w:t xml:space="preserve">to </w:t>
      </w:r>
      <w:r w:rsidR="00B62F50" w:rsidRPr="008D00FE">
        <w:rPr>
          <w:rFonts w:ascii="Calibri" w:hAnsi="Calibri" w:cs="Calibri"/>
          <w:color w:val="000000"/>
        </w:rPr>
        <w:t>have</w:t>
      </w:r>
      <w:r w:rsidR="00B62F50">
        <w:rPr>
          <w:rFonts w:ascii="Calibri" w:hAnsi="Calibri" w:cs="Calibri"/>
          <w:color w:val="000000"/>
        </w:rPr>
        <w:t xml:space="preserve"> a</w:t>
      </w:r>
      <w:r w:rsidR="000A7B06">
        <w:rPr>
          <w:rFonts w:ascii="Calibri" w:hAnsi="Calibri" w:cs="Calibri"/>
          <w:color w:val="000000"/>
        </w:rPr>
        <w:t xml:space="preserve"> </w:t>
      </w:r>
      <w:r w:rsidR="00550836">
        <w:rPr>
          <w:rFonts w:ascii="Calibri" w:hAnsi="Calibri" w:cs="Calibri"/>
          <w:color w:val="000000"/>
        </w:rPr>
        <w:t>r</w:t>
      </w:r>
      <w:r w:rsidR="00B62F50">
        <w:rPr>
          <w:rFonts w:ascii="Calibri" w:hAnsi="Calibri" w:cs="Calibri"/>
          <w:color w:val="000000"/>
        </w:rPr>
        <w:t>etention strategy</w:t>
      </w:r>
      <w:r w:rsidR="007B0939">
        <w:rPr>
          <w:rFonts w:ascii="Calibri" w:hAnsi="Calibri" w:cs="Calibri"/>
          <w:color w:val="000000"/>
        </w:rPr>
        <w:t>,</w:t>
      </w:r>
      <w:r w:rsidR="00593C0C" w:rsidRPr="00347AA8">
        <w:rPr>
          <w:rFonts w:ascii="Calibri" w:hAnsi="Calibri" w:cs="Calibri"/>
          <w:color w:val="000000"/>
        </w:rPr>
        <w:t xml:space="preserve"> </w:t>
      </w:r>
      <w:r w:rsidR="000A7B06">
        <w:rPr>
          <w:rFonts w:ascii="Calibri" w:hAnsi="Calibri" w:cs="Calibri"/>
          <w:color w:val="000000"/>
        </w:rPr>
        <w:t>ensure</w:t>
      </w:r>
      <w:r w:rsidR="00550836">
        <w:rPr>
          <w:rFonts w:ascii="Calibri" w:hAnsi="Calibri" w:cs="Calibri"/>
          <w:color w:val="000000"/>
        </w:rPr>
        <w:t xml:space="preserve"> appropriate </w:t>
      </w:r>
      <w:r w:rsidR="00593C0C" w:rsidRPr="00347AA8">
        <w:rPr>
          <w:rFonts w:ascii="Calibri" w:hAnsi="Calibri" w:cs="Calibri"/>
          <w:color w:val="000000"/>
        </w:rPr>
        <w:t>support for external students</w:t>
      </w:r>
      <w:r w:rsidR="00C24A5D">
        <w:rPr>
          <w:rFonts w:ascii="Calibri" w:hAnsi="Calibri" w:cs="Calibri"/>
          <w:color w:val="000000"/>
        </w:rPr>
        <w:t xml:space="preserve">, </w:t>
      </w:r>
      <w:r w:rsidR="000A7B06">
        <w:rPr>
          <w:rFonts w:ascii="Calibri" w:hAnsi="Calibri" w:cs="Calibri"/>
          <w:color w:val="000000"/>
        </w:rPr>
        <w:t>address</w:t>
      </w:r>
      <w:r w:rsidR="00593C0C" w:rsidRPr="00347AA8">
        <w:rPr>
          <w:rFonts w:ascii="Calibri" w:hAnsi="Calibri" w:cs="Calibri"/>
          <w:color w:val="000000"/>
        </w:rPr>
        <w:t xml:space="preserve"> student mental health</w:t>
      </w:r>
      <w:r w:rsidR="007B0939" w:rsidRPr="007B0939">
        <w:rPr>
          <w:rFonts w:ascii="Calibri" w:hAnsi="Calibri" w:cs="Calibri"/>
          <w:color w:val="000000"/>
        </w:rPr>
        <w:t xml:space="preserve"> </w:t>
      </w:r>
      <w:r w:rsidR="00C24A5D">
        <w:rPr>
          <w:rFonts w:ascii="Calibri" w:hAnsi="Calibri" w:cs="Calibri"/>
          <w:color w:val="000000"/>
        </w:rPr>
        <w:t>and</w:t>
      </w:r>
      <w:r w:rsidR="000A7B06">
        <w:rPr>
          <w:rFonts w:ascii="Calibri" w:hAnsi="Calibri" w:cs="Calibri"/>
          <w:color w:val="000000"/>
        </w:rPr>
        <w:t>,</w:t>
      </w:r>
      <w:r w:rsidR="00C24A5D">
        <w:rPr>
          <w:rFonts w:ascii="Calibri" w:hAnsi="Calibri" w:cs="Calibri"/>
          <w:color w:val="000000"/>
        </w:rPr>
        <w:t xml:space="preserve"> </w:t>
      </w:r>
      <w:r w:rsidR="000A7B06">
        <w:rPr>
          <w:rFonts w:ascii="Calibri" w:hAnsi="Calibri" w:cs="Calibri"/>
          <w:color w:val="000000"/>
        </w:rPr>
        <w:t xml:space="preserve">where appropriate, increase their offerings of </w:t>
      </w:r>
      <w:r w:rsidR="007B0939" w:rsidRPr="00347AA8">
        <w:rPr>
          <w:rFonts w:ascii="Calibri" w:hAnsi="Calibri" w:cs="Calibri"/>
          <w:color w:val="000000"/>
        </w:rPr>
        <w:t>nested courses</w:t>
      </w:r>
      <w:r w:rsidR="00593C0C" w:rsidRPr="00347AA8">
        <w:rPr>
          <w:rFonts w:ascii="Calibri" w:hAnsi="Calibri" w:cs="Calibri"/>
          <w:color w:val="000000"/>
        </w:rPr>
        <w:t xml:space="preserve">. </w:t>
      </w:r>
    </w:p>
    <w:p w14:paraId="45A448EF" w14:textId="77777777" w:rsidR="00786B57" w:rsidRPr="00786B57" w:rsidRDefault="00C46AFE" w:rsidP="00FE747A">
      <w:pPr>
        <w:pStyle w:val="Heading2"/>
      </w:pPr>
      <w:r>
        <w:t>I</w:t>
      </w:r>
      <w:r w:rsidR="0064782A">
        <w:t xml:space="preserve">nstitution </w:t>
      </w:r>
      <w:r w:rsidR="00786B57" w:rsidRPr="00786B57">
        <w:t>reten</w:t>
      </w:r>
      <w:r>
        <w:t>tion strategies</w:t>
      </w:r>
    </w:p>
    <w:p w14:paraId="4A8ED549" w14:textId="77777777" w:rsidR="00881731" w:rsidRDefault="00786B57" w:rsidP="00786B57">
      <w:r w:rsidRPr="00786B57">
        <w:t>Increasingly, institutions are includin</w:t>
      </w:r>
      <w:r w:rsidR="00881731">
        <w:t xml:space="preserve">g retention targets </w:t>
      </w:r>
      <w:r w:rsidR="00425732">
        <w:t xml:space="preserve">in their </w:t>
      </w:r>
      <w:r w:rsidR="005B6002">
        <w:t>strategic plans</w:t>
      </w:r>
      <w:r w:rsidR="00881731">
        <w:t>. Curtin University noted that its strategic plan includes retention and completion targets and monitors them in comparison with others at</w:t>
      </w:r>
      <w:r w:rsidR="00D73658">
        <w:t xml:space="preserve"> the state and national level. </w:t>
      </w:r>
      <w:r w:rsidR="00881731">
        <w:t xml:space="preserve">The Australian Catholic University </w:t>
      </w:r>
      <w:r w:rsidR="0050292B">
        <w:t xml:space="preserve">cited its </w:t>
      </w:r>
      <w:r w:rsidR="00881731">
        <w:t>strategic plan</w:t>
      </w:r>
      <w:r w:rsidR="0050292B">
        <w:t>,</w:t>
      </w:r>
      <w:r w:rsidR="00881731">
        <w:t xml:space="preserve"> which includes retention targets and cultivates a culture reinforcing the importance of student success. </w:t>
      </w:r>
    </w:p>
    <w:p w14:paraId="649930E7" w14:textId="77777777" w:rsidR="00F96BB5" w:rsidRDefault="00881731" w:rsidP="00786B57">
      <w:r>
        <w:t>S</w:t>
      </w:r>
      <w:r w:rsidR="00425732">
        <w:t>ome institutions</w:t>
      </w:r>
      <w:r w:rsidR="00B62F50">
        <w:t xml:space="preserve"> </w:t>
      </w:r>
      <w:r w:rsidR="0050292B">
        <w:t>referenced s</w:t>
      </w:r>
      <w:r w:rsidR="00D73658">
        <w:t>pecific</w:t>
      </w:r>
      <w:r w:rsidR="00753477">
        <w:t xml:space="preserve"> rete</w:t>
      </w:r>
      <w:r w:rsidR="005D1A99">
        <w:t>ntion strategies, initiatives or</w:t>
      </w:r>
      <w:r w:rsidR="00753477">
        <w:t xml:space="preserve"> taskforces. These institutions</w:t>
      </w:r>
      <w:r>
        <w:t xml:space="preserve"> include</w:t>
      </w:r>
      <w:r w:rsidR="00753477">
        <w:t xml:space="preserve"> La Trobe University, Federation University of Australia, </w:t>
      </w:r>
      <w:r w:rsidR="006347F7">
        <w:t xml:space="preserve">Curtin University, </w:t>
      </w:r>
      <w:r w:rsidR="00753477">
        <w:t>Victoria University, Swinburne University of Technology, Western Sydney University and the University of the Sunshine Coast</w:t>
      </w:r>
      <w:r w:rsidR="00425732">
        <w:t xml:space="preserve">. </w:t>
      </w:r>
    </w:p>
    <w:p w14:paraId="63F5F086" w14:textId="77777777" w:rsidR="00753477" w:rsidRDefault="00753477" w:rsidP="00786B57">
      <w:r>
        <w:t>The University of the Sunshine Coast’s submission outlines its identification, implementation</w:t>
      </w:r>
      <w:r w:rsidR="0050292B">
        <w:t>,</w:t>
      </w:r>
      <w:r>
        <w:t xml:space="preserve"> support and monitoring strategies:</w:t>
      </w:r>
    </w:p>
    <w:p w14:paraId="6D192004" w14:textId="77777777" w:rsidR="00753477" w:rsidRPr="005D1A99" w:rsidRDefault="00753477" w:rsidP="00753477">
      <w:pPr>
        <w:pStyle w:val="ListParagraph"/>
        <w:numPr>
          <w:ilvl w:val="0"/>
          <w:numId w:val="18"/>
        </w:numPr>
        <w:rPr>
          <w:i/>
        </w:rPr>
      </w:pPr>
      <w:r w:rsidRPr="005D1A99">
        <w:rPr>
          <w:i/>
        </w:rPr>
        <w:t>Inclusion of measures and targets in our Strategic Plan and Academic Plan relating to student retention and success</w:t>
      </w:r>
    </w:p>
    <w:p w14:paraId="77EE2366" w14:textId="77777777" w:rsidR="00753477" w:rsidRPr="005D1A99" w:rsidRDefault="00753477" w:rsidP="00753477">
      <w:pPr>
        <w:pStyle w:val="ListParagraph"/>
        <w:numPr>
          <w:ilvl w:val="0"/>
          <w:numId w:val="18"/>
        </w:numPr>
        <w:rPr>
          <w:i/>
        </w:rPr>
      </w:pPr>
      <w:r w:rsidRPr="005D1A99">
        <w:rPr>
          <w:i/>
        </w:rPr>
        <w:t>Implementation of a whole-of-institution Student Retention and Engagement Blueprint which has four interrelated strategies:</w:t>
      </w:r>
    </w:p>
    <w:p w14:paraId="05D0FA44" w14:textId="77777777" w:rsidR="00753477" w:rsidRPr="005D1A99" w:rsidRDefault="00753477" w:rsidP="00753477">
      <w:pPr>
        <w:pStyle w:val="ListParagraph"/>
        <w:numPr>
          <w:ilvl w:val="0"/>
          <w:numId w:val="19"/>
        </w:numPr>
        <w:rPr>
          <w:i/>
        </w:rPr>
      </w:pPr>
      <w:r w:rsidRPr="005D1A99">
        <w:rPr>
          <w:i/>
        </w:rPr>
        <w:t>Strengthen the first year experience</w:t>
      </w:r>
    </w:p>
    <w:p w14:paraId="3D1DC012" w14:textId="77777777" w:rsidR="00753477" w:rsidRPr="005D1A99" w:rsidRDefault="00753477" w:rsidP="00753477">
      <w:pPr>
        <w:pStyle w:val="ListParagraph"/>
        <w:numPr>
          <w:ilvl w:val="0"/>
          <w:numId w:val="19"/>
        </w:numPr>
        <w:rPr>
          <w:i/>
        </w:rPr>
      </w:pPr>
      <w:r w:rsidRPr="005D1A99">
        <w:rPr>
          <w:i/>
        </w:rPr>
        <w:t>Design and enact high quality curricula</w:t>
      </w:r>
    </w:p>
    <w:p w14:paraId="395E4350" w14:textId="77777777" w:rsidR="00753477" w:rsidRPr="005D1A99" w:rsidRDefault="00753477" w:rsidP="00753477">
      <w:pPr>
        <w:pStyle w:val="ListParagraph"/>
        <w:numPr>
          <w:ilvl w:val="0"/>
          <w:numId w:val="19"/>
        </w:numPr>
        <w:rPr>
          <w:i/>
        </w:rPr>
      </w:pPr>
      <w:r w:rsidRPr="005D1A99">
        <w:rPr>
          <w:i/>
        </w:rPr>
        <w:t>Promote access, equity and diversity</w:t>
      </w:r>
    </w:p>
    <w:p w14:paraId="7049268E" w14:textId="77777777" w:rsidR="00753477" w:rsidRPr="005D1A99" w:rsidRDefault="00753477" w:rsidP="00753477">
      <w:pPr>
        <w:pStyle w:val="ListParagraph"/>
        <w:numPr>
          <w:ilvl w:val="0"/>
          <w:numId w:val="19"/>
        </w:numPr>
        <w:rPr>
          <w:i/>
        </w:rPr>
      </w:pPr>
      <w:r w:rsidRPr="005D1A99">
        <w:rPr>
          <w:i/>
        </w:rPr>
        <w:t>Enable support for learning</w:t>
      </w:r>
    </w:p>
    <w:p w14:paraId="41591544" w14:textId="77777777" w:rsidR="00753477" w:rsidRPr="005D1A99" w:rsidRDefault="00753477" w:rsidP="00753477">
      <w:pPr>
        <w:pStyle w:val="ListParagraph"/>
        <w:numPr>
          <w:ilvl w:val="0"/>
          <w:numId w:val="18"/>
        </w:numPr>
        <w:rPr>
          <w:i/>
        </w:rPr>
      </w:pPr>
      <w:r w:rsidRPr="005D1A99">
        <w:rPr>
          <w:i/>
        </w:rPr>
        <w:t xml:space="preserve">Early identification of at-risk students and targeted intervention strategies. </w:t>
      </w:r>
    </w:p>
    <w:p w14:paraId="119198F7" w14:textId="77777777" w:rsidR="00F96BB5" w:rsidRDefault="00F96BB5" w:rsidP="00F96BB5">
      <w:r>
        <w:t>The Panel sees great value in</w:t>
      </w:r>
      <w:r w:rsidR="0050292B">
        <w:t xml:space="preserve"> e</w:t>
      </w:r>
      <w:r w:rsidR="00142BAD">
        <w:t xml:space="preserve">very </w:t>
      </w:r>
      <w:r>
        <w:t>institution</w:t>
      </w:r>
      <w:r w:rsidR="0050292B">
        <w:t xml:space="preserve"> developing a </w:t>
      </w:r>
      <w:r w:rsidR="00C46AFE">
        <w:t xml:space="preserve">student-centred </w:t>
      </w:r>
      <w:r w:rsidR="0050292B">
        <w:t>retention strategy</w:t>
      </w:r>
      <w:r w:rsidR="00C46AFE">
        <w:t xml:space="preserve">, which </w:t>
      </w:r>
      <w:proofErr w:type="gramStart"/>
      <w:r w:rsidR="00C46AFE">
        <w:t xml:space="preserve">is </w:t>
      </w:r>
      <w:r w:rsidR="000A7B06">
        <w:t>evaluate</w:t>
      </w:r>
      <w:r w:rsidR="00C46AFE">
        <w:t>d</w:t>
      </w:r>
      <w:proofErr w:type="gramEnd"/>
      <w:r w:rsidR="000A7B06">
        <w:t xml:space="preserve"> regularly,</w:t>
      </w:r>
      <w:r w:rsidR="0050292B">
        <w:t xml:space="preserve"> </w:t>
      </w:r>
      <w:r>
        <w:t xml:space="preserve">as a way of focussing management, staff and students towards a coordinated, integrated process for achieving </w:t>
      </w:r>
      <w:r w:rsidR="00D73658">
        <w:t>student retention and success.</w:t>
      </w:r>
    </w:p>
    <w:p w14:paraId="19A5E53E" w14:textId="77777777" w:rsidR="00786B57" w:rsidRDefault="009760A5" w:rsidP="00786B57">
      <w:r>
        <w:t>S</w:t>
      </w:r>
      <w:r w:rsidR="00AE691D">
        <w:t xml:space="preserve">trategic plans </w:t>
      </w:r>
      <w:r w:rsidR="00550836">
        <w:t>general</w:t>
      </w:r>
      <w:r>
        <w:t>ly</w:t>
      </w:r>
      <w:r w:rsidR="00550836">
        <w:t xml:space="preserve"> cover </w:t>
      </w:r>
      <w:r>
        <w:t>curriculum, l</w:t>
      </w:r>
      <w:r w:rsidR="005D1A99">
        <w:t>earning, leadership and culture. T</w:t>
      </w:r>
      <w:r>
        <w:t>aking this into consideration the</w:t>
      </w:r>
      <w:r w:rsidR="00786B57" w:rsidRPr="00786B57">
        <w:t xml:space="preserve"> Panel recommends e</w:t>
      </w:r>
      <w:r w:rsidR="00142BAD">
        <w:t>very</w:t>
      </w:r>
      <w:r w:rsidR="00786B57" w:rsidRPr="00786B57">
        <w:t xml:space="preserve"> institution</w:t>
      </w:r>
      <w:r w:rsidR="00FA3F69">
        <w:t xml:space="preserve">’s retention strategy </w:t>
      </w:r>
      <w:r w:rsidR="00786B57" w:rsidRPr="00786B57">
        <w:t xml:space="preserve">could contain </w:t>
      </w:r>
      <w:r w:rsidR="005D1A99">
        <w:t>all or some of</w:t>
      </w:r>
      <w:r w:rsidR="003810CB">
        <w:t xml:space="preserve"> the following elements</w:t>
      </w:r>
      <w:r w:rsidR="00786B57" w:rsidRPr="00786B57">
        <w:t>:</w:t>
      </w:r>
    </w:p>
    <w:p w14:paraId="0C584721" w14:textId="77777777" w:rsidR="00786B57" w:rsidRPr="00786B57" w:rsidRDefault="00265439" w:rsidP="00A53BB5">
      <w:pPr>
        <w:numPr>
          <w:ilvl w:val="0"/>
          <w:numId w:val="7"/>
        </w:numPr>
        <w:contextualSpacing/>
      </w:pPr>
      <w:r>
        <w:t xml:space="preserve">institutional </w:t>
      </w:r>
      <w:r w:rsidR="00786B57" w:rsidRPr="00786B57">
        <w:t xml:space="preserve">retention </w:t>
      </w:r>
      <w:r w:rsidR="00276CC2">
        <w:t>benchmarks</w:t>
      </w:r>
    </w:p>
    <w:p w14:paraId="31AD7B08" w14:textId="77777777" w:rsidR="007B0939" w:rsidRDefault="00E73290" w:rsidP="00A53BB5">
      <w:pPr>
        <w:numPr>
          <w:ilvl w:val="0"/>
          <w:numId w:val="7"/>
        </w:numPr>
        <w:contextualSpacing/>
      </w:pPr>
      <w:r>
        <w:t>student entry interviews</w:t>
      </w:r>
    </w:p>
    <w:p w14:paraId="6755A4AA" w14:textId="77777777" w:rsidR="00E73290" w:rsidRDefault="00E73290" w:rsidP="00A53BB5">
      <w:pPr>
        <w:numPr>
          <w:ilvl w:val="0"/>
          <w:numId w:val="7"/>
        </w:numPr>
        <w:contextualSpacing/>
      </w:pPr>
      <w:r>
        <w:t>learning analytics</w:t>
      </w:r>
      <w:r w:rsidR="0050292B">
        <w:t xml:space="preserve"> and interventions</w:t>
      </w:r>
    </w:p>
    <w:p w14:paraId="5B9B07E4" w14:textId="77777777" w:rsidR="00204FF7" w:rsidRDefault="00081378" w:rsidP="00A53BB5">
      <w:pPr>
        <w:numPr>
          <w:ilvl w:val="0"/>
          <w:numId w:val="7"/>
        </w:numPr>
        <w:contextualSpacing/>
      </w:pPr>
      <w:r>
        <w:t xml:space="preserve">strategies to </w:t>
      </w:r>
      <w:r w:rsidR="00204FF7">
        <w:t>review student enrolment</w:t>
      </w:r>
    </w:p>
    <w:p w14:paraId="658A9283" w14:textId="77777777" w:rsidR="00FA3F69" w:rsidRDefault="00FA3F69" w:rsidP="00A53BB5">
      <w:pPr>
        <w:numPr>
          <w:ilvl w:val="0"/>
          <w:numId w:val="7"/>
        </w:numPr>
        <w:contextualSpacing/>
      </w:pPr>
      <w:r>
        <w:t xml:space="preserve">support strategies </w:t>
      </w:r>
    </w:p>
    <w:p w14:paraId="10239FE2" w14:textId="77777777" w:rsidR="001A4276" w:rsidRDefault="00AE597C" w:rsidP="007B0939">
      <w:pPr>
        <w:numPr>
          <w:ilvl w:val="0"/>
          <w:numId w:val="7"/>
        </w:numPr>
        <w:contextualSpacing/>
      </w:pPr>
      <w:r>
        <w:t>exit interviews</w:t>
      </w:r>
    </w:p>
    <w:p w14:paraId="41B950FB" w14:textId="77777777" w:rsidR="00AE597C" w:rsidRDefault="00FC7938" w:rsidP="007B0939">
      <w:pPr>
        <w:numPr>
          <w:ilvl w:val="0"/>
          <w:numId w:val="7"/>
        </w:numPr>
        <w:contextualSpacing/>
      </w:pPr>
      <w:proofErr w:type="gramStart"/>
      <w:r>
        <w:t>processes</w:t>
      </w:r>
      <w:proofErr w:type="gramEnd"/>
      <w:r>
        <w:t xml:space="preserve"> for the </w:t>
      </w:r>
      <w:r w:rsidR="00AE597C">
        <w:t>re-engagement of students who have withdrawn</w:t>
      </w:r>
      <w:r w:rsidR="00B62F50">
        <w:t>.</w:t>
      </w:r>
    </w:p>
    <w:p w14:paraId="7D6489A4" w14:textId="77777777" w:rsidR="007B0939" w:rsidRDefault="007B0939" w:rsidP="007B0939">
      <w:pPr>
        <w:ind w:left="720"/>
        <w:contextualSpacing/>
      </w:pPr>
    </w:p>
    <w:p w14:paraId="15015E54" w14:textId="77777777" w:rsidR="00786B57" w:rsidRPr="00786B57" w:rsidRDefault="00786B57" w:rsidP="00786B57">
      <w:r w:rsidRPr="00786B57">
        <w:t xml:space="preserve">These elements </w:t>
      </w:r>
      <w:proofErr w:type="gramStart"/>
      <w:r w:rsidRPr="00786B57">
        <w:t>are detailed</w:t>
      </w:r>
      <w:proofErr w:type="gramEnd"/>
      <w:r w:rsidRPr="00786B57">
        <w:t xml:space="preserve"> below.</w:t>
      </w:r>
    </w:p>
    <w:p w14:paraId="708C78D5" w14:textId="77777777" w:rsidR="00786B57" w:rsidRPr="00A43E27" w:rsidRDefault="00786B57" w:rsidP="00FE747A">
      <w:pPr>
        <w:pStyle w:val="Heading3"/>
      </w:pPr>
      <w:r w:rsidRPr="00A43E27">
        <w:t xml:space="preserve">Retention </w:t>
      </w:r>
      <w:r w:rsidR="00276CC2">
        <w:t>benchmarks</w:t>
      </w:r>
    </w:p>
    <w:p w14:paraId="580465AF" w14:textId="77777777" w:rsidR="00FC7938" w:rsidRDefault="00F96BB5" w:rsidP="00A43E27">
      <w:r>
        <w:t>T</w:t>
      </w:r>
      <w:r w:rsidR="000A65AC">
        <w:t xml:space="preserve">he Panel considers </w:t>
      </w:r>
      <w:r>
        <w:t xml:space="preserve">all higher education </w:t>
      </w:r>
      <w:r w:rsidR="000A65AC">
        <w:t>ins</w:t>
      </w:r>
      <w:r w:rsidR="00FC38E4">
        <w:t xml:space="preserve">titutions should have retention </w:t>
      </w:r>
      <w:proofErr w:type="gramStart"/>
      <w:r w:rsidR="00276CC2">
        <w:t>benchmark</w:t>
      </w:r>
      <w:r w:rsidR="00F8207E">
        <w:t>s which</w:t>
      </w:r>
      <w:proofErr w:type="gramEnd"/>
      <w:r w:rsidR="000A65AC">
        <w:t xml:space="preserve"> </w:t>
      </w:r>
      <w:r w:rsidR="0050292B">
        <w:t>c</w:t>
      </w:r>
      <w:r w:rsidR="000A65AC">
        <w:t xml:space="preserve">ould be incorporated into institution specific retention strategies. </w:t>
      </w:r>
      <w:r w:rsidR="00A43E27">
        <w:t xml:space="preserve">These </w:t>
      </w:r>
      <w:r w:rsidR="00276CC2">
        <w:t xml:space="preserve">benchmarks </w:t>
      </w:r>
      <w:r w:rsidR="00A43E27">
        <w:t>would take into account the institution’s</w:t>
      </w:r>
      <w:r w:rsidR="0050292B">
        <w:t xml:space="preserve"> student</w:t>
      </w:r>
      <w:r w:rsidR="00A43E27">
        <w:t xml:space="preserve"> cohorts and </w:t>
      </w:r>
      <w:r w:rsidR="0050292B">
        <w:t xml:space="preserve">student aspirations. </w:t>
      </w:r>
    </w:p>
    <w:p w14:paraId="3BBDD067" w14:textId="77777777" w:rsidR="00A43E27" w:rsidRDefault="00816CB0" w:rsidP="00A43E27">
      <w:r>
        <w:t>As mentioned above, many institutio</w:t>
      </w:r>
      <w:r w:rsidR="00276CC2">
        <w:t xml:space="preserve">ns have already set themselves </w:t>
      </w:r>
      <w:r>
        <w:t>targets</w:t>
      </w:r>
      <w:r w:rsidR="00FC7938">
        <w:t xml:space="preserve"> or benchmarks</w:t>
      </w:r>
      <w:r>
        <w:t xml:space="preserve"> and note them in their current strategic plans or</w:t>
      </w:r>
      <w:r w:rsidR="00FC7938">
        <w:t>, if they already have one,</w:t>
      </w:r>
      <w:r>
        <w:t xml:space="preserve"> retention strategies. </w:t>
      </w:r>
    </w:p>
    <w:p w14:paraId="7BF0D37C" w14:textId="77777777" w:rsidR="00E73290" w:rsidRPr="00E73290" w:rsidRDefault="00E73290" w:rsidP="004F563E">
      <w:pPr>
        <w:pStyle w:val="Heading3"/>
      </w:pPr>
      <w:r w:rsidRPr="00E73290">
        <w:t>Student entry interviews</w:t>
      </w:r>
    </w:p>
    <w:p w14:paraId="60EE349B" w14:textId="77777777" w:rsidR="00AE597C" w:rsidRDefault="00FC38E4" w:rsidP="00855405">
      <w:r>
        <w:t xml:space="preserve">Student entry interviews are </w:t>
      </w:r>
      <w:r w:rsidR="00855405" w:rsidRPr="00E73290">
        <w:t xml:space="preserve">of particular interest to the Panel. </w:t>
      </w:r>
      <w:r w:rsidR="0050292B">
        <w:t xml:space="preserve">They </w:t>
      </w:r>
      <w:proofErr w:type="gramStart"/>
      <w:r w:rsidR="0050292B">
        <w:t>were</w:t>
      </w:r>
      <w:r w:rsidR="00855405" w:rsidRPr="00E73290">
        <w:t xml:space="preserve"> suggested</w:t>
      </w:r>
      <w:proofErr w:type="gramEnd"/>
      <w:r w:rsidR="00855405" w:rsidRPr="00E73290">
        <w:t xml:space="preserve"> by a number of stakeholders as a way of growing a strong student focussed institutional culture and working with students on an individualised basis. The interviews would be a way to gauge a sense of the students</w:t>
      </w:r>
      <w:r w:rsidR="005D1A99">
        <w:t>’</w:t>
      </w:r>
      <w:r w:rsidR="00855405" w:rsidRPr="00E73290">
        <w:t xml:space="preserve"> learning expectations. </w:t>
      </w:r>
    </w:p>
    <w:p w14:paraId="2D650231" w14:textId="77777777" w:rsidR="00855405" w:rsidRDefault="00855405" w:rsidP="00855405">
      <w:r w:rsidRPr="00E73290">
        <w:t>For instance, Deakin University proposed that when a student accepts a Commonwealth Supported Place, they should be asked to indicate whether they plan to complete their studies on</w:t>
      </w:r>
      <w:r w:rsidR="00C91371">
        <w:t xml:space="preserve"> a full-time or part-time basis</w:t>
      </w:r>
      <w:r w:rsidRPr="00E73290">
        <w:t xml:space="preserve"> and over what </w:t>
      </w:r>
      <w:proofErr w:type="gramStart"/>
      <w:r w:rsidRPr="00E73290">
        <w:t>time frame</w:t>
      </w:r>
      <w:proofErr w:type="gramEnd"/>
      <w:r w:rsidRPr="00E73290">
        <w:t xml:space="preserve">, and whether they plan to complete all or part of a degree. The University said this would enable tracking of degree completion or progress according to the student's stated ambition at the point of commencement, and it would be helpful for institutions to know the student's life or career goal so that guidance </w:t>
      </w:r>
      <w:proofErr w:type="gramStart"/>
      <w:r w:rsidRPr="00E73290">
        <w:t>could be provided</w:t>
      </w:r>
      <w:proofErr w:type="gramEnd"/>
      <w:r w:rsidRPr="00E73290">
        <w:t xml:space="preserve"> from the point of admission. </w:t>
      </w:r>
    </w:p>
    <w:p w14:paraId="1711CA26" w14:textId="77777777" w:rsidR="00975314" w:rsidRDefault="00975314">
      <w:r>
        <w:br w:type="page"/>
      </w:r>
    </w:p>
    <w:p w14:paraId="2084DE10" w14:textId="77777777" w:rsidR="006D4B7F" w:rsidRDefault="006D4B7F" w:rsidP="00855405">
      <w:r>
        <w:t xml:space="preserve">ACPET </w:t>
      </w:r>
      <w:r w:rsidR="0050292B">
        <w:t>indicated</w:t>
      </w:r>
      <w:r w:rsidR="005D1A99">
        <w:t xml:space="preserve"> </w:t>
      </w:r>
      <w:r>
        <w:t xml:space="preserve">that several of its members highlighted the value of interviewing each student as part of the admissions </w:t>
      </w:r>
      <w:proofErr w:type="gramStart"/>
      <w:r>
        <w:t>process which</w:t>
      </w:r>
      <w:proofErr w:type="gramEnd"/>
      <w:r>
        <w:t xml:space="preserve"> provides an opportunity to identify and tease out potential academic and non-academ</w:t>
      </w:r>
      <w:r w:rsidR="00D2633D">
        <w:t xml:space="preserve">ic barriers. </w:t>
      </w:r>
      <w:r>
        <w:t>The Panel notes that for many NUHEPs</w:t>
      </w:r>
      <w:r w:rsidR="00D2633D">
        <w:t xml:space="preserve"> this would be more feasible given </w:t>
      </w:r>
      <w:r>
        <w:t xml:space="preserve">small numbers of students </w:t>
      </w:r>
      <w:r w:rsidR="00D2633D">
        <w:t xml:space="preserve">than for universities with hundreds of students enrolled in one first year unit. </w:t>
      </w:r>
      <w:r w:rsidR="008F6871">
        <w:t>The Council for Private Higher Education stated in its submission:</w:t>
      </w:r>
    </w:p>
    <w:p w14:paraId="2447BF84" w14:textId="77777777" w:rsidR="008F6871" w:rsidRPr="008F6871" w:rsidRDefault="008F6871" w:rsidP="008F6871">
      <w:pPr>
        <w:ind w:left="720"/>
        <w:rPr>
          <w:i/>
        </w:rPr>
      </w:pPr>
      <w:r w:rsidRPr="008F6871">
        <w:rPr>
          <w:i/>
        </w:rPr>
        <w:t>The annual enrolment of first year students at most COPHE members is such that many institutions have the capacity to interview prospective students prior to enrolment and fi</w:t>
      </w:r>
      <w:r>
        <w:rPr>
          <w:i/>
        </w:rPr>
        <w:t>r</w:t>
      </w:r>
      <w:r w:rsidRPr="008F6871">
        <w:rPr>
          <w:i/>
        </w:rPr>
        <w:t>st year class sizes are much smaller and offer a more personal learning community that at the public universities.</w:t>
      </w:r>
    </w:p>
    <w:p w14:paraId="6F8AEB2A" w14:textId="77777777" w:rsidR="006D4B7F" w:rsidRDefault="006D4B7F" w:rsidP="00855405">
      <w:r>
        <w:t xml:space="preserve">The University of New England discussed the </w:t>
      </w:r>
      <w:r w:rsidR="00975314">
        <w:t>idea</w:t>
      </w:r>
      <w:r>
        <w:t xml:space="preserve"> of a student readiness questionnaire</w:t>
      </w:r>
      <w:r w:rsidR="001F154B">
        <w:t>,</w:t>
      </w:r>
      <w:r>
        <w:t xml:space="preserve"> which </w:t>
      </w:r>
      <w:r w:rsidR="00FC7938">
        <w:t xml:space="preserve">the Panel considers </w:t>
      </w:r>
      <w:proofErr w:type="gramStart"/>
      <w:r>
        <w:t>could</w:t>
      </w:r>
      <w:r w:rsidR="008F6871">
        <w:t xml:space="preserve"> be done</w:t>
      </w:r>
      <w:proofErr w:type="gramEnd"/>
      <w:r w:rsidR="008F6871">
        <w:t xml:space="preserve"> online and </w:t>
      </w:r>
      <w:r w:rsidR="00FC7938">
        <w:t xml:space="preserve">would </w:t>
      </w:r>
      <w:r w:rsidR="008F6871">
        <w:t xml:space="preserve">remove the issues </w:t>
      </w:r>
      <w:r w:rsidR="00D73658">
        <w:t>related to numbers of students.</w:t>
      </w:r>
      <w:r w:rsidR="008F6871">
        <w:t xml:space="preserve"> It could </w:t>
      </w:r>
      <w:r>
        <w:t>provide diagnostic information to institutions about students’ individual needs, while</w:t>
      </w:r>
      <w:r w:rsidR="00D73658">
        <w:t xml:space="preserve"> also providing baseline data. </w:t>
      </w:r>
      <w:r>
        <w:t xml:space="preserve">The University suggested this could include: </w:t>
      </w:r>
    </w:p>
    <w:p w14:paraId="3F6C9DA6" w14:textId="77777777" w:rsidR="006D4B7F" w:rsidRDefault="00D2633D" w:rsidP="006D4B7F">
      <w:pPr>
        <w:pStyle w:val="ListParagraph"/>
        <w:numPr>
          <w:ilvl w:val="0"/>
          <w:numId w:val="20"/>
        </w:numPr>
      </w:pPr>
      <w:r>
        <w:t>p</w:t>
      </w:r>
      <w:r w:rsidR="006D4B7F">
        <w:t>rior educational experience</w:t>
      </w:r>
    </w:p>
    <w:p w14:paraId="44E8B8A7" w14:textId="77777777" w:rsidR="006D4B7F" w:rsidRDefault="00D2633D" w:rsidP="006D4B7F">
      <w:pPr>
        <w:pStyle w:val="ListParagraph"/>
        <w:numPr>
          <w:ilvl w:val="0"/>
          <w:numId w:val="20"/>
        </w:numPr>
      </w:pPr>
      <w:r>
        <w:t>p</w:t>
      </w:r>
      <w:r w:rsidR="006D4B7F">
        <w:t>rior work experience and transferable skills</w:t>
      </w:r>
    </w:p>
    <w:p w14:paraId="2F00C638" w14:textId="77777777" w:rsidR="006D4B7F" w:rsidRDefault="00D2633D" w:rsidP="006D4B7F">
      <w:pPr>
        <w:pStyle w:val="ListParagraph"/>
        <w:numPr>
          <w:ilvl w:val="0"/>
          <w:numId w:val="20"/>
        </w:numPr>
      </w:pPr>
      <w:r>
        <w:t>c</w:t>
      </w:r>
      <w:r w:rsidR="006D4B7F">
        <w:t>areer and learning aspirations</w:t>
      </w:r>
    </w:p>
    <w:p w14:paraId="4BC12D3B" w14:textId="77777777" w:rsidR="006D4B7F" w:rsidRDefault="00D2633D" w:rsidP="006D4B7F">
      <w:pPr>
        <w:pStyle w:val="ListParagraph"/>
        <w:numPr>
          <w:ilvl w:val="0"/>
          <w:numId w:val="20"/>
        </w:numPr>
      </w:pPr>
      <w:r>
        <w:t>r</w:t>
      </w:r>
      <w:r w:rsidR="006D4B7F">
        <w:t>easons and motivation for choice of course and institution</w:t>
      </w:r>
    </w:p>
    <w:p w14:paraId="4CF116EF" w14:textId="77777777" w:rsidR="006D4B7F" w:rsidRDefault="00D2633D" w:rsidP="006D4B7F">
      <w:pPr>
        <w:pStyle w:val="ListParagraph"/>
        <w:numPr>
          <w:ilvl w:val="0"/>
          <w:numId w:val="20"/>
        </w:numPr>
      </w:pPr>
      <w:r>
        <w:t>r</w:t>
      </w:r>
      <w:r w:rsidR="006D4B7F">
        <w:t>easons for choice of attendance mode</w:t>
      </w:r>
    </w:p>
    <w:p w14:paraId="5809BB3F" w14:textId="77777777" w:rsidR="006D4B7F" w:rsidRDefault="00D2633D" w:rsidP="006D4B7F">
      <w:pPr>
        <w:pStyle w:val="ListParagraph"/>
        <w:numPr>
          <w:ilvl w:val="0"/>
          <w:numId w:val="20"/>
        </w:numPr>
      </w:pPr>
      <w:r>
        <w:t>s</w:t>
      </w:r>
      <w:r w:rsidR="006D4B7F">
        <w:t>elf-identification of learning needs and weaknesses</w:t>
      </w:r>
    </w:p>
    <w:p w14:paraId="0861335C" w14:textId="7E8C9772" w:rsidR="006D4B7F" w:rsidRPr="00E73290" w:rsidRDefault="00D2633D" w:rsidP="006D4B7F">
      <w:pPr>
        <w:pStyle w:val="ListParagraph"/>
        <w:numPr>
          <w:ilvl w:val="0"/>
          <w:numId w:val="20"/>
        </w:numPr>
      </w:pPr>
      <w:proofErr w:type="gramStart"/>
      <w:r>
        <w:t>e</w:t>
      </w:r>
      <w:r w:rsidR="00EF238B">
        <w:t>xpectations</w:t>
      </w:r>
      <w:proofErr w:type="gramEnd"/>
      <w:r w:rsidR="00EF238B">
        <w:t xml:space="preserve"> of support</w:t>
      </w:r>
      <w:r w:rsidR="00B62F50">
        <w:t>.</w:t>
      </w:r>
    </w:p>
    <w:p w14:paraId="13FC113D" w14:textId="77777777" w:rsidR="00855405" w:rsidRDefault="006D4B7F" w:rsidP="00855405">
      <w:r>
        <w:t xml:space="preserve">The Panel sees </w:t>
      </w:r>
      <w:r w:rsidR="00855405" w:rsidRPr="00E73290">
        <w:t xml:space="preserve">benefits in </w:t>
      </w:r>
      <w:r w:rsidR="00D2633D">
        <w:t xml:space="preserve">institutions </w:t>
      </w:r>
      <w:r w:rsidR="00855405" w:rsidRPr="00E73290">
        <w:t xml:space="preserve">incorporating </w:t>
      </w:r>
      <w:r>
        <w:t>these processes</w:t>
      </w:r>
      <w:r w:rsidR="00855405" w:rsidRPr="00E73290">
        <w:t xml:space="preserve"> into</w:t>
      </w:r>
      <w:r w:rsidR="00D2633D">
        <w:t xml:space="preserve"> their retention strategies and suggests sharing of best practice across </w:t>
      </w:r>
      <w:r w:rsidR="008F6871">
        <w:t>the sector</w:t>
      </w:r>
      <w:r w:rsidR="00D2633D">
        <w:t xml:space="preserve"> to determine successful methods of engaging with students to obtain this information.</w:t>
      </w:r>
      <w:r w:rsidR="00855405" w:rsidRPr="00E73290">
        <w:t xml:space="preserve"> </w:t>
      </w:r>
    </w:p>
    <w:p w14:paraId="482E0935" w14:textId="77777777" w:rsidR="00E73290" w:rsidRPr="00E73290" w:rsidRDefault="00E73290" w:rsidP="004F563E">
      <w:pPr>
        <w:pStyle w:val="Heading3"/>
      </w:pPr>
      <w:r w:rsidRPr="00E73290">
        <w:t xml:space="preserve">Learning analytics </w:t>
      </w:r>
    </w:p>
    <w:p w14:paraId="29240B00" w14:textId="77777777" w:rsidR="00364EE1" w:rsidRPr="00E73290" w:rsidRDefault="00364EE1" w:rsidP="00364EE1">
      <w:pPr>
        <w:rPr>
          <w:rFonts w:eastAsia="Times New Roman"/>
          <w:bCs/>
        </w:rPr>
      </w:pPr>
      <w:r w:rsidRPr="00E73290">
        <w:t xml:space="preserve">There is widespread acceptance that learning analytics, if implemented effectively, is a valuable tool for addressing student retention. Many institutions are increasingly developing and implementing learning analytics programs to identify students who require intervention and contact these students to offer </w:t>
      </w:r>
      <w:r w:rsidRPr="00E73290">
        <w:rPr>
          <w:rFonts w:eastAsia="Times New Roman"/>
          <w:bCs/>
        </w:rPr>
        <w:t xml:space="preserve">assistance and services to help them get back on track. Teaching staff are using analytics to identify trends across classes and adapting their course design and support structures to improve their engagement and performance.  </w:t>
      </w:r>
    </w:p>
    <w:p w14:paraId="66C6C32F" w14:textId="77777777" w:rsidR="00786B57" w:rsidRPr="00E73290" w:rsidRDefault="00364EE1" w:rsidP="00364EE1">
      <w:r w:rsidRPr="00E73290">
        <w:t xml:space="preserve">Supporters of learning analytics believe, if used to its potential, </w:t>
      </w:r>
      <w:r w:rsidR="005D1A99">
        <w:t xml:space="preserve">it </w:t>
      </w:r>
      <w:r w:rsidRPr="00E73290">
        <w:t xml:space="preserve">can personalise </w:t>
      </w:r>
      <w:r w:rsidR="00786B57" w:rsidRPr="00E73290">
        <w:t xml:space="preserve">a student’s time </w:t>
      </w:r>
      <w:r w:rsidR="005D1A99">
        <w:t xml:space="preserve">in </w:t>
      </w:r>
      <w:r w:rsidR="00FC38E4">
        <w:t>higher education</w:t>
      </w:r>
      <w:r w:rsidR="00786B57" w:rsidRPr="00E73290">
        <w:t xml:space="preserve"> in ways tha</w:t>
      </w:r>
      <w:r w:rsidR="001C3277" w:rsidRPr="00E73290">
        <w:t xml:space="preserve">t </w:t>
      </w:r>
      <w:r w:rsidR="00FC38E4">
        <w:t>were no</w:t>
      </w:r>
      <w:r w:rsidR="001C3277" w:rsidRPr="00E73290">
        <w:t xml:space="preserve">t previously possible. </w:t>
      </w:r>
    </w:p>
    <w:p w14:paraId="723AC726" w14:textId="77777777" w:rsidR="001C3277" w:rsidRPr="00E73290" w:rsidRDefault="001C3277" w:rsidP="001C3277">
      <w:r w:rsidRPr="00E73290">
        <w:t xml:space="preserve">The Panel notes the use of learning analytics at Arizona State University in </w:t>
      </w:r>
      <w:r w:rsidR="00FC38E4">
        <w:t xml:space="preserve">the United States of </w:t>
      </w:r>
      <w:proofErr w:type="gramStart"/>
      <w:r w:rsidR="00FC38E4">
        <w:t>America which</w:t>
      </w:r>
      <w:proofErr w:type="gramEnd"/>
      <w:r w:rsidRPr="00E73290">
        <w:t xml:space="preserve"> maintain</w:t>
      </w:r>
      <w:r w:rsidR="005D1A99">
        <w:t xml:space="preserve">s a department of </w:t>
      </w:r>
      <w:r w:rsidRPr="00E73290">
        <w:t>data analysts who monitor student behaviour in real time. Since the University began using predictive-analytics programs nearly a decade ago, it has seen its graduation rate climb by 20 per</w:t>
      </w:r>
      <w:r w:rsidR="00525FBC" w:rsidRPr="00E73290">
        <w:t xml:space="preserve"> </w:t>
      </w:r>
      <w:r w:rsidRPr="00E73290">
        <w:t xml:space="preserve">cent. </w:t>
      </w:r>
    </w:p>
    <w:p w14:paraId="53F6FE48" w14:textId="77777777" w:rsidR="001C3277" w:rsidRDefault="00A40B4D" w:rsidP="001C3277">
      <w:r w:rsidRPr="00E73290">
        <w:t>The Panel acknowledges</w:t>
      </w:r>
      <w:r w:rsidR="001C3277" w:rsidRPr="00E73290">
        <w:t xml:space="preserve"> Australian institutions are still in early stages of </w:t>
      </w:r>
      <w:r w:rsidR="00E73290" w:rsidRPr="00E73290">
        <w:t>engaging</w:t>
      </w:r>
      <w:r w:rsidR="001C3277" w:rsidRPr="00E73290">
        <w:t xml:space="preserve"> about and implementing learning analytics</w:t>
      </w:r>
      <w:r w:rsidRPr="00E73290">
        <w:t xml:space="preserve"> and </w:t>
      </w:r>
      <w:r w:rsidR="001C3277" w:rsidRPr="00E73290">
        <w:t>notes the resources and expense of creating a workable system.  However, the Panel encourages institutions to persevere and share best practice in this area.</w:t>
      </w:r>
      <w:r w:rsidR="001C3277">
        <w:t xml:space="preserve"> </w:t>
      </w:r>
    </w:p>
    <w:p w14:paraId="4585E533" w14:textId="77777777" w:rsidR="00204FF7" w:rsidRPr="000F01F9" w:rsidRDefault="00204FF7" w:rsidP="000F01F9">
      <w:pPr>
        <w:pStyle w:val="Heading3"/>
      </w:pPr>
      <w:r w:rsidRPr="00204FF7">
        <w:t>Reviewing student enrolment</w:t>
      </w:r>
    </w:p>
    <w:p w14:paraId="3CB6B596" w14:textId="77777777" w:rsidR="00204FF7" w:rsidRDefault="00204FF7" w:rsidP="00204FF7">
      <w:r>
        <w:t>The Panel considers that institution</w:t>
      </w:r>
      <w:r w:rsidR="00975314">
        <w:t>s should</w:t>
      </w:r>
      <w:r>
        <w:t xml:space="preserve"> automatically review the enrolment of all students who have not engaged in their studies to an agreed level by the census date. For instance, for on-campus students this would include whether the student is attending tutorials or has handed in their first assessm</w:t>
      </w:r>
      <w:r w:rsidR="00EA3F57">
        <w:t>ent, and for external students this</w:t>
      </w:r>
      <w:r>
        <w:t xml:space="preserve"> could be whether a student has </w:t>
      </w:r>
      <w:r w:rsidRPr="00786B57">
        <w:t xml:space="preserve">viewed </w:t>
      </w:r>
      <w:r>
        <w:t xml:space="preserve">their </w:t>
      </w:r>
      <w:r w:rsidR="00FA3271">
        <w:t xml:space="preserve">online </w:t>
      </w:r>
      <w:r w:rsidRPr="00786B57">
        <w:t>content, submitted</w:t>
      </w:r>
      <w:r>
        <w:t xml:space="preserve"> their first assessment or</w:t>
      </w:r>
      <w:r w:rsidRPr="00786B57">
        <w:t xml:space="preserve"> engaged in </w:t>
      </w:r>
      <w:r w:rsidR="00FA3271">
        <w:t xml:space="preserve">online </w:t>
      </w:r>
      <w:r w:rsidRPr="00786B57">
        <w:t>discus</w:t>
      </w:r>
      <w:r w:rsidR="00FA3271">
        <w:t>sions or</w:t>
      </w:r>
      <w:r>
        <w:t xml:space="preserve"> tutorials. </w:t>
      </w:r>
    </w:p>
    <w:p w14:paraId="48611016" w14:textId="77777777" w:rsidR="00204FF7" w:rsidRDefault="00204FF7" w:rsidP="00204FF7">
      <w:r>
        <w:t>Reviewing enrolment before the census date</w:t>
      </w:r>
      <w:r w:rsidR="00975314">
        <w:t>,</w:t>
      </w:r>
      <w:r>
        <w:t xml:space="preserve"> when students appear at risk</w:t>
      </w:r>
      <w:r w:rsidR="00975314">
        <w:t xml:space="preserve"> of not completing their studies</w:t>
      </w:r>
      <w:r>
        <w:t xml:space="preserve">, would protect students from accumulating unnecessary debt and </w:t>
      </w:r>
      <w:r w:rsidRPr="00786B57">
        <w:t xml:space="preserve">provide </w:t>
      </w:r>
      <w:r>
        <w:t>an</w:t>
      </w:r>
      <w:r w:rsidRPr="00786B57">
        <w:t xml:space="preserve"> </w:t>
      </w:r>
      <w:r>
        <w:t xml:space="preserve">additional </w:t>
      </w:r>
      <w:r w:rsidRPr="00786B57">
        <w:t xml:space="preserve">incentive to institutions to support </w:t>
      </w:r>
      <w:r>
        <w:t xml:space="preserve">their </w:t>
      </w:r>
      <w:r w:rsidRPr="00786B57">
        <w:t>students.</w:t>
      </w:r>
    </w:p>
    <w:p w14:paraId="4EB2F89A" w14:textId="77777777" w:rsidR="00975314" w:rsidRPr="00975314" w:rsidRDefault="00975314" w:rsidP="00975314">
      <w:r>
        <w:t xml:space="preserve">Strategies </w:t>
      </w:r>
      <w:r w:rsidRPr="00975314">
        <w:t>to review student enrolment</w:t>
      </w:r>
      <w:r>
        <w:t xml:space="preserve"> could also be included as an element of an institution’s retention strategy. </w:t>
      </w:r>
    </w:p>
    <w:p w14:paraId="42F81944" w14:textId="77777777" w:rsidR="00786B57" w:rsidRPr="00204FF7" w:rsidRDefault="00786B57" w:rsidP="004F563E">
      <w:pPr>
        <w:pStyle w:val="Heading3"/>
      </w:pPr>
      <w:r w:rsidRPr="00204FF7">
        <w:t>Support services</w:t>
      </w:r>
    </w:p>
    <w:p w14:paraId="42EE2011" w14:textId="77777777" w:rsidR="009760A5" w:rsidRDefault="00786B57" w:rsidP="001F4AF0">
      <w:pPr>
        <w:rPr>
          <w:color w:val="000000"/>
        </w:rPr>
      </w:pPr>
      <w:r w:rsidRPr="00786B57">
        <w:rPr>
          <w:color w:val="000000"/>
        </w:rPr>
        <w:t>The provision of support services is a requirement of the higher</w:t>
      </w:r>
      <w:r w:rsidR="001C3277">
        <w:rPr>
          <w:color w:val="000000"/>
        </w:rPr>
        <w:t xml:space="preserve"> education standards framework and </w:t>
      </w:r>
      <w:r w:rsidR="00B74FDF">
        <w:rPr>
          <w:color w:val="000000"/>
        </w:rPr>
        <w:t xml:space="preserve">some </w:t>
      </w:r>
      <w:r w:rsidR="00A40B4D">
        <w:rPr>
          <w:color w:val="000000"/>
        </w:rPr>
        <w:t>institutions</w:t>
      </w:r>
      <w:r w:rsidR="0030205B">
        <w:rPr>
          <w:color w:val="000000"/>
        </w:rPr>
        <w:t>,</w:t>
      </w:r>
      <w:r w:rsidR="00A40B4D">
        <w:rPr>
          <w:color w:val="000000"/>
        </w:rPr>
        <w:t xml:space="preserve"> in their submissions to the Panel</w:t>
      </w:r>
      <w:r w:rsidR="0030205B">
        <w:rPr>
          <w:color w:val="000000"/>
        </w:rPr>
        <w:t>,</w:t>
      </w:r>
      <w:r w:rsidR="00A40B4D">
        <w:rPr>
          <w:color w:val="000000"/>
        </w:rPr>
        <w:t xml:space="preserve"> explained the</w:t>
      </w:r>
      <w:r w:rsidRPr="00786B57">
        <w:rPr>
          <w:color w:val="000000"/>
        </w:rPr>
        <w:t xml:space="preserve"> vast</w:t>
      </w:r>
      <w:r w:rsidR="005D1A99">
        <w:rPr>
          <w:color w:val="000000"/>
        </w:rPr>
        <w:t xml:space="preserve"> range</w:t>
      </w:r>
      <w:r w:rsidRPr="00786B57">
        <w:rPr>
          <w:color w:val="000000"/>
        </w:rPr>
        <w:t xml:space="preserve"> of foundation or transitional, academic and personal support services</w:t>
      </w:r>
      <w:r w:rsidR="00A40B4D">
        <w:rPr>
          <w:color w:val="000000"/>
        </w:rPr>
        <w:t xml:space="preserve"> they provided to </w:t>
      </w:r>
      <w:r w:rsidR="00FC38E4">
        <w:rPr>
          <w:color w:val="000000"/>
        </w:rPr>
        <w:t>their</w:t>
      </w:r>
      <w:r w:rsidR="00A40B4D">
        <w:rPr>
          <w:color w:val="000000"/>
        </w:rPr>
        <w:t xml:space="preserve"> students. </w:t>
      </w:r>
      <w:r w:rsidR="001F4AF0">
        <w:rPr>
          <w:color w:val="000000"/>
        </w:rPr>
        <w:t xml:space="preserve">The support programs included </w:t>
      </w:r>
      <w:r w:rsidR="005E762E">
        <w:rPr>
          <w:color w:val="000000"/>
        </w:rPr>
        <w:t>support</w:t>
      </w:r>
      <w:r w:rsidR="00DB1BDC">
        <w:rPr>
          <w:color w:val="000000"/>
        </w:rPr>
        <w:t xml:space="preserve"> for students at critical points</w:t>
      </w:r>
      <w:r w:rsidR="00A53BB5">
        <w:rPr>
          <w:color w:val="000000"/>
        </w:rPr>
        <w:t xml:space="preserve"> and </w:t>
      </w:r>
      <w:r w:rsidR="005E762E">
        <w:rPr>
          <w:color w:val="000000"/>
        </w:rPr>
        <w:t xml:space="preserve">in </w:t>
      </w:r>
      <w:r w:rsidR="00A53BB5">
        <w:rPr>
          <w:color w:val="000000"/>
        </w:rPr>
        <w:t>critical cohorts</w:t>
      </w:r>
      <w:r w:rsidR="00DB1BDC">
        <w:rPr>
          <w:color w:val="000000"/>
        </w:rPr>
        <w:t xml:space="preserve">, for example </w:t>
      </w:r>
      <w:r w:rsidR="00A53BB5">
        <w:rPr>
          <w:color w:val="000000"/>
        </w:rPr>
        <w:t xml:space="preserve">support for </w:t>
      </w:r>
      <w:r w:rsidR="00DB1BDC">
        <w:rPr>
          <w:color w:val="000000"/>
        </w:rPr>
        <w:t>first year</w:t>
      </w:r>
      <w:r w:rsidR="00A53BB5">
        <w:rPr>
          <w:color w:val="000000"/>
        </w:rPr>
        <w:t xml:space="preserve"> students</w:t>
      </w:r>
      <w:r w:rsidR="00DB1BDC">
        <w:rPr>
          <w:color w:val="000000"/>
        </w:rPr>
        <w:t xml:space="preserve">, </w:t>
      </w:r>
      <w:r w:rsidR="005E762E">
        <w:rPr>
          <w:color w:val="000000"/>
        </w:rPr>
        <w:t>first in family students, Aboriginal and Torres Strait Islander stud</w:t>
      </w:r>
      <w:r w:rsidR="004D7821">
        <w:rPr>
          <w:color w:val="000000"/>
        </w:rPr>
        <w:t xml:space="preserve">ents, students </w:t>
      </w:r>
      <w:r w:rsidR="004D7821" w:rsidRPr="00D273F0">
        <w:rPr>
          <w:color w:val="000000"/>
        </w:rPr>
        <w:t>with disability</w:t>
      </w:r>
      <w:r w:rsidR="001F4AF0" w:rsidRPr="00D273F0">
        <w:rPr>
          <w:color w:val="000000"/>
        </w:rPr>
        <w:t xml:space="preserve"> and</w:t>
      </w:r>
      <w:r w:rsidR="001F4AF0">
        <w:rPr>
          <w:color w:val="000000"/>
        </w:rPr>
        <w:t xml:space="preserve"> </w:t>
      </w:r>
      <w:r w:rsidR="005E762E">
        <w:rPr>
          <w:color w:val="000000"/>
        </w:rPr>
        <w:t xml:space="preserve">students from rural and remote locations. </w:t>
      </w:r>
    </w:p>
    <w:p w14:paraId="44510843" w14:textId="77777777" w:rsidR="004F563E" w:rsidRDefault="004F563E" w:rsidP="001F4AF0">
      <w:pPr>
        <w:rPr>
          <w:color w:val="000000"/>
        </w:rPr>
      </w:pPr>
      <w:r w:rsidRPr="004F563E">
        <w:rPr>
          <w:color w:val="000000"/>
        </w:rPr>
        <w:t xml:space="preserve">Victoria University noted </w:t>
      </w:r>
      <w:r w:rsidR="0050292B">
        <w:rPr>
          <w:color w:val="000000"/>
        </w:rPr>
        <w:t>its</w:t>
      </w:r>
      <w:r w:rsidRPr="004F563E">
        <w:rPr>
          <w:color w:val="000000"/>
        </w:rPr>
        <w:t xml:space="preserve"> development of a first year undergraduate </w:t>
      </w:r>
      <w:proofErr w:type="gramStart"/>
      <w:r w:rsidRPr="004F563E">
        <w:rPr>
          <w:color w:val="000000"/>
        </w:rPr>
        <w:t>curriculum which</w:t>
      </w:r>
      <w:proofErr w:type="gramEnd"/>
      <w:r w:rsidRPr="004F563E">
        <w:rPr>
          <w:color w:val="000000"/>
        </w:rPr>
        <w:t xml:space="preserve"> takes a more deliberate approach to supporting transition to university, recognising that many</w:t>
      </w:r>
      <w:r>
        <w:rPr>
          <w:color w:val="000000"/>
        </w:rPr>
        <w:t xml:space="preserve"> new</w:t>
      </w:r>
      <w:r w:rsidRPr="004F563E">
        <w:rPr>
          <w:color w:val="000000"/>
        </w:rPr>
        <w:t xml:space="preserve"> students need additional academic support, more regular and detailed feedback and increased small group interaction. </w:t>
      </w:r>
    </w:p>
    <w:p w14:paraId="73B6D53E" w14:textId="77777777" w:rsidR="0030205B" w:rsidRDefault="00FC38E4" w:rsidP="00786B57">
      <w:r>
        <w:rPr>
          <w:color w:val="000000"/>
        </w:rPr>
        <w:t xml:space="preserve">Peer mentoring </w:t>
      </w:r>
      <w:proofErr w:type="gramStart"/>
      <w:r>
        <w:rPr>
          <w:color w:val="000000"/>
        </w:rPr>
        <w:t>was considered</w:t>
      </w:r>
      <w:proofErr w:type="gramEnd"/>
      <w:r>
        <w:rPr>
          <w:color w:val="000000"/>
        </w:rPr>
        <w:t xml:space="preserve"> as one of the most successful programs for providing </w:t>
      </w:r>
      <w:r w:rsidR="0030205B">
        <w:rPr>
          <w:color w:val="000000"/>
        </w:rPr>
        <w:t>academic, personal and transitional</w:t>
      </w:r>
      <w:r w:rsidR="00A40B4D">
        <w:rPr>
          <w:color w:val="000000"/>
        </w:rPr>
        <w:t xml:space="preserve"> support service</w:t>
      </w:r>
      <w:r>
        <w:rPr>
          <w:color w:val="000000"/>
        </w:rPr>
        <w:t>s</w:t>
      </w:r>
      <w:r w:rsidR="00A40B4D">
        <w:rPr>
          <w:color w:val="000000"/>
        </w:rPr>
        <w:t xml:space="preserve">. </w:t>
      </w:r>
      <w:r w:rsidR="005D1A99">
        <w:rPr>
          <w:color w:val="000000"/>
        </w:rPr>
        <w:t>The</w:t>
      </w:r>
      <w:r w:rsidR="006D4B7F">
        <w:rPr>
          <w:color w:val="000000"/>
        </w:rPr>
        <w:t xml:space="preserve"> Queensland University of Technology, </w:t>
      </w:r>
      <w:r w:rsidR="0030205B">
        <w:rPr>
          <w:color w:val="000000"/>
        </w:rPr>
        <w:t>Curtin University</w:t>
      </w:r>
      <w:r w:rsidR="002E14B7">
        <w:rPr>
          <w:color w:val="000000"/>
        </w:rPr>
        <w:t>, the University of South Australia,</w:t>
      </w:r>
      <w:r w:rsidR="0030205B">
        <w:rPr>
          <w:color w:val="000000"/>
        </w:rPr>
        <w:t xml:space="preserve"> the </w:t>
      </w:r>
      <w:r w:rsidR="0030205B">
        <w:t xml:space="preserve">University of Newcastle </w:t>
      </w:r>
      <w:proofErr w:type="spellStart"/>
      <w:r w:rsidR="0030205B">
        <w:t>Wollotuka</w:t>
      </w:r>
      <w:proofErr w:type="spellEnd"/>
      <w:r w:rsidR="0030205B">
        <w:t xml:space="preserve"> Institute and the Australian Catholic University</w:t>
      </w:r>
      <w:r w:rsidR="00B74FDF">
        <w:t>,</w:t>
      </w:r>
      <w:r w:rsidR="0030205B">
        <w:t xml:space="preserve"> </w:t>
      </w:r>
      <w:r w:rsidR="00BD027B">
        <w:t>were among</w:t>
      </w:r>
      <w:r w:rsidR="0030205B">
        <w:t xml:space="preserve"> the stakeholders who cited successful pro</w:t>
      </w:r>
      <w:r w:rsidR="00976E42">
        <w:t>grams in this area. During face-to-</w:t>
      </w:r>
      <w:r w:rsidR="0030205B">
        <w:t>face hearings with the Panel, student groups prov</w:t>
      </w:r>
      <w:r w:rsidR="0050292B">
        <w:t xml:space="preserve">ided anecdotal evidence of the benefits </w:t>
      </w:r>
      <w:r w:rsidR="0030205B">
        <w:t>of peer mentoring,</w:t>
      </w:r>
      <w:r w:rsidR="00DA5382">
        <w:t xml:space="preserve"> including personal examples.</w:t>
      </w:r>
    </w:p>
    <w:p w14:paraId="481FA2BC" w14:textId="77777777" w:rsidR="00B74FDF" w:rsidRDefault="00B74FDF" w:rsidP="00786B57">
      <w:r>
        <w:t xml:space="preserve">Submissions also noted the importance of employability skills within the context of discipline, building links with industry, professional mentoring and work integrated learning. All these initiatives </w:t>
      </w:r>
      <w:r w:rsidR="00EA3F57">
        <w:t xml:space="preserve">appear to </w:t>
      </w:r>
      <w:r>
        <w:t xml:space="preserve">add to an individual’s sense of achievement and desire to complete their course.  </w:t>
      </w:r>
    </w:p>
    <w:p w14:paraId="00B2DFD7" w14:textId="77777777" w:rsidR="00D73658" w:rsidRDefault="00B74FDF" w:rsidP="00D73658">
      <w:r>
        <w:t>There was f</w:t>
      </w:r>
      <w:r w:rsidR="00D73658">
        <w:t xml:space="preserve">eedback that despite widespread and targeted promotion of support services within institutions, it was often difficult to ensure students who most needed the support would take it up. </w:t>
      </w:r>
    </w:p>
    <w:p w14:paraId="6941F0E7" w14:textId="77777777" w:rsidR="00BD5416" w:rsidRDefault="00BD5416">
      <w:pPr>
        <w:rPr>
          <w:color w:val="000000"/>
        </w:rPr>
      </w:pPr>
      <w:r>
        <w:rPr>
          <w:color w:val="000000"/>
        </w:rPr>
        <w:br w:type="page"/>
      </w:r>
    </w:p>
    <w:p w14:paraId="21C3B7CC" w14:textId="32F84320" w:rsidR="00786B57" w:rsidRDefault="0050292B" w:rsidP="00786B57">
      <w:r>
        <w:rPr>
          <w:color w:val="000000"/>
        </w:rPr>
        <w:t xml:space="preserve">Through the consultation </w:t>
      </w:r>
      <w:r w:rsidR="00E71D2A">
        <w:rPr>
          <w:color w:val="000000"/>
        </w:rPr>
        <w:t>process,</w:t>
      </w:r>
      <w:r w:rsidR="0030205B">
        <w:rPr>
          <w:color w:val="000000"/>
        </w:rPr>
        <w:t xml:space="preserve"> </w:t>
      </w:r>
      <w:r>
        <w:rPr>
          <w:color w:val="000000"/>
        </w:rPr>
        <w:t>t</w:t>
      </w:r>
      <w:r w:rsidR="0030205B">
        <w:rPr>
          <w:color w:val="000000"/>
        </w:rPr>
        <w:t>he issue of higher student retention for students who live on campus</w:t>
      </w:r>
      <w:r>
        <w:rPr>
          <w:color w:val="000000"/>
        </w:rPr>
        <w:t xml:space="preserve"> </w:t>
      </w:r>
      <w:proofErr w:type="gramStart"/>
      <w:r>
        <w:rPr>
          <w:color w:val="000000"/>
        </w:rPr>
        <w:t>was highlighted</w:t>
      </w:r>
      <w:proofErr w:type="gramEnd"/>
      <w:r w:rsidR="0030205B">
        <w:rPr>
          <w:color w:val="000000"/>
        </w:rPr>
        <w:t xml:space="preserve">. This </w:t>
      </w:r>
      <w:proofErr w:type="gramStart"/>
      <w:r w:rsidR="0030205B">
        <w:rPr>
          <w:color w:val="000000"/>
        </w:rPr>
        <w:t>was not covered</w:t>
      </w:r>
      <w:proofErr w:type="gramEnd"/>
      <w:r w:rsidR="0030205B">
        <w:rPr>
          <w:color w:val="000000"/>
        </w:rPr>
        <w:t xml:space="preserve"> in the discuss</w:t>
      </w:r>
      <w:r w:rsidR="00AE597C">
        <w:rPr>
          <w:color w:val="000000"/>
        </w:rPr>
        <w:t xml:space="preserve">ion paper. </w:t>
      </w:r>
      <w:proofErr w:type="gramStart"/>
      <w:r w:rsidR="005E762E">
        <w:rPr>
          <w:color w:val="000000"/>
        </w:rPr>
        <w:t xml:space="preserve">Stakeholders noted </w:t>
      </w:r>
      <w:r w:rsidR="0030205B">
        <w:rPr>
          <w:color w:val="000000"/>
        </w:rPr>
        <w:t xml:space="preserve">the benefits of having </w:t>
      </w:r>
      <w:r w:rsidR="00786B57" w:rsidRPr="00786B57">
        <w:t>in-built pastoral care services</w:t>
      </w:r>
      <w:r w:rsidR="0030205B">
        <w:t>, a deeper feeling of engagement with the institutions and more peer engagement</w:t>
      </w:r>
      <w:r w:rsidR="00786B57" w:rsidRPr="00786B57">
        <w:t xml:space="preserve"> – although </w:t>
      </w:r>
      <w:r w:rsidR="0030205B">
        <w:t xml:space="preserve">the National Union </w:t>
      </w:r>
      <w:r w:rsidR="00525FBC">
        <w:t xml:space="preserve">of Students </w:t>
      </w:r>
      <w:r w:rsidR="0030205B">
        <w:t xml:space="preserve">noted that </w:t>
      </w:r>
      <w:r w:rsidR="00786B57" w:rsidRPr="00786B57">
        <w:t xml:space="preserve">often residential accommodation is </w:t>
      </w:r>
      <w:r w:rsidR="00912C26">
        <w:t xml:space="preserve">comparatively </w:t>
      </w:r>
      <w:r w:rsidR="00786B57" w:rsidRPr="00786B57">
        <w:t xml:space="preserve">expensive and </w:t>
      </w:r>
      <w:r w:rsidR="00B74FDF">
        <w:t xml:space="preserve">many of </w:t>
      </w:r>
      <w:r w:rsidR="00786B57" w:rsidRPr="00786B57">
        <w:t xml:space="preserve">the students who could benefit most from </w:t>
      </w:r>
      <w:r w:rsidR="0030205B">
        <w:t xml:space="preserve">the </w:t>
      </w:r>
      <w:r w:rsidR="00FC38E4">
        <w:t xml:space="preserve">in-house </w:t>
      </w:r>
      <w:r w:rsidR="0030205B">
        <w:t>support services</w:t>
      </w:r>
      <w:r w:rsidR="00786B57" w:rsidRPr="00786B57">
        <w:t xml:space="preserve"> and </w:t>
      </w:r>
      <w:r w:rsidR="0030205B">
        <w:t>the social aspects of living on campus</w:t>
      </w:r>
      <w:r w:rsidR="00B74FDF">
        <w:t xml:space="preserve">, </w:t>
      </w:r>
      <w:r w:rsidR="0030205B">
        <w:t xml:space="preserve">for example </w:t>
      </w:r>
      <w:r w:rsidR="00786B57" w:rsidRPr="00786B57">
        <w:t>students from rura</w:t>
      </w:r>
      <w:r w:rsidR="0030205B">
        <w:t xml:space="preserve">l and regional areas and </w:t>
      </w:r>
      <w:r w:rsidR="00C91371">
        <w:t xml:space="preserve">students from </w:t>
      </w:r>
      <w:r w:rsidR="0030205B">
        <w:t xml:space="preserve">low socioeconomic </w:t>
      </w:r>
      <w:r w:rsidR="00B74FDF">
        <w:t>families</w:t>
      </w:r>
      <w:r w:rsidR="0030205B">
        <w:t xml:space="preserve">, often cannot afford </w:t>
      </w:r>
      <w:r w:rsidR="0078380C">
        <w:t xml:space="preserve">the </w:t>
      </w:r>
      <w:r w:rsidR="00FC38E4">
        <w:t xml:space="preserve">residential </w:t>
      </w:r>
      <w:r w:rsidR="0030205B">
        <w:t>accommodation</w:t>
      </w:r>
      <w:r w:rsidR="00786B57" w:rsidRPr="00786B57">
        <w:t>.</w:t>
      </w:r>
      <w:proofErr w:type="gramEnd"/>
    </w:p>
    <w:p w14:paraId="6C6EBEEF" w14:textId="77777777" w:rsidR="001F4AF0" w:rsidRDefault="001F4AF0" w:rsidP="001F4AF0">
      <w:pPr>
        <w:rPr>
          <w:color w:val="000000"/>
        </w:rPr>
      </w:pPr>
      <w:r>
        <w:rPr>
          <w:color w:val="000000"/>
        </w:rPr>
        <w:t>Overall, the Panel considers that institutions are indeed offering targeted and successful support services to assist stude</w:t>
      </w:r>
      <w:r w:rsidR="00FC38E4">
        <w:rPr>
          <w:color w:val="000000"/>
        </w:rPr>
        <w:t>nts complete their studies.</w:t>
      </w:r>
      <w:r>
        <w:rPr>
          <w:color w:val="000000"/>
        </w:rPr>
        <w:t xml:space="preserve"> However, </w:t>
      </w:r>
      <w:r w:rsidR="00D51D42">
        <w:rPr>
          <w:color w:val="000000"/>
        </w:rPr>
        <w:t>it notes that there seems</w:t>
      </w:r>
      <w:r>
        <w:rPr>
          <w:color w:val="000000"/>
        </w:rPr>
        <w:t xml:space="preserve"> to be little integration across individual institution’s initiatives. T</w:t>
      </w:r>
      <w:r w:rsidR="0078380C">
        <w:rPr>
          <w:color w:val="000000"/>
        </w:rPr>
        <w:t>he Panel hopes that institution-</w:t>
      </w:r>
      <w:r>
        <w:rPr>
          <w:color w:val="000000"/>
        </w:rPr>
        <w:t xml:space="preserve">specific retention strategies would enable institutions to provide a more holistic approach to the support services provided. </w:t>
      </w:r>
    </w:p>
    <w:p w14:paraId="6F9FCF02" w14:textId="77777777" w:rsidR="00786B57" w:rsidRPr="00786B57" w:rsidRDefault="0030205B" w:rsidP="0030205B">
      <w:pPr>
        <w:rPr>
          <w:rFonts w:ascii="Calibri" w:eastAsiaTheme="majorEastAsia" w:hAnsi="Calibri" w:cstheme="majorBidi"/>
          <w:b/>
          <w:bCs/>
          <w:color w:val="757575"/>
        </w:rPr>
      </w:pPr>
      <w:r>
        <w:rPr>
          <w:rFonts w:ascii="Calibri" w:eastAsiaTheme="majorEastAsia" w:hAnsi="Calibri" w:cstheme="majorBidi"/>
          <w:b/>
          <w:bCs/>
          <w:color w:val="757575"/>
        </w:rPr>
        <w:t>S</w:t>
      </w:r>
      <w:r w:rsidR="00786B57" w:rsidRPr="00786B57">
        <w:rPr>
          <w:rFonts w:ascii="Calibri" w:eastAsiaTheme="majorEastAsia" w:hAnsi="Calibri" w:cstheme="majorBidi"/>
          <w:b/>
          <w:bCs/>
          <w:color w:val="757575"/>
        </w:rPr>
        <w:t>upport for external students</w:t>
      </w:r>
    </w:p>
    <w:p w14:paraId="60D5670D" w14:textId="77777777" w:rsidR="00BD027B" w:rsidRDefault="00E50CC5">
      <w:r>
        <w:t>Increasingly, students are choosing to study online because it accommodates circumstances such as family, employment and living arrangements</w:t>
      </w:r>
      <w:r w:rsidR="00D51D42">
        <w:t>. S</w:t>
      </w:r>
      <w:r>
        <w:t xml:space="preserve">ome </w:t>
      </w:r>
      <w:r w:rsidR="00786B57" w:rsidRPr="00786B57">
        <w:t xml:space="preserve">stakeholders contend </w:t>
      </w:r>
      <w:r>
        <w:t xml:space="preserve">that </w:t>
      </w:r>
      <w:r w:rsidR="009F4689">
        <w:t xml:space="preserve">external </w:t>
      </w:r>
      <w:r w:rsidR="00786B57" w:rsidRPr="00786B57">
        <w:t>study can be as successful as mo</w:t>
      </w:r>
      <w:r w:rsidR="00B74FDF">
        <w:t>re traditional delivery methods. Yet</w:t>
      </w:r>
      <w:r w:rsidR="00786B57" w:rsidRPr="00786B57">
        <w:t xml:space="preserve"> it is clear from the poor attrition data detailed in the discussion paper </w:t>
      </w:r>
      <w:r w:rsidR="009F4689">
        <w:t>and mentioned earlier in this report</w:t>
      </w:r>
      <w:r w:rsidR="00786B57" w:rsidRPr="00786B57">
        <w:t xml:space="preserve">, </w:t>
      </w:r>
      <w:r>
        <w:t>this is not the case. Students studying online take longer to complete their degrees and have lower completion rates than other students.</w:t>
      </w:r>
    </w:p>
    <w:p w14:paraId="75DF4A24" w14:textId="77777777" w:rsidR="00B23798" w:rsidRDefault="009F4689" w:rsidP="00786B57">
      <w:r>
        <w:t>S</w:t>
      </w:r>
      <w:r w:rsidR="001F4AF0">
        <w:t>ome s</w:t>
      </w:r>
      <w:r>
        <w:t>takeholders</w:t>
      </w:r>
      <w:r w:rsidR="007E0661">
        <w:t>, such as the University of New England,</w:t>
      </w:r>
      <w:r>
        <w:t xml:space="preserve"> </w:t>
      </w:r>
      <w:r w:rsidR="00D51D42">
        <w:t>cited</w:t>
      </w:r>
      <w:r w:rsidR="00FC38E4">
        <w:t xml:space="preserve"> </w:t>
      </w:r>
      <w:r w:rsidR="001F4AF0">
        <w:t>examples of supporting external stu</w:t>
      </w:r>
      <w:r w:rsidR="00D73658">
        <w:t xml:space="preserve">dents but </w:t>
      </w:r>
      <w:r w:rsidR="00D51D42">
        <w:t>other feedback suggested</w:t>
      </w:r>
      <w:r w:rsidR="001F4AF0">
        <w:t xml:space="preserve"> </w:t>
      </w:r>
      <w:r>
        <w:t>support</w:t>
      </w:r>
      <w:r w:rsidR="00D73658">
        <w:t xml:space="preserve"> for external students</w:t>
      </w:r>
      <w:r>
        <w:t xml:space="preserve"> </w:t>
      </w:r>
      <w:r w:rsidR="001F4AF0">
        <w:t xml:space="preserve">generally </w:t>
      </w:r>
      <w:r>
        <w:t>appears to be</w:t>
      </w:r>
      <w:r w:rsidR="001F4AF0">
        <w:t xml:space="preserve"> an extension of support for on-</w:t>
      </w:r>
      <w:r>
        <w:t xml:space="preserve">campus students, and little additional </w:t>
      </w:r>
      <w:r w:rsidR="0078380C">
        <w:t xml:space="preserve">effort </w:t>
      </w:r>
      <w:proofErr w:type="gramStart"/>
      <w:r w:rsidR="0078380C">
        <w:t>is put in</w:t>
      </w:r>
      <w:proofErr w:type="gramEnd"/>
      <w:r w:rsidR="0078380C">
        <w:t xml:space="preserve"> to ensure the</w:t>
      </w:r>
      <w:r>
        <w:t xml:space="preserve"> services are suitable for those online. </w:t>
      </w:r>
      <w:r w:rsidR="00B23798">
        <w:t xml:space="preserve"> </w:t>
      </w:r>
    </w:p>
    <w:p w14:paraId="122C40EA" w14:textId="77777777" w:rsidR="009F4689" w:rsidRDefault="00B23798" w:rsidP="00786B57">
      <w:r>
        <w:t>According to one research report:</w:t>
      </w:r>
    </w:p>
    <w:p w14:paraId="46C311F8" w14:textId="77777777" w:rsidR="009F4689" w:rsidRPr="00786B57" w:rsidRDefault="009F4689" w:rsidP="009F4689">
      <w:pPr>
        <w:ind w:left="720"/>
        <w:rPr>
          <w:i/>
        </w:rPr>
      </w:pPr>
      <w:r w:rsidRPr="00786B57">
        <w:rPr>
          <w:i/>
        </w:rPr>
        <w:t xml:space="preserve">…online students may not be receiving the flexible and accessible learning that online education is purported to provide. This situation highlights a broader issue, in that many online educators are using policies and protocols that </w:t>
      </w:r>
      <w:proofErr w:type="gramStart"/>
      <w:r w:rsidRPr="00786B57">
        <w:rPr>
          <w:i/>
        </w:rPr>
        <w:t>are designed</w:t>
      </w:r>
      <w:proofErr w:type="gramEnd"/>
      <w:r w:rsidRPr="00786B57">
        <w:rPr>
          <w:i/>
        </w:rPr>
        <w:t xml:space="preserve"> for traditional on-campus students without adequate adaptation for the online learner. Considerable scope therefore exists for improving online learner satisfaction and retention by more effectively accommodating online student characteristics and needs</w:t>
      </w:r>
      <w:r w:rsidRPr="00786B57">
        <w:rPr>
          <w:vertAlign w:val="superscript"/>
        </w:rPr>
        <w:footnoteReference w:id="6"/>
      </w:r>
      <w:r w:rsidRPr="00786B57">
        <w:rPr>
          <w:i/>
        </w:rPr>
        <w:t>.</w:t>
      </w:r>
    </w:p>
    <w:p w14:paraId="44954371" w14:textId="77777777" w:rsidR="00BD5416" w:rsidRDefault="00BD5416">
      <w:r>
        <w:br w:type="page"/>
      </w:r>
    </w:p>
    <w:p w14:paraId="2D49128E" w14:textId="77777777" w:rsidR="00786B57" w:rsidRPr="00786B57" w:rsidRDefault="00786B57" w:rsidP="00786B57">
      <w:r w:rsidRPr="00786B57">
        <w:t xml:space="preserve">There needs to be recognition </w:t>
      </w:r>
      <w:proofErr w:type="gramStart"/>
      <w:r w:rsidRPr="00786B57">
        <w:t>that th</w:t>
      </w:r>
      <w:r w:rsidR="00D51D42">
        <w:t>ere</w:t>
      </w:r>
      <w:r w:rsidRPr="00786B57">
        <w:t xml:space="preserve"> is a growing cohort </w:t>
      </w:r>
      <w:r w:rsidR="00B74FDF">
        <w:t>of students who engage with higher education mainly online</w:t>
      </w:r>
      <w:proofErr w:type="gramEnd"/>
      <w:r w:rsidR="00B74FDF">
        <w:t xml:space="preserve">. </w:t>
      </w:r>
      <w:r w:rsidRPr="00786B57">
        <w:t>These students need to feel a sense of belonging</w:t>
      </w:r>
      <w:r w:rsidR="00B74FDF">
        <w:t xml:space="preserve">, part of student life </w:t>
      </w:r>
      <w:r w:rsidR="009F4689">
        <w:t xml:space="preserve">and </w:t>
      </w:r>
      <w:r w:rsidRPr="00786B57">
        <w:t xml:space="preserve">require </w:t>
      </w:r>
      <w:r w:rsidR="009F4689">
        <w:t xml:space="preserve">specific </w:t>
      </w:r>
      <w:r w:rsidRPr="00786B57">
        <w:t>online s</w:t>
      </w:r>
      <w:r w:rsidR="009F4689">
        <w:t>uppor</w:t>
      </w:r>
      <w:r w:rsidR="00B74FDF">
        <w:t>t services (perhaps through</w:t>
      </w:r>
      <w:r w:rsidR="00FA2D2A">
        <w:t xml:space="preserve"> online peer </w:t>
      </w:r>
      <w:r w:rsidR="009F4689">
        <w:t>mentors</w:t>
      </w:r>
      <w:r w:rsidR="00B74FDF">
        <w:t>)</w:t>
      </w:r>
      <w:r w:rsidR="00912C26">
        <w:t>,</w:t>
      </w:r>
      <w:r w:rsidR="002E14B7">
        <w:t xml:space="preserve"> extended hours </w:t>
      </w:r>
      <w:r w:rsidR="00DA5382">
        <w:t xml:space="preserve">or 24/7 </w:t>
      </w:r>
      <w:r w:rsidR="002E14B7">
        <w:t>support services</w:t>
      </w:r>
      <w:r w:rsidR="00B74FDF">
        <w:t xml:space="preserve"> and support embedded into their curriculum</w:t>
      </w:r>
      <w:r w:rsidR="00525FBC">
        <w:t xml:space="preserve">. </w:t>
      </w:r>
      <w:proofErr w:type="spellStart"/>
      <w:r w:rsidR="00525FBC">
        <w:t>YourT</w:t>
      </w:r>
      <w:r w:rsidR="009F4689">
        <w:t>utor</w:t>
      </w:r>
      <w:proofErr w:type="spellEnd"/>
      <w:r w:rsidR="009F4689">
        <w:t xml:space="preserve"> stated in its submission the Panel:</w:t>
      </w:r>
    </w:p>
    <w:p w14:paraId="67599685" w14:textId="14172181" w:rsidR="00786B57" w:rsidRPr="00786B57" w:rsidRDefault="001F154B" w:rsidP="00786B57">
      <w:pPr>
        <w:ind w:left="720"/>
        <w:rPr>
          <w:i/>
        </w:rPr>
      </w:pPr>
      <w:r>
        <w:rPr>
          <w:i/>
        </w:rPr>
        <w:t>Forward-</w:t>
      </w:r>
      <w:r w:rsidR="00786B57" w:rsidRPr="00786B57">
        <w:rPr>
          <w:i/>
        </w:rPr>
        <w:t xml:space="preserve">looking universities are modifying the way courses </w:t>
      </w:r>
      <w:proofErr w:type="gramStart"/>
      <w:r w:rsidR="00786B57" w:rsidRPr="00786B57">
        <w:rPr>
          <w:i/>
        </w:rPr>
        <w:t>are delivered</w:t>
      </w:r>
      <w:proofErr w:type="gramEnd"/>
      <w:r w:rsidR="00786B57" w:rsidRPr="00786B57">
        <w:rPr>
          <w:i/>
        </w:rPr>
        <w:t xml:space="preserve"> and support is provided to optimise the student experience and ensure student attrition rates are kept to a minimum. </w:t>
      </w:r>
      <w:proofErr w:type="gramStart"/>
      <w:r w:rsidR="00786B57" w:rsidRPr="00786B57">
        <w:rPr>
          <w:i/>
        </w:rPr>
        <w:t>This has involved adopting cost and organisational efficiencies to ensure resources are available to and accessible by diverse cohorts, and that these resources are scalable to meet increasing demands….As a first line of action, intervention an</w:t>
      </w:r>
      <w:r w:rsidR="007B68B9">
        <w:rPr>
          <w:i/>
        </w:rPr>
        <w:t>d</w:t>
      </w:r>
      <w:r w:rsidR="00786B57" w:rsidRPr="00786B57">
        <w:rPr>
          <w:i/>
        </w:rPr>
        <w:t xml:space="preserve"> support strategies must be online, to ensure scale and equitable reach to students from regional and remote locations, international offshore students, and those that do not attend campus, or for other reaso</w:t>
      </w:r>
      <w:r w:rsidR="001F4AF0">
        <w:rPr>
          <w:i/>
        </w:rPr>
        <w:t xml:space="preserve">ns have minimised their time on </w:t>
      </w:r>
      <w:r w:rsidR="00FC38E4">
        <w:rPr>
          <w:i/>
        </w:rPr>
        <w:t>campus.</w:t>
      </w:r>
      <w:proofErr w:type="gramEnd"/>
    </w:p>
    <w:p w14:paraId="72F04A59" w14:textId="77777777" w:rsidR="00786B57" w:rsidRDefault="001D5299" w:rsidP="00786B57">
      <w:r>
        <w:t xml:space="preserve">The Panel considers institutions should be paying particular attention to ensuring their support services are meeting the needs of external students who are not regularly attending campus. </w:t>
      </w:r>
    </w:p>
    <w:p w14:paraId="076136F7" w14:textId="77777777" w:rsidR="009F4689" w:rsidRPr="00786B57" w:rsidRDefault="009F4689" w:rsidP="009F4689">
      <w:r w:rsidRPr="00786B57">
        <w:t xml:space="preserve">Without significant improvement </w:t>
      </w:r>
      <w:r>
        <w:t>and targeted investment in support for external students, the</w:t>
      </w:r>
      <w:r w:rsidRPr="00786B57">
        <w:t xml:space="preserve"> further expansion of </w:t>
      </w:r>
      <w:r>
        <w:t>external</w:t>
      </w:r>
      <w:r w:rsidRPr="00786B57">
        <w:t xml:space="preserve"> delivery risks both the quality and reputation of Australian higher education.</w:t>
      </w:r>
    </w:p>
    <w:p w14:paraId="3786544F" w14:textId="77777777" w:rsidR="00A43E27" w:rsidRPr="00E73290" w:rsidRDefault="00A43E27" w:rsidP="004F563E">
      <w:pPr>
        <w:pStyle w:val="Heading3"/>
        <w:rPr>
          <w:rFonts w:eastAsiaTheme="minorEastAsia" w:cstheme="minorBidi"/>
        </w:rPr>
      </w:pPr>
      <w:r w:rsidRPr="00E73290">
        <w:t xml:space="preserve">Exit </w:t>
      </w:r>
      <w:r w:rsidR="00E73290" w:rsidRPr="00E73290">
        <w:t>interviews</w:t>
      </w:r>
      <w:r w:rsidR="00FC38E4">
        <w:t>/survey</w:t>
      </w:r>
    </w:p>
    <w:p w14:paraId="375D257A" w14:textId="77777777" w:rsidR="00B433A9" w:rsidRDefault="005E762E" w:rsidP="00A738F2">
      <w:r w:rsidRPr="00E73290">
        <w:t>The Panel agrees</w:t>
      </w:r>
      <w:r w:rsidR="00FC38E4">
        <w:t xml:space="preserve"> with stakeholders who pointed out</w:t>
      </w:r>
      <w:r w:rsidRPr="00E73290">
        <w:t xml:space="preserve"> that</w:t>
      </w:r>
      <w:r w:rsidR="00A738F2" w:rsidRPr="00E73290">
        <w:t xml:space="preserve"> </w:t>
      </w:r>
      <w:r w:rsidR="00D752DE" w:rsidRPr="00E73290">
        <w:t>w</w:t>
      </w:r>
      <w:r w:rsidR="00EE37D1">
        <w:t xml:space="preserve">hile the department‘s </w:t>
      </w:r>
      <w:r w:rsidR="004B1456" w:rsidRPr="00E73290">
        <w:t xml:space="preserve">Student Experience Survey provides a valuable insight in to </w:t>
      </w:r>
      <w:r w:rsidR="0078380C">
        <w:t xml:space="preserve">the reasons </w:t>
      </w:r>
      <w:r w:rsidR="004B1456" w:rsidRPr="00E73290">
        <w:t xml:space="preserve">why students are considering leaving their courses, it does not provide follow </w:t>
      </w:r>
      <w:r w:rsidR="00FA2D2A">
        <w:t>up data on which students left.</w:t>
      </w:r>
      <w:r w:rsidR="00FC38E4">
        <w:t xml:space="preserve"> This data would be valuable for individual institutions to inform their retention practices.</w:t>
      </w:r>
      <w:r w:rsidR="00B433A9">
        <w:t xml:space="preserve"> </w:t>
      </w:r>
    </w:p>
    <w:p w14:paraId="0B739DCD" w14:textId="77777777" w:rsidR="0078380C" w:rsidRDefault="00582E3E" w:rsidP="00A738F2">
      <w:r w:rsidRPr="00E73290">
        <w:t>Many stakeholders across the higher education community endorsed exit survey</w:t>
      </w:r>
      <w:r w:rsidR="00B433A9">
        <w:t>s</w:t>
      </w:r>
      <w:r w:rsidRPr="00E73290">
        <w:t xml:space="preserve"> for students who discontinue their studies</w:t>
      </w:r>
      <w:r w:rsidR="00FA2D2A">
        <w:t>,</w:t>
      </w:r>
      <w:r w:rsidR="00F96BB5">
        <w:t xml:space="preserve"> with various suggestions </w:t>
      </w:r>
      <w:r w:rsidR="0078380C">
        <w:t xml:space="preserve">around </w:t>
      </w:r>
      <w:r w:rsidR="00F96BB5">
        <w:t xml:space="preserve">how </w:t>
      </w:r>
      <w:r w:rsidR="00B433A9">
        <w:t>such surveys are</w:t>
      </w:r>
      <w:r w:rsidR="00F96BB5">
        <w:t xml:space="preserve"> administered</w:t>
      </w:r>
      <w:r w:rsidR="00B433A9">
        <w:t>, for example at a national level or within e</w:t>
      </w:r>
      <w:r w:rsidR="00142BAD">
        <w:t>very</w:t>
      </w:r>
      <w:r w:rsidR="00B433A9">
        <w:t xml:space="preserve"> institution.</w:t>
      </w:r>
    </w:p>
    <w:p w14:paraId="6D798B33" w14:textId="77777777" w:rsidR="004B1456" w:rsidRDefault="00B433A9" w:rsidP="00A738F2">
      <w:r>
        <w:t xml:space="preserve">Some institutions noted their current exit interview arrangements and explained that </w:t>
      </w:r>
      <w:r w:rsidR="00570401">
        <w:t>low response rates from exited students limit</w:t>
      </w:r>
      <w:r w:rsidR="00E13568">
        <w:t xml:space="preserve"> the collection and use of data.</w:t>
      </w:r>
    </w:p>
    <w:p w14:paraId="6ADE198A" w14:textId="77777777" w:rsidR="007F62E7" w:rsidRDefault="00F96BB5" w:rsidP="00A738F2">
      <w:r>
        <w:t xml:space="preserve">The University of Newcastle: </w:t>
      </w:r>
      <w:proofErr w:type="spellStart"/>
      <w:r>
        <w:t>Wollotuka</w:t>
      </w:r>
      <w:proofErr w:type="spellEnd"/>
      <w:r>
        <w:t xml:space="preserve"> Institute agreed that </w:t>
      </w:r>
      <w:r w:rsidR="007F62E7">
        <w:t xml:space="preserve">a survey of exiting students would be useful to understand where </w:t>
      </w:r>
      <w:r w:rsidR="00EF0458">
        <w:t>changes and different approaches</w:t>
      </w:r>
      <w:r w:rsidR="007F62E7">
        <w:t xml:space="preserve"> need to be </w:t>
      </w:r>
      <w:proofErr w:type="gramStart"/>
      <w:r w:rsidR="007F62E7">
        <w:t>take</w:t>
      </w:r>
      <w:r w:rsidR="002B1321">
        <w:t>n</w:t>
      </w:r>
      <w:proofErr w:type="gramEnd"/>
      <w:r w:rsidR="007F62E7">
        <w:t xml:space="preserve"> by institutions and mentioned that the Institute will shortly be undertaking a pre-emptive survey of current Indigenous students to ascertain their satisfaction</w:t>
      </w:r>
      <w:r w:rsidR="00D73658">
        <w:t xml:space="preserve"> with the Institute’s services.</w:t>
      </w:r>
      <w:r w:rsidR="007F62E7">
        <w:t xml:space="preserve"> The survey is designed to gain an understanding of what ‘is’ as opposed to what ‘should be’ with the intent to capture dissatisfaction before it leads to a studen</w:t>
      </w:r>
      <w:r w:rsidR="00DA5382">
        <w:t>t withdrawing or dropping out.</w:t>
      </w:r>
    </w:p>
    <w:p w14:paraId="6586A044" w14:textId="77777777" w:rsidR="00BD5416" w:rsidRDefault="00BD5416">
      <w:r>
        <w:br w:type="page"/>
      </w:r>
    </w:p>
    <w:p w14:paraId="78BF4883" w14:textId="77777777" w:rsidR="007E0661" w:rsidRDefault="007F62E7" w:rsidP="00A738F2">
      <w:r>
        <w:t>The Panel</w:t>
      </w:r>
      <w:r w:rsidR="007E0661">
        <w:t xml:space="preserve"> recognises the val</w:t>
      </w:r>
      <w:r w:rsidR="00D73658">
        <w:t xml:space="preserve">ue in this proactive approach. </w:t>
      </w:r>
      <w:r w:rsidR="007E0661">
        <w:t xml:space="preserve">Not only could institutions who engage in such </w:t>
      </w:r>
      <w:r>
        <w:t>a pre-emptive survey</w:t>
      </w:r>
      <w:r w:rsidR="007E0661">
        <w:t xml:space="preserve"> review their practices</w:t>
      </w:r>
      <w:r w:rsidR="00EF0458">
        <w:t>,</w:t>
      </w:r>
      <w:r w:rsidR="007E0661">
        <w:t xml:space="preserve"> they could use the opportunity to of</w:t>
      </w:r>
      <w:r w:rsidR="00EF0458">
        <w:t>fer additional support services</w:t>
      </w:r>
      <w:r w:rsidR="007E0661">
        <w:t xml:space="preserve"> or discuss options such as reducing a study load, transferring to an alternative course or taking formal leave</w:t>
      </w:r>
      <w:r w:rsidR="00EA3F57">
        <w:t xml:space="preserve"> -s</w:t>
      </w:r>
      <w:r w:rsidR="00570401">
        <w:t>tudents’ being aware of their enrolment options was</w:t>
      </w:r>
      <w:r w:rsidR="006066C5">
        <w:t xml:space="preserve"> an issue raised by the Panel in the discussion paper</w:t>
      </w:r>
      <w:r w:rsidR="00912C26">
        <w:t>. S</w:t>
      </w:r>
      <w:r w:rsidR="006066C5">
        <w:t xml:space="preserve">tudents are often unsure </w:t>
      </w:r>
      <w:r w:rsidR="00B215FD">
        <w:t>of what options they have</w:t>
      </w:r>
      <w:r w:rsidR="00912C26">
        <w:t>,</w:t>
      </w:r>
      <w:r w:rsidR="0000579D">
        <w:t xml:space="preserve"> </w:t>
      </w:r>
      <w:r w:rsidR="00912C26">
        <w:t xml:space="preserve">such as taking formal leave or deferring and the Panel considers </w:t>
      </w:r>
      <w:r w:rsidR="0000579D">
        <w:t xml:space="preserve">institutions need to do more to communicate </w:t>
      </w:r>
      <w:r w:rsidR="00912C26">
        <w:t>these to students.</w:t>
      </w:r>
    </w:p>
    <w:p w14:paraId="5D4DB470" w14:textId="77777777" w:rsidR="00E73290" w:rsidRDefault="00FA2D2A" w:rsidP="00A738F2">
      <w:r>
        <w:t xml:space="preserve">The Panel </w:t>
      </w:r>
      <w:r w:rsidR="007E0661">
        <w:t xml:space="preserve">recognises the valuable data that </w:t>
      </w:r>
      <w:proofErr w:type="gramStart"/>
      <w:r w:rsidR="007E0661">
        <w:t>would be generated</w:t>
      </w:r>
      <w:proofErr w:type="gramEnd"/>
      <w:r w:rsidR="007E0661">
        <w:t xml:space="preserve"> by </w:t>
      </w:r>
      <w:r>
        <w:t xml:space="preserve">an </w:t>
      </w:r>
      <w:r w:rsidR="007E0661">
        <w:t xml:space="preserve">exit survey </w:t>
      </w:r>
      <w:r>
        <w:t xml:space="preserve">or a pre-emptive survey of current students </w:t>
      </w:r>
      <w:r w:rsidR="007F62E7">
        <w:t xml:space="preserve">and </w:t>
      </w:r>
      <w:r w:rsidR="00E73290" w:rsidRPr="007F62E7">
        <w:t xml:space="preserve">promotes </w:t>
      </w:r>
      <w:r w:rsidR="006066C5">
        <w:t xml:space="preserve">the inclusion of either or both surveys </w:t>
      </w:r>
      <w:r w:rsidR="007F62E7">
        <w:t xml:space="preserve">in </w:t>
      </w:r>
      <w:r w:rsidR="00912C26">
        <w:t xml:space="preserve">institution </w:t>
      </w:r>
      <w:r w:rsidR="007F62E7">
        <w:t>retention strategies</w:t>
      </w:r>
      <w:r w:rsidR="00E73290" w:rsidRPr="007F62E7">
        <w:t>.</w:t>
      </w:r>
    </w:p>
    <w:p w14:paraId="0910076E" w14:textId="77777777" w:rsidR="00786B57" w:rsidRPr="00E73290" w:rsidRDefault="00786B57" w:rsidP="004F563E">
      <w:pPr>
        <w:pStyle w:val="Heading3"/>
      </w:pPr>
      <w:r w:rsidRPr="00E73290">
        <w:t>Re-engagement of students who have withdrawn from higher education</w:t>
      </w:r>
    </w:p>
    <w:p w14:paraId="46F9B92A" w14:textId="77777777" w:rsidR="00786B57" w:rsidRPr="00E73290" w:rsidRDefault="00582E3E" w:rsidP="00862C34">
      <w:r w:rsidRPr="00E73290">
        <w:t xml:space="preserve">The Panel was disappointed that submissions confirmed </w:t>
      </w:r>
      <w:r w:rsidR="00786B57" w:rsidRPr="00E73290">
        <w:t xml:space="preserve">there </w:t>
      </w:r>
      <w:r w:rsidRPr="00E73290">
        <w:t xml:space="preserve">are </w:t>
      </w:r>
      <w:r w:rsidR="007D6721">
        <w:t>few</w:t>
      </w:r>
      <w:r w:rsidR="00786B57" w:rsidRPr="00E73290">
        <w:t xml:space="preserve"> formal processes for the re-engagement of students who have withdrawn from higher education in place across the sector. </w:t>
      </w:r>
    </w:p>
    <w:p w14:paraId="75414E8E" w14:textId="77777777" w:rsidR="00930B41" w:rsidRPr="00E73290" w:rsidRDefault="004F563E" w:rsidP="00862C34">
      <w:r w:rsidRPr="004F563E">
        <w:t xml:space="preserve">The 2017 La Trobe University study, </w:t>
      </w:r>
      <w:proofErr w:type="gramStart"/>
      <w:r w:rsidR="00F8207E" w:rsidRPr="00FA2D2A">
        <w:rPr>
          <w:i/>
        </w:rPr>
        <w:t>The</w:t>
      </w:r>
      <w:proofErr w:type="gramEnd"/>
      <w:r w:rsidR="00F8207E" w:rsidRPr="00FA2D2A">
        <w:rPr>
          <w:i/>
        </w:rPr>
        <w:t xml:space="preserve"> re</w:t>
      </w:r>
      <w:r w:rsidRPr="00FA2D2A">
        <w:rPr>
          <w:i/>
        </w:rPr>
        <w:t>-recruitment of students who have withdrawn from Australian higher education</w:t>
      </w:r>
      <w:r w:rsidRPr="004F563E">
        <w:t>, also</w:t>
      </w:r>
      <w:r>
        <w:t xml:space="preserve"> cited in the discussion paper</w:t>
      </w:r>
      <w:r w:rsidR="00FA2D2A">
        <w:t>, stated</w:t>
      </w:r>
      <w:r w:rsidR="00930B41" w:rsidRPr="00E73290">
        <w:t xml:space="preserve">: </w:t>
      </w:r>
    </w:p>
    <w:p w14:paraId="656F96AB" w14:textId="77777777" w:rsidR="00786B57" w:rsidRPr="00862C34" w:rsidRDefault="00930B41" w:rsidP="00862C34">
      <w:pPr>
        <w:ind w:left="720"/>
        <w:rPr>
          <w:i/>
        </w:rPr>
      </w:pPr>
      <w:r w:rsidRPr="00862C34">
        <w:rPr>
          <w:i/>
        </w:rPr>
        <w:t>A</w:t>
      </w:r>
      <w:r w:rsidR="00786B57" w:rsidRPr="00862C34">
        <w:rPr>
          <w:i/>
        </w:rPr>
        <w:t xml:space="preserve">ny students who withdraw from higher education have the potential to </w:t>
      </w:r>
      <w:proofErr w:type="gramStart"/>
      <w:r w:rsidR="00786B57" w:rsidRPr="00862C34">
        <w:rPr>
          <w:i/>
        </w:rPr>
        <w:t>be re-recruited</w:t>
      </w:r>
      <w:proofErr w:type="gramEnd"/>
      <w:r w:rsidR="00786B57" w:rsidRPr="00862C34">
        <w:rPr>
          <w:i/>
        </w:rPr>
        <w:t xml:space="preserve"> in subsequent years, including students who are initially adamant that they will never return to higher education. Our research has found that, with little institutional effort, around one half of ‘non-completers’ already return to higher education within eight years of their initial withdrawal. It is difficult to prevent many students from withdrawing, but relatively easy to support their re-enrolment</w:t>
      </w:r>
      <w:r w:rsidR="002854B4" w:rsidRPr="00862C34">
        <w:rPr>
          <w:i/>
        </w:rPr>
        <w:t>.</w:t>
      </w:r>
    </w:p>
    <w:p w14:paraId="04F40C58" w14:textId="77777777" w:rsidR="00786B57" w:rsidRPr="00786B57" w:rsidRDefault="00786B57" w:rsidP="00786B57">
      <w:r w:rsidRPr="00E73290">
        <w:t xml:space="preserve">The Panel </w:t>
      </w:r>
      <w:r w:rsidR="00582E3E" w:rsidRPr="00E73290">
        <w:t xml:space="preserve">re-emphasises that this is a missed opportunity. Institutions have the capacity to increase enrolments through engagement with students who have withdrawn from higher education. This </w:t>
      </w:r>
      <w:r w:rsidRPr="00E73290">
        <w:t>re</w:t>
      </w:r>
      <w:r w:rsidR="00582E3E" w:rsidRPr="00E73290">
        <w:t>-engagement practice should be part of an institution’s</w:t>
      </w:r>
      <w:r w:rsidR="00930B41" w:rsidRPr="00E73290">
        <w:t xml:space="preserve"> retention strategy.</w:t>
      </w:r>
    </w:p>
    <w:p w14:paraId="218A46DD" w14:textId="77777777" w:rsidR="000B7C82" w:rsidRPr="00C46AFE" w:rsidRDefault="00EB3E17" w:rsidP="00B433A9">
      <w:pPr>
        <w:pStyle w:val="Heading2"/>
      </w:pPr>
      <w:r w:rsidRPr="00C46AFE">
        <w:t>Student m</w:t>
      </w:r>
      <w:r w:rsidR="000B7C82" w:rsidRPr="00C46AFE">
        <w:t>ental health</w:t>
      </w:r>
    </w:p>
    <w:p w14:paraId="50CD5D48" w14:textId="77777777" w:rsidR="00B23798" w:rsidRPr="00C46AFE" w:rsidRDefault="00B23798" w:rsidP="000B7C82">
      <w:r w:rsidRPr="00C46AFE">
        <w:t xml:space="preserve">Students face many personal challenges during their years in higher education. </w:t>
      </w:r>
      <w:r w:rsidR="00912C26" w:rsidRPr="00C46AFE">
        <w:t>Stress often has</w:t>
      </w:r>
      <w:r w:rsidRPr="00C46AFE">
        <w:t xml:space="preserve"> an adverse impact on their emotional well-being.</w:t>
      </w:r>
    </w:p>
    <w:p w14:paraId="71807A8E" w14:textId="77777777" w:rsidR="00122D69" w:rsidRPr="00C46AFE" w:rsidRDefault="00605B0A" w:rsidP="000B7C82">
      <w:r>
        <w:t>Some</w:t>
      </w:r>
      <w:r w:rsidR="00B23798" w:rsidRPr="00C46AFE">
        <w:t xml:space="preserve"> respondents highlighted that </w:t>
      </w:r>
      <w:r w:rsidR="00122D69" w:rsidRPr="00C46AFE">
        <w:t>mental health is a</w:t>
      </w:r>
      <w:r w:rsidR="00D00F6E" w:rsidRPr="00C46AFE">
        <w:t xml:space="preserve"> serious problem </w:t>
      </w:r>
      <w:proofErr w:type="gramStart"/>
      <w:r w:rsidR="00D00F6E" w:rsidRPr="00C46AFE">
        <w:t>impacting</w:t>
      </w:r>
      <w:proofErr w:type="gramEnd"/>
      <w:r w:rsidR="00D00F6E" w:rsidRPr="00C46AFE">
        <w:t xml:space="preserve"> some</w:t>
      </w:r>
      <w:r w:rsidR="00122D69" w:rsidRPr="00C46AFE">
        <w:t xml:space="preserve"> students a</w:t>
      </w:r>
      <w:r w:rsidR="002B5C60" w:rsidRPr="00C46AFE">
        <w:t>nd a</w:t>
      </w:r>
      <w:r w:rsidR="00122D69" w:rsidRPr="00C46AFE">
        <w:t xml:space="preserve"> major cause of attrition</w:t>
      </w:r>
      <w:r w:rsidR="00912C26" w:rsidRPr="00C46AFE">
        <w:t>. They claim</w:t>
      </w:r>
      <w:r w:rsidR="00122D69" w:rsidRPr="00C46AFE">
        <w:t xml:space="preserve"> extra support </w:t>
      </w:r>
      <w:proofErr w:type="gramStart"/>
      <w:r w:rsidR="00122D69" w:rsidRPr="00C46AFE">
        <w:t>is needed</w:t>
      </w:r>
      <w:proofErr w:type="gramEnd"/>
      <w:r w:rsidR="00122D69" w:rsidRPr="00C46AFE">
        <w:t xml:space="preserve"> for students suffering mental health issues. </w:t>
      </w:r>
      <w:r w:rsidR="009F4689" w:rsidRPr="00C46AFE">
        <w:t>La Trobe University stated:</w:t>
      </w:r>
    </w:p>
    <w:p w14:paraId="68EA8CE6" w14:textId="77777777" w:rsidR="00122D69" w:rsidRPr="00C46AFE" w:rsidRDefault="00122D69" w:rsidP="00122D69">
      <w:pPr>
        <w:ind w:left="720"/>
      </w:pPr>
      <w:r w:rsidRPr="00C46AFE">
        <w:rPr>
          <w:i/>
        </w:rPr>
        <w:t>..</w:t>
      </w:r>
      <w:proofErr w:type="gramStart"/>
      <w:r w:rsidRPr="00C46AFE">
        <w:rPr>
          <w:i/>
        </w:rPr>
        <w:t>a</w:t>
      </w:r>
      <w:proofErr w:type="gramEnd"/>
      <w:r w:rsidRPr="00C46AFE">
        <w:rPr>
          <w:i/>
        </w:rPr>
        <w:t xml:space="preserve"> recent La Trobe research survey indicated that student mental health is a bigger driver of attrition than academic difficulties. It is important that institutions develop strategies that deal with both of these issues. </w:t>
      </w:r>
    </w:p>
    <w:p w14:paraId="092C4261" w14:textId="77777777" w:rsidR="00BD5416" w:rsidRDefault="00BD5416">
      <w:r>
        <w:br w:type="page"/>
      </w:r>
    </w:p>
    <w:p w14:paraId="01FB2928" w14:textId="77777777" w:rsidR="00B23798" w:rsidRPr="00C46AFE" w:rsidRDefault="00B23798" w:rsidP="00B23798">
      <w:pPr>
        <w:rPr>
          <w:i/>
        </w:rPr>
      </w:pPr>
      <w:proofErr w:type="spellStart"/>
      <w:r w:rsidRPr="00C46AFE">
        <w:t>Orygen</w:t>
      </w:r>
      <w:proofErr w:type="spellEnd"/>
      <w:r w:rsidRPr="00C46AFE">
        <w:t>, the National Centre of Excellence in</w:t>
      </w:r>
      <w:r w:rsidR="00605B0A">
        <w:t xml:space="preserve"> Youth Mental Health, released a</w:t>
      </w:r>
      <w:r w:rsidRPr="00C46AFE">
        <w:t xml:space="preserve"> report on student mental health in May 2017</w:t>
      </w:r>
      <w:r w:rsidR="00EA3F57">
        <w:rPr>
          <w:rStyle w:val="FootnoteReference"/>
        </w:rPr>
        <w:footnoteReference w:id="7"/>
      </w:r>
      <w:r w:rsidRPr="00C46AFE">
        <w:t xml:space="preserve">. The report states that of Australia’s 1.4 million university students approximately three in five are aged between 15 and 24 years and at least one in four of these young people will experience mental </w:t>
      </w:r>
      <w:proofErr w:type="gramStart"/>
      <w:r w:rsidRPr="00C46AFE">
        <w:t>ill-health</w:t>
      </w:r>
      <w:proofErr w:type="gramEnd"/>
      <w:r w:rsidRPr="00C46AFE">
        <w:t xml:space="preserve"> in any one year. These students are more likely to consider exiting or exit their course early.</w:t>
      </w:r>
      <w:r w:rsidRPr="00C46AFE">
        <w:rPr>
          <w:i/>
        </w:rPr>
        <w:t xml:space="preserve"> </w:t>
      </w:r>
    </w:p>
    <w:p w14:paraId="1B669390" w14:textId="77777777" w:rsidR="00B23798" w:rsidRPr="00C46AFE" w:rsidRDefault="00B23798" w:rsidP="00B23798">
      <w:pPr>
        <w:rPr>
          <w:rFonts w:eastAsia="Times New Roman"/>
          <w:lang w:eastAsia="en-AU"/>
        </w:rPr>
      </w:pPr>
      <w:r w:rsidRPr="00C46AFE">
        <w:rPr>
          <w:rFonts w:eastAsia="Times New Roman"/>
          <w:lang w:eastAsia="en-AU"/>
        </w:rPr>
        <w:t>A study by the National Union of Students in 2016 found seven out of ten university students surveyed rated their mental health as only ‘poor or fair’. The surve</w:t>
      </w:r>
      <w:r w:rsidR="00A21D77">
        <w:rPr>
          <w:rFonts w:eastAsia="Times New Roman"/>
          <w:lang w:eastAsia="en-AU"/>
        </w:rPr>
        <w:t>y of more than 2600 Australian u</w:t>
      </w:r>
      <w:r w:rsidRPr="00C46AFE">
        <w:rPr>
          <w:rFonts w:eastAsia="Times New Roman"/>
          <w:lang w:eastAsia="en-AU"/>
        </w:rPr>
        <w:t>niversity and TAFE students found about a third had considered self-harm or suicide in the last 12 months. It also found two-thirds of students reported high or very high psychological distress in the past 12 months, almost 80 per cent had felt anxious and more than half had experienced panic.</w:t>
      </w:r>
    </w:p>
    <w:p w14:paraId="4937BF59" w14:textId="77777777" w:rsidR="00122D69" w:rsidRPr="00C46AFE" w:rsidRDefault="00122D69" w:rsidP="002B5C60">
      <w:r w:rsidRPr="00C46AFE">
        <w:t xml:space="preserve">The National Union of Students </w:t>
      </w:r>
      <w:r w:rsidR="00B23798" w:rsidRPr="00C46AFE">
        <w:t xml:space="preserve">also </w:t>
      </w:r>
      <w:r w:rsidRPr="00C46AFE">
        <w:t xml:space="preserve">pointed out that the </w:t>
      </w:r>
      <w:r w:rsidR="002B5C60" w:rsidRPr="00C46AFE">
        <w:t>2014</w:t>
      </w:r>
      <w:r w:rsidRPr="00C46AFE">
        <w:rPr>
          <w:i/>
        </w:rPr>
        <w:t xml:space="preserve"> </w:t>
      </w:r>
      <w:r w:rsidR="002B5C60" w:rsidRPr="00C46AFE">
        <w:rPr>
          <w:i/>
          <w:iCs/>
        </w:rPr>
        <w:t>First Year Experience Survey</w:t>
      </w:r>
      <w:r w:rsidRPr="00C46AFE">
        <w:rPr>
          <w:iCs/>
        </w:rPr>
        <w:t xml:space="preserve"> </w:t>
      </w:r>
      <w:r w:rsidRPr="00C46AFE">
        <w:t xml:space="preserve">found </w:t>
      </w:r>
      <w:r w:rsidR="00A21D77">
        <w:t>a</w:t>
      </w:r>
      <w:r w:rsidR="00912C26" w:rsidRPr="00C46AFE">
        <w:t xml:space="preserve">lmost three-quarters of first </w:t>
      </w:r>
      <w:r w:rsidRPr="00C46AFE">
        <w:t xml:space="preserve">year students who were considering deferring cited emotional health as an important reason. </w:t>
      </w:r>
    </w:p>
    <w:p w14:paraId="7AB4A779" w14:textId="77777777" w:rsidR="00E50CC5" w:rsidRDefault="002B5C60">
      <w:pPr>
        <w:rPr>
          <w:lang w:val="en"/>
        </w:rPr>
      </w:pPr>
      <w:r w:rsidRPr="00C46AFE">
        <w:rPr>
          <w:lang w:val="en"/>
        </w:rPr>
        <w:t xml:space="preserve">In hearings with the Panel, </w:t>
      </w:r>
      <w:r w:rsidR="00122D69" w:rsidRPr="00C46AFE">
        <w:rPr>
          <w:lang w:val="en"/>
        </w:rPr>
        <w:t>the National U</w:t>
      </w:r>
      <w:r w:rsidRPr="00C46AFE">
        <w:rPr>
          <w:lang w:val="en"/>
        </w:rPr>
        <w:t>nion of Students described how counseling</w:t>
      </w:r>
      <w:r w:rsidR="00122D69" w:rsidRPr="00C46AFE">
        <w:rPr>
          <w:lang w:val="en"/>
        </w:rPr>
        <w:t xml:space="preserve"> services are overloaded, especially during exam time</w:t>
      </w:r>
      <w:r w:rsidR="007D6721" w:rsidRPr="00C46AFE">
        <w:rPr>
          <w:lang w:val="en"/>
        </w:rPr>
        <w:t>,</w:t>
      </w:r>
      <w:r w:rsidR="00122D69" w:rsidRPr="00C46AFE">
        <w:rPr>
          <w:lang w:val="en"/>
        </w:rPr>
        <w:t xml:space="preserve"> and simply cannot assist all the students who require their services. </w:t>
      </w:r>
      <w:r w:rsidRPr="00C46AFE">
        <w:rPr>
          <w:lang w:val="en"/>
        </w:rPr>
        <w:t>Suggestions include embedding skills such as resilience into the curriculum and providing mandatory mental health training to teachers and lecturers.</w:t>
      </w:r>
    </w:p>
    <w:p w14:paraId="7F89CD9B" w14:textId="6C8773B5" w:rsidR="00A21D77" w:rsidRPr="00C46AFE" w:rsidRDefault="00A21D77" w:rsidP="00A21D77">
      <w:pPr>
        <w:rPr>
          <w:lang w:val="en"/>
        </w:rPr>
      </w:pPr>
      <w:r>
        <w:rPr>
          <w:lang w:val="en"/>
        </w:rPr>
        <w:t>The Panel notes that u</w:t>
      </w:r>
      <w:r w:rsidRPr="00C46AFE">
        <w:rPr>
          <w:lang w:val="en"/>
        </w:rPr>
        <w:t>niversities have the ability under the HEPPP to assist low socioeconomic students whose mental health may form a barrier to their ability to participate an</w:t>
      </w:r>
      <w:r>
        <w:rPr>
          <w:lang w:val="en"/>
        </w:rPr>
        <w:t xml:space="preserve">d succeed in higher education. In addition, the </w:t>
      </w:r>
      <w:r w:rsidRPr="00C46AFE">
        <w:rPr>
          <w:lang w:val="en"/>
        </w:rPr>
        <w:t xml:space="preserve">2016 evaluation of the Government’s Disability Support Program (DSP) considered the appropriateness of the support provided by the DSP. Since the program </w:t>
      </w:r>
      <w:r w:rsidR="00E71D2A" w:rsidRPr="00C46AFE">
        <w:rPr>
          <w:lang w:val="en"/>
        </w:rPr>
        <w:t>started,</w:t>
      </w:r>
      <w:r w:rsidRPr="00C46AFE">
        <w:rPr>
          <w:lang w:val="en"/>
        </w:rPr>
        <w:t xml:space="preserve"> there has been a shift in the disability profile of students to include a greater number of students with mental health issues and learning disorders. Lower levels of awareness from provider staff in supporting students with these types of disability </w:t>
      </w:r>
      <w:proofErr w:type="gramStart"/>
      <w:r w:rsidRPr="00C46AFE">
        <w:rPr>
          <w:lang w:val="en"/>
        </w:rPr>
        <w:t>was identified</w:t>
      </w:r>
      <w:proofErr w:type="gramEnd"/>
      <w:r w:rsidRPr="00C46AFE">
        <w:rPr>
          <w:lang w:val="en"/>
        </w:rPr>
        <w:t xml:space="preserve"> as an issue not addressed by the DSP’s current program design, which does not include training of provider staff. The Government’s 2016 consultation paper proposed expanding the use of existing funding to include staff training to better support students with mental health issues. </w:t>
      </w:r>
    </w:p>
    <w:p w14:paraId="64A1AEDD" w14:textId="77777777" w:rsidR="00D65FAE" w:rsidRDefault="00D30110" w:rsidP="00BD5416">
      <w:pPr>
        <w:rPr>
          <w:lang w:val="en-GB"/>
        </w:rPr>
      </w:pPr>
      <w:r w:rsidRPr="00C46AFE">
        <w:rPr>
          <w:lang w:val="en"/>
        </w:rPr>
        <w:t>In considering the issue of student mental health, t</w:t>
      </w:r>
      <w:r w:rsidR="009D4C21" w:rsidRPr="00C46AFE">
        <w:rPr>
          <w:lang w:val="en"/>
        </w:rPr>
        <w:t xml:space="preserve">he Panel </w:t>
      </w:r>
      <w:r w:rsidR="00A21D77">
        <w:rPr>
          <w:lang w:val="en"/>
        </w:rPr>
        <w:t xml:space="preserve">also </w:t>
      </w:r>
      <w:r w:rsidRPr="00C46AFE">
        <w:rPr>
          <w:lang w:val="en"/>
        </w:rPr>
        <w:t xml:space="preserve">reflected on </w:t>
      </w:r>
      <w:r w:rsidR="009D4C21" w:rsidRPr="00C46AFE">
        <w:rPr>
          <w:lang w:val="en"/>
        </w:rPr>
        <w:t xml:space="preserve">the good will and work already </w:t>
      </w:r>
      <w:proofErr w:type="gramStart"/>
      <w:r w:rsidR="009D4C21" w:rsidRPr="00C46AFE">
        <w:rPr>
          <w:lang w:val="en"/>
        </w:rPr>
        <w:t>being undertaken</w:t>
      </w:r>
      <w:proofErr w:type="gramEnd"/>
      <w:r w:rsidR="009D4C21" w:rsidRPr="00C46AFE">
        <w:rPr>
          <w:lang w:val="en"/>
        </w:rPr>
        <w:t xml:space="preserve"> in this space. For instance</w:t>
      </w:r>
      <w:r w:rsidR="00FC38E4" w:rsidRPr="00C46AFE">
        <w:rPr>
          <w:lang w:val="en"/>
        </w:rPr>
        <w:t>,</w:t>
      </w:r>
      <w:r w:rsidR="009D4C21" w:rsidRPr="00C46AFE">
        <w:rPr>
          <w:lang w:val="en"/>
        </w:rPr>
        <w:t xml:space="preserve"> </w:t>
      </w:r>
      <w:r w:rsidR="009D4C21" w:rsidRPr="00C46AFE">
        <w:t xml:space="preserve">the </w:t>
      </w:r>
      <w:r w:rsidR="009D4C21" w:rsidRPr="00C46AFE">
        <w:rPr>
          <w:lang w:val="en"/>
        </w:rPr>
        <w:t xml:space="preserve">Inaugural Australasian Mental Health and Higher Education Conference </w:t>
      </w:r>
      <w:proofErr w:type="gramStart"/>
      <w:r w:rsidR="009D4C21" w:rsidRPr="00C46AFE">
        <w:rPr>
          <w:lang w:val="en"/>
        </w:rPr>
        <w:t xml:space="preserve">was </w:t>
      </w:r>
      <w:r w:rsidR="00C46AFE">
        <w:rPr>
          <w:lang w:val="en"/>
        </w:rPr>
        <w:t>hosted</w:t>
      </w:r>
      <w:proofErr w:type="gramEnd"/>
      <w:r w:rsidR="00C46AFE">
        <w:rPr>
          <w:lang w:val="en"/>
        </w:rPr>
        <w:t xml:space="preserve"> by</w:t>
      </w:r>
      <w:r w:rsidR="009D4C21" w:rsidRPr="00C46AFE">
        <w:rPr>
          <w:lang w:val="en"/>
        </w:rPr>
        <w:t xml:space="preserve"> James Cook University in July 2017. The conference looked at prevention and interventio</w:t>
      </w:r>
      <w:r w:rsidR="00A21D77">
        <w:rPr>
          <w:lang w:val="en"/>
        </w:rPr>
        <w:t xml:space="preserve">n </w:t>
      </w:r>
      <w:proofErr w:type="gramStart"/>
      <w:r w:rsidR="00A21D77">
        <w:rPr>
          <w:lang w:val="en"/>
        </w:rPr>
        <w:t>programs and</w:t>
      </w:r>
      <w:r w:rsidR="009D4C21" w:rsidRPr="00C46AFE">
        <w:rPr>
          <w:lang w:val="en"/>
        </w:rPr>
        <w:t xml:space="preserve"> strategies</w:t>
      </w:r>
      <w:proofErr w:type="gramEnd"/>
      <w:r w:rsidR="009D4C21" w:rsidRPr="00C46AFE">
        <w:rPr>
          <w:lang w:val="en"/>
        </w:rPr>
        <w:t xml:space="preserve"> and services to improve mental health. </w:t>
      </w:r>
      <w:proofErr w:type="spellStart"/>
      <w:r w:rsidR="00BD5416">
        <w:rPr>
          <w:lang w:val="en"/>
        </w:rPr>
        <w:t>Dr</w:t>
      </w:r>
      <w:proofErr w:type="spellEnd"/>
      <w:r w:rsidR="00BD5416">
        <w:rPr>
          <w:lang w:val="en"/>
        </w:rPr>
        <w:t xml:space="preserve"> Margaret Carter</w:t>
      </w:r>
      <w:r w:rsidR="00E4288D">
        <w:rPr>
          <w:lang w:val="en"/>
        </w:rPr>
        <w:t xml:space="preserve"> </w:t>
      </w:r>
      <w:r w:rsidR="00E4288D" w:rsidRPr="00E4288D">
        <w:rPr>
          <w:lang w:val="en-GB"/>
        </w:rPr>
        <w:t>Senior Lecturer Education</w:t>
      </w:r>
      <w:r w:rsidR="00BD5416">
        <w:rPr>
          <w:lang w:val="en-GB"/>
        </w:rPr>
        <w:t xml:space="preserve">, Associate Processor Abraham Francis and Associate Professor Paul </w:t>
      </w:r>
      <w:proofErr w:type="spellStart"/>
      <w:r w:rsidR="00BD5416">
        <w:rPr>
          <w:lang w:val="en-GB"/>
        </w:rPr>
        <w:t>Pagliano</w:t>
      </w:r>
      <w:proofErr w:type="spellEnd"/>
      <w:r w:rsidR="00BD5416">
        <w:rPr>
          <w:lang w:val="en-GB"/>
        </w:rPr>
        <w:t>,</w:t>
      </w:r>
      <w:r w:rsidR="00E4288D">
        <w:rPr>
          <w:lang w:val="en-GB"/>
        </w:rPr>
        <w:t xml:space="preserve"> </w:t>
      </w:r>
      <w:r w:rsidR="00E4288D" w:rsidRPr="00E4288D">
        <w:rPr>
          <w:lang w:val="en-GB"/>
        </w:rPr>
        <w:t>James Cook University</w:t>
      </w:r>
      <w:r w:rsidR="00BD5416">
        <w:rPr>
          <w:lang w:val="en-GB"/>
        </w:rPr>
        <w:t>,</w:t>
      </w:r>
      <w:r w:rsidR="00E4288D" w:rsidRPr="00E4288D">
        <w:rPr>
          <w:lang w:val="en-GB"/>
        </w:rPr>
        <w:t xml:space="preserve"> </w:t>
      </w:r>
      <w:r w:rsidR="0000215E">
        <w:rPr>
          <w:lang w:val="en-GB"/>
        </w:rPr>
        <w:t xml:space="preserve">noted in </w:t>
      </w:r>
      <w:r w:rsidR="00BD5416">
        <w:rPr>
          <w:lang w:val="en-GB"/>
        </w:rPr>
        <w:t>t</w:t>
      </w:r>
      <w:r w:rsidR="0000215E">
        <w:rPr>
          <w:lang w:val="en-GB"/>
        </w:rPr>
        <w:t>he</w:t>
      </w:r>
      <w:r w:rsidR="00BD5416">
        <w:rPr>
          <w:lang w:val="en-GB"/>
        </w:rPr>
        <w:t>i</w:t>
      </w:r>
      <w:r w:rsidR="0000215E">
        <w:rPr>
          <w:lang w:val="en-GB"/>
        </w:rPr>
        <w:t xml:space="preserve">r conference </w:t>
      </w:r>
      <w:r w:rsidR="005A3205">
        <w:rPr>
          <w:lang w:val="en-GB"/>
        </w:rPr>
        <w:t xml:space="preserve">address </w:t>
      </w:r>
      <w:r w:rsidR="0000215E">
        <w:rPr>
          <w:lang w:val="en-GB"/>
        </w:rPr>
        <w:t xml:space="preserve">the </w:t>
      </w:r>
      <w:r w:rsidR="005A3205">
        <w:rPr>
          <w:lang w:val="en-GB"/>
        </w:rPr>
        <w:t xml:space="preserve">troubling </w:t>
      </w:r>
      <w:r w:rsidR="0000215E">
        <w:rPr>
          <w:lang w:val="en-GB"/>
        </w:rPr>
        <w:t xml:space="preserve">data on student mental health </w:t>
      </w:r>
      <w:r w:rsidR="00A21D77">
        <w:rPr>
          <w:lang w:val="en-GB"/>
        </w:rPr>
        <w:t xml:space="preserve">in </w:t>
      </w:r>
      <w:r w:rsidR="0000215E">
        <w:rPr>
          <w:lang w:val="en-GB"/>
        </w:rPr>
        <w:t>the context of students failing to complete their studies</w:t>
      </w:r>
      <w:r w:rsidR="005A3205">
        <w:rPr>
          <w:lang w:val="en-GB"/>
        </w:rPr>
        <w:t xml:space="preserve">. </w:t>
      </w:r>
    </w:p>
    <w:p w14:paraId="29BE425B" w14:textId="77777777" w:rsidR="00D65FAE" w:rsidRDefault="00D65FAE" w:rsidP="00BD5416">
      <w:pPr>
        <w:rPr>
          <w:lang w:val="en-GB"/>
        </w:rPr>
      </w:pPr>
    </w:p>
    <w:p w14:paraId="03047062" w14:textId="77777777" w:rsidR="00BD5416" w:rsidRDefault="00BD5416" w:rsidP="00BD5416">
      <w:pPr>
        <w:rPr>
          <w:lang w:val="en-GB"/>
        </w:rPr>
      </w:pPr>
      <w:r>
        <w:rPr>
          <w:lang w:val="en-GB"/>
        </w:rPr>
        <w:t>The address</w:t>
      </w:r>
      <w:r w:rsidR="0000215E">
        <w:rPr>
          <w:lang w:val="en-GB"/>
        </w:rPr>
        <w:t xml:space="preserve"> cited </w:t>
      </w:r>
      <w:r w:rsidR="004043B8">
        <w:rPr>
          <w:lang w:val="en-GB"/>
        </w:rPr>
        <w:t xml:space="preserve">Benjamin </w:t>
      </w:r>
      <w:proofErr w:type="spellStart"/>
      <w:r w:rsidR="004043B8">
        <w:rPr>
          <w:lang w:val="en-GB"/>
        </w:rPr>
        <w:t>Veness</w:t>
      </w:r>
      <w:proofErr w:type="spellEnd"/>
      <w:r w:rsidR="0000215E">
        <w:rPr>
          <w:lang w:val="en-GB"/>
        </w:rPr>
        <w:t xml:space="preserve"> </w:t>
      </w:r>
      <w:r w:rsidR="004043B8">
        <w:rPr>
          <w:lang w:val="en-GB"/>
        </w:rPr>
        <w:t>w</w:t>
      </w:r>
      <w:r w:rsidR="0000215E">
        <w:rPr>
          <w:lang w:val="en-GB"/>
        </w:rPr>
        <w:t>ho stated</w:t>
      </w:r>
      <w:r w:rsidR="00A21D77">
        <w:rPr>
          <w:lang w:val="en-GB"/>
        </w:rPr>
        <w:t xml:space="preserve"> in his 2016 report to the Winston Churchill Memorial Trust</w:t>
      </w:r>
      <w:r w:rsidR="0000215E">
        <w:rPr>
          <w:lang w:val="en-GB"/>
        </w:rPr>
        <w:t>:</w:t>
      </w:r>
    </w:p>
    <w:p w14:paraId="5C58127A" w14:textId="77777777" w:rsidR="0000215E" w:rsidRPr="00BD5416" w:rsidRDefault="0000215E" w:rsidP="00BD5416">
      <w:pPr>
        <w:ind w:left="720"/>
        <w:rPr>
          <w:lang w:val="en-GB"/>
        </w:rPr>
      </w:pPr>
      <w:r w:rsidRPr="005A3205">
        <w:rPr>
          <w:i/>
          <w:lang w:val="en"/>
        </w:rPr>
        <w:t xml:space="preserve">There is no good reason why </w:t>
      </w:r>
      <w:proofErr w:type="gramStart"/>
      <w:r w:rsidRPr="005A3205">
        <w:rPr>
          <w:i/>
          <w:lang w:val="en"/>
        </w:rPr>
        <w:t>every Australian university should not</w:t>
      </w:r>
      <w:proofErr w:type="gramEnd"/>
      <w:r w:rsidRPr="005A3205">
        <w:rPr>
          <w:i/>
          <w:lang w:val="en"/>
        </w:rPr>
        <w:t xml:space="preserve"> have a mental health policy and strategy and yet few do</w:t>
      </w:r>
      <w:r w:rsidR="005E2799">
        <w:rPr>
          <w:rStyle w:val="FootnoteReference"/>
          <w:lang w:val="en-GB"/>
        </w:rPr>
        <w:footnoteReference w:id="8"/>
      </w:r>
      <w:r w:rsidRPr="005A3205">
        <w:rPr>
          <w:i/>
          <w:lang w:val="en"/>
        </w:rPr>
        <w:t xml:space="preserve">. </w:t>
      </w:r>
    </w:p>
    <w:p w14:paraId="39C9B8FA" w14:textId="77777777" w:rsidR="0000215E" w:rsidRPr="00E4288D" w:rsidRDefault="00BD5416" w:rsidP="00E4288D">
      <w:pPr>
        <w:rPr>
          <w:lang w:val="en-GB"/>
        </w:rPr>
      </w:pPr>
      <w:r>
        <w:rPr>
          <w:lang w:val="en-GB"/>
        </w:rPr>
        <w:t>I</w:t>
      </w:r>
      <w:r w:rsidR="00A21D77">
        <w:rPr>
          <w:lang w:val="en-GB"/>
        </w:rPr>
        <w:t xml:space="preserve">nstitutions such </w:t>
      </w:r>
      <w:r w:rsidR="00605B0A">
        <w:rPr>
          <w:lang w:val="en-GB"/>
        </w:rPr>
        <w:t xml:space="preserve">as </w:t>
      </w:r>
      <w:r w:rsidR="002B1321">
        <w:rPr>
          <w:lang w:val="en-GB"/>
        </w:rPr>
        <w:t>T</w:t>
      </w:r>
      <w:r w:rsidR="0000215E">
        <w:rPr>
          <w:lang w:val="en-GB"/>
        </w:rPr>
        <w:t>he A</w:t>
      </w:r>
      <w:r w:rsidR="002B1321">
        <w:rPr>
          <w:lang w:val="en-GB"/>
        </w:rPr>
        <w:t>ustralian National University, T</w:t>
      </w:r>
      <w:r w:rsidR="0000215E">
        <w:rPr>
          <w:lang w:val="en-GB"/>
        </w:rPr>
        <w:t>he University of Melbourne and the University of Canberra</w:t>
      </w:r>
      <w:r w:rsidR="00A21D77">
        <w:rPr>
          <w:lang w:val="en-GB"/>
        </w:rPr>
        <w:t xml:space="preserve"> </w:t>
      </w:r>
      <w:r w:rsidR="005E2799">
        <w:rPr>
          <w:lang w:val="en-GB"/>
        </w:rPr>
        <w:t>already</w:t>
      </w:r>
      <w:r w:rsidR="00A21D77">
        <w:rPr>
          <w:lang w:val="en-GB"/>
        </w:rPr>
        <w:t xml:space="preserve"> have such </w:t>
      </w:r>
      <w:r>
        <w:rPr>
          <w:lang w:val="en-GB"/>
        </w:rPr>
        <w:t xml:space="preserve">mental health </w:t>
      </w:r>
      <w:r w:rsidR="00A21D77">
        <w:rPr>
          <w:lang w:val="en-GB"/>
        </w:rPr>
        <w:t>strategies. These strategies include</w:t>
      </w:r>
      <w:r w:rsidR="0000215E">
        <w:rPr>
          <w:lang w:val="en-GB"/>
        </w:rPr>
        <w:t xml:space="preserve"> </w:t>
      </w:r>
      <w:r w:rsidR="005E2799">
        <w:rPr>
          <w:lang w:val="en-GB"/>
        </w:rPr>
        <w:t xml:space="preserve">institutional approaches to mental health and wellbeing, assistance for students and staff and specific interventions for students and staff with mental health issues. </w:t>
      </w:r>
    </w:p>
    <w:p w14:paraId="0ACA1375" w14:textId="77777777" w:rsidR="000B7C82" w:rsidRPr="00C46AFE" w:rsidRDefault="002B5C60" w:rsidP="002B5C60">
      <w:pPr>
        <w:rPr>
          <w:lang w:val="en"/>
        </w:rPr>
      </w:pPr>
      <w:r w:rsidRPr="00C46AFE">
        <w:rPr>
          <w:lang w:val="en"/>
        </w:rPr>
        <w:t xml:space="preserve">The Panel </w:t>
      </w:r>
      <w:r w:rsidR="005E2799">
        <w:rPr>
          <w:lang w:val="en"/>
        </w:rPr>
        <w:t>considers this good practice and</w:t>
      </w:r>
      <w:r w:rsidR="00D24F2F">
        <w:rPr>
          <w:lang w:val="en"/>
        </w:rPr>
        <w:t>,</w:t>
      </w:r>
      <w:r w:rsidRPr="00C46AFE">
        <w:rPr>
          <w:lang w:val="en"/>
        </w:rPr>
        <w:t xml:space="preserve"> with such high rates of mental illness a</w:t>
      </w:r>
      <w:r w:rsidR="00FC38E4" w:rsidRPr="00C46AFE">
        <w:rPr>
          <w:lang w:val="en"/>
        </w:rPr>
        <w:t>ffecting higher education students</w:t>
      </w:r>
      <w:r w:rsidR="007D6721" w:rsidRPr="00C46AFE">
        <w:rPr>
          <w:lang w:val="en"/>
        </w:rPr>
        <w:t>,</w:t>
      </w:r>
      <w:r w:rsidR="00FC38E4" w:rsidRPr="00C46AFE">
        <w:rPr>
          <w:lang w:val="en"/>
        </w:rPr>
        <w:t xml:space="preserve"> </w:t>
      </w:r>
      <w:r w:rsidR="00E4288D">
        <w:t>as a first step</w:t>
      </w:r>
      <w:r w:rsidR="00D65FAE">
        <w:t>,</w:t>
      </w:r>
      <w:r w:rsidR="00E4288D">
        <w:t xml:space="preserve"> every </w:t>
      </w:r>
      <w:r w:rsidR="00B433A9" w:rsidRPr="00C46AFE">
        <w:t xml:space="preserve">higher education </w:t>
      </w:r>
      <w:r w:rsidR="00E4288D">
        <w:t>institution should have a mental health strategy and implementation plan</w:t>
      </w:r>
      <w:r w:rsidR="002F795A">
        <w:t xml:space="preserve">. </w:t>
      </w:r>
      <w:r w:rsidRPr="00C46AFE">
        <w:rPr>
          <w:lang w:val="en"/>
        </w:rPr>
        <w:t xml:space="preserve">  </w:t>
      </w:r>
    </w:p>
    <w:p w14:paraId="055931AB" w14:textId="77777777" w:rsidR="001F4AF0" w:rsidRDefault="00FA3F69" w:rsidP="00B433A9">
      <w:pPr>
        <w:pStyle w:val="Heading2"/>
      </w:pPr>
      <w:r w:rsidRPr="00FA3F69">
        <w:t>Nested courses</w:t>
      </w:r>
    </w:p>
    <w:p w14:paraId="49D32F82" w14:textId="5D7F828F" w:rsidR="00B433A9" w:rsidRPr="00B433A9" w:rsidRDefault="00B433A9" w:rsidP="00B433A9">
      <w:r>
        <w:t xml:space="preserve">As mentioned earlier, </w:t>
      </w:r>
      <w:r w:rsidRPr="00B433A9">
        <w:t>nested qualifications</w:t>
      </w:r>
      <w:r>
        <w:t xml:space="preserve"> </w:t>
      </w:r>
      <w:r w:rsidR="007B68B9">
        <w:t>refer</w:t>
      </w:r>
      <w:r>
        <w:t xml:space="preserve"> to when </w:t>
      </w:r>
      <w:r w:rsidRPr="00B433A9">
        <w:t>qualifications</w:t>
      </w:r>
      <w:r>
        <w:t>,</w:t>
      </w:r>
      <w:r w:rsidRPr="00B433A9">
        <w:t xml:space="preserve"> such as </w:t>
      </w:r>
      <w:r>
        <w:t xml:space="preserve">a diploma or associate degree, are </w:t>
      </w:r>
      <w:r w:rsidRPr="00B433A9">
        <w:t>set within a bachelor degree, with appropriate exit points</w:t>
      </w:r>
      <w:r>
        <w:t>.</w:t>
      </w:r>
      <w:r w:rsidRPr="00B433A9">
        <w:t xml:space="preserve"> The course need</w:t>
      </w:r>
      <w:r>
        <w:t>s</w:t>
      </w:r>
      <w:r w:rsidRPr="00B433A9">
        <w:t xml:space="preserve"> to </w:t>
      </w:r>
      <w:proofErr w:type="gramStart"/>
      <w:r w:rsidRPr="00B433A9">
        <w:t>be designed</w:t>
      </w:r>
      <w:proofErr w:type="gramEnd"/>
      <w:r w:rsidRPr="00B433A9">
        <w:t xml:space="preserve"> to ensure the integrity of each potential qualification. For example, if after one year, the student decided to retire from university with a one-year diploma, that diploma course would need to meet the requirements of the </w:t>
      </w:r>
      <w:r w:rsidR="00330C9B">
        <w:t xml:space="preserve">AQF </w:t>
      </w:r>
      <w:r w:rsidRPr="00B433A9">
        <w:t>and the Higher Education Standards Framework.</w:t>
      </w:r>
    </w:p>
    <w:p w14:paraId="45D26585" w14:textId="77777777" w:rsidR="001C24A4" w:rsidRDefault="00B23798" w:rsidP="00FA3F69">
      <w:r>
        <w:t xml:space="preserve">Many respondents were strongly supportive of </w:t>
      </w:r>
      <w:r w:rsidR="00FA3F69" w:rsidRPr="00FA3F69">
        <w:t xml:space="preserve">institutions increasingly offering nested courses to meet demands of learners who seek </w:t>
      </w:r>
      <w:proofErr w:type="gramStart"/>
      <w:r w:rsidR="00FA3F69" w:rsidRPr="00FA3F69">
        <w:t>more flexible arrangements</w:t>
      </w:r>
      <w:proofErr w:type="gramEnd"/>
      <w:r w:rsidR="00FA3F69" w:rsidRPr="00FA3F69">
        <w:t xml:space="preserve">. </w:t>
      </w:r>
      <w:r w:rsidR="001C24A4">
        <w:t>Western Sydney University stated in its submission:</w:t>
      </w:r>
    </w:p>
    <w:p w14:paraId="338D6A3F" w14:textId="77777777" w:rsidR="001C24A4" w:rsidRPr="001C24A4" w:rsidRDefault="001C24A4" w:rsidP="001C24A4">
      <w:pPr>
        <w:ind w:left="720"/>
        <w:rPr>
          <w:i/>
        </w:rPr>
      </w:pPr>
      <w:r w:rsidRPr="001C24A4">
        <w:rPr>
          <w:i/>
        </w:rPr>
        <w:t xml:space="preserve">There is nothing that prevents higher education provides from offering intermediate or nested qualifications and this should remain an option for higher education institutions. </w:t>
      </w:r>
    </w:p>
    <w:p w14:paraId="5331BEF0" w14:textId="77777777" w:rsidR="00FA3F69" w:rsidRPr="00FA3F69" w:rsidRDefault="00FA3F69" w:rsidP="00FA3F69">
      <w:r w:rsidRPr="00FA3F69">
        <w:t>Griffith Univers</w:t>
      </w:r>
      <w:r w:rsidR="00D65FAE">
        <w:t>ity noted the</w:t>
      </w:r>
      <w:r w:rsidR="001F4AF0">
        <w:t xml:space="preserve"> three-</w:t>
      </w:r>
      <w:r w:rsidRPr="00FA3F69">
        <w:t xml:space="preserve">year undergraduate degree model is under pressure from the growing array of digital learning products, offered by an ever expanding range of national and international providers (and employers). </w:t>
      </w:r>
      <w:r w:rsidR="00C46C09">
        <w:t>N</w:t>
      </w:r>
      <w:r w:rsidRPr="00FA3F69">
        <w:t>ested qualifications enhance the flexibility and accessibility of tertiary education.</w:t>
      </w:r>
    </w:p>
    <w:p w14:paraId="3676E50A" w14:textId="77777777" w:rsidR="00FA3F69" w:rsidRPr="00FA3F69" w:rsidRDefault="00B433A9" w:rsidP="00FA3F69">
      <w:r>
        <w:t>Some</w:t>
      </w:r>
      <w:r w:rsidR="00FA3F69" w:rsidRPr="00FA3F69">
        <w:t xml:space="preserve"> stakeholders noted the Government’</w:t>
      </w:r>
      <w:r w:rsidR="00605B0A">
        <w:t>s move to increase Commonwealth Supported P</w:t>
      </w:r>
      <w:r w:rsidR="00FA3F69" w:rsidRPr="00FA3F69">
        <w:t xml:space="preserve">laces in associate degree, advanced diploma and diploma </w:t>
      </w:r>
      <w:proofErr w:type="gramStart"/>
      <w:r w:rsidR="00FA3F69" w:rsidRPr="00FA3F69">
        <w:t>courses which</w:t>
      </w:r>
      <w:proofErr w:type="gramEnd"/>
      <w:r w:rsidR="00FA3F69" w:rsidRPr="00FA3F69">
        <w:t xml:space="preserve"> will improve the availability and diversity of p</w:t>
      </w:r>
      <w:r w:rsidR="00BA7D60">
        <w:t xml:space="preserve">athways into bachelor degrees. The Panel agrees and welcomes the Government’s approach to this issue.  </w:t>
      </w:r>
    </w:p>
    <w:p w14:paraId="0A3D8109" w14:textId="77777777" w:rsidR="004D7821" w:rsidRDefault="004D7821">
      <w:r>
        <w:br w:type="page"/>
      </w:r>
    </w:p>
    <w:p w14:paraId="748BE5EC" w14:textId="77777777" w:rsidR="00FA3F69" w:rsidRDefault="00FA3F69" w:rsidP="00FA3F69">
      <w:r w:rsidRPr="00FA3F69">
        <w:t>In its submission, Edith Cowan University n</w:t>
      </w:r>
      <w:r w:rsidR="001F4AF0">
        <w:t>oted student demand for opt-in</w:t>
      </w:r>
      <w:r w:rsidRPr="00FA3F69">
        <w:t xml:space="preserve"> nested courses (</w:t>
      </w:r>
      <w:r w:rsidR="001F4AF0">
        <w:t>for example,</w:t>
      </w:r>
      <w:r w:rsidRPr="00FA3F69">
        <w:t xml:space="preserve"> sub-bachelor courses that </w:t>
      </w:r>
      <w:r w:rsidR="007D6721">
        <w:t>articulate</w:t>
      </w:r>
      <w:r w:rsidRPr="00FA3F69">
        <w:t xml:space="preserve"> to bachelor degrees) has been limited due to the up-front costs. The</w:t>
      </w:r>
      <w:r w:rsidR="00DA5382">
        <w:t xml:space="preserve"> University stated that the</w:t>
      </w:r>
      <w:r w:rsidR="00605B0A">
        <w:t xml:space="preserve"> expansion of Commonwealth Supported P</w:t>
      </w:r>
      <w:r w:rsidRPr="00FA3F69">
        <w:t xml:space="preserve">laces to sub-bachelor courses </w:t>
      </w:r>
      <w:proofErr w:type="gramStart"/>
      <w:r w:rsidRPr="00FA3F69">
        <w:t>may</w:t>
      </w:r>
      <w:proofErr w:type="gramEnd"/>
      <w:r w:rsidRPr="00FA3F69">
        <w:t xml:space="preserve"> increase demand, </w:t>
      </w:r>
      <w:r w:rsidR="001F4AF0">
        <w:t>and therefore supply, for both opt-in and opt-out</w:t>
      </w:r>
      <w:r w:rsidRPr="00FA3F69">
        <w:t xml:space="preserve"> (alternative exit with a lower qualification) nested courses. </w:t>
      </w:r>
    </w:p>
    <w:p w14:paraId="36007CA8" w14:textId="77777777" w:rsidR="002B1044" w:rsidRPr="00FA3F69" w:rsidRDefault="002B1044" w:rsidP="00FA3F69">
      <w:r>
        <w:t>The University of Adelaide reflected on a working group which has been established at the University to explore matters relevant to its award program architecture and to consider the range of issues that are likely to arise in the context of the requirements of a 21</w:t>
      </w:r>
      <w:r w:rsidRPr="002B1044">
        <w:rPr>
          <w:vertAlign w:val="superscript"/>
        </w:rPr>
        <w:t>st</w:t>
      </w:r>
      <w:r>
        <w:t xml:space="preserve"> century education. Nested courses are a consideration of this working group. </w:t>
      </w:r>
    </w:p>
    <w:p w14:paraId="4BBAFE7D" w14:textId="5F5A7C1B" w:rsidR="00FA3F69" w:rsidRPr="00FA3F69" w:rsidRDefault="00FA3F69" w:rsidP="00FA3F69">
      <w:r w:rsidRPr="00FA3F69">
        <w:t>There were</w:t>
      </w:r>
      <w:r w:rsidR="002B1044">
        <w:t xml:space="preserve"> </w:t>
      </w:r>
      <w:r w:rsidRPr="00FA3F69">
        <w:t xml:space="preserve">some concerns about the limitations of nested courses across the qualifications spectrum. For instance, Universities Australia </w:t>
      </w:r>
      <w:r w:rsidR="00B23798">
        <w:t>argued that</w:t>
      </w:r>
      <w:r w:rsidRPr="00FA3F69">
        <w:t xml:space="preserve"> many of the more technical, </w:t>
      </w:r>
      <w:r w:rsidR="00E71D2A" w:rsidRPr="00FA3F69">
        <w:t>vocationally oriented</w:t>
      </w:r>
      <w:r w:rsidRPr="00FA3F69">
        <w:t xml:space="preserve"> courses, in particular, would have difficulty in nesting lower level qualifications within degree structures.</w:t>
      </w:r>
      <w:r w:rsidRPr="00FA3F69">
        <w:rPr>
          <w:i/>
        </w:rPr>
        <w:t xml:space="preserve"> </w:t>
      </w:r>
    </w:p>
    <w:p w14:paraId="5FC1E9DC" w14:textId="77777777" w:rsidR="00AE597C" w:rsidRDefault="00FA3F69" w:rsidP="00FA3F69">
      <w:r w:rsidRPr="00FA3F69">
        <w:t xml:space="preserve">The Panel </w:t>
      </w:r>
      <w:r w:rsidR="00B23798">
        <w:t xml:space="preserve">strongly supports the value of nested courses and it notes, however, the risks of the proliferation of meaningless qualifications if the courses </w:t>
      </w:r>
      <w:proofErr w:type="gramStart"/>
      <w:r w:rsidR="00B23798">
        <w:t>are not designed</w:t>
      </w:r>
      <w:proofErr w:type="gramEnd"/>
      <w:r w:rsidR="00B23798">
        <w:t xml:space="preserve"> with the AQF in mind.</w:t>
      </w:r>
      <w:r w:rsidR="00631C2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DBD2" w:themeFill="accent6" w:themeFillTint="33"/>
        <w:tblLook w:val="04A0" w:firstRow="1" w:lastRow="0" w:firstColumn="1" w:lastColumn="0" w:noHBand="0" w:noVBand="1"/>
      </w:tblPr>
      <w:tblGrid>
        <w:gridCol w:w="9026"/>
      </w:tblGrid>
      <w:tr w:rsidR="004A746F" w14:paraId="17BCF1DE" w14:textId="77777777" w:rsidTr="004A746F">
        <w:tc>
          <w:tcPr>
            <w:tcW w:w="9242" w:type="dxa"/>
            <w:shd w:val="clear" w:color="auto" w:fill="F1DBD2" w:themeFill="accent6" w:themeFillTint="33"/>
          </w:tcPr>
          <w:p w14:paraId="2D357EB4" w14:textId="77777777" w:rsidR="004A746F" w:rsidRPr="002B5C60" w:rsidRDefault="004A746F" w:rsidP="004A746F">
            <w:pPr>
              <w:rPr>
                <w:b/>
              </w:rPr>
            </w:pPr>
            <w:r w:rsidRPr="002B5C60">
              <w:rPr>
                <w:b/>
              </w:rPr>
              <w:t>Recommendations</w:t>
            </w:r>
          </w:p>
          <w:p w14:paraId="784A9ACD" w14:textId="77777777" w:rsidR="00AB27C9" w:rsidRDefault="00AB27C9" w:rsidP="00BD5416">
            <w:pPr>
              <w:pStyle w:val="ListParagraph"/>
              <w:numPr>
                <w:ilvl w:val="0"/>
                <w:numId w:val="28"/>
              </w:numPr>
            </w:pPr>
            <w:r w:rsidRPr="00AE597C">
              <w:t>E</w:t>
            </w:r>
            <w:r>
              <w:t>very</w:t>
            </w:r>
            <w:r w:rsidRPr="00AE597C">
              <w:t xml:space="preserve"> institution should have </w:t>
            </w:r>
            <w:r>
              <w:t xml:space="preserve">its own </w:t>
            </w:r>
            <w:r w:rsidRPr="00AE597C">
              <w:t>comprehensive</w:t>
            </w:r>
            <w:r>
              <w:t xml:space="preserve"> student-centred</w:t>
            </w:r>
            <w:r w:rsidRPr="00AE597C">
              <w:t xml:space="preserve"> retention strategy</w:t>
            </w:r>
            <w:r>
              <w:t xml:space="preserve">, which </w:t>
            </w:r>
            <w:proofErr w:type="gramStart"/>
            <w:r>
              <w:t>is regularly evaluated</w:t>
            </w:r>
            <w:proofErr w:type="gramEnd"/>
            <w:r>
              <w:t>. These strategies could</w:t>
            </w:r>
            <w:r w:rsidRPr="00AE597C">
              <w:t xml:space="preserve"> include institutional retention </w:t>
            </w:r>
            <w:r>
              <w:t>benchmarks and, as appropriate,</w:t>
            </w:r>
            <w:r w:rsidRPr="00AE597C">
              <w:t xml:space="preserve"> processes for entry </w:t>
            </w:r>
            <w:r>
              <w:t xml:space="preserve">and exit interviews, the integration of </w:t>
            </w:r>
            <w:proofErr w:type="gramStart"/>
            <w:r>
              <w:t>data-based</w:t>
            </w:r>
            <w:proofErr w:type="gramEnd"/>
            <w:r>
              <w:t xml:space="preserve"> risk analytics and targeted support interventions, a suite of support services and a means to re-engage with students who have withdrawn. </w:t>
            </w:r>
          </w:p>
          <w:p w14:paraId="61219B63" w14:textId="77777777" w:rsidR="00AB27C9" w:rsidRPr="00AE691D" w:rsidRDefault="00AB27C9" w:rsidP="00BD5416">
            <w:pPr>
              <w:pStyle w:val="ListParagraph"/>
              <w:numPr>
                <w:ilvl w:val="0"/>
                <w:numId w:val="28"/>
              </w:numPr>
            </w:pPr>
            <w:r>
              <w:t>Institutions should automatically review the enrolment of all students who have not engaged in their studies to an agreed level by the census date.</w:t>
            </w:r>
          </w:p>
          <w:p w14:paraId="61531AFA" w14:textId="2F4356FA" w:rsidR="00AB27C9" w:rsidRDefault="00AB27C9" w:rsidP="00BD5416">
            <w:pPr>
              <w:pStyle w:val="ListParagraph"/>
              <w:numPr>
                <w:ilvl w:val="0"/>
                <w:numId w:val="28"/>
              </w:numPr>
            </w:pPr>
            <w:r w:rsidRPr="00AE691D">
              <w:t xml:space="preserve">Institutions should </w:t>
            </w:r>
            <w:r>
              <w:t xml:space="preserve">pay particular attention to ensuring their support services are meeting the needs of external students who are not regularly attending campus because these students </w:t>
            </w:r>
            <w:proofErr w:type="gramStart"/>
            <w:r>
              <w:t>are identified</w:t>
            </w:r>
            <w:proofErr w:type="gramEnd"/>
            <w:r>
              <w:t xml:space="preserve"> as at risk of not completing their studies. </w:t>
            </w:r>
          </w:p>
          <w:p w14:paraId="4C3EC5E1" w14:textId="77777777" w:rsidR="00AB27C9" w:rsidRDefault="00AB27C9" w:rsidP="00BD5416">
            <w:pPr>
              <w:pStyle w:val="ListParagraph"/>
              <w:numPr>
                <w:ilvl w:val="0"/>
                <w:numId w:val="28"/>
              </w:numPr>
            </w:pPr>
            <w:r>
              <w:t xml:space="preserve">Every institution should have an institution-wide mental health strategy and implementation plan. </w:t>
            </w:r>
          </w:p>
          <w:p w14:paraId="1F3A3982" w14:textId="77777777" w:rsidR="004A746F" w:rsidRPr="002B5C60" w:rsidRDefault="00AB27C9" w:rsidP="00BD5416">
            <w:pPr>
              <w:pStyle w:val="ListParagraph"/>
              <w:numPr>
                <w:ilvl w:val="0"/>
                <w:numId w:val="28"/>
              </w:numPr>
            </w:pPr>
            <w:r w:rsidRPr="00AE691D">
              <w:t>Institutions should increasingly offer nested courses</w:t>
            </w:r>
            <w:r>
              <w:t>,</w:t>
            </w:r>
            <w:r w:rsidRPr="00AE691D">
              <w:t xml:space="preserve"> which are appropriate and co</w:t>
            </w:r>
            <w:r>
              <w:t>mpliant</w:t>
            </w:r>
            <w:r w:rsidRPr="00AE691D">
              <w:t xml:space="preserve"> with the Austr</w:t>
            </w:r>
            <w:r>
              <w:t>alian Qualifications Framework, to provide students with a greater range of exit options with meaningful qualifications.</w:t>
            </w:r>
          </w:p>
        </w:tc>
      </w:tr>
    </w:tbl>
    <w:p w14:paraId="4697899F" w14:textId="77777777" w:rsidR="001F4AF0" w:rsidRDefault="001F4AF0" w:rsidP="001F4AF0">
      <w:pPr>
        <w:rPr>
          <w:rFonts w:ascii="Calibri" w:eastAsiaTheme="majorEastAsia" w:hAnsi="Calibri" w:cstheme="majorBidi"/>
          <w:color w:val="522761"/>
          <w:sz w:val="36"/>
          <w:szCs w:val="28"/>
        </w:rPr>
      </w:pPr>
      <w:bookmarkStart w:id="16" w:name="_Toc488181513"/>
      <w:bookmarkEnd w:id="15"/>
      <w:r>
        <w:br w:type="page"/>
      </w:r>
    </w:p>
    <w:p w14:paraId="3E87668A" w14:textId="77777777" w:rsidR="000B7C82" w:rsidRPr="00D30E4C" w:rsidRDefault="008F3767" w:rsidP="000B7C82">
      <w:pPr>
        <w:pStyle w:val="Heading1"/>
      </w:pPr>
      <w:bookmarkStart w:id="17" w:name="_Toc516120033"/>
      <w:r>
        <w:t>Sharing</w:t>
      </w:r>
      <w:r w:rsidR="000B7C82" w:rsidRPr="00D30E4C">
        <w:t xml:space="preserve"> best practice</w:t>
      </w:r>
      <w:bookmarkEnd w:id="16"/>
      <w:bookmarkEnd w:id="17"/>
    </w:p>
    <w:p w14:paraId="6B758470" w14:textId="77777777" w:rsidR="00C1193C" w:rsidRDefault="0057636A" w:rsidP="0057636A">
      <w:r w:rsidRPr="0057636A">
        <w:t xml:space="preserve">The Panel’s discussion paper and the ensuing consultation process highlighted the enormous amount of research and work </w:t>
      </w:r>
      <w:proofErr w:type="gramStart"/>
      <w:r w:rsidRPr="0057636A">
        <w:t>being undertaken</w:t>
      </w:r>
      <w:proofErr w:type="gramEnd"/>
      <w:r w:rsidRPr="0057636A">
        <w:t xml:space="preserve"> in the areas of student suc</w:t>
      </w:r>
      <w:r w:rsidR="00C80AA0">
        <w:t xml:space="preserve">cess, retention and completion. </w:t>
      </w:r>
      <w:r w:rsidR="00C1193C">
        <w:t xml:space="preserve">The Panel noted the various ways the sector appears to be sharing best practice such as </w:t>
      </w:r>
      <w:r w:rsidR="00C1193C" w:rsidRPr="008C1F05">
        <w:t>STARS</w:t>
      </w:r>
      <w:r w:rsidR="00A73AE9">
        <w:t xml:space="preserve"> (Students Transitions Achievement Retention and Success)</w:t>
      </w:r>
      <w:r w:rsidR="002B1321">
        <w:t xml:space="preserve"> Network</w:t>
      </w:r>
      <w:r w:rsidR="00C1193C" w:rsidRPr="008C1F05">
        <w:t>, teaching and learning conferences</w:t>
      </w:r>
      <w:r w:rsidR="002B483C">
        <w:t xml:space="preserve"> and</w:t>
      </w:r>
      <w:r w:rsidR="00C1193C" w:rsidRPr="008C1F05">
        <w:t xml:space="preserve"> forums and workshops</w:t>
      </w:r>
      <w:r w:rsidR="00A73AE9">
        <w:t>, but sought ideas on other initiatives to share best practice.</w:t>
      </w:r>
    </w:p>
    <w:p w14:paraId="1666A165" w14:textId="77777777" w:rsidR="00EA617A" w:rsidRDefault="00B23798" w:rsidP="007E28A9">
      <w:r>
        <w:t xml:space="preserve">Respondents </w:t>
      </w:r>
      <w:r w:rsidR="006E039B">
        <w:t xml:space="preserve">from both </w:t>
      </w:r>
      <w:r w:rsidR="00764739">
        <w:t xml:space="preserve">the </w:t>
      </w:r>
      <w:r w:rsidR="006E039B">
        <w:t>universi</w:t>
      </w:r>
      <w:r w:rsidR="00764739">
        <w:t>ty</w:t>
      </w:r>
      <w:r w:rsidR="00525FBC">
        <w:t xml:space="preserve"> and NUHEP</w:t>
      </w:r>
      <w:r w:rsidR="00A73AE9">
        <w:t xml:space="preserve"> </w:t>
      </w:r>
      <w:r w:rsidR="00764739">
        <w:t xml:space="preserve">sectors </w:t>
      </w:r>
      <w:r w:rsidR="00A73AE9">
        <w:t>referred to privately run conferences</w:t>
      </w:r>
      <w:r w:rsidR="007E28A9">
        <w:t xml:space="preserve"> that are a f</w:t>
      </w:r>
      <w:r w:rsidR="007D6721">
        <w:t xml:space="preserve">orum for sharing best practice, however, </w:t>
      </w:r>
      <w:r w:rsidR="007E28A9">
        <w:t>noted that because of the high cost o</w:t>
      </w:r>
      <w:r w:rsidR="00764739">
        <w:t>f attending these conferences, staff</w:t>
      </w:r>
      <w:r w:rsidR="007E28A9">
        <w:t xml:space="preserve"> attendance is becoming less frequent and less plausible. </w:t>
      </w:r>
    </w:p>
    <w:p w14:paraId="7A4A57F6" w14:textId="77777777" w:rsidR="00764739" w:rsidRPr="000312F6" w:rsidRDefault="00764739" w:rsidP="00764739">
      <w:r w:rsidRPr="00C80AA0">
        <w:t>Some stakeholders explained how they were already sharing best practice. For instance</w:t>
      </w:r>
      <w:r>
        <w:t>,</w:t>
      </w:r>
      <w:r w:rsidRPr="00C80AA0">
        <w:t xml:space="preserve"> the Innovative Research Universities has developed the National Innovation Case Study Collection</w:t>
      </w:r>
      <w:r w:rsidRPr="00525FBC">
        <w:rPr>
          <w:rStyle w:val="FootnoteReference"/>
        </w:rPr>
        <w:footnoteReference w:id="9"/>
      </w:r>
      <w:r w:rsidR="005E7CFC">
        <w:t>,</w:t>
      </w:r>
      <w:r w:rsidRPr="00525FBC">
        <w:t xml:space="preserve"> </w:t>
      </w:r>
      <w:r w:rsidRPr="00C1193C">
        <w:t>which</w:t>
      </w:r>
      <w:r>
        <w:rPr>
          <w:i/>
        </w:rPr>
        <w:t xml:space="preserve"> </w:t>
      </w:r>
      <w:r w:rsidRPr="00C80AA0">
        <w:t>profiles over 100 exemplars of innovative practices supporting student and graduate success. This public collection profiles work from within the I</w:t>
      </w:r>
      <w:r w:rsidR="002B1321">
        <w:t>nnovative Research Universities’ members</w:t>
      </w:r>
      <w:r w:rsidRPr="00C80AA0">
        <w:t xml:space="preserve"> but welcomes contributions from all institutions.</w:t>
      </w:r>
      <w:r w:rsidRPr="000312F6">
        <w:t xml:space="preserve"> The Australian </w:t>
      </w:r>
      <w:r>
        <w:t>Learning and Teaching Fellows’ N</w:t>
      </w:r>
      <w:r w:rsidRPr="000312F6">
        <w:t>etwork</w:t>
      </w:r>
      <w:r w:rsidR="007D6721">
        <w:t xml:space="preserve"> </w:t>
      </w:r>
      <w:r>
        <w:t xml:space="preserve">established in </w:t>
      </w:r>
      <w:r w:rsidRPr="000312F6">
        <w:t xml:space="preserve">2011 comprises over 100 scholars </w:t>
      </w:r>
      <w:r>
        <w:t xml:space="preserve">across Australia who share best practice on effective ways </w:t>
      </w:r>
      <w:r w:rsidRPr="000312F6">
        <w:t>to promote and sustain effective learning and teaching in Australi</w:t>
      </w:r>
      <w:r>
        <w:t>an higher education.</w:t>
      </w:r>
    </w:p>
    <w:p w14:paraId="111D6205" w14:textId="77777777" w:rsidR="007E28A9" w:rsidRDefault="007E28A9" w:rsidP="007E28A9">
      <w:r>
        <w:t xml:space="preserve">Many stakeholders drew attention to </w:t>
      </w:r>
      <w:r w:rsidRPr="0057636A">
        <w:t>Universities Australia’s new role as the curator of the digital library of learning and teaching resources developed by the Office for Learning and Teaching and its predecessors</w:t>
      </w:r>
      <w:r>
        <w:t xml:space="preserve">, and suggested </w:t>
      </w:r>
      <w:r w:rsidR="00605B0A">
        <w:t>its</w:t>
      </w:r>
      <w:r>
        <w:t xml:space="preserve"> role </w:t>
      </w:r>
      <w:proofErr w:type="gramStart"/>
      <w:r>
        <w:t>could be expanded</w:t>
      </w:r>
      <w:proofErr w:type="gramEnd"/>
      <w:r>
        <w:t xml:space="preserve"> to become a wider clearinghouse of relevant, easily accessible best practice information</w:t>
      </w:r>
      <w:r w:rsidRPr="007E28A9">
        <w:t xml:space="preserve"> </w:t>
      </w:r>
      <w:r>
        <w:t>for higher education</w:t>
      </w:r>
      <w:r w:rsidRPr="0057636A">
        <w:t xml:space="preserve"> r</w:t>
      </w:r>
      <w:r w:rsidR="00504103">
        <w:t xml:space="preserve">esearchers and practitioners. </w:t>
      </w:r>
      <w:r w:rsidR="00EB3E17">
        <w:t xml:space="preserve">The </w:t>
      </w:r>
      <w:r w:rsidR="00EB3E17" w:rsidRPr="004A0569">
        <w:rPr>
          <w:rFonts w:ascii="Calibri" w:hAnsi="Calibri" w:cs="Times New Roman"/>
          <w:color w:val="000000"/>
          <w:lang w:eastAsia="en-GB"/>
        </w:rPr>
        <w:t>Regional Universities Network</w:t>
      </w:r>
      <w:r w:rsidR="00EB3E17">
        <w:rPr>
          <w:rFonts w:ascii="Calibri" w:hAnsi="Calibri" w:cs="Times New Roman"/>
          <w:color w:val="000000"/>
          <w:lang w:eastAsia="en-GB"/>
        </w:rPr>
        <w:t xml:space="preserve"> stated:</w:t>
      </w:r>
    </w:p>
    <w:p w14:paraId="2F4611CA" w14:textId="77777777" w:rsidR="007E28A9" w:rsidRDefault="007E28A9" w:rsidP="007E28A9">
      <w:pPr>
        <w:ind w:left="720"/>
        <w:rPr>
          <w:rFonts w:ascii="Calibri" w:hAnsi="Calibri" w:cs="Times New Roman"/>
          <w:color w:val="000000"/>
          <w:lang w:eastAsia="en-GB"/>
        </w:rPr>
      </w:pPr>
      <w:r w:rsidRPr="007E28A9">
        <w:rPr>
          <w:i/>
        </w:rPr>
        <w:t>I</w:t>
      </w:r>
      <w:r w:rsidRPr="007E28A9">
        <w:rPr>
          <w:rFonts w:ascii="Calibri" w:hAnsi="Calibri" w:cs="Times New Roman"/>
          <w:i/>
          <w:color w:val="000000"/>
          <w:lang w:eastAsia="en-GB"/>
        </w:rPr>
        <w:t>t w</w:t>
      </w:r>
      <w:r w:rsidRPr="004A0569">
        <w:rPr>
          <w:rFonts w:ascii="Calibri" w:hAnsi="Calibri" w:cs="Times New Roman"/>
          <w:i/>
          <w:color w:val="000000"/>
          <w:lang w:eastAsia="en-GB"/>
        </w:rPr>
        <w:t xml:space="preserve">ould be a very positive move if UA (via HES) continued to grow opportunities for professional and collegial sharing in an effort to reduce the impact of very expensive corporate conferences that regularly use the intellectual work of sector leaders to attract participants. Government-funded work is a regular feature of these conferences, the cost of which is prohibitive to many universities. </w:t>
      </w:r>
    </w:p>
    <w:p w14:paraId="16E4749A" w14:textId="77777777" w:rsidR="00F6249B" w:rsidRDefault="00F6249B">
      <w:pPr>
        <w:rPr>
          <w:lang w:eastAsia="en-GB"/>
        </w:rPr>
      </w:pPr>
      <w:r>
        <w:rPr>
          <w:lang w:eastAsia="en-GB"/>
        </w:rPr>
        <w:br w:type="page"/>
      </w:r>
    </w:p>
    <w:p w14:paraId="2E254029" w14:textId="65F58461" w:rsidR="00EB3E17" w:rsidRDefault="00EB3E17" w:rsidP="00EB3E17">
      <w:pPr>
        <w:rPr>
          <w:i/>
          <w:lang w:eastAsia="en-GB"/>
        </w:rPr>
      </w:pPr>
      <w:r>
        <w:rPr>
          <w:lang w:eastAsia="en-GB"/>
        </w:rPr>
        <w:t>Queensland University of Technology stated:</w:t>
      </w:r>
    </w:p>
    <w:p w14:paraId="661B2D33" w14:textId="77777777" w:rsidR="000312F6" w:rsidRPr="00931372" w:rsidRDefault="000312F6" w:rsidP="000312F6">
      <w:pPr>
        <w:ind w:left="720"/>
        <w:rPr>
          <w:lang w:eastAsia="en-GB"/>
        </w:rPr>
      </w:pPr>
      <w:r w:rsidRPr="00931372">
        <w:rPr>
          <w:i/>
          <w:lang w:eastAsia="en-GB"/>
        </w:rPr>
        <w:t xml:space="preserve">A single centralised repository for sharing data and outcomes of projects could be useful, possibly hosted by Universities Australia as part of their data responsibilities. Such centralised warehousing of practice has a mixed history of success, and lessons would need to </w:t>
      </w:r>
      <w:proofErr w:type="gramStart"/>
      <w:r w:rsidRPr="00931372">
        <w:rPr>
          <w:i/>
          <w:lang w:eastAsia="en-GB"/>
        </w:rPr>
        <w:t>be learned</w:t>
      </w:r>
      <w:proofErr w:type="gramEnd"/>
      <w:r w:rsidRPr="00931372">
        <w:rPr>
          <w:i/>
          <w:lang w:eastAsia="en-GB"/>
        </w:rPr>
        <w:t xml:space="preserve"> from past efforts. We note that the HEA in the UK is a good example of a centralised institution leading community collaboration across the sector. It leads best practice development, identifying key priorities each year in consultation with the sector and widely disseminating outcomes. It has broad support because stakeholders have a voice through their engagement in awards, grants and fellowship activities.</w:t>
      </w:r>
      <w:r>
        <w:rPr>
          <w:lang w:eastAsia="en-GB"/>
        </w:rPr>
        <w:t xml:space="preserve"> </w:t>
      </w:r>
    </w:p>
    <w:p w14:paraId="3BA1E23B" w14:textId="77777777" w:rsidR="00EA617A" w:rsidRDefault="00EA617A" w:rsidP="00C80AA0">
      <w:r>
        <w:t xml:space="preserve">Griffith University suggested the proposed reporting requirements for </w:t>
      </w:r>
      <w:r w:rsidR="00FA2D2A">
        <w:t xml:space="preserve">the </w:t>
      </w:r>
      <w:r>
        <w:t>HEPPP projects should ensure that evaluations of HEPPP funded student success projects are publically available</w:t>
      </w:r>
      <w:r w:rsidR="005E7CFC">
        <w:t xml:space="preserve"> and t</w:t>
      </w:r>
      <w:r>
        <w:t xml:space="preserve">he National Centre for Student Equity in Higher Education proposed there be a project to undertake the compilation and presentation of a register for student completion programs. </w:t>
      </w:r>
    </w:p>
    <w:p w14:paraId="4C70D011" w14:textId="77777777" w:rsidR="00655561" w:rsidRPr="00655561" w:rsidRDefault="00655561" w:rsidP="00655561">
      <w:r w:rsidRPr="00655561">
        <w:t xml:space="preserve">In response to the </w:t>
      </w:r>
      <w:r>
        <w:t>recent</w:t>
      </w:r>
      <w:r w:rsidRPr="00655561">
        <w:t xml:space="preserve"> evaluation</w:t>
      </w:r>
      <w:r w:rsidR="007D6721">
        <w:t xml:space="preserve"> of the HEPPP,</w:t>
      </w:r>
      <w:r w:rsidRPr="00655561">
        <w:t xml:space="preserve"> </w:t>
      </w:r>
      <w:r>
        <w:t>Minister Birmingham</w:t>
      </w:r>
      <w:r w:rsidRPr="00655561">
        <w:t xml:space="preserve"> approved some</w:t>
      </w:r>
      <w:r w:rsidR="00FA2D2A">
        <w:t xml:space="preserve"> projects under the 2017 HEPPP National Priorities P</w:t>
      </w:r>
      <w:r w:rsidRPr="00655561">
        <w:t>ool component that address these issues. They include:</w:t>
      </w:r>
    </w:p>
    <w:p w14:paraId="1EEB05D4" w14:textId="77777777" w:rsidR="00655561" w:rsidRPr="00655561" w:rsidRDefault="00655561" w:rsidP="00655561">
      <w:pPr>
        <w:numPr>
          <w:ilvl w:val="0"/>
          <w:numId w:val="7"/>
        </w:numPr>
        <w:contextualSpacing/>
      </w:pPr>
      <w:r w:rsidRPr="00655561">
        <w:t>publish</w:t>
      </w:r>
      <w:r w:rsidR="00605B0A">
        <w:t>ing</w:t>
      </w:r>
      <w:r w:rsidRPr="00655561">
        <w:t xml:space="preserve"> existing </w:t>
      </w:r>
      <w:r w:rsidR="00EB3E17">
        <w:t>HEPPP N</w:t>
      </w:r>
      <w:r w:rsidRPr="00655561">
        <w:t>ational Priorities Pool research reports, extract</w:t>
      </w:r>
      <w:r w:rsidR="00605B0A">
        <w:t>ing</w:t>
      </w:r>
      <w:r w:rsidRPr="00655561">
        <w:t xml:space="preserve"> key findin</w:t>
      </w:r>
      <w:r w:rsidR="00605B0A">
        <w:t>gs and recommendations and placing</w:t>
      </w:r>
      <w:r w:rsidRPr="00655561">
        <w:t xml:space="preserve"> them in </w:t>
      </w:r>
      <w:r w:rsidR="00605B0A">
        <w:t xml:space="preserve">a </w:t>
      </w:r>
      <w:r w:rsidRPr="00655561">
        <w:t>searchable format on the department’s website</w:t>
      </w:r>
    </w:p>
    <w:p w14:paraId="394B4DD7" w14:textId="77777777" w:rsidR="00655561" w:rsidRPr="00655561" w:rsidRDefault="00655561" w:rsidP="00655561">
      <w:pPr>
        <w:numPr>
          <w:ilvl w:val="0"/>
          <w:numId w:val="7"/>
        </w:numPr>
        <w:contextualSpacing/>
      </w:pPr>
      <w:proofErr w:type="gramStart"/>
      <w:r w:rsidRPr="00655561">
        <w:t>developing</w:t>
      </w:r>
      <w:proofErr w:type="gramEnd"/>
      <w:r w:rsidRPr="00655561">
        <w:t xml:space="preserve"> a national HEPPP evaluation framework to structure and guide overall evaluation of the HEPPP, as well as quality improvement and impact evaluations of HEPPP funded activities. The evaluation framework will support the development of an evidence base to establish the impact of HEPPP-funded equity interventions, and ensure that these outcomes are disseminated to the sector</w:t>
      </w:r>
    </w:p>
    <w:p w14:paraId="18F5F0F2" w14:textId="77777777" w:rsidR="00655561" w:rsidRPr="00655561" w:rsidRDefault="00655561" w:rsidP="00655561">
      <w:pPr>
        <w:numPr>
          <w:ilvl w:val="0"/>
          <w:numId w:val="7"/>
        </w:numPr>
        <w:contextualSpacing/>
      </w:pPr>
      <w:proofErr w:type="gramStart"/>
      <w:r w:rsidRPr="00655561">
        <w:t>establishing</w:t>
      </w:r>
      <w:proofErr w:type="gramEnd"/>
      <w:r w:rsidRPr="00655561">
        <w:t xml:space="preserve"> an Equity Research and Innovation Panel to support the development of a strategic program of integrated equity research and trials that addresses gaps in knowledge necessary to identify best practice and assess its efficacy into the future. </w:t>
      </w:r>
    </w:p>
    <w:p w14:paraId="2E294477" w14:textId="77777777" w:rsidR="00DB1BDC" w:rsidRDefault="00DB1BDC" w:rsidP="00DB1BDC">
      <w:pPr>
        <w:ind w:left="720"/>
        <w:contextualSpacing/>
      </w:pPr>
    </w:p>
    <w:p w14:paraId="003446D3" w14:textId="77777777" w:rsidR="00816CB0" w:rsidRDefault="000312F6" w:rsidP="000B7C82">
      <w:r>
        <w:t xml:space="preserve">Despite the enthusiasm displayed by stakeholders about </w:t>
      </w:r>
      <w:r w:rsidR="00274934">
        <w:t xml:space="preserve">ways to share </w:t>
      </w:r>
      <w:r>
        <w:t xml:space="preserve">best practice, some </w:t>
      </w:r>
      <w:r w:rsidR="008246F6">
        <w:t>respondents</w:t>
      </w:r>
      <w:r>
        <w:t xml:space="preserve"> did note the</w:t>
      </w:r>
      <w:r w:rsidR="000B7C82" w:rsidRPr="00FC1030">
        <w:t xml:space="preserve"> </w:t>
      </w:r>
      <w:r>
        <w:t xml:space="preserve">complexities of assessing best practice and </w:t>
      </w:r>
      <w:r w:rsidR="000B7C82" w:rsidRPr="00FC1030">
        <w:t>what works at on</w:t>
      </w:r>
      <w:r>
        <w:t xml:space="preserve">e institution or for one cohort, even within a single institution, </w:t>
      </w:r>
      <w:r w:rsidR="000B7C82" w:rsidRPr="00FC1030">
        <w:t xml:space="preserve">might not work for another. </w:t>
      </w:r>
    </w:p>
    <w:p w14:paraId="708DCBF7" w14:textId="77777777" w:rsidR="000B7C82" w:rsidRPr="00931372" w:rsidRDefault="00816CB0" w:rsidP="000B7C82">
      <w:r>
        <w:t xml:space="preserve">The University of Adelaide pointed out that institutions need to work to ensure rigorous evaluation is </w:t>
      </w:r>
      <w:r w:rsidRPr="008D00FE">
        <w:t>undertaken and to share these results across the sector to establish a common understanding of</w:t>
      </w:r>
      <w:r w:rsidR="001D657F" w:rsidRPr="008D00FE">
        <w:t xml:space="preserve"> best practice and</w:t>
      </w:r>
      <w:r w:rsidR="004D7821" w:rsidRPr="008D00FE">
        <w:t xml:space="preserve"> to</w:t>
      </w:r>
      <w:r w:rsidR="001D657F" w:rsidRPr="008D00FE">
        <w:t xml:space="preserve"> generate</w:t>
      </w:r>
      <w:r>
        <w:t xml:space="preserve"> new ideas and approaches in </w:t>
      </w:r>
      <w:r w:rsidR="00605B0A">
        <w:t>the</w:t>
      </w:r>
      <w:r>
        <w:t xml:space="preserve"> development and execution of student support strategies.</w:t>
      </w:r>
    </w:p>
    <w:p w14:paraId="0AD6AF3B" w14:textId="1D86D6B7" w:rsidR="006E039B" w:rsidRDefault="000B7C82" w:rsidP="006E039B">
      <w:r w:rsidRPr="00FC1030">
        <w:t xml:space="preserve">The Panel </w:t>
      </w:r>
      <w:r w:rsidR="006E039B">
        <w:t>believes sharing best practice across the higher education sector to be an important element in improving student success and retention</w:t>
      </w:r>
      <w:r w:rsidR="001D657F">
        <w:t>.</w:t>
      </w:r>
      <w:r w:rsidR="006E039B">
        <w:t xml:space="preserve"> </w:t>
      </w:r>
      <w:r w:rsidR="00274934">
        <w:t>The Panel</w:t>
      </w:r>
      <w:r w:rsidR="006E039B">
        <w:t xml:space="preserve"> recommends that peak bodies from across the sector </w:t>
      </w:r>
      <w:r w:rsidR="000F01F9">
        <w:t xml:space="preserve">should </w:t>
      </w:r>
      <w:r w:rsidR="006E039B">
        <w:t xml:space="preserve">collaborate to </w:t>
      </w:r>
      <w:r w:rsidR="00274934">
        <w:t xml:space="preserve">develop </w:t>
      </w:r>
      <w:r w:rsidR="006E039B">
        <w:t xml:space="preserve">innovative </w:t>
      </w:r>
      <w:r w:rsidR="006E039B" w:rsidRPr="00FC1030">
        <w:t xml:space="preserve">streamlined processes to </w:t>
      </w:r>
      <w:r w:rsidR="008246F6">
        <w:t>share</w:t>
      </w:r>
      <w:r w:rsidR="006E039B" w:rsidRPr="00FC1030">
        <w:t xml:space="preserve"> best practice. </w:t>
      </w:r>
      <w:r w:rsidR="001D657F">
        <w:t xml:space="preserve">The Panel envisages support from the department for this exercise and proposes a dedicated website </w:t>
      </w:r>
      <w:proofErr w:type="gramStart"/>
      <w:r w:rsidR="001D657F">
        <w:t>be established</w:t>
      </w:r>
      <w:proofErr w:type="gramEnd"/>
      <w:r w:rsidR="001D657F">
        <w:t xml:space="preserve"> to consolidate and share the best practice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DBD2" w:themeFill="accent6" w:themeFillTint="33"/>
        <w:tblLook w:val="04A0" w:firstRow="1" w:lastRow="0" w:firstColumn="1" w:lastColumn="0" w:noHBand="0" w:noVBand="1"/>
      </w:tblPr>
      <w:tblGrid>
        <w:gridCol w:w="9026"/>
      </w:tblGrid>
      <w:tr w:rsidR="004A746F" w14:paraId="050FC7F4" w14:textId="77777777" w:rsidTr="004A746F">
        <w:tc>
          <w:tcPr>
            <w:tcW w:w="9242" w:type="dxa"/>
            <w:shd w:val="clear" w:color="auto" w:fill="F1DBD2" w:themeFill="accent6" w:themeFillTint="33"/>
          </w:tcPr>
          <w:p w14:paraId="690D2CE5" w14:textId="77777777" w:rsidR="004A746F" w:rsidRPr="004A746F" w:rsidRDefault="004A746F" w:rsidP="004A746F">
            <w:pPr>
              <w:rPr>
                <w:b/>
              </w:rPr>
            </w:pPr>
            <w:r w:rsidRPr="004A746F">
              <w:rPr>
                <w:b/>
              </w:rPr>
              <w:t>Recommendations</w:t>
            </w:r>
          </w:p>
          <w:p w14:paraId="39802B74" w14:textId="09E836A9" w:rsidR="004A746F" w:rsidRDefault="00AB27C9" w:rsidP="000F01F9">
            <w:pPr>
              <w:pStyle w:val="ListParagraph"/>
              <w:numPr>
                <w:ilvl w:val="0"/>
                <w:numId w:val="28"/>
              </w:numPr>
            </w:pPr>
            <w:r>
              <w:t xml:space="preserve">There </w:t>
            </w:r>
            <w:r w:rsidR="00E71D2A">
              <w:t>is already a wide variety</w:t>
            </w:r>
            <w:r>
              <w:t xml:space="preserve"> of approaches to sharing best practice within the higher education sector. However, these approaches are not always scalable or frequently evaluated. </w:t>
            </w:r>
            <w:r w:rsidR="000F01F9">
              <w:t>P</w:t>
            </w:r>
            <w:r>
              <w:t xml:space="preserve">eak bodies should collaborate to develop </w:t>
            </w:r>
            <w:r w:rsidRPr="00FC1030">
              <w:t>streamlined processes to collect and disseminate best practice</w:t>
            </w:r>
            <w:r>
              <w:t>, with support from the Department of Education and Training</w:t>
            </w:r>
            <w:r w:rsidRPr="00FC1030">
              <w:t>.</w:t>
            </w:r>
            <w:r>
              <w:t xml:space="preserve"> A dedicated website </w:t>
            </w:r>
            <w:proofErr w:type="gramStart"/>
            <w:r>
              <w:t>could be established</w:t>
            </w:r>
            <w:proofErr w:type="gramEnd"/>
            <w:r>
              <w:t xml:space="preserve"> for this purpose. </w:t>
            </w:r>
            <w:r w:rsidRPr="00FC1030">
              <w:t xml:space="preserve"> </w:t>
            </w:r>
          </w:p>
        </w:tc>
      </w:tr>
    </w:tbl>
    <w:p w14:paraId="3901504B" w14:textId="77777777" w:rsidR="000F01F9" w:rsidRDefault="000F01F9" w:rsidP="000B7C82">
      <w:pPr>
        <w:pStyle w:val="Heading1"/>
      </w:pPr>
      <w:bookmarkStart w:id="18" w:name="_Toc488181514"/>
    </w:p>
    <w:p w14:paraId="436D5AC7" w14:textId="77777777" w:rsidR="00F6249B" w:rsidRDefault="00F6249B">
      <w:pPr>
        <w:rPr>
          <w:rFonts w:ascii="Calibri" w:eastAsiaTheme="majorEastAsia" w:hAnsi="Calibri" w:cstheme="majorBidi"/>
          <w:b/>
          <w:bCs/>
          <w:color w:val="522761"/>
          <w:sz w:val="36"/>
          <w:szCs w:val="28"/>
        </w:rPr>
      </w:pPr>
      <w:r>
        <w:br w:type="page"/>
      </w:r>
    </w:p>
    <w:p w14:paraId="625ABAB8" w14:textId="5D05D29B" w:rsidR="000B7C82" w:rsidRPr="00D30E4C" w:rsidRDefault="00764739" w:rsidP="000B7C82">
      <w:pPr>
        <w:pStyle w:val="Heading1"/>
      </w:pPr>
      <w:bookmarkStart w:id="19" w:name="_Toc516120034"/>
      <w:r>
        <w:t>Clarity of definitions and</w:t>
      </w:r>
      <w:r w:rsidR="000B7C82" w:rsidRPr="00D30E4C">
        <w:t xml:space="preserve"> enhancing transparency</w:t>
      </w:r>
      <w:bookmarkEnd w:id="18"/>
      <w:bookmarkEnd w:id="19"/>
    </w:p>
    <w:p w14:paraId="4DBA0700" w14:textId="77777777" w:rsidR="00EA617A" w:rsidRDefault="00EA617A" w:rsidP="00EA617A">
      <w:r>
        <w:t xml:space="preserve">One of the specific terms of reference the Government set for the Panel </w:t>
      </w:r>
      <w:r w:rsidRPr="00FC1030">
        <w:t>to ensure students have the best chance of successfully completing their enrolled units, courses and qualifications</w:t>
      </w:r>
      <w:r>
        <w:t xml:space="preserve"> was to determine the </w:t>
      </w:r>
      <w:r w:rsidRPr="00EA617A">
        <w:t>adequacy of existing data on comp</w:t>
      </w:r>
      <w:r w:rsidR="00330C9B">
        <w:t>letions</w:t>
      </w:r>
      <w:r w:rsidRPr="00EA617A">
        <w:t xml:space="preserve"> and attritions and improvements that can enhance transparency and institutional accountability</w:t>
      </w:r>
      <w:r>
        <w:t xml:space="preserve">. </w:t>
      </w:r>
    </w:p>
    <w:p w14:paraId="74AB62E3" w14:textId="77777777" w:rsidR="00A038F1" w:rsidRDefault="00CB2619" w:rsidP="00EA617A">
      <w:r>
        <w:t xml:space="preserve">The Panel’s discussion paper details how the </w:t>
      </w:r>
      <w:r w:rsidR="00525FBC">
        <w:t>department</w:t>
      </w:r>
      <w:r>
        <w:t xml:space="preserve"> measures completion, attrition,</w:t>
      </w:r>
      <w:r w:rsidR="001B5997">
        <w:t xml:space="preserve"> </w:t>
      </w:r>
      <w:proofErr w:type="gramStart"/>
      <w:r w:rsidR="001B5997">
        <w:t>retention</w:t>
      </w:r>
      <w:proofErr w:type="gramEnd"/>
      <w:r w:rsidR="001B5997">
        <w:t xml:space="preserve"> and</w:t>
      </w:r>
      <w:r>
        <w:t xml:space="preserve"> success data to capture various behaviours and give a timely, overarching picture of Australian students’ academic progress through higher education. However, the Panel notes that this data is unlikely to</w:t>
      </w:r>
      <w:r w:rsidR="00A038F1">
        <w:t xml:space="preserve"> influence a student’s decision because students are unlikely to be aware of it. </w:t>
      </w:r>
    </w:p>
    <w:p w14:paraId="6DFDA123" w14:textId="77777777" w:rsidR="00D637E4" w:rsidRPr="00EB3E17" w:rsidRDefault="00D637E4" w:rsidP="00EB3E17">
      <w:r>
        <w:t xml:space="preserve">The Panel </w:t>
      </w:r>
      <w:r w:rsidR="00EB3E17">
        <w:t>referenced the</w:t>
      </w:r>
      <w:r>
        <w:t xml:space="preserve"> potential for the quality of data on the academic preparation</w:t>
      </w:r>
      <w:r w:rsidR="00EB3E17">
        <w:t xml:space="preserve"> of students</w:t>
      </w:r>
      <w:r>
        <w:t xml:space="preserve"> to decline over time as the sector continues to shift away from ATAR based admissions. Data on the ATAR of new students is not collected if they are not enrolled </w:t>
      </w:r>
      <w:proofErr w:type="gramStart"/>
      <w:r>
        <w:t>on the basis of</w:t>
      </w:r>
      <w:proofErr w:type="gramEnd"/>
      <w:r>
        <w:t xml:space="preserve"> that ATAR. </w:t>
      </w:r>
      <w:r w:rsidR="00EB3E17">
        <w:t xml:space="preserve">In response to this, </w:t>
      </w:r>
      <w:r>
        <w:t xml:space="preserve">Innovative Research Universities supports the consistent recording of ATAR for all students that hold a current ATAR, irrespective of </w:t>
      </w:r>
      <w:r w:rsidR="00EB3E17">
        <w:t xml:space="preserve">the offer made. </w:t>
      </w:r>
      <w:r w:rsidR="00D65FAE">
        <w:t>Its</w:t>
      </w:r>
      <w:r w:rsidR="00570401" w:rsidRPr="00EB3E17">
        <w:t xml:space="preserve"> submission stated that attrition may not be strongly correlated with </w:t>
      </w:r>
      <w:proofErr w:type="gramStart"/>
      <w:r w:rsidR="00570401" w:rsidRPr="00EB3E17">
        <w:t>ATAR,</w:t>
      </w:r>
      <w:proofErr w:type="gramEnd"/>
      <w:r w:rsidR="00570401" w:rsidRPr="00EB3E17">
        <w:t xml:space="preserve"> however</w:t>
      </w:r>
      <w:r w:rsidR="00570401">
        <w:t>,</w:t>
      </w:r>
      <w:r w:rsidR="00570401" w:rsidRPr="00EB3E17">
        <w:t xml:space="preserve"> limitations of the data set are significantly skewing the data and capacity for interpretation.</w:t>
      </w:r>
      <w:r w:rsidR="00570401" w:rsidRPr="00D637E4">
        <w:rPr>
          <w:i/>
        </w:rPr>
        <w:t xml:space="preserve"> </w:t>
      </w:r>
    </w:p>
    <w:p w14:paraId="361BB387" w14:textId="77777777" w:rsidR="00CB2619" w:rsidRPr="00EA617A" w:rsidRDefault="00CB2619" w:rsidP="00EA617A">
      <w:r>
        <w:t xml:space="preserve">The Panel </w:t>
      </w:r>
      <w:r w:rsidR="001B5997">
        <w:t xml:space="preserve">also </w:t>
      </w:r>
      <w:r>
        <w:t>noted the lack of ability to track students across the tertiary sector and asked stakeholders</w:t>
      </w:r>
      <w:r w:rsidR="001B5997">
        <w:t xml:space="preserve"> for their views</w:t>
      </w:r>
      <w:r w:rsidR="007D6721">
        <w:t xml:space="preserve"> on how the tacking of students</w:t>
      </w:r>
      <w:r w:rsidR="001B5997">
        <w:t xml:space="preserve"> </w:t>
      </w:r>
      <w:r w:rsidR="00152E99">
        <w:t>(</w:t>
      </w:r>
      <w:r w:rsidR="001B5997">
        <w:t xml:space="preserve">including between higher and vocational education) </w:t>
      </w:r>
      <w:proofErr w:type="gramStart"/>
      <w:r w:rsidR="001B5997">
        <w:t>could be enhanced</w:t>
      </w:r>
      <w:proofErr w:type="gramEnd"/>
      <w:r w:rsidR="001B5997">
        <w:t>.</w:t>
      </w:r>
      <w:r w:rsidR="00595F58">
        <w:t xml:space="preserve"> </w:t>
      </w:r>
    </w:p>
    <w:p w14:paraId="5FC3069A" w14:textId="77777777" w:rsidR="00EA617A" w:rsidRDefault="00EA617A" w:rsidP="000B7C82">
      <w:r>
        <w:t>The Panel considers that feedback</w:t>
      </w:r>
      <w:r w:rsidR="001B5997">
        <w:t xml:space="preserve"> received</w:t>
      </w:r>
      <w:r>
        <w:t xml:space="preserve"> in relation to </w:t>
      </w:r>
      <w:r w:rsidR="001B5997">
        <w:t>these issues</w:t>
      </w:r>
      <w:r w:rsidR="00152E99">
        <w:t xml:space="preserve"> fall</w:t>
      </w:r>
      <w:r w:rsidR="007D6721">
        <w:t>s</w:t>
      </w:r>
      <w:r w:rsidR="00152E99">
        <w:t xml:space="preserve"> into two</w:t>
      </w:r>
      <w:r>
        <w:t xml:space="preserve"> main categories: the need for clarity of definitions</w:t>
      </w:r>
      <w:r w:rsidR="00CB2619">
        <w:t xml:space="preserve"> around attrition, completion, retention and student success</w:t>
      </w:r>
      <w:r w:rsidR="00841FEA">
        <w:t xml:space="preserve"> and</w:t>
      </w:r>
      <w:r>
        <w:t xml:space="preserve"> increased transparency</w:t>
      </w:r>
      <w:r w:rsidR="00CB2619">
        <w:t xml:space="preserve">. </w:t>
      </w:r>
    </w:p>
    <w:p w14:paraId="57E12380" w14:textId="77777777" w:rsidR="000B7C82" w:rsidRPr="00FC1030" w:rsidRDefault="00E84273" w:rsidP="000B7C82">
      <w:pPr>
        <w:pStyle w:val="Heading2"/>
      </w:pPr>
      <w:r>
        <w:t>C</w:t>
      </w:r>
      <w:r w:rsidR="000B7C82">
        <w:t>larity of definitions</w:t>
      </w:r>
    </w:p>
    <w:p w14:paraId="731BD25E" w14:textId="77777777" w:rsidR="00546EB4" w:rsidRDefault="00546EB4" w:rsidP="00546EB4">
      <w:pPr>
        <w:pStyle w:val="Heading3"/>
      </w:pPr>
      <w:r>
        <w:t>Definitions</w:t>
      </w:r>
    </w:p>
    <w:p w14:paraId="0D625D6F" w14:textId="77777777" w:rsidR="004C1F9E" w:rsidRDefault="004C1F9E" w:rsidP="001B5997">
      <w:r>
        <w:t xml:space="preserve">Feedback suggested there is scope to improve the consistency in terminology around </w:t>
      </w:r>
      <w:r w:rsidR="000B7C82" w:rsidRPr="004C1F9E">
        <w:t>attrition, retention, success and completion</w:t>
      </w:r>
      <w:r w:rsidRPr="004C1F9E">
        <w:t>s</w:t>
      </w:r>
      <w:r w:rsidR="000B7C82" w:rsidRPr="004C1F9E">
        <w:t>.</w:t>
      </w:r>
      <w:r>
        <w:t xml:space="preserve"> For instance, La Trobe University highlights </w:t>
      </w:r>
      <w:r w:rsidR="00FE44B3">
        <w:t xml:space="preserve">the varied terms universities use to describe students </w:t>
      </w:r>
      <w:proofErr w:type="gramStart"/>
      <w:r w:rsidR="00FE44B3">
        <w:t>who temporarily</w:t>
      </w:r>
      <w:proofErr w:type="gramEnd"/>
      <w:r w:rsidR="00FE44B3">
        <w:t xml:space="preserve"> suspend their studies. Universities</w:t>
      </w:r>
      <w:r>
        <w:t xml:space="preserve"> use terms such as ‘leave of absence’</w:t>
      </w:r>
      <w:r w:rsidR="00FE44B3">
        <w:t>,</w:t>
      </w:r>
      <w:r>
        <w:t xml:space="preserve"> ‘discontinuation of enrolment’, ‘deferral’ and ‘absence without leave’. La Trobe’s submission states that these terms have different meanings in different universities and refer to different time spans. </w:t>
      </w:r>
    </w:p>
    <w:p w14:paraId="11A7136A" w14:textId="77777777" w:rsidR="00FE44B3" w:rsidRDefault="00CE1159" w:rsidP="001B5997">
      <w:r>
        <w:t xml:space="preserve">Victoria University points out differences in definitions of attrition </w:t>
      </w:r>
      <w:r w:rsidR="00FE44B3">
        <w:t xml:space="preserve">between the Panel’s discussion paper and HEIMS data </w:t>
      </w:r>
      <w:r>
        <w:t>and the University o</w:t>
      </w:r>
      <w:r w:rsidR="00FE44B3">
        <w:t>f Canberra explai</w:t>
      </w:r>
      <w:r>
        <w:t>n that TEQSA’s definition of attri</w:t>
      </w:r>
      <w:r w:rsidR="00FE44B3">
        <w:t>tion does not allow for students</w:t>
      </w:r>
      <w:r>
        <w:t xml:space="preserve"> who take a leave of absence in their second y</w:t>
      </w:r>
      <w:r w:rsidR="00FE44B3">
        <w:t>e</w:t>
      </w:r>
      <w:r>
        <w:t xml:space="preserve">ar of study. </w:t>
      </w:r>
    </w:p>
    <w:p w14:paraId="51A083CD" w14:textId="77777777" w:rsidR="00C46AFE" w:rsidRDefault="00C46AFE">
      <w:r>
        <w:br w:type="page"/>
      </w:r>
    </w:p>
    <w:p w14:paraId="15ED3574" w14:textId="77777777" w:rsidR="00CE1159" w:rsidRDefault="00FE44B3" w:rsidP="001B5997">
      <w:r>
        <w:t xml:space="preserve">There is also confusion </w:t>
      </w:r>
      <w:r w:rsidR="00546EB4">
        <w:t>about</w:t>
      </w:r>
      <w:r w:rsidR="006E7E00">
        <w:t xml:space="preserve"> the terms ‘normal attrition’, </w:t>
      </w:r>
      <w:r w:rsidR="00B83962">
        <w:t xml:space="preserve">‘raw attrition’, </w:t>
      </w:r>
      <w:r w:rsidR="006E7E00">
        <w:t>‘</w:t>
      </w:r>
      <w:r>
        <w:t>adjusted attrition’</w:t>
      </w:r>
      <w:r w:rsidR="006E7E00">
        <w:t>,</w:t>
      </w:r>
      <w:r>
        <w:t xml:space="preserve"> </w:t>
      </w:r>
      <w:r w:rsidR="00F372C9">
        <w:t xml:space="preserve">‘crude attrition’ </w:t>
      </w:r>
      <w:r>
        <w:t>and ‘modified attrition rates’. Innovative Research Universities say that current terms ‘attrition’ and ‘adjusted attrition’ are not accurate representations of the data and</w:t>
      </w:r>
      <w:r w:rsidR="00546EB4">
        <w:t xml:space="preserve"> the definitions</w:t>
      </w:r>
      <w:r>
        <w:t xml:space="preserve"> i</w:t>
      </w:r>
      <w:r w:rsidR="00546EB4">
        <w:t>mply that the adjusted rates have</w:t>
      </w:r>
      <w:r w:rsidR="00A038F1">
        <w:t xml:space="preserve"> undergone regressi</w:t>
      </w:r>
      <w:r w:rsidR="00A038F1" w:rsidRPr="00A038F1">
        <w:t>on analys</w:t>
      </w:r>
      <w:r w:rsidR="00B83962">
        <w:t xml:space="preserve">is. This is despite definitions often </w:t>
      </w:r>
      <w:proofErr w:type="gramStart"/>
      <w:r w:rsidR="00A038F1" w:rsidRPr="00A038F1">
        <w:t>being clearly stated</w:t>
      </w:r>
      <w:proofErr w:type="gramEnd"/>
      <w:r w:rsidR="00A038F1" w:rsidRPr="00A038F1">
        <w:t>.</w:t>
      </w:r>
    </w:p>
    <w:p w14:paraId="48285EC9" w14:textId="77777777" w:rsidR="00FE44B3" w:rsidRPr="00FC1030" w:rsidRDefault="00FE44B3" w:rsidP="00FE44B3">
      <w:r>
        <w:t xml:space="preserve">The Panel considers that greater consistency in the use of the terminology would eliminate confusion among </w:t>
      </w:r>
      <w:proofErr w:type="gramStart"/>
      <w:r>
        <w:t>institutions and students</w:t>
      </w:r>
      <w:proofErr w:type="gramEnd"/>
      <w:r w:rsidR="00B83962">
        <w:t xml:space="preserve"> and </w:t>
      </w:r>
      <w:r>
        <w:t>recommends that t</w:t>
      </w:r>
      <w:r w:rsidRPr="00FC1030">
        <w:t xml:space="preserve">he higher education community </w:t>
      </w:r>
      <w:r>
        <w:t>work together</w:t>
      </w:r>
      <w:r w:rsidR="001D657F">
        <w:t xml:space="preserve"> with the department</w:t>
      </w:r>
      <w:r>
        <w:t xml:space="preserve"> to </w:t>
      </w:r>
      <w:r w:rsidR="00F372C9">
        <w:t>establish agreed terminology to ensure</w:t>
      </w:r>
      <w:r w:rsidR="008B406C">
        <w:t xml:space="preserve"> greater</w:t>
      </w:r>
      <w:r w:rsidR="00F372C9">
        <w:t xml:space="preserve"> </w:t>
      </w:r>
      <w:r w:rsidRPr="00FC1030">
        <w:t xml:space="preserve">understanding and clarity of definitions in </w:t>
      </w:r>
      <w:r w:rsidR="00B83962">
        <w:t xml:space="preserve">relation to </w:t>
      </w:r>
      <w:r w:rsidRPr="00FC1030">
        <w:t>attrition, retention, success and complet</w:t>
      </w:r>
      <w:r w:rsidR="008246F6">
        <w:t>ion</w:t>
      </w:r>
      <w:r w:rsidR="00B83962">
        <w:t>s</w:t>
      </w:r>
      <w:r w:rsidR="008246F6">
        <w:t xml:space="preserve">.  </w:t>
      </w:r>
    </w:p>
    <w:p w14:paraId="4FC90EF9" w14:textId="77777777" w:rsidR="00546EB4" w:rsidRDefault="00152E99" w:rsidP="00546EB4">
      <w:pPr>
        <w:pStyle w:val="Heading3"/>
      </w:pPr>
      <w:r>
        <w:t>Recognising the trimester structure</w:t>
      </w:r>
    </w:p>
    <w:p w14:paraId="6F504B02" w14:textId="189BA0A6" w:rsidR="000816F5" w:rsidRDefault="00F372C9" w:rsidP="004C1F9E">
      <w:r>
        <w:t>During hearings between stakeholders and the Panel</w:t>
      </w:r>
      <w:r w:rsidR="008B406C">
        <w:t>,</w:t>
      </w:r>
      <w:r>
        <w:t xml:space="preserve"> there was feedback in relation to </w:t>
      </w:r>
      <w:r w:rsidR="00546EB4">
        <w:t xml:space="preserve">the department’s measurement of </w:t>
      </w:r>
      <w:r w:rsidR="000B7C82" w:rsidRPr="00FC1030">
        <w:t xml:space="preserve">attrition </w:t>
      </w:r>
      <w:r>
        <w:t>not</w:t>
      </w:r>
      <w:r w:rsidR="000B7C82" w:rsidRPr="00FC1030">
        <w:t xml:space="preserve"> reflect</w:t>
      </w:r>
      <w:r>
        <w:t>ing</w:t>
      </w:r>
      <w:r w:rsidR="000B7C82" w:rsidRPr="00FC1030">
        <w:t xml:space="preserve"> the trimester structure of teaching - </w:t>
      </w:r>
      <w:r>
        <w:t>s</w:t>
      </w:r>
      <w:r w:rsidR="000B7C82" w:rsidRPr="00FC1030">
        <w:t>ome institutions have a trimester structure of teaching and th</w:t>
      </w:r>
      <w:r w:rsidR="00430A4B">
        <w:t xml:space="preserve">is can lead to different timings for </w:t>
      </w:r>
      <w:r w:rsidR="000B7C82" w:rsidRPr="00FC1030">
        <w:t xml:space="preserve">assessment, graduation or reporting. As a </w:t>
      </w:r>
      <w:r w:rsidR="007B68B9" w:rsidRPr="00FC1030">
        <w:t>result,</w:t>
      </w:r>
      <w:r w:rsidR="000B7C82" w:rsidRPr="00FC1030">
        <w:t xml:space="preserve"> students who complete Semester 1 and 2 and enrol in Semester 3 but not Semest</w:t>
      </w:r>
      <w:r>
        <w:t xml:space="preserve">er 4 </w:t>
      </w:r>
      <w:proofErr w:type="gramStart"/>
      <w:r>
        <w:t>are recorded</w:t>
      </w:r>
      <w:proofErr w:type="gramEnd"/>
      <w:r>
        <w:t xml:space="preserve"> as </w:t>
      </w:r>
      <w:r w:rsidR="00586979">
        <w:t>not completed</w:t>
      </w:r>
      <w:r>
        <w:t xml:space="preserve">. </w:t>
      </w:r>
    </w:p>
    <w:p w14:paraId="765A82C9" w14:textId="77777777" w:rsidR="00F372C9" w:rsidRDefault="000B7C82" w:rsidP="004C1F9E">
      <w:r w:rsidRPr="00FC1030">
        <w:t xml:space="preserve">Changing the </w:t>
      </w:r>
      <w:r w:rsidR="00546EB4">
        <w:t>measurement</w:t>
      </w:r>
      <w:r w:rsidRPr="00FC1030">
        <w:t xml:space="preserve"> of attrition to reflect the trimester structure of teaching by excluding students reported as continuing in the following year would lower the calculated attrition rate slightly for a small number of institutions. </w:t>
      </w:r>
      <w:r w:rsidR="00F372C9" w:rsidRPr="00F372C9">
        <w:t>For example, the largest impact would be a reduction of 0.8 percentage points in the calculated attrition rate for Central Queensland University with the impact for other institutions being a reduction of less than half a percentage point.</w:t>
      </w:r>
      <w:r w:rsidR="00F372C9">
        <w:t xml:space="preserve">  </w:t>
      </w:r>
    </w:p>
    <w:p w14:paraId="09584AFD" w14:textId="77777777" w:rsidR="00F372C9" w:rsidRPr="00FC1030" w:rsidRDefault="00570401" w:rsidP="004C1F9E">
      <w:r>
        <w:t xml:space="preserve">The Panel does agree given the increasing number of institutions offering trimesters, it is important that attrition measurements incorporate the trimester structure of teaching. </w:t>
      </w:r>
    </w:p>
    <w:p w14:paraId="1B418A07" w14:textId="77777777" w:rsidR="00546EB4" w:rsidRDefault="00546EB4" w:rsidP="00546EB4">
      <w:pPr>
        <w:pStyle w:val="Heading3"/>
      </w:pPr>
      <w:r>
        <w:t xml:space="preserve">Adjusted vs </w:t>
      </w:r>
      <w:r w:rsidR="00E82A59">
        <w:t>normal attrition</w:t>
      </w:r>
    </w:p>
    <w:p w14:paraId="3C58F846" w14:textId="77777777" w:rsidR="00147B48" w:rsidRPr="000816F5" w:rsidRDefault="00147B48" w:rsidP="000816F5">
      <w:r w:rsidRPr="000816F5">
        <w:t xml:space="preserve">There are two attrition rates published by the department, a normal attrition rate and an adjusted attrition rate. The normal attrition rate </w:t>
      </w:r>
      <w:proofErr w:type="gramStart"/>
      <w:r w:rsidRPr="000816F5">
        <w:t>is calculated</w:t>
      </w:r>
      <w:proofErr w:type="gramEnd"/>
      <w:r w:rsidRPr="000816F5">
        <w:t xml:space="preserve"> from a count of students commencing in courses and institutions in one year then comparing the number who enrol in the same course at the same institution for their second year of study. The adjusted attrition rate is able to track individuals through their CHESSN and accounts for persons changing </w:t>
      </w:r>
      <w:r w:rsidR="000816F5" w:rsidRPr="000816F5">
        <w:t>their</w:t>
      </w:r>
      <w:r w:rsidRPr="000816F5">
        <w:t xml:space="preserve"> institution. The difference between the measures is that the normal attrition rate is higher as it includes students who change institution; whereas the adjusted attrition rate only counts students as withdrawing </w:t>
      </w:r>
      <w:proofErr w:type="gramStart"/>
      <w:r w:rsidRPr="000816F5">
        <w:t>if</w:t>
      </w:r>
      <w:proofErr w:type="gramEnd"/>
      <w:r w:rsidRPr="000816F5">
        <w:t xml:space="preserve"> they leave higher education.</w:t>
      </w:r>
    </w:p>
    <w:p w14:paraId="3C396514" w14:textId="77777777" w:rsidR="00147B48" w:rsidRDefault="001D657F" w:rsidP="00FE44B3">
      <w:r>
        <w:t>Some</w:t>
      </w:r>
      <w:r w:rsidR="00F372C9">
        <w:t xml:space="preserve"> stakeholders</w:t>
      </w:r>
      <w:r w:rsidR="00152E99">
        <w:t xml:space="preserve"> were concerned about the use of </w:t>
      </w:r>
      <w:r w:rsidR="00147B48">
        <w:t xml:space="preserve">normal attrition because it includes students </w:t>
      </w:r>
      <w:r w:rsidR="00595F58">
        <w:t xml:space="preserve">who </w:t>
      </w:r>
      <w:r w:rsidR="0063299D">
        <w:t xml:space="preserve">change </w:t>
      </w:r>
      <w:r w:rsidR="006E7E00">
        <w:t>institution</w:t>
      </w:r>
      <w:r w:rsidR="00DE3B17">
        <w:t>,</w:t>
      </w:r>
      <w:r w:rsidR="006E7E00">
        <w:t xml:space="preserve"> so, in </w:t>
      </w:r>
      <w:r w:rsidR="00595F58">
        <w:t xml:space="preserve">fact, they are not leaving the higher education sector. </w:t>
      </w:r>
    </w:p>
    <w:p w14:paraId="00E78D55" w14:textId="77777777" w:rsidR="00147B48" w:rsidRDefault="00147B48" w:rsidP="00147B48">
      <w:r>
        <w:br w:type="page"/>
      </w:r>
    </w:p>
    <w:p w14:paraId="4E2599EB" w14:textId="77777777" w:rsidR="00152E99" w:rsidRDefault="00CD3EC0" w:rsidP="00FE44B3">
      <w:r>
        <w:t>Griffith University stated in its submission:</w:t>
      </w:r>
    </w:p>
    <w:p w14:paraId="138EB460" w14:textId="77777777" w:rsidR="00F372C9" w:rsidRDefault="00FE44B3" w:rsidP="00F372C9">
      <w:pPr>
        <w:ind w:left="720"/>
        <w:rPr>
          <w:i/>
        </w:rPr>
      </w:pPr>
      <w:r w:rsidRPr="00F372C9">
        <w:rPr>
          <w:i/>
        </w:rPr>
        <w:t xml:space="preserve">It is important that retention rates reflect retention </w:t>
      </w:r>
      <w:r w:rsidR="00F372C9" w:rsidRPr="00F372C9">
        <w:rPr>
          <w:i/>
        </w:rPr>
        <w:t>in education (the</w:t>
      </w:r>
      <w:r w:rsidRPr="00F372C9">
        <w:rPr>
          <w:i/>
        </w:rPr>
        <w:t xml:space="preserve"> </w:t>
      </w:r>
      <w:r w:rsidR="00F372C9" w:rsidRPr="00F372C9">
        <w:rPr>
          <w:i/>
        </w:rPr>
        <w:t>a</w:t>
      </w:r>
      <w:r w:rsidRPr="00F372C9">
        <w:rPr>
          <w:i/>
        </w:rPr>
        <w:t xml:space="preserve">djusted attrition rate), rather than whether students have been retained within their initial degree program.  Students move for positive reasons that should be encouraged – students who do not </w:t>
      </w:r>
      <w:r w:rsidR="00F372C9" w:rsidRPr="00F372C9">
        <w:rPr>
          <w:i/>
        </w:rPr>
        <w:t>initially meet entry re</w:t>
      </w:r>
      <w:r w:rsidRPr="00F372C9">
        <w:rPr>
          <w:i/>
        </w:rPr>
        <w:t>q</w:t>
      </w:r>
      <w:r w:rsidR="00F372C9" w:rsidRPr="00F372C9">
        <w:rPr>
          <w:i/>
        </w:rPr>
        <w:t>uireme</w:t>
      </w:r>
      <w:r w:rsidRPr="00F372C9">
        <w:rPr>
          <w:i/>
        </w:rPr>
        <w:t>n</w:t>
      </w:r>
      <w:r w:rsidR="00F372C9" w:rsidRPr="00F372C9">
        <w:rPr>
          <w:i/>
        </w:rPr>
        <w:t>t</w:t>
      </w:r>
      <w:r w:rsidRPr="00F372C9">
        <w:rPr>
          <w:i/>
        </w:rPr>
        <w:t>s for their degree of choice may enrol in another degree and subsequently upgrade, or students recognise that th</w:t>
      </w:r>
      <w:r w:rsidR="00F372C9" w:rsidRPr="00F372C9">
        <w:rPr>
          <w:i/>
        </w:rPr>
        <w:t>e</w:t>
      </w:r>
      <w:r w:rsidRPr="00F372C9">
        <w:rPr>
          <w:i/>
        </w:rPr>
        <w:t xml:space="preserve">ir </w:t>
      </w:r>
      <w:r w:rsidR="00F372C9" w:rsidRPr="00F372C9">
        <w:rPr>
          <w:i/>
        </w:rPr>
        <w:t>initial</w:t>
      </w:r>
      <w:r w:rsidRPr="00F372C9">
        <w:rPr>
          <w:i/>
        </w:rPr>
        <w:t xml:space="preserve"> choice was </w:t>
      </w:r>
      <w:proofErr w:type="gramStart"/>
      <w:r w:rsidRPr="00F372C9">
        <w:rPr>
          <w:i/>
        </w:rPr>
        <w:t>ill-informed</w:t>
      </w:r>
      <w:proofErr w:type="gramEnd"/>
      <w:r w:rsidRPr="00F372C9">
        <w:rPr>
          <w:i/>
        </w:rPr>
        <w:t xml:space="preserve"> and they move to another degree that better reflects their talents and </w:t>
      </w:r>
      <w:r w:rsidR="00F372C9" w:rsidRPr="00F372C9">
        <w:rPr>
          <w:i/>
        </w:rPr>
        <w:t>interests</w:t>
      </w:r>
      <w:r w:rsidRPr="00F372C9">
        <w:rPr>
          <w:i/>
        </w:rPr>
        <w:t xml:space="preserve">. These students have not been lost to higher education and </w:t>
      </w:r>
      <w:proofErr w:type="gramStart"/>
      <w:r w:rsidR="00F372C9" w:rsidRPr="00F372C9">
        <w:rPr>
          <w:i/>
        </w:rPr>
        <w:t>s</w:t>
      </w:r>
      <w:r w:rsidRPr="00F372C9">
        <w:rPr>
          <w:i/>
        </w:rPr>
        <w:t>hould not be counted</w:t>
      </w:r>
      <w:proofErr w:type="gramEnd"/>
      <w:r w:rsidRPr="00F372C9">
        <w:rPr>
          <w:i/>
        </w:rPr>
        <w:t xml:space="preserve"> as such. </w:t>
      </w:r>
    </w:p>
    <w:p w14:paraId="64AA8A4F" w14:textId="77777777" w:rsidR="003F0A40" w:rsidRDefault="00F372C9" w:rsidP="00F372C9">
      <w:r>
        <w:t xml:space="preserve">Universities Australia went so far as to suggest that department cease publishing </w:t>
      </w:r>
      <w:r w:rsidR="006E7E00">
        <w:t xml:space="preserve">raw </w:t>
      </w:r>
      <w:r w:rsidR="00147B48">
        <w:t xml:space="preserve">(or as defined by the department ‘normal’) </w:t>
      </w:r>
      <w:r w:rsidR="006E7E00">
        <w:t>attrition rates</w:t>
      </w:r>
      <w:r>
        <w:t xml:space="preserve">. It claims that publishing both attrition rates is </w:t>
      </w:r>
      <w:r w:rsidR="008B406C">
        <w:t>unnecessary</w:t>
      </w:r>
      <w:r>
        <w:t>, unhelpful and misleading.</w:t>
      </w:r>
    </w:p>
    <w:p w14:paraId="7D88E4D1" w14:textId="77777777" w:rsidR="00F372C9" w:rsidRDefault="00F372C9" w:rsidP="00F372C9">
      <w:r>
        <w:t xml:space="preserve">The Panel considers that </w:t>
      </w:r>
      <w:r w:rsidR="00595F58">
        <w:t>normal</w:t>
      </w:r>
      <w:r>
        <w:t xml:space="preserve"> attrition rates are still important</w:t>
      </w:r>
      <w:r w:rsidR="00874C28">
        <w:t>,</w:t>
      </w:r>
      <w:r>
        <w:t xml:space="preserve"> </w:t>
      </w:r>
      <w:r w:rsidR="00EB3E17">
        <w:t xml:space="preserve">with one reason being that </w:t>
      </w:r>
      <w:r w:rsidR="00874C28">
        <w:t xml:space="preserve">adjusted attrition rates </w:t>
      </w:r>
      <w:proofErr w:type="gramStart"/>
      <w:r w:rsidR="00874C28">
        <w:t>cannot be applied</w:t>
      </w:r>
      <w:proofErr w:type="gramEnd"/>
      <w:r w:rsidR="00874C28">
        <w:t xml:space="preserve"> to</w:t>
      </w:r>
      <w:r w:rsidR="00874C28" w:rsidRPr="00874C28">
        <w:t xml:space="preserve"> international students</w:t>
      </w:r>
      <w:r w:rsidR="00874C28">
        <w:t xml:space="preserve">, </w:t>
      </w:r>
      <w:r>
        <w:t xml:space="preserve">but agrees that adjusted attrition rates </w:t>
      </w:r>
      <w:r w:rsidR="005E7CFC">
        <w:t xml:space="preserve">should </w:t>
      </w:r>
      <w:r>
        <w:t xml:space="preserve">be used as the primary measure of attrition. </w:t>
      </w:r>
    </w:p>
    <w:p w14:paraId="07BF2A41" w14:textId="77777777" w:rsidR="00AF0133" w:rsidRPr="00AF0133" w:rsidRDefault="00AF0133" w:rsidP="00AF0133">
      <w:pPr>
        <w:pStyle w:val="Heading3"/>
      </w:pPr>
      <w:r>
        <w:t xml:space="preserve">Further development of regression based </w:t>
      </w:r>
      <w:r w:rsidR="00D547F1">
        <w:t xml:space="preserve">analysis of </w:t>
      </w:r>
      <w:r>
        <w:t xml:space="preserve">attrition rates </w:t>
      </w:r>
    </w:p>
    <w:p w14:paraId="4BC4AAB2" w14:textId="77777777" w:rsidR="00AF0133" w:rsidRDefault="00AF0133" w:rsidP="00AF0133">
      <w:r>
        <w:t>As mentioned earlier in this report an analysis using regression techniques, published in the discussion paper</w:t>
      </w:r>
      <w:r w:rsidR="00D14E06">
        <w:t xml:space="preserve"> and available at Appendix A,</w:t>
      </w:r>
      <w:r>
        <w:t xml:space="preserve"> provided a valuable insight into how important factors such as</w:t>
      </w:r>
      <w:r w:rsidR="00CA5312">
        <w:t xml:space="preserve"> the institution,</w:t>
      </w:r>
      <w:r>
        <w:t xml:space="preserve"> part-time study, age, low academic achievement, external study, field of education and low socioeconomic status are associated with higher attrition. </w:t>
      </w:r>
      <w:r w:rsidR="00D547F1">
        <w:t xml:space="preserve">The analysis </w:t>
      </w:r>
      <w:r w:rsidR="00D14E06">
        <w:t>enables a ‘modified’ measure of attrition that better reflects institutional differences.</w:t>
      </w:r>
      <w:r>
        <w:t xml:space="preserve"> </w:t>
      </w:r>
    </w:p>
    <w:p w14:paraId="52D55983" w14:textId="77777777" w:rsidR="00AF0133" w:rsidRDefault="00AF0133" w:rsidP="00AF0133">
      <w:r>
        <w:t xml:space="preserve">Some stakeholders, including the Innovative Research Universities, the Council of Private Higher Education, Charles Sturt University and Swinburne University of Technology, noted their support of this regression analysis. The Innovative Research Universities submission stated that for its members, the analysis more clearly represents the demographic diversity of its cohorts. Swinburne University of Technology agreed, stating the analysis represents a significant step towards properly and fairly assessing the performance of </w:t>
      </w:r>
      <w:proofErr w:type="gramStart"/>
      <w:r>
        <w:t>universities which</w:t>
      </w:r>
      <w:proofErr w:type="gramEnd"/>
      <w:r>
        <w:t xml:space="preserve"> provide access to larger than average cohorts of learners who may be experiencing educational disadvantage or studying externally. Swinburne University of Technology went on to recommend that for all official purposes institutions be assessed on either the OLS or Logit modified attrition rates, including TEQSA or QILT, and any future performance measurements. </w:t>
      </w:r>
    </w:p>
    <w:p w14:paraId="5DD7D12D" w14:textId="77777777" w:rsidR="00AF0133" w:rsidRDefault="00AF0133" w:rsidP="00AF0133">
      <w:r>
        <w:t xml:space="preserve">The Panel considers that the department should further develop </w:t>
      </w:r>
      <w:r w:rsidR="00FD0617">
        <w:t xml:space="preserve">and publish the </w:t>
      </w:r>
      <w:r w:rsidRPr="00DD254D">
        <w:t xml:space="preserve">calculation of attrition rates that take into account key student characteristics </w:t>
      </w:r>
      <w:proofErr w:type="gramStart"/>
      <w:r w:rsidR="00430A4B">
        <w:t>so as to</w:t>
      </w:r>
      <w:proofErr w:type="gramEnd"/>
      <w:r w:rsidRPr="00DD254D">
        <w:t xml:space="preserve"> better ref</w:t>
      </w:r>
      <w:r>
        <w:t>lect institutional differences</w:t>
      </w:r>
      <w:r w:rsidRPr="00DD254D">
        <w:t>.</w:t>
      </w:r>
      <w:r w:rsidR="00276CC2">
        <w:t xml:space="preserve"> </w:t>
      </w:r>
    </w:p>
    <w:p w14:paraId="3B809C57" w14:textId="77777777" w:rsidR="00147B48" w:rsidRDefault="00147B48">
      <w:pPr>
        <w:rPr>
          <w:rFonts w:ascii="Calibri" w:eastAsiaTheme="majorEastAsia" w:hAnsi="Calibri" w:cstheme="majorBidi"/>
          <w:b/>
          <w:bCs/>
          <w:sz w:val="28"/>
          <w:szCs w:val="26"/>
        </w:rPr>
      </w:pPr>
      <w:r>
        <w:br w:type="page"/>
      </w:r>
    </w:p>
    <w:p w14:paraId="4FFA8C26" w14:textId="77777777" w:rsidR="000B7C82" w:rsidRDefault="000B7C82" w:rsidP="000B7C82">
      <w:pPr>
        <w:pStyle w:val="Heading2"/>
      </w:pPr>
      <w:r>
        <w:t>Increased transparency</w:t>
      </w:r>
    </w:p>
    <w:p w14:paraId="59DF5FC6" w14:textId="77777777" w:rsidR="00546EB4" w:rsidRDefault="00546EB4" w:rsidP="00E82A59">
      <w:pPr>
        <w:pStyle w:val="Heading3"/>
      </w:pPr>
      <w:r>
        <w:t>NUHEP data</w:t>
      </w:r>
    </w:p>
    <w:p w14:paraId="696A2431" w14:textId="2D3CB9FA" w:rsidR="00584943" w:rsidRDefault="00A67B7B" w:rsidP="00A67B7B">
      <w:r w:rsidRPr="00D32D17">
        <w:t xml:space="preserve">During the consultation process </w:t>
      </w:r>
      <w:r w:rsidR="00584943" w:rsidRPr="00D32D17">
        <w:t>private higher education stakeholders</w:t>
      </w:r>
      <w:r w:rsidR="00D2633D" w:rsidRPr="00D32D17">
        <w:t>, including ACPET and the Council for Private Higher Education Providers</w:t>
      </w:r>
      <w:r w:rsidR="006E7E00" w:rsidRPr="00D32D17">
        <w:t>,</w:t>
      </w:r>
      <w:r w:rsidRPr="00D32D17">
        <w:t xml:space="preserve"> </w:t>
      </w:r>
      <w:r w:rsidR="00BE00A1" w:rsidRPr="00D32D17">
        <w:t xml:space="preserve">noted the value of </w:t>
      </w:r>
      <w:r w:rsidRPr="00D32D17">
        <w:t xml:space="preserve">the department’s January 2017 </w:t>
      </w:r>
      <w:proofErr w:type="gramStart"/>
      <w:r w:rsidR="00D32D17" w:rsidRPr="00D32D17">
        <w:t>report which</w:t>
      </w:r>
      <w:proofErr w:type="gramEnd"/>
      <w:r w:rsidR="00D32D17" w:rsidRPr="00D32D17">
        <w:t xml:space="preserve"> benchmarked NUHEP completion rates for the first time and demonstrated that attrition is a significant issue for numbers of NUHEPs. In recent </w:t>
      </w:r>
      <w:r w:rsidR="00E71D2A" w:rsidRPr="00D32D17">
        <w:t>years,</w:t>
      </w:r>
      <w:r w:rsidR="00D32D17" w:rsidRPr="00D32D17">
        <w:t xml:space="preserve"> NUHEPs have been </w:t>
      </w:r>
      <w:r w:rsidRPr="00D32D17">
        <w:t>focussing mor</w:t>
      </w:r>
      <w:r w:rsidR="006E7E00" w:rsidRPr="00D32D17">
        <w:t>e on their retention strategies and</w:t>
      </w:r>
      <w:r w:rsidR="00584943" w:rsidRPr="00D32D17">
        <w:t xml:space="preserve"> </w:t>
      </w:r>
      <w:r w:rsidRPr="00D32D17">
        <w:t>their own internal data</w:t>
      </w:r>
      <w:r w:rsidR="00584943" w:rsidRPr="00D32D17">
        <w:t xml:space="preserve"> and they have been increasingly benchmarking across their sector</w:t>
      </w:r>
      <w:r w:rsidRPr="00D32D17">
        <w:t xml:space="preserve">. </w:t>
      </w:r>
      <w:r w:rsidR="00584943" w:rsidRPr="00D32D17">
        <w:t xml:space="preserve">However, private providers have called for further </w:t>
      </w:r>
      <w:r w:rsidR="00D32D17" w:rsidRPr="00D32D17">
        <w:t xml:space="preserve">analysis of </w:t>
      </w:r>
      <w:r w:rsidR="00584943" w:rsidRPr="00D32D17">
        <w:t xml:space="preserve">attrition data to help </w:t>
      </w:r>
      <w:r w:rsidR="00595F58" w:rsidRPr="00D32D17">
        <w:t>them</w:t>
      </w:r>
      <w:r w:rsidR="00584943" w:rsidRPr="00D32D17">
        <w:t xml:space="preserve"> understand the factors influencing the attrition and retention rates of their students.</w:t>
      </w:r>
    </w:p>
    <w:p w14:paraId="27FB4FE8" w14:textId="77777777" w:rsidR="00A67B7B" w:rsidRDefault="00A67B7B" w:rsidP="00A67B7B">
      <w:r>
        <w:t xml:space="preserve">The Panel agrees and recommends the department </w:t>
      </w:r>
      <w:r w:rsidRPr="00A67B7B">
        <w:t>extend reporting of attrition to</w:t>
      </w:r>
      <w:r>
        <w:t xml:space="preserve"> NUHEP</w:t>
      </w:r>
      <w:r w:rsidRPr="00A67B7B">
        <w:t xml:space="preserve">s on a similar basis as the reporting of attrition among Table A and B universities. That is, the adjusted attrition rate </w:t>
      </w:r>
      <w:proofErr w:type="gramStart"/>
      <w:r w:rsidRPr="00A67B7B">
        <w:t>would be published</w:t>
      </w:r>
      <w:proofErr w:type="gramEnd"/>
      <w:r w:rsidRPr="00A67B7B">
        <w:t xml:space="preserve"> for </w:t>
      </w:r>
      <w:r>
        <w:t>NUHEP</w:t>
      </w:r>
      <w:r w:rsidRPr="00A67B7B">
        <w:t>s for domestic commencing bachelor students and the normal attrition rate for overseas and all commencing bachelor students.</w:t>
      </w:r>
    </w:p>
    <w:p w14:paraId="6F354488" w14:textId="77777777" w:rsidR="00BE00A1" w:rsidRPr="00BE00A1" w:rsidRDefault="00BE00A1" w:rsidP="00BE00A1">
      <w:pPr>
        <w:pStyle w:val="Heading3"/>
      </w:pPr>
      <w:r w:rsidRPr="00BE00A1">
        <w:t>More disaggregated data</w:t>
      </w:r>
    </w:p>
    <w:p w14:paraId="6992F9A8" w14:textId="77777777" w:rsidR="00BE00A1" w:rsidRPr="00BE00A1" w:rsidRDefault="00BE00A1" w:rsidP="00BE00A1">
      <w:r w:rsidRPr="00BE00A1">
        <w:t xml:space="preserve">Feedback on the publication of student success, completions, retention, and attrition data, included the provision of information at a more disaggregated level. </w:t>
      </w:r>
      <w:r w:rsidRPr="00BE00A1">
        <w:rPr>
          <w:rFonts w:eastAsia="Times New Roman"/>
        </w:rPr>
        <w:t xml:space="preserve">Other feedback noted concerns about the inclusion of </w:t>
      </w:r>
      <w:r w:rsidRPr="00874C28">
        <w:t xml:space="preserve">this </w:t>
      </w:r>
      <w:proofErr w:type="gramStart"/>
      <w:r w:rsidRPr="00874C28">
        <w:t>data which</w:t>
      </w:r>
      <w:proofErr w:type="gramEnd"/>
      <w:r w:rsidRPr="00874C28">
        <w:t xml:space="preserve"> </w:t>
      </w:r>
      <w:r w:rsidR="006B6B2E" w:rsidRPr="00874C28">
        <w:t>can often be</w:t>
      </w:r>
      <w:r w:rsidRPr="00874C28">
        <w:t xml:space="preserve"> technical and open to misinterpretation. </w:t>
      </w:r>
    </w:p>
    <w:p w14:paraId="4680A3BB" w14:textId="77777777" w:rsidR="00BE00A1" w:rsidRDefault="00BE00A1" w:rsidP="00BE00A1">
      <w:r w:rsidRPr="00BE00A1">
        <w:t xml:space="preserve">The Panel </w:t>
      </w:r>
      <w:r w:rsidR="00874C28">
        <w:t>acknowledges the concerns of</w:t>
      </w:r>
      <w:r w:rsidRPr="00BE00A1">
        <w:t xml:space="preserve"> stakeholders</w:t>
      </w:r>
      <w:r w:rsidR="006E7E00">
        <w:t xml:space="preserve"> that</w:t>
      </w:r>
      <w:r w:rsidR="00874C28">
        <w:t xml:space="preserve"> presentation of data can be</w:t>
      </w:r>
      <w:r w:rsidRPr="00BE00A1">
        <w:t xml:space="preserve"> </w:t>
      </w:r>
      <w:r w:rsidR="00874C28" w:rsidRPr="00874C28">
        <w:t>technical and complex</w:t>
      </w:r>
      <w:r w:rsidR="00874C28">
        <w:t>,</w:t>
      </w:r>
      <w:r w:rsidR="00874C28" w:rsidRPr="00874C28">
        <w:t xml:space="preserve"> because that is what is required to show the diversity of the higher education sector. However,</w:t>
      </w:r>
      <w:r w:rsidR="00874C28">
        <w:t xml:space="preserve"> in the interests of transparency, the Panel considers it important that this information is available</w:t>
      </w:r>
      <w:r w:rsidRPr="00BE00A1">
        <w:t xml:space="preserve"> and recommends the department publish attrition data at levels, including by institution, by study area and by student characteristics</w:t>
      </w:r>
      <w:r w:rsidR="006E7E00">
        <w:t>, in the clearest</w:t>
      </w:r>
      <w:r w:rsidR="00874C28">
        <w:t xml:space="preserve"> most user-friendly form possible</w:t>
      </w:r>
      <w:r w:rsidRPr="00BE00A1">
        <w:t>.</w:t>
      </w:r>
      <w:r w:rsidRPr="00FC1030">
        <w:t xml:space="preserve"> </w:t>
      </w:r>
    </w:p>
    <w:p w14:paraId="501626E2" w14:textId="77777777" w:rsidR="00546EB4" w:rsidRPr="00FC1030" w:rsidRDefault="00546EB4" w:rsidP="00044389">
      <w:pPr>
        <w:pStyle w:val="Heading3"/>
      </w:pPr>
      <w:r>
        <w:t>A national student identifier</w:t>
      </w:r>
    </w:p>
    <w:p w14:paraId="7CDE7FCB" w14:textId="77777777" w:rsidR="00E82A59" w:rsidRDefault="00584943" w:rsidP="00E82A59">
      <w:r>
        <w:t>By far the most supported suggestion</w:t>
      </w:r>
      <w:r w:rsidR="00546EB4">
        <w:t xml:space="preserve"> posed by the Panel in </w:t>
      </w:r>
      <w:r w:rsidR="00CD3EC0">
        <w:t>its</w:t>
      </w:r>
      <w:r w:rsidR="00546EB4">
        <w:t xml:space="preserve"> discussion paper was to </w:t>
      </w:r>
      <w:r w:rsidR="000B7C82" w:rsidRPr="00FC1030">
        <w:t xml:space="preserve">establish a common student identifier </w:t>
      </w:r>
      <w:proofErr w:type="gramStart"/>
      <w:r w:rsidR="000B7C82" w:rsidRPr="00FC1030">
        <w:t>to better understand</w:t>
      </w:r>
      <w:proofErr w:type="gramEnd"/>
      <w:r w:rsidR="000B7C82" w:rsidRPr="00FC1030">
        <w:t xml:space="preserve"> student pathways across tertiary education with a view to establish</w:t>
      </w:r>
      <w:r w:rsidR="006E7E00">
        <w:t>ing</w:t>
      </w:r>
      <w:r w:rsidR="000B7C82" w:rsidRPr="00FC1030">
        <w:t xml:space="preserve"> a common identifier across all levels of schooling. </w:t>
      </w:r>
    </w:p>
    <w:p w14:paraId="7ED98AD3" w14:textId="77777777" w:rsidR="001464E9" w:rsidRDefault="00E82A59" w:rsidP="00E82A59">
      <w:pPr>
        <w:rPr>
          <w:bCs/>
        </w:rPr>
      </w:pPr>
      <w:proofErr w:type="gramStart"/>
      <w:r>
        <w:t xml:space="preserve">Institutions from the university and private higher education sector, peak bodies, governments and research organisations all agreed a common student identifier would </w:t>
      </w:r>
      <w:r w:rsidRPr="00E82A59">
        <w:t>assist</w:t>
      </w:r>
      <w:r>
        <w:t xml:space="preserve"> provide </w:t>
      </w:r>
      <w:r w:rsidRPr="00E82A59">
        <w:t xml:space="preserve">a better understanding of </w:t>
      </w:r>
      <w:r>
        <w:t>how</w:t>
      </w:r>
      <w:r w:rsidRPr="00E82A59">
        <w:t xml:space="preserve"> stu</w:t>
      </w:r>
      <w:r w:rsidR="001464E9">
        <w:t xml:space="preserve">dents move between the sectors and </w:t>
      </w:r>
      <w:r w:rsidR="001464E9" w:rsidRPr="004C11FF">
        <w:rPr>
          <w:bCs/>
        </w:rPr>
        <w:t xml:space="preserve">would </w:t>
      </w:r>
      <w:r w:rsidR="00841FEA">
        <w:rPr>
          <w:bCs/>
        </w:rPr>
        <w:t>inform</w:t>
      </w:r>
      <w:r w:rsidR="001464E9" w:rsidRPr="004C11FF">
        <w:rPr>
          <w:bCs/>
        </w:rPr>
        <w:t xml:space="preserve"> public policy fo</w:t>
      </w:r>
      <w:r w:rsidR="001464E9">
        <w:rPr>
          <w:bCs/>
        </w:rPr>
        <w:t>rmulation</w:t>
      </w:r>
      <w:proofErr w:type="gramEnd"/>
      <w:r w:rsidR="001464E9">
        <w:rPr>
          <w:bCs/>
        </w:rPr>
        <w:t xml:space="preserve"> and program delivery</w:t>
      </w:r>
      <w:r w:rsidR="00841FEA">
        <w:rPr>
          <w:bCs/>
        </w:rPr>
        <w:t xml:space="preserve"> through evidence based data</w:t>
      </w:r>
      <w:r w:rsidR="001464E9">
        <w:rPr>
          <w:bCs/>
        </w:rPr>
        <w:t>.</w:t>
      </w:r>
      <w:r w:rsidR="00CD3EC0">
        <w:rPr>
          <w:bCs/>
        </w:rPr>
        <w:t xml:space="preserve"> </w:t>
      </w:r>
      <w:proofErr w:type="gramStart"/>
      <w:r w:rsidR="00CD3EC0">
        <w:rPr>
          <w:bCs/>
        </w:rPr>
        <w:t>Western Sydney University stated in its submission that the inability to track students across educational experiences is a significant impediment to effective student support and would strongly support linking student identifiers to encourage more tailored individual solutions that can better meet student needs and circumstances.</w:t>
      </w:r>
      <w:proofErr w:type="gramEnd"/>
      <w:r w:rsidR="00CD3EC0">
        <w:rPr>
          <w:bCs/>
        </w:rPr>
        <w:t xml:space="preserve"> </w:t>
      </w:r>
    </w:p>
    <w:p w14:paraId="7AAFB90F" w14:textId="77777777" w:rsidR="00147B48" w:rsidRDefault="00147B48">
      <w:pPr>
        <w:rPr>
          <w:bCs/>
        </w:rPr>
      </w:pPr>
      <w:r>
        <w:rPr>
          <w:bCs/>
        </w:rPr>
        <w:br w:type="page"/>
      </w:r>
    </w:p>
    <w:p w14:paraId="425B70C1" w14:textId="77777777" w:rsidR="00CD3EC0" w:rsidRPr="00CD3EC0" w:rsidRDefault="00CD3EC0" w:rsidP="00E82A59">
      <w:pPr>
        <w:rPr>
          <w:bCs/>
        </w:rPr>
      </w:pPr>
      <w:r>
        <w:rPr>
          <w:bCs/>
        </w:rPr>
        <w:t>The Grattan Institute stated:</w:t>
      </w:r>
    </w:p>
    <w:p w14:paraId="49018324" w14:textId="77777777" w:rsidR="000B7C82" w:rsidRDefault="000B7C82" w:rsidP="000B7C82">
      <w:pPr>
        <w:pStyle w:val="ListParagraph"/>
        <w:ind w:left="1080"/>
      </w:pPr>
      <w:r w:rsidRPr="00FC1030">
        <w:rPr>
          <w:i/>
        </w:rPr>
        <w:t xml:space="preserve">Having the ability to track students over time will help the government target resources on factors that drive desirable outcomes. The lack of linkages between vocational education and higher education sectors extends to the school and early childhood sectors. Many more students attend higher education now than in the past. Having the ability to track and understand what contributes to success is increasingly important. Many studies have shown that school characteristics and performance affect how well students do in higher education. </w:t>
      </w:r>
    </w:p>
    <w:p w14:paraId="5A10CC8D" w14:textId="77777777" w:rsidR="00AB200A" w:rsidRDefault="00BA7D60" w:rsidP="00AF4059">
      <w:r w:rsidRPr="00BA7D60">
        <w:t xml:space="preserve">As part of the 2017-18 Budget, the Government provided funding of $14.3 million to the department to develop the National Education Evidence Base to create a more complete picture of pathways through the Australian education system and enable </w:t>
      </w:r>
      <w:proofErr w:type="gramStart"/>
      <w:r w:rsidRPr="00BA7D60">
        <w:t>more connected analysis</w:t>
      </w:r>
      <w:proofErr w:type="gramEnd"/>
      <w:r w:rsidRPr="00BA7D60">
        <w:t xml:space="preserve">. It </w:t>
      </w:r>
      <w:proofErr w:type="gramStart"/>
      <w:r w:rsidRPr="00BA7D60">
        <w:t>is proposed</w:t>
      </w:r>
      <w:proofErr w:type="gramEnd"/>
      <w:r w:rsidRPr="00BA7D60">
        <w:t xml:space="preserve"> to establish a common student identifier as part of the National Education Evidence Base to better understand student pathw</w:t>
      </w:r>
      <w:r w:rsidR="00AB200A">
        <w:t xml:space="preserve">ays across tertiary education. </w:t>
      </w:r>
      <w:r w:rsidR="00F63110">
        <w:t xml:space="preserve">The </w:t>
      </w:r>
      <w:r w:rsidR="00AF4059">
        <w:t>Panel agrees with stakeholders</w:t>
      </w:r>
      <w:r>
        <w:t xml:space="preserve"> and supports the Government’s announcement</w:t>
      </w:r>
      <w:r w:rsidR="00AF4059">
        <w:t xml:space="preserve"> on this issue</w:t>
      </w:r>
      <w:r>
        <w:t>.</w:t>
      </w:r>
    </w:p>
    <w:p w14:paraId="51841A35" w14:textId="77777777" w:rsidR="00AF4059" w:rsidRPr="00AF4059" w:rsidRDefault="00AB200A" w:rsidP="00AF4059">
      <w:r>
        <w:t>The Panel</w:t>
      </w:r>
      <w:r w:rsidR="00BA7D60">
        <w:t xml:space="preserve"> </w:t>
      </w:r>
      <w:r w:rsidR="00AF4059">
        <w:t xml:space="preserve">reflects on </w:t>
      </w:r>
      <w:r w:rsidR="00BA7D60">
        <w:t xml:space="preserve">New Zealand’s establishment of a </w:t>
      </w:r>
      <w:r w:rsidR="00AF4059">
        <w:t>National Student Number (NSN</w:t>
      </w:r>
      <w:proofErr w:type="gramStart"/>
      <w:r w:rsidR="00AF4059">
        <w:t>) which</w:t>
      </w:r>
      <w:proofErr w:type="gramEnd"/>
      <w:r w:rsidR="00AF4059">
        <w:t xml:space="preserve"> </w:t>
      </w:r>
      <w:r w:rsidR="00AF4059" w:rsidRPr="00D30110">
        <w:t>is</w:t>
      </w:r>
      <w:r w:rsidR="00AF4059" w:rsidRPr="00AF4059">
        <w:t xml:space="preserve"> assigned to any student who is enrolled with an education provider</w:t>
      </w:r>
      <w:r w:rsidR="00AF4059">
        <w:t xml:space="preserve"> from early childhood education through to tertiary studies</w:t>
      </w:r>
      <w:r w:rsidR="00AF4059" w:rsidRPr="00AF4059">
        <w:t>. The NSN has been valuable for monitoring and ensuring student enrolment and attendance, ensuring education providers and students receive appropriate resourcing, statistical and research purposes, ensuring students educational records are accurately maintained and establishing and maintaining student identities to support student’ participation in online learning.</w:t>
      </w:r>
    </w:p>
    <w:p w14:paraId="53EE4D0D" w14:textId="77777777" w:rsidR="00F63110" w:rsidRPr="00FC1030" w:rsidRDefault="00AF4059" w:rsidP="00F63110">
      <w:r>
        <w:t xml:space="preserve">The Panel recommends the department </w:t>
      </w:r>
      <w:r w:rsidR="00F63110" w:rsidRPr="00FC1030">
        <w:t xml:space="preserve">establish a common student identifier </w:t>
      </w:r>
      <w:proofErr w:type="gramStart"/>
      <w:r w:rsidR="00F63110" w:rsidRPr="00FC1030">
        <w:t>to better understand</w:t>
      </w:r>
      <w:proofErr w:type="gramEnd"/>
      <w:r w:rsidR="00F63110" w:rsidRPr="00FC1030">
        <w:t xml:space="preserve"> student pathways across tertiary education with a view to</w:t>
      </w:r>
      <w:r w:rsidR="00430A4B">
        <w:t xml:space="preserve"> working with State and Territory G</w:t>
      </w:r>
      <w:r w:rsidR="001D657F">
        <w:t>overnments to</w:t>
      </w:r>
      <w:r w:rsidR="00F63110" w:rsidRPr="00FC1030">
        <w:t xml:space="preserve"> </w:t>
      </w:r>
      <w:r w:rsidR="001D657F">
        <w:t>expand</w:t>
      </w:r>
      <w:r w:rsidR="00F63110">
        <w:t xml:space="preserve"> the </w:t>
      </w:r>
      <w:r w:rsidR="00F63110" w:rsidRPr="00FC1030">
        <w:t xml:space="preserve">identifier </w:t>
      </w:r>
      <w:r w:rsidR="001D657F">
        <w:t>across all levels of schooling</w:t>
      </w:r>
      <w:r w:rsidR="00F63110">
        <w:t xml:space="preserve">. </w:t>
      </w:r>
    </w:p>
    <w:p w14:paraId="780ED7D7" w14:textId="77777777" w:rsidR="00B015FF" w:rsidRDefault="00B015FF" w:rsidP="00F8207E">
      <w:pPr>
        <w:pStyle w:val="Heading3"/>
      </w:pPr>
      <w:r>
        <w:t>A completions calculator</w:t>
      </w:r>
    </w:p>
    <w:p w14:paraId="6C7B576D" w14:textId="77777777" w:rsidR="008B406C" w:rsidRDefault="008B406C" w:rsidP="008B406C">
      <w:r>
        <w:t>There were</w:t>
      </w:r>
      <w:r w:rsidR="006B6B2E">
        <w:t xml:space="preserve"> strong arguments against the idea of a</w:t>
      </w:r>
      <w:r w:rsidRPr="00FC1030">
        <w:t xml:space="preserve"> completions calculator</w:t>
      </w:r>
      <w:r w:rsidR="006B6B2E">
        <w:t xml:space="preserve"> posed in the discussion paper.</w:t>
      </w:r>
      <w:r w:rsidR="00AF4059">
        <w:t xml:space="preserve"> One of the main claims was that it could </w:t>
      </w:r>
      <w:r w:rsidR="004455E5">
        <w:t xml:space="preserve">deter capable students from studying higher education. </w:t>
      </w:r>
      <w:r w:rsidR="00CD3EC0">
        <w:t>The University of Sydney stated in its submission:</w:t>
      </w:r>
    </w:p>
    <w:p w14:paraId="52D5E868" w14:textId="77777777" w:rsidR="0025638E" w:rsidRDefault="00CA5312" w:rsidP="00152E99">
      <w:pPr>
        <w:ind w:left="720"/>
        <w:rPr>
          <w:i/>
        </w:rPr>
      </w:pPr>
      <w:r>
        <w:rPr>
          <w:i/>
        </w:rPr>
        <w:t>..‘</w:t>
      </w:r>
      <w:proofErr w:type="gramStart"/>
      <w:r w:rsidR="005415D0">
        <w:rPr>
          <w:i/>
        </w:rPr>
        <w:t>completion</w:t>
      </w:r>
      <w:proofErr w:type="gramEnd"/>
      <w:r w:rsidR="005415D0">
        <w:rPr>
          <w:i/>
        </w:rPr>
        <w:t xml:space="preserve"> calculator</w:t>
      </w:r>
      <w:r w:rsidR="001F154B">
        <w:rPr>
          <w:i/>
        </w:rPr>
        <w:t>’</w:t>
      </w:r>
      <w:r w:rsidR="00152E99" w:rsidRPr="00152E99">
        <w:rPr>
          <w:i/>
        </w:rPr>
        <w:t xml:space="preserve">, may be counter-productive for certain groups of students. While some prospective students may be overly optimistic about their chances of successfully completing a course of study, for other prospective students, particularly those from disadvantaged backgrounds, a negative response on the ‘completion calculator’ is likely </w:t>
      </w:r>
      <w:r w:rsidR="006E7E00">
        <w:rPr>
          <w:i/>
        </w:rPr>
        <w:t xml:space="preserve">to </w:t>
      </w:r>
      <w:r w:rsidR="00152E99" w:rsidRPr="00152E99">
        <w:rPr>
          <w:i/>
        </w:rPr>
        <w:t>feed into an already-present negative internal view of the self as a potential student.</w:t>
      </w:r>
    </w:p>
    <w:p w14:paraId="7341C8B3" w14:textId="77777777" w:rsidR="00147B48" w:rsidRDefault="00147B48">
      <w:r>
        <w:br w:type="page"/>
      </w:r>
    </w:p>
    <w:p w14:paraId="3DBD82F3" w14:textId="77777777" w:rsidR="00FD732D" w:rsidRDefault="004455E5" w:rsidP="004455E5">
      <w:r>
        <w:t xml:space="preserve">While the Panel supports more information for students to make informed decisions, given the current amount of stakeholder concern, the Panel has not made a specific recommendation on the development of a </w:t>
      </w:r>
      <w:r w:rsidR="005415D0">
        <w:t xml:space="preserve">completions </w:t>
      </w:r>
      <w:r>
        <w:t xml:space="preserve">calculator in this report.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DBD2" w:themeFill="accent6" w:themeFillTint="33"/>
        <w:tblLook w:val="04A0" w:firstRow="1" w:lastRow="0" w:firstColumn="1" w:lastColumn="0" w:noHBand="0" w:noVBand="1"/>
      </w:tblPr>
      <w:tblGrid>
        <w:gridCol w:w="9026"/>
      </w:tblGrid>
      <w:tr w:rsidR="004A746F" w14:paraId="0C31957C" w14:textId="77777777" w:rsidTr="004A746F">
        <w:tc>
          <w:tcPr>
            <w:tcW w:w="9242" w:type="dxa"/>
            <w:shd w:val="clear" w:color="auto" w:fill="F1DBD2" w:themeFill="accent6" w:themeFillTint="33"/>
          </w:tcPr>
          <w:p w14:paraId="2A556AF0" w14:textId="77777777" w:rsidR="004A746F" w:rsidRPr="004A746F" w:rsidRDefault="00FD732D" w:rsidP="004A746F">
            <w:pPr>
              <w:rPr>
                <w:b/>
              </w:rPr>
            </w:pPr>
            <w:r>
              <w:rPr>
                <w:b/>
              </w:rPr>
              <w:t>R</w:t>
            </w:r>
            <w:r w:rsidR="004A746F" w:rsidRPr="004A746F">
              <w:rPr>
                <w:b/>
              </w:rPr>
              <w:t>ecommendations</w:t>
            </w:r>
          </w:p>
          <w:p w14:paraId="29F437AE" w14:textId="77777777" w:rsidR="00AB27C9" w:rsidRPr="00FC1030" w:rsidRDefault="00AB27C9" w:rsidP="00BD5416">
            <w:pPr>
              <w:pStyle w:val="ListParagraph"/>
              <w:numPr>
                <w:ilvl w:val="0"/>
                <w:numId w:val="28"/>
              </w:numPr>
            </w:pPr>
            <w:r w:rsidRPr="00FC1030">
              <w:t xml:space="preserve">The higher education community should </w:t>
            </w:r>
            <w:r>
              <w:t xml:space="preserve">work together with the Department of Education and Training to </w:t>
            </w:r>
            <w:r w:rsidRPr="00FC1030">
              <w:t xml:space="preserve">ensure a greater understanding and clarity of definitions in attrition, retention, </w:t>
            </w:r>
            <w:proofErr w:type="gramStart"/>
            <w:r w:rsidRPr="00FC1030">
              <w:t>success</w:t>
            </w:r>
            <w:proofErr w:type="gramEnd"/>
            <w:r w:rsidRPr="00FC1030">
              <w:t xml:space="preserve"> and completion</w:t>
            </w:r>
            <w:r>
              <w:t>s</w:t>
            </w:r>
            <w:r w:rsidRPr="00FC1030">
              <w:t xml:space="preserve"> data.</w:t>
            </w:r>
            <w:r>
              <w:t xml:space="preserve"> The Department should continue to measure and publish adjusted attrition, retention, </w:t>
            </w:r>
            <w:proofErr w:type="gramStart"/>
            <w:r>
              <w:t>student</w:t>
            </w:r>
            <w:proofErr w:type="gramEnd"/>
            <w:r>
              <w:t xml:space="preserve"> success and completions data. </w:t>
            </w:r>
          </w:p>
          <w:p w14:paraId="1908D46C" w14:textId="77777777" w:rsidR="00AB27C9" w:rsidRPr="00FC1030" w:rsidRDefault="00AB27C9" w:rsidP="00BD5416">
            <w:pPr>
              <w:pStyle w:val="ListParagraph"/>
              <w:numPr>
                <w:ilvl w:val="0"/>
                <w:numId w:val="28"/>
              </w:numPr>
            </w:pPr>
            <w:r>
              <w:t xml:space="preserve">At </w:t>
            </w:r>
            <w:proofErr w:type="gramStart"/>
            <w:r>
              <w:t>present</w:t>
            </w:r>
            <w:proofErr w:type="gramEnd"/>
            <w:r>
              <w:t xml:space="preserve"> some institutions have a trimester structure of teaching and this can lead to different timings for assessment, graduation and reporting. As a result, students who complete Semester 1 and 2 and enrol in Semester 3 but not Semester 4 </w:t>
            </w:r>
            <w:proofErr w:type="gramStart"/>
            <w:r>
              <w:t>are recorded</w:t>
            </w:r>
            <w:proofErr w:type="gramEnd"/>
            <w:r>
              <w:t xml:space="preserve"> as not completed. Consequently, t</w:t>
            </w:r>
            <w:r w:rsidRPr="00FC1030">
              <w:t xml:space="preserve">he definition of attrition </w:t>
            </w:r>
            <w:proofErr w:type="gramStart"/>
            <w:r w:rsidRPr="00FC1030">
              <w:t>should be changed</w:t>
            </w:r>
            <w:proofErr w:type="gramEnd"/>
            <w:r w:rsidRPr="00FC1030">
              <w:t xml:space="preserve"> to reflect </w:t>
            </w:r>
            <w:r>
              <w:t xml:space="preserve">the </w:t>
            </w:r>
            <w:r w:rsidRPr="00FC1030">
              <w:t xml:space="preserve">trimester </w:t>
            </w:r>
            <w:r>
              <w:t xml:space="preserve">teaching </w:t>
            </w:r>
            <w:r w:rsidRPr="00FC1030">
              <w:t>structure.</w:t>
            </w:r>
          </w:p>
          <w:p w14:paraId="02C9EE48" w14:textId="77777777" w:rsidR="00AB27C9" w:rsidRDefault="00AB27C9" w:rsidP="00BD5416">
            <w:pPr>
              <w:pStyle w:val="ListParagraph"/>
              <w:numPr>
                <w:ilvl w:val="0"/>
                <w:numId w:val="28"/>
              </w:numPr>
            </w:pPr>
            <w:r w:rsidRPr="00FC1030">
              <w:t xml:space="preserve">The adjusted attrition rate should be the </w:t>
            </w:r>
            <w:r>
              <w:t>primary</w:t>
            </w:r>
            <w:r w:rsidRPr="00FC1030">
              <w:t xml:space="preserve"> measure of attrition published for domestic commencing bachelor students. </w:t>
            </w:r>
          </w:p>
          <w:p w14:paraId="17C6F8BB" w14:textId="77777777" w:rsidR="00AB27C9" w:rsidRPr="00BD6232" w:rsidRDefault="00AB27C9" w:rsidP="00BD5416">
            <w:pPr>
              <w:pStyle w:val="ListParagraph"/>
              <w:numPr>
                <w:ilvl w:val="0"/>
                <w:numId w:val="28"/>
              </w:numPr>
            </w:pPr>
            <w:r w:rsidRPr="00BD6232">
              <w:t>The Department of Education and Training should further develop</w:t>
            </w:r>
            <w:r w:rsidR="00CE7B1F">
              <w:t xml:space="preserve"> and publish</w:t>
            </w:r>
            <w:r w:rsidRPr="00BD6232">
              <w:t xml:space="preserve"> the calculation of attrition rates that take into account key student characteristics </w:t>
            </w:r>
            <w:proofErr w:type="gramStart"/>
            <w:r>
              <w:t>so as to</w:t>
            </w:r>
            <w:proofErr w:type="gramEnd"/>
            <w:r>
              <w:t xml:space="preserve"> </w:t>
            </w:r>
            <w:r w:rsidRPr="00BD6232">
              <w:t xml:space="preserve">better reflect institutional differences. </w:t>
            </w:r>
          </w:p>
          <w:p w14:paraId="4740D6BB" w14:textId="77777777" w:rsidR="00AB27C9" w:rsidRPr="00CE291C" w:rsidRDefault="00AB27C9" w:rsidP="00BD5416">
            <w:pPr>
              <w:pStyle w:val="ListParagraph"/>
              <w:numPr>
                <w:ilvl w:val="0"/>
                <w:numId w:val="28"/>
              </w:numPr>
            </w:pPr>
            <w:r w:rsidRPr="00CE291C">
              <w:t xml:space="preserve">The Department of Education and Training should report attrition among non-university higher education providers on a similar basis </w:t>
            </w:r>
            <w:r>
              <w:t>to its reporting of</w:t>
            </w:r>
            <w:r w:rsidRPr="00FC1030">
              <w:t xml:space="preserve"> </w:t>
            </w:r>
            <w:r w:rsidRPr="00CE291C">
              <w:t>Table A and B universities.</w:t>
            </w:r>
          </w:p>
          <w:p w14:paraId="1D7AA8A4" w14:textId="77777777" w:rsidR="00AB27C9" w:rsidRPr="00FC1030" w:rsidRDefault="00AB27C9" w:rsidP="00BD5416">
            <w:pPr>
              <w:pStyle w:val="ListParagraph"/>
              <w:numPr>
                <w:ilvl w:val="0"/>
                <w:numId w:val="28"/>
              </w:numPr>
            </w:pPr>
            <w:r w:rsidRPr="00FC1030">
              <w:t>The Department of Education and Training should publish attrition data at more disaggregated levels, for example, by institution, by study area and by student characteristics.</w:t>
            </w:r>
          </w:p>
          <w:p w14:paraId="05A453DA" w14:textId="77777777" w:rsidR="004A746F" w:rsidRPr="001D657F" w:rsidRDefault="00AB27C9" w:rsidP="00BD5416">
            <w:pPr>
              <w:pStyle w:val="ListParagraph"/>
              <w:numPr>
                <w:ilvl w:val="0"/>
                <w:numId w:val="28"/>
              </w:numPr>
            </w:pPr>
            <w:r>
              <w:t xml:space="preserve">The Department of Education and Training should </w:t>
            </w:r>
            <w:r w:rsidRPr="00FC1030">
              <w:t xml:space="preserve">establish a common student identifier </w:t>
            </w:r>
            <w:proofErr w:type="gramStart"/>
            <w:r w:rsidRPr="00FC1030">
              <w:t>to better understand</w:t>
            </w:r>
            <w:proofErr w:type="gramEnd"/>
            <w:r w:rsidRPr="00FC1030">
              <w:t xml:space="preserve"> student pathways across tertiary education with a view to </w:t>
            </w:r>
            <w:r>
              <w:t xml:space="preserve">working with State and Territory Governments to establish a common student </w:t>
            </w:r>
            <w:r w:rsidRPr="00FC1030">
              <w:t xml:space="preserve">identifier </w:t>
            </w:r>
            <w:r>
              <w:t xml:space="preserve">across all levels of schooling. </w:t>
            </w:r>
          </w:p>
        </w:tc>
      </w:tr>
    </w:tbl>
    <w:p w14:paraId="65406DDE" w14:textId="77777777" w:rsidR="000B7C82" w:rsidRDefault="000B7C82" w:rsidP="000B7C82">
      <w:pPr>
        <w:rPr>
          <w:b/>
        </w:rPr>
      </w:pPr>
      <w:r>
        <w:rPr>
          <w:b/>
        </w:rPr>
        <w:br w:type="page"/>
      </w:r>
    </w:p>
    <w:p w14:paraId="73C3C3D9" w14:textId="77777777" w:rsidR="000B7C82" w:rsidRPr="00FD732D" w:rsidRDefault="000B7C82" w:rsidP="00FD732D">
      <w:pPr>
        <w:pStyle w:val="Heading1"/>
      </w:pPr>
      <w:bookmarkStart w:id="20" w:name="_Toc488181515"/>
      <w:bookmarkStart w:id="21" w:name="_Toc516120035"/>
      <w:r w:rsidRPr="00FD732D">
        <w:t>Accountability and regulation</w:t>
      </w:r>
      <w:bookmarkEnd w:id="20"/>
      <w:bookmarkEnd w:id="21"/>
      <w:r w:rsidRPr="00FD732D">
        <w:t xml:space="preserve"> </w:t>
      </w:r>
    </w:p>
    <w:p w14:paraId="383D52BE" w14:textId="77777777" w:rsidR="00F8421F" w:rsidRPr="00F8421F" w:rsidRDefault="00F8421F" w:rsidP="00F8421F">
      <w:r w:rsidRPr="00F8421F">
        <w:t>As stated in the discussion paper, TEQSA already possesses a clear mandate to oversee student attrition, retention and completion with a number of clauses explicitly requiring providers to ensure student success.</w:t>
      </w:r>
    </w:p>
    <w:p w14:paraId="239C270E" w14:textId="77777777" w:rsidR="00F8421F" w:rsidRPr="00F8421F" w:rsidRDefault="00F8421F" w:rsidP="00F8421F">
      <w:r w:rsidRPr="00F8421F">
        <w:t xml:space="preserve">TEQSA undertakes risk assessments of higher education providers and attrition as a risk factor in its assessment of providers. Risk ratings for indicators </w:t>
      </w:r>
      <w:proofErr w:type="gramStart"/>
      <w:r w:rsidRPr="00F8421F">
        <w:t>are derived</w:t>
      </w:r>
      <w:proofErr w:type="gramEnd"/>
      <w:r w:rsidRPr="00F8421F">
        <w:t xml:space="preserve"> by TEQSA giving consideration to risk thresholds and the specific circumstances of providers. This includes contextual information about the provider and information on the </w:t>
      </w:r>
      <w:r>
        <w:t>provider’s own risk controls, wh</w:t>
      </w:r>
      <w:r w:rsidRPr="00F8421F">
        <w:t xml:space="preserve">ere known to TEQSA. If TEQSA identifies potential risks, the provider is invited to discuss the risks and offer any further evidence that may </w:t>
      </w:r>
      <w:proofErr w:type="gramStart"/>
      <w:r w:rsidRPr="00F8421F">
        <w:t>impact</w:t>
      </w:r>
      <w:proofErr w:type="gramEnd"/>
      <w:r w:rsidRPr="00F8421F">
        <w:t xml:space="preserve"> the risk assessment. Data provided by a provider showing </w:t>
      </w:r>
      <w:r w:rsidR="00B83962">
        <w:t xml:space="preserve">an </w:t>
      </w:r>
      <w:r w:rsidRPr="00F8421F">
        <w:t>improving attrition rate will cont</w:t>
      </w:r>
      <w:r w:rsidR="002B1321">
        <w:t xml:space="preserve">ribute to a lower risk rating. </w:t>
      </w:r>
      <w:r w:rsidRPr="00F8421F">
        <w:t xml:space="preserve">This could be </w:t>
      </w:r>
      <w:proofErr w:type="gramStart"/>
      <w:r w:rsidRPr="00F8421F">
        <w:t>as a result</w:t>
      </w:r>
      <w:proofErr w:type="gramEnd"/>
      <w:r w:rsidRPr="00F8421F">
        <w:t xml:space="preserve"> of measures such as: </w:t>
      </w:r>
    </w:p>
    <w:p w14:paraId="38930A5F" w14:textId="77777777" w:rsidR="00F8421F" w:rsidRPr="00F8421F" w:rsidRDefault="00F8421F" w:rsidP="00A53BB5">
      <w:pPr>
        <w:pStyle w:val="ListParagraph"/>
        <w:numPr>
          <w:ilvl w:val="0"/>
          <w:numId w:val="11"/>
        </w:numPr>
      </w:pPr>
      <w:r w:rsidRPr="00F8421F">
        <w:t xml:space="preserve">identification and tracking of students at risk with support strategies/projects in place </w:t>
      </w:r>
    </w:p>
    <w:p w14:paraId="7C01A085" w14:textId="77777777" w:rsidR="00F8421F" w:rsidRPr="00F8421F" w:rsidRDefault="00F8421F" w:rsidP="00A53BB5">
      <w:pPr>
        <w:pStyle w:val="ListParagraph"/>
        <w:numPr>
          <w:ilvl w:val="0"/>
          <w:numId w:val="11"/>
        </w:numPr>
      </w:pPr>
      <w:r w:rsidRPr="00F8421F">
        <w:t xml:space="preserve">analysis of student performance in relation to admission </w:t>
      </w:r>
    </w:p>
    <w:p w14:paraId="65780F7E" w14:textId="77777777" w:rsidR="00F8421F" w:rsidRPr="00F8421F" w:rsidRDefault="00F8421F" w:rsidP="00A53BB5">
      <w:pPr>
        <w:pStyle w:val="ListParagraph"/>
        <w:numPr>
          <w:ilvl w:val="0"/>
          <w:numId w:val="11"/>
        </w:numPr>
      </w:pPr>
      <w:proofErr w:type="gramStart"/>
      <w:r w:rsidRPr="00F8421F">
        <w:t>evidence</w:t>
      </w:r>
      <w:proofErr w:type="gramEnd"/>
      <w:r w:rsidRPr="00F8421F">
        <w:t xml:space="preserve"> on reasons for attrition leading to adjusted attrition rate (e.g. data demonstrating significant proportion of students moving from a regional provider to another institution)</w:t>
      </w:r>
      <w:r>
        <w:t>.</w:t>
      </w:r>
      <w:r w:rsidRPr="00F8421F">
        <w:t xml:space="preserve"> </w:t>
      </w:r>
    </w:p>
    <w:p w14:paraId="49F7344F" w14:textId="77777777" w:rsidR="00F8421F" w:rsidRDefault="00F8421F" w:rsidP="00F8421F">
      <w:r w:rsidRPr="00F8421F">
        <w:t xml:space="preserve">Provider risk </w:t>
      </w:r>
      <w:proofErr w:type="gramStart"/>
      <w:r w:rsidRPr="00F8421F">
        <w:t>would also be mitigated</w:t>
      </w:r>
      <w:proofErr w:type="gramEnd"/>
      <w:r w:rsidRPr="00F8421F">
        <w:t xml:space="preserve"> if TEQSA can see providers identifying and tracking students at risk with support strategies/projects in place</w:t>
      </w:r>
      <w:r w:rsidR="006E7E00">
        <w:t>,</w:t>
      </w:r>
      <w:r w:rsidRPr="00F8421F">
        <w:t xml:space="preserve"> and potentially analysis of student performance in relation to admission. </w:t>
      </w:r>
    </w:p>
    <w:p w14:paraId="2B9E84E1" w14:textId="5879E086" w:rsidR="00CA5312" w:rsidRPr="00DB6F50" w:rsidRDefault="00CA5312" w:rsidP="00F8421F">
      <w:r w:rsidRPr="00BD6232">
        <w:t xml:space="preserve">In June </w:t>
      </w:r>
      <w:r w:rsidR="00E71D2A" w:rsidRPr="00BD6232">
        <w:t>2017,</w:t>
      </w:r>
      <w:r w:rsidRPr="00BD6232">
        <w:t xml:space="preserve"> TEQSA published its report, </w:t>
      </w:r>
      <w:r w:rsidRPr="00BD6232">
        <w:rPr>
          <w:i/>
        </w:rPr>
        <w:t>Characteristics of Australian higher education providers and their relation to first-year student attrition</w:t>
      </w:r>
      <w:r w:rsidRPr="00BD6232">
        <w:t xml:space="preserve">. This report identified </w:t>
      </w:r>
      <w:r w:rsidR="00DB6F50" w:rsidRPr="00BD6232">
        <w:t>characteristics</w:t>
      </w:r>
      <w:r w:rsidRPr="00BD6232">
        <w:t xml:space="preserve"> of higher </w:t>
      </w:r>
      <w:r w:rsidR="00DB6F50" w:rsidRPr="00BD6232">
        <w:t>e</w:t>
      </w:r>
      <w:r w:rsidRPr="00BD6232">
        <w:t xml:space="preserve">ducation </w:t>
      </w:r>
      <w:proofErr w:type="gramStart"/>
      <w:r w:rsidR="00DB6F50" w:rsidRPr="00BD6232">
        <w:t>institutions</w:t>
      </w:r>
      <w:r w:rsidRPr="00BD6232">
        <w:t xml:space="preserve"> which</w:t>
      </w:r>
      <w:proofErr w:type="gramEnd"/>
      <w:r w:rsidRPr="00BD6232">
        <w:t xml:space="preserve"> are associated with high levels of attrition and looked at how these characteristics might assist in </w:t>
      </w:r>
      <w:r w:rsidR="00DB6F50" w:rsidRPr="00BD6232">
        <w:t>identifying</w:t>
      </w:r>
      <w:r w:rsidRPr="00BD6232">
        <w:t xml:space="preserve"> potentially </w:t>
      </w:r>
      <w:r w:rsidR="00E71D2A" w:rsidRPr="00BD6232">
        <w:t>high-risk</w:t>
      </w:r>
      <w:r w:rsidRPr="00BD6232">
        <w:t xml:space="preserve"> </w:t>
      </w:r>
      <w:r w:rsidR="00DB6F50" w:rsidRPr="00BD6232">
        <w:t>institutions</w:t>
      </w:r>
      <w:r w:rsidRPr="00BD6232">
        <w:t xml:space="preserve"> and actions which might address these high levels of attrition.</w:t>
      </w:r>
      <w:r w:rsidR="00DB6F50" w:rsidRPr="00BD6232">
        <w:t xml:space="preserve"> </w:t>
      </w:r>
      <w:r w:rsidRPr="00BD6232">
        <w:t>TEQSA’</w:t>
      </w:r>
      <w:r w:rsidR="00DB6F50" w:rsidRPr="00BD6232">
        <w:t>s analysis</w:t>
      </w:r>
      <w:r w:rsidRPr="00BD6232">
        <w:t xml:space="preserve"> used aggregate whole of institution figures and provider characteristics</w:t>
      </w:r>
      <w:r w:rsidR="00DB6F50" w:rsidRPr="00BD6232">
        <w:t xml:space="preserve"> (for example the</w:t>
      </w:r>
      <w:r w:rsidRPr="00BD6232">
        <w:t xml:space="preserve"> size, number of senior academics, aggregate</w:t>
      </w:r>
      <w:r w:rsidR="00DB6F50" w:rsidRPr="00BD6232">
        <w:t xml:space="preserve"> field of study</w:t>
      </w:r>
      <w:r w:rsidRPr="00BD6232">
        <w:t xml:space="preserve"> </w:t>
      </w:r>
      <w:r w:rsidR="00DB6F50" w:rsidRPr="00BD6232">
        <w:t xml:space="preserve">and </w:t>
      </w:r>
      <w:r w:rsidRPr="00BD6232">
        <w:t xml:space="preserve">basis of admission) </w:t>
      </w:r>
      <w:r w:rsidR="00DB6F50" w:rsidRPr="00BD6232">
        <w:t xml:space="preserve">to inform their analysis. The analysis also included </w:t>
      </w:r>
      <w:r w:rsidRPr="00BD6232">
        <w:t xml:space="preserve">both undergraduate and postgraduate, and domestic and international first-year students. </w:t>
      </w:r>
      <w:r w:rsidR="00DB6F50" w:rsidRPr="00BD6232">
        <w:t>The department’s analysis of attrition uses unit record data for individual students and student characteristics (for example</w:t>
      </w:r>
      <w:r w:rsidR="00BD6232">
        <w:t xml:space="preserve"> age, individual field of study and</w:t>
      </w:r>
      <w:r w:rsidR="00DB6F50" w:rsidRPr="00BD6232">
        <w:t xml:space="preserve"> individual basis of admission) and only includes</w:t>
      </w:r>
      <w:r w:rsidRPr="00BD6232">
        <w:t xml:space="preserve"> domestic undergraduate first-year students. </w:t>
      </w:r>
      <w:r w:rsidR="00DB6F50" w:rsidRPr="00BD6232">
        <w:t>Overall, TEQSA and the department found the f</w:t>
      </w:r>
      <w:r w:rsidRPr="00BD6232">
        <w:t xml:space="preserve">actors </w:t>
      </w:r>
      <w:r w:rsidR="00DB6F50" w:rsidRPr="00BD6232">
        <w:t>which</w:t>
      </w:r>
      <w:r w:rsidRPr="00BD6232">
        <w:t xml:space="preserve"> </w:t>
      </w:r>
      <w:proofErr w:type="gramStart"/>
      <w:r w:rsidRPr="00BD6232">
        <w:t>impact on</w:t>
      </w:r>
      <w:proofErr w:type="gramEnd"/>
      <w:r w:rsidRPr="00BD6232">
        <w:t xml:space="preserve"> attrition </w:t>
      </w:r>
      <w:r w:rsidR="00DB6F50" w:rsidRPr="00BD6232">
        <w:t>to be</w:t>
      </w:r>
      <w:r w:rsidRPr="00BD6232">
        <w:t xml:space="preserve"> broadly similar </w:t>
      </w:r>
      <w:r w:rsidR="00B83962">
        <w:t>and their analyse</w:t>
      </w:r>
      <w:r w:rsidR="00DB6F50" w:rsidRPr="00BD6232">
        <w:t>s, while informed by different methodologies, are complementary.</w:t>
      </w:r>
      <w:r w:rsidR="00DB6F50" w:rsidRPr="00DB6F50">
        <w:t xml:space="preserve"> </w:t>
      </w:r>
    </w:p>
    <w:p w14:paraId="7B5C7ED5" w14:textId="77777777" w:rsidR="00D14E06" w:rsidRDefault="00D14E06">
      <w:r>
        <w:br w:type="page"/>
      </w:r>
    </w:p>
    <w:p w14:paraId="267A9C14" w14:textId="77777777" w:rsidR="00F8421F" w:rsidRPr="00F8421F" w:rsidRDefault="002B1321" w:rsidP="00F8421F">
      <w:pPr>
        <w:rPr>
          <w:rFonts w:ascii="Calibri" w:hAnsi="Calibri" w:cs="Calibri"/>
        </w:rPr>
      </w:pPr>
      <w:r>
        <w:t>F</w:t>
      </w:r>
      <w:r w:rsidR="00F8421F" w:rsidRPr="00F8421F">
        <w:t>eedback from stakeholders</w:t>
      </w:r>
      <w:r>
        <w:t xml:space="preserve"> generally</w:t>
      </w:r>
      <w:r w:rsidR="00F8421F" w:rsidRPr="00F8421F">
        <w:t xml:space="preserve"> indicates</w:t>
      </w:r>
      <w:r w:rsidR="008246F6">
        <w:t xml:space="preserve"> that </w:t>
      </w:r>
      <w:r w:rsidR="00F8421F" w:rsidRPr="00F8421F">
        <w:t>TEQSA’s powers in relation to provider compliance with the Higher Education Standards Framework are appropriate.</w:t>
      </w:r>
      <w:r w:rsidR="00B83962">
        <w:t> The Group of Eight stated:</w:t>
      </w:r>
    </w:p>
    <w:p w14:paraId="48C277EB" w14:textId="77777777" w:rsidR="00F8421F" w:rsidRDefault="00F8421F" w:rsidP="00F8421F">
      <w:pPr>
        <w:ind w:left="720"/>
      </w:pPr>
      <w:r w:rsidRPr="00F8421F">
        <w:rPr>
          <w:i/>
          <w:iCs/>
        </w:rPr>
        <w:t>…we would be concerned about any proposals to broaden TEQSA’s role or to enhance existing functions, both of which we feel are unnecessary.</w:t>
      </w:r>
      <w:r w:rsidRPr="00F8421F">
        <w:rPr>
          <w:i/>
          <w:iCs/>
          <w:sz w:val="14"/>
          <w:szCs w:val="14"/>
        </w:rPr>
        <w:t xml:space="preserve">  </w:t>
      </w:r>
      <w:r w:rsidRPr="00F8421F">
        <w:rPr>
          <w:i/>
          <w:iCs/>
        </w:rPr>
        <w:t xml:space="preserve">Such proposals would represent a level of regulatory creep that </w:t>
      </w:r>
      <w:proofErr w:type="gramStart"/>
      <w:r w:rsidRPr="00F8421F">
        <w:rPr>
          <w:i/>
          <w:iCs/>
        </w:rPr>
        <w:t>is not supported</w:t>
      </w:r>
      <w:proofErr w:type="gramEnd"/>
      <w:r w:rsidRPr="00F8421F">
        <w:rPr>
          <w:i/>
          <w:iCs/>
        </w:rPr>
        <w:t xml:space="preserve"> by evidence. Based on the high-level evidence presented in the Panel’s paper and in the TEQSA paper, there may be a basis for TEQSA to take a more investigative approach with respect to some providers and some student cohorts. Such an approach — within the existing regulatory and quality assurance framework — would be appropriate.</w:t>
      </w:r>
      <w:r w:rsidRPr="00F8421F">
        <w:t xml:space="preserve"> </w:t>
      </w:r>
    </w:p>
    <w:p w14:paraId="677F453D" w14:textId="77777777" w:rsidR="00B83962" w:rsidRPr="00F8421F" w:rsidRDefault="00B83962" w:rsidP="00B83962">
      <w:r>
        <w:t>Universities Australia stated:</w:t>
      </w:r>
    </w:p>
    <w:p w14:paraId="18903152" w14:textId="77777777" w:rsidR="00F8421F" w:rsidRPr="00F8421F" w:rsidRDefault="00F8421F" w:rsidP="00F8421F">
      <w:pPr>
        <w:ind w:left="720"/>
      </w:pPr>
      <w:r w:rsidRPr="00F8421F">
        <w:rPr>
          <w:i/>
          <w:iCs/>
        </w:rPr>
        <w:t xml:space="preserve">TEQSA has sufficient powers. Its normal processes, focusing on risk, necessity and proportionality, are adequate to identify any provider that has an upward trend in, or sustained high levels of, unexplained attrition. The agency has appropriate powers of intervention to address any instance that may arise. </w:t>
      </w:r>
    </w:p>
    <w:p w14:paraId="6EC0C970" w14:textId="77777777" w:rsidR="00BA7D60" w:rsidRDefault="00F8421F" w:rsidP="00F8421F">
      <w:r w:rsidRPr="00F8421F">
        <w:t xml:space="preserve">In its submission, TEQSA </w:t>
      </w:r>
      <w:r w:rsidR="008246F6">
        <w:t>also believed that its powers are appropriate</w:t>
      </w:r>
      <w:r w:rsidR="00BA7D60">
        <w:t>:</w:t>
      </w:r>
    </w:p>
    <w:p w14:paraId="74FCC5CB" w14:textId="77777777" w:rsidR="00F8421F" w:rsidRDefault="00BA7D60" w:rsidP="00BA7D60">
      <w:pPr>
        <w:ind w:left="720"/>
        <w:rPr>
          <w:i/>
        </w:rPr>
      </w:pPr>
      <w:r w:rsidRPr="00BA7D60">
        <w:rPr>
          <w:i/>
        </w:rPr>
        <w:t>TEQSA believes</w:t>
      </w:r>
      <w:r w:rsidR="00F8421F" w:rsidRPr="00BA7D60">
        <w:rPr>
          <w:i/>
        </w:rPr>
        <w:t xml:space="preserve"> its powers in relation to provider compliance with the Higher Education Stand</w:t>
      </w:r>
      <w:r w:rsidR="00D14E06">
        <w:rPr>
          <w:i/>
        </w:rPr>
        <w:t>ards Framework are appropriate.</w:t>
      </w:r>
    </w:p>
    <w:p w14:paraId="203D038B" w14:textId="77777777" w:rsidR="000A7B06" w:rsidRPr="000A7B06" w:rsidRDefault="00003C45" w:rsidP="000A7B06">
      <w:pPr>
        <w:rPr>
          <w:rFonts w:eastAsia="Times New Roman"/>
        </w:rPr>
      </w:pPr>
      <w:r>
        <w:t xml:space="preserve">The Panel agrees with </w:t>
      </w:r>
      <w:proofErr w:type="gramStart"/>
      <w:r>
        <w:t>this</w:t>
      </w:r>
      <w:proofErr w:type="gramEnd"/>
      <w:r w:rsidR="002947B0" w:rsidRPr="002947B0">
        <w:t xml:space="preserve"> assessment that TEQSA already </w:t>
      </w:r>
      <w:r w:rsidR="000A7B06" w:rsidRPr="000A7B06">
        <w:rPr>
          <w:rFonts w:eastAsia="Times New Roman"/>
        </w:rPr>
        <w:t>has sufficient powers in relation to provider compliance with the Higher Education Standards Framework</w:t>
      </w:r>
      <w:r w:rsidR="000A7B06">
        <w:rPr>
          <w:rFonts w:eastAsia="Times New Roman"/>
        </w:rPr>
        <w:t xml:space="preserve"> and considers</w:t>
      </w:r>
      <w:r w:rsidR="000A7B06" w:rsidRPr="000A7B06">
        <w:rPr>
          <w:rFonts w:eastAsia="Times New Roman"/>
        </w:rPr>
        <w:t xml:space="preserve"> TEQSA should continue to take account of every institution’s retention performance in assessing whether these standards are being met.</w:t>
      </w:r>
      <w:r w:rsidR="00CE291C">
        <w:rPr>
          <w:rFonts w:eastAsia="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DBD2" w:themeFill="accent6" w:themeFillTint="33"/>
        <w:tblLook w:val="04A0" w:firstRow="1" w:lastRow="0" w:firstColumn="1" w:lastColumn="0" w:noHBand="0" w:noVBand="1"/>
      </w:tblPr>
      <w:tblGrid>
        <w:gridCol w:w="9026"/>
      </w:tblGrid>
      <w:tr w:rsidR="00631C2F" w14:paraId="0DC70015" w14:textId="77777777" w:rsidTr="00B23798">
        <w:tc>
          <w:tcPr>
            <w:tcW w:w="9242" w:type="dxa"/>
            <w:shd w:val="clear" w:color="auto" w:fill="F1DBD2" w:themeFill="accent6" w:themeFillTint="33"/>
          </w:tcPr>
          <w:p w14:paraId="5FBDBCA4" w14:textId="77777777" w:rsidR="00631C2F" w:rsidRPr="004A746F" w:rsidRDefault="00631C2F" w:rsidP="00B23798">
            <w:pPr>
              <w:rPr>
                <w:b/>
              </w:rPr>
            </w:pPr>
            <w:r>
              <w:rPr>
                <w:b/>
              </w:rPr>
              <w:t>R</w:t>
            </w:r>
            <w:r w:rsidRPr="004A746F">
              <w:rPr>
                <w:b/>
              </w:rPr>
              <w:t>ecommendations</w:t>
            </w:r>
          </w:p>
          <w:p w14:paraId="0CFAD4EB" w14:textId="77777777" w:rsidR="00631C2F" w:rsidRPr="00AB27C9" w:rsidRDefault="00AB27C9" w:rsidP="00BD5416">
            <w:pPr>
              <w:pStyle w:val="ListParagraph"/>
              <w:numPr>
                <w:ilvl w:val="0"/>
                <w:numId w:val="28"/>
              </w:numPr>
              <w:rPr>
                <w:rFonts w:eastAsia="Times New Roman"/>
              </w:rPr>
            </w:pPr>
            <w:r w:rsidRPr="00BD5416">
              <w:t xml:space="preserve">TEQSA already has sufficient powers in relation to provider compliance with the Higher Education Standards Framework in terms of the identification and tracking of students at risk with support strategies in place, analysis of student performance and evidence on reasons for attrition. TEQSA should continue to take account of every institution’s retention performance in assessing whether these standards </w:t>
            </w:r>
            <w:proofErr w:type="gramStart"/>
            <w:r w:rsidRPr="00BD5416">
              <w:t>are being met</w:t>
            </w:r>
            <w:proofErr w:type="gramEnd"/>
            <w:r w:rsidRPr="00BD5416">
              <w:t>.</w:t>
            </w:r>
            <w:r w:rsidRPr="00284A0C">
              <w:rPr>
                <w:rFonts w:eastAsia="Times New Roman"/>
              </w:rPr>
              <w:t xml:space="preserve">  </w:t>
            </w:r>
          </w:p>
        </w:tc>
      </w:tr>
    </w:tbl>
    <w:p w14:paraId="265AEEC3" w14:textId="77777777" w:rsidR="00F8421F" w:rsidRDefault="00F8421F">
      <w:pPr>
        <w:rPr>
          <w:rFonts w:ascii="Calibri" w:eastAsiaTheme="majorEastAsia" w:hAnsi="Calibri" w:cstheme="majorBidi"/>
          <w:b/>
          <w:bCs/>
          <w:color w:val="522761"/>
          <w:sz w:val="36"/>
          <w:szCs w:val="28"/>
        </w:rPr>
      </w:pPr>
      <w:bookmarkStart w:id="22" w:name="_Toc488181516"/>
      <w:r>
        <w:br w:type="page"/>
      </w:r>
    </w:p>
    <w:p w14:paraId="09866D1C" w14:textId="77777777" w:rsidR="001A7D00" w:rsidRPr="005D211A" w:rsidRDefault="001A7D00" w:rsidP="001A7D00">
      <w:pPr>
        <w:pStyle w:val="Heading1"/>
      </w:pPr>
      <w:bookmarkStart w:id="23" w:name="_Toc488181518"/>
      <w:bookmarkStart w:id="24" w:name="_Toc516120036"/>
      <w:bookmarkEnd w:id="22"/>
      <w:r>
        <w:rPr>
          <w:rFonts w:eastAsia="Times New Roman"/>
        </w:rPr>
        <w:t>Appendix A</w:t>
      </w:r>
      <w:r w:rsidRPr="00736609">
        <w:rPr>
          <w:rFonts w:eastAsia="Times New Roman"/>
        </w:rPr>
        <w:t xml:space="preserve"> –</w:t>
      </w:r>
      <w:r>
        <w:rPr>
          <w:rFonts w:eastAsia="Times New Roman"/>
        </w:rPr>
        <w:t xml:space="preserve"> </w:t>
      </w:r>
      <w:r>
        <w:t>Regression analysis</w:t>
      </w:r>
      <w:bookmarkEnd w:id="24"/>
      <w:r>
        <w:t xml:space="preserve"> </w:t>
      </w:r>
    </w:p>
    <w:p w14:paraId="05147C7B" w14:textId="77777777" w:rsidR="001A7D00" w:rsidRDefault="001A7D00" w:rsidP="001A7D00">
      <w:r>
        <w:t xml:space="preserve">Research suggests student attrition is the result of a mix of personal and education related factors. While institutions may have limited ability to influence personal factors, for example, through student support, they have greater scope to influence education related factors </w:t>
      </w:r>
      <w:proofErr w:type="gramStart"/>
      <w:r>
        <w:t>impacting on</w:t>
      </w:r>
      <w:proofErr w:type="gramEnd"/>
      <w:r>
        <w:t xml:space="preserve"> attrition. </w:t>
      </w:r>
    </w:p>
    <w:p w14:paraId="7DF81BB9" w14:textId="77777777" w:rsidR="001A7D00" w:rsidRDefault="001A7D00" w:rsidP="001A7D00">
      <w:r>
        <w:t xml:space="preserve">Measuring the influence of institution on attrition </w:t>
      </w:r>
      <w:proofErr w:type="gramStart"/>
      <w:r>
        <w:t>is confounded</w:t>
      </w:r>
      <w:proofErr w:type="gramEnd"/>
      <w:r>
        <w:t xml:space="preserve"> by student characteristics. For example, inspection of adjusted attrition rates in Table A1 (a repeat of Table 10 for ease of exposition) shows many institutions with high attrition also tend to have a high proportion of external students. On the other hand, many institutions with lower attrition tend to have selective intakes of more academically able students. Regression techniques </w:t>
      </w:r>
      <w:r w:rsidRPr="0052478B">
        <w:t xml:space="preserve">permit calculation of </w:t>
      </w:r>
      <w:r>
        <w:t xml:space="preserve">‘modified’ </w:t>
      </w:r>
      <w:r w:rsidRPr="0052478B">
        <w:t xml:space="preserve">attrition rates for each institution </w:t>
      </w:r>
      <w:r>
        <w:t>to allow</w:t>
      </w:r>
      <w:r w:rsidRPr="0052478B">
        <w:t xml:space="preserve"> for the influence of student characteristics. For example, knowing external students have higher attrition, a benchmark </w:t>
      </w:r>
      <w:proofErr w:type="gramStart"/>
      <w:r w:rsidRPr="0052478B">
        <w:t>is calculated</w:t>
      </w:r>
      <w:proofErr w:type="gramEnd"/>
      <w:r w:rsidRPr="0052478B">
        <w:t xml:space="preserve"> for external attrition and the difference between the actual result and the benchmark can be identified as the institutional effect. In effect, institutions</w:t>
      </w:r>
      <w:r>
        <w:t xml:space="preserve"> are on a ‘level playing field’. However, there is a caveat that regression techniques fail to capture the influence of many other factors that </w:t>
      </w:r>
      <w:proofErr w:type="gramStart"/>
      <w:r>
        <w:t>impact on</w:t>
      </w:r>
      <w:proofErr w:type="gramEnd"/>
      <w:r>
        <w:t xml:space="preserve"> attrition such as motivation and resilience. Usually these factors </w:t>
      </w:r>
      <w:proofErr w:type="gramStart"/>
      <w:r>
        <w:t>are not readily measured and hence not captured by regression models</w:t>
      </w:r>
      <w:proofErr w:type="gramEnd"/>
      <w:r>
        <w:t>.</w:t>
      </w:r>
    </w:p>
    <w:p w14:paraId="324C8C62" w14:textId="77777777" w:rsidR="001A7D00" w:rsidRDefault="001A7D00" w:rsidP="001A7D00">
      <w:r>
        <w:t xml:space="preserve">Table A1 shows ‘modified for student distribution’ attrition rates for domestic bachelor commencing students for all institutions in receipt of Commonwealth Grant Scheme (CGS) funding. This includes all 37 Table </w:t>
      </w:r>
      <w:proofErr w:type="gramStart"/>
      <w:r>
        <w:t>A</w:t>
      </w:r>
      <w:proofErr w:type="gramEnd"/>
      <w:r>
        <w:t xml:space="preserve"> universities, one Table B university, the University of Notre Dame Australia and, six non-university higher education providers (NUHEPs). ‘Modified’ institutional attrition rates are calculated using the standard Ordinary Least Squares (OLS) technique</w:t>
      </w:r>
      <w:r>
        <w:rPr>
          <w:rStyle w:val="FootnoteReference"/>
        </w:rPr>
        <w:footnoteReference w:id="10"/>
      </w:r>
      <w:r>
        <w:t xml:space="preserve"> and also the logit estimation </w:t>
      </w:r>
      <w:proofErr w:type="gramStart"/>
      <w:r>
        <w:t>technique which</w:t>
      </w:r>
      <w:proofErr w:type="gramEnd"/>
      <w:r>
        <w:t xml:space="preserve"> acknowledges the discrete nature of attrition, that is, a student is either </w:t>
      </w:r>
      <w:proofErr w:type="spellStart"/>
      <w:r>
        <w:t>attrited</w:t>
      </w:r>
      <w:proofErr w:type="spellEnd"/>
      <w:r>
        <w:t xml:space="preserve"> or not </w:t>
      </w:r>
      <w:proofErr w:type="spellStart"/>
      <w:r>
        <w:t>attrited</w:t>
      </w:r>
      <w:proofErr w:type="spellEnd"/>
      <w:r>
        <w:t xml:space="preserve">. In more technical terms, logit estimation is a closer approximation to the actual attrition behaviour of individual students where attrition takes the value of </w:t>
      </w:r>
      <w:proofErr w:type="gramStart"/>
      <w:r>
        <w:t>1</w:t>
      </w:r>
      <w:proofErr w:type="gramEnd"/>
      <w:r>
        <w:t xml:space="preserve"> and non-attrition takes a value of 0.</w:t>
      </w:r>
    </w:p>
    <w:p w14:paraId="3DB24EF6" w14:textId="77777777" w:rsidR="001A7D00" w:rsidRDefault="001A7D00" w:rsidP="001A7D00">
      <w:r>
        <w:t xml:space="preserve">Controlling for student characteristics certainly makes a difference, as shown by Table A1. Institutions with low adjusted attrition rates generally have higher ‘modified’ attrition rates while institutions with </w:t>
      </w:r>
      <w:proofErr w:type="gramStart"/>
      <w:r>
        <w:t>high adjusted</w:t>
      </w:r>
      <w:proofErr w:type="gramEnd"/>
      <w:r>
        <w:t xml:space="preserve"> attrition rates generally have lower ‘modified’ attrition rates. Controlling for student characteristics reduces variation in institutional attrition rates by just under half. The standard deviation of adjusted institutional attrition rates is 7.5 percentage </w:t>
      </w:r>
      <w:proofErr w:type="gramStart"/>
      <w:r>
        <w:t>points which reduces to 4.4 percentage points for the OLS method</w:t>
      </w:r>
      <w:proofErr w:type="gramEnd"/>
      <w:r>
        <w:t xml:space="preserve"> and 4.3 percentage points for the logit method, as shown by Table A1.</w:t>
      </w:r>
    </w:p>
    <w:p w14:paraId="7C8C1884" w14:textId="77777777" w:rsidR="001A7D00" w:rsidRDefault="001A7D00" w:rsidP="001A7D00">
      <w:r>
        <w:br w:type="page"/>
      </w:r>
    </w:p>
    <w:p w14:paraId="25958866" w14:textId="77777777" w:rsidR="001A7D00" w:rsidRDefault="001A7D00" w:rsidP="001A7D00">
      <w:r>
        <w:t xml:space="preserve">However, it is interesting to observe, notwithstanding controlling for student characteristics, that institutions with a low adjusted attrition rate still have ‘modified’ attrition rates that are below average. Conversely, institutions with </w:t>
      </w:r>
      <w:proofErr w:type="gramStart"/>
      <w:r>
        <w:t>high adjusted</w:t>
      </w:r>
      <w:proofErr w:type="gramEnd"/>
      <w:r>
        <w:t xml:space="preserve"> attrition rates still have ‘modified’ attrition rates that are above average. Controlling for student characteristics appears to make very little difference to the relative performance of institutions in terms of measured attrition rates. The rank correlation coefficient between pairwise comparisons of adjusted, OLS and logit estimates of institutional attrition rates are very high at around 0.90 or higher, as shown by Table A2. While institutions are keen to ensure their mission </w:t>
      </w:r>
      <w:proofErr w:type="gramStart"/>
      <w:r>
        <w:t>is reflected</w:t>
      </w:r>
      <w:proofErr w:type="gramEnd"/>
      <w:r>
        <w:t xml:space="preserve">, measuring the relative performance of institutions using adjusted attrition rates may be sufficient, avoiding a descent into unresolvable technical arguments. </w:t>
      </w:r>
    </w:p>
    <w:p w14:paraId="749E820D" w14:textId="77777777" w:rsidR="001A7D00" w:rsidRDefault="001A7D00" w:rsidP="001A7D00">
      <w:pPr>
        <w:rPr>
          <w:b/>
        </w:rPr>
      </w:pPr>
      <w:r>
        <w:rPr>
          <w:b/>
        </w:rPr>
        <w:br w:type="page"/>
      </w:r>
    </w:p>
    <w:p w14:paraId="7FF0141F" w14:textId="77777777" w:rsidR="001A7D00" w:rsidRPr="00536007" w:rsidRDefault="001A7D00" w:rsidP="001A7D00">
      <w:pPr>
        <w:rPr>
          <w:b/>
        </w:rPr>
      </w:pPr>
      <w:r w:rsidRPr="00536007">
        <w:rPr>
          <w:b/>
        </w:rPr>
        <w:t xml:space="preserve">Table </w:t>
      </w:r>
      <w:r>
        <w:rPr>
          <w:b/>
        </w:rPr>
        <w:t>A</w:t>
      </w:r>
      <w:r w:rsidRPr="00536007">
        <w:rPr>
          <w:b/>
        </w:rPr>
        <w:t xml:space="preserve">1: </w:t>
      </w:r>
      <w:r>
        <w:rPr>
          <w:b/>
        </w:rPr>
        <w:t>Adjusted</w:t>
      </w:r>
      <w:r w:rsidRPr="00536007">
        <w:rPr>
          <w:b/>
        </w:rPr>
        <w:t xml:space="preserve"> and ‘</w:t>
      </w:r>
      <w:r>
        <w:rPr>
          <w:b/>
        </w:rPr>
        <w:t>modified for student distribution</w:t>
      </w:r>
      <w:r w:rsidRPr="00536007">
        <w:rPr>
          <w:b/>
        </w:rPr>
        <w:t>’ institutional attrition rates, domestic bachelor commencing students, 2014, per cent</w:t>
      </w:r>
    </w:p>
    <w:tbl>
      <w:tblPr>
        <w:tblStyle w:val="TableGrid"/>
        <w:tblW w:w="9180" w:type="dxa"/>
        <w:tblBorders>
          <w:top w:val="single" w:sz="12" w:space="0" w:color="CF9A3E" w:themeColor="accent5"/>
          <w:left w:val="none" w:sz="0" w:space="0" w:color="auto"/>
          <w:bottom w:val="single" w:sz="12" w:space="0" w:color="CF9A3E" w:themeColor="accent5"/>
          <w:right w:val="none" w:sz="0" w:space="0" w:color="auto"/>
          <w:insideH w:val="none" w:sz="0" w:space="0" w:color="auto"/>
          <w:insideV w:val="none" w:sz="0" w:space="0" w:color="auto"/>
        </w:tblBorders>
        <w:tblLook w:val="04A0" w:firstRow="1" w:lastRow="0" w:firstColumn="1" w:lastColumn="0" w:noHBand="0" w:noVBand="1"/>
      </w:tblPr>
      <w:tblGrid>
        <w:gridCol w:w="3794"/>
        <w:gridCol w:w="1795"/>
        <w:gridCol w:w="1795"/>
        <w:gridCol w:w="1796"/>
      </w:tblGrid>
      <w:tr w:rsidR="001A7D00" w:rsidRPr="00C462FB" w14:paraId="4CDD6696" w14:textId="77777777" w:rsidTr="00160409">
        <w:trPr>
          <w:tblHeader/>
        </w:trPr>
        <w:tc>
          <w:tcPr>
            <w:tcW w:w="3794" w:type="dxa"/>
            <w:tcBorders>
              <w:top w:val="single" w:sz="12" w:space="0" w:color="CF9A3E" w:themeColor="accent5"/>
              <w:bottom w:val="single" w:sz="12" w:space="0" w:color="CF9A3E" w:themeColor="accent5"/>
            </w:tcBorders>
            <w:shd w:val="clear" w:color="auto" w:fill="auto"/>
          </w:tcPr>
          <w:p w14:paraId="3840DC94" w14:textId="77777777" w:rsidR="001A7D00" w:rsidRPr="00C462FB" w:rsidRDefault="001A7D00" w:rsidP="00160409">
            <w:pPr>
              <w:rPr>
                <w:rFonts w:cstheme="minorHAnsi"/>
                <w:b/>
                <w:sz w:val="20"/>
                <w:szCs w:val="20"/>
              </w:rPr>
            </w:pPr>
            <w:r w:rsidRPr="00C462FB">
              <w:rPr>
                <w:rFonts w:cstheme="minorHAnsi"/>
                <w:b/>
                <w:sz w:val="20"/>
                <w:szCs w:val="20"/>
              </w:rPr>
              <w:t>Institution</w:t>
            </w:r>
          </w:p>
        </w:tc>
        <w:tc>
          <w:tcPr>
            <w:tcW w:w="1795" w:type="dxa"/>
            <w:tcBorders>
              <w:top w:val="single" w:sz="12" w:space="0" w:color="CF9A3E" w:themeColor="accent5"/>
              <w:bottom w:val="single" w:sz="12" w:space="0" w:color="CF9A3E" w:themeColor="accent5"/>
            </w:tcBorders>
            <w:shd w:val="clear" w:color="auto" w:fill="auto"/>
          </w:tcPr>
          <w:p w14:paraId="2B5AE239" w14:textId="77777777" w:rsidR="001A7D00" w:rsidRPr="00C462FB" w:rsidRDefault="001A7D00" w:rsidP="00160409">
            <w:pPr>
              <w:jc w:val="center"/>
              <w:rPr>
                <w:rFonts w:cstheme="minorHAnsi"/>
                <w:b/>
                <w:sz w:val="20"/>
                <w:szCs w:val="20"/>
              </w:rPr>
            </w:pPr>
            <w:r w:rsidRPr="00C462FB">
              <w:rPr>
                <w:rFonts w:cstheme="minorHAnsi"/>
                <w:b/>
                <w:sz w:val="20"/>
                <w:szCs w:val="20"/>
              </w:rPr>
              <w:t>Adjusted attrition rate</w:t>
            </w:r>
          </w:p>
        </w:tc>
        <w:tc>
          <w:tcPr>
            <w:tcW w:w="1795" w:type="dxa"/>
            <w:tcBorders>
              <w:top w:val="single" w:sz="12" w:space="0" w:color="CF9A3E" w:themeColor="accent5"/>
              <w:bottom w:val="single" w:sz="12" w:space="0" w:color="CF9A3E" w:themeColor="accent5"/>
            </w:tcBorders>
            <w:shd w:val="clear" w:color="auto" w:fill="auto"/>
          </w:tcPr>
          <w:p w14:paraId="58A570FC" w14:textId="77777777" w:rsidR="001A7D00" w:rsidRPr="00C462FB" w:rsidRDefault="001A7D00" w:rsidP="00160409">
            <w:pPr>
              <w:jc w:val="center"/>
              <w:rPr>
                <w:rFonts w:cstheme="minorHAnsi"/>
                <w:b/>
                <w:sz w:val="20"/>
                <w:szCs w:val="20"/>
              </w:rPr>
            </w:pPr>
            <w:r w:rsidRPr="00C462FB">
              <w:rPr>
                <w:rFonts w:cstheme="minorHAnsi"/>
                <w:b/>
                <w:sz w:val="20"/>
                <w:szCs w:val="20"/>
              </w:rPr>
              <w:t>OLS ‘modified’ attrition rate</w:t>
            </w:r>
          </w:p>
        </w:tc>
        <w:tc>
          <w:tcPr>
            <w:tcW w:w="1796" w:type="dxa"/>
            <w:tcBorders>
              <w:top w:val="single" w:sz="12" w:space="0" w:color="CF9A3E" w:themeColor="accent5"/>
              <w:bottom w:val="single" w:sz="12" w:space="0" w:color="CF9A3E" w:themeColor="accent5"/>
            </w:tcBorders>
            <w:shd w:val="clear" w:color="auto" w:fill="auto"/>
          </w:tcPr>
          <w:p w14:paraId="5DEC49F0" w14:textId="77777777" w:rsidR="001A7D00" w:rsidRPr="00C462FB" w:rsidRDefault="001A7D00" w:rsidP="00160409">
            <w:pPr>
              <w:jc w:val="center"/>
              <w:rPr>
                <w:rFonts w:cstheme="minorHAnsi"/>
                <w:b/>
                <w:sz w:val="20"/>
                <w:szCs w:val="20"/>
              </w:rPr>
            </w:pPr>
            <w:r w:rsidRPr="00C462FB">
              <w:rPr>
                <w:rFonts w:cstheme="minorHAnsi"/>
                <w:b/>
                <w:sz w:val="20"/>
                <w:szCs w:val="20"/>
              </w:rPr>
              <w:t>Logit ‘modified’ attrition rate</w:t>
            </w:r>
          </w:p>
        </w:tc>
      </w:tr>
      <w:tr w:rsidR="001A7D00" w:rsidRPr="00C462FB" w14:paraId="517B7FCF" w14:textId="77777777" w:rsidTr="00160409">
        <w:tc>
          <w:tcPr>
            <w:tcW w:w="3794" w:type="dxa"/>
            <w:tcBorders>
              <w:top w:val="single" w:sz="12" w:space="0" w:color="CF9A3E" w:themeColor="accent5"/>
            </w:tcBorders>
            <w:vAlign w:val="bottom"/>
          </w:tcPr>
          <w:p w14:paraId="64B55FA2" w14:textId="77777777" w:rsidR="001A7D00" w:rsidRPr="00C462FB" w:rsidRDefault="001A7D00" w:rsidP="00160409">
            <w:pPr>
              <w:rPr>
                <w:rFonts w:cstheme="minorHAnsi"/>
                <w:color w:val="000000"/>
                <w:sz w:val="20"/>
                <w:szCs w:val="20"/>
              </w:rPr>
            </w:pPr>
            <w:r w:rsidRPr="00C462FB">
              <w:rPr>
                <w:rFonts w:cstheme="minorHAnsi"/>
                <w:color w:val="000000"/>
                <w:sz w:val="20"/>
                <w:szCs w:val="20"/>
              </w:rPr>
              <w:t>The University of Melbourne</w:t>
            </w:r>
          </w:p>
        </w:tc>
        <w:tc>
          <w:tcPr>
            <w:tcW w:w="1795" w:type="dxa"/>
            <w:tcBorders>
              <w:top w:val="single" w:sz="12" w:space="0" w:color="CF9A3E" w:themeColor="accent5"/>
            </w:tcBorders>
            <w:vAlign w:val="bottom"/>
          </w:tcPr>
          <w:p w14:paraId="1D22AD3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3.7</w:t>
            </w:r>
          </w:p>
        </w:tc>
        <w:tc>
          <w:tcPr>
            <w:tcW w:w="1795" w:type="dxa"/>
            <w:tcBorders>
              <w:top w:val="single" w:sz="12" w:space="0" w:color="CF9A3E" w:themeColor="accent5"/>
            </w:tcBorders>
            <w:vAlign w:val="bottom"/>
          </w:tcPr>
          <w:p w14:paraId="565B9E8C"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8.6</w:t>
            </w:r>
          </w:p>
        </w:tc>
        <w:tc>
          <w:tcPr>
            <w:tcW w:w="1796" w:type="dxa"/>
            <w:tcBorders>
              <w:top w:val="single" w:sz="12" w:space="0" w:color="CF9A3E" w:themeColor="accent5"/>
            </w:tcBorders>
            <w:vAlign w:val="bottom"/>
          </w:tcPr>
          <w:p w14:paraId="13DE47F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5.3</w:t>
            </w:r>
          </w:p>
        </w:tc>
      </w:tr>
      <w:tr w:rsidR="001A7D00" w:rsidRPr="00C462FB" w14:paraId="68900F10" w14:textId="77777777" w:rsidTr="00160409">
        <w:tc>
          <w:tcPr>
            <w:tcW w:w="3794" w:type="dxa"/>
            <w:vAlign w:val="bottom"/>
          </w:tcPr>
          <w:p w14:paraId="09E30111" w14:textId="77777777" w:rsidR="001A7D00" w:rsidRPr="00C462FB" w:rsidRDefault="001A7D00" w:rsidP="00160409">
            <w:pPr>
              <w:rPr>
                <w:rFonts w:cstheme="minorHAnsi"/>
                <w:color w:val="000000"/>
                <w:sz w:val="20"/>
                <w:szCs w:val="20"/>
              </w:rPr>
            </w:pPr>
            <w:r w:rsidRPr="00C462FB">
              <w:rPr>
                <w:rFonts w:cstheme="minorHAnsi"/>
                <w:color w:val="000000"/>
                <w:sz w:val="20"/>
                <w:szCs w:val="20"/>
              </w:rPr>
              <w:t>University of New South Wales</w:t>
            </w:r>
          </w:p>
        </w:tc>
        <w:tc>
          <w:tcPr>
            <w:tcW w:w="1795" w:type="dxa"/>
            <w:vAlign w:val="bottom"/>
          </w:tcPr>
          <w:p w14:paraId="64ACACFC"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4.8</w:t>
            </w:r>
          </w:p>
        </w:tc>
        <w:tc>
          <w:tcPr>
            <w:tcW w:w="1795" w:type="dxa"/>
            <w:vAlign w:val="bottom"/>
          </w:tcPr>
          <w:p w14:paraId="4F75282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9.2</w:t>
            </w:r>
          </w:p>
        </w:tc>
        <w:tc>
          <w:tcPr>
            <w:tcW w:w="1796" w:type="dxa"/>
            <w:vAlign w:val="bottom"/>
          </w:tcPr>
          <w:p w14:paraId="5C920328"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5.9</w:t>
            </w:r>
          </w:p>
        </w:tc>
      </w:tr>
      <w:tr w:rsidR="001A7D00" w:rsidRPr="00C462FB" w14:paraId="50F0E161" w14:textId="77777777" w:rsidTr="00160409">
        <w:tc>
          <w:tcPr>
            <w:tcW w:w="3794" w:type="dxa"/>
            <w:vAlign w:val="bottom"/>
          </w:tcPr>
          <w:p w14:paraId="799ECA7A" w14:textId="77777777" w:rsidR="001A7D00" w:rsidRPr="00C462FB" w:rsidRDefault="001A7D00" w:rsidP="00160409">
            <w:pPr>
              <w:rPr>
                <w:rFonts w:cstheme="minorHAnsi"/>
                <w:color w:val="000000"/>
                <w:sz w:val="20"/>
                <w:szCs w:val="20"/>
              </w:rPr>
            </w:pPr>
            <w:r w:rsidRPr="00C462FB">
              <w:rPr>
                <w:rFonts w:cstheme="minorHAnsi"/>
                <w:color w:val="000000"/>
                <w:sz w:val="20"/>
                <w:szCs w:val="20"/>
              </w:rPr>
              <w:t>The University of Sydney</w:t>
            </w:r>
          </w:p>
        </w:tc>
        <w:tc>
          <w:tcPr>
            <w:tcW w:w="1795" w:type="dxa"/>
            <w:vAlign w:val="bottom"/>
          </w:tcPr>
          <w:p w14:paraId="5BCA9936"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5.9</w:t>
            </w:r>
          </w:p>
        </w:tc>
        <w:tc>
          <w:tcPr>
            <w:tcW w:w="1795" w:type="dxa"/>
            <w:vAlign w:val="bottom"/>
          </w:tcPr>
          <w:p w14:paraId="0664A63B"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10.3</w:t>
            </w:r>
          </w:p>
        </w:tc>
        <w:tc>
          <w:tcPr>
            <w:tcW w:w="1796" w:type="dxa"/>
            <w:vAlign w:val="bottom"/>
          </w:tcPr>
          <w:p w14:paraId="5E49D15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7.2</w:t>
            </w:r>
          </w:p>
        </w:tc>
      </w:tr>
      <w:tr w:rsidR="001A7D00" w:rsidRPr="00C462FB" w14:paraId="2F23B767" w14:textId="77777777" w:rsidTr="00160409">
        <w:tc>
          <w:tcPr>
            <w:tcW w:w="3794" w:type="dxa"/>
            <w:vAlign w:val="bottom"/>
          </w:tcPr>
          <w:p w14:paraId="440319DC" w14:textId="77777777" w:rsidR="001A7D00" w:rsidRPr="00C462FB" w:rsidRDefault="001A7D00" w:rsidP="00160409">
            <w:pPr>
              <w:rPr>
                <w:rFonts w:cstheme="minorHAnsi"/>
                <w:color w:val="000000"/>
                <w:sz w:val="20"/>
                <w:szCs w:val="20"/>
              </w:rPr>
            </w:pPr>
            <w:r w:rsidRPr="00C462FB">
              <w:rPr>
                <w:rFonts w:cstheme="minorHAnsi"/>
                <w:color w:val="000000"/>
                <w:sz w:val="20"/>
                <w:szCs w:val="20"/>
              </w:rPr>
              <w:t>Monash University</w:t>
            </w:r>
          </w:p>
        </w:tc>
        <w:tc>
          <w:tcPr>
            <w:tcW w:w="1795" w:type="dxa"/>
            <w:vAlign w:val="bottom"/>
          </w:tcPr>
          <w:p w14:paraId="4603DBAC"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6.5</w:t>
            </w:r>
          </w:p>
        </w:tc>
        <w:tc>
          <w:tcPr>
            <w:tcW w:w="1795" w:type="dxa"/>
            <w:vAlign w:val="bottom"/>
          </w:tcPr>
          <w:p w14:paraId="1D0F2BA8"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11.8</w:t>
            </w:r>
          </w:p>
        </w:tc>
        <w:tc>
          <w:tcPr>
            <w:tcW w:w="1796" w:type="dxa"/>
            <w:vAlign w:val="bottom"/>
          </w:tcPr>
          <w:p w14:paraId="6A0A7B29"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8.8</w:t>
            </w:r>
          </w:p>
        </w:tc>
      </w:tr>
      <w:tr w:rsidR="001A7D00" w:rsidRPr="00C462FB" w14:paraId="024992FD" w14:textId="77777777" w:rsidTr="00160409">
        <w:tc>
          <w:tcPr>
            <w:tcW w:w="3794" w:type="dxa"/>
            <w:vAlign w:val="bottom"/>
          </w:tcPr>
          <w:p w14:paraId="083FA64A" w14:textId="77777777" w:rsidR="001A7D00" w:rsidRPr="00C462FB" w:rsidRDefault="001A7D00" w:rsidP="00160409">
            <w:pPr>
              <w:rPr>
                <w:rFonts w:cstheme="minorHAnsi"/>
                <w:color w:val="000000"/>
                <w:sz w:val="20"/>
                <w:szCs w:val="20"/>
              </w:rPr>
            </w:pPr>
            <w:r w:rsidRPr="00C462FB">
              <w:rPr>
                <w:rFonts w:cstheme="minorHAnsi"/>
                <w:color w:val="000000"/>
                <w:sz w:val="20"/>
                <w:szCs w:val="20"/>
              </w:rPr>
              <w:t>The Australian National University</w:t>
            </w:r>
          </w:p>
        </w:tc>
        <w:tc>
          <w:tcPr>
            <w:tcW w:w="1795" w:type="dxa"/>
            <w:vAlign w:val="bottom"/>
          </w:tcPr>
          <w:p w14:paraId="0CDB1D62"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7.3</w:t>
            </w:r>
          </w:p>
        </w:tc>
        <w:tc>
          <w:tcPr>
            <w:tcW w:w="1795" w:type="dxa"/>
            <w:vAlign w:val="bottom"/>
          </w:tcPr>
          <w:p w14:paraId="4D02EA6E"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10.1</w:t>
            </w:r>
          </w:p>
        </w:tc>
        <w:tc>
          <w:tcPr>
            <w:tcW w:w="1796" w:type="dxa"/>
            <w:vAlign w:val="bottom"/>
          </w:tcPr>
          <w:p w14:paraId="03E84FC9"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7.7</w:t>
            </w:r>
          </w:p>
        </w:tc>
      </w:tr>
      <w:tr w:rsidR="001A7D00" w:rsidRPr="00C462FB" w14:paraId="1B1FD72D" w14:textId="77777777" w:rsidTr="00160409">
        <w:tc>
          <w:tcPr>
            <w:tcW w:w="3794" w:type="dxa"/>
            <w:vAlign w:val="bottom"/>
          </w:tcPr>
          <w:p w14:paraId="5B989387" w14:textId="77777777" w:rsidR="001A7D00" w:rsidRPr="00C462FB" w:rsidRDefault="001A7D00" w:rsidP="00160409">
            <w:pPr>
              <w:rPr>
                <w:rFonts w:cstheme="minorHAnsi"/>
                <w:color w:val="000000"/>
                <w:sz w:val="20"/>
                <w:szCs w:val="20"/>
              </w:rPr>
            </w:pPr>
            <w:r w:rsidRPr="00C462FB">
              <w:rPr>
                <w:rFonts w:cstheme="minorHAnsi"/>
                <w:color w:val="000000"/>
                <w:sz w:val="20"/>
                <w:szCs w:val="20"/>
              </w:rPr>
              <w:t>The University of Western Australia</w:t>
            </w:r>
          </w:p>
        </w:tc>
        <w:tc>
          <w:tcPr>
            <w:tcW w:w="1795" w:type="dxa"/>
            <w:vAlign w:val="bottom"/>
          </w:tcPr>
          <w:p w14:paraId="076094EA"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7.7</w:t>
            </w:r>
          </w:p>
        </w:tc>
        <w:tc>
          <w:tcPr>
            <w:tcW w:w="1795" w:type="dxa"/>
            <w:vAlign w:val="bottom"/>
          </w:tcPr>
          <w:p w14:paraId="1F3D8A9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12.7</w:t>
            </w:r>
          </w:p>
        </w:tc>
        <w:tc>
          <w:tcPr>
            <w:tcW w:w="1796" w:type="dxa"/>
            <w:vAlign w:val="bottom"/>
          </w:tcPr>
          <w:p w14:paraId="16FA4B1A"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10.6</w:t>
            </w:r>
          </w:p>
        </w:tc>
      </w:tr>
      <w:tr w:rsidR="001A7D00" w:rsidRPr="00C462FB" w14:paraId="36D18D6D" w14:textId="77777777" w:rsidTr="00160409">
        <w:tc>
          <w:tcPr>
            <w:tcW w:w="3794" w:type="dxa"/>
            <w:vAlign w:val="bottom"/>
          </w:tcPr>
          <w:p w14:paraId="2F8E8BB3" w14:textId="77777777" w:rsidR="001A7D00" w:rsidRPr="00C462FB" w:rsidRDefault="001A7D00" w:rsidP="00160409">
            <w:pPr>
              <w:rPr>
                <w:rFonts w:cstheme="minorHAnsi"/>
                <w:color w:val="000000"/>
                <w:sz w:val="20"/>
                <w:szCs w:val="20"/>
              </w:rPr>
            </w:pPr>
            <w:r w:rsidRPr="00C462FB">
              <w:rPr>
                <w:rFonts w:cstheme="minorHAnsi"/>
                <w:color w:val="000000"/>
                <w:sz w:val="20"/>
                <w:szCs w:val="20"/>
              </w:rPr>
              <w:t>University of Technology Sydney</w:t>
            </w:r>
          </w:p>
        </w:tc>
        <w:tc>
          <w:tcPr>
            <w:tcW w:w="1795" w:type="dxa"/>
            <w:vAlign w:val="bottom"/>
          </w:tcPr>
          <w:p w14:paraId="0A922E4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7.7</w:t>
            </w:r>
          </w:p>
        </w:tc>
        <w:tc>
          <w:tcPr>
            <w:tcW w:w="1795" w:type="dxa"/>
            <w:vAlign w:val="bottom"/>
          </w:tcPr>
          <w:p w14:paraId="2505B12F"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10.0</w:t>
            </w:r>
          </w:p>
        </w:tc>
        <w:tc>
          <w:tcPr>
            <w:tcW w:w="1796" w:type="dxa"/>
            <w:vAlign w:val="bottom"/>
          </w:tcPr>
          <w:p w14:paraId="666B20AD"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8.0</w:t>
            </w:r>
          </w:p>
        </w:tc>
      </w:tr>
      <w:tr w:rsidR="001A7D00" w:rsidRPr="00C462FB" w14:paraId="16C66493" w14:textId="77777777" w:rsidTr="00160409">
        <w:tc>
          <w:tcPr>
            <w:tcW w:w="3794" w:type="dxa"/>
            <w:vAlign w:val="bottom"/>
          </w:tcPr>
          <w:p w14:paraId="202B5CC0" w14:textId="77777777" w:rsidR="001A7D00" w:rsidRPr="00C462FB" w:rsidRDefault="001A7D00" w:rsidP="00160409">
            <w:pPr>
              <w:rPr>
                <w:rFonts w:cstheme="minorHAnsi"/>
                <w:color w:val="000000"/>
                <w:sz w:val="20"/>
                <w:szCs w:val="20"/>
              </w:rPr>
            </w:pPr>
            <w:r w:rsidRPr="00C462FB">
              <w:rPr>
                <w:rFonts w:cstheme="minorHAnsi"/>
                <w:color w:val="000000"/>
                <w:sz w:val="20"/>
                <w:szCs w:val="20"/>
              </w:rPr>
              <w:t>The University of Notre Dame Australia</w:t>
            </w:r>
          </w:p>
        </w:tc>
        <w:tc>
          <w:tcPr>
            <w:tcW w:w="1795" w:type="dxa"/>
            <w:vAlign w:val="bottom"/>
          </w:tcPr>
          <w:p w14:paraId="3A91F689"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9.5</w:t>
            </w:r>
          </w:p>
        </w:tc>
        <w:tc>
          <w:tcPr>
            <w:tcW w:w="1795" w:type="dxa"/>
            <w:vAlign w:val="bottom"/>
          </w:tcPr>
          <w:p w14:paraId="0CABB5DF"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10.4</w:t>
            </w:r>
          </w:p>
        </w:tc>
        <w:tc>
          <w:tcPr>
            <w:tcW w:w="1796" w:type="dxa"/>
            <w:vAlign w:val="bottom"/>
          </w:tcPr>
          <w:p w14:paraId="326CE628"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8.6</w:t>
            </w:r>
          </w:p>
        </w:tc>
      </w:tr>
      <w:tr w:rsidR="001A7D00" w:rsidRPr="00C462FB" w14:paraId="10323934" w14:textId="77777777" w:rsidTr="00160409">
        <w:tc>
          <w:tcPr>
            <w:tcW w:w="3794" w:type="dxa"/>
            <w:vAlign w:val="bottom"/>
          </w:tcPr>
          <w:p w14:paraId="540D1F49" w14:textId="77777777" w:rsidR="001A7D00" w:rsidRPr="00C462FB" w:rsidRDefault="001A7D00" w:rsidP="00160409">
            <w:pPr>
              <w:rPr>
                <w:rFonts w:cstheme="minorHAnsi"/>
                <w:color w:val="000000"/>
                <w:sz w:val="20"/>
                <w:szCs w:val="20"/>
              </w:rPr>
            </w:pPr>
            <w:r w:rsidRPr="00C462FB">
              <w:rPr>
                <w:rFonts w:cstheme="minorHAnsi"/>
                <w:color w:val="000000"/>
                <w:sz w:val="20"/>
                <w:szCs w:val="20"/>
              </w:rPr>
              <w:t>Macquarie University</w:t>
            </w:r>
          </w:p>
        </w:tc>
        <w:tc>
          <w:tcPr>
            <w:tcW w:w="1795" w:type="dxa"/>
            <w:vAlign w:val="bottom"/>
          </w:tcPr>
          <w:p w14:paraId="1676231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9.7</w:t>
            </w:r>
          </w:p>
        </w:tc>
        <w:tc>
          <w:tcPr>
            <w:tcW w:w="1795" w:type="dxa"/>
            <w:vAlign w:val="bottom"/>
          </w:tcPr>
          <w:p w14:paraId="4D2CEE9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11.7</w:t>
            </w:r>
          </w:p>
        </w:tc>
        <w:tc>
          <w:tcPr>
            <w:tcW w:w="1796" w:type="dxa"/>
            <w:vAlign w:val="bottom"/>
          </w:tcPr>
          <w:p w14:paraId="4FC9EA66"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9.9</w:t>
            </w:r>
          </w:p>
        </w:tc>
      </w:tr>
      <w:tr w:rsidR="001A7D00" w:rsidRPr="00C462FB" w14:paraId="0BC71CCF" w14:textId="77777777" w:rsidTr="00160409">
        <w:tc>
          <w:tcPr>
            <w:tcW w:w="3794" w:type="dxa"/>
            <w:vAlign w:val="bottom"/>
          </w:tcPr>
          <w:p w14:paraId="71C933D0" w14:textId="77777777" w:rsidR="001A7D00" w:rsidRPr="00C462FB" w:rsidRDefault="001A7D00" w:rsidP="00160409">
            <w:pPr>
              <w:rPr>
                <w:rFonts w:cstheme="minorHAnsi"/>
                <w:color w:val="000000"/>
                <w:sz w:val="20"/>
                <w:szCs w:val="20"/>
              </w:rPr>
            </w:pPr>
            <w:r w:rsidRPr="00C462FB">
              <w:rPr>
                <w:rFonts w:cstheme="minorHAnsi"/>
                <w:color w:val="000000"/>
                <w:sz w:val="20"/>
                <w:szCs w:val="20"/>
              </w:rPr>
              <w:t>The University of Queensland</w:t>
            </w:r>
          </w:p>
        </w:tc>
        <w:tc>
          <w:tcPr>
            <w:tcW w:w="1795" w:type="dxa"/>
            <w:vAlign w:val="bottom"/>
          </w:tcPr>
          <w:p w14:paraId="4ED5AE0B"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9.9</w:t>
            </w:r>
          </w:p>
        </w:tc>
        <w:tc>
          <w:tcPr>
            <w:tcW w:w="1795" w:type="dxa"/>
            <w:vAlign w:val="bottom"/>
          </w:tcPr>
          <w:p w14:paraId="7682C30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14.3</w:t>
            </w:r>
          </w:p>
        </w:tc>
        <w:tc>
          <w:tcPr>
            <w:tcW w:w="1796" w:type="dxa"/>
            <w:vAlign w:val="bottom"/>
          </w:tcPr>
          <w:p w14:paraId="11808DA8"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12.4</w:t>
            </w:r>
          </w:p>
        </w:tc>
      </w:tr>
      <w:tr w:rsidR="001A7D00" w:rsidRPr="00C462FB" w14:paraId="339FF422" w14:textId="77777777" w:rsidTr="00160409">
        <w:tc>
          <w:tcPr>
            <w:tcW w:w="3794" w:type="dxa"/>
            <w:vAlign w:val="bottom"/>
          </w:tcPr>
          <w:p w14:paraId="70A8DC35" w14:textId="77777777" w:rsidR="001A7D00" w:rsidRPr="00C462FB" w:rsidRDefault="001A7D00" w:rsidP="00160409">
            <w:pPr>
              <w:rPr>
                <w:rFonts w:cstheme="minorHAnsi"/>
                <w:color w:val="000000"/>
                <w:sz w:val="20"/>
                <w:szCs w:val="20"/>
              </w:rPr>
            </w:pPr>
            <w:r w:rsidRPr="00C462FB">
              <w:rPr>
                <w:rFonts w:cstheme="minorHAnsi"/>
                <w:color w:val="000000"/>
                <w:sz w:val="20"/>
                <w:szCs w:val="20"/>
              </w:rPr>
              <w:t>RMIT University</w:t>
            </w:r>
          </w:p>
        </w:tc>
        <w:tc>
          <w:tcPr>
            <w:tcW w:w="1795" w:type="dxa"/>
            <w:vAlign w:val="bottom"/>
          </w:tcPr>
          <w:p w14:paraId="1914C123"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10.3</w:t>
            </w:r>
          </w:p>
        </w:tc>
        <w:tc>
          <w:tcPr>
            <w:tcW w:w="1795" w:type="dxa"/>
            <w:vAlign w:val="bottom"/>
          </w:tcPr>
          <w:p w14:paraId="4C421423"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13.2</w:t>
            </w:r>
          </w:p>
        </w:tc>
        <w:tc>
          <w:tcPr>
            <w:tcW w:w="1796" w:type="dxa"/>
            <w:vAlign w:val="bottom"/>
          </w:tcPr>
          <w:p w14:paraId="1E0B53F1"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11.0</w:t>
            </w:r>
          </w:p>
        </w:tc>
      </w:tr>
      <w:tr w:rsidR="001A7D00" w:rsidRPr="00C462FB" w14:paraId="4996205A" w14:textId="77777777" w:rsidTr="00160409">
        <w:tc>
          <w:tcPr>
            <w:tcW w:w="3794" w:type="dxa"/>
            <w:vAlign w:val="bottom"/>
          </w:tcPr>
          <w:p w14:paraId="1A657CF1" w14:textId="77777777" w:rsidR="001A7D00" w:rsidRPr="00C462FB" w:rsidRDefault="001A7D00" w:rsidP="00160409">
            <w:pPr>
              <w:rPr>
                <w:rFonts w:cstheme="minorHAnsi"/>
                <w:color w:val="000000"/>
                <w:sz w:val="20"/>
                <w:szCs w:val="20"/>
              </w:rPr>
            </w:pPr>
            <w:r w:rsidRPr="00C462FB">
              <w:rPr>
                <w:rFonts w:cstheme="minorHAnsi"/>
                <w:color w:val="000000"/>
                <w:sz w:val="20"/>
                <w:szCs w:val="20"/>
              </w:rPr>
              <w:t>University of Wollongong</w:t>
            </w:r>
          </w:p>
        </w:tc>
        <w:tc>
          <w:tcPr>
            <w:tcW w:w="1795" w:type="dxa"/>
            <w:vAlign w:val="bottom"/>
          </w:tcPr>
          <w:p w14:paraId="4276F30E"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10.6</w:t>
            </w:r>
          </w:p>
        </w:tc>
        <w:tc>
          <w:tcPr>
            <w:tcW w:w="1795" w:type="dxa"/>
            <w:vAlign w:val="bottom"/>
          </w:tcPr>
          <w:p w14:paraId="68574131"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12.0</w:t>
            </w:r>
          </w:p>
        </w:tc>
        <w:tc>
          <w:tcPr>
            <w:tcW w:w="1796" w:type="dxa"/>
            <w:vAlign w:val="bottom"/>
          </w:tcPr>
          <w:p w14:paraId="766CDE39"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10.0</w:t>
            </w:r>
          </w:p>
        </w:tc>
      </w:tr>
      <w:tr w:rsidR="001A7D00" w:rsidRPr="00C462FB" w14:paraId="3DAA4520" w14:textId="77777777" w:rsidTr="00160409">
        <w:tc>
          <w:tcPr>
            <w:tcW w:w="3794" w:type="dxa"/>
            <w:vAlign w:val="bottom"/>
          </w:tcPr>
          <w:p w14:paraId="1F63E90D" w14:textId="77777777" w:rsidR="001A7D00" w:rsidRPr="00C462FB" w:rsidRDefault="001A7D00" w:rsidP="00160409">
            <w:pPr>
              <w:rPr>
                <w:rFonts w:cstheme="minorHAnsi"/>
                <w:color w:val="000000"/>
                <w:sz w:val="20"/>
                <w:szCs w:val="20"/>
              </w:rPr>
            </w:pPr>
            <w:r w:rsidRPr="00C462FB">
              <w:rPr>
                <w:rFonts w:cstheme="minorHAnsi"/>
                <w:color w:val="000000"/>
                <w:sz w:val="20"/>
                <w:szCs w:val="20"/>
              </w:rPr>
              <w:t>The University of Adelaide</w:t>
            </w:r>
          </w:p>
        </w:tc>
        <w:tc>
          <w:tcPr>
            <w:tcW w:w="1795" w:type="dxa"/>
            <w:vAlign w:val="bottom"/>
          </w:tcPr>
          <w:p w14:paraId="56F04EB8"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11.6</w:t>
            </w:r>
          </w:p>
        </w:tc>
        <w:tc>
          <w:tcPr>
            <w:tcW w:w="1795" w:type="dxa"/>
            <w:vAlign w:val="bottom"/>
          </w:tcPr>
          <w:p w14:paraId="5C08CF1F"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14.8</w:t>
            </w:r>
          </w:p>
        </w:tc>
        <w:tc>
          <w:tcPr>
            <w:tcW w:w="1796" w:type="dxa"/>
            <w:vAlign w:val="bottom"/>
          </w:tcPr>
          <w:p w14:paraId="58FEAFC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13.1</w:t>
            </w:r>
          </w:p>
        </w:tc>
      </w:tr>
      <w:tr w:rsidR="001A7D00" w:rsidRPr="00C462FB" w14:paraId="25664800" w14:textId="77777777" w:rsidTr="00160409">
        <w:tc>
          <w:tcPr>
            <w:tcW w:w="3794" w:type="dxa"/>
            <w:vAlign w:val="bottom"/>
          </w:tcPr>
          <w:p w14:paraId="482AC2AD" w14:textId="77777777" w:rsidR="001A7D00" w:rsidRPr="00C462FB" w:rsidRDefault="001A7D00" w:rsidP="00160409">
            <w:pPr>
              <w:rPr>
                <w:rFonts w:cstheme="minorHAnsi"/>
                <w:color w:val="000000"/>
                <w:sz w:val="20"/>
                <w:szCs w:val="20"/>
              </w:rPr>
            </w:pPr>
            <w:r w:rsidRPr="00C462FB">
              <w:rPr>
                <w:rFonts w:cstheme="minorHAnsi"/>
                <w:color w:val="000000"/>
                <w:sz w:val="20"/>
                <w:szCs w:val="20"/>
              </w:rPr>
              <w:t>La Trobe University</w:t>
            </w:r>
          </w:p>
        </w:tc>
        <w:tc>
          <w:tcPr>
            <w:tcW w:w="1795" w:type="dxa"/>
            <w:vAlign w:val="bottom"/>
          </w:tcPr>
          <w:p w14:paraId="2B7B4FD3"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11.6</w:t>
            </w:r>
          </w:p>
        </w:tc>
        <w:tc>
          <w:tcPr>
            <w:tcW w:w="1795" w:type="dxa"/>
            <w:vAlign w:val="bottom"/>
          </w:tcPr>
          <w:p w14:paraId="34B2177D"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13.7</w:t>
            </w:r>
          </w:p>
        </w:tc>
        <w:tc>
          <w:tcPr>
            <w:tcW w:w="1796" w:type="dxa"/>
            <w:vAlign w:val="bottom"/>
          </w:tcPr>
          <w:p w14:paraId="2F3BD4FA"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11.3</w:t>
            </w:r>
          </w:p>
        </w:tc>
      </w:tr>
      <w:tr w:rsidR="001A7D00" w:rsidRPr="00C462FB" w14:paraId="4BA04646" w14:textId="77777777" w:rsidTr="00160409">
        <w:tc>
          <w:tcPr>
            <w:tcW w:w="3794" w:type="dxa"/>
            <w:vAlign w:val="bottom"/>
          </w:tcPr>
          <w:p w14:paraId="5FE4DEEC" w14:textId="77777777" w:rsidR="001A7D00" w:rsidRPr="00C462FB" w:rsidRDefault="001A7D00" w:rsidP="00160409">
            <w:pPr>
              <w:rPr>
                <w:rFonts w:cstheme="minorHAnsi"/>
                <w:color w:val="000000"/>
                <w:sz w:val="20"/>
                <w:szCs w:val="20"/>
              </w:rPr>
            </w:pPr>
            <w:r w:rsidRPr="00C462FB">
              <w:rPr>
                <w:rFonts w:cstheme="minorHAnsi"/>
                <w:color w:val="000000"/>
                <w:sz w:val="20"/>
                <w:szCs w:val="20"/>
              </w:rPr>
              <w:t>Queensland University of Technology</w:t>
            </w:r>
          </w:p>
        </w:tc>
        <w:tc>
          <w:tcPr>
            <w:tcW w:w="1795" w:type="dxa"/>
            <w:vAlign w:val="bottom"/>
          </w:tcPr>
          <w:p w14:paraId="6A48E30A"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12.0</w:t>
            </w:r>
          </w:p>
        </w:tc>
        <w:tc>
          <w:tcPr>
            <w:tcW w:w="1795" w:type="dxa"/>
            <w:vAlign w:val="bottom"/>
          </w:tcPr>
          <w:p w14:paraId="093AF8A3"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14.2</w:t>
            </w:r>
          </w:p>
        </w:tc>
        <w:tc>
          <w:tcPr>
            <w:tcW w:w="1796" w:type="dxa"/>
            <w:vAlign w:val="bottom"/>
          </w:tcPr>
          <w:p w14:paraId="36613E50"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12.3</w:t>
            </w:r>
          </w:p>
        </w:tc>
      </w:tr>
      <w:tr w:rsidR="001A7D00" w:rsidRPr="00C462FB" w14:paraId="086AAD1E" w14:textId="77777777" w:rsidTr="00160409">
        <w:tc>
          <w:tcPr>
            <w:tcW w:w="3794" w:type="dxa"/>
            <w:vAlign w:val="bottom"/>
          </w:tcPr>
          <w:p w14:paraId="5EB4C2A5" w14:textId="77777777" w:rsidR="001A7D00" w:rsidRPr="00C462FB" w:rsidRDefault="001A7D00" w:rsidP="00160409">
            <w:pPr>
              <w:rPr>
                <w:rFonts w:cstheme="minorHAnsi"/>
                <w:color w:val="000000"/>
                <w:sz w:val="20"/>
                <w:szCs w:val="20"/>
              </w:rPr>
            </w:pPr>
            <w:r w:rsidRPr="00C462FB">
              <w:rPr>
                <w:rFonts w:cstheme="minorHAnsi"/>
                <w:color w:val="000000"/>
                <w:sz w:val="20"/>
                <w:szCs w:val="20"/>
              </w:rPr>
              <w:t>Western Sydney University</w:t>
            </w:r>
          </w:p>
        </w:tc>
        <w:tc>
          <w:tcPr>
            <w:tcW w:w="1795" w:type="dxa"/>
            <w:vAlign w:val="bottom"/>
          </w:tcPr>
          <w:p w14:paraId="579C1E43"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14.0</w:t>
            </w:r>
          </w:p>
        </w:tc>
        <w:tc>
          <w:tcPr>
            <w:tcW w:w="1795" w:type="dxa"/>
            <w:vAlign w:val="bottom"/>
          </w:tcPr>
          <w:p w14:paraId="1B41E6E1"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13.4</w:t>
            </w:r>
          </w:p>
        </w:tc>
        <w:tc>
          <w:tcPr>
            <w:tcW w:w="1796" w:type="dxa"/>
            <w:vAlign w:val="bottom"/>
          </w:tcPr>
          <w:p w14:paraId="4A4306DA"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11.7</w:t>
            </w:r>
          </w:p>
        </w:tc>
      </w:tr>
      <w:tr w:rsidR="001A7D00" w:rsidRPr="00C462FB" w14:paraId="01BD5E62" w14:textId="77777777" w:rsidTr="00160409">
        <w:tc>
          <w:tcPr>
            <w:tcW w:w="3794" w:type="dxa"/>
            <w:vAlign w:val="bottom"/>
          </w:tcPr>
          <w:p w14:paraId="7F801C28" w14:textId="77777777" w:rsidR="001A7D00" w:rsidRPr="00C462FB" w:rsidRDefault="001A7D00" w:rsidP="00160409">
            <w:pPr>
              <w:rPr>
                <w:rFonts w:cstheme="minorHAnsi"/>
                <w:color w:val="000000"/>
                <w:sz w:val="20"/>
                <w:szCs w:val="20"/>
              </w:rPr>
            </w:pPr>
            <w:r w:rsidRPr="00C462FB">
              <w:rPr>
                <w:rFonts w:cstheme="minorHAnsi"/>
                <w:color w:val="000000"/>
                <w:sz w:val="20"/>
                <w:szCs w:val="20"/>
              </w:rPr>
              <w:t>Curtin University of Technology</w:t>
            </w:r>
          </w:p>
        </w:tc>
        <w:tc>
          <w:tcPr>
            <w:tcW w:w="1795" w:type="dxa"/>
            <w:vAlign w:val="bottom"/>
          </w:tcPr>
          <w:p w14:paraId="70C51693"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14.1</w:t>
            </w:r>
          </w:p>
        </w:tc>
        <w:tc>
          <w:tcPr>
            <w:tcW w:w="1795" w:type="dxa"/>
            <w:vAlign w:val="bottom"/>
          </w:tcPr>
          <w:p w14:paraId="540002E8"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14.3</w:t>
            </w:r>
          </w:p>
        </w:tc>
        <w:tc>
          <w:tcPr>
            <w:tcW w:w="1796" w:type="dxa"/>
            <w:vAlign w:val="bottom"/>
          </w:tcPr>
          <w:p w14:paraId="1F7C61B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12.6</w:t>
            </w:r>
          </w:p>
        </w:tc>
      </w:tr>
      <w:tr w:rsidR="001A7D00" w:rsidRPr="00C462FB" w14:paraId="0B7CE37B" w14:textId="77777777" w:rsidTr="00160409">
        <w:tc>
          <w:tcPr>
            <w:tcW w:w="3794" w:type="dxa"/>
            <w:vAlign w:val="bottom"/>
          </w:tcPr>
          <w:p w14:paraId="58DA9238" w14:textId="77777777" w:rsidR="001A7D00" w:rsidRPr="00C462FB" w:rsidRDefault="001A7D00" w:rsidP="00160409">
            <w:pPr>
              <w:rPr>
                <w:rFonts w:cstheme="minorHAnsi"/>
                <w:color w:val="000000"/>
                <w:sz w:val="20"/>
                <w:szCs w:val="20"/>
              </w:rPr>
            </w:pPr>
            <w:r w:rsidRPr="00C462FB">
              <w:rPr>
                <w:rFonts w:cstheme="minorHAnsi"/>
                <w:color w:val="000000"/>
                <w:sz w:val="20"/>
                <w:szCs w:val="20"/>
              </w:rPr>
              <w:t>Deakin University</w:t>
            </w:r>
          </w:p>
        </w:tc>
        <w:tc>
          <w:tcPr>
            <w:tcW w:w="1795" w:type="dxa"/>
            <w:vAlign w:val="bottom"/>
          </w:tcPr>
          <w:p w14:paraId="54284629"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14.4</w:t>
            </w:r>
          </w:p>
        </w:tc>
        <w:tc>
          <w:tcPr>
            <w:tcW w:w="1795" w:type="dxa"/>
            <w:vAlign w:val="bottom"/>
          </w:tcPr>
          <w:p w14:paraId="28187F3E"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13.7</w:t>
            </w:r>
          </w:p>
        </w:tc>
        <w:tc>
          <w:tcPr>
            <w:tcW w:w="1796" w:type="dxa"/>
            <w:vAlign w:val="bottom"/>
          </w:tcPr>
          <w:p w14:paraId="4ED63A06"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11.8</w:t>
            </w:r>
          </w:p>
        </w:tc>
      </w:tr>
      <w:tr w:rsidR="001A7D00" w:rsidRPr="00C462FB" w14:paraId="139EF4D6" w14:textId="77777777" w:rsidTr="00160409">
        <w:tc>
          <w:tcPr>
            <w:tcW w:w="3794" w:type="dxa"/>
            <w:vAlign w:val="bottom"/>
          </w:tcPr>
          <w:p w14:paraId="512F9D5B" w14:textId="77777777" w:rsidR="001A7D00" w:rsidRPr="00C462FB" w:rsidRDefault="001A7D00" w:rsidP="00160409">
            <w:pPr>
              <w:rPr>
                <w:rFonts w:cstheme="minorHAnsi"/>
                <w:color w:val="000000"/>
                <w:sz w:val="20"/>
                <w:szCs w:val="20"/>
              </w:rPr>
            </w:pPr>
            <w:r w:rsidRPr="00C462FB">
              <w:rPr>
                <w:rFonts w:cstheme="minorHAnsi"/>
                <w:color w:val="000000"/>
                <w:sz w:val="20"/>
                <w:szCs w:val="20"/>
              </w:rPr>
              <w:t>University of Newcastle</w:t>
            </w:r>
          </w:p>
        </w:tc>
        <w:tc>
          <w:tcPr>
            <w:tcW w:w="1795" w:type="dxa"/>
            <w:vAlign w:val="bottom"/>
          </w:tcPr>
          <w:p w14:paraId="2AB48453"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14.5</w:t>
            </w:r>
          </w:p>
        </w:tc>
        <w:tc>
          <w:tcPr>
            <w:tcW w:w="1795" w:type="dxa"/>
            <w:vAlign w:val="bottom"/>
          </w:tcPr>
          <w:p w14:paraId="6A453CF1"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15.1</w:t>
            </w:r>
          </w:p>
        </w:tc>
        <w:tc>
          <w:tcPr>
            <w:tcW w:w="1796" w:type="dxa"/>
            <w:vAlign w:val="bottom"/>
          </w:tcPr>
          <w:p w14:paraId="7D3FCCC1"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13.0</w:t>
            </w:r>
          </w:p>
        </w:tc>
      </w:tr>
      <w:tr w:rsidR="001A7D00" w:rsidRPr="00C462FB" w14:paraId="0887E790" w14:textId="77777777" w:rsidTr="00160409">
        <w:tc>
          <w:tcPr>
            <w:tcW w:w="3794" w:type="dxa"/>
            <w:vAlign w:val="bottom"/>
          </w:tcPr>
          <w:p w14:paraId="54237ECC" w14:textId="77777777" w:rsidR="001A7D00" w:rsidRPr="00C462FB" w:rsidRDefault="001A7D00" w:rsidP="00160409">
            <w:pPr>
              <w:rPr>
                <w:rFonts w:cstheme="minorHAnsi"/>
                <w:color w:val="000000"/>
                <w:sz w:val="20"/>
                <w:szCs w:val="20"/>
              </w:rPr>
            </w:pPr>
            <w:r w:rsidRPr="00C462FB">
              <w:rPr>
                <w:rFonts w:cstheme="minorHAnsi"/>
                <w:color w:val="000000"/>
                <w:sz w:val="20"/>
                <w:szCs w:val="20"/>
              </w:rPr>
              <w:t>Avondale College of Higher Education</w:t>
            </w:r>
          </w:p>
        </w:tc>
        <w:tc>
          <w:tcPr>
            <w:tcW w:w="1795" w:type="dxa"/>
            <w:vAlign w:val="bottom"/>
          </w:tcPr>
          <w:p w14:paraId="70C435C4"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15.3</w:t>
            </w:r>
          </w:p>
        </w:tc>
        <w:tc>
          <w:tcPr>
            <w:tcW w:w="1795" w:type="dxa"/>
            <w:vAlign w:val="bottom"/>
          </w:tcPr>
          <w:p w14:paraId="324FA25B"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14.3</w:t>
            </w:r>
          </w:p>
        </w:tc>
        <w:tc>
          <w:tcPr>
            <w:tcW w:w="1796" w:type="dxa"/>
            <w:vAlign w:val="bottom"/>
          </w:tcPr>
          <w:p w14:paraId="3414442B"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12.2</w:t>
            </w:r>
          </w:p>
        </w:tc>
      </w:tr>
      <w:tr w:rsidR="001A7D00" w:rsidRPr="00C462FB" w14:paraId="03A79DF8" w14:textId="77777777" w:rsidTr="00160409">
        <w:tc>
          <w:tcPr>
            <w:tcW w:w="3794" w:type="dxa"/>
            <w:vAlign w:val="bottom"/>
          </w:tcPr>
          <w:p w14:paraId="60CB2CCB" w14:textId="77777777" w:rsidR="001A7D00" w:rsidRPr="00C462FB" w:rsidRDefault="001A7D00" w:rsidP="00160409">
            <w:pPr>
              <w:rPr>
                <w:rFonts w:cstheme="minorHAnsi"/>
                <w:color w:val="000000"/>
                <w:sz w:val="20"/>
                <w:szCs w:val="20"/>
              </w:rPr>
            </w:pPr>
            <w:r w:rsidRPr="00C462FB">
              <w:rPr>
                <w:rFonts w:cstheme="minorHAnsi"/>
                <w:color w:val="000000"/>
                <w:sz w:val="20"/>
                <w:szCs w:val="20"/>
              </w:rPr>
              <w:t>Australian Catholic University</w:t>
            </w:r>
          </w:p>
        </w:tc>
        <w:tc>
          <w:tcPr>
            <w:tcW w:w="1795" w:type="dxa"/>
            <w:vAlign w:val="bottom"/>
          </w:tcPr>
          <w:p w14:paraId="6D824B66"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15.3</w:t>
            </w:r>
          </w:p>
        </w:tc>
        <w:tc>
          <w:tcPr>
            <w:tcW w:w="1795" w:type="dxa"/>
            <w:vAlign w:val="bottom"/>
          </w:tcPr>
          <w:p w14:paraId="3A937839"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15.8</w:t>
            </w:r>
          </w:p>
        </w:tc>
        <w:tc>
          <w:tcPr>
            <w:tcW w:w="1796" w:type="dxa"/>
            <w:vAlign w:val="bottom"/>
          </w:tcPr>
          <w:p w14:paraId="4677F966"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13.8</w:t>
            </w:r>
          </w:p>
        </w:tc>
      </w:tr>
      <w:tr w:rsidR="001A7D00" w:rsidRPr="00C462FB" w14:paraId="1E10EB6F" w14:textId="77777777" w:rsidTr="00160409">
        <w:tc>
          <w:tcPr>
            <w:tcW w:w="3794" w:type="dxa"/>
            <w:vAlign w:val="bottom"/>
          </w:tcPr>
          <w:p w14:paraId="5063D363" w14:textId="77777777" w:rsidR="001A7D00" w:rsidRPr="00C462FB" w:rsidRDefault="001A7D00" w:rsidP="00160409">
            <w:pPr>
              <w:rPr>
                <w:rFonts w:cstheme="minorHAnsi"/>
                <w:color w:val="000000"/>
                <w:sz w:val="20"/>
                <w:szCs w:val="20"/>
              </w:rPr>
            </w:pPr>
            <w:r w:rsidRPr="00C462FB">
              <w:rPr>
                <w:rFonts w:cstheme="minorHAnsi"/>
                <w:color w:val="000000"/>
                <w:sz w:val="20"/>
                <w:szCs w:val="20"/>
              </w:rPr>
              <w:t>Griffith University</w:t>
            </w:r>
          </w:p>
        </w:tc>
        <w:tc>
          <w:tcPr>
            <w:tcW w:w="1795" w:type="dxa"/>
            <w:vAlign w:val="bottom"/>
          </w:tcPr>
          <w:p w14:paraId="20B161D2"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16.0</w:t>
            </w:r>
          </w:p>
        </w:tc>
        <w:tc>
          <w:tcPr>
            <w:tcW w:w="1795" w:type="dxa"/>
            <w:vAlign w:val="bottom"/>
          </w:tcPr>
          <w:p w14:paraId="50027B7F"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17.3</w:t>
            </w:r>
          </w:p>
        </w:tc>
        <w:tc>
          <w:tcPr>
            <w:tcW w:w="1796" w:type="dxa"/>
            <w:vAlign w:val="bottom"/>
          </w:tcPr>
          <w:p w14:paraId="0A48988C"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15.2</w:t>
            </w:r>
          </w:p>
        </w:tc>
      </w:tr>
      <w:tr w:rsidR="001A7D00" w:rsidRPr="00C462FB" w14:paraId="3BC62043" w14:textId="77777777" w:rsidTr="00160409">
        <w:tc>
          <w:tcPr>
            <w:tcW w:w="3794" w:type="dxa"/>
            <w:vAlign w:val="bottom"/>
          </w:tcPr>
          <w:p w14:paraId="0A24BA20" w14:textId="77777777" w:rsidR="001A7D00" w:rsidRPr="00C462FB" w:rsidRDefault="001A7D00" w:rsidP="00160409">
            <w:pPr>
              <w:rPr>
                <w:rFonts w:cstheme="minorHAnsi"/>
                <w:color w:val="000000"/>
                <w:sz w:val="20"/>
                <w:szCs w:val="20"/>
              </w:rPr>
            </w:pPr>
            <w:r w:rsidRPr="00C462FB">
              <w:rPr>
                <w:rFonts w:cstheme="minorHAnsi"/>
                <w:color w:val="000000"/>
                <w:sz w:val="20"/>
                <w:szCs w:val="20"/>
              </w:rPr>
              <w:t>University of South Australia</w:t>
            </w:r>
          </w:p>
        </w:tc>
        <w:tc>
          <w:tcPr>
            <w:tcW w:w="1795" w:type="dxa"/>
            <w:vAlign w:val="bottom"/>
          </w:tcPr>
          <w:p w14:paraId="3E0504F6"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16.1</w:t>
            </w:r>
          </w:p>
        </w:tc>
        <w:tc>
          <w:tcPr>
            <w:tcW w:w="1795" w:type="dxa"/>
            <w:vAlign w:val="bottom"/>
          </w:tcPr>
          <w:p w14:paraId="619C3911"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16.3</w:t>
            </w:r>
          </w:p>
        </w:tc>
        <w:tc>
          <w:tcPr>
            <w:tcW w:w="1796" w:type="dxa"/>
            <w:vAlign w:val="bottom"/>
          </w:tcPr>
          <w:p w14:paraId="41462A00"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14.5</w:t>
            </w:r>
          </w:p>
        </w:tc>
      </w:tr>
      <w:tr w:rsidR="001A7D00" w:rsidRPr="00C462FB" w14:paraId="62E90A87" w14:textId="77777777" w:rsidTr="00160409">
        <w:tc>
          <w:tcPr>
            <w:tcW w:w="3794" w:type="dxa"/>
            <w:vAlign w:val="bottom"/>
          </w:tcPr>
          <w:p w14:paraId="3AD07126" w14:textId="77777777" w:rsidR="001A7D00" w:rsidRPr="00C462FB" w:rsidRDefault="001A7D00" w:rsidP="00160409">
            <w:pPr>
              <w:rPr>
                <w:rFonts w:cstheme="minorHAnsi"/>
                <w:color w:val="000000"/>
                <w:sz w:val="20"/>
                <w:szCs w:val="20"/>
              </w:rPr>
            </w:pPr>
            <w:r w:rsidRPr="00C462FB">
              <w:rPr>
                <w:rFonts w:cstheme="minorHAnsi"/>
                <w:color w:val="000000"/>
                <w:sz w:val="20"/>
                <w:szCs w:val="20"/>
              </w:rPr>
              <w:t>Flinders University of South Australia</w:t>
            </w:r>
          </w:p>
        </w:tc>
        <w:tc>
          <w:tcPr>
            <w:tcW w:w="1795" w:type="dxa"/>
            <w:vAlign w:val="bottom"/>
          </w:tcPr>
          <w:p w14:paraId="69918B3B"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17.1</w:t>
            </w:r>
          </w:p>
        </w:tc>
        <w:tc>
          <w:tcPr>
            <w:tcW w:w="1795" w:type="dxa"/>
            <w:vAlign w:val="bottom"/>
          </w:tcPr>
          <w:p w14:paraId="0F973AC4"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17.8</w:t>
            </w:r>
          </w:p>
        </w:tc>
        <w:tc>
          <w:tcPr>
            <w:tcW w:w="1796" w:type="dxa"/>
            <w:vAlign w:val="bottom"/>
          </w:tcPr>
          <w:p w14:paraId="37B62CFF"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15.8</w:t>
            </w:r>
          </w:p>
        </w:tc>
      </w:tr>
      <w:tr w:rsidR="001A7D00" w:rsidRPr="00C462FB" w14:paraId="2ECF4E63" w14:textId="77777777" w:rsidTr="00160409">
        <w:tc>
          <w:tcPr>
            <w:tcW w:w="3794" w:type="dxa"/>
            <w:vAlign w:val="bottom"/>
          </w:tcPr>
          <w:p w14:paraId="2145B95B" w14:textId="77777777" w:rsidR="001A7D00" w:rsidRPr="00C462FB" w:rsidRDefault="001A7D00" w:rsidP="00160409">
            <w:pPr>
              <w:rPr>
                <w:rFonts w:cstheme="minorHAnsi"/>
                <w:color w:val="000000"/>
                <w:sz w:val="20"/>
                <w:szCs w:val="20"/>
              </w:rPr>
            </w:pPr>
            <w:r w:rsidRPr="00C462FB">
              <w:rPr>
                <w:rFonts w:cstheme="minorHAnsi"/>
                <w:color w:val="000000"/>
                <w:sz w:val="20"/>
                <w:szCs w:val="20"/>
              </w:rPr>
              <w:t>University of Canberra</w:t>
            </w:r>
          </w:p>
        </w:tc>
        <w:tc>
          <w:tcPr>
            <w:tcW w:w="1795" w:type="dxa"/>
            <w:vAlign w:val="bottom"/>
          </w:tcPr>
          <w:p w14:paraId="0AE4A982"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17.3</w:t>
            </w:r>
          </w:p>
        </w:tc>
        <w:tc>
          <w:tcPr>
            <w:tcW w:w="1795" w:type="dxa"/>
            <w:vAlign w:val="bottom"/>
          </w:tcPr>
          <w:p w14:paraId="0147A4B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17.6</w:t>
            </w:r>
          </w:p>
        </w:tc>
        <w:tc>
          <w:tcPr>
            <w:tcW w:w="1796" w:type="dxa"/>
            <w:vAlign w:val="bottom"/>
          </w:tcPr>
          <w:p w14:paraId="3486B4B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15.6</w:t>
            </w:r>
          </w:p>
        </w:tc>
      </w:tr>
      <w:tr w:rsidR="001A7D00" w:rsidRPr="00C462FB" w14:paraId="0A981AEA" w14:textId="77777777" w:rsidTr="00160409">
        <w:tc>
          <w:tcPr>
            <w:tcW w:w="3794" w:type="dxa"/>
            <w:vAlign w:val="bottom"/>
          </w:tcPr>
          <w:p w14:paraId="61FEE7A5" w14:textId="77777777" w:rsidR="001A7D00" w:rsidRPr="00C462FB" w:rsidRDefault="001A7D00" w:rsidP="00160409">
            <w:pPr>
              <w:rPr>
                <w:rFonts w:cstheme="minorHAnsi"/>
                <w:color w:val="000000"/>
                <w:sz w:val="20"/>
                <w:szCs w:val="20"/>
              </w:rPr>
            </w:pPr>
            <w:r w:rsidRPr="00C462FB">
              <w:rPr>
                <w:rFonts w:cstheme="minorHAnsi"/>
                <w:color w:val="000000"/>
                <w:sz w:val="20"/>
                <w:szCs w:val="20"/>
              </w:rPr>
              <w:t>Murdoch University</w:t>
            </w:r>
          </w:p>
        </w:tc>
        <w:tc>
          <w:tcPr>
            <w:tcW w:w="1795" w:type="dxa"/>
            <w:vAlign w:val="bottom"/>
          </w:tcPr>
          <w:p w14:paraId="0B098591"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18.7</w:t>
            </w:r>
          </w:p>
        </w:tc>
        <w:tc>
          <w:tcPr>
            <w:tcW w:w="1795" w:type="dxa"/>
            <w:vAlign w:val="bottom"/>
          </w:tcPr>
          <w:p w14:paraId="0755B49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16.5</w:t>
            </w:r>
          </w:p>
        </w:tc>
        <w:tc>
          <w:tcPr>
            <w:tcW w:w="1796" w:type="dxa"/>
            <w:vAlign w:val="bottom"/>
          </w:tcPr>
          <w:p w14:paraId="7DFDBF12"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14.4</w:t>
            </w:r>
          </w:p>
        </w:tc>
      </w:tr>
      <w:tr w:rsidR="001A7D00" w:rsidRPr="00C462FB" w14:paraId="64D3A672" w14:textId="77777777" w:rsidTr="00160409">
        <w:tc>
          <w:tcPr>
            <w:tcW w:w="3794" w:type="dxa"/>
            <w:vAlign w:val="bottom"/>
          </w:tcPr>
          <w:p w14:paraId="084D42C7" w14:textId="77777777" w:rsidR="001A7D00" w:rsidRPr="00C462FB" w:rsidRDefault="001A7D00" w:rsidP="00160409">
            <w:pPr>
              <w:rPr>
                <w:rFonts w:cstheme="minorHAnsi"/>
                <w:color w:val="000000"/>
                <w:sz w:val="20"/>
                <w:szCs w:val="20"/>
              </w:rPr>
            </w:pPr>
            <w:r w:rsidRPr="00C462FB">
              <w:rPr>
                <w:rFonts w:cstheme="minorHAnsi"/>
                <w:color w:val="000000"/>
                <w:sz w:val="20"/>
                <w:szCs w:val="20"/>
              </w:rPr>
              <w:t>James Cook University</w:t>
            </w:r>
          </w:p>
        </w:tc>
        <w:tc>
          <w:tcPr>
            <w:tcW w:w="1795" w:type="dxa"/>
            <w:vAlign w:val="bottom"/>
          </w:tcPr>
          <w:p w14:paraId="17076F83"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19.0</w:t>
            </w:r>
          </w:p>
        </w:tc>
        <w:tc>
          <w:tcPr>
            <w:tcW w:w="1795" w:type="dxa"/>
            <w:vAlign w:val="bottom"/>
          </w:tcPr>
          <w:p w14:paraId="134DB64E"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20.1</w:t>
            </w:r>
          </w:p>
        </w:tc>
        <w:tc>
          <w:tcPr>
            <w:tcW w:w="1796" w:type="dxa"/>
            <w:vAlign w:val="bottom"/>
          </w:tcPr>
          <w:p w14:paraId="27578D4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18.3</w:t>
            </w:r>
          </w:p>
        </w:tc>
      </w:tr>
      <w:tr w:rsidR="001A7D00" w:rsidRPr="00C462FB" w14:paraId="5D4E8D30" w14:textId="77777777" w:rsidTr="00160409">
        <w:tc>
          <w:tcPr>
            <w:tcW w:w="3794" w:type="dxa"/>
            <w:vAlign w:val="bottom"/>
          </w:tcPr>
          <w:p w14:paraId="26A55276" w14:textId="77777777" w:rsidR="001A7D00" w:rsidRPr="00C462FB" w:rsidRDefault="001A7D00" w:rsidP="00160409">
            <w:pPr>
              <w:rPr>
                <w:rFonts w:cstheme="minorHAnsi"/>
                <w:color w:val="000000"/>
                <w:sz w:val="20"/>
                <w:szCs w:val="20"/>
              </w:rPr>
            </w:pPr>
            <w:r w:rsidRPr="00C462FB">
              <w:rPr>
                <w:rFonts w:cstheme="minorHAnsi"/>
                <w:color w:val="000000"/>
                <w:sz w:val="20"/>
                <w:szCs w:val="20"/>
              </w:rPr>
              <w:t>Victoria University</w:t>
            </w:r>
          </w:p>
        </w:tc>
        <w:tc>
          <w:tcPr>
            <w:tcW w:w="1795" w:type="dxa"/>
            <w:vAlign w:val="bottom"/>
          </w:tcPr>
          <w:p w14:paraId="2F5933B0"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19.5</w:t>
            </w:r>
          </w:p>
        </w:tc>
        <w:tc>
          <w:tcPr>
            <w:tcW w:w="1795" w:type="dxa"/>
            <w:vAlign w:val="bottom"/>
          </w:tcPr>
          <w:p w14:paraId="0C20B0F8"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18.1</w:t>
            </w:r>
          </w:p>
        </w:tc>
        <w:tc>
          <w:tcPr>
            <w:tcW w:w="1796" w:type="dxa"/>
            <w:vAlign w:val="bottom"/>
          </w:tcPr>
          <w:p w14:paraId="5D31DF40"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15.6</w:t>
            </w:r>
          </w:p>
        </w:tc>
      </w:tr>
      <w:tr w:rsidR="001A7D00" w:rsidRPr="00C462FB" w14:paraId="58B1DFF4" w14:textId="77777777" w:rsidTr="00160409">
        <w:tc>
          <w:tcPr>
            <w:tcW w:w="3794" w:type="dxa"/>
            <w:vAlign w:val="bottom"/>
          </w:tcPr>
          <w:p w14:paraId="298B5CB4" w14:textId="77777777" w:rsidR="001A7D00" w:rsidRPr="00C462FB" w:rsidRDefault="001A7D00" w:rsidP="00160409">
            <w:pPr>
              <w:rPr>
                <w:rFonts w:cstheme="minorHAnsi"/>
                <w:color w:val="000000"/>
                <w:sz w:val="20"/>
                <w:szCs w:val="20"/>
              </w:rPr>
            </w:pPr>
            <w:r w:rsidRPr="00C462FB">
              <w:rPr>
                <w:rFonts w:cstheme="minorHAnsi"/>
                <w:color w:val="000000"/>
                <w:sz w:val="20"/>
                <w:szCs w:val="20"/>
              </w:rPr>
              <w:t>University of the Sunshine Coast</w:t>
            </w:r>
          </w:p>
        </w:tc>
        <w:tc>
          <w:tcPr>
            <w:tcW w:w="1795" w:type="dxa"/>
            <w:vAlign w:val="bottom"/>
          </w:tcPr>
          <w:p w14:paraId="62703F4E"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19.9</w:t>
            </w:r>
          </w:p>
        </w:tc>
        <w:tc>
          <w:tcPr>
            <w:tcW w:w="1795" w:type="dxa"/>
            <w:vAlign w:val="bottom"/>
          </w:tcPr>
          <w:p w14:paraId="07396BFB"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20.0</w:t>
            </w:r>
          </w:p>
        </w:tc>
        <w:tc>
          <w:tcPr>
            <w:tcW w:w="1796" w:type="dxa"/>
            <w:vAlign w:val="bottom"/>
          </w:tcPr>
          <w:p w14:paraId="40F02B1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17.9</w:t>
            </w:r>
          </w:p>
        </w:tc>
      </w:tr>
      <w:tr w:rsidR="001A7D00" w:rsidRPr="00C462FB" w14:paraId="44DC3654" w14:textId="77777777" w:rsidTr="00160409">
        <w:tc>
          <w:tcPr>
            <w:tcW w:w="3794" w:type="dxa"/>
            <w:vAlign w:val="bottom"/>
          </w:tcPr>
          <w:p w14:paraId="3AE9823C" w14:textId="77777777" w:rsidR="001A7D00" w:rsidRPr="00C462FB" w:rsidRDefault="001A7D00" w:rsidP="00160409">
            <w:pPr>
              <w:rPr>
                <w:rFonts w:cstheme="minorHAnsi"/>
                <w:color w:val="000000"/>
                <w:sz w:val="20"/>
                <w:szCs w:val="20"/>
              </w:rPr>
            </w:pPr>
            <w:r w:rsidRPr="00C462FB">
              <w:rPr>
                <w:rFonts w:cstheme="minorHAnsi"/>
                <w:color w:val="000000"/>
                <w:sz w:val="20"/>
                <w:szCs w:val="20"/>
              </w:rPr>
              <w:t>Edith Cowan University</w:t>
            </w:r>
          </w:p>
        </w:tc>
        <w:tc>
          <w:tcPr>
            <w:tcW w:w="1795" w:type="dxa"/>
            <w:vAlign w:val="bottom"/>
          </w:tcPr>
          <w:p w14:paraId="2B361589"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20.7</w:t>
            </w:r>
          </w:p>
        </w:tc>
        <w:tc>
          <w:tcPr>
            <w:tcW w:w="1795" w:type="dxa"/>
            <w:vAlign w:val="bottom"/>
          </w:tcPr>
          <w:p w14:paraId="54E4E529"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17.8</w:t>
            </w:r>
          </w:p>
        </w:tc>
        <w:tc>
          <w:tcPr>
            <w:tcW w:w="1796" w:type="dxa"/>
            <w:vAlign w:val="bottom"/>
          </w:tcPr>
          <w:p w14:paraId="6C383F2B"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15.6</w:t>
            </w:r>
          </w:p>
        </w:tc>
      </w:tr>
      <w:tr w:rsidR="001A7D00" w:rsidRPr="00C462FB" w14:paraId="0B77116D" w14:textId="77777777" w:rsidTr="00160409">
        <w:tc>
          <w:tcPr>
            <w:tcW w:w="3794" w:type="dxa"/>
            <w:vAlign w:val="bottom"/>
          </w:tcPr>
          <w:p w14:paraId="4F1D08F6" w14:textId="77777777" w:rsidR="001A7D00" w:rsidRPr="00C462FB" w:rsidRDefault="001A7D00" w:rsidP="00160409">
            <w:pPr>
              <w:rPr>
                <w:rFonts w:cstheme="minorHAnsi"/>
                <w:color w:val="000000"/>
                <w:sz w:val="20"/>
                <w:szCs w:val="20"/>
              </w:rPr>
            </w:pPr>
            <w:r w:rsidRPr="00C462FB">
              <w:rPr>
                <w:rFonts w:cstheme="minorHAnsi"/>
                <w:color w:val="000000"/>
                <w:sz w:val="20"/>
                <w:szCs w:val="20"/>
              </w:rPr>
              <w:t xml:space="preserve">Eastern College Australia </w:t>
            </w:r>
            <w:proofErr w:type="spellStart"/>
            <w:r w:rsidRPr="00C462FB">
              <w:rPr>
                <w:rFonts w:cstheme="minorHAnsi"/>
                <w:color w:val="000000"/>
                <w:sz w:val="20"/>
                <w:szCs w:val="20"/>
              </w:rPr>
              <w:t>Inc</w:t>
            </w:r>
            <w:proofErr w:type="spellEnd"/>
          </w:p>
        </w:tc>
        <w:tc>
          <w:tcPr>
            <w:tcW w:w="1795" w:type="dxa"/>
            <w:vAlign w:val="bottom"/>
          </w:tcPr>
          <w:p w14:paraId="27ED940B"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21.9</w:t>
            </w:r>
          </w:p>
        </w:tc>
        <w:tc>
          <w:tcPr>
            <w:tcW w:w="1795" w:type="dxa"/>
            <w:vAlign w:val="bottom"/>
          </w:tcPr>
          <w:p w14:paraId="60553932"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13.9</w:t>
            </w:r>
          </w:p>
        </w:tc>
        <w:tc>
          <w:tcPr>
            <w:tcW w:w="1796" w:type="dxa"/>
            <w:vAlign w:val="bottom"/>
          </w:tcPr>
          <w:p w14:paraId="40800CC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11.5</w:t>
            </w:r>
          </w:p>
        </w:tc>
      </w:tr>
      <w:tr w:rsidR="001A7D00" w:rsidRPr="00C462FB" w14:paraId="0D7246C6" w14:textId="77777777" w:rsidTr="00160409">
        <w:tc>
          <w:tcPr>
            <w:tcW w:w="3794" w:type="dxa"/>
            <w:vAlign w:val="bottom"/>
          </w:tcPr>
          <w:p w14:paraId="71E441FC" w14:textId="77777777" w:rsidR="001A7D00" w:rsidRPr="00C462FB" w:rsidRDefault="001A7D00" w:rsidP="00160409">
            <w:pPr>
              <w:rPr>
                <w:rFonts w:cstheme="minorHAnsi"/>
                <w:color w:val="000000"/>
                <w:sz w:val="20"/>
                <w:szCs w:val="20"/>
              </w:rPr>
            </w:pPr>
            <w:r w:rsidRPr="00C462FB">
              <w:rPr>
                <w:rFonts w:cstheme="minorHAnsi"/>
                <w:color w:val="000000"/>
                <w:sz w:val="20"/>
                <w:szCs w:val="20"/>
              </w:rPr>
              <w:t>University of Southern Queensland</w:t>
            </w:r>
          </w:p>
        </w:tc>
        <w:tc>
          <w:tcPr>
            <w:tcW w:w="1795" w:type="dxa"/>
            <w:vAlign w:val="bottom"/>
          </w:tcPr>
          <w:p w14:paraId="5CC45403"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22.2</w:t>
            </w:r>
          </w:p>
        </w:tc>
        <w:tc>
          <w:tcPr>
            <w:tcW w:w="1795" w:type="dxa"/>
            <w:vAlign w:val="bottom"/>
          </w:tcPr>
          <w:p w14:paraId="72D7CD7B"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16.6</w:t>
            </w:r>
          </w:p>
        </w:tc>
        <w:tc>
          <w:tcPr>
            <w:tcW w:w="1796" w:type="dxa"/>
            <w:vAlign w:val="bottom"/>
          </w:tcPr>
          <w:p w14:paraId="5BF2D21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15.3</w:t>
            </w:r>
          </w:p>
        </w:tc>
      </w:tr>
      <w:tr w:rsidR="001A7D00" w:rsidRPr="00C462FB" w14:paraId="6595FA3A" w14:textId="77777777" w:rsidTr="00160409">
        <w:tc>
          <w:tcPr>
            <w:tcW w:w="3794" w:type="dxa"/>
            <w:vAlign w:val="bottom"/>
          </w:tcPr>
          <w:p w14:paraId="7411D6EB" w14:textId="77777777" w:rsidR="001A7D00" w:rsidRPr="00C462FB" w:rsidRDefault="001A7D00" w:rsidP="00160409">
            <w:pPr>
              <w:rPr>
                <w:rFonts w:cstheme="minorHAnsi"/>
                <w:color w:val="000000"/>
                <w:sz w:val="20"/>
                <w:szCs w:val="20"/>
              </w:rPr>
            </w:pPr>
            <w:r w:rsidRPr="00C462FB">
              <w:rPr>
                <w:rFonts w:cstheme="minorHAnsi"/>
                <w:color w:val="000000"/>
                <w:sz w:val="20"/>
                <w:szCs w:val="20"/>
              </w:rPr>
              <w:t>University of New England</w:t>
            </w:r>
          </w:p>
        </w:tc>
        <w:tc>
          <w:tcPr>
            <w:tcW w:w="1795" w:type="dxa"/>
            <w:vAlign w:val="bottom"/>
          </w:tcPr>
          <w:p w14:paraId="6B6EF00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22.6</w:t>
            </w:r>
          </w:p>
        </w:tc>
        <w:tc>
          <w:tcPr>
            <w:tcW w:w="1795" w:type="dxa"/>
            <w:vAlign w:val="bottom"/>
          </w:tcPr>
          <w:p w14:paraId="19FB23B9"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15.1</w:t>
            </w:r>
          </w:p>
        </w:tc>
        <w:tc>
          <w:tcPr>
            <w:tcW w:w="1796" w:type="dxa"/>
            <w:vAlign w:val="bottom"/>
          </w:tcPr>
          <w:p w14:paraId="52962854"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13.8</w:t>
            </w:r>
          </w:p>
        </w:tc>
      </w:tr>
      <w:tr w:rsidR="001A7D00" w:rsidRPr="00C462FB" w14:paraId="066C3DEA" w14:textId="77777777" w:rsidTr="00160409">
        <w:tc>
          <w:tcPr>
            <w:tcW w:w="3794" w:type="dxa"/>
            <w:vAlign w:val="bottom"/>
          </w:tcPr>
          <w:p w14:paraId="45AD697F" w14:textId="77777777" w:rsidR="001A7D00" w:rsidRPr="00C462FB" w:rsidRDefault="001A7D00" w:rsidP="00160409">
            <w:pPr>
              <w:rPr>
                <w:rFonts w:cstheme="minorHAnsi"/>
                <w:color w:val="000000"/>
                <w:sz w:val="20"/>
                <w:szCs w:val="20"/>
              </w:rPr>
            </w:pPr>
            <w:r w:rsidRPr="00C462FB">
              <w:rPr>
                <w:rFonts w:cstheme="minorHAnsi"/>
                <w:color w:val="000000"/>
                <w:sz w:val="20"/>
                <w:szCs w:val="20"/>
              </w:rPr>
              <w:t>Charles Sturt University</w:t>
            </w:r>
          </w:p>
        </w:tc>
        <w:tc>
          <w:tcPr>
            <w:tcW w:w="1795" w:type="dxa"/>
            <w:vAlign w:val="bottom"/>
          </w:tcPr>
          <w:p w14:paraId="28B5129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22.7</w:t>
            </w:r>
          </w:p>
        </w:tc>
        <w:tc>
          <w:tcPr>
            <w:tcW w:w="1795" w:type="dxa"/>
            <w:vAlign w:val="bottom"/>
          </w:tcPr>
          <w:p w14:paraId="45970272"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15.2</w:t>
            </w:r>
          </w:p>
        </w:tc>
        <w:tc>
          <w:tcPr>
            <w:tcW w:w="1796" w:type="dxa"/>
            <w:vAlign w:val="bottom"/>
          </w:tcPr>
          <w:p w14:paraId="4D45B63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13.2</w:t>
            </w:r>
          </w:p>
        </w:tc>
      </w:tr>
      <w:tr w:rsidR="001A7D00" w:rsidRPr="00C462FB" w14:paraId="3AA97677" w14:textId="77777777" w:rsidTr="00160409">
        <w:tc>
          <w:tcPr>
            <w:tcW w:w="3794" w:type="dxa"/>
            <w:vAlign w:val="bottom"/>
          </w:tcPr>
          <w:p w14:paraId="018FFCFF" w14:textId="77777777" w:rsidR="001A7D00" w:rsidRPr="00C462FB" w:rsidRDefault="001A7D00" w:rsidP="00160409">
            <w:pPr>
              <w:rPr>
                <w:rFonts w:cstheme="minorHAnsi"/>
                <w:color w:val="000000"/>
                <w:sz w:val="20"/>
                <w:szCs w:val="20"/>
              </w:rPr>
            </w:pPr>
            <w:r w:rsidRPr="00C462FB">
              <w:rPr>
                <w:rFonts w:cstheme="minorHAnsi"/>
                <w:color w:val="000000"/>
                <w:sz w:val="20"/>
                <w:szCs w:val="20"/>
              </w:rPr>
              <w:t>Federation University Australia</w:t>
            </w:r>
          </w:p>
        </w:tc>
        <w:tc>
          <w:tcPr>
            <w:tcW w:w="1795" w:type="dxa"/>
            <w:vAlign w:val="bottom"/>
          </w:tcPr>
          <w:p w14:paraId="0BE984F4"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23.3</w:t>
            </w:r>
          </w:p>
        </w:tc>
        <w:tc>
          <w:tcPr>
            <w:tcW w:w="1795" w:type="dxa"/>
            <w:vAlign w:val="bottom"/>
          </w:tcPr>
          <w:p w14:paraId="189E2E9B"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21.3</w:t>
            </w:r>
          </w:p>
        </w:tc>
        <w:tc>
          <w:tcPr>
            <w:tcW w:w="1796" w:type="dxa"/>
            <w:vAlign w:val="bottom"/>
          </w:tcPr>
          <w:p w14:paraId="076EA480"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18.3</w:t>
            </w:r>
          </w:p>
        </w:tc>
      </w:tr>
      <w:tr w:rsidR="001A7D00" w:rsidRPr="00C462FB" w14:paraId="610CA071" w14:textId="77777777" w:rsidTr="00160409">
        <w:tc>
          <w:tcPr>
            <w:tcW w:w="3794" w:type="dxa"/>
            <w:vAlign w:val="bottom"/>
          </w:tcPr>
          <w:p w14:paraId="123278A8" w14:textId="77777777" w:rsidR="001A7D00" w:rsidRPr="00C462FB" w:rsidRDefault="001A7D00" w:rsidP="00160409">
            <w:pPr>
              <w:rPr>
                <w:rFonts w:cstheme="minorHAnsi"/>
                <w:color w:val="000000"/>
                <w:sz w:val="20"/>
                <w:szCs w:val="20"/>
              </w:rPr>
            </w:pPr>
            <w:r w:rsidRPr="00C462FB">
              <w:rPr>
                <w:rFonts w:cstheme="minorHAnsi"/>
                <w:color w:val="000000"/>
                <w:sz w:val="20"/>
                <w:szCs w:val="20"/>
              </w:rPr>
              <w:t>Central Queensland University</w:t>
            </w:r>
          </w:p>
        </w:tc>
        <w:tc>
          <w:tcPr>
            <w:tcW w:w="1795" w:type="dxa"/>
            <w:vAlign w:val="bottom"/>
          </w:tcPr>
          <w:p w14:paraId="354B707E"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23.9</w:t>
            </w:r>
          </w:p>
        </w:tc>
        <w:tc>
          <w:tcPr>
            <w:tcW w:w="1795" w:type="dxa"/>
            <w:vAlign w:val="bottom"/>
          </w:tcPr>
          <w:p w14:paraId="2A2752BD"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18.9</w:t>
            </w:r>
          </w:p>
        </w:tc>
        <w:tc>
          <w:tcPr>
            <w:tcW w:w="1796" w:type="dxa"/>
            <w:vAlign w:val="bottom"/>
          </w:tcPr>
          <w:p w14:paraId="419DE2A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17.0</w:t>
            </w:r>
          </w:p>
        </w:tc>
      </w:tr>
      <w:tr w:rsidR="001A7D00" w:rsidRPr="00C462FB" w14:paraId="148D31E4" w14:textId="77777777" w:rsidTr="00160409">
        <w:tc>
          <w:tcPr>
            <w:tcW w:w="3794" w:type="dxa"/>
            <w:vAlign w:val="bottom"/>
          </w:tcPr>
          <w:p w14:paraId="3C73FA59" w14:textId="77777777" w:rsidR="001A7D00" w:rsidRPr="00C462FB" w:rsidRDefault="001A7D00" w:rsidP="00160409">
            <w:pPr>
              <w:rPr>
                <w:rFonts w:cstheme="minorHAnsi"/>
                <w:color w:val="000000"/>
                <w:sz w:val="20"/>
                <w:szCs w:val="20"/>
              </w:rPr>
            </w:pPr>
            <w:r w:rsidRPr="00C462FB">
              <w:rPr>
                <w:rFonts w:cstheme="minorHAnsi"/>
                <w:color w:val="000000"/>
                <w:sz w:val="20"/>
                <w:szCs w:val="20"/>
              </w:rPr>
              <w:t>Southern Cross University</w:t>
            </w:r>
          </w:p>
        </w:tc>
        <w:tc>
          <w:tcPr>
            <w:tcW w:w="1795" w:type="dxa"/>
            <w:vAlign w:val="bottom"/>
          </w:tcPr>
          <w:p w14:paraId="4858065E"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24.1</w:t>
            </w:r>
          </w:p>
        </w:tc>
        <w:tc>
          <w:tcPr>
            <w:tcW w:w="1795" w:type="dxa"/>
            <w:vAlign w:val="bottom"/>
          </w:tcPr>
          <w:p w14:paraId="73F91C69"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20.5</w:t>
            </w:r>
          </w:p>
        </w:tc>
        <w:tc>
          <w:tcPr>
            <w:tcW w:w="1796" w:type="dxa"/>
            <w:vAlign w:val="bottom"/>
          </w:tcPr>
          <w:p w14:paraId="36C3E74C"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17.8</w:t>
            </w:r>
          </w:p>
        </w:tc>
      </w:tr>
      <w:tr w:rsidR="001A7D00" w:rsidRPr="00C462FB" w14:paraId="613DC9AE" w14:textId="77777777" w:rsidTr="00160409">
        <w:tc>
          <w:tcPr>
            <w:tcW w:w="3794" w:type="dxa"/>
            <w:vAlign w:val="bottom"/>
          </w:tcPr>
          <w:p w14:paraId="07BFC528" w14:textId="77777777" w:rsidR="001A7D00" w:rsidRPr="00C462FB" w:rsidRDefault="001A7D00" w:rsidP="00160409">
            <w:pPr>
              <w:rPr>
                <w:rFonts w:cstheme="minorHAnsi"/>
                <w:color w:val="000000"/>
                <w:sz w:val="20"/>
                <w:szCs w:val="20"/>
              </w:rPr>
            </w:pPr>
            <w:r w:rsidRPr="00C462FB">
              <w:rPr>
                <w:rFonts w:cstheme="minorHAnsi"/>
                <w:color w:val="000000"/>
                <w:sz w:val="20"/>
                <w:szCs w:val="20"/>
              </w:rPr>
              <w:t>Christian Heritage College</w:t>
            </w:r>
          </w:p>
        </w:tc>
        <w:tc>
          <w:tcPr>
            <w:tcW w:w="1795" w:type="dxa"/>
            <w:vAlign w:val="bottom"/>
          </w:tcPr>
          <w:p w14:paraId="62FB5463"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24.4</w:t>
            </w:r>
          </w:p>
        </w:tc>
        <w:tc>
          <w:tcPr>
            <w:tcW w:w="1795" w:type="dxa"/>
            <w:vAlign w:val="bottom"/>
          </w:tcPr>
          <w:p w14:paraId="5EE1576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21.8</w:t>
            </w:r>
          </w:p>
        </w:tc>
        <w:tc>
          <w:tcPr>
            <w:tcW w:w="1796" w:type="dxa"/>
            <w:vAlign w:val="bottom"/>
          </w:tcPr>
          <w:p w14:paraId="05E29A1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19.1</w:t>
            </w:r>
          </w:p>
        </w:tc>
      </w:tr>
      <w:tr w:rsidR="001A7D00" w:rsidRPr="00C462FB" w14:paraId="4C7BD9C7" w14:textId="77777777" w:rsidTr="00160409">
        <w:tc>
          <w:tcPr>
            <w:tcW w:w="3794" w:type="dxa"/>
            <w:vAlign w:val="bottom"/>
          </w:tcPr>
          <w:p w14:paraId="1A6EFEF1" w14:textId="77777777" w:rsidR="001A7D00" w:rsidRPr="00C462FB" w:rsidRDefault="001A7D00" w:rsidP="00160409">
            <w:pPr>
              <w:rPr>
                <w:rFonts w:cstheme="minorHAnsi"/>
                <w:color w:val="000000"/>
                <w:sz w:val="20"/>
                <w:szCs w:val="20"/>
              </w:rPr>
            </w:pPr>
            <w:r w:rsidRPr="00C462FB">
              <w:rPr>
                <w:rFonts w:cstheme="minorHAnsi"/>
                <w:color w:val="000000"/>
                <w:sz w:val="20"/>
                <w:szCs w:val="20"/>
              </w:rPr>
              <w:t>Swinburne University of Technology</w:t>
            </w:r>
          </w:p>
        </w:tc>
        <w:tc>
          <w:tcPr>
            <w:tcW w:w="1795" w:type="dxa"/>
            <w:vAlign w:val="bottom"/>
          </w:tcPr>
          <w:p w14:paraId="2F37182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24.7</w:t>
            </w:r>
          </w:p>
        </w:tc>
        <w:tc>
          <w:tcPr>
            <w:tcW w:w="1795" w:type="dxa"/>
            <w:vAlign w:val="bottom"/>
          </w:tcPr>
          <w:p w14:paraId="6FA65746"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16.8</w:t>
            </w:r>
          </w:p>
        </w:tc>
        <w:tc>
          <w:tcPr>
            <w:tcW w:w="1796" w:type="dxa"/>
            <w:vAlign w:val="bottom"/>
          </w:tcPr>
          <w:p w14:paraId="5B6F00BB"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14.4</w:t>
            </w:r>
          </w:p>
        </w:tc>
      </w:tr>
      <w:tr w:rsidR="001A7D00" w:rsidRPr="00C462FB" w14:paraId="62FE9ECB" w14:textId="77777777" w:rsidTr="00160409">
        <w:tc>
          <w:tcPr>
            <w:tcW w:w="3794" w:type="dxa"/>
            <w:vAlign w:val="bottom"/>
          </w:tcPr>
          <w:p w14:paraId="465E8AF3" w14:textId="77777777" w:rsidR="001A7D00" w:rsidRPr="00C462FB" w:rsidRDefault="001A7D00" w:rsidP="00160409">
            <w:pPr>
              <w:rPr>
                <w:rFonts w:cstheme="minorHAnsi"/>
                <w:color w:val="000000"/>
                <w:sz w:val="20"/>
                <w:szCs w:val="20"/>
              </w:rPr>
            </w:pPr>
            <w:r w:rsidRPr="00C462FB">
              <w:rPr>
                <w:rFonts w:cstheme="minorHAnsi"/>
                <w:color w:val="000000"/>
                <w:sz w:val="20"/>
                <w:szCs w:val="20"/>
              </w:rPr>
              <w:t xml:space="preserve">Holmesglen Institute of TAFE </w:t>
            </w:r>
          </w:p>
        </w:tc>
        <w:tc>
          <w:tcPr>
            <w:tcW w:w="1795" w:type="dxa"/>
            <w:vAlign w:val="bottom"/>
          </w:tcPr>
          <w:p w14:paraId="3405561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25.8</w:t>
            </w:r>
          </w:p>
        </w:tc>
        <w:tc>
          <w:tcPr>
            <w:tcW w:w="1795" w:type="dxa"/>
            <w:vAlign w:val="bottom"/>
          </w:tcPr>
          <w:p w14:paraId="4BC43A3F"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23.5</w:t>
            </w:r>
          </w:p>
        </w:tc>
        <w:tc>
          <w:tcPr>
            <w:tcW w:w="1796" w:type="dxa"/>
            <w:vAlign w:val="bottom"/>
          </w:tcPr>
          <w:p w14:paraId="41FB5BD4"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22.9</w:t>
            </w:r>
          </w:p>
        </w:tc>
      </w:tr>
      <w:tr w:rsidR="001A7D00" w:rsidRPr="00C462FB" w14:paraId="7862146C" w14:textId="77777777" w:rsidTr="00160409">
        <w:tc>
          <w:tcPr>
            <w:tcW w:w="3794" w:type="dxa"/>
            <w:vAlign w:val="bottom"/>
          </w:tcPr>
          <w:p w14:paraId="5D1EB639" w14:textId="77777777" w:rsidR="001A7D00" w:rsidRPr="00C462FB" w:rsidRDefault="001A7D00" w:rsidP="00160409">
            <w:pPr>
              <w:rPr>
                <w:rFonts w:cstheme="minorHAnsi"/>
                <w:color w:val="000000"/>
                <w:sz w:val="20"/>
                <w:szCs w:val="20"/>
              </w:rPr>
            </w:pPr>
            <w:r w:rsidRPr="00C462FB">
              <w:rPr>
                <w:rFonts w:cstheme="minorHAnsi"/>
                <w:color w:val="000000"/>
                <w:sz w:val="20"/>
                <w:szCs w:val="20"/>
              </w:rPr>
              <w:t>Charles Darwin University</w:t>
            </w:r>
          </w:p>
        </w:tc>
        <w:tc>
          <w:tcPr>
            <w:tcW w:w="1795" w:type="dxa"/>
            <w:vAlign w:val="bottom"/>
          </w:tcPr>
          <w:p w14:paraId="7E4198CC"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26.1</w:t>
            </w:r>
          </w:p>
        </w:tc>
        <w:tc>
          <w:tcPr>
            <w:tcW w:w="1795" w:type="dxa"/>
            <w:vAlign w:val="bottom"/>
          </w:tcPr>
          <w:p w14:paraId="358FC01F"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18.7</w:t>
            </w:r>
          </w:p>
        </w:tc>
        <w:tc>
          <w:tcPr>
            <w:tcW w:w="1796" w:type="dxa"/>
            <w:vAlign w:val="bottom"/>
          </w:tcPr>
          <w:p w14:paraId="66CA426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16.5</w:t>
            </w:r>
          </w:p>
        </w:tc>
      </w:tr>
      <w:tr w:rsidR="001A7D00" w:rsidRPr="00C462FB" w14:paraId="3437A8DC" w14:textId="77777777" w:rsidTr="00160409">
        <w:tc>
          <w:tcPr>
            <w:tcW w:w="3794" w:type="dxa"/>
            <w:vAlign w:val="bottom"/>
          </w:tcPr>
          <w:p w14:paraId="65B67D7A" w14:textId="77777777" w:rsidR="001A7D00" w:rsidRPr="00C462FB" w:rsidRDefault="001A7D00" w:rsidP="00160409">
            <w:pPr>
              <w:rPr>
                <w:rFonts w:cstheme="minorHAnsi"/>
                <w:color w:val="000000"/>
                <w:sz w:val="20"/>
                <w:szCs w:val="20"/>
              </w:rPr>
            </w:pPr>
            <w:r w:rsidRPr="00C462FB">
              <w:rPr>
                <w:rFonts w:cstheme="minorHAnsi"/>
                <w:color w:val="000000"/>
                <w:sz w:val="20"/>
                <w:szCs w:val="20"/>
              </w:rPr>
              <w:t>Tabor Adelaide</w:t>
            </w:r>
          </w:p>
        </w:tc>
        <w:tc>
          <w:tcPr>
            <w:tcW w:w="1795" w:type="dxa"/>
            <w:vAlign w:val="bottom"/>
          </w:tcPr>
          <w:p w14:paraId="24F8901B"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27.4</w:t>
            </w:r>
          </w:p>
        </w:tc>
        <w:tc>
          <w:tcPr>
            <w:tcW w:w="1795" w:type="dxa"/>
            <w:vAlign w:val="bottom"/>
          </w:tcPr>
          <w:p w14:paraId="6EBD2D07"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18.9</w:t>
            </w:r>
          </w:p>
        </w:tc>
        <w:tc>
          <w:tcPr>
            <w:tcW w:w="1796" w:type="dxa"/>
            <w:vAlign w:val="bottom"/>
          </w:tcPr>
          <w:p w14:paraId="6A7561D9"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15.3</w:t>
            </w:r>
          </w:p>
        </w:tc>
      </w:tr>
      <w:tr w:rsidR="001A7D00" w:rsidRPr="00C462FB" w14:paraId="4C5F62D9" w14:textId="77777777" w:rsidTr="00160409">
        <w:tc>
          <w:tcPr>
            <w:tcW w:w="3794" w:type="dxa"/>
            <w:vAlign w:val="bottom"/>
          </w:tcPr>
          <w:p w14:paraId="5655D065" w14:textId="77777777" w:rsidR="001A7D00" w:rsidRPr="00C462FB" w:rsidRDefault="001A7D00" w:rsidP="00160409">
            <w:pPr>
              <w:rPr>
                <w:rFonts w:cstheme="minorHAnsi"/>
                <w:color w:val="000000"/>
                <w:sz w:val="20"/>
                <w:szCs w:val="20"/>
              </w:rPr>
            </w:pPr>
            <w:r w:rsidRPr="00C462FB">
              <w:rPr>
                <w:rFonts w:cstheme="minorHAnsi"/>
                <w:color w:val="000000"/>
                <w:sz w:val="20"/>
                <w:szCs w:val="20"/>
              </w:rPr>
              <w:t>Melbourne Polytechnic</w:t>
            </w:r>
          </w:p>
        </w:tc>
        <w:tc>
          <w:tcPr>
            <w:tcW w:w="1795" w:type="dxa"/>
            <w:vAlign w:val="bottom"/>
          </w:tcPr>
          <w:p w14:paraId="35288FAE"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28.1</w:t>
            </w:r>
          </w:p>
        </w:tc>
        <w:tc>
          <w:tcPr>
            <w:tcW w:w="1795" w:type="dxa"/>
            <w:vAlign w:val="bottom"/>
          </w:tcPr>
          <w:p w14:paraId="701CC9A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24.5</w:t>
            </w:r>
          </w:p>
        </w:tc>
        <w:tc>
          <w:tcPr>
            <w:tcW w:w="1796" w:type="dxa"/>
            <w:vAlign w:val="bottom"/>
          </w:tcPr>
          <w:p w14:paraId="1B70AB11"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20.8</w:t>
            </w:r>
          </w:p>
        </w:tc>
      </w:tr>
      <w:tr w:rsidR="001A7D00" w:rsidRPr="00C462FB" w14:paraId="317C54AB" w14:textId="77777777" w:rsidTr="00160409">
        <w:tc>
          <w:tcPr>
            <w:tcW w:w="3794" w:type="dxa"/>
            <w:vAlign w:val="bottom"/>
          </w:tcPr>
          <w:p w14:paraId="025FF71A" w14:textId="77777777" w:rsidR="001A7D00" w:rsidRPr="00C462FB" w:rsidRDefault="001A7D00" w:rsidP="00160409">
            <w:pPr>
              <w:rPr>
                <w:rFonts w:cstheme="minorHAnsi"/>
                <w:color w:val="000000"/>
                <w:sz w:val="20"/>
                <w:szCs w:val="20"/>
              </w:rPr>
            </w:pPr>
            <w:r w:rsidRPr="00C462FB">
              <w:rPr>
                <w:rFonts w:cstheme="minorHAnsi"/>
                <w:color w:val="000000"/>
                <w:sz w:val="20"/>
                <w:szCs w:val="20"/>
              </w:rPr>
              <w:t>University of Tasmania</w:t>
            </w:r>
          </w:p>
        </w:tc>
        <w:tc>
          <w:tcPr>
            <w:tcW w:w="1795" w:type="dxa"/>
            <w:vAlign w:val="bottom"/>
          </w:tcPr>
          <w:p w14:paraId="369752DF"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37.7</w:t>
            </w:r>
          </w:p>
        </w:tc>
        <w:tc>
          <w:tcPr>
            <w:tcW w:w="1795" w:type="dxa"/>
            <w:vAlign w:val="bottom"/>
          </w:tcPr>
          <w:p w14:paraId="66531838"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30.2</w:t>
            </w:r>
          </w:p>
        </w:tc>
        <w:tc>
          <w:tcPr>
            <w:tcW w:w="1796" w:type="dxa"/>
            <w:vAlign w:val="bottom"/>
          </w:tcPr>
          <w:p w14:paraId="1CD4F9B5" w14:textId="77777777" w:rsidR="001A7D00" w:rsidRPr="00C462FB" w:rsidRDefault="001A7D00" w:rsidP="00160409">
            <w:pPr>
              <w:jc w:val="center"/>
              <w:rPr>
                <w:rFonts w:cstheme="minorHAnsi"/>
                <w:color w:val="000000"/>
                <w:sz w:val="20"/>
                <w:szCs w:val="20"/>
              </w:rPr>
            </w:pPr>
            <w:r w:rsidRPr="00C462FB">
              <w:rPr>
                <w:rFonts w:cstheme="minorHAnsi"/>
                <w:color w:val="000000"/>
                <w:sz w:val="20"/>
                <w:szCs w:val="20"/>
              </w:rPr>
              <w:t>25.4</w:t>
            </w:r>
          </w:p>
        </w:tc>
      </w:tr>
      <w:tr w:rsidR="001A7D00" w:rsidRPr="00C462FB" w14:paraId="324E736E" w14:textId="77777777" w:rsidTr="00160409">
        <w:tc>
          <w:tcPr>
            <w:tcW w:w="3794" w:type="dxa"/>
            <w:tcBorders>
              <w:top w:val="single" w:sz="12" w:space="0" w:color="CF9A3E" w:themeColor="accent5"/>
              <w:bottom w:val="single" w:sz="12" w:space="0" w:color="CF9A3E" w:themeColor="accent5"/>
            </w:tcBorders>
          </w:tcPr>
          <w:p w14:paraId="09C8FBA4" w14:textId="77777777" w:rsidR="001A7D00" w:rsidRPr="00C462FB" w:rsidRDefault="001A7D00" w:rsidP="00160409">
            <w:pPr>
              <w:rPr>
                <w:rFonts w:cstheme="minorHAnsi"/>
                <w:b/>
                <w:sz w:val="20"/>
                <w:szCs w:val="20"/>
              </w:rPr>
            </w:pPr>
            <w:r w:rsidRPr="00C462FB">
              <w:rPr>
                <w:rFonts w:cstheme="minorHAnsi"/>
                <w:b/>
                <w:sz w:val="20"/>
                <w:szCs w:val="20"/>
              </w:rPr>
              <w:t xml:space="preserve">Standard deviation </w:t>
            </w:r>
          </w:p>
          <w:p w14:paraId="7E6A7C0B" w14:textId="77777777" w:rsidR="001A7D00" w:rsidRPr="00C462FB" w:rsidRDefault="001A7D00" w:rsidP="00160409">
            <w:pPr>
              <w:rPr>
                <w:rFonts w:cstheme="minorHAnsi"/>
                <w:b/>
                <w:sz w:val="20"/>
                <w:szCs w:val="20"/>
              </w:rPr>
            </w:pPr>
            <w:r w:rsidRPr="00C462FB">
              <w:rPr>
                <w:rFonts w:cstheme="minorHAnsi"/>
                <w:b/>
                <w:sz w:val="20"/>
                <w:szCs w:val="20"/>
              </w:rPr>
              <w:t>(percentage points)</w:t>
            </w:r>
          </w:p>
        </w:tc>
        <w:tc>
          <w:tcPr>
            <w:tcW w:w="1795" w:type="dxa"/>
            <w:tcBorders>
              <w:top w:val="single" w:sz="12" w:space="0" w:color="CF9A3E" w:themeColor="accent5"/>
              <w:bottom w:val="single" w:sz="12" w:space="0" w:color="CF9A3E" w:themeColor="accent5"/>
            </w:tcBorders>
            <w:vAlign w:val="bottom"/>
          </w:tcPr>
          <w:p w14:paraId="5625BE69" w14:textId="77777777" w:rsidR="001A7D00" w:rsidRPr="00C462FB" w:rsidRDefault="001A7D00" w:rsidP="00160409">
            <w:pPr>
              <w:jc w:val="center"/>
              <w:rPr>
                <w:rFonts w:cstheme="minorHAnsi"/>
                <w:b/>
                <w:color w:val="000000"/>
                <w:sz w:val="20"/>
                <w:szCs w:val="20"/>
              </w:rPr>
            </w:pPr>
            <w:r w:rsidRPr="00C462FB">
              <w:rPr>
                <w:rFonts w:cstheme="minorHAnsi"/>
                <w:b/>
                <w:color w:val="000000"/>
                <w:sz w:val="20"/>
                <w:szCs w:val="20"/>
              </w:rPr>
              <w:t>7.5</w:t>
            </w:r>
          </w:p>
        </w:tc>
        <w:tc>
          <w:tcPr>
            <w:tcW w:w="1795" w:type="dxa"/>
            <w:tcBorders>
              <w:top w:val="single" w:sz="12" w:space="0" w:color="CF9A3E" w:themeColor="accent5"/>
              <w:bottom w:val="single" w:sz="12" w:space="0" w:color="CF9A3E" w:themeColor="accent5"/>
            </w:tcBorders>
            <w:vAlign w:val="bottom"/>
          </w:tcPr>
          <w:p w14:paraId="0106AB46" w14:textId="77777777" w:rsidR="001A7D00" w:rsidRPr="00C462FB" w:rsidRDefault="001A7D00" w:rsidP="00160409">
            <w:pPr>
              <w:jc w:val="center"/>
              <w:rPr>
                <w:rFonts w:cstheme="minorHAnsi"/>
                <w:b/>
                <w:color w:val="000000"/>
                <w:sz w:val="20"/>
                <w:szCs w:val="20"/>
              </w:rPr>
            </w:pPr>
            <w:r w:rsidRPr="00C462FB">
              <w:rPr>
                <w:rFonts w:cstheme="minorHAnsi"/>
                <w:b/>
                <w:color w:val="000000"/>
                <w:sz w:val="20"/>
                <w:szCs w:val="20"/>
              </w:rPr>
              <w:t>4.4</w:t>
            </w:r>
          </w:p>
        </w:tc>
        <w:tc>
          <w:tcPr>
            <w:tcW w:w="1796" w:type="dxa"/>
            <w:tcBorders>
              <w:top w:val="single" w:sz="12" w:space="0" w:color="CF9A3E" w:themeColor="accent5"/>
              <w:bottom w:val="single" w:sz="12" w:space="0" w:color="CF9A3E" w:themeColor="accent5"/>
            </w:tcBorders>
            <w:vAlign w:val="bottom"/>
          </w:tcPr>
          <w:p w14:paraId="77E549D5" w14:textId="77777777" w:rsidR="001A7D00" w:rsidRPr="00C462FB" w:rsidRDefault="001A7D00" w:rsidP="00160409">
            <w:pPr>
              <w:jc w:val="center"/>
              <w:rPr>
                <w:rFonts w:cstheme="minorHAnsi"/>
                <w:b/>
                <w:color w:val="000000"/>
                <w:sz w:val="20"/>
                <w:szCs w:val="20"/>
              </w:rPr>
            </w:pPr>
            <w:r w:rsidRPr="00C462FB">
              <w:rPr>
                <w:rFonts w:cstheme="minorHAnsi"/>
                <w:b/>
                <w:color w:val="000000"/>
                <w:sz w:val="20"/>
                <w:szCs w:val="20"/>
              </w:rPr>
              <w:t>4.3</w:t>
            </w:r>
          </w:p>
        </w:tc>
      </w:tr>
    </w:tbl>
    <w:p w14:paraId="06AF1C81" w14:textId="77777777" w:rsidR="001A7D00" w:rsidRDefault="001A7D00" w:rsidP="001A7D00">
      <w:pPr>
        <w:rPr>
          <w:b/>
        </w:rPr>
      </w:pPr>
    </w:p>
    <w:p w14:paraId="06E536AA" w14:textId="77777777" w:rsidR="001A7D00" w:rsidRPr="00536007" w:rsidRDefault="001A7D00" w:rsidP="001A7D00">
      <w:pPr>
        <w:rPr>
          <w:b/>
        </w:rPr>
      </w:pPr>
      <w:r w:rsidRPr="00536007">
        <w:rPr>
          <w:b/>
        </w:rPr>
        <w:t xml:space="preserve">Table </w:t>
      </w:r>
      <w:r>
        <w:rPr>
          <w:b/>
        </w:rPr>
        <w:t>A</w:t>
      </w:r>
      <w:r w:rsidRPr="00536007">
        <w:rPr>
          <w:b/>
        </w:rPr>
        <w:t>2: Rank correlation coefficients of institutional attrition rates</w:t>
      </w:r>
    </w:p>
    <w:tbl>
      <w:tblPr>
        <w:tblStyle w:val="TableGrid"/>
        <w:tblW w:w="0" w:type="auto"/>
        <w:tblBorders>
          <w:top w:val="single" w:sz="12" w:space="0" w:color="CF9A3E" w:themeColor="accent5"/>
          <w:left w:val="none" w:sz="0" w:space="0" w:color="auto"/>
          <w:bottom w:val="single" w:sz="12" w:space="0" w:color="CF9A3E" w:themeColor="accent5"/>
          <w:right w:val="none" w:sz="0" w:space="0" w:color="auto"/>
          <w:insideH w:val="none" w:sz="0" w:space="0" w:color="auto"/>
          <w:insideV w:val="none" w:sz="0" w:space="0" w:color="auto"/>
        </w:tblBorders>
        <w:tblLook w:val="04A0" w:firstRow="1" w:lastRow="0" w:firstColumn="1" w:lastColumn="0" w:noHBand="0" w:noVBand="1"/>
      </w:tblPr>
      <w:tblGrid>
        <w:gridCol w:w="2263"/>
        <w:gridCol w:w="2262"/>
        <w:gridCol w:w="2250"/>
        <w:gridCol w:w="2251"/>
      </w:tblGrid>
      <w:tr w:rsidR="001A7D00" w:rsidRPr="00C462FB" w14:paraId="008167A7" w14:textId="77777777" w:rsidTr="00160409">
        <w:trPr>
          <w:tblHeader/>
        </w:trPr>
        <w:tc>
          <w:tcPr>
            <w:tcW w:w="2310" w:type="dxa"/>
            <w:tcBorders>
              <w:top w:val="single" w:sz="12" w:space="0" w:color="CF9A3E" w:themeColor="accent5"/>
              <w:bottom w:val="single" w:sz="12" w:space="0" w:color="CF9A3E" w:themeColor="accent5"/>
            </w:tcBorders>
          </w:tcPr>
          <w:p w14:paraId="226EDB45" w14:textId="77777777" w:rsidR="001A7D00" w:rsidRPr="00C462FB" w:rsidRDefault="001A7D00" w:rsidP="00160409">
            <w:pPr>
              <w:rPr>
                <w:sz w:val="20"/>
                <w:szCs w:val="20"/>
              </w:rPr>
            </w:pPr>
          </w:p>
        </w:tc>
        <w:tc>
          <w:tcPr>
            <w:tcW w:w="2310" w:type="dxa"/>
            <w:tcBorders>
              <w:top w:val="single" w:sz="12" w:space="0" w:color="CF9A3E" w:themeColor="accent5"/>
              <w:bottom w:val="single" w:sz="12" w:space="0" w:color="CF9A3E" w:themeColor="accent5"/>
            </w:tcBorders>
          </w:tcPr>
          <w:p w14:paraId="11DEB2CC" w14:textId="77777777" w:rsidR="001A7D00" w:rsidRPr="00C462FB" w:rsidRDefault="001A7D00" w:rsidP="00160409">
            <w:pPr>
              <w:rPr>
                <w:b/>
                <w:sz w:val="20"/>
                <w:szCs w:val="20"/>
              </w:rPr>
            </w:pPr>
            <w:r w:rsidRPr="00C462FB">
              <w:rPr>
                <w:b/>
                <w:sz w:val="20"/>
                <w:szCs w:val="20"/>
              </w:rPr>
              <w:t>Adjusted</w:t>
            </w:r>
          </w:p>
        </w:tc>
        <w:tc>
          <w:tcPr>
            <w:tcW w:w="2311" w:type="dxa"/>
            <w:tcBorders>
              <w:top w:val="single" w:sz="12" w:space="0" w:color="CF9A3E" w:themeColor="accent5"/>
              <w:bottom w:val="single" w:sz="12" w:space="0" w:color="CF9A3E" w:themeColor="accent5"/>
            </w:tcBorders>
          </w:tcPr>
          <w:p w14:paraId="277DEF96" w14:textId="77777777" w:rsidR="001A7D00" w:rsidRPr="00C462FB" w:rsidRDefault="001A7D00" w:rsidP="00160409">
            <w:pPr>
              <w:rPr>
                <w:b/>
                <w:sz w:val="20"/>
                <w:szCs w:val="20"/>
              </w:rPr>
            </w:pPr>
            <w:r w:rsidRPr="00C462FB">
              <w:rPr>
                <w:b/>
                <w:sz w:val="20"/>
                <w:szCs w:val="20"/>
              </w:rPr>
              <w:t>OLS</w:t>
            </w:r>
          </w:p>
        </w:tc>
        <w:tc>
          <w:tcPr>
            <w:tcW w:w="2311" w:type="dxa"/>
            <w:tcBorders>
              <w:top w:val="single" w:sz="12" w:space="0" w:color="CF9A3E" w:themeColor="accent5"/>
              <w:bottom w:val="single" w:sz="12" w:space="0" w:color="CF9A3E" w:themeColor="accent5"/>
            </w:tcBorders>
          </w:tcPr>
          <w:p w14:paraId="255D1F2A" w14:textId="77777777" w:rsidR="001A7D00" w:rsidRPr="00C462FB" w:rsidRDefault="001A7D00" w:rsidP="00160409">
            <w:pPr>
              <w:rPr>
                <w:b/>
                <w:sz w:val="20"/>
                <w:szCs w:val="20"/>
              </w:rPr>
            </w:pPr>
            <w:r w:rsidRPr="00C462FB">
              <w:rPr>
                <w:b/>
                <w:sz w:val="20"/>
                <w:szCs w:val="20"/>
              </w:rPr>
              <w:t>Logit</w:t>
            </w:r>
          </w:p>
        </w:tc>
      </w:tr>
      <w:tr w:rsidR="001A7D00" w:rsidRPr="00C462FB" w14:paraId="09D63BC4" w14:textId="77777777" w:rsidTr="00160409">
        <w:tc>
          <w:tcPr>
            <w:tcW w:w="2310" w:type="dxa"/>
            <w:tcBorders>
              <w:top w:val="single" w:sz="12" w:space="0" w:color="CF9A3E" w:themeColor="accent5"/>
            </w:tcBorders>
          </w:tcPr>
          <w:p w14:paraId="7F721987" w14:textId="77777777" w:rsidR="001A7D00" w:rsidRPr="00C462FB" w:rsidRDefault="001A7D00" w:rsidP="00160409">
            <w:pPr>
              <w:rPr>
                <w:b/>
                <w:sz w:val="20"/>
                <w:szCs w:val="20"/>
              </w:rPr>
            </w:pPr>
            <w:r w:rsidRPr="00C462FB">
              <w:rPr>
                <w:b/>
                <w:sz w:val="20"/>
                <w:szCs w:val="20"/>
              </w:rPr>
              <w:t>Adjusted</w:t>
            </w:r>
          </w:p>
        </w:tc>
        <w:tc>
          <w:tcPr>
            <w:tcW w:w="2310" w:type="dxa"/>
            <w:tcBorders>
              <w:top w:val="single" w:sz="12" w:space="0" w:color="CF9A3E" w:themeColor="accent5"/>
            </w:tcBorders>
          </w:tcPr>
          <w:p w14:paraId="574A4229" w14:textId="77777777" w:rsidR="001A7D00" w:rsidRPr="00C462FB" w:rsidRDefault="001A7D00" w:rsidP="00160409">
            <w:pPr>
              <w:rPr>
                <w:sz w:val="20"/>
                <w:szCs w:val="20"/>
              </w:rPr>
            </w:pPr>
          </w:p>
        </w:tc>
        <w:tc>
          <w:tcPr>
            <w:tcW w:w="2311" w:type="dxa"/>
            <w:tcBorders>
              <w:top w:val="single" w:sz="12" w:space="0" w:color="CF9A3E" w:themeColor="accent5"/>
            </w:tcBorders>
          </w:tcPr>
          <w:p w14:paraId="56D8F67C" w14:textId="77777777" w:rsidR="001A7D00" w:rsidRPr="00C462FB" w:rsidRDefault="001A7D00" w:rsidP="00160409">
            <w:pPr>
              <w:rPr>
                <w:sz w:val="20"/>
                <w:szCs w:val="20"/>
              </w:rPr>
            </w:pPr>
            <w:r w:rsidRPr="00C462FB">
              <w:rPr>
                <w:sz w:val="20"/>
                <w:szCs w:val="20"/>
              </w:rPr>
              <w:t>0.90</w:t>
            </w:r>
          </w:p>
        </w:tc>
        <w:tc>
          <w:tcPr>
            <w:tcW w:w="2311" w:type="dxa"/>
            <w:tcBorders>
              <w:top w:val="single" w:sz="12" w:space="0" w:color="CF9A3E" w:themeColor="accent5"/>
            </w:tcBorders>
          </w:tcPr>
          <w:p w14:paraId="5C74D9D9" w14:textId="77777777" w:rsidR="001A7D00" w:rsidRPr="00C462FB" w:rsidRDefault="001A7D00" w:rsidP="00160409">
            <w:pPr>
              <w:rPr>
                <w:sz w:val="20"/>
                <w:szCs w:val="20"/>
              </w:rPr>
            </w:pPr>
            <w:r w:rsidRPr="00C462FB">
              <w:rPr>
                <w:sz w:val="20"/>
                <w:szCs w:val="20"/>
              </w:rPr>
              <w:t>0.89</w:t>
            </w:r>
          </w:p>
        </w:tc>
      </w:tr>
      <w:tr w:rsidR="001A7D00" w:rsidRPr="00C462FB" w14:paraId="0AEEBF07" w14:textId="77777777" w:rsidTr="00160409">
        <w:tc>
          <w:tcPr>
            <w:tcW w:w="2310" w:type="dxa"/>
          </w:tcPr>
          <w:p w14:paraId="7ABF9130" w14:textId="77777777" w:rsidR="001A7D00" w:rsidRPr="00C462FB" w:rsidRDefault="001A7D00" w:rsidP="00160409">
            <w:pPr>
              <w:rPr>
                <w:b/>
                <w:sz w:val="20"/>
                <w:szCs w:val="20"/>
              </w:rPr>
            </w:pPr>
            <w:r w:rsidRPr="00C462FB">
              <w:rPr>
                <w:b/>
                <w:sz w:val="20"/>
                <w:szCs w:val="20"/>
              </w:rPr>
              <w:t>OLS</w:t>
            </w:r>
          </w:p>
        </w:tc>
        <w:tc>
          <w:tcPr>
            <w:tcW w:w="2310" w:type="dxa"/>
          </w:tcPr>
          <w:p w14:paraId="2231C71D" w14:textId="77777777" w:rsidR="001A7D00" w:rsidRPr="00C462FB" w:rsidRDefault="001A7D00" w:rsidP="00160409">
            <w:pPr>
              <w:rPr>
                <w:sz w:val="20"/>
                <w:szCs w:val="20"/>
              </w:rPr>
            </w:pPr>
          </w:p>
        </w:tc>
        <w:tc>
          <w:tcPr>
            <w:tcW w:w="2311" w:type="dxa"/>
          </w:tcPr>
          <w:p w14:paraId="6AB073EE" w14:textId="77777777" w:rsidR="001A7D00" w:rsidRPr="00C462FB" w:rsidRDefault="001A7D00" w:rsidP="00160409">
            <w:pPr>
              <w:rPr>
                <w:sz w:val="20"/>
                <w:szCs w:val="20"/>
              </w:rPr>
            </w:pPr>
          </w:p>
        </w:tc>
        <w:tc>
          <w:tcPr>
            <w:tcW w:w="2311" w:type="dxa"/>
          </w:tcPr>
          <w:p w14:paraId="0E5C6DD8" w14:textId="77777777" w:rsidR="001A7D00" w:rsidRPr="00C462FB" w:rsidRDefault="001A7D00" w:rsidP="00160409">
            <w:pPr>
              <w:rPr>
                <w:sz w:val="20"/>
                <w:szCs w:val="20"/>
              </w:rPr>
            </w:pPr>
            <w:r w:rsidRPr="00C462FB">
              <w:rPr>
                <w:sz w:val="20"/>
                <w:szCs w:val="20"/>
              </w:rPr>
              <w:t>0.99</w:t>
            </w:r>
          </w:p>
        </w:tc>
      </w:tr>
      <w:tr w:rsidR="001A7D00" w:rsidRPr="00C462FB" w14:paraId="2F63F9F9" w14:textId="77777777" w:rsidTr="00160409">
        <w:tc>
          <w:tcPr>
            <w:tcW w:w="2310" w:type="dxa"/>
          </w:tcPr>
          <w:p w14:paraId="042334EE" w14:textId="77777777" w:rsidR="001A7D00" w:rsidRPr="00C462FB" w:rsidRDefault="001A7D00" w:rsidP="00160409">
            <w:pPr>
              <w:rPr>
                <w:b/>
                <w:sz w:val="20"/>
                <w:szCs w:val="20"/>
              </w:rPr>
            </w:pPr>
            <w:r w:rsidRPr="00C462FB">
              <w:rPr>
                <w:b/>
                <w:sz w:val="20"/>
                <w:szCs w:val="20"/>
              </w:rPr>
              <w:t>Logit</w:t>
            </w:r>
          </w:p>
        </w:tc>
        <w:tc>
          <w:tcPr>
            <w:tcW w:w="2310" w:type="dxa"/>
          </w:tcPr>
          <w:p w14:paraId="55B24994" w14:textId="77777777" w:rsidR="001A7D00" w:rsidRPr="00C462FB" w:rsidRDefault="001A7D00" w:rsidP="00160409">
            <w:pPr>
              <w:rPr>
                <w:sz w:val="20"/>
                <w:szCs w:val="20"/>
              </w:rPr>
            </w:pPr>
          </w:p>
        </w:tc>
        <w:tc>
          <w:tcPr>
            <w:tcW w:w="2311" w:type="dxa"/>
          </w:tcPr>
          <w:p w14:paraId="33BD98AB" w14:textId="77777777" w:rsidR="001A7D00" w:rsidRPr="00C462FB" w:rsidRDefault="001A7D00" w:rsidP="00160409">
            <w:pPr>
              <w:rPr>
                <w:sz w:val="20"/>
                <w:szCs w:val="20"/>
              </w:rPr>
            </w:pPr>
          </w:p>
        </w:tc>
        <w:tc>
          <w:tcPr>
            <w:tcW w:w="2311" w:type="dxa"/>
          </w:tcPr>
          <w:p w14:paraId="0B96B32A" w14:textId="77777777" w:rsidR="001A7D00" w:rsidRPr="00C462FB" w:rsidRDefault="001A7D00" w:rsidP="00160409">
            <w:pPr>
              <w:rPr>
                <w:sz w:val="20"/>
                <w:szCs w:val="20"/>
              </w:rPr>
            </w:pPr>
          </w:p>
        </w:tc>
      </w:tr>
    </w:tbl>
    <w:p w14:paraId="29798346" w14:textId="77777777" w:rsidR="001A7D00" w:rsidRDefault="001A7D00" w:rsidP="001A7D00"/>
    <w:p w14:paraId="35ADE8A6" w14:textId="77777777" w:rsidR="001A7D00" w:rsidRDefault="001A7D00" w:rsidP="001A7D00">
      <w:r>
        <w:t>Table A3 (a repeat of Table 11 for ease of exposition) shows the influence of student characteristics on attrition, measured using the OLS technique. The full model, including all the student characteristics listed in Table A3, explained 22.55 per cent of the variation in the attrition rate (adjusted R</w:t>
      </w:r>
      <w:r w:rsidRPr="00742FBC">
        <w:rPr>
          <w:vertAlign w:val="superscript"/>
        </w:rPr>
        <w:t>2</w:t>
      </w:r>
      <w:r>
        <w:t xml:space="preserve">). There are two points to note about this result. First, the relatively low proportion of variance explained by the full model is </w:t>
      </w:r>
      <w:proofErr w:type="gramStart"/>
      <w:r>
        <w:t>not uncommon</w:t>
      </w:r>
      <w:proofErr w:type="gramEnd"/>
      <w:r>
        <w:t xml:space="preserve"> in cross-sectional models such as the attrition rate analysis presented here. Second, given the relatively low proportion of variance explained, this suggests there </w:t>
      </w:r>
      <w:proofErr w:type="gramStart"/>
      <w:r>
        <w:t>are likely to be many other factors not captured</w:t>
      </w:r>
      <w:proofErr w:type="gramEnd"/>
      <w:r>
        <w:t xml:space="preserve"> by the model that might account for attrition. As noted above, student traits such as motivation and resilience, not measured by the model, </w:t>
      </w:r>
      <w:proofErr w:type="gramStart"/>
      <w:r>
        <w:t>might be thought</w:t>
      </w:r>
      <w:proofErr w:type="gramEnd"/>
      <w:r>
        <w:t xml:space="preserve"> to contribute to attrition.</w:t>
      </w:r>
    </w:p>
    <w:p w14:paraId="6BC3086F" w14:textId="77777777" w:rsidR="001A7D00" w:rsidRDefault="001A7D00" w:rsidP="001A7D00">
      <w:r>
        <w:t>The approach taken here is a series of bivariate linear regressions to examine the relationship between each of the explanatory variables and the attrition rate. This shows that institution attended has the largest influence on attrition over all other variables, explaining 18.83 per cent of the variation in attrition. The second largest factor is type of attendance, explaining 4.94 per cent of the variation in attrition. That is, part-time students are more likely to withdraw from their studies than are full-time students. The third most important factor is mode of attendance, explaining 3.12 per cent of the variation in attrition. That is, external students are more likely to withdraw from their studies than are internal or multi-modal students.</w:t>
      </w:r>
    </w:p>
    <w:p w14:paraId="34278C40" w14:textId="77777777" w:rsidR="001A7D00" w:rsidRDefault="001A7D00" w:rsidP="001A7D00">
      <w:r>
        <w:t xml:space="preserve">It is important to note that Table A3 only shows bivariate relationships and therefore may be overstating the strength of the relationship between particular factors and attrition. For example, it </w:t>
      </w:r>
      <w:proofErr w:type="gramStart"/>
      <w:r>
        <w:t>is known</w:t>
      </w:r>
      <w:proofErr w:type="gramEnd"/>
      <w:r>
        <w:t xml:space="preserve"> that part-time students are more likely to study externally and therefore some of the variation in attrition explained by type of attendance might actually be accounted for by mode of attendance, and vice-versa. </w:t>
      </w:r>
      <w:proofErr w:type="gramStart"/>
      <w:r>
        <w:t>Thus</w:t>
      </w:r>
      <w:proofErr w:type="gramEnd"/>
      <w:r>
        <w:t xml:space="preserve"> the results shown in Table A3 are likely to represent the ‘upper bound’ of the influence of each factor on attrition. This is also the reason that the sum of the adjusted </w:t>
      </w:r>
      <w:r w:rsidRPr="00141CD9">
        <w:t>R</w:t>
      </w:r>
      <w:r w:rsidRPr="00565440">
        <w:rPr>
          <w:vertAlign w:val="superscript"/>
        </w:rPr>
        <w:t>2</w:t>
      </w:r>
      <w:r>
        <w:t xml:space="preserve"> from the bivariate linear regressions shown in Table A3 is greater than the adjusted </w:t>
      </w:r>
      <w:r w:rsidRPr="00141CD9">
        <w:t>R</w:t>
      </w:r>
      <w:r w:rsidRPr="00565440">
        <w:rPr>
          <w:vertAlign w:val="superscript"/>
        </w:rPr>
        <w:t>2</w:t>
      </w:r>
      <w:r>
        <w:t xml:space="preserve"> of the full model (22.55 per cent).</w:t>
      </w:r>
    </w:p>
    <w:p w14:paraId="6C3C4BE3" w14:textId="77777777" w:rsidR="001A7D00" w:rsidRDefault="001A7D00" w:rsidP="001A7D00">
      <w:r>
        <w:t>A student’s basis of admission including their ATAR score or other basis of admission such as prior higher</w:t>
      </w:r>
      <w:r w:rsidR="00C74186">
        <w:t xml:space="preserve"> education experience or mature-</w:t>
      </w:r>
      <w:r>
        <w:t xml:space="preserve">age entry, for example, explains 2.51 per cent of the variation in attrition. First, basis of admission or ATAR represents or explains only a small part of the attrition story, suggesting there are many other factors that contribute to whether a student </w:t>
      </w:r>
      <w:proofErr w:type="gramStart"/>
      <w:r>
        <w:t>continues on</w:t>
      </w:r>
      <w:proofErr w:type="gramEnd"/>
      <w:r>
        <w:t xml:space="preserve"> with their degree. Second, basis of admission is less important than institution, type of attendance, mode of attendance or age group in explaining attrition. Third, basis of admission appears more important than other factors such as field of education, socio-economic status, Indigenous status, </w:t>
      </w:r>
      <w:r w:rsidR="00570401">
        <w:t>non-English</w:t>
      </w:r>
      <w:r>
        <w:t xml:space="preserve"> speaking background or gender in accounting for attrition. </w:t>
      </w:r>
    </w:p>
    <w:p w14:paraId="60383F18" w14:textId="77777777" w:rsidR="001A7D00" w:rsidRPr="003471B3" w:rsidRDefault="001A7D00" w:rsidP="001A7D00">
      <w:pPr>
        <w:pStyle w:val="Caption"/>
        <w:keepNext/>
        <w:rPr>
          <w:b/>
        </w:rPr>
      </w:pPr>
      <w:r w:rsidRPr="003471B3">
        <w:rPr>
          <w:b/>
        </w:rPr>
        <w:t>Table A3: Ordinary Least Squares linear regression analysis (full model and bivariate linear regressions by student characteristics) for 2014 attrition rate of domestic bachelor commencing students</w:t>
      </w:r>
    </w:p>
    <w:tbl>
      <w:tblPr>
        <w:tblW w:w="9087" w:type="dxa"/>
        <w:tblInd w:w="93" w:type="dxa"/>
        <w:tblBorders>
          <w:top w:val="single" w:sz="12" w:space="0" w:color="CF9A3E" w:themeColor="accent5"/>
          <w:bottom w:val="single" w:sz="12" w:space="0" w:color="CF9A3E" w:themeColor="accent5"/>
        </w:tblBorders>
        <w:tblLook w:val="04A0" w:firstRow="1" w:lastRow="0" w:firstColumn="1" w:lastColumn="0" w:noHBand="0" w:noVBand="1"/>
      </w:tblPr>
      <w:tblGrid>
        <w:gridCol w:w="5969"/>
        <w:gridCol w:w="3118"/>
      </w:tblGrid>
      <w:tr w:rsidR="001A7D00" w:rsidRPr="00C462FB" w14:paraId="0972DD5B" w14:textId="77777777" w:rsidTr="00160409">
        <w:trPr>
          <w:trHeight w:val="255"/>
          <w:tblHeader/>
        </w:trPr>
        <w:tc>
          <w:tcPr>
            <w:tcW w:w="5969" w:type="dxa"/>
            <w:tcBorders>
              <w:top w:val="single" w:sz="12" w:space="0" w:color="CF9A3E" w:themeColor="accent5"/>
              <w:bottom w:val="single" w:sz="12" w:space="0" w:color="CF9A3E" w:themeColor="accent5"/>
            </w:tcBorders>
            <w:shd w:val="clear" w:color="auto" w:fill="auto"/>
            <w:noWrap/>
            <w:vAlign w:val="center"/>
          </w:tcPr>
          <w:p w14:paraId="68D970D4" w14:textId="77777777" w:rsidR="001A7D00" w:rsidRPr="00C462FB" w:rsidRDefault="001A7D00" w:rsidP="00160409">
            <w:pPr>
              <w:spacing w:after="0" w:line="240" w:lineRule="auto"/>
              <w:rPr>
                <w:rFonts w:eastAsia="Times New Roman" w:cstheme="minorHAnsi"/>
                <w:b/>
                <w:sz w:val="20"/>
                <w:szCs w:val="20"/>
                <w:lang w:eastAsia="en-AU"/>
              </w:rPr>
            </w:pPr>
            <w:r w:rsidRPr="00C462FB">
              <w:rPr>
                <w:rFonts w:eastAsia="Times New Roman" w:cstheme="minorHAnsi"/>
                <w:b/>
                <w:sz w:val="20"/>
                <w:szCs w:val="20"/>
                <w:lang w:eastAsia="en-AU"/>
              </w:rPr>
              <w:t>Student Characteristic</w:t>
            </w:r>
          </w:p>
        </w:tc>
        <w:tc>
          <w:tcPr>
            <w:tcW w:w="3118" w:type="dxa"/>
            <w:tcBorders>
              <w:top w:val="single" w:sz="12" w:space="0" w:color="CF9A3E" w:themeColor="accent5"/>
              <w:bottom w:val="single" w:sz="12" w:space="0" w:color="CF9A3E" w:themeColor="accent5"/>
            </w:tcBorders>
            <w:shd w:val="clear" w:color="auto" w:fill="auto"/>
            <w:noWrap/>
            <w:vAlign w:val="center"/>
          </w:tcPr>
          <w:p w14:paraId="78CA718B" w14:textId="77777777" w:rsidR="001A7D00" w:rsidRPr="00C462FB" w:rsidRDefault="001A7D00" w:rsidP="00160409">
            <w:pPr>
              <w:spacing w:after="0" w:line="240" w:lineRule="auto"/>
              <w:jc w:val="center"/>
              <w:rPr>
                <w:rFonts w:eastAsia="Times New Roman" w:cstheme="minorHAnsi"/>
                <w:b/>
                <w:sz w:val="20"/>
                <w:szCs w:val="20"/>
                <w:lang w:eastAsia="en-AU"/>
              </w:rPr>
            </w:pPr>
            <w:r w:rsidRPr="00C462FB">
              <w:rPr>
                <w:rFonts w:eastAsia="Times New Roman" w:cstheme="minorHAnsi"/>
                <w:b/>
                <w:sz w:val="20"/>
                <w:szCs w:val="20"/>
                <w:lang w:eastAsia="en-AU"/>
              </w:rPr>
              <w:t>Adjusted R</w:t>
            </w:r>
            <w:r w:rsidRPr="00C462FB">
              <w:rPr>
                <w:rFonts w:eastAsia="Times New Roman" w:cstheme="minorHAnsi"/>
                <w:b/>
                <w:sz w:val="20"/>
                <w:szCs w:val="20"/>
                <w:vertAlign w:val="superscript"/>
                <w:lang w:eastAsia="en-AU"/>
              </w:rPr>
              <w:t>2</w:t>
            </w:r>
            <w:r w:rsidRPr="00C462FB">
              <w:rPr>
                <w:rFonts w:eastAsia="Times New Roman" w:cstheme="minorHAnsi"/>
                <w:b/>
                <w:sz w:val="20"/>
                <w:szCs w:val="20"/>
                <w:lang w:eastAsia="en-AU"/>
              </w:rPr>
              <w:t xml:space="preserve"> </w:t>
            </w:r>
            <w:r w:rsidRPr="00C462FB">
              <w:rPr>
                <w:rFonts w:eastAsia="Times New Roman" w:cstheme="minorHAnsi"/>
                <w:b/>
                <w:sz w:val="20"/>
                <w:szCs w:val="20"/>
                <w:lang w:eastAsia="en-AU"/>
              </w:rPr>
              <w:br/>
              <w:t>(variation explained), %</w:t>
            </w:r>
          </w:p>
        </w:tc>
      </w:tr>
      <w:tr w:rsidR="001A7D00" w:rsidRPr="00C462FB" w14:paraId="5F44BA3A" w14:textId="77777777" w:rsidTr="00160409">
        <w:trPr>
          <w:trHeight w:hRule="exact" w:val="284"/>
        </w:trPr>
        <w:tc>
          <w:tcPr>
            <w:tcW w:w="5969" w:type="dxa"/>
            <w:tcBorders>
              <w:top w:val="single" w:sz="12" w:space="0" w:color="CF9A3E" w:themeColor="accent5"/>
            </w:tcBorders>
            <w:shd w:val="clear" w:color="auto" w:fill="auto"/>
            <w:noWrap/>
            <w:vAlign w:val="bottom"/>
          </w:tcPr>
          <w:p w14:paraId="16A2A947" w14:textId="77777777" w:rsidR="001A7D00" w:rsidRPr="00C462FB" w:rsidRDefault="001A7D00" w:rsidP="00160409">
            <w:pPr>
              <w:spacing w:after="0" w:line="240" w:lineRule="auto"/>
              <w:rPr>
                <w:rFonts w:eastAsia="Times New Roman" w:cstheme="minorHAnsi"/>
                <w:color w:val="000000"/>
                <w:sz w:val="20"/>
                <w:szCs w:val="20"/>
                <w:lang w:eastAsia="en-AU"/>
              </w:rPr>
            </w:pPr>
            <w:r w:rsidRPr="00C462FB">
              <w:rPr>
                <w:rFonts w:eastAsia="Times New Roman" w:cstheme="minorHAnsi"/>
                <w:color w:val="000000"/>
                <w:sz w:val="20"/>
                <w:szCs w:val="20"/>
                <w:lang w:eastAsia="en-AU"/>
              </w:rPr>
              <w:t>Institution</w:t>
            </w:r>
          </w:p>
        </w:tc>
        <w:tc>
          <w:tcPr>
            <w:tcW w:w="3118" w:type="dxa"/>
            <w:tcBorders>
              <w:top w:val="single" w:sz="12" w:space="0" w:color="CF9A3E" w:themeColor="accent5"/>
            </w:tcBorders>
            <w:shd w:val="clear" w:color="auto" w:fill="auto"/>
            <w:noWrap/>
            <w:vAlign w:val="bottom"/>
          </w:tcPr>
          <w:p w14:paraId="7944CBA0" w14:textId="77777777" w:rsidR="001A7D00" w:rsidRPr="00C462FB" w:rsidRDefault="001A7D00" w:rsidP="00160409">
            <w:pPr>
              <w:jc w:val="center"/>
              <w:rPr>
                <w:rFonts w:ascii="Arial" w:hAnsi="Arial" w:cs="Arial"/>
                <w:color w:val="000000"/>
                <w:sz w:val="20"/>
                <w:szCs w:val="20"/>
              </w:rPr>
            </w:pPr>
            <w:r w:rsidRPr="00C462FB">
              <w:rPr>
                <w:rFonts w:ascii="Arial" w:hAnsi="Arial" w:cs="Arial"/>
                <w:color w:val="000000"/>
                <w:sz w:val="20"/>
                <w:szCs w:val="20"/>
              </w:rPr>
              <w:t>18.83</w:t>
            </w:r>
          </w:p>
        </w:tc>
      </w:tr>
      <w:tr w:rsidR="001A7D00" w:rsidRPr="00C462FB" w14:paraId="2964A691" w14:textId="77777777" w:rsidTr="00160409">
        <w:trPr>
          <w:trHeight w:hRule="exact" w:val="284"/>
        </w:trPr>
        <w:tc>
          <w:tcPr>
            <w:tcW w:w="5969" w:type="dxa"/>
            <w:shd w:val="clear" w:color="auto" w:fill="auto"/>
            <w:noWrap/>
            <w:vAlign w:val="bottom"/>
            <w:hideMark/>
          </w:tcPr>
          <w:p w14:paraId="6AA91BB5" w14:textId="77777777" w:rsidR="001A7D00" w:rsidRPr="00C462FB" w:rsidRDefault="001A7D00" w:rsidP="00160409">
            <w:pPr>
              <w:spacing w:after="0" w:line="240" w:lineRule="auto"/>
              <w:rPr>
                <w:rFonts w:eastAsia="Times New Roman" w:cstheme="minorHAnsi"/>
                <w:color w:val="000000"/>
                <w:sz w:val="20"/>
                <w:szCs w:val="20"/>
                <w:lang w:eastAsia="en-AU"/>
              </w:rPr>
            </w:pPr>
            <w:r w:rsidRPr="00C462FB">
              <w:rPr>
                <w:rFonts w:eastAsia="Times New Roman" w:cstheme="minorHAnsi"/>
                <w:color w:val="000000"/>
                <w:sz w:val="20"/>
                <w:szCs w:val="20"/>
                <w:lang w:eastAsia="en-AU"/>
              </w:rPr>
              <w:t>Type of attendance (full-time, part-time)</w:t>
            </w:r>
          </w:p>
        </w:tc>
        <w:tc>
          <w:tcPr>
            <w:tcW w:w="3118" w:type="dxa"/>
            <w:shd w:val="clear" w:color="auto" w:fill="auto"/>
            <w:noWrap/>
            <w:vAlign w:val="bottom"/>
          </w:tcPr>
          <w:p w14:paraId="7498EA62" w14:textId="77777777" w:rsidR="001A7D00" w:rsidRPr="00C462FB" w:rsidRDefault="001A7D00" w:rsidP="00160409">
            <w:pPr>
              <w:jc w:val="center"/>
              <w:rPr>
                <w:rFonts w:ascii="Arial" w:hAnsi="Arial" w:cs="Arial"/>
                <w:color w:val="000000"/>
                <w:sz w:val="20"/>
                <w:szCs w:val="20"/>
              </w:rPr>
            </w:pPr>
            <w:r w:rsidRPr="00C462FB">
              <w:rPr>
                <w:rFonts w:ascii="Arial" w:hAnsi="Arial" w:cs="Arial"/>
                <w:color w:val="000000"/>
                <w:sz w:val="20"/>
                <w:szCs w:val="20"/>
              </w:rPr>
              <w:t>4.94</w:t>
            </w:r>
          </w:p>
        </w:tc>
      </w:tr>
      <w:tr w:rsidR="001A7D00" w:rsidRPr="00C462FB" w14:paraId="0467101A" w14:textId="77777777" w:rsidTr="00160409">
        <w:trPr>
          <w:trHeight w:hRule="exact" w:val="284"/>
        </w:trPr>
        <w:tc>
          <w:tcPr>
            <w:tcW w:w="5969" w:type="dxa"/>
            <w:shd w:val="clear" w:color="auto" w:fill="auto"/>
            <w:noWrap/>
            <w:vAlign w:val="bottom"/>
          </w:tcPr>
          <w:p w14:paraId="1556D0FC" w14:textId="77777777" w:rsidR="001A7D00" w:rsidRPr="00C462FB" w:rsidRDefault="001A7D00" w:rsidP="00160409">
            <w:pPr>
              <w:spacing w:after="0" w:line="240" w:lineRule="auto"/>
              <w:rPr>
                <w:rFonts w:eastAsia="Times New Roman" w:cstheme="minorHAnsi"/>
                <w:color w:val="000000"/>
                <w:sz w:val="20"/>
                <w:szCs w:val="20"/>
                <w:lang w:eastAsia="en-AU"/>
              </w:rPr>
            </w:pPr>
            <w:r w:rsidRPr="00C462FB">
              <w:rPr>
                <w:rFonts w:eastAsia="Times New Roman" w:cstheme="minorHAnsi"/>
                <w:color w:val="000000"/>
                <w:sz w:val="20"/>
                <w:szCs w:val="20"/>
                <w:lang w:eastAsia="en-AU"/>
              </w:rPr>
              <w:t>Mode of attendance (internal/external/multi-modal)</w:t>
            </w:r>
          </w:p>
        </w:tc>
        <w:tc>
          <w:tcPr>
            <w:tcW w:w="3118" w:type="dxa"/>
            <w:shd w:val="clear" w:color="auto" w:fill="auto"/>
            <w:noWrap/>
            <w:vAlign w:val="bottom"/>
          </w:tcPr>
          <w:p w14:paraId="3E9C11E3" w14:textId="77777777" w:rsidR="001A7D00" w:rsidRPr="00C462FB" w:rsidRDefault="001A7D00" w:rsidP="00160409">
            <w:pPr>
              <w:jc w:val="center"/>
              <w:rPr>
                <w:rFonts w:ascii="Arial" w:hAnsi="Arial" w:cs="Arial"/>
                <w:color w:val="000000"/>
                <w:sz w:val="20"/>
                <w:szCs w:val="20"/>
              </w:rPr>
            </w:pPr>
            <w:r w:rsidRPr="00C462FB">
              <w:rPr>
                <w:rFonts w:ascii="Arial" w:hAnsi="Arial" w:cs="Arial"/>
                <w:color w:val="000000"/>
                <w:sz w:val="20"/>
                <w:szCs w:val="20"/>
              </w:rPr>
              <w:t>3.12</w:t>
            </w:r>
          </w:p>
        </w:tc>
      </w:tr>
      <w:tr w:rsidR="001A7D00" w:rsidRPr="00C462FB" w14:paraId="3963711A" w14:textId="77777777" w:rsidTr="00160409">
        <w:trPr>
          <w:trHeight w:hRule="exact" w:val="284"/>
        </w:trPr>
        <w:tc>
          <w:tcPr>
            <w:tcW w:w="5969" w:type="dxa"/>
            <w:shd w:val="clear" w:color="auto" w:fill="auto"/>
            <w:noWrap/>
            <w:vAlign w:val="bottom"/>
          </w:tcPr>
          <w:p w14:paraId="00E178BC" w14:textId="77777777" w:rsidR="001A7D00" w:rsidRPr="00C462FB" w:rsidRDefault="001A7D00" w:rsidP="00160409">
            <w:pPr>
              <w:spacing w:after="0" w:line="240" w:lineRule="auto"/>
              <w:rPr>
                <w:rFonts w:eastAsia="Times New Roman" w:cstheme="minorHAnsi"/>
                <w:color w:val="000000"/>
                <w:sz w:val="20"/>
                <w:szCs w:val="20"/>
                <w:lang w:eastAsia="en-AU"/>
              </w:rPr>
            </w:pPr>
            <w:r w:rsidRPr="00C462FB">
              <w:rPr>
                <w:rFonts w:eastAsia="Times New Roman" w:cstheme="minorHAnsi"/>
                <w:color w:val="000000"/>
                <w:sz w:val="20"/>
                <w:szCs w:val="20"/>
                <w:lang w:eastAsia="en-AU"/>
              </w:rPr>
              <w:t>Age group (&lt;20, 20-24, 25+ years)</w:t>
            </w:r>
          </w:p>
        </w:tc>
        <w:tc>
          <w:tcPr>
            <w:tcW w:w="3118" w:type="dxa"/>
            <w:shd w:val="clear" w:color="auto" w:fill="auto"/>
            <w:noWrap/>
            <w:vAlign w:val="bottom"/>
          </w:tcPr>
          <w:p w14:paraId="64E17C1E" w14:textId="77777777" w:rsidR="001A7D00" w:rsidRPr="00C462FB" w:rsidRDefault="001A7D00" w:rsidP="00160409">
            <w:pPr>
              <w:jc w:val="center"/>
              <w:rPr>
                <w:rFonts w:ascii="Arial" w:hAnsi="Arial" w:cs="Arial"/>
                <w:color w:val="000000"/>
                <w:sz w:val="20"/>
                <w:szCs w:val="20"/>
              </w:rPr>
            </w:pPr>
            <w:r w:rsidRPr="00C462FB">
              <w:rPr>
                <w:rFonts w:ascii="Arial" w:hAnsi="Arial" w:cs="Arial"/>
                <w:color w:val="000000"/>
                <w:sz w:val="20"/>
                <w:szCs w:val="20"/>
              </w:rPr>
              <w:t>2.66</w:t>
            </w:r>
          </w:p>
        </w:tc>
      </w:tr>
      <w:tr w:rsidR="001A7D00" w:rsidRPr="00C462FB" w14:paraId="07DDD606" w14:textId="77777777" w:rsidTr="00160409">
        <w:trPr>
          <w:trHeight w:hRule="exact" w:val="284"/>
        </w:trPr>
        <w:tc>
          <w:tcPr>
            <w:tcW w:w="5969" w:type="dxa"/>
            <w:shd w:val="clear" w:color="auto" w:fill="auto"/>
            <w:noWrap/>
            <w:vAlign w:val="bottom"/>
          </w:tcPr>
          <w:p w14:paraId="36F6CE75" w14:textId="77777777" w:rsidR="001A7D00" w:rsidRPr="00C462FB" w:rsidRDefault="001A7D00" w:rsidP="00160409">
            <w:pPr>
              <w:spacing w:after="0" w:line="240" w:lineRule="auto"/>
              <w:rPr>
                <w:rFonts w:eastAsia="Times New Roman" w:cstheme="minorHAnsi"/>
                <w:color w:val="000000"/>
                <w:sz w:val="20"/>
                <w:szCs w:val="20"/>
                <w:lang w:eastAsia="en-AU"/>
              </w:rPr>
            </w:pPr>
            <w:r w:rsidRPr="00C462FB">
              <w:rPr>
                <w:rFonts w:eastAsia="Times New Roman" w:cstheme="minorHAnsi"/>
                <w:color w:val="000000"/>
                <w:sz w:val="20"/>
                <w:szCs w:val="20"/>
                <w:lang w:eastAsia="en-AU"/>
              </w:rPr>
              <w:t xml:space="preserve">Basis of admission (ATAR </w:t>
            </w:r>
            <w:r w:rsidR="00C74186">
              <w:rPr>
                <w:rFonts w:eastAsia="Times New Roman" w:cstheme="minorHAnsi"/>
                <w:color w:val="000000"/>
                <w:sz w:val="20"/>
                <w:szCs w:val="20"/>
                <w:lang w:eastAsia="en-AU"/>
              </w:rPr>
              <w:t>group, higher education, mature-</w:t>
            </w:r>
            <w:r w:rsidRPr="00C462FB">
              <w:rPr>
                <w:rFonts w:eastAsia="Times New Roman" w:cstheme="minorHAnsi"/>
                <w:color w:val="000000"/>
                <w:sz w:val="20"/>
                <w:szCs w:val="20"/>
                <w:lang w:eastAsia="en-AU"/>
              </w:rPr>
              <w:t xml:space="preserve">age </w:t>
            </w:r>
            <w:proofErr w:type="spellStart"/>
            <w:r w:rsidRPr="00C462FB">
              <w:rPr>
                <w:rFonts w:eastAsia="Times New Roman" w:cstheme="minorHAnsi"/>
                <w:color w:val="000000"/>
                <w:sz w:val="20"/>
                <w:szCs w:val="20"/>
                <w:lang w:eastAsia="en-AU"/>
              </w:rPr>
              <w:t>etc</w:t>
            </w:r>
            <w:proofErr w:type="spellEnd"/>
            <w:r w:rsidRPr="00C462FB">
              <w:rPr>
                <w:rFonts w:eastAsia="Times New Roman" w:cstheme="minorHAnsi"/>
                <w:color w:val="000000"/>
                <w:sz w:val="20"/>
                <w:szCs w:val="20"/>
                <w:lang w:eastAsia="en-AU"/>
              </w:rPr>
              <w:t>)</w:t>
            </w:r>
          </w:p>
        </w:tc>
        <w:tc>
          <w:tcPr>
            <w:tcW w:w="3118" w:type="dxa"/>
            <w:shd w:val="clear" w:color="auto" w:fill="auto"/>
            <w:noWrap/>
            <w:vAlign w:val="bottom"/>
          </w:tcPr>
          <w:p w14:paraId="355B3A71" w14:textId="77777777" w:rsidR="001A7D00" w:rsidRPr="00C462FB" w:rsidRDefault="001A7D00" w:rsidP="00160409">
            <w:pPr>
              <w:jc w:val="center"/>
              <w:rPr>
                <w:rFonts w:ascii="Arial" w:hAnsi="Arial" w:cs="Arial"/>
                <w:color w:val="000000"/>
                <w:sz w:val="20"/>
                <w:szCs w:val="20"/>
              </w:rPr>
            </w:pPr>
            <w:r w:rsidRPr="00C462FB">
              <w:rPr>
                <w:rFonts w:ascii="Arial" w:hAnsi="Arial" w:cs="Arial"/>
                <w:color w:val="000000"/>
                <w:sz w:val="20"/>
                <w:szCs w:val="20"/>
              </w:rPr>
              <w:t>2.51</w:t>
            </w:r>
          </w:p>
        </w:tc>
      </w:tr>
      <w:tr w:rsidR="001A7D00" w:rsidRPr="00C462FB" w14:paraId="141044E0" w14:textId="77777777" w:rsidTr="00160409">
        <w:trPr>
          <w:trHeight w:hRule="exact" w:val="284"/>
        </w:trPr>
        <w:tc>
          <w:tcPr>
            <w:tcW w:w="5969" w:type="dxa"/>
            <w:shd w:val="clear" w:color="auto" w:fill="auto"/>
            <w:noWrap/>
            <w:vAlign w:val="bottom"/>
            <w:hideMark/>
          </w:tcPr>
          <w:p w14:paraId="646856E7" w14:textId="77777777" w:rsidR="001A7D00" w:rsidRPr="00C462FB" w:rsidRDefault="001A7D00" w:rsidP="00160409">
            <w:pPr>
              <w:spacing w:after="0" w:line="240" w:lineRule="auto"/>
              <w:rPr>
                <w:rFonts w:eastAsia="Times New Roman" w:cstheme="minorHAnsi"/>
                <w:color w:val="000000"/>
                <w:sz w:val="20"/>
                <w:szCs w:val="20"/>
                <w:lang w:eastAsia="en-AU"/>
              </w:rPr>
            </w:pPr>
            <w:r w:rsidRPr="00C462FB">
              <w:rPr>
                <w:rFonts w:eastAsia="Times New Roman" w:cstheme="minorHAnsi"/>
                <w:color w:val="000000"/>
                <w:sz w:val="20"/>
                <w:szCs w:val="20"/>
                <w:lang w:eastAsia="en-AU"/>
              </w:rPr>
              <w:t>Field of education (narrow field of education)</w:t>
            </w:r>
          </w:p>
        </w:tc>
        <w:tc>
          <w:tcPr>
            <w:tcW w:w="3118" w:type="dxa"/>
            <w:shd w:val="clear" w:color="auto" w:fill="auto"/>
            <w:noWrap/>
            <w:vAlign w:val="bottom"/>
          </w:tcPr>
          <w:p w14:paraId="11DADB00" w14:textId="77777777" w:rsidR="001A7D00" w:rsidRPr="00C462FB" w:rsidRDefault="001A7D00" w:rsidP="00160409">
            <w:pPr>
              <w:jc w:val="center"/>
              <w:rPr>
                <w:rFonts w:ascii="Arial" w:hAnsi="Arial" w:cs="Arial"/>
                <w:color w:val="000000"/>
                <w:sz w:val="20"/>
                <w:szCs w:val="20"/>
              </w:rPr>
            </w:pPr>
            <w:r w:rsidRPr="00C462FB">
              <w:rPr>
                <w:rFonts w:ascii="Arial" w:hAnsi="Arial" w:cs="Arial"/>
                <w:color w:val="000000"/>
                <w:sz w:val="20"/>
                <w:szCs w:val="20"/>
              </w:rPr>
              <w:t>1.49</w:t>
            </w:r>
          </w:p>
        </w:tc>
      </w:tr>
      <w:tr w:rsidR="001A7D00" w:rsidRPr="00C462FB" w14:paraId="5A85DE78" w14:textId="77777777" w:rsidTr="00160409">
        <w:trPr>
          <w:trHeight w:hRule="exact" w:val="284"/>
        </w:trPr>
        <w:tc>
          <w:tcPr>
            <w:tcW w:w="5969" w:type="dxa"/>
            <w:shd w:val="clear" w:color="auto" w:fill="auto"/>
            <w:noWrap/>
            <w:vAlign w:val="bottom"/>
            <w:hideMark/>
          </w:tcPr>
          <w:p w14:paraId="4F2F0FDA" w14:textId="77777777" w:rsidR="001A7D00" w:rsidRPr="00C462FB" w:rsidRDefault="001A7D00" w:rsidP="00160409">
            <w:pPr>
              <w:spacing w:after="0" w:line="240" w:lineRule="auto"/>
              <w:rPr>
                <w:rFonts w:eastAsia="Times New Roman" w:cstheme="minorHAnsi"/>
                <w:color w:val="000000"/>
                <w:sz w:val="20"/>
                <w:szCs w:val="20"/>
                <w:lang w:eastAsia="en-AU"/>
              </w:rPr>
            </w:pPr>
            <w:r w:rsidRPr="00C462FB">
              <w:rPr>
                <w:rFonts w:eastAsia="Times New Roman" w:cstheme="minorHAnsi"/>
                <w:color w:val="000000"/>
                <w:sz w:val="20"/>
                <w:szCs w:val="20"/>
                <w:lang w:eastAsia="en-AU"/>
              </w:rPr>
              <w:t>Socio-economic status (SES)</w:t>
            </w:r>
          </w:p>
        </w:tc>
        <w:tc>
          <w:tcPr>
            <w:tcW w:w="3118" w:type="dxa"/>
            <w:shd w:val="clear" w:color="auto" w:fill="auto"/>
            <w:noWrap/>
            <w:vAlign w:val="bottom"/>
          </w:tcPr>
          <w:p w14:paraId="5B800D2A" w14:textId="77777777" w:rsidR="001A7D00" w:rsidRPr="00C462FB" w:rsidRDefault="001A7D00" w:rsidP="00160409">
            <w:pPr>
              <w:jc w:val="center"/>
              <w:rPr>
                <w:rFonts w:ascii="Arial" w:hAnsi="Arial" w:cs="Arial"/>
                <w:color w:val="000000"/>
                <w:sz w:val="20"/>
                <w:szCs w:val="20"/>
              </w:rPr>
            </w:pPr>
            <w:r w:rsidRPr="00C462FB">
              <w:rPr>
                <w:rFonts w:ascii="Arial" w:hAnsi="Arial" w:cs="Arial"/>
                <w:color w:val="000000"/>
                <w:sz w:val="20"/>
                <w:szCs w:val="20"/>
              </w:rPr>
              <w:t>0.29</w:t>
            </w:r>
          </w:p>
        </w:tc>
      </w:tr>
      <w:tr w:rsidR="001A7D00" w:rsidRPr="00C462FB" w14:paraId="7B66AB19" w14:textId="77777777" w:rsidTr="00160409">
        <w:trPr>
          <w:trHeight w:hRule="exact" w:val="284"/>
        </w:trPr>
        <w:tc>
          <w:tcPr>
            <w:tcW w:w="5969" w:type="dxa"/>
            <w:shd w:val="clear" w:color="auto" w:fill="auto"/>
            <w:noWrap/>
            <w:vAlign w:val="bottom"/>
            <w:hideMark/>
          </w:tcPr>
          <w:p w14:paraId="5CB4961B" w14:textId="77777777" w:rsidR="001A7D00" w:rsidRPr="00C462FB" w:rsidRDefault="001A7D00" w:rsidP="00160409">
            <w:pPr>
              <w:spacing w:after="0" w:line="240" w:lineRule="auto"/>
              <w:rPr>
                <w:rFonts w:eastAsia="Times New Roman" w:cstheme="minorHAnsi"/>
                <w:color w:val="000000"/>
                <w:sz w:val="20"/>
                <w:szCs w:val="20"/>
                <w:lang w:eastAsia="en-AU"/>
              </w:rPr>
            </w:pPr>
            <w:r w:rsidRPr="00C462FB">
              <w:rPr>
                <w:rFonts w:eastAsia="Times New Roman" w:cstheme="minorHAnsi"/>
                <w:color w:val="000000"/>
                <w:sz w:val="20"/>
                <w:szCs w:val="20"/>
                <w:lang w:eastAsia="en-AU"/>
              </w:rPr>
              <w:t>Indigenous</w:t>
            </w:r>
          </w:p>
        </w:tc>
        <w:tc>
          <w:tcPr>
            <w:tcW w:w="3118" w:type="dxa"/>
            <w:shd w:val="clear" w:color="auto" w:fill="auto"/>
            <w:noWrap/>
            <w:vAlign w:val="bottom"/>
          </w:tcPr>
          <w:p w14:paraId="16EF74F5" w14:textId="77777777" w:rsidR="001A7D00" w:rsidRPr="00C462FB" w:rsidRDefault="001A7D00" w:rsidP="00160409">
            <w:pPr>
              <w:jc w:val="center"/>
              <w:rPr>
                <w:rFonts w:ascii="Arial" w:hAnsi="Arial" w:cs="Arial"/>
                <w:color w:val="000000"/>
                <w:sz w:val="20"/>
                <w:szCs w:val="20"/>
              </w:rPr>
            </w:pPr>
            <w:r w:rsidRPr="00C462FB">
              <w:rPr>
                <w:rFonts w:ascii="Arial" w:hAnsi="Arial" w:cs="Arial"/>
                <w:color w:val="000000"/>
                <w:sz w:val="20"/>
                <w:szCs w:val="20"/>
              </w:rPr>
              <w:t>0.14</w:t>
            </w:r>
          </w:p>
        </w:tc>
      </w:tr>
      <w:tr w:rsidR="001A7D00" w:rsidRPr="00C462FB" w14:paraId="7DBEC975" w14:textId="77777777" w:rsidTr="00160409">
        <w:trPr>
          <w:trHeight w:hRule="exact" w:val="284"/>
        </w:trPr>
        <w:tc>
          <w:tcPr>
            <w:tcW w:w="5969" w:type="dxa"/>
            <w:shd w:val="clear" w:color="auto" w:fill="auto"/>
            <w:noWrap/>
            <w:vAlign w:val="bottom"/>
          </w:tcPr>
          <w:p w14:paraId="2CBEE4F4" w14:textId="77777777" w:rsidR="001A7D00" w:rsidRPr="00C462FB" w:rsidRDefault="001A7D00" w:rsidP="00160409">
            <w:pPr>
              <w:spacing w:after="0" w:line="240" w:lineRule="auto"/>
              <w:rPr>
                <w:rFonts w:eastAsia="Times New Roman" w:cstheme="minorHAnsi"/>
                <w:color w:val="000000"/>
                <w:sz w:val="20"/>
                <w:szCs w:val="20"/>
                <w:lang w:eastAsia="en-AU"/>
              </w:rPr>
            </w:pPr>
            <w:r w:rsidRPr="00C462FB">
              <w:rPr>
                <w:rFonts w:eastAsia="Times New Roman" w:cstheme="minorHAnsi"/>
                <w:color w:val="000000"/>
                <w:sz w:val="20"/>
                <w:szCs w:val="20"/>
                <w:lang w:eastAsia="en-AU"/>
              </w:rPr>
              <w:t>Non English Speaking Background</w:t>
            </w:r>
          </w:p>
        </w:tc>
        <w:tc>
          <w:tcPr>
            <w:tcW w:w="3118" w:type="dxa"/>
            <w:shd w:val="clear" w:color="auto" w:fill="auto"/>
            <w:noWrap/>
            <w:vAlign w:val="bottom"/>
          </w:tcPr>
          <w:p w14:paraId="32623CAF" w14:textId="77777777" w:rsidR="001A7D00" w:rsidRPr="00C462FB" w:rsidRDefault="001A7D00" w:rsidP="00160409">
            <w:pPr>
              <w:jc w:val="center"/>
              <w:rPr>
                <w:rFonts w:ascii="Arial" w:hAnsi="Arial" w:cs="Arial"/>
                <w:color w:val="000000"/>
                <w:sz w:val="20"/>
                <w:szCs w:val="20"/>
              </w:rPr>
            </w:pPr>
            <w:r w:rsidRPr="00C462FB">
              <w:rPr>
                <w:rFonts w:ascii="Arial" w:hAnsi="Arial" w:cs="Arial"/>
                <w:color w:val="000000"/>
                <w:sz w:val="20"/>
                <w:szCs w:val="20"/>
              </w:rPr>
              <w:t>0.08</w:t>
            </w:r>
          </w:p>
        </w:tc>
      </w:tr>
      <w:tr w:rsidR="001A7D00" w:rsidRPr="00C462FB" w14:paraId="3F7B7D22" w14:textId="77777777" w:rsidTr="00160409">
        <w:trPr>
          <w:trHeight w:hRule="exact" w:val="284"/>
        </w:trPr>
        <w:tc>
          <w:tcPr>
            <w:tcW w:w="5969" w:type="dxa"/>
            <w:tcBorders>
              <w:bottom w:val="single" w:sz="12" w:space="0" w:color="CF9A3E" w:themeColor="accent5"/>
            </w:tcBorders>
            <w:shd w:val="clear" w:color="auto" w:fill="auto"/>
            <w:noWrap/>
            <w:vAlign w:val="bottom"/>
            <w:hideMark/>
          </w:tcPr>
          <w:p w14:paraId="1B437D13" w14:textId="77777777" w:rsidR="001A7D00" w:rsidRPr="00C462FB" w:rsidRDefault="001A7D00" w:rsidP="00160409">
            <w:pPr>
              <w:spacing w:after="0" w:line="240" w:lineRule="auto"/>
              <w:rPr>
                <w:rFonts w:eastAsia="Times New Roman" w:cstheme="minorHAnsi"/>
                <w:color w:val="000000"/>
                <w:sz w:val="20"/>
                <w:szCs w:val="20"/>
                <w:lang w:eastAsia="en-AU"/>
              </w:rPr>
            </w:pPr>
            <w:r w:rsidRPr="00C462FB">
              <w:rPr>
                <w:rFonts w:eastAsia="Times New Roman" w:cstheme="minorHAnsi"/>
                <w:color w:val="000000"/>
                <w:sz w:val="20"/>
                <w:szCs w:val="20"/>
                <w:lang w:eastAsia="en-AU"/>
              </w:rPr>
              <w:t>Gender</w:t>
            </w:r>
          </w:p>
        </w:tc>
        <w:tc>
          <w:tcPr>
            <w:tcW w:w="3118" w:type="dxa"/>
            <w:tcBorders>
              <w:bottom w:val="single" w:sz="12" w:space="0" w:color="CF9A3E" w:themeColor="accent5"/>
            </w:tcBorders>
            <w:shd w:val="clear" w:color="auto" w:fill="auto"/>
            <w:noWrap/>
            <w:vAlign w:val="bottom"/>
          </w:tcPr>
          <w:p w14:paraId="07220737" w14:textId="77777777" w:rsidR="001A7D00" w:rsidRPr="00C462FB" w:rsidRDefault="001A7D00" w:rsidP="00160409">
            <w:pPr>
              <w:jc w:val="center"/>
              <w:rPr>
                <w:rFonts w:ascii="Arial" w:hAnsi="Arial" w:cs="Arial"/>
                <w:color w:val="000000"/>
                <w:sz w:val="20"/>
                <w:szCs w:val="20"/>
              </w:rPr>
            </w:pPr>
            <w:r w:rsidRPr="00C462FB">
              <w:rPr>
                <w:rFonts w:ascii="Arial" w:hAnsi="Arial" w:cs="Arial"/>
                <w:color w:val="000000"/>
                <w:sz w:val="20"/>
                <w:szCs w:val="20"/>
              </w:rPr>
              <w:t>0.01</w:t>
            </w:r>
          </w:p>
        </w:tc>
      </w:tr>
      <w:tr w:rsidR="001A7D00" w:rsidRPr="00C462FB" w14:paraId="3AEFE3DC" w14:textId="77777777" w:rsidTr="00160409">
        <w:trPr>
          <w:trHeight w:val="255"/>
        </w:trPr>
        <w:tc>
          <w:tcPr>
            <w:tcW w:w="5969" w:type="dxa"/>
            <w:tcBorders>
              <w:top w:val="single" w:sz="12" w:space="0" w:color="CF9A3E" w:themeColor="accent5"/>
              <w:bottom w:val="single" w:sz="12" w:space="0" w:color="CF9A3E" w:themeColor="accent5"/>
            </w:tcBorders>
            <w:shd w:val="clear" w:color="auto" w:fill="auto"/>
            <w:noWrap/>
            <w:vAlign w:val="bottom"/>
          </w:tcPr>
          <w:p w14:paraId="7F7C4502" w14:textId="77777777" w:rsidR="001A7D00" w:rsidRPr="00C462FB" w:rsidRDefault="001A7D00" w:rsidP="00160409">
            <w:pPr>
              <w:spacing w:after="0" w:line="240" w:lineRule="auto"/>
              <w:rPr>
                <w:rFonts w:eastAsia="Times New Roman" w:cstheme="minorHAnsi"/>
                <w:b/>
                <w:color w:val="000000"/>
                <w:sz w:val="20"/>
                <w:szCs w:val="20"/>
                <w:lang w:eastAsia="en-AU"/>
              </w:rPr>
            </w:pPr>
            <w:r w:rsidRPr="00C462FB">
              <w:rPr>
                <w:rFonts w:eastAsia="Times New Roman" w:cstheme="minorHAnsi"/>
                <w:b/>
                <w:color w:val="000000"/>
                <w:sz w:val="20"/>
                <w:szCs w:val="20"/>
                <w:lang w:eastAsia="en-AU"/>
              </w:rPr>
              <w:t>Full model including above variables</w:t>
            </w:r>
          </w:p>
        </w:tc>
        <w:tc>
          <w:tcPr>
            <w:tcW w:w="3118" w:type="dxa"/>
            <w:tcBorders>
              <w:top w:val="single" w:sz="12" w:space="0" w:color="CF9A3E" w:themeColor="accent5"/>
              <w:bottom w:val="single" w:sz="12" w:space="0" w:color="CF9A3E" w:themeColor="accent5"/>
            </w:tcBorders>
            <w:shd w:val="clear" w:color="auto" w:fill="auto"/>
            <w:noWrap/>
            <w:vAlign w:val="bottom"/>
          </w:tcPr>
          <w:p w14:paraId="5D705EC0" w14:textId="77777777" w:rsidR="001A7D00" w:rsidRPr="00C462FB" w:rsidRDefault="001A7D00" w:rsidP="00160409">
            <w:pPr>
              <w:spacing w:after="0" w:line="240" w:lineRule="auto"/>
              <w:jc w:val="center"/>
              <w:rPr>
                <w:rFonts w:eastAsia="Times New Roman" w:cstheme="minorHAnsi"/>
                <w:b/>
                <w:color w:val="000000"/>
                <w:sz w:val="20"/>
                <w:szCs w:val="20"/>
                <w:lang w:eastAsia="en-AU"/>
              </w:rPr>
            </w:pPr>
            <w:r w:rsidRPr="00C462FB">
              <w:rPr>
                <w:rFonts w:eastAsia="Times New Roman" w:cstheme="minorHAnsi"/>
                <w:b/>
                <w:color w:val="000000"/>
                <w:sz w:val="20"/>
                <w:szCs w:val="20"/>
                <w:lang w:eastAsia="en-AU"/>
              </w:rPr>
              <w:t>22.55%</w:t>
            </w:r>
          </w:p>
        </w:tc>
      </w:tr>
    </w:tbl>
    <w:p w14:paraId="20054F48" w14:textId="77777777" w:rsidR="001A7D00" w:rsidRDefault="001A7D00" w:rsidP="001A7D00">
      <w:pPr>
        <w:spacing w:after="240"/>
      </w:pPr>
    </w:p>
    <w:p w14:paraId="06BF4744" w14:textId="77777777" w:rsidR="001A7D00" w:rsidRDefault="001A7D00" w:rsidP="001A7D00">
      <w:pPr>
        <w:rPr>
          <w:b/>
          <w:sz w:val="24"/>
          <w:szCs w:val="24"/>
        </w:rPr>
      </w:pPr>
      <w:r>
        <w:rPr>
          <w:b/>
          <w:sz w:val="24"/>
          <w:szCs w:val="24"/>
        </w:rPr>
        <w:br w:type="page"/>
      </w:r>
    </w:p>
    <w:p w14:paraId="731DA177" w14:textId="77777777" w:rsidR="001A7D00" w:rsidRPr="00AC52E7" w:rsidRDefault="001A7D00" w:rsidP="001A7D00">
      <w:pPr>
        <w:spacing w:after="120"/>
        <w:rPr>
          <w:b/>
          <w:sz w:val="24"/>
          <w:szCs w:val="24"/>
        </w:rPr>
      </w:pPr>
      <w:r w:rsidRPr="00AC52E7">
        <w:rPr>
          <w:b/>
          <w:sz w:val="24"/>
          <w:szCs w:val="24"/>
        </w:rPr>
        <w:t>Methodology</w:t>
      </w:r>
    </w:p>
    <w:p w14:paraId="52C8410C" w14:textId="77777777" w:rsidR="001A7D00" w:rsidRDefault="001A7D00" w:rsidP="001A7D00">
      <w:r>
        <w:t>The datasets used for the analysis were from the Higher Education Student Data Collection as can be found in Table A4 below.</w:t>
      </w:r>
    </w:p>
    <w:p w14:paraId="67745C13" w14:textId="77777777" w:rsidR="001A7D00" w:rsidRPr="000B4FDE" w:rsidRDefault="001A7D00" w:rsidP="001A7D00">
      <w:pPr>
        <w:spacing w:after="120"/>
        <w:rPr>
          <w:rFonts w:ascii="Calibri" w:hAnsi="Calibri"/>
          <w:b/>
        </w:rPr>
      </w:pPr>
      <w:r w:rsidRPr="000B4FDE">
        <w:rPr>
          <w:rFonts w:ascii="Calibri" w:hAnsi="Calibri"/>
          <w:b/>
        </w:rPr>
        <w:t xml:space="preserve">Table </w:t>
      </w:r>
      <w:r>
        <w:rPr>
          <w:rFonts w:ascii="Calibri" w:hAnsi="Calibri"/>
          <w:b/>
        </w:rPr>
        <w:t>A4</w:t>
      </w:r>
      <w:r w:rsidRPr="000B4FDE">
        <w:rPr>
          <w:rFonts w:ascii="Calibri" w:hAnsi="Calibri"/>
          <w:b/>
        </w:rPr>
        <w:t xml:space="preserve">: </w:t>
      </w:r>
      <w:r>
        <w:rPr>
          <w:rFonts w:ascii="Calibri" w:hAnsi="Calibri"/>
          <w:b/>
        </w:rPr>
        <w:t>Datasets used in attrition analysis</w:t>
      </w:r>
    </w:p>
    <w:tbl>
      <w:tblPr>
        <w:tblStyle w:val="TableGrid"/>
        <w:tblW w:w="0" w:type="auto"/>
        <w:tblBorders>
          <w:top w:val="single" w:sz="8" w:space="0" w:color="CF9A3E" w:themeColor="accent5"/>
          <w:left w:val="none" w:sz="0" w:space="0" w:color="auto"/>
          <w:bottom w:val="single" w:sz="8" w:space="0" w:color="CF9A3E" w:themeColor="accent5"/>
          <w:right w:val="none" w:sz="0" w:space="0" w:color="auto"/>
          <w:insideH w:val="single" w:sz="8" w:space="0" w:color="CF9A3E" w:themeColor="accent5"/>
          <w:insideV w:val="single" w:sz="8" w:space="0" w:color="CF9A3E" w:themeColor="accent5"/>
        </w:tblBorders>
        <w:tblLook w:val="04A0" w:firstRow="1" w:lastRow="0" w:firstColumn="1" w:lastColumn="0" w:noHBand="0" w:noVBand="1"/>
      </w:tblPr>
      <w:tblGrid>
        <w:gridCol w:w="1242"/>
        <w:gridCol w:w="1418"/>
        <w:gridCol w:w="1417"/>
        <w:gridCol w:w="1643"/>
      </w:tblGrid>
      <w:tr w:rsidR="001A7D00" w:rsidRPr="000B4FDE" w14:paraId="77E6CE0C" w14:textId="77777777" w:rsidTr="00160409">
        <w:trPr>
          <w:tblHeader/>
        </w:trPr>
        <w:tc>
          <w:tcPr>
            <w:tcW w:w="1242" w:type="dxa"/>
            <w:shd w:val="clear" w:color="auto" w:fill="auto"/>
          </w:tcPr>
          <w:p w14:paraId="75FD2243" w14:textId="77777777" w:rsidR="001A7D00" w:rsidRPr="000B4FDE" w:rsidRDefault="001A7D00" w:rsidP="00160409">
            <w:pPr>
              <w:spacing w:before="40"/>
              <w:jc w:val="center"/>
              <w:rPr>
                <w:rFonts w:cstheme="minorHAnsi"/>
                <w:b/>
              </w:rPr>
            </w:pPr>
            <w:r w:rsidRPr="000B4FDE">
              <w:rPr>
                <w:rFonts w:cstheme="minorHAnsi"/>
                <w:b/>
              </w:rPr>
              <w:t>Year</w:t>
            </w:r>
          </w:p>
        </w:tc>
        <w:tc>
          <w:tcPr>
            <w:tcW w:w="1418" w:type="dxa"/>
            <w:shd w:val="clear" w:color="auto" w:fill="auto"/>
          </w:tcPr>
          <w:p w14:paraId="0B184A9F" w14:textId="77777777" w:rsidR="001A7D00" w:rsidRPr="000B4FDE" w:rsidRDefault="001A7D00" w:rsidP="00160409">
            <w:pPr>
              <w:spacing w:before="40"/>
              <w:jc w:val="center"/>
              <w:rPr>
                <w:rFonts w:cstheme="minorHAnsi"/>
                <w:b/>
              </w:rPr>
            </w:pPr>
            <w:r w:rsidRPr="000B4FDE">
              <w:rPr>
                <w:rFonts w:cstheme="minorHAnsi"/>
                <w:b/>
              </w:rPr>
              <w:t>Enrol</w:t>
            </w:r>
          </w:p>
        </w:tc>
        <w:tc>
          <w:tcPr>
            <w:tcW w:w="1417" w:type="dxa"/>
            <w:shd w:val="clear" w:color="auto" w:fill="auto"/>
          </w:tcPr>
          <w:p w14:paraId="3DF366FD" w14:textId="77777777" w:rsidR="001A7D00" w:rsidRPr="000B4FDE" w:rsidRDefault="001A7D00" w:rsidP="00160409">
            <w:pPr>
              <w:spacing w:before="40"/>
              <w:jc w:val="center"/>
              <w:rPr>
                <w:rFonts w:cstheme="minorHAnsi"/>
                <w:b/>
              </w:rPr>
            </w:pPr>
            <w:r w:rsidRPr="000B4FDE">
              <w:rPr>
                <w:rFonts w:cstheme="minorHAnsi"/>
                <w:b/>
              </w:rPr>
              <w:t>Load</w:t>
            </w:r>
          </w:p>
        </w:tc>
        <w:tc>
          <w:tcPr>
            <w:tcW w:w="1643" w:type="dxa"/>
            <w:shd w:val="clear" w:color="auto" w:fill="auto"/>
          </w:tcPr>
          <w:p w14:paraId="3DC2DEB6" w14:textId="77777777" w:rsidR="001A7D00" w:rsidRPr="000B4FDE" w:rsidRDefault="001A7D00" w:rsidP="00160409">
            <w:pPr>
              <w:spacing w:before="40"/>
              <w:jc w:val="center"/>
              <w:rPr>
                <w:rFonts w:cstheme="minorHAnsi"/>
                <w:b/>
              </w:rPr>
            </w:pPr>
            <w:r w:rsidRPr="000B4FDE">
              <w:rPr>
                <w:rFonts w:cstheme="minorHAnsi"/>
                <w:b/>
              </w:rPr>
              <w:t>Completions</w:t>
            </w:r>
          </w:p>
        </w:tc>
      </w:tr>
      <w:tr w:rsidR="001A7D00" w:rsidRPr="000B4FDE" w14:paraId="18EA6904" w14:textId="77777777" w:rsidTr="00160409">
        <w:tc>
          <w:tcPr>
            <w:tcW w:w="1242" w:type="dxa"/>
            <w:shd w:val="clear" w:color="auto" w:fill="auto"/>
          </w:tcPr>
          <w:p w14:paraId="6C7B8BB5" w14:textId="77777777" w:rsidR="001A7D00" w:rsidRPr="000B4FDE" w:rsidRDefault="001A7D00" w:rsidP="00160409">
            <w:pPr>
              <w:spacing w:before="40"/>
              <w:jc w:val="center"/>
              <w:rPr>
                <w:rFonts w:cstheme="minorHAnsi"/>
              </w:rPr>
            </w:pPr>
            <w:r w:rsidRPr="000B4FDE">
              <w:rPr>
                <w:rFonts w:cstheme="minorHAnsi"/>
              </w:rPr>
              <w:t>2014</w:t>
            </w:r>
          </w:p>
        </w:tc>
        <w:tc>
          <w:tcPr>
            <w:tcW w:w="1418" w:type="dxa"/>
            <w:shd w:val="clear" w:color="auto" w:fill="auto"/>
          </w:tcPr>
          <w:p w14:paraId="5AAB8794" w14:textId="77777777" w:rsidR="001A7D00" w:rsidRPr="000B4FDE" w:rsidRDefault="001A7D00" w:rsidP="00160409">
            <w:pPr>
              <w:spacing w:before="40"/>
              <w:jc w:val="center"/>
              <w:rPr>
                <w:rFonts w:cstheme="minorHAnsi"/>
              </w:rPr>
            </w:pPr>
            <w:r w:rsidRPr="000B4FDE">
              <w:rPr>
                <w:rFonts w:cstheme="minorHAnsi"/>
              </w:rPr>
              <w:t>X</w:t>
            </w:r>
          </w:p>
        </w:tc>
        <w:tc>
          <w:tcPr>
            <w:tcW w:w="1417" w:type="dxa"/>
            <w:shd w:val="clear" w:color="auto" w:fill="auto"/>
          </w:tcPr>
          <w:p w14:paraId="017D171B" w14:textId="77777777" w:rsidR="001A7D00" w:rsidRPr="000B4FDE" w:rsidRDefault="001A7D00" w:rsidP="00160409">
            <w:pPr>
              <w:spacing w:before="40"/>
              <w:jc w:val="center"/>
              <w:rPr>
                <w:rFonts w:cstheme="minorHAnsi"/>
              </w:rPr>
            </w:pPr>
            <w:r w:rsidRPr="000B4FDE">
              <w:rPr>
                <w:rFonts w:cstheme="minorHAnsi"/>
              </w:rPr>
              <w:t>X</w:t>
            </w:r>
          </w:p>
        </w:tc>
        <w:tc>
          <w:tcPr>
            <w:tcW w:w="1643" w:type="dxa"/>
            <w:shd w:val="clear" w:color="auto" w:fill="auto"/>
          </w:tcPr>
          <w:p w14:paraId="36EC0E39" w14:textId="77777777" w:rsidR="001A7D00" w:rsidRPr="000B4FDE" w:rsidRDefault="001A7D00" w:rsidP="00160409">
            <w:pPr>
              <w:spacing w:before="40"/>
              <w:jc w:val="center"/>
              <w:rPr>
                <w:rFonts w:cstheme="minorHAnsi"/>
              </w:rPr>
            </w:pPr>
            <w:r w:rsidRPr="000B4FDE">
              <w:rPr>
                <w:rFonts w:cstheme="minorHAnsi"/>
              </w:rPr>
              <w:t>X</w:t>
            </w:r>
          </w:p>
        </w:tc>
      </w:tr>
      <w:tr w:rsidR="001A7D00" w:rsidRPr="000B4FDE" w14:paraId="403DC81D" w14:textId="77777777" w:rsidTr="00160409">
        <w:tc>
          <w:tcPr>
            <w:tcW w:w="1242" w:type="dxa"/>
            <w:shd w:val="clear" w:color="auto" w:fill="auto"/>
          </w:tcPr>
          <w:p w14:paraId="73CB8841" w14:textId="77777777" w:rsidR="001A7D00" w:rsidRPr="000B4FDE" w:rsidRDefault="001A7D00" w:rsidP="00160409">
            <w:pPr>
              <w:spacing w:before="40"/>
              <w:jc w:val="center"/>
              <w:rPr>
                <w:rFonts w:cstheme="minorHAnsi"/>
              </w:rPr>
            </w:pPr>
            <w:r w:rsidRPr="000B4FDE">
              <w:rPr>
                <w:rFonts w:cstheme="minorHAnsi"/>
              </w:rPr>
              <w:t>2015</w:t>
            </w:r>
          </w:p>
        </w:tc>
        <w:tc>
          <w:tcPr>
            <w:tcW w:w="1418" w:type="dxa"/>
            <w:shd w:val="clear" w:color="auto" w:fill="auto"/>
          </w:tcPr>
          <w:p w14:paraId="62372298" w14:textId="77777777" w:rsidR="001A7D00" w:rsidRPr="000B4FDE" w:rsidRDefault="001A7D00" w:rsidP="00160409">
            <w:pPr>
              <w:spacing w:before="40"/>
              <w:jc w:val="center"/>
              <w:rPr>
                <w:rFonts w:cstheme="minorHAnsi"/>
              </w:rPr>
            </w:pPr>
            <w:r w:rsidRPr="000B4FDE">
              <w:rPr>
                <w:rFonts w:cstheme="minorHAnsi"/>
              </w:rPr>
              <w:t>X</w:t>
            </w:r>
          </w:p>
        </w:tc>
        <w:tc>
          <w:tcPr>
            <w:tcW w:w="1417" w:type="dxa"/>
            <w:shd w:val="clear" w:color="auto" w:fill="auto"/>
          </w:tcPr>
          <w:p w14:paraId="7836FA28" w14:textId="77777777" w:rsidR="001A7D00" w:rsidRPr="000B4FDE" w:rsidRDefault="001A7D00" w:rsidP="00160409">
            <w:pPr>
              <w:spacing w:before="40"/>
              <w:jc w:val="center"/>
              <w:rPr>
                <w:rFonts w:cstheme="minorHAnsi"/>
              </w:rPr>
            </w:pPr>
          </w:p>
        </w:tc>
        <w:tc>
          <w:tcPr>
            <w:tcW w:w="1643" w:type="dxa"/>
            <w:shd w:val="clear" w:color="auto" w:fill="auto"/>
          </w:tcPr>
          <w:p w14:paraId="7027C1AC" w14:textId="77777777" w:rsidR="001A7D00" w:rsidRPr="000B4FDE" w:rsidRDefault="001A7D00" w:rsidP="00160409">
            <w:pPr>
              <w:spacing w:before="40"/>
              <w:jc w:val="center"/>
              <w:rPr>
                <w:rFonts w:cstheme="minorHAnsi"/>
              </w:rPr>
            </w:pPr>
            <w:r w:rsidRPr="000B4FDE">
              <w:rPr>
                <w:rFonts w:cstheme="minorHAnsi"/>
              </w:rPr>
              <w:t>X</w:t>
            </w:r>
          </w:p>
        </w:tc>
      </w:tr>
    </w:tbl>
    <w:p w14:paraId="1D32D847" w14:textId="77777777" w:rsidR="001A7D00" w:rsidRDefault="001A7D00" w:rsidP="001A7D00"/>
    <w:p w14:paraId="429FEA2B" w14:textId="77777777" w:rsidR="001A7D00" w:rsidRPr="00CC4B27" w:rsidRDefault="001A7D00" w:rsidP="001A7D00">
      <w:r w:rsidRPr="00CC4B27">
        <w:t xml:space="preserve">To obtain the population </w:t>
      </w:r>
      <w:r>
        <w:t xml:space="preserve">used for </w:t>
      </w:r>
      <w:r w:rsidRPr="00CC4B27">
        <w:t xml:space="preserve">the </w:t>
      </w:r>
      <w:r>
        <w:t>attrition</w:t>
      </w:r>
      <w:r w:rsidRPr="00CC4B27">
        <w:t xml:space="preserve"> rate analysis, the following filters </w:t>
      </w:r>
      <w:proofErr w:type="gramStart"/>
      <w:r w:rsidRPr="00CC4B27">
        <w:t>were applied</w:t>
      </w:r>
      <w:proofErr w:type="gramEnd"/>
      <w:r w:rsidRPr="00CC4B27">
        <w:t>.</w:t>
      </w:r>
      <w:r>
        <w:t xml:space="preserve"> Note the SAS code used to filter the data is contained in brackets.</w:t>
      </w:r>
    </w:p>
    <w:p w14:paraId="0BE74D50" w14:textId="77777777" w:rsidR="001A7D00" w:rsidRPr="00CC4B27" w:rsidRDefault="001A7D00" w:rsidP="001A7D00">
      <w:pPr>
        <w:spacing w:before="120" w:after="120"/>
      </w:pPr>
      <w:r w:rsidRPr="00CC4B27">
        <w:t>For the dataset of commencing students in 2014:</w:t>
      </w:r>
    </w:p>
    <w:p w14:paraId="438DB9CC" w14:textId="77777777" w:rsidR="001A7D00" w:rsidRPr="003015F1" w:rsidRDefault="001A7D00" w:rsidP="001A7D00">
      <w:pPr>
        <w:pStyle w:val="ListParagraph"/>
        <w:numPr>
          <w:ilvl w:val="0"/>
          <w:numId w:val="25"/>
        </w:numPr>
        <w:spacing w:after="0" w:line="240" w:lineRule="auto"/>
        <w:rPr>
          <w:rFonts w:cstheme="minorHAnsi"/>
        </w:rPr>
      </w:pPr>
      <w:r w:rsidRPr="003015F1">
        <w:rPr>
          <w:rFonts w:cstheme="minorHAnsi"/>
        </w:rPr>
        <w:t>Commencing students (E922 = 1)</w:t>
      </w:r>
    </w:p>
    <w:p w14:paraId="2F1DA8BE" w14:textId="77777777" w:rsidR="001A7D00" w:rsidRPr="003015F1" w:rsidRDefault="001A7D00" w:rsidP="001A7D00">
      <w:pPr>
        <w:pStyle w:val="ListParagraph"/>
        <w:numPr>
          <w:ilvl w:val="0"/>
          <w:numId w:val="25"/>
        </w:numPr>
        <w:spacing w:after="0" w:line="240" w:lineRule="auto"/>
        <w:rPr>
          <w:rFonts w:cstheme="minorHAnsi"/>
        </w:rPr>
      </w:pPr>
      <w:r w:rsidRPr="003015F1">
        <w:rPr>
          <w:rFonts w:cstheme="minorHAnsi"/>
        </w:rPr>
        <w:t>Onshore students for commencing year, that is students term location was Australian or unknown or the student studied at an Australian campus (</w:t>
      </w:r>
      <w:proofErr w:type="spellStart"/>
      <w:r w:rsidRPr="003015F1">
        <w:rPr>
          <w:rFonts w:cstheme="minorHAnsi"/>
        </w:rPr>
        <w:t>substr</w:t>
      </w:r>
      <w:proofErr w:type="spellEnd"/>
      <w:r w:rsidRPr="003015F1">
        <w:rPr>
          <w:rFonts w:cstheme="minorHAnsi"/>
        </w:rPr>
        <w:t>(E319,</w:t>
      </w:r>
      <w:r w:rsidRPr="003015F1">
        <w:rPr>
          <w:rFonts w:cstheme="minorHAnsi"/>
          <w:bCs/>
        </w:rPr>
        <w:t>1</w:t>
      </w:r>
      <w:r w:rsidRPr="003015F1">
        <w:rPr>
          <w:rFonts w:cstheme="minorHAnsi"/>
        </w:rPr>
        <w:t>,</w:t>
      </w:r>
      <w:r w:rsidRPr="003015F1">
        <w:rPr>
          <w:rFonts w:cstheme="minorHAnsi"/>
          <w:bCs/>
        </w:rPr>
        <w:t>1</w:t>
      </w:r>
      <w:r w:rsidRPr="003015F1">
        <w:rPr>
          <w:rFonts w:cstheme="minorHAnsi"/>
        </w:rPr>
        <w:t>) = "A" or “X” OR e459 = 1)</w:t>
      </w:r>
    </w:p>
    <w:p w14:paraId="1FDF4E80" w14:textId="77777777" w:rsidR="001A7D00" w:rsidRPr="001D0EC2" w:rsidRDefault="001A7D00" w:rsidP="001A7D00">
      <w:pPr>
        <w:pStyle w:val="ListParagraph"/>
        <w:numPr>
          <w:ilvl w:val="0"/>
          <w:numId w:val="25"/>
        </w:numPr>
        <w:spacing w:after="0" w:line="240" w:lineRule="auto"/>
        <w:rPr>
          <w:rFonts w:cstheme="minorHAnsi"/>
        </w:rPr>
      </w:pPr>
      <w:r w:rsidRPr="001D0EC2">
        <w:rPr>
          <w:rFonts w:cstheme="minorHAnsi"/>
        </w:rPr>
        <w:t>Domestic students (e358 in (1,2,3,8))</w:t>
      </w:r>
    </w:p>
    <w:p w14:paraId="54D3574B" w14:textId="77777777" w:rsidR="001A7D00" w:rsidRPr="003015F1" w:rsidRDefault="001A7D00" w:rsidP="001A7D00">
      <w:pPr>
        <w:pStyle w:val="ListParagraph"/>
        <w:numPr>
          <w:ilvl w:val="0"/>
          <w:numId w:val="25"/>
        </w:numPr>
        <w:spacing w:after="0" w:line="240" w:lineRule="auto"/>
        <w:rPr>
          <w:rFonts w:cstheme="minorHAnsi"/>
        </w:rPr>
      </w:pPr>
      <w:r>
        <w:rPr>
          <w:rFonts w:cstheme="minorHAnsi"/>
        </w:rPr>
        <w:t>Bachelor</w:t>
      </w:r>
      <w:r w:rsidRPr="003015F1">
        <w:rPr>
          <w:rFonts w:cstheme="minorHAnsi"/>
        </w:rPr>
        <w:t xml:space="preserve"> courses (e310 in (8,9,10))</w:t>
      </w:r>
    </w:p>
    <w:p w14:paraId="4AC8CD6F" w14:textId="77777777" w:rsidR="001A7D00" w:rsidRPr="003015F1" w:rsidRDefault="001A7D00" w:rsidP="001A7D00">
      <w:pPr>
        <w:pStyle w:val="ListParagraph"/>
        <w:numPr>
          <w:ilvl w:val="0"/>
          <w:numId w:val="25"/>
        </w:numPr>
        <w:spacing w:after="0" w:line="240" w:lineRule="auto"/>
        <w:rPr>
          <w:rFonts w:cstheme="minorHAnsi"/>
        </w:rPr>
      </w:pPr>
      <w:r w:rsidRPr="003015F1">
        <w:rPr>
          <w:rFonts w:cstheme="minorHAnsi"/>
        </w:rPr>
        <w:t>One record per student for commencing year – being the major course in cases where</w:t>
      </w:r>
      <w:r>
        <w:rPr>
          <w:rFonts w:cstheme="minorHAnsi"/>
        </w:rPr>
        <w:t xml:space="preserve"> there are</w:t>
      </w:r>
      <w:r w:rsidRPr="003015F1">
        <w:rPr>
          <w:rFonts w:cstheme="minorHAnsi"/>
        </w:rPr>
        <w:t xml:space="preserve"> more than one (E331 in (1,2) )</w:t>
      </w:r>
    </w:p>
    <w:p w14:paraId="147DF877" w14:textId="77777777" w:rsidR="001A7D00" w:rsidRPr="003015F1" w:rsidRDefault="001A7D00" w:rsidP="001A7D00">
      <w:pPr>
        <w:pStyle w:val="ListParagraph"/>
        <w:numPr>
          <w:ilvl w:val="0"/>
          <w:numId w:val="25"/>
        </w:numPr>
        <w:spacing w:after="0" w:line="240" w:lineRule="auto"/>
        <w:rPr>
          <w:rFonts w:cstheme="minorHAnsi"/>
        </w:rPr>
      </w:pPr>
      <w:r w:rsidRPr="003015F1">
        <w:rPr>
          <w:rFonts w:cstheme="minorHAnsi"/>
        </w:rPr>
        <w:t>No records from Open Learning Universities in commencing year (if E306=3037 then delete)</w:t>
      </w:r>
    </w:p>
    <w:p w14:paraId="3FB1983D" w14:textId="77777777" w:rsidR="001A7D00" w:rsidRPr="003015F1" w:rsidRDefault="001A7D00" w:rsidP="001A7D00">
      <w:pPr>
        <w:pStyle w:val="ListParagraph"/>
        <w:numPr>
          <w:ilvl w:val="0"/>
          <w:numId w:val="25"/>
        </w:numPr>
        <w:spacing w:after="0" w:line="240" w:lineRule="auto"/>
        <w:rPr>
          <w:rFonts w:cstheme="minorHAnsi"/>
        </w:rPr>
      </w:pPr>
      <w:r w:rsidRPr="003015F1">
        <w:rPr>
          <w:rFonts w:cstheme="minorHAnsi"/>
        </w:rPr>
        <w:t>Providers currently receiving CGS funding</w:t>
      </w:r>
      <w:r>
        <w:rPr>
          <w:rFonts w:cstheme="minorHAnsi"/>
        </w:rPr>
        <w:t xml:space="preserve"> </w:t>
      </w:r>
    </w:p>
    <w:p w14:paraId="1B2A400B" w14:textId="77777777" w:rsidR="001A7D00" w:rsidRPr="003015F1" w:rsidRDefault="001A7D00" w:rsidP="001A7D00">
      <w:pPr>
        <w:spacing w:before="120" w:after="120"/>
      </w:pPr>
      <w:r w:rsidRPr="003015F1">
        <w:t>For the dataset</w:t>
      </w:r>
      <w:r>
        <w:t>s</w:t>
      </w:r>
      <w:r w:rsidRPr="003015F1">
        <w:t xml:space="preserve"> </w:t>
      </w:r>
      <w:r>
        <w:t>to determine retained</w:t>
      </w:r>
      <w:r w:rsidRPr="003015F1">
        <w:t xml:space="preserve"> or completed students in 2015:</w:t>
      </w:r>
    </w:p>
    <w:p w14:paraId="3EE79E58" w14:textId="77777777" w:rsidR="001A7D00" w:rsidRPr="003015F1" w:rsidRDefault="001A7D00" w:rsidP="001A7D00">
      <w:pPr>
        <w:pStyle w:val="ListParagraph"/>
        <w:numPr>
          <w:ilvl w:val="0"/>
          <w:numId w:val="25"/>
        </w:numPr>
        <w:spacing w:after="0" w:line="240" w:lineRule="auto"/>
        <w:rPr>
          <w:rFonts w:cstheme="minorHAnsi"/>
        </w:rPr>
      </w:pPr>
      <w:r w:rsidRPr="003015F1">
        <w:rPr>
          <w:rFonts w:cstheme="minorHAnsi"/>
        </w:rPr>
        <w:t xml:space="preserve">Any </w:t>
      </w:r>
      <w:r>
        <w:rPr>
          <w:rFonts w:cstheme="minorHAnsi"/>
        </w:rPr>
        <w:t xml:space="preserve">provider </w:t>
      </w:r>
      <w:r w:rsidRPr="003015F1">
        <w:rPr>
          <w:rFonts w:cstheme="minorHAnsi"/>
        </w:rPr>
        <w:t xml:space="preserve">for determination of </w:t>
      </w:r>
      <w:r>
        <w:rPr>
          <w:rFonts w:cstheme="minorHAnsi"/>
        </w:rPr>
        <w:t>attrition</w:t>
      </w:r>
      <w:r w:rsidRPr="003015F1">
        <w:rPr>
          <w:rFonts w:cstheme="minorHAnsi"/>
        </w:rPr>
        <w:t xml:space="preserve"> in </w:t>
      </w:r>
      <w:r>
        <w:rPr>
          <w:rFonts w:cstheme="minorHAnsi"/>
        </w:rPr>
        <w:t xml:space="preserve">the </w:t>
      </w:r>
      <w:r w:rsidRPr="003015F1">
        <w:rPr>
          <w:rFonts w:cstheme="minorHAnsi"/>
        </w:rPr>
        <w:t>following year</w:t>
      </w:r>
    </w:p>
    <w:p w14:paraId="56B26039" w14:textId="77777777" w:rsidR="001A7D00" w:rsidRDefault="001A7D00" w:rsidP="001A7D00">
      <w:pPr>
        <w:spacing w:after="120"/>
      </w:pPr>
    </w:p>
    <w:p w14:paraId="142244C6" w14:textId="77777777" w:rsidR="001A7D00" w:rsidRDefault="001A7D00" w:rsidP="001A7D00">
      <w:r>
        <w:t xml:space="preserve">A student is counted as </w:t>
      </w:r>
      <w:proofErr w:type="spellStart"/>
      <w:r>
        <w:t>attrited</w:t>
      </w:r>
      <w:proofErr w:type="spellEnd"/>
      <w:r>
        <w:t xml:space="preserve"> if they were a commencing onshore domestic bachelor student in 2014 in a provider currently receiving CGS cluster but in </w:t>
      </w:r>
      <w:proofErr w:type="gramStart"/>
      <w:r>
        <w:t>2015</w:t>
      </w:r>
      <w:proofErr w:type="gramEnd"/>
      <w:r>
        <w:t xml:space="preserve"> they had neither completed their course, were continuing their course nor enrolled in any other higher education course. The attrition rate </w:t>
      </w:r>
      <w:proofErr w:type="gramStart"/>
      <w:r>
        <w:t>is then calculated</w:t>
      </w:r>
      <w:proofErr w:type="gramEnd"/>
      <w:r>
        <w:t xml:space="preserve"> as follows.</w:t>
      </w:r>
    </w:p>
    <w:p w14:paraId="01B52026" w14:textId="77777777" w:rsidR="001A7D00" w:rsidRDefault="001A7D00" w:rsidP="001A7D00">
      <m:oMathPara>
        <m:oMath>
          <m:r>
            <w:rPr>
              <w:rFonts w:ascii="Cambria Math" w:hAnsi="Cambria Math"/>
            </w:rPr>
            <m:t xml:space="preserve">Attrition rate= </m:t>
          </m:r>
          <m:f>
            <m:fPr>
              <m:ctrlPr>
                <w:rPr>
                  <w:rFonts w:ascii="Cambria Math" w:hAnsi="Cambria Math"/>
                  <w:i/>
                </w:rPr>
              </m:ctrlPr>
            </m:fPr>
            <m:num>
              <m:r>
                <w:rPr>
                  <w:rFonts w:ascii="Cambria Math" w:hAnsi="Cambria Math"/>
                </w:rPr>
                <m:t>Number of students in denominator who neither complete nor re-enrol in 2015</m:t>
              </m:r>
            </m:num>
            <m:den>
              <m:r>
                <w:rPr>
                  <w:rFonts w:ascii="Cambria Math" w:hAnsi="Cambria Math"/>
                </w:rPr>
                <m:t>Number of commencing onshore domestic bachelor students in 2014</m:t>
              </m:r>
            </m:den>
          </m:f>
        </m:oMath>
      </m:oMathPara>
    </w:p>
    <w:p w14:paraId="1C9EF878" w14:textId="77777777" w:rsidR="001A7D00" w:rsidRDefault="001A7D00" w:rsidP="001A7D00">
      <w:r>
        <w:br w:type="page"/>
      </w:r>
    </w:p>
    <w:p w14:paraId="19AEE2F3" w14:textId="77777777" w:rsidR="001A7D00" w:rsidRPr="002329C1" w:rsidRDefault="001A7D00" w:rsidP="001A7D00">
      <w:r w:rsidRPr="002329C1">
        <w:t xml:space="preserve">The variables </w:t>
      </w:r>
      <w:r>
        <w:t>included in the OLS and logit regression analysis we</w:t>
      </w:r>
      <w:r w:rsidRPr="002329C1">
        <w:t>re:</w:t>
      </w:r>
    </w:p>
    <w:p w14:paraId="6545361A" w14:textId="77777777" w:rsidR="001A7D00" w:rsidRPr="002329C1" w:rsidRDefault="001A7D00" w:rsidP="001A7D00">
      <w:pPr>
        <w:pStyle w:val="ListParagraph"/>
        <w:numPr>
          <w:ilvl w:val="0"/>
          <w:numId w:val="26"/>
        </w:numPr>
        <w:spacing w:after="0"/>
        <w:rPr>
          <w:rFonts w:cstheme="minorHAnsi"/>
        </w:rPr>
      </w:pPr>
      <w:r w:rsidRPr="002329C1">
        <w:rPr>
          <w:rFonts w:cstheme="minorHAnsi"/>
        </w:rPr>
        <w:t>Gender</w:t>
      </w:r>
    </w:p>
    <w:p w14:paraId="2B397BA2" w14:textId="77777777" w:rsidR="001A7D00" w:rsidRPr="002329C1" w:rsidRDefault="001A7D00" w:rsidP="001A7D00">
      <w:pPr>
        <w:pStyle w:val="ListParagraph"/>
        <w:numPr>
          <w:ilvl w:val="0"/>
          <w:numId w:val="26"/>
        </w:numPr>
        <w:spacing w:after="0"/>
        <w:rPr>
          <w:rFonts w:cstheme="minorHAnsi"/>
        </w:rPr>
      </w:pPr>
      <w:r w:rsidRPr="002329C1">
        <w:rPr>
          <w:rFonts w:cstheme="minorHAnsi"/>
        </w:rPr>
        <w:t>Mode of study (internal/mixed mode/external)</w:t>
      </w:r>
    </w:p>
    <w:p w14:paraId="5748B6D0" w14:textId="77777777" w:rsidR="001A7D00" w:rsidRPr="002329C1" w:rsidRDefault="001A7D00" w:rsidP="001A7D00">
      <w:pPr>
        <w:pStyle w:val="ListParagraph"/>
        <w:numPr>
          <w:ilvl w:val="0"/>
          <w:numId w:val="26"/>
        </w:numPr>
        <w:spacing w:after="0"/>
        <w:rPr>
          <w:rFonts w:cstheme="minorHAnsi"/>
        </w:rPr>
      </w:pPr>
      <w:r w:rsidRPr="002329C1">
        <w:rPr>
          <w:rFonts w:cstheme="minorHAnsi"/>
        </w:rPr>
        <w:t>Intensity of studies (full time/part-time)</w:t>
      </w:r>
    </w:p>
    <w:p w14:paraId="1B9A35E9" w14:textId="77777777" w:rsidR="001A7D00" w:rsidRPr="002329C1" w:rsidRDefault="001A7D00" w:rsidP="001A7D00">
      <w:pPr>
        <w:pStyle w:val="ListParagraph"/>
        <w:numPr>
          <w:ilvl w:val="0"/>
          <w:numId w:val="26"/>
        </w:numPr>
        <w:spacing w:after="0"/>
        <w:rPr>
          <w:rFonts w:cstheme="minorHAnsi"/>
        </w:rPr>
      </w:pPr>
      <w:r w:rsidRPr="002329C1">
        <w:rPr>
          <w:rFonts w:cstheme="minorHAnsi"/>
        </w:rPr>
        <w:t>Socioeconomic status (low/medium/high)</w:t>
      </w:r>
    </w:p>
    <w:p w14:paraId="0612F826" w14:textId="77777777" w:rsidR="001A7D00" w:rsidRPr="002329C1" w:rsidRDefault="001A7D00" w:rsidP="001A7D00">
      <w:pPr>
        <w:pStyle w:val="ListParagraph"/>
        <w:numPr>
          <w:ilvl w:val="0"/>
          <w:numId w:val="26"/>
        </w:numPr>
        <w:spacing w:after="0"/>
        <w:rPr>
          <w:rFonts w:cstheme="minorHAnsi"/>
        </w:rPr>
      </w:pPr>
      <w:r w:rsidRPr="002329C1">
        <w:rPr>
          <w:rFonts w:cstheme="minorHAnsi"/>
        </w:rPr>
        <w:t>Age group</w:t>
      </w:r>
      <w:r>
        <w:rPr>
          <w:rFonts w:cstheme="minorHAnsi"/>
        </w:rPr>
        <w:t xml:space="preserve"> (&lt;20, 20-24 years, 25+ years)</w:t>
      </w:r>
    </w:p>
    <w:p w14:paraId="20C68EBE" w14:textId="77777777" w:rsidR="001A7D00" w:rsidRPr="002329C1" w:rsidRDefault="001A7D00" w:rsidP="001A7D00">
      <w:pPr>
        <w:pStyle w:val="ListParagraph"/>
        <w:numPr>
          <w:ilvl w:val="0"/>
          <w:numId w:val="26"/>
        </w:numPr>
        <w:spacing w:after="0"/>
        <w:rPr>
          <w:rFonts w:cstheme="minorHAnsi"/>
        </w:rPr>
      </w:pPr>
      <w:r w:rsidRPr="002329C1">
        <w:rPr>
          <w:rFonts w:cstheme="minorHAnsi"/>
        </w:rPr>
        <w:t>Indigenous status</w:t>
      </w:r>
    </w:p>
    <w:p w14:paraId="7C5EC6B1" w14:textId="77777777" w:rsidR="001A7D00" w:rsidRPr="002329C1" w:rsidRDefault="001A7D00" w:rsidP="001A7D00">
      <w:pPr>
        <w:pStyle w:val="ListParagraph"/>
        <w:numPr>
          <w:ilvl w:val="0"/>
          <w:numId w:val="26"/>
        </w:numPr>
        <w:spacing w:after="0"/>
        <w:rPr>
          <w:rFonts w:cstheme="minorHAnsi"/>
        </w:rPr>
      </w:pPr>
      <w:r w:rsidRPr="002329C1">
        <w:rPr>
          <w:rFonts w:cstheme="minorHAnsi"/>
        </w:rPr>
        <w:t>NESB status</w:t>
      </w:r>
    </w:p>
    <w:p w14:paraId="5AF972EE" w14:textId="77777777" w:rsidR="001A7D00" w:rsidRPr="002329C1" w:rsidRDefault="001A7D00" w:rsidP="001A7D00">
      <w:pPr>
        <w:pStyle w:val="ListParagraph"/>
        <w:numPr>
          <w:ilvl w:val="0"/>
          <w:numId w:val="26"/>
        </w:numPr>
        <w:spacing w:after="0"/>
        <w:rPr>
          <w:rFonts w:cstheme="minorHAnsi"/>
        </w:rPr>
      </w:pPr>
      <w:r w:rsidRPr="002329C1">
        <w:rPr>
          <w:rFonts w:cstheme="minorHAnsi"/>
        </w:rPr>
        <w:t>Combined Tertiary entrance score and Basis of admission</w:t>
      </w:r>
      <w:r>
        <w:rPr>
          <w:rFonts w:cstheme="minorHAnsi"/>
        </w:rPr>
        <w:t xml:space="preserve"> (</w:t>
      </w:r>
      <w:r w:rsidRPr="00AC52E7">
        <w:rPr>
          <w:rFonts w:cstheme="minorHAnsi"/>
        </w:rPr>
        <w:t>ATAR</w:t>
      </w:r>
      <w:r>
        <w:rPr>
          <w:rFonts w:cstheme="minorHAnsi"/>
        </w:rPr>
        <w:t xml:space="preserve"> group</w:t>
      </w:r>
      <w:r w:rsidR="00C74186">
        <w:rPr>
          <w:rFonts w:cstheme="minorHAnsi"/>
        </w:rPr>
        <w:t>, higher education, mature-</w:t>
      </w:r>
      <w:r w:rsidRPr="00AC52E7">
        <w:rPr>
          <w:rFonts w:cstheme="minorHAnsi"/>
        </w:rPr>
        <w:t xml:space="preserve">age </w:t>
      </w:r>
      <w:proofErr w:type="spellStart"/>
      <w:r w:rsidRPr="00AC52E7">
        <w:rPr>
          <w:rFonts w:cstheme="minorHAnsi"/>
        </w:rPr>
        <w:t>etc</w:t>
      </w:r>
      <w:proofErr w:type="spellEnd"/>
      <w:r>
        <w:rPr>
          <w:rFonts w:cstheme="minorHAnsi"/>
        </w:rPr>
        <w:t>)</w:t>
      </w:r>
    </w:p>
    <w:p w14:paraId="2EBAED67" w14:textId="77777777" w:rsidR="001A7D00" w:rsidRDefault="001A7D00" w:rsidP="001A7D00">
      <w:pPr>
        <w:pStyle w:val="ListParagraph"/>
        <w:numPr>
          <w:ilvl w:val="0"/>
          <w:numId w:val="26"/>
        </w:numPr>
        <w:spacing w:after="0"/>
        <w:rPr>
          <w:rFonts w:cstheme="minorHAnsi"/>
        </w:rPr>
      </w:pPr>
      <w:r w:rsidRPr="002329C1">
        <w:rPr>
          <w:rFonts w:cstheme="minorHAnsi"/>
        </w:rPr>
        <w:t>Narrow field of education</w:t>
      </w:r>
    </w:p>
    <w:p w14:paraId="54325332" w14:textId="77777777" w:rsidR="001A7D00" w:rsidRDefault="001A7D00" w:rsidP="001A7D00">
      <w:pPr>
        <w:pStyle w:val="ListParagraph"/>
        <w:numPr>
          <w:ilvl w:val="0"/>
          <w:numId w:val="26"/>
        </w:numPr>
        <w:spacing w:after="0"/>
        <w:rPr>
          <w:rFonts w:cstheme="minorHAnsi"/>
        </w:rPr>
      </w:pPr>
      <w:r>
        <w:rPr>
          <w:rFonts w:cstheme="minorHAnsi"/>
        </w:rPr>
        <w:t>Institution</w:t>
      </w:r>
    </w:p>
    <w:p w14:paraId="29AE89A5" w14:textId="77777777" w:rsidR="001A7D00" w:rsidRDefault="001A7D00" w:rsidP="001A7D00">
      <w:pPr>
        <w:spacing w:before="120" w:after="0" w:line="240" w:lineRule="auto"/>
        <w:rPr>
          <w:rFonts w:eastAsia="Times New Roman" w:cstheme="minorHAnsi"/>
        </w:rPr>
      </w:pPr>
      <w:r w:rsidRPr="008E1FAD">
        <w:rPr>
          <w:rFonts w:eastAsia="Times New Roman" w:cstheme="minorHAnsi"/>
        </w:rPr>
        <w:t xml:space="preserve">The </w:t>
      </w:r>
      <w:r>
        <w:rPr>
          <w:rFonts w:eastAsia="Times New Roman" w:cstheme="minorHAnsi"/>
        </w:rPr>
        <w:t xml:space="preserve">regression analyses answer </w:t>
      </w:r>
      <w:r w:rsidRPr="008E1FAD">
        <w:rPr>
          <w:rFonts w:eastAsia="Times New Roman" w:cstheme="minorHAnsi"/>
        </w:rPr>
        <w:t xml:space="preserve">the </w:t>
      </w:r>
      <w:r w:rsidRPr="00B3229B">
        <w:rPr>
          <w:rFonts w:eastAsia="Times New Roman" w:cstheme="minorHAnsi"/>
        </w:rPr>
        <w:t>question</w:t>
      </w:r>
      <w:r>
        <w:rPr>
          <w:rFonts w:eastAsia="Times New Roman" w:cstheme="minorHAnsi"/>
        </w:rPr>
        <w:t>:</w:t>
      </w:r>
    </w:p>
    <w:p w14:paraId="27E348AC" w14:textId="77777777" w:rsidR="001A7D00" w:rsidRDefault="001A7D00" w:rsidP="001A7D00">
      <w:pPr>
        <w:spacing w:before="120" w:after="0" w:line="240" w:lineRule="auto"/>
        <w:rPr>
          <w:rFonts w:eastAsia="Times New Roman" w:cstheme="minorHAnsi"/>
        </w:rPr>
      </w:pPr>
      <w:r w:rsidRPr="00B3229B">
        <w:rPr>
          <w:rFonts w:eastAsia="Times New Roman" w:cstheme="minorHAnsi"/>
        </w:rPr>
        <w:t>‘</w:t>
      </w:r>
      <w:r>
        <w:rPr>
          <w:rFonts w:eastAsia="Times New Roman" w:cstheme="minorHAnsi"/>
        </w:rPr>
        <w:t>W</w:t>
      </w:r>
      <w:r w:rsidRPr="00B3229B">
        <w:rPr>
          <w:rFonts w:eastAsia="Times New Roman" w:cstheme="minorHAnsi"/>
          <w:i/>
        </w:rPr>
        <w:t>hat would the estimated pro</w:t>
      </w:r>
      <w:r w:rsidR="00912C26">
        <w:rPr>
          <w:rFonts w:eastAsia="Times New Roman" w:cstheme="minorHAnsi"/>
          <w:i/>
        </w:rPr>
        <w:t xml:space="preserve">bability of first </w:t>
      </w:r>
      <w:r w:rsidRPr="00B3229B">
        <w:rPr>
          <w:rFonts w:eastAsia="Times New Roman" w:cstheme="minorHAnsi"/>
          <w:i/>
        </w:rPr>
        <w:t>year attrition be</w:t>
      </w:r>
      <w:r w:rsidRPr="00B3229B">
        <w:rPr>
          <w:rFonts w:eastAsia="Times New Roman" w:cstheme="minorHAnsi"/>
        </w:rPr>
        <w:t xml:space="preserve"> </w:t>
      </w:r>
      <w:r w:rsidRPr="00B3229B">
        <w:rPr>
          <w:rFonts w:eastAsia="Times New Roman" w:cstheme="minorHAnsi"/>
          <w:i/>
        </w:rPr>
        <w:t>if the characteristics of the students, course and institution only differed for the characteristic in question, and the rest of the characteristics were the same as the national average?’</w:t>
      </w:r>
      <w:r w:rsidRPr="00B3229B">
        <w:rPr>
          <w:rFonts w:eastAsia="Times New Roman" w:cstheme="minorHAnsi"/>
        </w:rPr>
        <w:t xml:space="preserve">. </w:t>
      </w:r>
    </w:p>
    <w:p w14:paraId="5567BE22" w14:textId="77777777" w:rsidR="001A7D00" w:rsidRDefault="001A7D00" w:rsidP="001A7D00">
      <w:pPr>
        <w:spacing w:before="120" w:after="0" w:line="240" w:lineRule="auto"/>
        <w:rPr>
          <w:rFonts w:eastAsia="Times New Roman" w:cstheme="minorHAnsi"/>
        </w:rPr>
      </w:pPr>
      <w:r w:rsidRPr="00B3229B">
        <w:rPr>
          <w:rFonts w:eastAsia="Times New Roman" w:cstheme="minorHAnsi"/>
        </w:rPr>
        <w:t>Therefore, the institution estimates answer the question</w:t>
      </w:r>
      <w:r>
        <w:rPr>
          <w:rFonts w:eastAsia="Times New Roman" w:cstheme="minorHAnsi"/>
        </w:rPr>
        <w:t>:</w:t>
      </w:r>
    </w:p>
    <w:p w14:paraId="07F5FB6B" w14:textId="77777777" w:rsidR="001A7D00" w:rsidRPr="008C0C7E" w:rsidRDefault="001A7D00" w:rsidP="001A7D00">
      <w:pPr>
        <w:spacing w:before="120" w:after="0" w:line="240" w:lineRule="auto"/>
        <w:rPr>
          <w:rFonts w:eastAsia="Times New Roman" w:cstheme="minorHAnsi"/>
          <w:b/>
          <w:i/>
        </w:rPr>
      </w:pPr>
      <w:r>
        <w:rPr>
          <w:rFonts w:eastAsia="Times New Roman" w:cstheme="minorHAnsi"/>
          <w:i/>
        </w:rPr>
        <w:t>‘W</w:t>
      </w:r>
      <w:r w:rsidRPr="00B3229B">
        <w:rPr>
          <w:rFonts w:eastAsia="Times New Roman" w:cstheme="minorHAnsi"/>
          <w:i/>
        </w:rPr>
        <w:t xml:space="preserve">hat would </w:t>
      </w:r>
      <w:r w:rsidR="00912C26">
        <w:rPr>
          <w:rFonts w:eastAsia="Times New Roman" w:cstheme="minorHAnsi"/>
          <w:i/>
        </w:rPr>
        <w:t xml:space="preserve">the estimated institution first </w:t>
      </w:r>
      <w:r w:rsidRPr="00B3229B">
        <w:rPr>
          <w:rFonts w:eastAsia="Times New Roman" w:cstheme="minorHAnsi"/>
          <w:i/>
        </w:rPr>
        <w:t xml:space="preserve">year attrition rate be if the student cohort was </w:t>
      </w:r>
      <w:r>
        <w:rPr>
          <w:rFonts w:eastAsia="Times New Roman" w:cstheme="minorHAnsi"/>
          <w:i/>
        </w:rPr>
        <w:t>the</w:t>
      </w:r>
      <w:r w:rsidRPr="00B3229B">
        <w:rPr>
          <w:rFonts w:eastAsia="Times New Roman" w:cstheme="minorHAnsi"/>
          <w:i/>
        </w:rPr>
        <w:t xml:space="preserve"> same as the national average?</w:t>
      </w:r>
      <w:proofErr w:type="gramStart"/>
      <w:r w:rsidRPr="00B3229B">
        <w:rPr>
          <w:rFonts w:eastAsia="Times New Roman" w:cstheme="minorHAnsi"/>
          <w:i/>
        </w:rPr>
        <w:t>’</w:t>
      </w:r>
      <w:r>
        <w:rPr>
          <w:rFonts w:eastAsia="Times New Roman" w:cstheme="minorHAnsi"/>
          <w:b/>
          <w:i/>
        </w:rPr>
        <w:t>.</w:t>
      </w:r>
      <w:proofErr w:type="gramEnd"/>
    </w:p>
    <w:p w14:paraId="02BADBEA" w14:textId="77777777" w:rsidR="001A7D00" w:rsidRDefault="001A7D00" w:rsidP="001A7D00"/>
    <w:p w14:paraId="559361A5" w14:textId="77777777" w:rsidR="001A7D00" w:rsidRPr="008D2EFB" w:rsidRDefault="001A7D00" w:rsidP="001A7D00">
      <w:r>
        <w:t>The OLS regression model used to estimate attrition probabilities was as follows:</w:t>
      </w:r>
    </w:p>
    <w:p w14:paraId="1215D548" w14:textId="77777777" w:rsidR="001A7D00" w:rsidRPr="008D2EFB" w:rsidRDefault="00A74556" w:rsidP="001A7D00">
      <w:pPr>
        <w:pStyle w:val="ListParagraph"/>
        <w:ind w:left="0"/>
        <w:rPr>
          <w:rFonts w:cstheme="minorHAnsi"/>
        </w:rPr>
      </w:pPr>
      <m:oMathPara>
        <m:oMath>
          <m:sSub>
            <m:sSubPr>
              <m:ctrlPr>
                <w:rPr>
                  <w:rFonts w:ascii="Cambria Math" w:hAnsi="Cambria Math" w:cstheme="minorHAnsi"/>
                </w:rPr>
              </m:ctrlPr>
            </m:sSubPr>
            <m:e>
              <m:r>
                <m:rPr>
                  <m:sty m:val="p"/>
                </m:rPr>
                <w:rPr>
                  <w:rFonts w:ascii="Cambria Math" w:hAnsi="Cambria Math" w:cstheme="minorHAnsi"/>
                </w:rPr>
                <m:t>Attrition</m:t>
              </m:r>
            </m:e>
            <m:sub>
              <m:r>
                <w:rPr>
                  <w:rFonts w:ascii="Cambria Math" w:hAnsi="Cambria Math" w:cstheme="minorHAnsi"/>
                </w:rPr>
                <m:t>ijk</m:t>
              </m:r>
            </m:sub>
          </m:sSub>
          <m:r>
            <m:rPr>
              <m:sty m:val="p"/>
            </m:rPr>
            <w:rPr>
              <w:rFonts w:ascii="Cambria Math" w:hAnsi="Cambria Math" w:cstheme="minorHAnsi"/>
            </w:rPr>
            <m:t xml:space="preserve">= </m:t>
          </m:r>
          <m:sSub>
            <m:sSubPr>
              <m:ctrlPr>
                <w:rPr>
                  <w:rFonts w:ascii="Cambria Math" w:hAnsi="Cambria Math" w:cstheme="minorHAnsi"/>
                </w:rPr>
              </m:ctrlPr>
            </m:sSubPr>
            <m:e>
              <m:r>
                <m:rPr>
                  <m:sty m:val="p"/>
                </m:rPr>
                <w:rPr>
                  <w:rFonts w:ascii="Cambria Math" w:hAnsi="Cambria Math" w:cstheme="minorHAnsi"/>
                </w:rPr>
                <m:t>β</m:t>
              </m:r>
            </m:e>
            <m:sub>
              <m:r>
                <m:rPr>
                  <m:sty m:val="p"/>
                </m:rPr>
                <w:rPr>
                  <w:rFonts w:ascii="Cambria Math" w:hAnsi="Cambria Math" w:cstheme="minorHAnsi"/>
                  <w:vertAlign w:val="subscript"/>
                </w:rPr>
                <m:t>male</m:t>
              </m:r>
            </m:sub>
          </m:sSub>
          <m:r>
            <m:rPr>
              <m:sty m:val="p"/>
            </m:rPr>
            <w:rPr>
              <w:rFonts w:ascii="Cambria Math" w:hAnsi="Cambria Math" w:cstheme="minorHAnsi"/>
            </w:rPr>
            <m:t xml:space="preserve">male + </m:t>
          </m:r>
          <m:sSub>
            <m:sSubPr>
              <m:ctrlPr>
                <w:rPr>
                  <w:rFonts w:ascii="Cambria Math" w:hAnsi="Cambria Math" w:cstheme="minorHAnsi"/>
                </w:rPr>
              </m:ctrlPr>
            </m:sSubPr>
            <m:e>
              <m:r>
                <m:rPr>
                  <m:sty m:val="p"/>
                </m:rPr>
                <w:rPr>
                  <w:rFonts w:ascii="Cambria Math" w:hAnsi="Cambria Math" w:cstheme="minorHAnsi"/>
                </w:rPr>
                <m:t>β</m:t>
              </m:r>
            </m:e>
            <m:sub>
              <m:r>
                <m:rPr>
                  <m:sty m:val="p"/>
                </m:rPr>
                <w:rPr>
                  <w:rFonts w:ascii="Cambria Math" w:hAnsi="Cambria Math" w:cstheme="minorHAnsi"/>
                  <w:vertAlign w:val="subscript"/>
                </w:rPr>
                <m:t>mixedmode</m:t>
              </m:r>
            </m:sub>
          </m:sSub>
          <m:r>
            <m:rPr>
              <m:sty m:val="p"/>
            </m:rPr>
            <w:rPr>
              <w:rFonts w:ascii="Cambria Math" w:hAnsi="Cambria Math" w:cstheme="minorHAnsi"/>
            </w:rPr>
            <m:t xml:space="preserve">mixed mode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external</m:t>
              </m:r>
            </m:sub>
          </m:sSub>
          <m:r>
            <m:rPr>
              <m:sty m:val="p"/>
            </m:rPr>
            <w:rPr>
              <w:rFonts w:ascii="Cambria Math" w:hAnsi="Cambria Math" w:cstheme="minorHAnsi"/>
            </w:rPr>
            <m:t xml:space="preserve">external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PT</m:t>
              </m:r>
            </m:sub>
          </m:sSub>
          <m:r>
            <m:rPr>
              <m:sty m:val="p"/>
            </m:rPr>
            <w:rPr>
              <w:rFonts w:ascii="Cambria Math" w:hAnsi="Cambria Math" w:cstheme="minorHAnsi"/>
            </w:rPr>
            <m:t xml:space="preserve">part-time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lowSES</m:t>
              </m:r>
            </m:sub>
          </m:sSub>
          <m:r>
            <m:rPr>
              <m:sty m:val="p"/>
            </m:rPr>
            <w:rPr>
              <w:rFonts w:ascii="Cambria Math" w:hAnsi="Cambria Math" w:cstheme="minorHAnsi"/>
            </w:rPr>
            <m:t xml:space="preserve">low SES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highSES</m:t>
              </m:r>
            </m:sub>
          </m:sSub>
          <m:r>
            <m:rPr>
              <m:sty m:val="p"/>
            </m:rPr>
            <w:rPr>
              <w:rFonts w:ascii="Cambria Math" w:hAnsi="Cambria Math" w:cstheme="minorHAnsi"/>
            </w:rPr>
            <m:t xml:space="preserve">high SES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age20-24</m:t>
              </m:r>
            </m:sub>
          </m:sSub>
          <m:sSub>
            <m:sSubPr>
              <m:ctrlPr>
                <w:rPr>
                  <w:rFonts w:ascii="Cambria Math" w:hAnsi="Cambria Math" w:cstheme="minorHAnsi"/>
                </w:rPr>
              </m:ctrlPr>
            </m:sSubPr>
            <m:e>
              <m:r>
                <m:rPr>
                  <m:sty m:val="p"/>
                </m:rPr>
                <w:rPr>
                  <w:rFonts w:ascii="Cambria Math" w:hAnsi="Cambria Math" w:cstheme="minorHAnsi"/>
                </w:rPr>
                <m:t>age</m:t>
              </m:r>
            </m:e>
            <m:sub>
              <m:r>
                <m:rPr>
                  <m:sty m:val="p"/>
                </m:rPr>
                <w:rPr>
                  <w:rFonts w:ascii="Cambria Math" w:hAnsi="Cambria Math" w:cstheme="minorHAnsi"/>
                </w:rPr>
                <m:t>20-24</m:t>
              </m:r>
            </m:sub>
          </m:sSub>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age25+</m:t>
              </m:r>
            </m:sub>
          </m:sSub>
          <m:sSub>
            <m:sSubPr>
              <m:ctrlPr>
                <w:rPr>
                  <w:rFonts w:ascii="Cambria Math" w:hAnsi="Cambria Math" w:cstheme="minorHAnsi"/>
                </w:rPr>
              </m:ctrlPr>
            </m:sSubPr>
            <m:e>
              <m:r>
                <m:rPr>
                  <m:sty m:val="p"/>
                </m:rPr>
                <w:rPr>
                  <w:rFonts w:ascii="Cambria Math" w:hAnsi="Cambria Math" w:cstheme="minorHAnsi"/>
                </w:rPr>
                <m:t>age</m:t>
              </m:r>
            </m:e>
            <m:sub>
              <m:r>
                <w:rPr>
                  <w:rFonts w:ascii="Cambria Math" w:hAnsi="Cambria Math" w:cstheme="minorHAnsi"/>
                </w:rPr>
                <m:t>25+</m:t>
              </m:r>
            </m:sub>
          </m:sSub>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ATSI</m:t>
              </m:r>
            </m:sub>
          </m:sSub>
          <m:r>
            <m:rPr>
              <m:sty m:val="p"/>
            </m:rPr>
            <w:rPr>
              <w:rFonts w:ascii="Cambria Math" w:hAnsi="Cambria Math" w:cstheme="minorHAnsi"/>
            </w:rPr>
            <m:t xml:space="preserve">ATSI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NESB</m:t>
              </m:r>
            </m:sub>
          </m:sSub>
          <m:r>
            <m:rPr>
              <m:sty m:val="p"/>
            </m:rPr>
            <w:rPr>
              <w:rFonts w:ascii="Cambria Math" w:hAnsi="Cambria Math" w:cstheme="minorHAnsi"/>
            </w:rPr>
            <m:t xml:space="preserve">NESB +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ATAR</m:t>
                  </m:r>
                </m:e>
                <m:sub>
                  <m:r>
                    <w:rPr>
                      <w:rFonts w:ascii="Cambria Math" w:hAnsi="Cambria Math" w:cstheme="minorHAnsi"/>
                    </w:rPr>
                    <m:t>30-60</m:t>
                  </m:r>
                </m:sub>
              </m:sSub>
            </m:sub>
          </m:sSub>
          <m:sSub>
            <m:sSubPr>
              <m:ctrlPr>
                <w:rPr>
                  <w:rFonts w:ascii="Cambria Math" w:hAnsi="Cambria Math" w:cstheme="minorHAnsi"/>
                </w:rPr>
              </m:ctrlPr>
            </m:sSubPr>
            <m:e>
              <m:r>
                <w:rPr>
                  <w:rFonts w:ascii="Cambria Math" w:hAnsi="Cambria Math" w:cstheme="minorHAnsi"/>
                </w:rPr>
                <m:t>ATAR</m:t>
              </m:r>
            </m:e>
            <m:sub>
              <m:r>
                <w:rPr>
                  <w:rFonts w:ascii="Cambria Math" w:hAnsi="Cambria Math" w:cstheme="minorHAnsi"/>
                </w:rPr>
                <m:t>30-60</m:t>
              </m:r>
            </m:sub>
          </m:sSub>
          <m:r>
            <m:rPr>
              <m:sty m:val="p"/>
            </m:rPr>
            <w:rPr>
              <w:rFonts w:ascii="Cambria Math" w:hAnsi="Cambria Math" w:cstheme="minorHAnsi"/>
            </w:rPr>
            <m:t xml:space="preserve">+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ATAR</m:t>
                  </m:r>
                </m:e>
                <m:sub>
                  <m:r>
                    <w:rPr>
                      <w:rFonts w:ascii="Cambria Math" w:hAnsi="Cambria Math" w:cstheme="minorHAnsi"/>
                    </w:rPr>
                    <m:t>61-70</m:t>
                  </m:r>
                </m:sub>
              </m:sSub>
            </m:sub>
          </m:sSub>
          <m:sSub>
            <m:sSubPr>
              <m:ctrlPr>
                <w:rPr>
                  <w:rFonts w:ascii="Cambria Math" w:hAnsi="Cambria Math" w:cstheme="minorHAnsi"/>
                </w:rPr>
              </m:ctrlPr>
            </m:sSubPr>
            <m:e>
              <m:r>
                <w:rPr>
                  <w:rFonts w:ascii="Cambria Math" w:hAnsi="Cambria Math" w:cstheme="minorHAnsi"/>
                </w:rPr>
                <m:t>ATAR</m:t>
              </m:r>
            </m:e>
            <m:sub>
              <m:r>
                <w:rPr>
                  <w:rFonts w:ascii="Cambria Math" w:hAnsi="Cambria Math" w:cstheme="minorHAnsi"/>
                </w:rPr>
                <m:t>61-70</m:t>
              </m:r>
            </m:sub>
          </m:sSub>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ATAR</m:t>
                  </m:r>
                </m:e>
                <m:sub>
                  <m:r>
                    <w:rPr>
                      <w:rFonts w:ascii="Cambria Math" w:hAnsi="Cambria Math" w:cstheme="minorHAnsi"/>
                    </w:rPr>
                    <m:t>71-80</m:t>
                  </m:r>
                </m:sub>
              </m:sSub>
            </m:sub>
          </m:sSub>
          <m:sSub>
            <m:sSubPr>
              <m:ctrlPr>
                <w:rPr>
                  <w:rFonts w:ascii="Cambria Math" w:hAnsi="Cambria Math" w:cstheme="minorHAnsi"/>
                </w:rPr>
              </m:ctrlPr>
            </m:sSubPr>
            <m:e>
              <m:r>
                <w:rPr>
                  <w:rFonts w:ascii="Cambria Math" w:hAnsi="Cambria Math" w:cstheme="minorHAnsi"/>
                </w:rPr>
                <m:t>ATAR</m:t>
              </m:r>
            </m:e>
            <m:sub>
              <m:r>
                <m:rPr>
                  <m:sty m:val="p"/>
                </m:rPr>
                <w:rPr>
                  <w:rFonts w:ascii="Cambria Math" w:hAnsi="Cambria Math" w:cstheme="minorHAnsi"/>
                </w:rPr>
                <m:t>71-80</m:t>
              </m:r>
            </m:sub>
          </m:sSub>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ATAR</m:t>
                  </m:r>
                </m:e>
                <m:sub>
                  <m:r>
                    <w:rPr>
                      <w:rFonts w:ascii="Cambria Math" w:hAnsi="Cambria Math" w:cstheme="minorHAnsi"/>
                    </w:rPr>
                    <m:t>81-90</m:t>
                  </m:r>
                </m:sub>
              </m:sSub>
            </m:sub>
          </m:sSub>
          <m:sSub>
            <m:sSubPr>
              <m:ctrlPr>
                <w:rPr>
                  <w:rFonts w:ascii="Cambria Math" w:hAnsi="Cambria Math" w:cstheme="minorHAnsi"/>
                </w:rPr>
              </m:ctrlPr>
            </m:sSubPr>
            <m:e>
              <m:r>
                <w:rPr>
                  <w:rFonts w:ascii="Cambria Math" w:hAnsi="Cambria Math" w:cstheme="minorHAnsi"/>
                </w:rPr>
                <m:t>ATAR</m:t>
              </m:r>
            </m:e>
            <m:sub>
              <m:r>
                <w:rPr>
                  <w:rFonts w:ascii="Cambria Math" w:hAnsi="Cambria Math" w:cstheme="minorHAnsi"/>
                </w:rPr>
                <m:t>81-90</m:t>
              </m:r>
            </m:sub>
          </m:sSub>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ATAR</m:t>
                  </m:r>
                </m:e>
                <m:sub>
                  <m:r>
                    <w:rPr>
                      <w:rFonts w:ascii="Cambria Math" w:hAnsi="Cambria Math" w:cstheme="minorHAnsi"/>
                    </w:rPr>
                    <m:t>91-100</m:t>
                  </m:r>
                </m:sub>
              </m:sSub>
            </m:sub>
          </m:sSub>
          <m:sSub>
            <m:sSubPr>
              <m:ctrlPr>
                <w:rPr>
                  <w:rFonts w:ascii="Cambria Math" w:hAnsi="Cambria Math" w:cstheme="minorHAnsi"/>
                </w:rPr>
              </m:ctrlPr>
            </m:sSubPr>
            <m:e>
              <m:r>
                <w:rPr>
                  <w:rFonts w:ascii="Cambria Math" w:hAnsi="Cambria Math" w:cstheme="minorHAnsi"/>
                </w:rPr>
                <m:t>ATAR</m:t>
              </m:r>
            </m:e>
            <m:sub>
              <m:r>
                <w:rPr>
                  <w:rFonts w:ascii="Cambria Math" w:hAnsi="Cambria Math" w:cstheme="minorHAnsi"/>
                </w:rPr>
                <m:t>91-100</m:t>
              </m:r>
            </m:sub>
          </m:sSub>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SecEdNoATAR</m:t>
              </m:r>
            </m:sub>
          </m:sSub>
          <m:r>
            <m:rPr>
              <m:sty m:val="p"/>
            </m:rPr>
            <w:rPr>
              <w:rFonts w:ascii="Cambria Math" w:hAnsi="Cambria Math" w:cstheme="minorHAnsi"/>
            </w:rPr>
            <m:t>SecEdNo</m:t>
          </m:r>
          <m:r>
            <w:rPr>
              <w:rFonts w:ascii="Cambria Math" w:hAnsi="Cambria Math" w:cstheme="minorHAnsi"/>
            </w:rPr>
            <m:t>ATAR</m:t>
          </m:r>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VETaward</m:t>
              </m:r>
            </m:sub>
          </m:sSub>
          <m:r>
            <m:rPr>
              <m:sty m:val="p"/>
            </m:rPr>
            <w:rPr>
              <w:rFonts w:ascii="Cambria Math" w:hAnsi="Cambria Math" w:cstheme="minorHAnsi"/>
            </w:rPr>
            <m:t xml:space="preserve">VETaward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ProfQual</m:t>
              </m:r>
            </m:sub>
          </m:sSub>
          <m:r>
            <m:rPr>
              <m:sty m:val="p"/>
            </m:rPr>
            <w:rPr>
              <w:rFonts w:ascii="Cambria Math" w:hAnsi="Cambria Math" w:cstheme="minorHAnsi"/>
            </w:rPr>
            <m:t xml:space="preserve">ProfQual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MatureAge</m:t>
              </m:r>
            </m:sub>
          </m:sSub>
          <m:r>
            <m:rPr>
              <m:sty m:val="p"/>
            </m:rPr>
            <w:rPr>
              <w:rFonts w:ascii="Cambria Math" w:hAnsi="Cambria Math" w:cstheme="minorHAnsi"/>
            </w:rPr>
            <m:t xml:space="preserve">MatureAge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OtherBasis</m:t>
              </m:r>
            </m:sub>
          </m:sSub>
          <m:r>
            <m:rPr>
              <m:sty m:val="p"/>
            </m:rPr>
            <w:rPr>
              <w:rFonts w:ascii="Cambria Math" w:hAnsi="Cambria Math" w:cstheme="minorHAnsi"/>
            </w:rPr>
            <m:t xml:space="preserve">OtherBasisAdm +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nFoE</m:t>
                  </m:r>
                </m:e>
                <m:sub>
                  <m:r>
                    <w:rPr>
                      <w:rFonts w:ascii="Cambria Math" w:hAnsi="Cambria Math" w:cstheme="minorHAnsi"/>
                    </w:rPr>
                    <m:t>j</m:t>
                  </m:r>
                </m:sub>
              </m:sSub>
            </m:sub>
          </m:sSub>
          <m:sSub>
            <m:sSubPr>
              <m:ctrlPr>
                <w:rPr>
                  <w:rFonts w:ascii="Cambria Math" w:hAnsi="Cambria Math" w:cstheme="minorHAnsi"/>
                  <w:vertAlign w:val="subscript"/>
                </w:rPr>
              </m:ctrlPr>
            </m:sSubPr>
            <m:e>
              <m:r>
                <m:rPr>
                  <m:sty m:val="p"/>
                </m:rPr>
                <w:rPr>
                  <w:rFonts w:ascii="Cambria Math" w:hAnsi="Cambria Math" w:cstheme="minorHAnsi"/>
                  <w:vertAlign w:val="subscript"/>
                </w:rPr>
                <m:t>nFoE</m:t>
              </m:r>
            </m:e>
            <m:sub>
              <m:r>
                <w:rPr>
                  <w:rFonts w:ascii="Cambria Math" w:hAnsi="Cambria Math" w:cstheme="minorHAnsi"/>
                  <w:vertAlign w:val="subscript"/>
                </w:rPr>
                <m:t>j</m:t>
              </m:r>
            </m:sub>
          </m:sSub>
          <m:r>
            <m:rPr>
              <m:sty m:val="p"/>
            </m:rPr>
            <w:rPr>
              <w:rFonts w:ascii="Cambria Math" w:hAnsi="Cambria Math" w:cstheme="minorHAnsi"/>
              <w:vertAlign w:val="subscript"/>
            </w:rPr>
            <m:t xml:space="preserve"> </m:t>
          </m:r>
          <m:r>
            <m:rPr>
              <m:sty m:val="p"/>
            </m:rPr>
            <w:rPr>
              <w:rFonts w:ascii="Cambria Math" w:hAnsi="Cambria Math" w:cstheme="minorHAnsi"/>
            </w:rPr>
            <m:t xml:space="preserve">+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Inst</m:t>
                  </m:r>
                </m:e>
                <m:sub>
                  <m:r>
                    <w:rPr>
                      <w:rFonts w:ascii="Cambria Math" w:hAnsi="Cambria Math" w:cstheme="minorHAnsi"/>
                    </w:rPr>
                    <m:t>k</m:t>
                  </m:r>
                </m:sub>
              </m:sSub>
            </m:sub>
          </m:sSub>
          <m:sSub>
            <m:sSubPr>
              <m:ctrlPr>
                <w:rPr>
                  <w:rFonts w:ascii="Cambria Math" w:hAnsi="Cambria Math" w:cstheme="minorHAnsi"/>
                </w:rPr>
              </m:ctrlPr>
            </m:sSubPr>
            <m:e>
              <m:r>
                <m:rPr>
                  <m:sty m:val="p"/>
                </m:rPr>
                <w:rPr>
                  <w:rFonts w:ascii="Cambria Math" w:hAnsi="Cambria Math" w:cstheme="minorHAnsi"/>
                </w:rPr>
                <m:t>Institution</m:t>
              </m:r>
            </m:e>
            <m:sub>
              <m:r>
                <w:rPr>
                  <w:rFonts w:ascii="Cambria Math" w:hAnsi="Cambria Math" w:cstheme="minorHAnsi"/>
                </w:rPr>
                <m:t>k</m:t>
              </m:r>
            </m:sub>
          </m:sSub>
        </m:oMath>
      </m:oMathPara>
    </w:p>
    <w:p w14:paraId="6AA3E992" w14:textId="77777777" w:rsidR="001A7D00" w:rsidRDefault="001A7D00" w:rsidP="001A7D00">
      <w:pPr>
        <w:pStyle w:val="ListParagraph"/>
        <w:ind w:left="0"/>
        <w:rPr>
          <w:rFonts w:cstheme="minorHAnsi"/>
        </w:rPr>
      </w:pPr>
      <w:r>
        <w:rPr>
          <w:rFonts w:cstheme="minorHAnsi"/>
        </w:rPr>
        <w:t>Where</w:t>
      </w:r>
    </w:p>
    <w:p w14:paraId="2D446BA5" w14:textId="77777777" w:rsidR="001A7D00" w:rsidRDefault="001A7D00" w:rsidP="001A7D00">
      <w:pPr>
        <w:pStyle w:val="ListParagraph"/>
        <w:tabs>
          <w:tab w:val="left" w:pos="426"/>
        </w:tabs>
        <w:ind w:left="1418" w:hanging="1418"/>
        <w:rPr>
          <w:rFonts w:cstheme="minorHAnsi"/>
        </w:rPr>
      </w:pPr>
      <w:r>
        <w:rPr>
          <w:rFonts w:cstheme="minorHAnsi"/>
        </w:rPr>
        <w:tab/>
      </w:r>
      <w:proofErr w:type="spellStart"/>
      <w:r>
        <w:rPr>
          <w:rFonts w:cstheme="minorHAnsi"/>
        </w:rPr>
        <w:t>Attrition</w:t>
      </w:r>
      <w:r>
        <w:rPr>
          <w:rFonts w:cstheme="minorHAnsi"/>
          <w:vertAlign w:val="subscript"/>
        </w:rPr>
        <w:t>ijk</w:t>
      </w:r>
      <w:proofErr w:type="spellEnd"/>
      <w:r>
        <w:rPr>
          <w:rFonts w:cstheme="minorHAnsi"/>
        </w:rPr>
        <w:tab/>
        <w:t xml:space="preserve">= probability of attrition for student </w:t>
      </w:r>
      <w:proofErr w:type="spellStart"/>
      <w:r>
        <w:rPr>
          <w:rFonts w:cstheme="minorHAnsi"/>
          <w:i/>
        </w:rPr>
        <w:t>i</w:t>
      </w:r>
      <w:proofErr w:type="spellEnd"/>
      <w:r>
        <w:rPr>
          <w:rFonts w:cstheme="minorHAnsi"/>
        </w:rPr>
        <w:t xml:space="preserve"> in narrow field of education </w:t>
      </w:r>
      <w:r>
        <w:rPr>
          <w:rFonts w:cstheme="minorHAnsi"/>
          <w:i/>
        </w:rPr>
        <w:t>j</w:t>
      </w:r>
      <w:r>
        <w:rPr>
          <w:rFonts w:cstheme="minorHAnsi"/>
        </w:rPr>
        <w:t xml:space="preserve"> in institution </w:t>
      </w:r>
      <w:r>
        <w:rPr>
          <w:rFonts w:cstheme="minorHAnsi"/>
          <w:i/>
        </w:rPr>
        <w:t>k</w:t>
      </w:r>
    </w:p>
    <w:p w14:paraId="34E2581B" w14:textId="77777777" w:rsidR="001A7D00" w:rsidRDefault="001A7D00" w:rsidP="001A7D00">
      <w:pPr>
        <w:rPr>
          <w:rFonts w:cstheme="minorHAnsi"/>
        </w:rPr>
      </w:pPr>
      <w:r>
        <w:rPr>
          <w:rFonts w:cstheme="minorHAnsi"/>
        </w:rPr>
        <w:br w:type="page"/>
      </w:r>
    </w:p>
    <w:p w14:paraId="6A5AE25E" w14:textId="77777777" w:rsidR="001A7D00" w:rsidRDefault="001A7D00" w:rsidP="001A7D00">
      <w:pPr>
        <w:rPr>
          <w:rFonts w:cstheme="minorHAnsi"/>
        </w:rPr>
      </w:pPr>
      <w:r>
        <w:rPr>
          <w:rFonts w:cstheme="minorHAnsi"/>
        </w:rPr>
        <w:t>While the logit regression model used was:</w:t>
      </w:r>
    </w:p>
    <w:p w14:paraId="3BAB12D4" w14:textId="77777777" w:rsidR="001A7D00" w:rsidRPr="008D2EFB" w:rsidRDefault="00A74556" w:rsidP="001A7D00">
      <w:pPr>
        <w:pStyle w:val="ListParagraph"/>
        <w:ind w:left="0"/>
        <w:rPr>
          <w:rFonts w:cstheme="minorHAnsi"/>
        </w:rPr>
      </w:pPr>
      <m:oMathPara>
        <m:oMath>
          <m:func>
            <m:funcPr>
              <m:ctrlPr>
                <w:rPr>
                  <w:rFonts w:ascii="Cambria Math" w:hAnsi="Cambria Math" w:cstheme="minorHAnsi"/>
                </w:rPr>
              </m:ctrlPr>
            </m:funcPr>
            <m:fName>
              <m:r>
                <m:rPr>
                  <m:sty m:val="p"/>
                </m:rPr>
                <w:rPr>
                  <w:rFonts w:ascii="Cambria Math" w:hAnsi="Cambria Math" w:cstheme="minorHAnsi"/>
                </w:rPr>
                <m:t>ln</m:t>
              </m:r>
            </m:fName>
            <m:e>
              <m:d>
                <m:dPr>
                  <m:ctrlPr>
                    <w:rPr>
                      <w:rFonts w:ascii="Cambria Math" w:hAnsi="Cambria Math" w:cstheme="minorHAnsi"/>
                    </w:rPr>
                  </m:ctrlPr>
                </m:dPr>
                <m:e>
                  <m:f>
                    <m:fPr>
                      <m:ctrlPr>
                        <w:rPr>
                          <w:rFonts w:ascii="Cambria Math" w:hAnsi="Cambria Math" w:cstheme="minorHAnsi"/>
                        </w:rPr>
                      </m:ctrlPr>
                    </m:fPr>
                    <m:num>
                      <m:sSub>
                        <m:sSubPr>
                          <m:ctrlPr>
                            <w:rPr>
                              <w:rFonts w:ascii="Cambria Math" w:hAnsi="Cambria Math" w:cstheme="minorHAnsi"/>
                            </w:rPr>
                          </m:ctrlPr>
                        </m:sSubPr>
                        <m:e>
                          <m:r>
                            <m:rPr>
                              <m:sty m:val="p"/>
                            </m:rPr>
                            <w:rPr>
                              <w:rFonts w:ascii="Cambria Math" w:hAnsi="Cambria Math" w:cstheme="minorHAnsi"/>
                            </w:rPr>
                            <m:t>Attrition</m:t>
                          </m:r>
                        </m:e>
                        <m:sub>
                          <m:r>
                            <w:rPr>
                              <w:rFonts w:ascii="Cambria Math" w:hAnsi="Cambria Math" w:cstheme="minorHAnsi"/>
                            </w:rPr>
                            <m:t>ijk</m:t>
                          </m:r>
                        </m:sub>
                      </m:sSub>
                    </m:num>
                    <m:den>
                      <m:r>
                        <w:rPr>
                          <w:rFonts w:ascii="Cambria Math" w:hAnsi="Cambria Math" w:cstheme="minorHAnsi"/>
                        </w:rPr>
                        <m:t>1-</m:t>
                      </m:r>
                      <m:sSub>
                        <m:sSubPr>
                          <m:ctrlPr>
                            <w:rPr>
                              <w:rFonts w:ascii="Cambria Math" w:hAnsi="Cambria Math" w:cstheme="minorHAnsi"/>
                            </w:rPr>
                          </m:ctrlPr>
                        </m:sSubPr>
                        <m:e>
                          <m:r>
                            <m:rPr>
                              <m:sty m:val="p"/>
                            </m:rPr>
                            <w:rPr>
                              <w:rFonts w:ascii="Cambria Math" w:hAnsi="Cambria Math" w:cstheme="minorHAnsi"/>
                            </w:rPr>
                            <m:t>Attrition</m:t>
                          </m:r>
                        </m:e>
                        <m:sub>
                          <m:r>
                            <w:rPr>
                              <w:rFonts w:ascii="Cambria Math" w:hAnsi="Cambria Math" w:cstheme="minorHAnsi"/>
                            </w:rPr>
                            <m:t>ijk</m:t>
                          </m:r>
                        </m:sub>
                      </m:sSub>
                    </m:den>
                  </m:f>
                </m:e>
              </m:d>
            </m:e>
          </m:func>
          <m:r>
            <m:rPr>
              <m:sty m:val="p"/>
            </m:rPr>
            <w:rPr>
              <w:rFonts w:ascii="Cambria Math" w:hAnsi="Cambria Math" w:cstheme="minorHAnsi"/>
            </w:rPr>
            <m:t xml:space="preserve">= </m:t>
          </m:r>
          <m:sSub>
            <m:sSubPr>
              <m:ctrlPr>
                <w:rPr>
                  <w:rFonts w:ascii="Cambria Math" w:hAnsi="Cambria Math" w:cstheme="minorHAnsi"/>
                </w:rPr>
              </m:ctrlPr>
            </m:sSubPr>
            <m:e>
              <m:r>
                <m:rPr>
                  <m:sty m:val="p"/>
                </m:rPr>
                <w:rPr>
                  <w:rFonts w:ascii="Cambria Math" w:hAnsi="Cambria Math" w:cstheme="minorHAnsi"/>
                </w:rPr>
                <m:t>β</m:t>
              </m:r>
            </m:e>
            <m:sub>
              <m:r>
                <m:rPr>
                  <m:sty m:val="p"/>
                </m:rPr>
                <w:rPr>
                  <w:rFonts w:ascii="Cambria Math" w:hAnsi="Cambria Math" w:cstheme="minorHAnsi"/>
                  <w:vertAlign w:val="subscript"/>
                </w:rPr>
                <m:t>male</m:t>
              </m:r>
            </m:sub>
          </m:sSub>
          <m:r>
            <m:rPr>
              <m:sty m:val="p"/>
            </m:rPr>
            <w:rPr>
              <w:rFonts w:ascii="Cambria Math" w:hAnsi="Cambria Math" w:cstheme="minorHAnsi"/>
            </w:rPr>
            <m:t xml:space="preserve">male + </m:t>
          </m:r>
          <m:sSub>
            <m:sSubPr>
              <m:ctrlPr>
                <w:rPr>
                  <w:rFonts w:ascii="Cambria Math" w:hAnsi="Cambria Math" w:cstheme="minorHAnsi"/>
                </w:rPr>
              </m:ctrlPr>
            </m:sSubPr>
            <m:e>
              <m:r>
                <m:rPr>
                  <m:sty m:val="p"/>
                </m:rPr>
                <w:rPr>
                  <w:rFonts w:ascii="Cambria Math" w:hAnsi="Cambria Math" w:cstheme="minorHAnsi"/>
                </w:rPr>
                <m:t>β</m:t>
              </m:r>
            </m:e>
            <m:sub>
              <m:r>
                <m:rPr>
                  <m:sty m:val="p"/>
                </m:rPr>
                <w:rPr>
                  <w:rFonts w:ascii="Cambria Math" w:hAnsi="Cambria Math" w:cstheme="minorHAnsi"/>
                  <w:vertAlign w:val="subscript"/>
                </w:rPr>
                <m:t>mixedmode</m:t>
              </m:r>
            </m:sub>
          </m:sSub>
          <m:r>
            <m:rPr>
              <m:sty m:val="p"/>
            </m:rPr>
            <w:rPr>
              <w:rFonts w:ascii="Cambria Math" w:hAnsi="Cambria Math" w:cstheme="minorHAnsi"/>
            </w:rPr>
            <m:t xml:space="preserve">mixed mode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external</m:t>
              </m:r>
            </m:sub>
          </m:sSub>
          <m:r>
            <m:rPr>
              <m:sty m:val="p"/>
            </m:rPr>
            <w:rPr>
              <w:rFonts w:ascii="Cambria Math" w:hAnsi="Cambria Math" w:cstheme="minorHAnsi"/>
            </w:rPr>
            <m:t xml:space="preserve">external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PT</m:t>
              </m:r>
            </m:sub>
          </m:sSub>
          <m:r>
            <m:rPr>
              <m:sty m:val="p"/>
            </m:rPr>
            <w:rPr>
              <w:rFonts w:ascii="Cambria Math" w:hAnsi="Cambria Math" w:cstheme="minorHAnsi"/>
            </w:rPr>
            <m:t xml:space="preserve">part-time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lowSES</m:t>
              </m:r>
            </m:sub>
          </m:sSub>
          <m:r>
            <m:rPr>
              <m:sty m:val="p"/>
            </m:rPr>
            <w:rPr>
              <w:rFonts w:ascii="Cambria Math" w:hAnsi="Cambria Math" w:cstheme="minorHAnsi"/>
            </w:rPr>
            <m:t xml:space="preserve">low SES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highSES</m:t>
              </m:r>
            </m:sub>
          </m:sSub>
          <m:r>
            <m:rPr>
              <m:sty m:val="p"/>
            </m:rPr>
            <w:rPr>
              <w:rFonts w:ascii="Cambria Math" w:hAnsi="Cambria Math" w:cstheme="minorHAnsi"/>
            </w:rPr>
            <m:t xml:space="preserve">high SES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age20-24</m:t>
              </m:r>
            </m:sub>
          </m:sSub>
          <m:sSub>
            <m:sSubPr>
              <m:ctrlPr>
                <w:rPr>
                  <w:rFonts w:ascii="Cambria Math" w:hAnsi="Cambria Math" w:cstheme="minorHAnsi"/>
                </w:rPr>
              </m:ctrlPr>
            </m:sSubPr>
            <m:e>
              <m:r>
                <m:rPr>
                  <m:sty m:val="p"/>
                </m:rPr>
                <w:rPr>
                  <w:rFonts w:ascii="Cambria Math" w:hAnsi="Cambria Math" w:cstheme="minorHAnsi"/>
                </w:rPr>
                <m:t>age</m:t>
              </m:r>
            </m:e>
            <m:sub>
              <m:r>
                <m:rPr>
                  <m:sty m:val="p"/>
                </m:rPr>
                <w:rPr>
                  <w:rFonts w:ascii="Cambria Math" w:hAnsi="Cambria Math" w:cstheme="minorHAnsi"/>
                </w:rPr>
                <m:t>20-24</m:t>
              </m:r>
            </m:sub>
          </m:sSub>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age25+</m:t>
              </m:r>
            </m:sub>
          </m:sSub>
          <m:sSub>
            <m:sSubPr>
              <m:ctrlPr>
                <w:rPr>
                  <w:rFonts w:ascii="Cambria Math" w:hAnsi="Cambria Math" w:cstheme="minorHAnsi"/>
                </w:rPr>
              </m:ctrlPr>
            </m:sSubPr>
            <m:e>
              <m:r>
                <m:rPr>
                  <m:sty m:val="p"/>
                </m:rPr>
                <w:rPr>
                  <w:rFonts w:ascii="Cambria Math" w:hAnsi="Cambria Math" w:cstheme="minorHAnsi"/>
                </w:rPr>
                <m:t>age</m:t>
              </m:r>
            </m:e>
            <m:sub>
              <m:r>
                <w:rPr>
                  <w:rFonts w:ascii="Cambria Math" w:hAnsi="Cambria Math" w:cstheme="minorHAnsi"/>
                </w:rPr>
                <m:t>25+</m:t>
              </m:r>
            </m:sub>
          </m:sSub>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ATSI</m:t>
              </m:r>
            </m:sub>
          </m:sSub>
          <m:r>
            <m:rPr>
              <m:sty m:val="p"/>
            </m:rPr>
            <w:rPr>
              <w:rFonts w:ascii="Cambria Math" w:hAnsi="Cambria Math" w:cstheme="minorHAnsi"/>
            </w:rPr>
            <m:t xml:space="preserve">ATSI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NESB</m:t>
              </m:r>
            </m:sub>
          </m:sSub>
          <m:r>
            <m:rPr>
              <m:sty m:val="p"/>
            </m:rPr>
            <w:rPr>
              <w:rFonts w:ascii="Cambria Math" w:hAnsi="Cambria Math" w:cstheme="minorHAnsi"/>
            </w:rPr>
            <m:t xml:space="preserve">NESB +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ATAR</m:t>
                  </m:r>
                </m:e>
                <m:sub>
                  <m:r>
                    <w:rPr>
                      <w:rFonts w:ascii="Cambria Math" w:hAnsi="Cambria Math" w:cstheme="minorHAnsi"/>
                    </w:rPr>
                    <m:t>30-69</m:t>
                  </m:r>
                </m:sub>
              </m:sSub>
            </m:sub>
          </m:sSub>
          <m:sSub>
            <m:sSubPr>
              <m:ctrlPr>
                <w:rPr>
                  <w:rFonts w:ascii="Cambria Math" w:hAnsi="Cambria Math" w:cstheme="minorHAnsi"/>
                </w:rPr>
              </m:ctrlPr>
            </m:sSubPr>
            <m:e>
              <m:r>
                <w:rPr>
                  <w:rFonts w:ascii="Cambria Math" w:hAnsi="Cambria Math" w:cstheme="minorHAnsi"/>
                </w:rPr>
                <m:t>ATAR</m:t>
              </m:r>
            </m:e>
            <m:sub>
              <m:r>
                <w:rPr>
                  <w:rFonts w:ascii="Cambria Math" w:hAnsi="Cambria Math" w:cstheme="minorHAnsi"/>
                </w:rPr>
                <m:t>30-60</m:t>
              </m:r>
            </m:sub>
          </m:sSub>
          <m:r>
            <m:rPr>
              <m:sty m:val="p"/>
            </m:rPr>
            <w:rPr>
              <w:rFonts w:ascii="Cambria Math" w:hAnsi="Cambria Math" w:cstheme="minorHAnsi"/>
            </w:rPr>
            <m:t xml:space="preserve">+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ATAR</m:t>
                  </m:r>
                </m:e>
                <m:sub>
                  <m:r>
                    <w:rPr>
                      <w:rFonts w:ascii="Cambria Math" w:hAnsi="Cambria Math" w:cstheme="minorHAnsi"/>
                    </w:rPr>
                    <m:t>61-70</m:t>
                  </m:r>
                </m:sub>
              </m:sSub>
            </m:sub>
          </m:sSub>
          <m:sSub>
            <m:sSubPr>
              <m:ctrlPr>
                <w:rPr>
                  <w:rFonts w:ascii="Cambria Math" w:hAnsi="Cambria Math" w:cstheme="minorHAnsi"/>
                </w:rPr>
              </m:ctrlPr>
            </m:sSubPr>
            <m:e>
              <m:r>
                <w:rPr>
                  <w:rFonts w:ascii="Cambria Math" w:hAnsi="Cambria Math" w:cstheme="minorHAnsi"/>
                </w:rPr>
                <m:t>ATAR</m:t>
              </m:r>
            </m:e>
            <m:sub>
              <m:r>
                <w:rPr>
                  <w:rFonts w:ascii="Cambria Math" w:hAnsi="Cambria Math" w:cstheme="minorHAnsi"/>
                </w:rPr>
                <m:t>61-70</m:t>
              </m:r>
            </m:sub>
          </m:sSub>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ATAR</m:t>
                  </m:r>
                </m:e>
                <m:sub>
                  <m:r>
                    <w:rPr>
                      <w:rFonts w:ascii="Cambria Math" w:hAnsi="Cambria Math" w:cstheme="minorHAnsi"/>
                    </w:rPr>
                    <m:t>71-80</m:t>
                  </m:r>
                </m:sub>
              </m:sSub>
            </m:sub>
          </m:sSub>
          <m:sSub>
            <m:sSubPr>
              <m:ctrlPr>
                <w:rPr>
                  <w:rFonts w:ascii="Cambria Math" w:hAnsi="Cambria Math" w:cstheme="minorHAnsi"/>
                </w:rPr>
              </m:ctrlPr>
            </m:sSubPr>
            <m:e>
              <m:r>
                <w:rPr>
                  <w:rFonts w:ascii="Cambria Math" w:hAnsi="Cambria Math" w:cstheme="minorHAnsi"/>
                </w:rPr>
                <m:t>ATAR</m:t>
              </m:r>
            </m:e>
            <m:sub>
              <m:r>
                <m:rPr>
                  <m:sty m:val="p"/>
                </m:rPr>
                <w:rPr>
                  <w:rFonts w:ascii="Cambria Math" w:hAnsi="Cambria Math" w:cstheme="minorHAnsi"/>
                </w:rPr>
                <m:t>71-80</m:t>
              </m:r>
            </m:sub>
          </m:sSub>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ATAR</m:t>
                  </m:r>
                </m:e>
                <m:sub>
                  <m:r>
                    <w:rPr>
                      <w:rFonts w:ascii="Cambria Math" w:hAnsi="Cambria Math" w:cstheme="minorHAnsi"/>
                    </w:rPr>
                    <m:t>81-90</m:t>
                  </m:r>
                </m:sub>
              </m:sSub>
            </m:sub>
          </m:sSub>
          <m:sSub>
            <m:sSubPr>
              <m:ctrlPr>
                <w:rPr>
                  <w:rFonts w:ascii="Cambria Math" w:hAnsi="Cambria Math" w:cstheme="minorHAnsi"/>
                </w:rPr>
              </m:ctrlPr>
            </m:sSubPr>
            <m:e>
              <m:r>
                <w:rPr>
                  <w:rFonts w:ascii="Cambria Math" w:hAnsi="Cambria Math" w:cstheme="minorHAnsi"/>
                </w:rPr>
                <m:t>ATAR</m:t>
              </m:r>
            </m:e>
            <m:sub>
              <m:r>
                <w:rPr>
                  <w:rFonts w:ascii="Cambria Math" w:hAnsi="Cambria Math" w:cstheme="minorHAnsi"/>
                </w:rPr>
                <m:t>81-90</m:t>
              </m:r>
            </m:sub>
          </m:sSub>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ATAR</m:t>
                  </m:r>
                </m:e>
                <m:sub>
                  <m:r>
                    <w:rPr>
                      <w:rFonts w:ascii="Cambria Math" w:hAnsi="Cambria Math" w:cstheme="minorHAnsi"/>
                    </w:rPr>
                    <m:t>91-100</m:t>
                  </m:r>
                </m:sub>
              </m:sSub>
            </m:sub>
          </m:sSub>
          <m:sSub>
            <m:sSubPr>
              <m:ctrlPr>
                <w:rPr>
                  <w:rFonts w:ascii="Cambria Math" w:hAnsi="Cambria Math" w:cstheme="minorHAnsi"/>
                </w:rPr>
              </m:ctrlPr>
            </m:sSubPr>
            <m:e>
              <m:r>
                <w:rPr>
                  <w:rFonts w:ascii="Cambria Math" w:hAnsi="Cambria Math" w:cstheme="minorHAnsi"/>
                </w:rPr>
                <m:t>ATAR</m:t>
              </m:r>
            </m:e>
            <m:sub>
              <m:r>
                <w:rPr>
                  <w:rFonts w:ascii="Cambria Math" w:hAnsi="Cambria Math" w:cstheme="minorHAnsi"/>
                </w:rPr>
                <m:t>91-100</m:t>
              </m:r>
            </m:sub>
          </m:sSub>
          <m:r>
            <m:rPr>
              <m:sty m:val="p"/>
            </m:rPr>
            <w:rPr>
              <w:rFonts w:ascii="Cambria Math" w:hAnsi="Cambria Math" w:cstheme="minorHAnsi"/>
            </w:rPr>
            <m:t xml:space="preserv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SecEdNoATAR</m:t>
              </m:r>
            </m:sub>
          </m:sSub>
          <m:r>
            <m:rPr>
              <m:sty m:val="p"/>
            </m:rPr>
            <w:rPr>
              <w:rFonts w:ascii="Cambria Math" w:hAnsi="Cambria Math" w:cstheme="minorHAnsi"/>
            </w:rPr>
            <m:t xml:space="preserve">SecEdNoATAR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VETaward</m:t>
              </m:r>
            </m:sub>
          </m:sSub>
          <m:r>
            <m:rPr>
              <m:sty m:val="p"/>
            </m:rPr>
            <w:rPr>
              <w:rFonts w:ascii="Cambria Math" w:hAnsi="Cambria Math" w:cstheme="minorHAnsi"/>
            </w:rPr>
            <m:t xml:space="preserve">VETaward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ProfQual</m:t>
              </m:r>
            </m:sub>
          </m:sSub>
          <m:r>
            <m:rPr>
              <m:sty m:val="p"/>
            </m:rPr>
            <w:rPr>
              <w:rFonts w:ascii="Cambria Math" w:hAnsi="Cambria Math" w:cstheme="minorHAnsi"/>
            </w:rPr>
            <m:t xml:space="preserve">ProfQual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MatureAge</m:t>
              </m:r>
            </m:sub>
          </m:sSub>
          <m:r>
            <m:rPr>
              <m:sty m:val="p"/>
            </m:rPr>
            <w:rPr>
              <w:rFonts w:ascii="Cambria Math" w:hAnsi="Cambria Math" w:cstheme="minorHAnsi"/>
            </w:rPr>
            <m:t xml:space="preserve">MatureAge + </m:t>
          </m:r>
          <m:sSub>
            <m:sSubPr>
              <m:ctrlPr>
                <w:rPr>
                  <w:rFonts w:ascii="Cambria Math" w:hAnsi="Cambria Math" w:cstheme="minorHAnsi"/>
                </w:rPr>
              </m:ctrlPr>
            </m:sSubPr>
            <m:e>
              <m:r>
                <m:rPr>
                  <m:sty m:val="p"/>
                </m:rPr>
                <w:rPr>
                  <w:rFonts w:ascii="Cambria Math" w:hAnsi="Cambria Math" w:cstheme="minorHAnsi"/>
                </w:rPr>
                <m:t>β</m:t>
              </m:r>
            </m:e>
            <m:sub>
              <m:r>
                <w:rPr>
                  <w:rFonts w:ascii="Cambria Math" w:hAnsi="Cambria Math" w:cstheme="minorHAnsi"/>
                </w:rPr>
                <m:t>OtherBasis</m:t>
              </m:r>
            </m:sub>
          </m:sSub>
          <m:r>
            <m:rPr>
              <m:sty m:val="p"/>
            </m:rPr>
            <w:rPr>
              <w:rFonts w:ascii="Cambria Math" w:hAnsi="Cambria Math" w:cstheme="minorHAnsi"/>
            </w:rPr>
            <m:t xml:space="preserve">OtherBasisAdm +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nFoE</m:t>
                  </m:r>
                </m:e>
                <m:sub>
                  <m:r>
                    <w:rPr>
                      <w:rFonts w:ascii="Cambria Math" w:hAnsi="Cambria Math" w:cstheme="minorHAnsi"/>
                    </w:rPr>
                    <m:t>j</m:t>
                  </m:r>
                </m:sub>
              </m:sSub>
            </m:sub>
          </m:sSub>
          <m:sSub>
            <m:sSubPr>
              <m:ctrlPr>
                <w:rPr>
                  <w:rFonts w:ascii="Cambria Math" w:hAnsi="Cambria Math" w:cstheme="minorHAnsi"/>
                  <w:vertAlign w:val="subscript"/>
                </w:rPr>
              </m:ctrlPr>
            </m:sSubPr>
            <m:e>
              <m:r>
                <m:rPr>
                  <m:sty m:val="p"/>
                </m:rPr>
                <w:rPr>
                  <w:rFonts w:ascii="Cambria Math" w:hAnsi="Cambria Math" w:cstheme="minorHAnsi"/>
                  <w:vertAlign w:val="subscript"/>
                </w:rPr>
                <m:t>nFoE</m:t>
              </m:r>
            </m:e>
            <m:sub>
              <m:r>
                <w:rPr>
                  <w:rFonts w:ascii="Cambria Math" w:hAnsi="Cambria Math" w:cstheme="minorHAnsi"/>
                  <w:vertAlign w:val="subscript"/>
                </w:rPr>
                <m:t>j</m:t>
              </m:r>
            </m:sub>
          </m:sSub>
          <m:r>
            <m:rPr>
              <m:sty m:val="p"/>
            </m:rPr>
            <w:rPr>
              <w:rFonts w:ascii="Cambria Math" w:hAnsi="Cambria Math" w:cstheme="minorHAnsi"/>
              <w:vertAlign w:val="subscript"/>
            </w:rPr>
            <m:t xml:space="preserve"> </m:t>
          </m:r>
          <m:r>
            <m:rPr>
              <m:sty m:val="p"/>
            </m:rPr>
            <w:rPr>
              <w:rFonts w:ascii="Cambria Math" w:hAnsi="Cambria Math" w:cstheme="minorHAnsi"/>
            </w:rPr>
            <m:t xml:space="preserve">+ </m:t>
          </m:r>
          <m:sSub>
            <m:sSubPr>
              <m:ctrlPr>
                <w:rPr>
                  <w:rFonts w:ascii="Cambria Math" w:hAnsi="Cambria Math" w:cstheme="minorHAnsi"/>
                </w:rPr>
              </m:ctrlPr>
            </m:sSubPr>
            <m:e>
              <m:r>
                <m:rPr>
                  <m:sty m:val="p"/>
                </m:rPr>
                <w:rPr>
                  <w:rFonts w:ascii="Cambria Math" w:hAnsi="Cambria Math" w:cstheme="minorHAnsi"/>
                </w:rPr>
                <m:t>β</m:t>
              </m:r>
            </m:e>
            <m:sub>
              <m:sSub>
                <m:sSubPr>
                  <m:ctrlPr>
                    <w:rPr>
                      <w:rFonts w:ascii="Cambria Math" w:hAnsi="Cambria Math" w:cstheme="minorHAnsi"/>
                      <w:i/>
                    </w:rPr>
                  </m:ctrlPr>
                </m:sSubPr>
                <m:e>
                  <m:r>
                    <w:rPr>
                      <w:rFonts w:ascii="Cambria Math" w:hAnsi="Cambria Math" w:cstheme="minorHAnsi"/>
                    </w:rPr>
                    <m:t>Inst</m:t>
                  </m:r>
                </m:e>
                <m:sub>
                  <m:r>
                    <w:rPr>
                      <w:rFonts w:ascii="Cambria Math" w:hAnsi="Cambria Math" w:cstheme="minorHAnsi"/>
                    </w:rPr>
                    <m:t>k</m:t>
                  </m:r>
                </m:sub>
              </m:sSub>
            </m:sub>
          </m:sSub>
          <m:sSub>
            <m:sSubPr>
              <m:ctrlPr>
                <w:rPr>
                  <w:rFonts w:ascii="Cambria Math" w:hAnsi="Cambria Math" w:cstheme="minorHAnsi"/>
                </w:rPr>
              </m:ctrlPr>
            </m:sSubPr>
            <m:e>
              <m:r>
                <m:rPr>
                  <m:sty m:val="p"/>
                </m:rPr>
                <w:rPr>
                  <w:rFonts w:ascii="Cambria Math" w:hAnsi="Cambria Math" w:cstheme="minorHAnsi"/>
                </w:rPr>
                <m:t>Institution</m:t>
              </m:r>
            </m:e>
            <m:sub>
              <m:r>
                <w:rPr>
                  <w:rFonts w:ascii="Cambria Math" w:hAnsi="Cambria Math" w:cstheme="minorHAnsi"/>
                </w:rPr>
                <m:t>k</m:t>
              </m:r>
            </m:sub>
          </m:sSub>
        </m:oMath>
      </m:oMathPara>
    </w:p>
    <w:p w14:paraId="2CFE3153" w14:textId="77777777" w:rsidR="001A7D00" w:rsidRDefault="001A7D00" w:rsidP="001A7D00">
      <w:pPr>
        <w:pStyle w:val="ListParagraph"/>
        <w:ind w:left="0"/>
        <w:rPr>
          <w:rFonts w:cstheme="minorHAnsi"/>
        </w:rPr>
      </w:pPr>
      <w:r>
        <w:rPr>
          <w:rFonts w:cstheme="minorHAnsi"/>
        </w:rPr>
        <w:t>Where</w:t>
      </w:r>
    </w:p>
    <w:p w14:paraId="2EB6FC9E" w14:textId="77777777" w:rsidR="001A7D00" w:rsidRDefault="001A7D00" w:rsidP="001A7D00">
      <w:pPr>
        <w:pStyle w:val="ListParagraph"/>
        <w:tabs>
          <w:tab w:val="left" w:pos="426"/>
        </w:tabs>
        <w:ind w:left="1418" w:hanging="1418"/>
        <w:rPr>
          <w:rFonts w:cstheme="minorHAnsi"/>
        </w:rPr>
      </w:pPr>
      <w:r>
        <w:rPr>
          <w:rFonts w:cstheme="minorHAnsi"/>
        </w:rPr>
        <w:tab/>
      </w:r>
      <w:proofErr w:type="spellStart"/>
      <w:r>
        <w:rPr>
          <w:rFonts w:cstheme="minorHAnsi"/>
        </w:rPr>
        <w:t>Attrition</w:t>
      </w:r>
      <w:r>
        <w:rPr>
          <w:rFonts w:cstheme="minorHAnsi"/>
          <w:vertAlign w:val="subscript"/>
        </w:rPr>
        <w:t>ijk</w:t>
      </w:r>
      <w:proofErr w:type="spellEnd"/>
      <w:r>
        <w:rPr>
          <w:rFonts w:cstheme="minorHAnsi"/>
        </w:rPr>
        <w:tab/>
        <w:t xml:space="preserve">= probability of attrition for student </w:t>
      </w:r>
      <w:proofErr w:type="spellStart"/>
      <w:r>
        <w:rPr>
          <w:rFonts w:cstheme="minorHAnsi"/>
          <w:i/>
        </w:rPr>
        <w:t>i</w:t>
      </w:r>
      <w:proofErr w:type="spellEnd"/>
      <w:r>
        <w:rPr>
          <w:rFonts w:cstheme="minorHAnsi"/>
        </w:rPr>
        <w:t xml:space="preserve"> in narrow field of education </w:t>
      </w:r>
      <w:r>
        <w:rPr>
          <w:rFonts w:cstheme="minorHAnsi"/>
          <w:i/>
        </w:rPr>
        <w:t>j</w:t>
      </w:r>
      <w:r>
        <w:rPr>
          <w:rFonts w:cstheme="minorHAnsi"/>
        </w:rPr>
        <w:t xml:space="preserve"> in institution </w:t>
      </w:r>
      <w:r>
        <w:rPr>
          <w:rFonts w:cstheme="minorHAnsi"/>
          <w:i/>
        </w:rPr>
        <w:t>k</w:t>
      </w:r>
    </w:p>
    <w:p w14:paraId="3D060D78" w14:textId="77777777" w:rsidR="001A7D00" w:rsidRPr="001A7D00" w:rsidRDefault="001A7D00" w:rsidP="001A7D00"/>
    <w:p w14:paraId="2C3F86CB" w14:textId="77777777" w:rsidR="001A7D00" w:rsidRDefault="001A7D00">
      <w:pPr>
        <w:rPr>
          <w:rFonts w:ascii="Calibri" w:eastAsia="Times New Roman" w:hAnsi="Calibri" w:cstheme="majorBidi"/>
          <w:b/>
          <w:bCs/>
          <w:color w:val="522761"/>
          <w:sz w:val="36"/>
          <w:szCs w:val="28"/>
        </w:rPr>
      </w:pPr>
      <w:r>
        <w:rPr>
          <w:rFonts w:eastAsia="Times New Roman"/>
        </w:rPr>
        <w:br w:type="page"/>
      </w:r>
    </w:p>
    <w:p w14:paraId="1C22D731" w14:textId="77777777" w:rsidR="000B7C82" w:rsidRPr="00736609" w:rsidRDefault="001A7D00" w:rsidP="00736609">
      <w:pPr>
        <w:pStyle w:val="Heading1"/>
        <w:rPr>
          <w:rFonts w:eastAsia="Times New Roman"/>
        </w:rPr>
      </w:pPr>
      <w:bookmarkStart w:id="25" w:name="_Toc516120037"/>
      <w:r>
        <w:rPr>
          <w:rFonts w:eastAsia="Times New Roman"/>
        </w:rPr>
        <w:t>Appendix B</w:t>
      </w:r>
      <w:r w:rsidR="00A76384">
        <w:rPr>
          <w:rFonts w:eastAsia="Times New Roman"/>
        </w:rPr>
        <w:t xml:space="preserve"> – Terms of r</w:t>
      </w:r>
      <w:r w:rsidR="000B7C82" w:rsidRPr="00736609">
        <w:rPr>
          <w:rFonts w:eastAsia="Times New Roman"/>
        </w:rPr>
        <w:t>eference</w:t>
      </w:r>
      <w:bookmarkEnd w:id="25"/>
    </w:p>
    <w:p w14:paraId="7FA6242D" w14:textId="77777777" w:rsidR="000B7C82" w:rsidRPr="00470363" w:rsidRDefault="000B7C82" w:rsidP="000B7C82">
      <w:pPr>
        <w:rPr>
          <w:rFonts w:ascii="Calibri" w:eastAsia="Times New Roman" w:hAnsi="Calibri" w:cs="Times New Roman"/>
        </w:rPr>
      </w:pPr>
      <w:r w:rsidRPr="00470363">
        <w:rPr>
          <w:rFonts w:ascii="Calibri" w:eastAsia="Times New Roman" w:hAnsi="Calibri" w:cs="Times New Roman"/>
        </w:rPr>
        <w:t>The Minister for Education and Training, Senator the Hon Simon Birmingham, wrote to the Panel chair on 24 November 2016, thanking the Panel for its work on admissions transparency and commissioning further work on completions and attrition.</w:t>
      </w:r>
    </w:p>
    <w:p w14:paraId="23C6C717" w14:textId="77777777" w:rsidR="000B7C82" w:rsidRPr="00470363" w:rsidRDefault="000B7C82" w:rsidP="000B7C82">
      <w:pPr>
        <w:rPr>
          <w:rFonts w:ascii="Calibri" w:eastAsia="Times New Roman" w:hAnsi="Calibri" w:cs="Times New Roman"/>
        </w:rPr>
      </w:pPr>
      <w:r w:rsidRPr="00470363">
        <w:rPr>
          <w:rFonts w:ascii="Calibri" w:eastAsia="Times New Roman" w:hAnsi="Calibri" w:cs="Times New Roman"/>
        </w:rPr>
        <w:t>The terms of reference posed by the Minister are to identify:</w:t>
      </w:r>
    </w:p>
    <w:p w14:paraId="1BD070D5" w14:textId="77777777" w:rsidR="000B7C82" w:rsidRPr="00470363" w:rsidRDefault="000B7C82" w:rsidP="00A53BB5">
      <w:pPr>
        <w:numPr>
          <w:ilvl w:val="0"/>
          <w:numId w:val="4"/>
        </w:numPr>
        <w:contextualSpacing/>
        <w:rPr>
          <w:rFonts w:ascii="Calibri" w:eastAsia="Times New Roman" w:hAnsi="Calibri" w:cs="Times New Roman"/>
        </w:rPr>
      </w:pPr>
      <w:r w:rsidRPr="00470363">
        <w:rPr>
          <w:rFonts w:ascii="Calibri" w:eastAsia="Times New Roman" w:hAnsi="Calibri" w:cs="Times New Roman"/>
        </w:rPr>
        <w:t>the trends and factors driving completions and attrition</w:t>
      </w:r>
    </w:p>
    <w:p w14:paraId="26856D0D" w14:textId="77777777" w:rsidR="000B7C82" w:rsidRPr="00470363" w:rsidRDefault="000B7C82" w:rsidP="00A53BB5">
      <w:pPr>
        <w:numPr>
          <w:ilvl w:val="0"/>
          <w:numId w:val="4"/>
        </w:numPr>
        <w:contextualSpacing/>
        <w:rPr>
          <w:rFonts w:ascii="Calibri" w:eastAsia="Times New Roman" w:hAnsi="Calibri" w:cs="Times New Roman"/>
        </w:rPr>
      </w:pPr>
      <w:r w:rsidRPr="00470363">
        <w:rPr>
          <w:rFonts w:ascii="Calibri" w:eastAsia="Times New Roman" w:hAnsi="Calibri" w:cs="Times New Roman"/>
        </w:rPr>
        <w:t>the adequacy of existing data on completions and attritions and improvements that can enhance transparency and institutional accountability</w:t>
      </w:r>
    </w:p>
    <w:p w14:paraId="67B5651C" w14:textId="77777777" w:rsidR="000B7C82" w:rsidRPr="00470363" w:rsidRDefault="000B7C82" w:rsidP="00A53BB5">
      <w:pPr>
        <w:numPr>
          <w:ilvl w:val="0"/>
          <w:numId w:val="4"/>
        </w:numPr>
        <w:contextualSpacing/>
        <w:rPr>
          <w:rFonts w:ascii="Calibri" w:eastAsia="Times New Roman" w:hAnsi="Calibri" w:cs="Times New Roman"/>
        </w:rPr>
      </w:pPr>
      <w:r w:rsidRPr="00470363">
        <w:rPr>
          <w:rFonts w:ascii="Calibri" w:eastAsia="Times New Roman" w:hAnsi="Calibri" w:cs="Times New Roman"/>
        </w:rPr>
        <w:t>strategies institutions can pursue to support student success and course completion in higher education</w:t>
      </w:r>
    </w:p>
    <w:p w14:paraId="34F4D7C3" w14:textId="77777777" w:rsidR="000B7C82" w:rsidRPr="00470363" w:rsidRDefault="000B7C82" w:rsidP="00A53BB5">
      <w:pPr>
        <w:numPr>
          <w:ilvl w:val="0"/>
          <w:numId w:val="4"/>
        </w:numPr>
        <w:contextualSpacing/>
        <w:rPr>
          <w:rFonts w:ascii="Calibri" w:eastAsia="Times New Roman" w:hAnsi="Calibri" w:cs="Times New Roman"/>
          <w:bCs/>
        </w:rPr>
      </w:pPr>
      <w:proofErr w:type="gramStart"/>
      <w:r w:rsidRPr="00470363">
        <w:rPr>
          <w:rFonts w:ascii="Calibri" w:eastAsia="Times New Roman" w:hAnsi="Calibri" w:cs="Times New Roman"/>
        </w:rPr>
        <w:t>ways</w:t>
      </w:r>
      <w:proofErr w:type="gramEnd"/>
      <w:r w:rsidRPr="00470363">
        <w:rPr>
          <w:rFonts w:ascii="Calibri" w:eastAsia="Times New Roman" w:hAnsi="Calibri" w:cs="Times New Roman"/>
        </w:rPr>
        <w:t xml:space="preserve"> in which the identification of students at risk of non-completion and the adoption of evidence-based support strategies to maximise their opportunity to succeed, can be systematically embedded in provider practice.</w:t>
      </w:r>
    </w:p>
    <w:p w14:paraId="30061F98" w14:textId="77777777" w:rsidR="001A7D00" w:rsidRDefault="001A7D00">
      <w:pPr>
        <w:rPr>
          <w:rFonts w:ascii="Calibri" w:eastAsia="Times New Roman" w:hAnsi="Calibri" w:cs="Times New Roman"/>
        </w:rPr>
      </w:pPr>
      <w:r>
        <w:rPr>
          <w:rFonts w:ascii="Calibri" w:eastAsia="Times New Roman" w:hAnsi="Calibri" w:cs="Times New Roman"/>
        </w:rPr>
        <w:br w:type="page"/>
      </w:r>
    </w:p>
    <w:p w14:paraId="75F6D631" w14:textId="77777777" w:rsidR="000B7C82" w:rsidRDefault="001A7D00" w:rsidP="00736609">
      <w:pPr>
        <w:pStyle w:val="Heading1"/>
        <w:rPr>
          <w:rFonts w:eastAsia="Times New Roman"/>
        </w:rPr>
      </w:pPr>
      <w:bookmarkStart w:id="26" w:name="_Toc516120038"/>
      <w:r>
        <w:rPr>
          <w:rFonts w:eastAsia="Times New Roman"/>
        </w:rPr>
        <w:t>Appendix C</w:t>
      </w:r>
      <w:r w:rsidR="000B7C82" w:rsidRPr="00470363">
        <w:rPr>
          <w:rFonts w:eastAsia="Times New Roman"/>
        </w:rPr>
        <w:t xml:space="preserve"> – Higher Educatio</w:t>
      </w:r>
      <w:r w:rsidR="00A76384">
        <w:rPr>
          <w:rFonts w:eastAsia="Times New Roman"/>
        </w:rPr>
        <w:t>n Standards Panel m</w:t>
      </w:r>
      <w:r w:rsidR="000B7C82" w:rsidRPr="00470363">
        <w:rPr>
          <w:rFonts w:eastAsia="Times New Roman"/>
        </w:rPr>
        <w:t>embership</w:t>
      </w:r>
      <w:bookmarkEnd w:id="26"/>
    </w:p>
    <w:p w14:paraId="19841D0D" w14:textId="77777777" w:rsidR="000B7C82" w:rsidRPr="00470363" w:rsidRDefault="000B7C82" w:rsidP="000B7C82">
      <w:pPr>
        <w:spacing w:after="240" w:line="240" w:lineRule="auto"/>
        <w:contextualSpacing/>
        <w:outlineLvl w:val="0"/>
        <w:rPr>
          <w:rFonts w:ascii="Calibri" w:eastAsia="Times New Roman" w:hAnsi="Calibri" w:cs="Times New Roman"/>
          <w:b/>
          <w:bCs/>
          <w:color w:val="522761"/>
          <w:sz w:val="36"/>
          <w:szCs w:val="28"/>
        </w:rPr>
      </w:pPr>
    </w:p>
    <w:p w14:paraId="7C5B29F3" w14:textId="77777777" w:rsidR="000B7C82" w:rsidRPr="00470363" w:rsidRDefault="000B7C82" w:rsidP="000B7C82">
      <w:pPr>
        <w:rPr>
          <w:rFonts w:ascii="Calibri" w:eastAsia="Times New Roman" w:hAnsi="Calibri" w:cs="Times New Roman"/>
        </w:rPr>
      </w:pPr>
      <w:r w:rsidRPr="00470363">
        <w:rPr>
          <w:rFonts w:ascii="Calibri" w:eastAsia="Times New Roman" w:hAnsi="Calibri" w:cs="Times New Roman"/>
        </w:rPr>
        <w:t xml:space="preserve">The Higher Education Standards Panel is a legislative advisory body under the </w:t>
      </w:r>
      <w:r w:rsidRPr="00470363">
        <w:rPr>
          <w:rFonts w:ascii="Calibri" w:eastAsia="Times New Roman" w:hAnsi="Calibri" w:cs="Times New Roman"/>
          <w:i/>
        </w:rPr>
        <w:t>Tertiary Education Quality and Standards Agency Act (2011)</w:t>
      </w:r>
      <w:r w:rsidRPr="00470363">
        <w:rPr>
          <w:rFonts w:ascii="Calibri" w:eastAsia="Times New Roman" w:hAnsi="Calibri" w:cs="Times New Roman"/>
        </w:rPr>
        <w:t xml:space="preserve"> with responsibility related to Australia’s Higher Education Standards. </w:t>
      </w:r>
    </w:p>
    <w:p w14:paraId="50655240" w14:textId="77777777" w:rsidR="000B7C82" w:rsidRPr="00470363" w:rsidRDefault="000B7C82" w:rsidP="000B7C82">
      <w:pPr>
        <w:rPr>
          <w:rFonts w:ascii="Calibri" w:eastAsia="Times New Roman" w:hAnsi="Calibri" w:cs="Times New Roman"/>
        </w:rPr>
      </w:pPr>
      <w:r w:rsidRPr="00470363">
        <w:rPr>
          <w:rFonts w:ascii="Calibri" w:eastAsia="Times New Roman" w:hAnsi="Calibri" w:cs="Times New Roman"/>
        </w:rPr>
        <w:t xml:space="preserve">The current Higher Education Standards Panel members are: </w:t>
      </w:r>
    </w:p>
    <w:p w14:paraId="5A114E92" w14:textId="77777777" w:rsidR="000B7C82" w:rsidRPr="00470363" w:rsidRDefault="000B7C82" w:rsidP="000B7C82">
      <w:pPr>
        <w:rPr>
          <w:rFonts w:ascii="Calibri" w:eastAsia="Times New Roman" w:hAnsi="Calibri" w:cs="Times New Roman"/>
          <w:bCs/>
        </w:rPr>
      </w:pPr>
    </w:p>
    <w:p w14:paraId="65001167" w14:textId="77777777" w:rsidR="000B7C82" w:rsidRPr="00470363" w:rsidRDefault="000B7C82" w:rsidP="000B7C82">
      <w:pPr>
        <w:rPr>
          <w:rFonts w:ascii="Calibri" w:eastAsia="Times New Roman" w:hAnsi="Calibri" w:cs="Times New Roman"/>
          <w:bCs/>
        </w:rPr>
      </w:pPr>
      <w:r w:rsidRPr="00470363">
        <w:rPr>
          <w:rFonts w:ascii="Calibri" w:eastAsia="Times New Roman" w:hAnsi="Calibri" w:cs="Times New Roman"/>
          <w:b/>
          <w:bCs/>
        </w:rPr>
        <w:t>Chair:</w:t>
      </w:r>
      <w:r w:rsidRPr="00470363">
        <w:rPr>
          <w:rFonts w:ascii="Calibri" w:eastAsia="Times New Roman" w:hAnsi="Calibri" w:cs="Times New Roman"/>
          <w:bCs/>
        </w:rPr>
        <w:t xml:space="preserve"> </w:t>
      </w:r>
    </w:p>
    <w:p w14:paraId="4EA87881" w14:textId="77777777" w:rsidR="000B7C82" w:rsidRPr="00470363" w:rsidRDefault="000B7C82" w:rsidP="000B7C82">
      <w:pPr>
        <w:rPr>
          <w:rFonts w:ascii="Calibri" w:eastAsia="Times New Roman" w:hAnsi="Calibri" w:cs="Times New Roman"/>
        </w:rPr>
      </w:pPr>
      <w:r w:rsidRPr="00470363">
        <w:rPr>
          <w:rFonts w:ascii="Calibri" w:eastAsia="Times New Roman" w:hAnsi="Calibri" w:cs="Times New Roman"/>
        </w:rPr>
        <w:t xml:space="preserve">Professor Peter Shergold AC </w:t>
      </w:r>
    </w:p>
    <w:p w14:paraId="3023CFC5" w14:textId="77777777" w:rsidR="000B7C82" w:rsidRPr="00470363" w:rsidRDefault="000B7C82" w:rsidP="000B7C82">
      <w:pPr>
        <w:rPr>
          <w:rFonts w:ascii="Calibri" w:eastAsia="Times New Roman" w:hAnsi="Calibri" w:cs="Times New Roman"/>
          <w:bCs/>
        </w:rPr>
      </w:pPr>
    </w:p>
    <w:p w14:paraId="68E68969" w14:textId="77777777" w:rsidR="000B7C82" w:rsidRPr="00470363" w:rsidRDefault="000B7C82" w:rsidP="000B7C82">
      <w:pPr>
        <w:rPr>
          <w:rFonts w:ascii="Calibri" w:eastAsia="Times New Roman" w:hAnsi="Calibri" w:cs="Times New Roman"/>
          <w:b/>
        </w:rPr>
      </w:pPr>
      <w:r w:rsidRPr="00470363">
        <w:rPr>
          <w:rFonts w:ascii="Calibri" w:eastAsia="Times New Roman" w:hAnsi="Calibri" w:cs="Times New Roman"/>
          <w:b/>
          <w:bCs/>
        </w:rPr>
        <w:t xml:space="preserve">Members: </w:t>
      </w:r>
    </w:p>
    <w:p w14:paraId="6F3280F8" w14:textId="77777777" w:rsidR="000B7C82" w:rsidRPr="00470363" w:rsidRDefault="000B7C82" w:rsidP="000B7C82">
      <w:pPr>
        <w:rPr>
          <w:rFonts w:ascii="Calibri" w:eastAsia="Times New Roman" w:hAnsi="Calibri" w:cs="Times New Roman"/>
        </w:rPr>
      </w:pPr>
      <w:r w:rsidRPr="00470363">
        <w:rPr>
          <w:rFonts w:ascii="Calibri" w:eastAsia="Times New Roman" w:hAnsi="Calibri" w:cs="Times New Roman"/>
        </w:rPr>
        <w:t>Professor Greg Craven AO</w:t>
      </w:r>
    </w:p>
    <w:p w14:paraId="7F8AA5A6" w14:textId="77777777" w:rsidR="000B7C82" w:rsidRPr="00470363" w:rsidRDefault="000B7C82" w:rsidP="000B7C82">
      <w:pPr>
        <w:rPr>
          <w:rFonts w:ascii="Calibri" w:eastAsia="Times New Roman" w:hAnsi="Calibri" w:cs="Times New Roman"/>
        </w:rPr>
      </w:pPr>
      <w:r w:rsidRPr="00470363">
        <w:rPr>
          <w:rFonts w:ascii="Calibri" w:eastAsia="Times New Roman" w:hAnsi="Calibri" w:cs="Times New Roman"/>
        </w:rPr>
        <w:t xml:space="preserve">Dr Krystal Evans </w:t>
      </w:r>
    </w:p>
    <w:p w14:paraId="0501BF61" w14:textId="77777777" w:rsidR="000B7C82" w:rsidRPr="00470363" w:rsidRDefault="000B7C82" w:rsidP="000B7C82">
      <w:pPr>
        <w:rPr>
          <w:rFonts w:ascii="Calibri" w:eastAsia="Times New Roman" w:hAnsi="Calibri" w:cs="Times New Roman"/>
        </w:rPr>
      </w:pPr>
      <w:r w:rsidRPr="00470363">
        <w:rPr>
          <w:rFonts w:ascii="Calibri" w:eastAsia="Times New Roman" w:hAnsi="Calibri" w:cs="Times New Roman"/>
        </w:rPr>
        <w:t xml:space="preserve">The Hon Phil </w:t>
      </w:r>
      <w:proofErr w:type="spellStart"/>
      <w:r w:rsidRPr="00470363">
        <w:rPr>
          <w:rFonts w:ascii="Calibri" w:eastAsia="Times New Roman" w:hAnsi="Calibri" w:cs="Times New Roman"/>
        </w:rPr>
        <w:t>Honeywood</w:t>
      </w:r>
      <w:proofErr w:type="spellEnd"/>
      <w:r w:rsidRPr="00470363">
        <w:rPr>
          <w:rFonts w:ascii="Calibri" w:eastAsia="Times New Roman" w:hAnsi="Calibri" w:cs="Times New Roman"/>
        </w:rPr>
        <w:t xml:space="preserve"> </w:t>
      </w:r>
    </w:p>
    <w:p w14:paraId="2F179946" w14:textId="77777777" w:rsidR="000B7C82" w:rsidRPr="00470363" w:rsidRDefault="000B7C82" w:rsidP="000B7C82">
      <w:pPr>
        <w:rPr>
          <w:rFonts w:ascii="Calibri" w:eastAsia="Times New Roman" w:hAnsi="Calibri" w:cs="Times New Roman"/>
        </w:rPr>
      </w:pPr>
      <w:r w:rsidRPr="00470363">
        <w:rPr>
          <w:rFonts w:ascii="Calibri" w:eastAsia="Times New Roman" w:hAnsi="Calibri" w:cs="Times New Roman"/>
        </w:rPr>
        <w:t xml:space="preserve">Emeritus Professor Alan Robson AO, </w:t>
      </w:r>
      <w:proofErr w:type="spellStart"/>
      <w:r w:rsidRPr="00470363">
        <w:rPr>
          <w:rFonts w:ascii="Calibri" w:eastAsia="Times New Roman" w:hAnsi="Calibri" w:cs="Times New Roman"/>
        </w:rPr>
        <w:t>CitWA</w:t>
      </w:r>
      <w:proofErr w:type="spellEnd"/>
      <w:r w:rsidRPr="00470363">
        <w:rPr>
          <w:rFonts w:ascii="Calibri" w:eastAsia="Times New Roman" w:hAnsi="Calibri" w:cs="Times New Roman"/>
        </w:rPr>
        <w:t xml:space="preserve"> </w:t>
      </w:r>
    </w:p>
    <w:p w14:paraId="375FCC46" w14:textId="77777777" w:rsidR="000B7C82" w:rsidRPr="00470363" w:rsidRDefault="000B7C82" w:rsidP="000B7C82">
      <w:pPr>
        <w:rPr>
          <w:rFonts w:ascii="Calibri" w:eastAsia="Times New Roman" w:hAnsi="Calibri" w:cs="Times New Roman"/>
        </w:rPr>
      </w:pPr>
      <w:r w:rsidRPr="00470363">
        <w:rPr>
          <w:rFonts w:ascii="Calibri" w:eastAsia="Times New Roman" w:hAnsi="Calibri" w:cs="Times New Roman"/>
        </w:rPr>
        <w:t xml:space="preserve">Ms Karen Thomas </w:t>
      </w:r>
    </w:p>
    <w:p w14:paraId="712C7BF5" w14:textId="77777777" w:rsidR="000B7C82" w:rsidRPr="00470363" w:rsidRDefault="000B7C82" w:rsidP="000B7C82">
      <w:pPr>
        <w:rPr>
          <w:rFonts w:ascii="Calibri" w:eastAsia="Times New Roman" w:hAnsi="Calibri" w:cs="Times New Roman"/>
        </w:rPr>
      </w:pPr>
    </w:p>
    <w:p w14:paraId="529C60BC" w14:textId="77777777" w:rsidR="000B7C82" w:rsidRPr="00470363" w:rsidRDefault="000B7C82" w:rsidP="000B7C82">
      <w:pPr>
        <w:rPr>
          <w:rFonts w:ascii="Calibri" w:eastAsia="Times New Roman" w:hAnsi="Calibri" w:cs="Times New Roman"/>
          <w:b/>
        </w:rPr>
      </w:pPr>
      <w:r w:rsidRPr="00470363">
        <w:rPr>
          <w:rFonts w:ascii="Calibri" w:eastAsia="Times New Roman" w:hAnsi="Calibri" w:cs="Times New Roman"/>
          <w:b/>
          <w:bCs/>
        </w:rPr>
        <w:t xml:space="preserve">Observers: </w:t>
      </w:r>
    </w:p>
    <w:p w14:paraId="5437FA84" w14:textId="77777777" w:rsidR="000B7C82" w:rsidRPr="00470363" w:rsidRDefault="000B7C82" w:rsidP="000B7C82">
      <w:pPr>
        <w:rPr>
          <w:rFonts w:ascii="Calibri" w:eastAsia="Times New Roman" w:hAnsi="Calibri" w:cs="Times New Roman"/>
        </w:rPr>
      </w:pPr>
      <w:r w:rsidRPr="00470363">
        <w:rPr>
          <w:rFonts w:ascii="Calibri" w:eastAsia="Times New Roman" w:hAnsi="Calibri" w:cs="Times New Roman"/>
        </w:rPr>
        <w:t xml:space="preserve">Professor Ian O’Connor </w:t>
      </w:r>
      <w:r w:rsidR="006E7E00">
        <w:rPr>
          <w:rFonts w:ascii="Calibri" w:eastAsia="Times New Roman" w:hAnsi="Calibri" w:cs="Times New Roman"/>
        </w:rPr>
        <w:t>AC</w:t>
      </w:r>
    </w:p>
    <w:p w14:paraId="02927B37" w14:textId="77777777" w:rsidR="000B7C82" w:rsidRPr="00470363" w:rsidRDefault="000B7C82" w:rsidP="000B7C82">
      <w:pPr>
        <w:rPr>
          <w:rFonts w:ascii="Calibri" w:eastAsia="Times New Roman" w:hAnsi="Calibri" w:cs="Times New Roman"/>
        </w:rPr>
      </w:pPr>
      <w:r w:rsidRPr="00470363">
        <w:rPr>
          <w:rFonts w:ascii="Calibri" w:eastAsia="Times New Roman" w:hAnsi="Calibri" w:cs="Times New Roman"/>
        </w:rPr>
        <w:t xml:space="preserve">Dr Don </w:t>
      </w:r>
      <w:proofErr w:type="spellStart"/>
      <w:r w:rsidRPr="00470363">
        <w:rPr>
          <w:rFonts w:ascii="Calibri" w:eastAsia="Times New Roman" w:hAnsi="Calibri" w:cs="Times New Roman"/>
        </w:rPr>
        <w:t>Owers</w:t>
      </w:r>
      <w:proofErr w:type="spellEnd"/>
      <w:r w:rsidRPr="00470363">
        <w:rPr>
          <w:rFonts w:ascii="Calibri" w:eastAsia="Times New Roman" w:hAnsi="Calibri" w:cs="Times New Roman"/>
        </w:rPr>
        <w:t xml:space="preserve"> AM </w:t>
      </w:r>
    </w:p>
    <w:p w14:paraId="488D979D" w14:textId="77777777" w:rsidR="000B7C82" w:rsidRDefault="000B7C82" w:rsidP="000B7C82">
      <w:pPr>
        <w:rPr>
          <w:rFonts w:asciiTheme="majorHAnsi" w:eastAsiaTheme="majorEastAsia" w:hAnsiTheme="majorHAnsi" w:cstheme="majorBidi"/>
          <w:b/>
          <w:bCs/>
          <w:color w:val="104165" w:themeColor="accent1" w:themeShade="BF"/>
          <w:sz w:val="28"/>
          <w:szCs w:val="28"/>
        </w:rPr>
      </w:pPr>
      <w:bookmarkStart w:id="27" w:name="_Toc488181519"/>
      <w:bookmarkEnd w:id="23"/>
      <w:r>
        <w:br w:type="page"/>
      </w:r>
    </w:p>
    <w:p w14:paraId="7AFE496F" w14:textId="77777777" w:rsidR="000B7C82" w:rsidRPr="00D30E4C" w:rsidRDefault="001A7D00" w:rsidP="000B7C82">
      <w:pPr>
        <w:pStyle w:val="Heading1"/>
      </w:pPr>
      <w:bookmarkStart w:id="28" w:name="_Toc488181520"/>
      <w:bookmarkStart w:id="29" w:name="_Toc516120039"/>
      <w:bookmarkEnd w:id="27"/>
      <w:r>
        <w:t>Appendix D</w:t>
      </w:r>
      <w:r w:rsidR="000B7C82" w:rsidRPr="00D30E4C">
        <w:t xml:space="preserve"> – Consultation process</w:t>
      </w:r>
      <w:bookmarkEnd w:id="28"/>
      <w:bookmarkEnd w:id="29"/>
      <w:r w:rsidR="000B7C82" w:rsidRPr="00D30E4C">
        <w:t xml:space="preserve"> </w:t>
      </w:r>
    </w:p>
    <w:p w14:paraId="085431A5" w14:textId="77777777" w:rsidR="00736609" w:rsidRPr="00736609" w:rsidRDefault="000C33F2" w:rsidP="00736609">
      <w:r>
        <w:t xml:space="preserve">In June </w:t>
      </w:r>
      <w:proofErr w:type="gramStart"/>
      <w:r>
        <w:t>2017</w:t>
      </w:r>
      <w:proofErr w:type="gramEnd"/>
      <w:r w:rsidR="00736609" w:rsidRPr="00736609">
        <w:t xml:space="preserve"> the Higher Education Standards Panel released a </w:t>
      </w:r>
      <w:r w:rsidR="005524AC">
        <w:t>discussion</w:t>
      </w:r>
      <w:r w:rsidR="00736609" w:rsidRPr="00736609">
        <w:t xml:space="preserve"> paper</w:t>
      </w:r>
      <w:r w:rsidR="00736609" w:rsidRPr="00736609">
        <w:rPr>
          <w:i/>
          <w:iCs/>
        </w:rPr>
        <w:t xml:space="preserve">, </w:t>
      </w:r>
      <w:r w:rsidR="00736609" w:rsidRPr="00736609">
        <w:t>ca</w:t>
      </w:r>
      <w:r w:rsidR="00736609">
        <w:t>lling for public submissions on improving retention, completion and success in higher education</w:t>
      </w:r>
      <w:r w:rsidR="00736609" w:rsidRPr="00736609">
        <w:t xml:space="preserve">. </w:t>
      </w:r>
      <w:r w:rsidR="00736609">
        <w:t>Forty-three</w:t>
      </w:r>
      <w:r w:rsidR="00736609" w:rsidRPr="00736609">
        <w:t xml:space="preserve"> written submissions </w:t>
      </w:r>
      <w:proofErr w:type="gramStart"/>
      <w:r w:rsidR="00736609" w:rsidRPr="00736609">
        <w:t>were received</w:t>
      </w:r>
      <w:proofErr w:type="gramEnd"/>
      <w:r w:rsidR="00736609" w:rsidRPr="00736609">
        <w:t xml:space="preserve"> and are listed below. </w:t>
      </w:r>
    </w:p>
    <w:p w14:paraId="21014668" w14:textId="77777777" w:rsidR="00736609" w:rsidRDefault="00736609" w:rsidP="00736609">
      <w:pPr>
        <w:rPr>
          <w:i/>
          <w:iCs/>
        </w:rPr>
      </w:pPr>
      <w:r w:rsidRPr="00736609">
        <w:rPr>
          <w:i/>
          <w:iCs/>
        </w:rPr>
        <w:t xml:space="preserve">Note: The submissions below can be found </w:t>
      </w:r>
      <w:proofErr w:type="gramStart"/>
      <w:r w:rsidRPr="00736609">
        <w:rPr>
          <w:i/>
          <w:iCs/>
        </w:rPr>
        <w:t>at:</w:t>
      </w:r>
      <w:proofErr w:type="gramEnd"/>
      <w:r w:rsidRPr="00736609">
        <w:rPr>
          <w:i/>
          <w:iCs/>
        </w:rPr>
        <w:t xml:space="preserve"> </w:t>
      </w:r>
      <w:hyperlink r:id="rId23" w:history="1">
        <w:r w:rsidR="00874FDC" w:rsidRPr="00DA06AE">
          <w:rPr>
            <w:rStyle w:val="Hyperlink"/>
            <w:i/>
            <w:iCs/>
          </w:rPr>
          <w:t>https://www.education.gov.au/higher-education-standards-panel-hesp-0</w:t>
        </w:r>
      </w:hyperlink>
    </w:p>
    <w:p w14:paraId="48F6D7DA" w14:textId="77777777" w:rsidR="00736609" w:rsidRDefault="00736609" w:rsidP="00A53BB5">
      <w:pPr>
        <w:pStyle w:val="ListParagraph"/>
        <w:numPr>
          <w:ilvl w:val="0"/>
          <w:numId w:val="8"/>
        </w:numPr>
      </w:pPr>
      <w:r>
        <w:t>La Trobe University</w:t>
      </w:r>
    </w:p>
    <w:p w14:paraId="40C39864" w14:textId="77777777" w:rsidR="00736609" w:rsidRDefault="00736609" w:rsidP="00A53BB5">
      <w:pPr>
        <w:pStyle w:val="ListParagraph"/>
        <w:numPr>
          <w:ilvl w:val="0"/>
          <w:numId w:val="8"/>
        </w:numPr>
      </w:pPr>
      <w:r>
        <w:t>Deakin University</w:t>
      </w:r>
    </w:p>
    <w:p w14:paraId="2ABA1822" w14:textId="77777777" w:rsidR="00736609" w:rsidRDefault="00736609" w:rsidP="00A53BB5">
      <w:pPr>
        <w:pStyle w:val="ListParagraph"/>
        <w:numPr>
          <w:ilvl w:val="0"/>
          <w:numId w:val="8"/>
        </w:numPr>
      </w:pPr>
      <w:r>
        <w:t>A</w:t>
      </w:r>
      <w:r w:rsidR="005524AC">
        <w:t>ustralian Council for Private Education and Training</w:t>
      </w:r>
    </w:p>
    <w:p w14:paraId="403CA818" w14:textId="77777777" w:rsidR="00736609" w:rsidRDefault="00736609" w:rsidP="00A53BB5">
      <w:pPr>
        <w:pStyle w:val="ListParagraph"/>
        <w:numPr>
          <w:ilvl w:val="0"/>
          <w:numId w:val="8"/>
        </w:numPr>
      </w:pPr>
      <w:r>
        <w:t>Australian Secondary Principals Association</w:t>
      </w:r>
    </w:p>
    <w:p w14:paraId="72096F17" w14:textId="77777777" w:rsidR="00736609" w:rsidRDefault="00736609" w:rsidP="00A53BB5">
      <w:pPr>
        <w:pStyle w:val="ListParagraph"/>
        <w:numPr>
          <w:ilvl w:val="0"/>
          <w:numId w:val="8"/>
        </w:numPr>
      </w:pPr>
      <w:r>
        <w:t>Victoria University</w:t>
      </w:r>
    </w:p>
    <w:p w14:paraId="6EF7C568" w14:textId="77777777" w:rsidR="00736609" w:rsidRDefault="00736609" w:rsidP="00A53BB5">
      <w:pPr>
        <w:pStyle w:val="ListParagraph"/>
        <w:numPr>
          <w:ilvl w:val="0"/>
          <w:numId w:val="8"/>
        </w:numPr>
      </w:pPr>
      <w:r>
        <w:t>University of South Australia</w:t>
      </w:r>
    </w:p>
    <w:p w14:paraId="325D10F5" w14:textId="77777777" w:rsidR="00736609" w:rsidRDefault="00736609" w:rsidP="00A53BB5">
      <w:pPr>
        <w:pStyle w:val="ListParagraph"/>
        <w:numPr>
          <w:ilvl w:val="0"/>
          <w:numId w:val="8"/>
        </w:numPr>
      </w:pPr>
      <w:r>
        <w:t>Curtin University</w:t>
      </w:r>
    </w:p>
    <w:p w14:paraId="37604951" w14:textId="77777777" w:rsidR="00736609" w:rsidRDefault="00736609" w:rsidP="00A53BB5">
      <w:pPr>
        <w:pStyle w:val="ListParagraph"/>
        <w:numPr>
          <w:ilvl w:val="0"/>
          <w:numId w:val="8"/>
        </w:numPr>
      </w:pPr>
      <w:r>
        <w:t>Fay Patel</w:t>
      </w:r>
    </w:p>
    <w:p w14:paraId="03E978C1" w14:textId="77777777" w:rsidR="00736609" w:rsidRDefault="00736609" w:rsidP="00A53BB5">
      <w:pPr>
        <w:pStyle w:val="ListParagraph"/>
        <w:numPr>
          <w:ilvl w:val="0"/>
          <w:numId w:val="8"/>
        </w:numPr>
      </w:pPr>
      <w:r>
        <w:t>University of Adelaide</w:t>
      </w:r>
    </w:p>
    <w:p w14:paraId="2ECA2CCD" w14:textId="77777777" w:rsidR="00736609" w:rsidRDefault="00736609" w:rsidP="00A53BB5">
      <w:pPr>
        <w:pStyle w:val="ListParagraph"/>
        <w:numPr>
          <w:ilvl w:val="0"/>
          <w:numId w:val="8"/>
        </w:numPr>
      </w:pPr>
      <w:r>
        <w:t>Swinburne University of Technology</w:t>
      </w:r>
    </w:p>
    <w:p w14:paraId="1D258027" w14:textId="77777777" w:rsidR="00736609" w:rsidRDefault="00736609" w:rsidP="00A53BB5">
      <w:pPr>
        <w:pStyle w:val="ListParagraph"/>
        <w:numPr>
          <w:ilvl w:val="0"/>
          <w:numId w:val="8"/>
        </w:numPr>
      </w:pPr>
      <w:r>
        <w:t>Western Sydney University</w:t>
      </w:r>
    </w:p>
    <w:p w14:paraId="42B21D2D" w14:textId="77777777" w:rsidR="00736609" w:rsidRDefault="00736609" w:rsidP="00A53BB5">
      <w:pPr>
        <w:pStyle w:val="ListParagraph"/>
        <w:numPr>
          <w:ilvl w:val="0"/>
          <w:numId w:val="8"/>
        </w:numPr>
      </w:pPr>
      <w:r>
        <w:t>National Centre for Student Equity in Higher Education</w:t>
      </w:r>
    </w:p>
    <w:p w14:paraId="46162C5A" w14:textId="77777777" w:rsidR="00736609" w:rsidRDefault="00736609" w:rsidP="00A53BB5">
      <w:pPr>
        <w:pStyle w:val="ListParagraph"/>
        <w:numPr>
          <w:ilvl w:val="0"/>
          <w:numId w:val="8"/>
        </w:numPr>
      </w:pPr>
      <w:r>
        <w:t>University of Sydney</w:t>
      </w:r>
    </w:p>
    <w:p w14:paraId="5BB04CD7" w14:textId="77777777" w:rsidR="00736609" w:rsidRDefault="00736609" w:rsidP="00A53BB5">
      <w:pPr>
        <w:pStyle w:val="ListParagraph"/>
        <w:numPr>
          <w:ilvl w:val="0"/>
          <w:numId w:val="8"/>
        </w:numPr>
      </w:pPr>
      <w:proofErr w:type="spellStart"/>
      <w:r>
        <w:t>YourTutor</w:t>
      </w:r>
      <w:proofErr w:type="spellEnd"/>
    </w:p>
    <w:p w14:paraId="1580AD46" w14:textId="77777777" w:rsidR="005524AC" w:rsidRPr="005524AC" w:rsidRDefault="005524AC" w:rsidP="00A53BB5">
      <w:pPr>
        <w:pStyle w:val="ListParagraph"/>
        <w:numPr>
          <w:ilvl w:val="0"/>
          <w:numId w:val="8"/>
        </w:numPr>
      </w:pPr>
      <w:r w:rsidRPr="005524AC">
        <w:rPr>
          <w:lang w:val="en"/>
        </w:rPr>
        <w:t xml:space="preserve">Tertiary Education Quality and Standards Agency </w:t>
      </w:r>
    </w:p>
    <w:p w14:paraId="04840FC1" w14:textId="77777777" w:rsidR="00736609" w:rsidRDefault="00736609" w:rsidP="00A53BB5">
      <w:pPr>
        <w:pStyle w:val="ListParagraph"/>
        <w:numPr>
          <w:ilvl w:val="0"/>
          <w:numId w:val="8"/>
        </w:numPr>
      </w:pPr>
      <w:r>
        <w:t>University of Notre Dame Australia</w:t>
      </w:r>
    </w:p>
    <w:p w14:paraId="595D10DD" w14:textId="77777777" w:rsidR="00736609" w:rsidRDefault="00736609" w:rsidP="00A53BB5">
      <w:pPr>
        <w:pStyle w:val="ListParagraph"/>
        <w:numPr>
          <w:ilvl w:val="0"/>
          <w:numId w:val="8"/>
        </w:numPr>
      </w:pPr>
      <w:r>
        <w:t>University of Canberra</w:t>
      </w:r>
    </w:p>
    <w:p w14:paraId="625CDF80" w14:textId="77777777" w:rsidR="00736609" w:rsidRDefault="00736609" w:rsidP="00A53BB5">
      <w:pPr>
        <w:pStyle w:val="ListParagraph"/>
        <w:numPr>
          <w:ilvl w:val="0"/>
          <w:numId w:val="8"/>
        </w:numPr>
      </w:pPr>
      <w:r>
        <w:t>Innovative Research Universities</w:t>
      </w:r>
    </w:p>
    <w:p w14:paraId="1FF71CF3" w14:textId="77777777" w:rsidR="00736609" w:rsidRPr="005524AC" w:rsidRDefault="00736609" w:rsidP="00A53BB5">
      <w:pPr>
        <w:pStyle w:val="ListParagraph"/>
        <w:numPr>
          <w:ilvl w:val="0"/>
          <w:numId w:val="8"/>
        </w:numPr>
      </w:pPr>
      <w:r w:rsidRPr="005524AC">
        <w:t>Federation University of Australia</w:t>
      </w:r>
    </w:p>
    <w:p w14:paraId="661E5BE2" w14:textId="77777777" w:rsidR="00736609" w:rsidRDefault="00736609" w:rsidP="00A53BB5">
      <w:pPr>
        <w:pStyle w:val="ListParagraph"/>
        <w:numPr>
          <w:ilvl w:val="0"/>
          <w:numId w:val="8"/>
        </w:numPr>
      </w:pPr>
      <w:r>
        <w:t>Griffith University</w:t>
      </w:r>
    </w:p>
    <w:p w14:paraId="35B7E37D" w14:textId="77777777" w:rsidR="00736609" w:rsidRDefault="00736609" w:rsidP="00A53BB5">
      <w:pPr>
        <w:pStyle w:val="ListParagraph"/>
        <w:numPr>
          <w:ilvl w:val="0"/>
          <w:numId w:val="8"/>
        </w:numPr>
      </w:pPr>
      <w:r>
        <w:t>University Admissions Centre</w:t>
      </w:r>
    </w:p>
    <w:p w14:paraId="6A9F0BF2" w14:textId="77777777" w:rsidR="00736609" w:rsidRDefault="00736609" w:rsidP="00A53BB5">
      <w:pPr>
        <w:pStyle w:val="ListParagraph"/>
        <w:numPr>
          <w:ilvl w:val="0"/>
          <w:numId w:val="8"/>
        </w:numPr>
      </w:pPr>
      <w:r>
        <w:t>Monash University Library</w:t>
      </w:r>
    </w:p>
    <w:p w14:paraId="729A4570" w14:textId="77777777" w:rsidR="00736609" w:rsidRDefault="00736609" w:rsidP="00A53BB5">
      <w:pPr>
        <w:pStyle w:val="ListParagraph"/>
        <w:numPr>
          <w:ilvl w:val="0"/>
          <w:numId w:val="8"/>
        </w:numPr>
      </w:pPr>
      <w:r>
        <w:t>University of New England</w:t>
      </w:r>
    </w:p>
    <w:p w14:paraId="2366C390" w14:textId="77777777" w:rsidR="00736609" w:rsidRDefault="00736609" w:rsidP="00A53BB5">
      <w:pPr>
        <w:pStyle w:val="ListParagraph"/>
        <w:numPr>
          <w:ilvl w:val="0"/>
          <w:numId w:val="8"/>
        </w:numPr>
      </w:pPr>
      <w:r>
        <w:t>Grattan Institute</w:t>
      </w:r>
    </w:p>
    <w:p w14:paraId="3869381D" w14:textId="77777777" w:rsidR="00736609" w:rsidRDefault="00736609" w:rsidP="00A53BB5">
      <w:pPr>
        <w:pStyle w:val="ListParagraph"/>
        <w:numPr>
          <w:ilvl w:val="0"/>
          <w:numId w:val="8"/>
        </w:numPr>
      </w:pPr>
      <w:r>
        <w:t>Regional Universities Network</w:t>
      </w:r>
    </w:p>
    <w:p w14:paraId="379A9158" w14:textId="77777777" w:rsidR="00736609" w:rsidRDefault="00736609" w:rsidP="00A53BB5">
      <w:pPr>
        <w:pStyle w:val="ListParagraph"/>
        <w:numPr>
          <w:ilvl w:val="0"/>
          <w:numId w:val="8"/>
        </w:numPr>
      </w:pPr>
      <w:r>
        <w:t>National Union of Students</w:t>
      </w:r>
    </w:p>
    <w:p w14:paraId="3FC6AA85" w14:textId="77777777" w:rsidR="00736609" w:rsidRDefault="00736609" w:rsidP="00A53BB5">
      <w:pPr>
        <w:pStyle w:val="ListParagraph"/>
        <w:numPr>
          <w:ilvl w:val="0"/>
          <w:numId w:val="8"/>
        </w:numPr>
      </w:pPr>
      <w:r>
        <w:t>Council of University Librarians</w:t>
      </w:r>
    </w:p>
    <w:p w14:paraId="43888A15" w14:textId="77777777" w:rsidR="00736609" w:rsidRDefault="00736609" w:rsidP="00A53BB5">
      <w:pPr>
        <w:pStyle w:val="ListParagraph"/>
        <w:numPr>
          <w:ilvl w:val="0"/>
          <w:numId w:val="8"/>
        </w:numPr>
      </w:pPr>
      <w:r>
        <w:t>Council of Australian Postgraduate Associations</w:t>
      </w:r>
    </w:p>
    <w:p w14:paraId="68261255" w14:textId="77777777" w:rsidR="00736609" w:rsidRDefault="00736609" w:rsidP="00A53BB5">
      <w:pPr>
        <w:pStyle w:val="ListParagraph"/>
        <w:numPr>
          <w:ilvl w:val="0"/>
          <w:numId w:val="8"/>
        </w:numPr>
      </w:pPr>
      <w:r>
        <w:t>University of Newcastle</w:t>
      </w:r>
    </w:p>
    <w:p w14:paraId="179A2464" w14:textId="77777777" w:rsidR="00736609" w:rsidRDefault="00736609" w:rsidP="00A53BB5">
      <w:pPr>
        <w:pStyle w:val="ListParagraph"/>
        <w:numPr>
          <w:ilvl w:val="0"/>
          <w:numId w:val="8"/>
        </w:numPr>
      </w:pPr>
      <w:r>
        <w:t xml:space="preserve">University of Newcastle </w:t>
      </w:r>
      <w:proofErr w:type="spellStart"/>
      <w:r>
        <w:t>Wollotuka</w:t>
      </w:r>
      <w:proofErr w:type="spellEnd"/>
      <w:r>
        <w:t xml:space="preserve"> Institute</w:t>
      </w:r>
    </w:p>
    <w:p w14:paraId="0F72DE2F" w14:textId="77777777" w:rsidR="00736609" w:rsidRDefault="00736609" w:rsidP="00A53BB5">
      <w:pPr>
        <w:pStyle w:val="ListParagraph"/>
        <w:numPr>
          <w:ilvl w:val="0"/>
          <w:numId w:val="8"/>
        </w:numPr>
      </w:pPr>
      <w:r>
        <w:t>NSW Department of Education</w:t>
      </w:r>
    </w:p>
    <w:p w14:paraId="44C259FC" w14:textId="77777777" w:rsidR="00736609" w:rsidRPr="00BE380C" w:rsidRDefault="00BE380C" w:rsidP="00A53BB5">
      <w:pPr>
        <w:pStyle w:val="ListParagraph"/>
        <w:numPr>
          <w:ilvl w:val="0"/>
          <w:numId w:val="8"/>
        </w:numPr>
      </w:pPr>
      <w:r>
        <w:t>I</w:t>
      </w:r>
      <w:r w:rsidRPr="00BE380C">
        <w:t>n confidence</w:t>
      </w:r>
    </w:p>
    <w:p w14:paraId="6F02F920" w14:textId="77777777" w:rsidR="00736609" w:rsidRDefault="00736609" w:rsidP="00A53BB5">
      <w:pPr>
        <w:pStyle w:val="ListParagraph"/>
        <w:numPr>
          <w:ilvl w:val="0"/>
          <w:numId w:val="8"/>
        </w:numPr>
      </w:pPr>
      <w:r>
        <w:t>University of the Sunshine Coast</w:t>
      </w:r>
    </w:p>
    <w:p w14:paraId="601C45FF" w14:textId="77777777" w:rsidR="00736609" w:rsidRDefault="00736609" w:rsidP="00A53BB5">
      <w:pPr>
        <w:pStyle w:val="ListParagraph"/>
        <w:numPr>
          <w:ilvl w:val="0"/>
          <w:numId w:val="8"/>
        </w:numPr>
      </w:pPr>
      <w:r>
        <w:t>Edith Cowan University</w:t>
      </w:r>
    </w:p>
    <w:p w14:paraId="37B62DC4" w14:textId="77777777" w:rsidR="00736609" w:rsidRDefault="00736609" w:rsidP="00A53BB5">
      <w:pPr>
        <w:pStyle w:val="ListParagraph"/>
        <w:numPr>
          <w:ilvl w:val="0"/>
          <w:numId w:val="8"/>
        </w:numPr>
      </w:pPr>
      <w:r>
        <w:t>Equity Practitioners in Higher Education Australasia</w:t>
      </w:r>
    </w:p>
    <w:p w14:paraId="630681C8" w14:textId="77777777" w:rsidR="00736609" w:rsidRDefault="00736609" w:rsidP="00A53BB5">
      <w:pPr>
        <w:pStyle w:val="ListParagraph"/>
        <w:numPr>
          <w:ilvl w:val="0"/>
          <w:numId w:val="8"/>
        </w:numPr>
      </w:pPr>
      <w:r>
        <w:t>Queensland University of Technology</w:t>
      </w:r>
    </w:p>
    <w:p w14:paraId="0BADBDBC" w14:textId="77777777" w:rsidR="00736609" w:rsidRDefault="00736609" w:rsidP="00A53BB5">
      <w:pPr>
        <w:pStyle w:val="ListParagraph"/>
        <w:numPr>
          <w:ilvl w:val="0"/>
          <w:numId w:val="8"/>
        </w:numPr>
      </w:pPr>
      <w:r>
        <w:t>Australian Catholic University</w:t>
      </w:r>
    </w:p>
    <w:p w14:paraId="2354943D" w14:textId="77777777" w:rsidR="00736609" w:rsidRDefault="00736609" w:rsidP="00A53BB5">
      <w:pPr>
        <w:pStyle w:val="ListParagraph"/>
        <w:numPr>
          <w:ilvl w:val="0"/>
          <w:numId w:val="8"/>
        </w:numPr>
      </w:pPr>
      <w:r>
        <w:t xml:space="preserve">Council of Private Higher Education </w:t>
      </w:r>
    </w:p>
    <w:p w14:paraId="7EC7B1D0" w14:textId="77777777" w:rsidR="00736609" w:rsidRDefault="00736609" w:rsidP="00A53BB5">
      <w:pPr>
        <w:pStyle w:val="ListParagraph"/>
        <w:numPr>
          <w:ilvl w:val="0"/>
          <w:numId w:val="8"/>
        </w:numPr>
      </w:pPr>
      <w:r>
        <w:t xml:space="preserve">Charles Sturt University </w:t>
      </w:r>
    </w:p>
    <w:p w14:paraId="4DFD679B" w14:textId="77777777" w:rsidR="00736609" w:rsidRDefault="00736609" w:rsidP="00A53BB5">
      <w:pPr>
        <w:pStyle w:val="ListParagraph"/>
        <w:numPr>
          <w:ilvl w:val="0"/>
          <w:numId w:val="8"/>
        </w:numPr>
      </w:pPr>
      <w:r>
        <w:t>Charles Darwin University</w:t>
      </w:r>
    </w:p>
    <w:p w14:paraId="0D7C86A5" w14:textId="77777777" w:rsidR="00736609" w:rsidRDefault="00736609" w:rsidP="00A53BB5">
      <w:pPr>
        <w:pStyle w:val="ListParagraph"/>
        <w:numPr>
          <w:ilvl w:val="0"/>
          <w:numId w:val="8"/>
        </w:numPr>
      </w:pPr>
      <w:r>
        <w:t>Group of Eight</w:t>
      </w:r>
    </w:p>
    <w:p w14:paraId="7D46198A" w14:textId="77777777" w:rsidR="00736609" w:rsidRDefault="00736609" w:rsidP="00A53BB5">
      <w:pPr>
        <w:pStyle w:val="ListParagraph"/>
        <w:numPr>
          <w:ilvl w:val="0"/>
          <w:numId w:val="8"/>
        </w:numPr>
      </w:pPr>
      <w:r>
        <w:t>Australian Technology Network</w:t>
      </w:r>
    </w:p>
    <w:p w14:paraId="054ECCC8" w14:textId="77777777" w:rsidR="00736609" w:rsidRDefault="00736609" w:rsidP="00A53BB5">
      <w:pPr>
        <w:pStyle w:val="ListParagraph"/>
        <w:numPr>
          <w:ilvl w:val="0"/>
          <w:numId w:val="8"/>
        </w:numPr>
      </w:pPr>
      <w:r>
        <w:t>Universities Australia</w:t>
      </w:r>
    </w:p>
    <w:p w14:paraId="3B12BBB2" w14:textId="77777777" w:rsidR="00736609" w:rsidRPr="00736609" w:rsidRDefault="00736609" w:rsidP="00736609">
      <w:r w:rsidRPr="00736609">
        <w:t xml:space="preserve">As part of the consultation process, members of the Panel and staff from the Department of Education and Training, within the Panel’s secretariat, met with a range of key stakeholders, listed below. </w:t>
      </w:r>
    </w:p>
    <w:p w14:paraId="58B7677E" w14:textId="77777777" w:rsidR="00736609" w:rsidRDefault="00736609" w:rsidP="00A53BB5">
      <w:pPr>
        <w:pStyle w:val="ListParagraph"/>
        <w:numPr>
          <w:ilvl w:val="0"/>
          <w:numId w:val="9"/>
        </w:numPr>
        <w:spacing w:line="240" w:lineRule="auto"/>
        <w:rPr>
          <w:rFonts w:cstheme="minorHAnsi"/>
        </w:rPr>
      </w:pPr>
      <w:r>
        <w:rPr>
          <w:rFonts w:cstheme="minorHAnsi"/>
        </w:rPr>
        <w:t>Universities Australia</w:t>
      </w:r>
    </w:p>
    <w:p w14:paraId="0F0A1FB9" w14:textId="77777777" w:rsidR="005524AC" w:rsidRPr="00E6026B" w:rsidRDefault="005524AC" w:rsidP="00A53BB5">
      <w:pPr>
        <w:pStyle w:val="ListParagraph"/>
        <w:numPr>
          <w:ilvl w:val="0"/>
          <w:numId w:val="9"/>
        </w:numPr>
        <w:spacing w:line="240" w:lineRule="auto"/>
        <w:rPr>
          <w:rFonts w:cstheme="minorHAnsi"/>
        </w:rPr>
      </w:pPr>
      <w:r w:rsidRPr="00E6026B">
        <w:rPr>
          <w:rFonts w:cstheme="minorHAnsi"/>
        </w:rPr>
        <w:t xml:space="preserve">Australian Council for Private Education and Training </w:t>
      </w:r>
    </w:p>
    <w:p w14:paraId="126FB29C" w14:textId="77777777" w:rsidR="005524AC" w:rsidRPr="00E6026B" w:rsidRDefault="005524AC" w:rsidP="00A53BB5">
      <w:pPr>
        <w:pStyle w:val="ListParagraph"/>
        <w:numPr>
          <w:ilvl w:val="0"/>
          <w:numId w:val="9"/>
        </w:numPr>
        <w:spacing w:line="240" w:lineRule="auto"/>
        <w:rPr>
          <w:rFonts w:cstheme="minorHAnsi"/>
        </w:rPr>
      </w:pPr>
      <w:proofErr w:type="spellStart"/>
      <w:r w:rsidRPr="00E6026B">
        <w:rPr>
          <w:rFonts w:cstheme="minorHAnsi"/>
        </w:rPr>
        <w:t>Tafe</w:t>
      </w:r>
      <w:proofErr w:type="spellEnd"/>
      <w:r w:rsidRPr="00E6026B">
        <w:rPr>
          <w:rFonts w:cstheme="minorHAnsi"/>
        </w:rPr>
        <w:t xml:space="preserve"> Directors Australia</w:t>
      </w:r>
    </w:p>
    <w:p w14:paraId="6223B933" w14:textId="77777777" w:rsidR="005524AC" w:rsidRPr="00E6026B" w:rsidRDefault="005524AC" w:rsidP="00A53BB5">
      <w:pPr>
        <w:pStyle w:val="ListParagraph"/>
        <w:numPr>
          <w:ilvl w:val="0"/>
          <w:numId w:val="9"/>
        </w:numPr>
        <w:spacing w:line="240" w:lineRule="auto"/>
        <w:rPr>
          <w:rFonts w:cstheme="minorHAnsi"/>
        </w:rPr>
      </w:pPr>
      <w:r w:rsidRPr="00E6026B">
        <w:rPr>
          <w:rFonts w:cstheme="minorHAnsi"/>
        </w:rPr>
        <w:t>Council of Private Higher Education Providers</w:t>
      </w:r>
    </w:p>
    <w:p w14:paraId="0F84D204" w14:textId="77777777" w:rsidR="00736609" w:rsidRPr="00D04DB5" w:rsidRDefault="00736609" w:rsidP="00A53BB5">
      <w:pPr>
        <w:pStyle w:val="ListParagraph"/>
        <w:numPr>
          <w:ilvl w:val="0"/>
          <w:numId w:val="9"/>
        </w:numPr>
        <w:spacing w:line="240" w:lineRule="auto"/>
        <w:rPr>
          <w:rFonts w:cstheme="minorHAnsi"/>
        </w:rPr>
      </w:pPr>
      <w:r>
        <w:rPr>
          <w:rFonts w:cstheme="minorHAnsi"/>
        </w:rPr>
        <w:t xml:space="preserve">A selection of Deputy Vice Chancellors </w:t>
      </w:r>
      <w:r w:rsidR="005524AC">
        <w:rPr>
          <w:rFonts w:cstheme="minorHAnsi"/>
        </w:rPr>
        <w:t>(</w:t>
      </w:r>
      <w:r w:rsidR="006B3499">
        <w:rPr>
          <w:rFonts w:cstheme="minorHAnsi"/>
        </w:rPr>
        <w:t>Academic)</w:t>
      </w:r>
    </w:p>
    <w:p w14:paraId="757999EC" w14:textId="77777777" w:rsidR="00736609" w:rsidRPr="00283897" w:rsidRDefault="00736609" w:rsidP="00A53BB5">
      <w:pPr>
        <w:pStyle w:val="ListParagraph"/>
        <w:numPr>
          <w:ilvl w:val="0"/>
          <w:numId w:val="9"/>
        </w:numPr>
        <w:spacing w:line="240" w:lineRule="auto"/>
        <w:rPr>
          <w:rFonts w:cstheme="minorHAnsi"/>
        </w:rPr>
      </w:pPr>
      <w:r w:rsidRPr="00283897">
        <w:rPr>
          <w:rFonts w:cstheme="minorHAnsi"/>
        </w:rPr>
        <w:t>Career Industry Council of Australia</w:t>
      </w:r>
    </w:p>
    <w:p w14:paraId="5512F4F5" w14:textId="77777777" w:rsidR="00736609" w:rsidRDefault="00736609" w:rsidP="00A53BB5">
      <w:pPr>
        <w:pStyle w:val="ListParagraph"/>
        <w:numPr>
          <w:ilvl w:val="0"/>
          <w:numId w:val="9"/>
        </w:numPr>
        <w:spacing w:line="240" w:lineRule="auto"/>
        <w:rPr>
          <w:rFonts w:cstheme="minorHAnsi"/>
        </w:rPr>
      </w:pPr>
      <w:r w:rsidRPr="00736609">
        <w:rPr>
          <w:rFonts w:cstheme="minorHAnsi"/>
        </w:rPr>
        <w:t>Australian Centre for Career Education</w:t>
      </w:r>
    </w:p>
    <w:p w14:paraId="534C4F84" w14:textId="77777777" w:rsidR="00736609" w:rsidRDefault="00736609" w:rsidP="00A53BB5">
      <w:pPr>
        <w:pStyle w:val="ListParagraph"/>
        <w:numPr>
          <w:ilvl w:val="0"/>
          <w:numId w:val="9"/>
        </w:numPr>
        <w:spacing w:line="240" w:lineRule="auto"/>
        <w:rPr>
          <w:rFonts w:cstheme="minorHAnsi"/>
        </w:rPr>
      </w:pPr>
      <w:r w:rsidRPr="00736609">
        <w:rPr>
          <w:rFonts w:cstheme="minorHAnsi"/>
        </w:rPr>
        <w:t>National Union of Students</w:t>
      </w:r>
    </w:p>
    <w:p w14:paraId="3193661A" w14:textId="77777777" w:rsidR="00736609" w:rsidRDefault="00736609" w:rsidP="00A53BB5">
      <w:pPr>
        <w:pStyle w:val="ListParagraph"/>
        <w:numPr>
          <w:ilvl w:val="0"/>
          <w:numId w:val="9"/>
        </w:numPr>
        <w:spacing w:line="240" w:lineRule="auto"/>
        <w:rPr>
          <w:rFonts w:cstheme="minorHAnsi"/>
        </w:rPr>
      </w:pPr>
      <w:r w:rsidRPr="00736609">
        <w:rPr>
          <w:rFonts w:cstheme="minorHAnsi"/>
        </w:rPr>
        <w:t>Council of Postgraduate Associations</w:t>
      </w:r>
    </w:p>
    <w:p w14:paraId="7EC0C38A" w14:textId="77777777" w:rsidR="00736609" w:rsidRPr="00736609" w:rsidRDefault="00736609" w:rsidP="00A53BB5">
      <w:pPr>
        <w:pStyle w:val="ListParagraph"/>
        <w:numPr>
          <w:ilvl w:val="0"/>
          <w:numId w:val="9"/>
        </w:numPr>
        <w:spacing w:line="240" w:lineRule="auto"/>
        <w:rPr>
          <w:rFonts w:cstheme="minorHAnsi"/>
        </w:rPr>
      </w:pPr>
      <w:r w:rsidRPr="00736609">
        <w:rPr>
          <w:rFonts w:cstheme="minorHAnsi"/>
        </w:rPr>
        <w:t>National Centre for Student Equity in Higher Education</w:t>
      </w:r>
    </w:p>
    <w:p w14:paraId="441A8C01" w14:textId="77777777" w:rsidR="005524AC" w:rsidRDefault="00736609" w:rsidP="00A53BB5">
      <w:pPr>
        <w:pStyle w:val="ListParagraph"/>
        <w:numPr>
          <w:ilvl w:val="0"/>
          <w:numId w:val="9"/>
        </w:numPr>
        <w:spacing w:line="240" w:lineRule="auto"/>
        <w:rPr>
          <w:rFonts w:cstheme="minorHAnsi"/>
        </w:rPr>
      </w:pPr>
      <w:r w:rsidRPr="005524AC">
        <w:rPr>
          <w:rFonts w:cstheme="minorHAnsi"/>
        </w:rPr>
        <w:t xml:space="preserve">Professor Sally </w:t>
      </w:r>
      <w:proofErr w:type="spellStart"/>
      <w:r w:rsidRPr="005524AC">
        <w:rPr>
          <w:rFonts w:cstheme="minorHAnsi"/>
        </w:rPr>
        <w:t>Kift</w:t>
      </w:r>
      <w:proofErr w:type="spellEnd"/>
      <w:r w:rsidR="005524AC" w:rsidRPr="005524AC">
        <w:rPr>
          <w:rFonts w:cstheme="minorHAnsi"/>
        </w:rPr>
        <w:t>,</w:t>
      </w:r>
      <w:r w:rsidRPr="005524AC">
        <w:rPr>
          <w:rFonts w:cstheme="minorHAnsi"/>
        </w:rPr>
        <w:t xml:space="preserve"> James Cook </w:t>
      </w:r>
      <w:r w:rsidR="005524AC">
        <w:rPr>
          <w:rFonts w:cstheme="minorHAnsi"/>
        </w:rPr>
        <w:t>University</w:t>
      </w:r>
    </w:p>
    <w:p w14:paraId="4979DA67" w14:textId="77777777" w:rsidR="005524AC" w:rsidRDefault="00736609" w:rsidP="00A53BB5">
      <w:pPr>
        <w:pStyle w:val="ListParagraph"/>
        <w:numPr>
          <w:ilvl w:val="0"/>
          <w:numId w:val="9"/>
        </w:numPr>
        <w:spacing w:line="240" w:lineRule="auto"/>
        <w:rPr>
          <w:rFonts w:cstheme="minorHAnsi"/>
        </w:rPr>
      </w:pPr>
      <w:r w:rsidRPr="005524AC">
        <w:rPr>
          <w:rFonts w:cstheme="minorHAnsi"/>
        </w:rPr>
        <w:t xml:space="preserve">Dr Sarah O’Shea, University of Wollongong </w:t>
      </w:r>
    </w:p>
    <w:p w14:paraId="62BC8BAA" w14:textId="77777777" w:rsidR="005524AC" w:rsidRDefault="00736609" w:rsidP="00A53BB5">
      <w:pPr>
        <w:pStyle w:val="ListParagraph"/>
        <w:numPr>
          <w:ilvl w:val="0"/>
          <w:numId w:val="9"/>
        </w:numPr>
        <w:spacing w:line="240" w:lineRule="auto"/>
        <w:rPr>
          <w:rFonts w:cstheme="minorHAnsi"/>
        </w:rPr>
      </w:pPr>
      <w:r w:rsidRPr="005524AC">
        <w:rPr>
          <w:rFonts w:cstheme="minorHAnsi"/>
        </w:rPr>
        <w:t xml:space="preserve">Dr Cathy Stone, University of Newcastle </w:t>
      </w:r>
    </w:p>
    <w:p w14:paraId="7646E853" w14:textId="77777777" w:rsidR="00736609" w:rsidRDefault="00736609" w:rsidP="00A53BB5">
      <w:pPr>
        <w:pStyle w:val="ListParagraph"/>
        <w:numPr>
          <w:ilvl w:val="0"/>
          <w:numId w:val="9"/>
        </w:numPr>
        <w:spacing w:line="240" w:lineRule="auto"/>
        <w:rPr>
          <w:rFonts w:cstheme="minorHAnsi"/>
        </w:rPr>
      </w:pPr>
      <w:r w:rsidRPr="005524AC">
        <w:rPr>
          <w:rFonts w:cstheme="minorHAnsi"/>
        </w:rPr>
        <w:t xml:space="preserve">Dr Jessica </w:t>
      </w:r>
      <w:proofErr w:type="spellStart"/>
      <w:r w:rsidRPr="005524AC">
        <w:rPr>
          <w:rFonts w:cstheme="minorHAnsi"/>
        </w:rPr>
        <w:t>Vanderlelie</w:t>
      </w:r>
      <w:proofErr w:type="spellEnd"/>
      <w:r w:rsidRPr="005524AC">
        <w:rPr>
          <w:rFonts w:cstheme="minorHAnsi"/>
        </w:rPr>
        <w:t xml:space="preserve">, Griffith University </w:t>
      </w:r>
    </w:p>
    <w:p w14:paraId="194BA3C1" w14:textId="77777777" w:rsidR="005524AC" w:rsidRPr="00022F24" w:rsidRDefault="005524AC" w:rsidP="00A53BB5">
      <w:pPr>
        <w:pStyle w:val="ListParagraph"/>
        <w:numPr>
          <w:ilvl w:val="0"/>
          <w:numId w:val="9"/>
        </w:numPr>
        <w:spacing w:line="240" w:lineRule="auto"/>
        <w:rPr>
          <w:rFonts w:cstheme="minorHAnsi"/>
        </w:rPr>
      </w:pPr>
      <w:r w:rsidRPr="00022F24">
        <w:rPr>
          <w:rFonts w:cstheme="minorHAnsi"/>
        </w:rPr>
        <w:t>Dr Andrew Harvey, La Trobe University</w:t>
      </w:r>
    </w:p>
    <w:p w14:paraId="05D5D04D" w14:textId="77777777" w:rsidR="005524AC" w:rsidRPr="00022F24" w:rsidRDefault="005524AC" w:rsidP="00A53BB5">
      <w:pPr>
        <w:pStyle w:val="ListParagraph"/>
        <w:numPr>
          <w:ilvl w:val="0"/>
          <w:numId w:val="9"/>
        </w:numPr>
        <w:spacing w:line="240" w:lineRule="auto"/>
        <w:rPr>
          <w:rFonts w:cstheme="minorHAnsi"/>
        </w:rPr>
      </w:pPr>
      <w:r w:rsidRPr="00022F24">
        <w:rPr>
          <w:rFonts w:cstheme="minorHAnsi"/>
        </w:rPr>
        <w:t xml:space="preserve">Professor Marcia Devlin, Federation University Australia </w:t>
      </w:r>
    </w:p>
    <w:p w14:paraId="76A4BB63" w14:textId="77777777" w:rsidR="005524AC" w:rsidRPr="00022F24" w:rsidRDefault="005524AC" w:rsidP="00A53BB5">
      <w:pPr>
        <w:pStyle w:val="ListParagraph"/>
        <w:numPr>
          <w:ilvl w:val="0"/>
          <w:numId w:val="9"/>
        </w:numPr>
        <w:spacing w:line="240" w:lineRule="auto"/>
        <w:rPr>
          <w:rFonts w:cstheme="minorHAnsi"/>
        </w:rPr>
      </w:pPr>
      <w:r w:rsidRPr="00022F24">
        <w:rPr>
          <w:rFonts w:cstheme="minorHAnsi"/>
        </w:rPr>
        <w:t>Ms Andrea Parks, University o</w:t>
      </w:r>
      <w:bookmarkStart w:id="30" w:name="_GoBack"/>
      <w:bookmarkEnd w:id="30"/>
      <w:r w:rsidRPr="00022F24">
        <w:rPr>
          <w:rFonts w:cstheme="minorHAnsi"/>
        </w:rPr>
        <w:t xml:space="preserve">f South Australia </w:t>
      </w:r>
    </w:p>
    <w:sectPr w:rsidR="005524AC" w:rsidRPr="00022F24" w:rsidSect="008C2641">
      <w:headerReference w:type="even" r:id="rId24"/>
      <w:headerReference w:type="default" r:id="rId25"/>
      <w:footerReference w:type="default" r:id="rId26"/>
      <w:headerReference w:type="first" r:id="rId27"/>
      <w:type w:val="continuous"/>
      <w:pgSz w:w="11906" w:h="16838"/>
      <w:pgMar w:top="1985" w:right="1440" w:bottom="1440" w:left="1440"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F7AF3" w14:textId="77777777" w:rsidR="00424138" w:rsidRDefault="00424138" w:rsidP="00130923">
      <w:pPr>
        <w:spacing w:after="0" w:line="240" w:lineRule="auto"/>
      </w:pPr>
      <w:r>
        <w:separator/>
      </w:r>
    </w:p>
  </w:endnote>
  <w:endnote w:type="continuationSeparator" w:id="0">
    <w:p w14:paraId="00B72CD6" w14:textId="77777777" w:rsidR="00424138" w:rsidRDefault="00424138"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ansa Soft Pro">
    <w:altName w:val="Sansa Soft Pro"/>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33DB" w14:textId="77777777" w:rsidR="00424138" w:rsidRDefault="00424138"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9D46E" w14:textId="139DE333" w:rsidR="00424138" w:rsidRDefault="00A74556"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424138">
          <w:fldChar w:fldCharType="begin"/>
        </w:r>
        <w:r w:rsidR="00424138">
          <w:instrText xml:space="preserve"> PAGE   \* MERGEFORMAT </w:instrText>
        </w:r>
        <w:r w:rsidR="00424138">
          <w:fldChar w:fldCharType="separate"/>
        </w:r>
        <w:r>
          <w:rPr>
            <w:noProof/>
          </w:rPr>
          <w:t>53</w:t>
        </w:r>
        <w:r w:rsidR="0042413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A6552" w14:textId="77777777" w:rsidR="00424138" w:rsidRDefault="00424138" w:rsidP="00130923">
      <w:pPr>
        <w:spacing w:after="0" w:line="240" w:lineRule="auto"/>
      </w:pPr>
      <w:r>
        <w:separator/>
      </w:r>
    </w:p>
  </w:footnote>
  <w:footnote w:type="continuationSeparator" w:id="0">
    <w:p w14:paraId="6835D607" w14:textId="77777777" w:rsidR="00424138" w:rsidRDefault="00424138" w:rsidP="00130923">
      <w:pPr>
        <w:spacing w:after="0" w:line="240" w:lineRule="auto"/>
      </w:pPr>
      <w:r>
        <w:continuationSeparator/>
      </w:r>
    </w:p>
  </w:footnote>
  <w:footnote w:id="1">
    <w:p w14:paraId="0F5A66EB" w14:textId="77777777" w:rsidR="00424138" w:rsidRDefault="00424138" w:rsidP="00500CD1">
      <w:pPr>
        <w:pStyle w:val="FootnoteText"/>
      </w:pPr>
      <w:r>
        <w:rPr>
          <w:rStyle w:val="FootnoteReference"/>
        </w:rPr>
        <w:footnoteRef/>
      </w:r>
      <w:r>
        <w:t xml:space="preserve"> The Department of Education and Training definition is: “Attrition rate for year(x) is the proportion of students who commenced a bachelor course in year(x) who neither complete nor return to study in year(x + 1).”</w:t>
      </w:r>
    </w:p>
  </w:footnote>
  <w:footnote w:id="2">
    <w:p w14:paraId="1A2B06DC" w14:textId="77777777" w:rsidR="00424138" w:rsidRDefault="00424138">
      <w:pPr>
        <w:pStyle w:val="FootnoteText"/>
      </w:pPr>
      <w:r>
        <w:rPr>
          <w:rStyle w:val="FootnoteReference"/>
        </w:rPr>
        <w:footnoteRef/>
      </w:r>
      <w:r>
        <w:t xml:space="preserve"> Higher Education Standards Panel 2017, </w:t>
      </w:r>
      <w:r>
        <w:rPr>
          <w:i/>
          <w:iCs/>
        </w:rPr>
        <w:t>Improving retention, completion and success in higher education</w:t>
      </w:r>
      <w:r>
        <w:t xml:space="preserve"> discussion paper</w:t>
      </w:r>
    </w:p>
  </w:footnote>
  <w:footnote w:id="3">
    <w:p w14:paraId="7FB2F651" w14:textId="77777777" w:rsidR="00424138" w:rsidRDefault="00424138" w:rsidP="00EA3794">
      <w:pPr>
        <w:pStyle w:val="FootnoteText"/>
      </w:pPr>
      <w:r>
        <w:rPr>
          <w:rStyle w:val="FootnoteReference"/>
        </w:rPr>
        <w:footnoteRef/>
      </w:r>
      <w:r>
        <w:t xml:space="preserve"> Higher Education Standards Panel 2017, </w:t>
      </w:r>
      <w:r>
        <w:rPr>
          <w:i/>
          <w:iCs/>
        </w:rPr>
        <w:t>Improving retention, completion and success in higher education</w:t>
      </w:r>
      <w:r>
        <w:t xml:space="preserve"> discussion paper</w:t>
      </w:r>
    </w:p>
  </w:footnote>
  <w:footnote w:id="4">
    <w:p w14:paraId="0FA07DCF" w14:textId="77777777" w:rsidR="00424138" w:rsidRDefault="00424138">
      <w:pPr>
        <w:pStyle w:val="FootnoteText"/>
      </w:pPr>
      <w:r>
        <w:rPr>
          <w:rStyle w:val="FootnoteReference"/>
        </w:rPr>
        <w:footnoteRef/>
      </w:r>
      <w:r>
        <w:t xml:space="preserve"> </w:t>
      </w:r>
      <w:r w:rsidRPr="000F321B">
        <w:rPr>
          <w:lang w:val="en"/>
        </w:rPr>
        <w:t>Higher Education Participation and Partnerships Program (HEPPP)</w:t>
      </w:r>
      <w:r>
        <w:rPr>
          <w:lang w:val="en"/>
        </w:rPr>
        <w:t xml:space="preserve">, Department of Education and Training, </w:t>
      </w:r>
      <w:hyperlink r:id="rId1" w:history="1">
        <w:r w:rsidRPr="00712D8E">
          <w:rPr>
            <w:rStyle w:val="Hyperlink"/>
          </w:rPr>
          <w:t>https://www.education.gov.au/higher-education-participation-and-partnerships-programme-heppp</w:t>
        </w:r>
      </w:hyperlink>
      <w:r>
        <w:t>, viewed 24 July 2017</w:t>
      </w:r>
    </w:p>
    <w:p w14:paraId="1B0735C2" w14:textId="77777777" w:rsidR="00424138" w:rsidRDefault="00424138">
      <w:pPr>
        <w:pStyle w:val="FootnoteText"/>
      </w:pPr>
    </w:p>
  </w:footnote>
  <w:footnote w:id="5">
    <w:p w14:paraId="7EA618DB" w14:textId="77777777" w:rsidR="00424138" w:rsidRPr="004455E5" w:rsidRDefault="00424138" w:rsidP="009E5897">
      <w:pPr>
        <w:pStyle w:val="FootnoteText"/>
        <w:rPr>
          <w:rFonts w:ascii="Calibri" w:eastAsiaTheme="minorHAnsi" w:hAnsi="Calibri" w:cs="Calibri"/>
        </w:rPr>
      </w:pPr>
      <w:r>
        <w:rPr>
          <w:rStyle w:val="FootnoteReference"/>
        </w:rPr>
        <w:footnoteRef/>
      </w:r>
      <w:r>
        <w:t xml:space="preserve"> </w:t>
      </w:r>
      <w:r w:rsidRPr="00204FF7">
        <w:rPr>
          <w:i/>
        </w:rPr>
        <w:t>Improving the transparency of higher education admissions: Joint higher education sector and Australian Government implementation plan</w:t>
      </w:r>
      <w:r>
        <w:t xml:space="preserve">, June 2017 </w:t>
      </w:r>
      <w:hyperlink r:id="rId2" w:history="1">
        <w:r>
          <w:rPr>
            <w:rStyle w:val="Hyperlink"/>
            <w:rFonts w:eastAsiaTheme="minorHAnsi"/>
          </w:rPr>
          <w:t>https://docs.education.gov.au/system/files/doc/other/admissions_tranpsarency_implementation_plan_june_2017.pdf</w:t>
        </w:r>
      </w:hyperlink>
    </w:p>
  </w:footnote>
  <w:footnote w:id="6">
    <w:p w14:paraId="45149167" w14:textId="77777777" w:rsidR="00424138" w:rsidRPr="00204FF7" w:rsidRDefault="00424138" w:rsidP="009F4689">
      <w:pPr>
        <w:pStyle w:val="FootnoteText"/>
        <w:rPr>
          <w:iCs/>
        </w:rPr>
      </w:pPr>
      <w:r>
        <w:rPr>
          <w:rStyle w:val="FootnoteReference"/>
        </w:rPr>
        <w:footnoteRef/>
      </w:r>
      <w:r>
        <w:t xml:space="preserve"> Moore C and Greenland S 2017,</w:t>
      </w:r>
      <w:r w:rsidRPr="00FA4F27">
        <w:t xml:space="preserve"> </w:t>
      </w:r>
      <w:r w:rsidRPr="00204FF7">
        <w:rPr>
          <w:i/>
        </w:rPr>
        <w:t>Employment-driven online student attrition and the assessment policy divide: An Australian open-access higher education perspective</w:t>
      </w:r>
      <w:r>
        <w:t>,</w:t>
      </w:r>
      <w:r w:rsidRPr="00FA4F27">
        <w:t xml:space="preserve"> </w:t>
      </w:r>
      <w:r w:rsidRPr="00204FF7">
        <w:rPr>
          <w:iCs/>
        </w:rPr>
        <w:t>Journal of Open, Flexible and Distance Learning, 21</w:t>
      </w:r>
      <w:r w:rsidRPr="00204FF7">
        <w:t>(1), [52–62.].</w:t>
      </w:r>
    </w:p>
  </w:footnote>
  <w:footnote w:id="7">
    <w:p w14:paraId="411B0265" w14:textId="77777777" w:rsidR="00424138" w:rsidRDefault="00424138">
      <w:pPr>
        <w:pStyle w:val="FootnoteText"/>
      </w:pPr>
      <w:r>
        <w:rPr>
          <w:rStyle w:val="FootnoteReference"/>
        </w:rPr>
        <w:footnoteRef/>
      </w:r>
      <w:r>
        <w:t xml:space="preserve"> </w:t>
      </w:r>
      <w:proofErr w:type="spellStart"/>
      <w:r>
        <w:t>Orygen</w:t>
      </w:r>
      <w:proofErr w:type="spellEnd"/>
      <w:r>
        <w:t xml:space="preserve"> 2017, </w:t>
      </w:r>
      <w:r w:rsidRPr="00EA3F57">
        <w:rPr>
          <w:bCs/>
          <w:i/>
          <w:lang w:val="en"/>
        </w:rPr>
        <w:t>Under the Radar: The mental health of Australian university students</w:t>
      </w:r>
      <w:r w:rsidRPr="00EA3F57">
        <w:rPr>
          <w:i/>
          <w:lang w:val="en"/>
        </w:rPr>
        <w:t>,</w:t>
      </w:r>
      <w:r>
        <w:rPr>
          <w:lang w:val="en"/>
        </w:rPr>
        <w:t xml:space="preserve"> </w:t>
      </w:r>
      <w:r w:rsidRPr="00EA3F57">
        <w:t>https://www.orygen.org.au/Contact/Media-Releases/2017/flying-under-the-radar</w:t>
      </w:r>
    </w:p>
  </w:footnote>
  <w:footnote w:id="8">
    <w:p w14:paraId="4437BEB3" w14:textId="77777777" w:rsidR="00424138" w:rsidRPr="004043B8" w:rsidRDefault="00424138" w:rsidP="005E2799">
      <w:pPr>
        <w:pStyle w:val="FootnoteText"/>
      </w:pPr>
      <w:r>
        <w:rPr>
          <w:rStyle w:val="FootnoteReference"/>
        </w:rPr>
        <w:footnoteRef/>
      </w:r>
      <w:r>
        <w:t xml:space="preserve"> </w:t>
      </w:r>
      <w:proofErr w:type="spellStart"/>
      <w:r>
        <w:t>Veness</w:t>
      </w:r>
      <w:proofErr w:type="spellEnd"/>
      <w:r>
        <w:t xml:space="preserve"> B 2016, </w:t>
      </w:r>
      <w:proofErr w:type="gramStart"/>
      <w:r w:rsidRPr="004043B8">
        <w:rPr>
          <w:i/>
        </w:rPr>
        <w:t>The</w:t>
      </w:r>
      <w:proofErr w:type="gramEnd"/>
      <w:r w:rsidRPr="004043B8">
        <w:rPr>
          <w:i/>
        </w:rPr>
        <w:t xml:space="preserve"> wicked problem of university student mental health</w:t>
      </w:r>
      <w:r>
        <w:t xml:space="preserve">, </w:t>
      </w:r>
      <w:r w:rsidRPr="0000215E">
        <w:t>Report to the Winston Churchill Memorial Trust</w:t>
      </w:r>
      <w:r>
        <w:t xml:space="preserve">, </w:t>
      </w:r>
      <w:r w:rsidRPr="0000215E">
        <w:t>Sydney, Australia</w:t>
      </w:r>
      <w:r>
        <w:t>.</w:t>
      </w:r>
    </w:p>
    <w:p w14:paraId="299BA2FC" w14:textId="77777777" w:rsidR="00424138" w:rsidRDefault="00424138" w:rsidP="005E2799">
      <w:pPr>
        <w:pStyle w:val="FootnoteText"/>
      </w:pPr>
    </w:p>
  </w:footnote>
  <w:footnote w:id="9">
    <w:p w14:paraId="52C85BBD" w14:textId="77777777" w:rsidR="00424138" w:rsidRDefault="00424138" w:rsidP="00764739">
      <w:pPr>
        <w:pStyle w:val="FootnoteText"/>
      </w:pPr>
      <w:r>
        <w:rPr>
          <w:rStyle w:val="FootnoteReference"/>
        </w:rPr>
        <w:footnoteRef/>
      </w:r>
      <w:r>
        <w:t xml:space="preserve"> The </w:t>
      </w:r>
      <w:r w:rsidRPr="00C80AA0">
        <w:t>National Innovation Case Study Collection</w:t>
      </w:r>
      <w:r>
        <w:t xml:space="preserve"> can be accessed here: </w:t>
      </w:r>
      <w:hyperlink r:id="rId3" w:history="1">
        <w:r w:rsidRPr="00761F3D">
          <w:rPr>
            <w:rStyle w:val="Hyperlink"/>
          </w:rPr>
          <w:t>http://app.iru.edu.au/national-innovation-case-study-collection/</w:t>
        </w:r>
      </w:hyperlink>
    </w:p>
    <w:p w14:paraId="6B74325B" w14:textId="77777777" w:rsidR="00424138" w:rsidRDefault="00424138" w:rsidP="00764739">
      <w:pPr>
        <w:pStyle w:val="FootnoteText"/>
      </w:pPr>
    </w:p>
  </w:footnote>
  <w:footnote w:id="10">
    <w:p w14:paraId="63BCBEF3" w14:textId="77777777" w:rsidR="00424138" w:rsidRDefault="00424138" w:rsidP="001A7D00">
      <w:pPr>
        <w:pStyle w:val="FootnoteText"/>
      </w:pPr>
      <w:r>
        <w:rPr>
          <w:rStyle w:val="FootnoteReference"/>
        </w:rPr>
        <w:footnoteRef/>
      </w:r>
      <w:r>
        <w:t xml:space="preserve"> This approach follows that taken in </w:t>
      </w:r>
      <w:r w:rsidRPr="001B19D0">
        <w:rPr>
          <w:i/>
        </w:rPr>
        <w:t>Characteristics and Performance Indicators of Australian Higher Education Institutions, 2000</w:t>
      </w:r>
      <w:r>
        <w:t xml:space="preserve">. Where the dependent variable lies within the range of 0.1 to 0.9, as is the case with the attrition rate, then Ordinary Least Squares estimates will give broadly similar results to those generated by logit or </w:t>
      </w:r>
      <w:proofErr w:type="spellStart"/>
      <w:r>
        <w:t>probit</w:t>
      </w:r>
      <w:proofErr w:type="spellEnd"/>
      <w:r>
        <w:t xml:space="preserve"> estimation techniques.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171D" w14:textId="39E752AA" w:rsidR="00424138" w:rsidRDefault="00424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F553" w14:textId="7A5B0D09" w:rsidR="00424138" w:rsidRDefault="00424138" w:rsidP="00560CA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771E" w14:textId="597D6061" w:rsidR="00424138" w:rsidRDefault="00424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AC4A9" w14:textId="0B96553F" w:rsidR="00424138" w:rsidRDefault="004241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28093" w14:textId="2150FAA6" w:rsidR="00424138" w:rsidRPr="007429FA" w:rsidRDefault="00A74556" w:rsidP="007429FA">
    <w:pPr>
      <w:pStyle w:val="Header"/>
      <w:rPr>
        <w:b/>
      </w:rPr>
    </w:pPr>
    <w:sdt>
      <w:sdtPr>
        <w:rPr>
          <w:b/>
        </w:rPr>
        <w:alias w:val="Title"/>
        <w:tag w:val=""/>
        <w:id w:val="891922905"/>
        <w:dataBinding w:prefixMappings="xmlns:ns0='http://purl.org/dc/elements/1.1/' xmlns:ns1='http://schemas.openxmlformats.org/package/2006/metadata/core-properties' " w:xpath="/ns1:coreProperties[1]/ns0:title[1]" w:storeItemID="{6C3C8BC8-F283-45AE-878A-BAB7291924A1}"/>
        <w:text/>
      </w:sdtPr>
      <w:sdtEndPr/>
      <w:sdtContent>
        <w:r w:rsidR="00424138">
          <w:rPr>
            <w:b/>
          </w:rPr>
          <w:t>FINAL REPORT - Improving retention, completion and success in higher education</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38D3D" w14:textId="121004D7" w:rsidR="00424138" w:rsidRDefault="00424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973"/>
    <w:multiLevelType w:val="hybridMultilevel"/>
    <w:tmpl w:val="6BAAD45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7652CE"/>
    <w:multiLevelType w:val="hybridMultilevel"/>
    <w:tmpl w:val="D45EB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870E39"/>
    <w:multiLevelType w:val="hybridMultilevel"/>
    <w:tmpl w:val="39CA539C"/>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3103C2"/>
    <w:multiLevelType w:val="hybridMultilevel"/>
    <w:tmpl w:val="87E00B1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0A5A0B"/>
    <w:multiLevelType w:val="hybridMultilevel"/>
    <w:tmpl w:val="3F4EFC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F912B0D"/>
    <w:multiLevelType w:val="hybridMultilevel"/>
    <w:tmpl w:val="A7AC21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13F2FA2"/>
    <w:multiLevelType w:val="hybridMultilevel"/>
    <w:tmpl w:val="B3A659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CC6419"/>
    <w:multiLevelType w:val="hybridMultilevel"/>
    <w:tmpl w:val="2D8255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95D70B2"/>
    <w:multiLevelType w:val="hybridMultilevel"/>
    <w:tmpl w:val="5D90E0F6"/>
    <w:lvl w:ilvl="0" w:tplc="B7FA7246">
      <w:start w:val="6"/>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2F45C7"/>
    <w:multiLevelType w:val="hybridMultilevel"/>
    <w:tmpl w:val="0A46A4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96271C2"/>
    <w:multiLevelType w:val="hybridMultilevel"/>
    <w:tmpl w:val="F01CF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8046D"/>
    <w:multiLevelType w:val="hybridMultilevel"/>
    <w:tmpl w:val="084A3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7B5381"/>
    <w:multiLevelType w:val="hybridMultilevel"/>
    <w:tmpl w:val="F6C68C5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4185E16"/>
    <w:multiLevelType w:val="hybridMultilevel"/>
    <w:tmpl w:val="04E65C1A"/>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A1364B1"/>
    <w:multiLevelType w:val="hybridMultilevel"/>
    <w:tmpl w:val="2C18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9E6945"/>
    <w:multiLevelType w:val="hybridMultilevel"/>
    <w:tmpl w:val="BB1CB5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D054062"/>
    <w:multiLevelType w:val="hybridMultilevel"/>
    <w:tmpl w:val="84649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CF24CB"/>
    <w:multiLevelType w:val="hybridMultilevel"/>
    <w:tmpl w:val="2DD6B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BB5910"/>
    <w:multiLevelType w:val="multilevel"/>
    <w:tmpl w:val="FDD8E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4E08E9"/>
    <w:multiLevelType w:val="hybridMultilevel"/>
    <w:tmpl w:val="EA8E012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704510F"/>
    <w:multiLevelType w:val="hybridMultilevel"/>
    <w:tmpl w:val="02B64BF2"/>
    <w:lvl w:ilvl="0" w:tplc="BC0E146C">
      <w:start w:val="6"/>
      <w:numFmt w:val="decimal"/>
      <w:lvlText w:val="%1."/>
      <w:lvlJc w:val="left"/>
      <w:pPr>
        <w:ind w:left="644" w:hanging="36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24" w15:restartNumberingAfterBreak="0">
    <w:nsid w:val="73A42CCE"/>
    <w:multiLevelType w:val="hybridMultilevel"/>
    <w:tmpl w:val="34F88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E15BA8"/>
    <w:multiLevelType w:val="hybridMultilevel"/>
    <w:tmpl w:val="7A8CCF3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A253C5C"/>
    <w:multiLevelType w:val="hybridMultilevel"/>
    <w:tmpl w:val="A40CC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7B1B80"/>
    <w:multiLevelType w:val="hybridMultilevel"/>
    <w:tmpl w:val="86B653AC"/>
    <w:lvl w:ilvl="0" w:tplc="F9946EBE">
      <w:start w:val="1"/>
      <w:numFmt w:val="bullet"/>
      <w:pStyle w:val="bulletnormal"/>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B02EDA"/>
    <w:multiLevelType w:val="hybridMultilevel"/>
    <w:tmpl w:val="C7C2FA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F472872"/>
    <w:multiLevelType w:val="hybridMultilevel"/>
    <w:tmpl w:val="EB8052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7"/>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11"/>
  </w:num>
  <w:num w:numId="7">
    <w:abstractNumId w:val="17"/>
  </w:num>
  <w:num w:numId="8">
    <w:abstractNumId w:val="6"/>
  </w:num>
  <w:num w:numId="9">
    <w:abstractNumId w:val="20"/>
  </w:num>
  <w:num w:numId="10">
    <w:abstractNumId w:val="9"/>
  </w:num>
  <w:num w:numId="11">
    <w:abstractNumId w:val="24"/>
  </w:num>
  <w:num w:numId="12">
    <w:abstractNumId w:val="8"/>
  </w:num>
  <w:num w:numId="13">
    <w:abstractNumId w:val="12"/>
  </w:num>
  <w:num w:numId="14">
    <w:abstractNumId w:val="0"/>
  </w:num>
  <w:num w:numId="15">
    <w:abstractNumId w:val="29"/>
  </w:num>
  <w:num w:numId="16">
    <w:abstractNumId w:val="28"/>
  </w:num>
  <w:num w:numId="17">
    <w:abstractNumId w:val="18"/>
  </w:num>
  <w:num w:numId="18">
    <w:abstractNumId w:val="1"/>
  </w:num>
  <w:num w:numId="19">
    <w:abstractNumId w:val="25"/>
  </w:num>
  <w:num w:numId="20">
    <w:abstractNumId w:val="26"/>
  </w:num>
  <w:num w:numId="21">
    <w:abstractNumId w:val="22"/>
  </w:num>
  <w:num w:numId="22">
    <w:abstractNumId w:val="3"/>
  </w:num>
  <w:num w:numId="23">
    <w:abstractNumId w:val="23"/>
  </w:num>
  <w:num w:numId="24">
    <w:abstractNumId w:val="16"/>
  </w:num>
  <w:num w:numId="25">
    <w:abstractNumId w:val="4"/>
  </w:num>
  <w:num w:numId="26">
    <w:abstractNumId w:val="19"/>
  </w:num>
  <w:num w:numId="27">
    <w:abstractNumId w:val="10"/>
  </w:num>
  <w:num w:numId="28">
    <w:abstractNumId w:val="14"/>
  </w:num>
  <w:num w:numId="29">
    <w:abstractNumId w:val="21"/>
  </w:num>
  <w:num w:numId="3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D4073"/>
    <w:rsid w:val="0000009E"/>
    <w:rsid w:val="0000215E"/>
    <w:rsid w:val="00002178"/>
    <w:rsid w:val="00002721"/>
    <w:rsid w:val="00003C45"/>
    <w:rsid w:val="0000579D"/>
    <w:rsid w:val="000064C5"/>
    <w:rsid w:val="00007E0C"/>
    <w:rsid w:val="000100CC"/>
    <w:rsid w:val="00022B5C"/>
    <w:rsid w:val="0002361B"/>
    <w:rsid w:val="00024E24"/>
    <w:rsid w:val="000312F6"/>
    <w:rsid w:val="000333E9"/>
    <w:rsid w:val="00034BF0"/>
    <w:rsid w:val="00034EAA"/>
    <w:rsid w:val="00044389"/>
    <w:rsid w:val="0004733D"/>
    <w:rsid w:val="00064714"/>
    <w:rsid w:val="00072E0F"/>
    <w:rsid w:val="000772EF"/>
    <w:rsid w:val="000801FC"/>
    <w:rsid w:val="00081378"/>
    <w:rsid w:val="000816F5"/>
    <w:rsid w:val="000861A6"/>
    <w:rsid w:val="00093BB4"/>
    <w:rsid w:val="000A4395"/>
    <w:rsid w:val="000A4549"/>
    <w:rsid w:val="000A5884"/>
    <w:rsid w:val="000A5C58"/>
    <w:rsid w:val="000A65AC"/>
    <w:rsid w:val="000A7B06"/>
    <w:rsid w:val="000B150D"/>
    <w:rsid w:val="000B7C82"/>
    <w:rsid w:val="000C33F2"/>
    <w:rsid w:val="000C722F"/>
    <w:rsid w:val="000D0233"/>
    <w:rsid w:val="000D0987"/>
    <w:rsid w:val="000D6757"/>
    <w:rsid w:val="000D7FD3"/>
    <w:rsid w:val="000E162C"/>
    <w:rsid w:val="000E7E7B"/>
    <w:rsid w:val="000F01F9"/>
    <w:rsid w:val="000F2557"/>
    <w:rsid w:val="000F321B"/>
    <w:rsid w:val="000F3BA2"/>
    <w:rsid w:val="000F3EFB"/>
    <w:rsid w:val="00101A3B"/>
    <w:rsid w:val="00106884"/>
    <w:rsid w:val="001175BF"/>
    <w:rsid w:val="00120073"/>
    <w:rsid w:val="00122A77"/>
    <w:rsid w:val="00122D69"/>
    <w:rsid w:val="00125466"/>
    <w:rsid w:val="001259CB"/>
    <w:rsid w:val="0012725B"/>
    <w:rsid w:val="00130923"/>
    <w:rsid w:val="00133C6A"/>
    <w:rsid w:val="001414F3"/>
    <w:rsid w:val="001425F9"/>
    <w:rsid w:val="00142BAD"/>
    <w:rsid w:val="00143FCD"/>
    <w:rsid w:val="00144D9B"/>
    <w:rsid w:val="001464E9"/>
    <w:rsid w:val="00147B48"/>
    <w:rsid w:val="00151333"/>
    <w:rsid w:val="00151D69"/>
    <w:rsid w:val="00152451"/>
    <w:rsid w:val="00152E99"/>
    <w:rsid w:val="00153BC2"/>
    <w:rsid w:val="00156756"/>
    <w:rsid w:val="00156C7E"/>
    <w:rsid w:val="00157439"/>
    <w:rsid w:val="00160409"/>
    <w:rsid w:val="0017083B"/>
    <w:rsid w:val="00173F74"/>
    <w:rsid w:val="001747D1"/>
    <w:rsid w:val="00175D04"/>
    <w:rsid w:val="0017684D"/>
    <w:rsid w:val="00177078"/>
    <w:rsid w:val="00177ACC"/>
    <w:rsid w:val="00182414"/>
    <w:rsid w:val="001835BA"/>
    <w:rsid w:val="00184A02"/>
    <w:rsid w:val="0018626E"/>
    <w:rsid w:val="001902A1"/>
    <w:rsid w:val="00197EC9"/>
    <w:rsid w:val="001A0AAA"/>
    <w:rsid w:val="001A4276"/>
    <w:rsid w:val="001A7D00"/>
    <w:rsid w:val="001B279A"/>
    <w:rsid w:val="001B30C5"/>
    <w:rsid w:val="001B4F53"/>
    <w:rsid w:val="001B5997"/>
    <w:rsid w:val="001B5EFE"/>
    <w:rsid w:val="001B6467"/>
    <w:rsid w:val="001B7C59"/>
    <w:rsid w:val="001C0D7B"/>
    <w:rsid w:val="001C1DC5"/>
    <w:rsid w:val="001C24A4"/>
    <w:rsid w:val="001C2672"/>
    <w:rsid w:val="001C3277"/>
    <w:rsid w:val="001C4CB9"/>
    <w:rsid w:val="001C73F7"/>
    <w:rsid w:val="001D1D10"/>
    <w:rsid w:val="001D20F0"/>
    <w:rsid w:val="001D2C8B"/>
    <w:rsid w:val="001D5299"/>
    <w:rsid w:val="001D657F"/>
    <w:rsid w:val="001E1F86"/>
    <w:rsid w:val="001E4B73"/>
    <w:rsid w:val="001E5E7F"/>
    <w:rsid w:val="001F154B"/>
    <w:rsid w:val="001F4AF0"/>
    <w:rsid w:val="002032B2"/>
    <w:rsid w:val="00204FF7"/>
    <w:rsid w:val="00206CB8"/>
    <w:rsid w:val="0022090B"/>
    <w:rsid w:val="00222021"/>
    <w:rsid w:val="00222DAA"/>
    <w:rsid w:val="00223EB1"/>
    <w:rsid w:val="00224305"/>
    <w:rsid w:val="0022599A"/>
    <w:rsid w:val="00231F23"/>
    <w:rsid w:val="00236917"/>
    <w:rsid w:val="00242E04"/>
    <w:rsid w:val="00243D6B"/>
    <w:rsid w:val="00255285"/>
    <w:rsid w:val="00256285"/>
    <w:rsid w:val="0025638E"/>
    <w:rsid w:val="00261AC1"/>
    <w:rsid w:val="00265439"/>
    <w:rsid w:val="00271D68"/>
    <w:rsid w:val="00272480"/>
    <w:rsid w:val="00274934"/>
    <w:rsid w:val="00274F73"/>
    <w:rsid w:val="00276CC2"/>
    <w:rsid w:val="002811E9"/>
    <w:rsid w:val="00283B57"/>
    <w:rsid w:val="00284A0C"/>
    <w:rsid w:val="002854B4"/>
    <w:rsid w:val="00291F02"/>
    <w:rsid w:val="0029236E"/>
    <w:rsid w:val="002947B0"/>
    <w:rsid w:val="002979DA"/>
    <w:rsid w:val="002A336B"/>
    <w:rsid w:val="002A5EE5"/>
    <w:rsid w:val="002A7AC1"/>
    <w:rsid w:val="002B034E"/>
    <w:rsid w:val="002B06E6"/>
    <w:rsid w:val="002B1044"/>
    <w:rsid w:val="002B1321"/>
    <w:rsid w:val="002B483C"/>
    <w:rsid w:val="002B5608"/>
    <w:rsid w:val="002B56CE"/>
    <w:rsid w:val="002B5C60"/>
    <w:rsid w:val="002C198E"/>
    <w:rsid w:val="002C1AEE"/>
    <w:rsid w:val="002C2243"/>
    <w:rsid w:val="002C29C2"/>
    <w:rsid w:val="002C3AA1"/>
    <w:rsid w:val="002C48C9"/>
    <w:rsid w:val="002D271F"/>
    <w:rsid w:val="002D6386"/>
    <w:rsid w:val="002D70C9"/>
    <w:rsid w:val="002E14B7"/>
    <w:rsid w:val="002E2465"/>
    <w:rsid w:val="002E3837"/>
    <w:rsid w:val="002F0B42"/>
    <w:rsid w:val="002F18BC"/>
    <w:rsid w:val="002F1999"/>
    <w:rsid w:val="002F1B29"/>
    <w:rsid w:val="002F382B"/>
    <w:rsid w:val="002F795A"/>
    <w:rsid w:val="0030205B"/>
    <w:rsid w:val="00305B35"/>
    <w:rsid w:val="00310AFA"/>
    <w:rsid w:val="003155A7"/>
    <w:rsid w:val="003158C8"/>
    <w:rsid w:val="003166C5"/>
    <w:rsid w:val="003242B9"/>
    <w:rsid w:val="0032457E"/>
    <w:rsid w:val="0032698F"/>
    <w:rsid w:val="00330C9B"/>
    <w:rsid w:val="00334530"/>
    <w:rsid w:val="00340F64"/>
    <w:rsid w:val="0034545A"/>
    <w:rsid w:val="00346486"/>
    <w:rsid w:val="003471B3"/>
    <w:rsid w:val="00347AA8"/>
    <w:rsid w:val="003600FB"/>
    <w:rsid w:val="00364EE1"/>
    <w:rsid w:val="00365034"/>
    <w:rsid w:val="00374DCC"/>
    <w:rsid w:val="0037522E"/>
    <w:rsid w:val="003810CB"/>
    <w:rsid w:val="003924A9"/>
    <w:rsid w:val="0039334F"/>
    <w:rsid w:val="00397016"/>
    <w:rsid w:val="003979FC"/>
    <w:rsid w:val="003A369C"/>
    <w:rsid w:val="003A3E2F"/>
    <w:rsid w:val="003A6889"/>
    <w:rsid w:val="003B1019"/>
    <w:rsid w:val="003B6A5D"/>
    <w:rsid w:val="003B6B87"/>
    <w:rsid w:val="003C1A50"/>
    <w:rsid w:val="003C5880"/>
    <w:rsid w:val="003C5BE1"/>
    <w:rsid w:val="003D4823"/>
    <w:rsid w:val="003D58DB"/>
    <w:rsid w:val="003D67FC"/>
    <w:rsid w:val="003D6FD9"/>
    <w:rsid w:val="003E2441"/>
    <w:rsid w:val="003E3129"/>
    <w:rsid w:val="003E3CAC"/>
    <w:rsid w:val="003F0A40"/>
    <w:rsid w:val="003F3284"/>
    <w:rsid w:val="003F403C"/>
    <w:rsid w:val="00400569"/>
    <w:rsid w:val="00402431"/>
    <w:rsid w:val="004043B8"/>
    <w:rsid w:val="00406E5A"/>
    <w:rsid w:val="00407126"/>
    <w:rsid w:val="00421A78"/>
    <w:rsid w:val="00422840"/>
    <w:rsid w:val="00424138"/>
    <w:rsid w:val="00424A5B"/>
    <w:rsid w:val="00425732"/>
    <w:rsid w:val="00430A4B"/>
    <w:rsid w:val="0044470F"/>
    <w:rsid w:val="004455E5"/>
    <w:rsid w:val="00446FE4"/>
    <w:rsid w:val="004470CB"/>
    <w:rsid w:val="0045074C"/>
    <w:rsid w:val="00450AE3"/>
    <w:rsid w:val="0045109E"/>
    <w:rsid w:val="00455B34"/>
    <w:rsid w:val="004649E5"/>
    <w:rsid w:val="00465104"/>
    <w:rsid w:val="004665E0"/>
    <w:rsid w:val="0047021F"/>
    <w:rsid w:val="00470AD7"/>
    <w:rsid w:val="00471462"/>
    <w:rsid w:val="00471C6A"/>
    <w:rsid w:val="0047252B"/>
    <w:rsid w:val="00473E4C"/>
    <w:rsid w:val="00475819"/>
    <w:rsid w:val="004766FC"/>
    <w:rsid w:val="00477A90"/>
    <w:rsid w:val="00481F02"/>
    <w:rsid w:val="00483856"/>
    <w:rsid w:val="00483D90"/>
    <w:rsid w:val="00484BFE"/>
    <w:rsid w:val="0048762C"/>
    <w:rsid w:val="00487D26"/>
    <w:rsid w:val="00491727"/>
    <w:rsid w:val="00493F6A"/>
    <w:rsid w:val="00495019"/>
    <w:rsid w:val="00495935"/>
    <w:rsid w:val="004A5113"/>
    <w:rsid w:val="004A6BE8"/>
    <w:rsid w:val="004A746F"/>
    <w:rsid w:val="004B1456"/>
    <w:rsid w:val="004B256F"/>
    <w:rsid w:val="004C1B09"/>
    <w:rsid w:val="004C1E25"/>
    <w:rsid w:val="004C1F9E"/>
    <w:rsid w:val="004C3467"/>
    <w:rsid w:val="004C48E6"/>
    <w:rsid w:val="004D0FC2"/>
    <w:rsid w:val="004D604D"/>
    <w:rsid w:val="004D7821"/>
    <w:rsid w:val="004E0407"/>
    <w:rsid w:val="004E0ABC"/>
    <w:rsid w:val="004E6256"/>
    <w:rsid w:val="004F23C9"/>
    <w:rsid w:val="004F3073"/>
    <w:rsid w:val="004F563E"/>
    <w:rsid w:val="004F679D"/>
    <w:rsid w:val="00500CD1"/>
    <w:rsid w:val="0050292B"/>
    <w:rsid w:val="00503280"/>
    <w:rsid w:val="00504103"/>
    <w:rsid w:val="005057C6"/>
    <w:rsid w:val="005062BF"/>
    <w:rsid w:val="00511260"/>
    <w:rsid w:val="005113B6"/>
    <w:rsid w:val="00514625"/>
    <w:rsid w:val="00515E5A"/>
    <w:rsid w:val="0051747B"/>
    <w:rsid w:val="00520AF9"/>
    <w:rsid w:val="00525FBC"/>
    <w:rsid w:val="00531817"/>
    <w:rsid w:val="00534A4E"/>
    <w:rsid w:val="00535919"/>
    <w:rsid w:val="0053676F"/>
    <w:rsid w:val="005415D0"/>
    <w:rsid w:val="005436D8"/>
    <w:rsid w:val="00546EB4"/>
    <w:rsid w:val="0055075F"/>
    <w:rsid w:val="00550836"/>
    <w:rsid w:val="00550A24"/>
    <w:rsid w:val="005524AC"/>
    <w:rsid w:val="00557F87"/>
    <w:rsid w:val="005606E3"/>
    <w:rsid w:val="00560CA0"/>
    <w:rsid w:val="005624F3"/>
    <w:rsid w:val="00563E18"/>
    <w:rsid w:val="00564BED"/>
    <w:rsid w:val="00570401"/>
    <w:rsid w:val="00572F6B"/>
    <w:rsid w:val="0057636A"/>
    <w:rsid w:val="005811EF"/>
    <w:rsid w:val="00582B23"/>
    <w:rsid w:val="00582E3E"/>
    <w:rsid w:val="00584943"/>
    <w:rsid w:val="00586979"/>
    <w:rsid w:val="00586D7C"/>
    <w:rsid w:val="00590E45"/>
    <w:rsid w:val="00593458"/>
    <w:rsid w:val="00593C0C"/>
    <w:rsid w:val="00593F63"/>
    <w:rsid w:val="00595F58"/>
    <w:rsid w:val="00597FED"/>
    <w:rsid w:val="005A083F"/>
    <w:rsid w:val="005A0970"/>
    <w:rsid w:val="005A3205"/>
    <w:rsid w:val="005A7C61"/>
    <w:rsid w:val="005B0878"/>
    <w:rsid w:val="005B0CF2"/>
    <w:rsid w:val="005B6002"/>
    <w:rsid w:val="005B7B83"/>
    <w:rsid w:val="005C0AA0"/>
    <w:rsid w:val="005C0BE9"/>
    <w:rsid w:val="005C15C0"/>
    <w:rsid w:val="005C6AFD"/>
    <w:rsid w:val="005D0436"/>
    <w:rsid w:val="005D1274"/>
    <w:rsid w:val="005D1A99"/>
    <w:rsid w:val="005D211A"/>
    <w:rsid w:val="005E1DDF"/>
    <w:rsid w:val="005E2799"/>
    <w:rsid w:val="005E762E"/>
    <w:rsid w:val="005E7CFC"/>
    <w:rsid w:val="005F00E1"/>
    <w:rsid w:val="005F1489"/>
    <w:rsid w:val="005F1959"/>
    <w:rsid w:val="005F20C6"/>
    <w:rsid w:val="005F5D47"/>
    <w:rsid w:val="00600FCA"/>
    <w:rsid w:val="00601359"/>
    <w:rsid w:val="00602383"/>
    <w:rsid w:val="00605B0A"/>
    <w:rsid w:val="006066C5"/>
    <w:rsid w:val="00607050"/>
    <w:rsid w:val="00610654"/>
    <w:rsid w:val="00610DE9"/>
    <w:rsid w:val="00611FED"/>
    <w:rsid w:val="00612AC2"/>
    <w:rsid w:val="00613722"/>
    <w:rsid w:val="00616BCC"/>
    <w:rsid w:val="006318B9"/>
    <w:rsid w:val="00631C2F"/>
    <w:rsid w:val="0063299D"/>
    <w:rsid w:val="00632AF1"/>
    <w:rsid w:val="006347F7"/>
    <w:rsid w:val="00636B77"/>
    <w:rsid w:val="00644B8D"/>
    <w:rsid w:val="0064782A"/>
    <w:rsid w:val="0065234F"/>
    <w:rsid w:val="00654675"/>
    <w:rsid w:val="00655561"/>
    <w:rsid w:val="0066503E"/>
    <w:rsid w:val="006666F9"/>
    <w:rsid w:val="0067026C"/>
    <w:rsid w:val="00674155"/>
    <w:rsid w:val="00675484"/>
    <w:rsid w:val="00676EF7"/>
    <w:rsid w:val="00680596"/>
    <w:rsid w:val="006823C2"/>
    <w:rsid w:val="006B3499"/>
    <w:rsid w:val="006B6B2E"/>
    <w:rsid w:val="006C1B61"/>
    <w:rsid w:val="006C42CD"/>
    <w:rsid w:val="006C5E3F"/>
    <w:rsid w:val="006C65B3"/>
    <w:rsid w:val="006C661E"/>
    <w:rsid w:val="006D1E54"/>
    <w:rsid w:val="006D288F"/>
    <w:rsid w:val="006D2D5F"/>
    <w:rsid w:val="006D4B7F"/>
    <w:rsid w:val="006E039B"/>
    <w:rsid w:val="006E2D49"/>
    <w:rsid w:val="006E6842"/>
    <w:rsid w:val="006E7759"/>
    <w:rsid w:val="006E7901"/>
    <w:rsid w:val="006E7E00"/>
    <w:rsid w:val="006F04E4"/>
    <w:rsid w:val="006F203A"/>
    <w:rsid w:val="006F3A99"/>
    <w:rsid w:val="006F4050"/>
    <w:rsid w:val="00700F6B"/>
    <w:rsid w:val="00703E01"/>
    <w:rsid w:val="007124B1"/>
    <w:rsid w:val="007146AA"/>
    <w:rsid w:val="0071776B"/>
    <w:rsid w:val="0072672D"/>
    <w:rsid w:val="007274D1"/>
    <w:rsid w:val="00732F86"/>
    <w:rsid w:val="00736609"/>
    <w:rsid w:val="007429FA"/>
    <w:rsid w:val="00744D09"/>
    <w:rsid w:val="007454D2"/>
    <w:rsid w:val="007468FC"/>
    <w:rsid w:val="00753477"/>
    <w:rsid w:val="0075373B"/>
    <w:rsid w:val="00761727"/>
    <w:rsid w:val="00764739"/>
    <w:rsid w:val="0077597A"/>
    <w:rsid w:val="00776C0D"/>
    <w:rsid w:val="00781F44"/>
    <w:rsid w:val="0078380C"/>
    <w:rsid w:val="0078487C"/>
    <w:rsid w:val="00786B57"/>
    <w:rsid w:val="00792027"/>
    <w:rsid w:val="00792CA3"/>
    <w:rsid w:val="00793133"/>
    <w:rsid w:val="00794472"/>
    <w:rsid w:val="007A5FE2"/>
    <w:rsid w:val="007A693A"/>
    <w:rsid w:val="007A7F73"/>
    <w:rsid w:val="007B0939"/>
    <w:rsid w:val="007B0980"/>
    <w:rsid w:val="007B2FDD"/>
    <w:rsid w:val="007B5254"/>
    <w:rsid w:val="007B67D2"/>
    <w:rsid w:val="007B68B9"/>
    <w:rsid w:val="007B7B2D"/>
    <w:rsid w:val="007C021C"/>
    <w:rsid w:val="007C49AB"/>
    <w:rsid w:val="007C6580"/>
    <w:rsid w:val="007D0539"/>
    <w:rsid w:val="007D58FB"/>
    <w:rsid w:val="007D5B8D"/>
    <w:rsid w:val="007D609E"/>
    <w:rsid w:val="007D6283"/>
    <w:rsid w:val="007D6721"/>
    <w:rsid w:val="007E0661"/>
    <w:rsid w:val="007E0668"/>
    <w:rsid w:val="007E209D"/>
    <w:rsid w:val="007E28A9"/>
    <w:rsid w:val="007E3F05"/>
    <w:rsid w:val="007E6296"/>
    <w:rsid w:val="007F62E7"/>
    <w:rsid w:val="007F7CF5"/>
    <w:rsid w:val="007F7F67"/>
    <w:rsid w:val="00803F65"/>
    <w:rsid w:val="00811A3A"/>
    <w:rsid w:val="00812E9B"/>
    <w:rsid w:val="00815D76"/>
    <w:rsid w:val="00816CB0"/>
    <w:rsid w:val="00820A29"/>
    <w:rsid w:val="00822A56"/>
    <w:rsid w:val="008246F6"/>
    <w:rsid w:val="0083093E"/>
    <w:rsid w:val="0083468A"/>
    <w:rsid w:val="00835A98"/>
    <w:rsid w:val="00841037"/>
    <w:rsid w:val="00841FEA"/>
    <w:rsid w:val="00842D43"/>
    <w:rsid w:val="0085223F"/>
    <w:rsid w:val="00855382"/>
    <w:rsid w:val="00855405"/>
    <w:rsid w:val="00856D1C"/>
    <w:rsid w:val="00860A47"/>
    <w:rsid w:val="00861451"/>
    <w:rsid w:val="008626D6"/>
    <w:rsid w:val="00862C34"/>
    <w:rsid w:val="00864104"/>
    <w:rsid w:val="00870700"/>
    <w:rsid w:val="00871518"/>
    <w:rsid w:val="00874239"/>
    <w:rsid w:val="00874C28"/>
    <w:rsid w:val="00874FDC"/>
    <w:rsid w:val="00875D6A"/>
    <w:rsid w:val="00876AC0"/>
    <w:rsid w:val="00881731"/>
    <w:rsid w:val="00882DCA"/>
    <w:rsid w:val="00882F25"/>
    <w:rsid w:val="00884233"/>
    <w:rsid w:val="00886288"/>
    <w:rsid w:val="008867C1"/>
    <w:rsid w:val="00893BB2"/>
    <w:rsid w:val="00896D5F"/>
    <w:rsid w:val="008A3501"/>
    <w:rsid w:val="008B316D"/>
    <w:rsid w:val="008B406C"/>
    <w:rsid w:val="008C2641"/>
    <w:rsid w:val="008C459F"/>
    <w:rsid w:val="008D0041"/>
    <w:rsid w:val="008D00FE"/>
    <w:rsid w:val="008D0ABC"/>
    <w:rsid w:val="008D4C39"/>
    <w:rsid w:val="008D57BB"/>
    <w:rsid w:val="008D67BF"/>
    <w:rsid w:val="008E2E0E"/>
    <w:rsid w:val="008E7453"/>
    <w:rsid w:val="008E7E5A"/>
    <w:rsid w:val="008F04E1"/>
    <w:rsid w:val="008F3128"/>
    <w:rsid w:val="008F3767"/>
    <w:rsid w:val="008F46FA"/>
    <w:rsid w:val="008F6871"/>
    <w:rsid w:val="008F7839"/>
    <w:rsid w:val="00901549"/>
    <w:rsid w:val="00903408"/>
    <w:rsid w:val="00903B73"/>
    <w:rsid w:val="00905512"/>
    <w:rsid w:val="00905905"/>
    <w:rsid w:val="009077E1"/>
    <w:rsid w:val="009116EA"/>
    <w:rsid w:val="00912C26"/>
    <w:rsid w:val="009138CF"/>
    <w:rsid w:val="009157AB"/>
    <w:rsid w:val="00915963"/>
    <w:rsid w:val="00916DB2"/>
    <w:rsid w:val="009242C1"/>
    <w:rsid w:val="00930B41"/>
    <w:rsid w:val="0093169C"/>
    <w:rsid w:val="0093275E"/>
    <w:rsid w:val="00932770"/>
    <w:rsid w:val="00933671"/>
    <w:rsid w:val="009338FD"/>
    <w:rsid w:val="0093689C"/>
    <w:rsid w:val="00942158"/>
    <w:rsid w:val="00950925"/>
    <w:rsid w:val="00952265"/>
    <w:rsid w:val="009565DB"/>
    <w:rsid w:val="0095715F"/>
    <w:rsid w:val="009615C1"/>
    <w:rsid w:val="00961E51"/>
    <w:rsid w:val="00971D6D"/>
    <w:rsid w:val="00972BF7"/>
    <w:rsid w:val="00972DD5"/>
    <w:rsid w:val="00974EA8"/>
    <w:rsid w:val="00975314"/>
    <w:rsid w:val="009760A5"/>
    <w:rsid w:val="00976133"/>
    <w:rsid w:val="00976447"/>
    <w:rsid w:val="00976E42"/>
    <w:rsid w:val="00984879"/>
    <w:rsid w:val="00984AB1"/>
    <w:rsid w:val="00985632"/>
    <w:rsid w:val="00987335"/>
    <w:rsid w:val="00991B63"/>
    <w:rsid w:val="00992DB9"/>
    <w:rsid w:val="009949B5"/>
    <w:rsid w:val="00997E0F"/>
    <w:rsid w:val="009A0B7A"/>
    <w:rsid w:val="009A20B9"/>
    <w:rsid w:val="009A4137"/>
    <w:rsid w:val="009A46C8"/>
    <w:rsid w:val="009B020A"/>
    <w:rsid w:val="009B0EF5"/>
    <w:rsid w:val="009B13C1"/>
    <w:rsid w:val="009B2428"/>
    <w:rsid w:val="009B41A2"/>
    <w:rsid w:val="009B5CB7"/>
    <w:rsid w:val="009B6552"/>
    <w:rsid w:val="009C1386"/>
    <w:rsid w:val="009C6316"/>
    <w:rsid w:val="009D15BB"/>
    <w:rsid w:val="009D4C21"/>
    <w:rsid w:val="009E21C1"/>
    <w:rsid w:val="009E2CE5"/>
    <w:rsid w:val="009E355E"/>
    <w:rsid w:val="009E5897"/>
    <w:rsid w:val="009F0264"/>
    <w:rsid w:val="009F1B40"/>
    <w:rsid w:val="009F4689"/>
    <w:rsid w:val="009F5417"/>
    <w:rsid w:val="00A02861"/>
    <w:rsid w:val="00A038F1"/>
    <w:rsid w:val="00A043F9"/>
    <w:rsid w:val="00A07477"/>
    <w:rsid w:val="00A10A85"/>
    <w:rsid w:val="00A14CF8"/>
    <w:rsid w:val="00A1746E"/>
    <w:rsid w:val="00A203D1"/>
    <w:rsid w:val="00A21D77"/>
    <w:rsid w:val="00A31242"/>
    <w:rsid w:val="00A33965"/>
    <w:rsid w:val="00A40B4D"/>
    <w:rsid w:val="00A43E27"/>
    <w:rsid w:val="00A475CB"/>
    <w:rsid w:val="00A514D3"/>
    <w:rsid w:val="00A52530"/>
    <w:rsid w:val="00A53BB5"/>
    <w:rsid w:val="00A54781"/>
    <w:rsid w:val="00A551BF"/>
    <w:rsid w:val="00A620DF"/>
    <w:rsid w:val="00A62627"/>
    <w:rsid w:val="00A65655"/>
    <w:rsid w:val="00A67833"/>
    <w:rsid w:val="00A67B7B"/>
    <w:rsid w:val="00A70524"/>
    <w:rsid w:val="00A708F4"/>
    <w:rsid w:val="00A73406"/>
    <w:rsid w:val="00A738F2"/>
    <w:rsid w:val="00A73AE9"/>
    <w:rsid w:val="00A74556"/>
    <w:rsid w:val="00A76384"/>
    <w:rsid w:val="00A77EF9"/>
    <w:rsid w:val="00A80D44"/>
    <w:rsid w:val="00A83822"/>
    <w:rsid w:val="00A87AA3"/>
    <w:rsid w:val="00AA4014"/>
    <w:rsid w:val="00AA5276"/>
    <w:rsid w:val="00AA6354"/>
    <w:rsid w:val="00AB1A6D"/>
    <w:rsid w:val="00AB1BA2"/>
    <w:rsid w:val="00AB200A"/>
    <w:rsid w:val="00AB27C9"/>
    <w:rsid w:val="00AB6E33"/>
    <w:rsid w:val="00AB7283"/>
    <w:rsid w:val="00AB7BC0"/>
    <w:rsid w:val="00AC2AA9"/>
    <w:rsid w:val="00AC5772"/>
    <w:rsid w:val="00AC65DA"/>
    <w:rsid w:val="00AD09E4"/>
    <w:rsid w:val="00AD1821"/>
    <w:rsid w:val="00AE01B8"/>
    <w:rsid w:val="00AE0EA4"/>
    <w:rsid w:val="00AE29BF"/>
    <w:rsid w:val="00AE597C"/>
    <w:rsid w:val="00AE5FF5"/>
    <w:rsid w:val="00AE691D"/>
    <w:rsid w:val="00AF0133"/>
    <w:rsid w:val="00AF0D16"/>
    <w:rsid w:val="00AF1737"/>
    <w:rsid w:val="00AF1A4D"/>
    <w:rsid w:val="00AF4059"/>
    <w:rsid w:val="00B015FF"/>
    <w:rsid w:val="00B06A13"/>
    <w:rsid w:val="00B06CBA"/>
    <w:rsid w:val="00B14060"/>
    <w:rsid w:val="00B2089D"/>
    <w:rsid w:val="00B215FD"/>
    <w:rsid w:val="00B23798"/>
    <w:rsid w:val="00B263AA"/>
    <w:rsid w:val="00B2722A"/>
    <w:rsid w:val="00B32DC9"/>
    <w:rsid w:val="00B433A9"/>
    <w:rsid w:val="00B4784A"/>
    <w:rsid w:val="00B50077"/>
    <w:rsid w:val="00B52E87"/>
    <w:rsid w:val="00B54A8F"/>
    <w:rsid w:val="00B553F2"/>
    <w:rsid w:val="00B60B84"/>
    <w:rsid w:val="00B618BA"/>
    <w:rsid w:val="00B62F50"/>
    <w:rsid w:val="00B63D2B"/>
    <w:rsid w:val="00B665AA"/>
    <w:rsid w:val="00B74FDF"/>
    <w:rsid w:val="00B83962"/>
    <w:rsid w:val="00B83CC0"/>
    <w:rsid w:val="00B87B2C"/>
    <w:rsid w:val="00B92304"/>
    <w:rsid w:val="00BA0409"/>
    <w:rsid w:val="00BA053D"/>
    <w:rsid w:val="00BA282D"/>
    <w:rsid w:val="00BA4D57"/>
    <w:rsid w:val="00BA577A"/>
    <w:rsid w:val="00BA7D60"/>
    <w:rsid w:val="00BB1E8D"/>
    <w:rsid w:val="00BB209B"/>
    <w:rsid w:val="00BB5AC4"/>
    <w:rsid w:val="00BB6260"/>
    <w:rsid w:val="00BC2E7A"/>
    <w:rsid w:val="00BC5DEC"/>
    <w:rsid w:val="00BD012D"/>
    <w:rsid w:val="00BD027B"/>
    <w:rsid w:val="00BD0319"/>
    <w:rsid w:val="00BD04C9"/>
    <w:rsid w:val="00BD5416"/>
    <w:rsid w:val="00BD6232"/>
    <w:rsid w:val="00BE00A1"/>
    <w:rsid w:val="00BE380C"/>
    <w:rsid w:val="00BF034D"/>
    <w:rsid w:val="00BF0F8F"/>
    <w:rsid w:val="00BF2E0E"/>
    <w:rsid w:val="00C002E0"/>
    <w:rsid w:val="00C017F4"/>
    <w:rsid w:val="00C02AE5"/>
    <w:rsid w:val="00C05E74"/>
    <w:rsid w:val="00C06B27"/>
    <w:rsid w:val="00C0720C"/>
    <w:rsid w:val="00C07679"/>
    <w:rsid w:val="00C10C19"/>
    <w:rsid w:val="00C10F12"/>
    <w:rsid w:val="00C117F6"/>
    <w:rsid w:val="00C1193C"/>
    <w:rsid w:val="00C143B8"/>
    <w:rsid w:val="00C17865"/>
    <w:rsid w:val="00C17D02"/>
    <w:rsid w:val="00C2110A"/>
    <w:rsid w:val="00C24A5D"/>
    <w:rsid w:val="00C258D2"/>
    <w:rsid w:val="00C25A64"/>
    <w:rsid w:val="00C26447"/>
    <w:rsid w:val="00C27964"/>
    <w:rsid w:val="00C27D52"/>
    <w:rsid w:val="00C27E48"/>
    <w:rsid w:val="00C3703C"/>
    <w:rsid w:val="00C4009A"/>
    <w:rsid w:val="00C422CC"/>
    <w:rsid w:val="00C4256C"/>
    <w:rsid w:val="00C462FB"/>
    <w:rsid w:val="00C46AFE"/>
    <w:rsid w:val="00C46C09"/>
    <w:rsid w:val="00C55331"/>
    <w:rsid w:val="00C5649C"/>
    <w:rsid w:val="00C613AA"/>
    <w:rsid w:val="00C651CD"/>
    <w:rsid w:val="00C6539A"/>
    <w:rsid w:val="00C7072A"/>
    <w:rsid w:val="00C72362"/>
    <w:rsid w:val="00C73CC1"/>
    <w:rsid w:val="00C74186"/>
    <w:rsid w:val="00C75486"/>
    <w:rsid w:val="00C7594D"/>
    <w:rsid w:val="00C80136"/>
    <w:rsid w:val="00C80AA0"/>
    <w:rsid w:val="00C8202C"/>
    <w:rsid w:val="00C84E0C"/>
    <w:rsid w:val="00C85B45"/>
    <w:rsid w:val="00C91371"/>
    <w:rsid w:val="00C92A5B"/>
    <w:rsid w:val="00C9301F"/>
    <w:rsid w:val="00C96DC8"/>
    <w:rsid w:val="00CA29DA"/>
    <w:rsid w:val="00CA46EC"/>
    <w:rsid w:val="00CA5312"/>
    <w:rsid w:val="00CA7EFD"/>
    <w:rsid w:val="00CB15DA"/>
    <w:rsid w:val="00CB2619"/>
    <w:rsid w:val="00CB761F"/>
    <w:rsid w:val="00CC55D5"/>
    <w:rsid w:val="00CD3EC0"/>
    <w:rsid w:val="00CD4073"/>
    <w:rsid w:val="00CD4ACD"/>
    <w:rsid w:val="00CD69BB"/>
    <w:rsid w:val="00CE1159"/>
    <w:rsid w:val="00CE1AE2"/>
    <w:rsid w:val="00CE22D5"/>
    <w:rsid w:val="00CE291C"/>
    <w:rsid w:val="00CE47BF"/>
    <w:rsid w:val="00CE7285"/>
    <w:rsid w:val="00CE7B1F"/>
    <w:rsid w:val="00CF351E"/>
    <w:rsid w:val="00D00F6E"/>
    <w:rsid w:val="00D01FB4"/>
    <w:rsid w:val="00D02001"/>
    <w:rsid w:val="00D05B29"/>
    <w:rsid w:val="00D070D9"/>
    <w:rsid w:val="00D07E9C"/>
    <w:rsid w:val="00D1394D"/>
    <w:rsid w:val="00D14E06"/>
    <w:rsid w:val="00D1717B"/>
    <w:rsid w:val="00D24F2F"/>
    <w:rsid w:val="00D2633D"/>
    <w:rsid w:val="00D273F0"/>
    <w:rsid w:val="00D27DC2"/>
    <w:rsid w:val="00D30110"/>
    <w:rsid w:val="00D32D17"/>
    <w:rsid w:val="00D32D4A"/>
    <w:rsid w:val="00D36FF9"/>
    <w:rsid w:val="00D431C9"/>
    <w:rsid w:val="00D432BC"/>
    <w:rsid w:val="00D47740"/>
    <w:rsid w:val="00D47B85"/>
    <w:rsid w:val="00D51D42"/>
    <w:rsid w:val="00D547F1"/>
    <w:rsid w:val="00D55252"/>
    <w:rsid w:val="00D637E4"/>
    <w:rsid w:val="00D64F65"/>
    <w:rsid w:val="00D65FAE"/>
    <w:rsid w:val="00D66283"/>
    <w:rsid w:val="00D675C2"/>
    <w:rsid w:val="00D71651"/>
    <w:rsid w:val="00D73658"/>
    <w:rsid w:val="00D752DE"/>
    <w:rsid w:val="00D812B9"/>
    <w:rsid w:val="00D8259C"/>
    <w:rsid w:val="00D903FD"/>
    <w:rsid w:val="00D94BC5"/>
    <w:rsid w:val="00D951A8"/>
    <w:rsid w:val="00D96C08"/>
    <w:rsid w:val="00D97EED"/>
    <w:rsid w:val="00DA5382"/>
    <w:rsid w:val="00DB1BDC"/>
    <w:rsid w:val="00DB6F50"/>
    <w:rsid w:val="00DC3052"/>
    <w:rsid w:val="00DD0192"/>
    <w:rsid w:val="00DD254D"/>
    <w:rsid w:val="00DD728A"/>
    <w:rsid w:val="00DE3B17"/>
    <w:rsid w:val="00DE3C52"/>
    <w:rsid w:val="00DE456B"/>
    <w:rsid w:val="00DE4867"/>
    <w:rsid w:val="00DF0A51"/>
    <w:rsid w:val="00DF31A1"/>
    <w:rsid w:val="00DF46C4"/>
    <w:rsid w:val="00DF4941"/>
    <w:rsid w:val="00DF4CA3"/>
    <w:rsid w:val="00DF6229"/>
    <w:rsid w:val="00E060BB"/>
    <w:rsid w:val="00E07A2A"/>
    <w:rsid w:val="00E13568"/>
    <w:rsid w:val="00E1767F"/>
    <w:rsid w:val="00E17AB5"/>
    <w:rsid w:val="00E20AD0"/>
    <w:rsid w:val="00E20E49"/>
    <w:rsid w:val="00E20F64"/>
    <w:rsid w:val="00E22418"/>
    <w:rsid w:val="00E2752B"/>
    <w:rsid w:val="00E32301"/>
    <w:rsid w:val="00E357AB"/>
    <w:rsid w:val="00E4211D"/>
    <w:rsid w:val="00E4288D"/>
    <w:rsid w:val="00E479C5"/>
    <w:rsid w:val="00E50CC5"/>
    <w:rsid w:val="00E6188F"/>
    <w:rsid w:val="00E61CA4"/>
    <w:rsid w:val="00E64373"/>
    <w:rsid w:val="00E67047"/>
    <w:rsid w:val="00E7020C"/>
    <w:rsid w:val="00E71D2A"/>
    <w:rsid w:val="00E73290"/>
    <w:rsid w:val="00E74A03"/>
    <w:rsid w:val="00E77D98"/>
    <w:rsid w:val="00E8018C"/>
    <w:rsid w:val="00E82A59"/>
    <w:rsid w:val="00E841BE"/>
    <w:rsid w:val="00E84273"/>
    <w:rsid w:val="00E84433"/>
    <w:rsid w:val="00E84B3E"/>
    <w:rsid w:val="00E92616"/>
    <w:rsid w:val="00E92C41"/>
    <w:rsid w:val="00E95794"/>
    <w:rsid w:val="00E965F7"/>
    <w:rsid w:val="00E97CE6"/>
    <w:rsid w:val="00EA0EB7"/>
    <w:rsid w:val="00EA31FD"/>
    <w:rsid w:val="00EA3794"/>
    <w:rsid w:val="00EA3F57"/>
    <w:rsid w:val="00EA617A"/>
    <w:rsid w:val="00EA72B6"/>
    <w:rsid w:val="00EB3178"/>
    <w:rsid w:val="00EB3BB4"/>
    <w:rsid w:val="00EB3E17"/>
    <w:rsid w:val="00EC567B"/>
    <w:rsid w:val="00EC5A28"/>
    <w:rsid w:val="00EC7054"/>
    <w:rsid w:val="00EC78E7"/>
    <w:rsid w:val="00ED037A"/>
    <w:rsid w:val="00ED3EDB"/>
    <w:rsid w:val="00ED43D2"/>
    <w:rsid w:val="00ED52B7"/>
    <w:rsid w:val="00EE3142"/>
    <w:rsid w:val="00EE321A"/>
    <w:rsid w:val="00EE37D1"/>
    <w:rsid w:val="00EE3B8C"/>
    <w:rsid w:val="00EE549C"/>
    <w:rsid w:val="00EF0458"/>
    <w:rsid w:val="00EF238B"/>
    <w:rsid w:val="00EF4A38"/>
    <w:rsid w:val="00EF5845"/>
    <w:rsid w:val="00EF62A3"/>
    <w:rsid w:val="00EF66EF"/>
    <w:rsid w:val="00EF690A"/>
    <w:rsid w:val="00F00BFB"/>
    <w:rsid w:val="00F00E84"/>
    <w:rsid w:val="00F00EB9"/>
    <w:rsid w:val="00F02998"/>
    <w:rsid w:val="00F068F7"/>
    <w:rsid w:val="00F07856"/>
    <w:rsid w:val="00F11B8F"/>
    <w:rsid w:val="00F1217B"/>
    <w:rsid w:val="00F24502"/>
    <w:rsid w:val="00F3005B"/>
    <w:rsid w:val="00F34BF9"/>
    <w:rsid w:val="00F372C9"/>
    <w:rsid w:val="00F413ED"/>
    <w:rsid w:val="00F415A5"/>
    <w:rsid w:val="00F42CE2"/>
    <w:rsid w:val="00F446D7"/>
    <w:rsid w:val="00F47193"/>
    <w:rsid w:val="00F475EB"/>
    <w:rsid w:val="00F47E16"/>
    <w:rsid w:val="00F541A8"/>
    <w:rsid w:val="00F551D7"/>
    <w:rsid w:val="00F560C3"/>
    <w:rsid w:val="00F60EF1"/>
    <w:rsid w:val="00F6249B"/>
    <w:rsid w:val="00F63110"/>
    <w:rsid w:val="00F6432C"/>
    <w:rsid w:val="00F74011"/>
    <w:rsid w:val="00F742CB"/>
    <w:rsid w:val="00F75C63"/>
    <w:rsid w:val="00F76C7C"/>
    <w:rsid w:val="00F779B0"/>
    <w:rsid w:val="00F80CFC"/>
    <w:rsid w:val="00F8207E"/>
    <w:rsid w:val="00F83653"/>
    <w:rsid w:val="00F8421F"/>
    <w:rsid w:val="00F86CDA"/>
    <w:rsid w:val="00F93B7A"/>
    <w:rsid w:val="00F94CA2"/>
    <w:rsid w:val="00F964A9"/>
    <w:rsid w:val="00F96BB5"/>
    <w:rsid w:val="00FA2D2A"/>
    <w:rsid w:val="00FA3271"/>
    <w:rsid w:val="00FA3F69"/>
    <w:rsid w:val="00FA440C"/>
    <w:rsid w:val="00FA453A"/>
    <w:rsid w:val="00FA45ED"/>
    <w:rsid w:val="00FA4E8C"/>
    <w:rsid w:val="00FA69AF"/>
    <w:rsid w:val="00FB10CB"/>
    <w:rsid w:val="00FB3599"/>
    <w:rsid w:val="00FB5C31"/>
    <w:rsid w:val="00FB6F11"/>
    <w:rsid w:val="00FC0D89"/>
    <w:rsid w:val="00FC38E4"/>
    <w:rsid w:val="00FC3C53"/>
    <w:rsid w:val="00FC413F"/>
    <w:rsid w:val="00FC4CE2"/>
    <w:rsid w:val="00FC7938"/>
    <w:rsid w:val="00FD0617"/>
    <w:rsid w:val="00FD07EC"/>
    <w:rsid w:val="00FD30BA"/>
    <w:rsid w:val="00FD40C9"/>
    <w:rsid w:val="00FD4643"/>
    <w:rsid w:val="00FD4AA2"/>
    <w:rsid w:val="00FD655E"/>
    <w:rsid w:val="00FD732D"/>
    <w:rsid w:val="00FD795B"/>
    <w:rsid w:val="00FE090A"/>
    <w:rsid w:val="00FE44B3"/>
    <w:rsid w:val="00FE747A"/>
    <w:rsid w:val="00FF563F"/>
    <w:rsid w:val="00FF6331"/>
    <w:rsid w:val="00FF6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582BF2F"/>
  <w15:docId w15:val="{4E98EAC8-5E47-4B21-A761-362BD63B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08"/>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Bullet point,DDM Gen Text,L,List Paragraph - bullets,List Paragraph1,List Paragraph11,NFP GP Bulleted List,Recommendation,bullet point list,List Paragraph Number,List Paragraph2,Indented bullet,0Bulle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uiPriority w:val="99"/>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Normal"/>
    <w:next w:val="Normal"/>
    <w:uiPriority w:val="35"/>
    <w:unhideWhenUsed/>
    <w:rsid w:val="00976447"/>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customStyle="1" w:styleId="ListParagraphChar">
    <w:name w:val="List Paragraph Char"/>
    <w:aliases w:val="Bullet point Char,DDM Gen Text Char,L Char,List Paragraph - bullets Char,List Paragraph1 Char,List Paragraph11 Char,NFP GP Bulleted List Char,Recommendation Char,bullet point list Char,List Paragraph Number Char,List Paragraph2 Char"/>
    <w:link w:val="ListParagraph"/>
    <w:uiPriority w:val="34"/>
    <w:locked/>
    <w:rsid w:val="00AA5276"/>
  </w:style>
  <w:style w:type="character" w:styleId="CommentReference">
    <w:name w:val="annotation reference"/>
    <w:basedOn w:val="DefaultParagraphFont"/>
    <w:uiPriority w:val="99"/>
    <w:semiHidden/>
    <w:unhideWhenUsed/>
    <w:rsid w:val="00AA5276"/>
    <w:rPr>
      <w:sz w:val="16"/>
      <w:szCs w:val="16"/>
    </w:rPr>
  </w:style>
  <w:style w:type="paragraph" w:styleId="CommentText">
    <w:name w:val="annotation text"/>
    <w:basedOn w:val="Normal"/>
    <w:link w:val="CommentTextChar"/>
    <w:uiPriority w:val="99"/>
    <w:unhideWhenUsed/>
    <w:rsid w:val="00AA5276"/>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A527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A5276"/>
    <w:rPr>
      <w:b/>
      <w:bCs/>
    </w:rPr>
  </w:style>
  <w:style w:type="character" w:customStyle="1" w:styleId="CommentSubjectChar">
    <w:name w:val="Comment Subject Char"/>
    <w:basedOn w:val="CommentTextChar"/>
    <w:link w:val="CommentSubject"/>
    <w:uiPriority w:val="99"/>
    <w:semiHidden/>
    <w:rsid w:val="00AA5276"/>
    <w:rPr>
      <w:rFonts w:eastAsiaTheme="minorHAnsi"/>
      <w:b/>
      <w:bCs/>
      <w:sz w:val="20"/>
      <w:szCs w:val="20"/>
    </w:rPr>
  </w:style>
  <w:style w:type="paragraph" w:styleId="FootnoteText">
    <w:name w:val="footnote text"/>
    <w:aliases w:val="Footnote Text Char Char Char,Footnote Text Char Char Char Char,Footnote Text Char Char Char Char Char1,Footnote Text Char Char1 Char,Footnote Text Char1 Char"/>
    <w:basedOn w:val="Normal"/>
    <w:link w:val="FootnoteTextChar"/>
    <w:unhideWhenUsed/>
    <w:rsid w:val="00AA5276"/>
    <w:pPr>
      <w:spacing w:after="0" w:line="240" w:lineRule="auto"/>
    </w:pPr>
    <w:rPr>
      <w:sz w:val="20"/>
      <w:szCs w:val="20"/>
    </w:rPr>
  </w:style>
  <w:style w:type="character" w:customStyle="1" w:styleId="FootnoteTextChar">
    <w:name w:val="Footnote Text Char"/>
    <w:aliases w:val="Footnote Text Char Char Char Char1,Footnote Text Char Char Char Char Char,Footnote Text Char Char Char Char Char1 Char,Footnote Text Char Char1 Char Char,Footnote Text Char1 Char Char"/>
    <w:basedOn w:val="DefaultParagraphFont"/>
    <w:link w:val="FootnoteText"/>
    <w:rsid w:val="00AA5276"/>
    <w:rPr>
      <w:sz w:val="20"/>
      <w:szCs w:val="20"/>
    </w:rPr>
  </w:style>
  <w:style w:type="character" w:styleId="FootnoteReference">
    <w:name w:val="footnote reference"/>
    <w:aliases w:val="(NECG) Footnote Reference,AFPC Footnote Reference"/>
    <w:basedOn w:val="DefaultParagraphFont"/>
    <w:unhideWhenUsed/>
    <w:rsid w:val="00AA5276"/>
    <w:rPr>
      <w:vertAlign w:val="superscript"/>
    </w:rPr>
  </w:style>
  <w:style w:type="table" w:styleId="LightShading-Accent5">
    <w:name w:val="Light Shading Accent 5"/>
    <w:basedOn w:val="TableNormal"/>
    <w:uiPriority w:val="60"/>
    <w:rsid w:val="00AA5276"/>
    <w:pPr>
      <w:spacing w:after="0" w:line="240" w:lineRule="auto"/>
    </w:pPr>
    <w:rPr>
      <w:color w:val="A17428" w:themeColor="accent5" w:themeShade="BF"/>
    </w:rPr>
    <w:tblPr>
      <w:tblStyleRowBandSize w:val="1"/>
      <w:tblStyleColBandSize w:val="1"/>
      <w:tblBorders>
        <w:top w:val="single" w:sz="8" w:space="0" w:color="CF9A3E" w:themeColor="accent5"/>
        <w:bottom w:val="single" w:sz="8" w:space="0" w:color="CF9A3E" w:themeColor="accent5"/>
      </w:tblBorders>
    </w:tblPr>
    <w:tblStylePr w:type="firstRow">
      <w:pPr>
        <w:spacing w:before="0" w:after="0" w:line="240" w:lineRule="auto"/>
      </w:pPr>
      <w:rPr>
        <w:b/>
        <w:bCs/>
      </w:rPr>
      <w:tblPr/>
      <w:tcPr>
        <w:tcBorders>
          <w:top w:val="single" w:sz="8" w:space="0" w:color="CF9A3E" w:themeColor="accent5"/>
          <w:left w:val="nil"/>
          <w:bottom w:val="single" w:sz="8" w:space="0" w:color="CF9A3E" w:themeColor="accent5"/>
          <w:right w:val="nil"/>
          <w:insideH w:val="nil"/>
          <w:insideV w:val="nil"/>
        </w:tcBorders>
      </w:tcPr>
    </w:tblStylePr>
    <w:tblStylePr w:type="lastRow">
      <w:pPr>
        <w:spacing w:before="0" w:after="0" w:line="240" w:lineRule="auto"/>
      </w:pPr>
      <w:rPr>
        <w:b/>
        <w:bCs/>
      </w:rPr>
      <w:tblPr/>
      <w:tcPr>
        <w:tcBorders>
          <w:top w:val="single" w:sz="8" w:space="0" w:color="CF9A3E" w:themeColor="accent5"/>
          <w:left w:val="nil"/>
          <w:bottom w:val="single" w:sz="8" w:space="0" w:color="CF9A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5CF" w:themeFill="accent5" w:themeFillTint="3F"/>
      </w:tcPr>
    </w:tblStylePr>
    <w:tblStylePr w:type="band1Horz">
      <w:tblPr/>
      <w:tcPr>
        <w:tcBorders>
          <w:left w:val="nil"/>
          <w:right w:val="nil"/>
          <w:insideH w:val="nil"/>
          <w:insideV w:val="nil"/>
        </w:tcBorders>
        <w:shd w:val="clear" w:color="auto" w:fill="F3E5CF" w:themeFill="accent5" w:themeFillTint="3F"/>
      </w:tcPr>
    </w:tblStylePr>
  </w:style>
  <w:style w:type="table" w:customStyle="1" w:styleId="LightShading-Accent51">
    <w:name w:val="Light Shading - Accent 51"/>
    <w:basedOn w:val="TableNormal"/>
    <w:next w:val="LightShading-Accent5"/>
    <w:uiPriority w:val="60"/>
    <w:rsid w:val="00AA5276"/>
    <w:pPr>
      <w:spacing w:after="0" w:line="240" w:lineRule="auto"/>
    </w:pPr>
    <w:rPr>
      <w:color w:val="A17428" w:themeColor="accent5" w:themeShade="BF"/>
    </w:rPr>
    <w:tblPr>
      <w:tblStyleRowBandSize w:val="1"/>
      <w:tblStyleColBandSize w:val="1"/>
      <w:tblBorders>
        <w:top w:val="single" w:sz="8" w:space="0" w:color="CF9A3E" w:themeColor="accent5"/>
        <w:bottom w:val="single" w:sz="8" w:space="0" w:color="CF9A3E" w:themeColor="accent5"/>
      </w:tblBorders>
    </w:tblPr>
    <w:tblStylePr w:type="firstRow">
      <w:pPr>
        <w:spacing w:before="0" w:after="0" w:line="240" w:lineRule="auto"/>
      </w:pPr>
      <w:rPr>
        <w:b/>
        <w:bCs/>
      </w:rPr>
      <w:tblPr/>
      <w:tcPr>
        <w:tcBorders>
          <w:top w:val="single" w:sz="8" w:space="0" w:color="CF9A3E" w:themeColor="accent5"/>
          <w:left w:val="nil"/>
          <w:bottom w:val="single" w:sz="8" w:space="0" w:color="CF9A3E" w:themeColor="accent5"/>
          <w:right w:val="nil"/>
          <w:insideH w:val="nil"/>
          <w:insideV w:val="nil"/>
        </w:tcBorders>
      </w:tcPr>
    </w:tblStylePr>
    <w:tblStylePr w:type="lastRow">
      <w:pPr>
        <w:spacing w:before="0" w:after="0" w:line="240" w:lineRule="auto"/>
      </w:pPr>
      <w:rPr>
        <w:b/>
        <w:bCs/>
      </w:rPr>
      <w:tblPr/>
      <w:tcPr>
        <w:tcBorders>
          <w:top w:val="single" w:sz="8" w:space="0" w:color="CF9A3E" w:themeColor="accent5"/>
          <w:left w:val="nil"/>
          <w:bottom w:val="single" w:sz="8" w:space="0" w:color="CF9A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5CF" w:themeFill="accent5" w:themeFillTint="3F"/>
      </w:tcPr>
    </w:tblStylePr>
    <w:tblStylePr w:type="band1Horz">
      <w:tblPr/>
      <w:tcPr>
        <w:tcBorders>
          <w:left w:val="nil"/>
          <w:right w:val="nil"/>
          <w:insideH w:val="nil"/>
          <w:insideV w:val="nil"/>
        </w:tcBorders>
        <w:shd w:val="clear" w:color="auto" w:fill="F3E5CF" w:themeFill="accent5" w:themeFillTint="3F"/>
      </w:tcPr>
    </w:tblStylePr>
  </w:style>
  <w:style w:type="numbering" w:customStyle="1" w:styleId="NoList1">
    <w:name w:val="No List1"/>
    <w:next w:val="NoList"/>
    <w:uiPriority w:val="99"/>
    <w:semiHidden/>
    <w:unhideWhenUsed/>
    <w:rsid w:val="00AA5276"/>
  </w:style>
  <w:style w:type="table" w:styleId="LightShading-Accent2">
    <w:name w:val="Light Shading Accent 2"/>
    <w:basedOn w:val="TableNormal"/>
    <w:uiPriority w:val="60"/>
    <w:rsid w:val="00AA5276"/>
    <w:pPr>
      <w:spacing w:after="0" w:line="240" w:lineRule="auto"/>
    </w:pPr>
    <w:rPr>
      <w:color w:val="422856" w:themeColor="accent2" w:themeShade="BF"/>
    </w:rPr>
    <w:tblPr>
      <w:tblStyleRowBandSize w:val="1"/>
      <w:tblStyleColBandSize w:val="1"/>
      <w:tblBorders>
        <w:top w:val="single" w:sz="8" w:space="0" w:color="593674" w:themeColor="accent2"/>
        <w:bottom w:val="single" w:sz="8" w:space="0" w:color="593674" w:themeColor="accent2"/>
      </w:tblBorders>
    </w:tblPr>
    <w:tblStylePr w:type="firstRow">
      <w:pPr>
        <w:spacing w:before="0" w:after="0" w:line="240" w:lineRule="auto"/>
      </w:pPr>
      <w:rPr>
        <w:b/>
        <w:bCs/>
      </w:rPr>
      <w:tblPr/>
      <w:tcPr>
        <w:tcBorders>
          <w:top w:val="single" w:sz="8" w:space="0" w:color="593674" w:themeColor="accent2"/>
          <w:left w:val="nil"/>
          <w:bottom w:val="single" w:sz="8" w:space="0" w:color="593674" w:themeColor="accent2"/>
          <w:right w:val="nil"/>
          <w:insideH w:val="nil"/>
          <w:insideV w:val="nil"/>
        </w:tcBorders>
      </w:tcPr>
    </w:tblStylePr>
    <w:tblStylePr w:type="lastRow">
      <w:pPr>
        <w:spacing w:before="0" w:after="0" w:line="240" w:lineRule="auto"/>
      </w:pPr>
      <w:rPr>
        <w:b/>
        <w:bCs/>
      </w:rPr>
      <w:tblPr/>
      <w:tcPr>
        <w:tcBorders>
          <w:top w:val="single" w:sz="8" w:space="0" w:color="593674" w:themeColor="accent2"/>
          <w:left w:val="nil"/>
          <w:bottom w:val="single" w:sz="8" w:space="0" w:color="59367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C5E4" w:themeFill="accent2" w:themeFillTint="3F"/>
      </w:tcPr>
    </w:tblStylePr>
    <w:tblStylePr w:type="band1Horz">
      <w:tblPr/>
      <w:tcPr>
        <w:tcBorders>
          <w:left w:val="nil"/>
          <w:right w:val="nil"/>
          <w:insideH w:val="nil"/>
          <w:insideV w:val="nil"/>
        </w:tcBorders>
        <w:shd w:val="clear" w:color="auto" w:fill="D6C5E4" w:themeFill="accent2" w:themeFillTint="3F"/>
      </w:tcPr>
    </w:tblStylePr>
  </w:style>
  <w:style w:type="table" w:styleId="LightShading-Accent3">
    <w:name w:val="Light Shading Accent 3"/>
    <w:basedOn w:val="TableNormal"/>
    <w:uiPriority w:val="60"/>
    <w:rsid w:val="00AA5276"/>
    <w:pPr>
      <w:spacing w:after="0" w:line="240" w:lineRule="auto"/>
    </w:pPr>
    <w:rPr>
      <w:color w:val="356740" w:themeColor="accent3" w:themeShade="BF"/>
    </w:rPr>
    <w:tblPr>
      <w:tblStyleRowBandSize w:val="1"/>
      <w:tblStyleColBandSize w:val="1"/>
      <w:tblBorders>
        <w:top w:val="single" w:sz="8" w:space="0" w:color="478A57" w:themeColor="accent3"/>
        <w:bottom w:val="single" w:sz="8" w:space="0" w:color="478A57" w:themeColor="accent3"/>
      </w:tblBorders>
    </w:tblPr>
    <w:tblStylePr w:type="firstRow">
      <w:pPr>
        <w:spacing w:before="0" w:after="0" w:line="240" w:lineRule="auto"/>
      </w:pPr>
      <w:rPr>
        <w:b/>
        <w:bCs/>
      </w:rPr>
      <w:tblPr/>
      <w:tcPr>
        <w:tcBorders>
          <w:top w:val="single" w:sz="8" w:space="0" w:color="478A57" w:themeColor="accent3"/>
          <w:left w:val="nil"/>
          <w:bottom w:val="single" w:sz="8" w:space="0" w:color="478A57" w:themeColor="accent3"/>
          <w:right w:val="nil"/>
          <w:insideH w:val="nil"/>
          <w:insideV w:val="nil"/>
        </w:tcBorders>
      </w:tcPr>
    </w:tblStylePr>
    <w:tblStylePr w:type="lastRow">
      <w:pPr>
        <w:spacing w:before="0" w:after="0" w:line="240" w:lineRule="auto"/>
      </w:pPr>
      <w:rPr>
        <w:b/>
        <w:bCs/>
      </w:rPr>
      <w:tblPr/>
      <w:tcPr>
        <w:tcBorders>
          <w:top w:val="single" w:sz="8" w:space="0" w:color="478A57" w:themeColor="accent3"/>
          <w:left w:val="nil"/>
          <w:bottom w:val="single" w:sz="8" w:space="0" w:color="478A5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5D3" w:themeFill="accent3" w:themeFillTint="3F"/>
      </w:tcPr>
    </w:tblStylePr>
    <w:tblStylePr w:type="band1Horz">
      <w:tblPr/>
      <w:tcPr>
        <w:tcBorders>
          <w:left w:val="nil"/>
          <w:right w:val="nil"/>
          <w:insideH w:val="nil"/>
          <w:insideV w:val="nil"/>
        </w:tcBorders>
        <w:shd w:val="clear" w:color="auto" w:fill="CDE5D3" w:themeFill="accent3" w:themeFillTint="3F"/>
      </w:tcPr>
    </w:tblStylePr>
  </w:style>
  <w:style w:type="character" w:styleId="FollowedHyperlink">
    <w:name w:val="FollowedHyperlink"/>
    <w:basedOn w:val="DefaultParagraphFont"/>
    <w:uiPriority w:val="99"/>
    <w:semiHidden/>
    <w:unhideWhenUsed/>
    <w:rsid w:val="00AA5276"/>
    <w:rPr>
      <w:color w:val="800080"/>
      <w:u w:val="single"/>
    </w:rPr>
  </w:style>
  <w:style w:type="paragraph" w:customStyle="1" w:styleId="font5">
    <w:name w:val="font5"/>
    <w:basedOn w:val="Normal"/>
    <w:rsid w:val="00AA5276"/>
    <w:pPr>
      <w:spacing w:before="100" w:beforeAutospacing="1" w:after="100" w:afterAutospacing="1" w:line="240" w:lineRule="auto"/>
    </w:pPr>
    <w:rPr>
      <w:rFonts w:ascii="Arial" w:eastAsia="Times New Roman" w:hAnsi="Arial" w:cs="Arial"/>
      <w:b/>
      <w:bCs/>
      <w:sz w:val="20"/>
      <w:szCs w:val="20"/>
      <w:lang w:eastAsia="en-AU"/>
    </w:rPr>
  </w:style>
  <w:style w:type="paragraph" w:customStyle="1" w:styleId="font6">
    <w:name w:val="font6"/>
    <w:basedOn w:val="Normal"/>
    <w:rsid w:val="00AA5276"/>
    <w:pPr>
      <w:spacing w:before="100" w:beforeAutospacing="1" w:after="100" w:afterAutospacing="1" w:line="240" w:lineRule="auto"/>
    </w:pPr>
    <w:rPr>
      <w:rFonts w:ascii="Arial" w:eastAsia="Times New Roman" w:hAnsi="Arial" w:cs="Arial"/>
      <w:sz w:val="20"/>
      <w:szCs w:val="20"/>
      <w:lang w:eastAsia="en-AU"/>
    </w:rPr>
  </w:style>
  <w:style w:type="paragraph" w:customStyle="1" w:styleId="xl95">
    <w:name w:val="xl95"/>
    <w:basedOn w:val="Normal"/>
    <w:rsid w:val="00AA5276"/>
    <w:pPr>
      <w:spacing w:before="100" w:beforeAutospacing="1" w:after="100" w:afterAutospacing="1" w:line="240" w:lineRule="auto"/>
      <w:jc w:val="right"/>
    </w:pPr>
    <w:rPr>
      <w:rFonts w:ascii="Arial" w:eastAsia="Times New Roman" w:hAnsi="Arial" w:cs="Arial"/>
      <w:sz w:val="24"/>
      <w:szCs w:val="24"/>
      <w:lang w:eastAsia="en-AU"/>
    </w:rPr>
  </w:style>
  <w:style w:type="paragraph" w:customStyle="1" w:styleId="xl96">
    <w:name w:val="xl96"/>
    <w:basedOn w:val="Normal"/>
    <w:rsid w:val="00AA5276"/>
    <w:pPr>
      <w:spacing w:before="100" w:beforeAutospacing="1" w:after="100" w:afterAutospacing="1" w:line="240" w:lineRule="auto"/>
    </w:pPr>
    <w:rPr>
      <w:rFonts w:ascii="Arial" w:eastAsia="Times New Roman" w:hAnsi="Arial" w:cs="Arial"/>
      <w:b/>
      <w:bCs/>
      <w:sz w:val="24"/>
      <w:szCs w:val="24"/>
      <w:lang w:eastAsia="en-AU"/>
    </w:rPr>
  </w:style>
  <w:style w:type="paragraph" w:customStyle="1" w:styleId="xl97">
    <w:name w:val="xl97"/>
    <w:basedOn w:val="Normal"/>
    <w:rsid w:val="00AA5276"/>
    <w:pPr>
      <w:spacing w:before="100" w:beforeAutospacing="1" w:after="100" w:afterAutospacing="1" w:line="240" w:lineRule="auto"/>
    </w:pPr>
    <w:rPr>
      <w:rFonts w:ascii="Arial" w:eastAsia="Times New Roman" w:hAnsi="Arial" w:cs="Arial"/>
      <w:b/>
      <w:bCs/>
      <w:sz w:val="24"/>
      <w:szCs w:val="24"/>
      <w:lang w:eastAsia="en-AU"/>
    </w:rPr>
  </w:style>
  <w:style w:type="paragraph" w:customStyle="1" w:styleId="xl98">
    <w:name w:val="xl98"/>
    <w:basedOn w:val="Normal"/>
    <w:rsid w:val="00AA5276"/>
    <w:pPr>
      <w:pBdr>
        <w:bottom w:val="single" w:sz="4" w:space="0" w:color="auto"/>
      </w:pBdr>
      <w:spacing w:before="100" w:beforeAutospacing="1" w:after="100" w:afterAutospacing="1" w:line="240" w:lineRule="auto"/>
      <w:jc w:val="right"/>
    </w:pPr>
    <w:rPr>
      <w:rFonts w:ascii="Arial" w:eastAsia="Times New Roman" w:hAnsi="Arial" w:cs="Arial"/>
      <w:b/>
      <w:bCs/>
      <w:sz w:val="24"/>
      <w:szCs w:val="24"/>
      <w:lang w:eastAsia="en-AU"/>
    </w:rPr>
  </w:style>
  <w:style w:type="paragraph" w:customStyle="1" w:styleId="xl99">
    <w:name w:val="xl99"/>
    <w:basedOn w:val="Normal"/>
    <w:rsid w:val="00AA527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en-AU"/>
    </w:rPr>
  </w:style>
  <w:style w:type="paragraph" w:customStyle="1" w:styleId="xl100">
    <w:name w:val="xl100"/>
    <w:basedOn w:val="Normal"/>
    <w:rsid w:val="00AA527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en-AU"/>
    </w:rPr>
  </w:style>
  <w:style w:type="paragraph" w:customStyle="1" w:styleId="xl101">
    <w:name w:val="xl101"/>
    <w:basedOn w:val="Normal"/>
    <w:rsid w:val="00AA5276"/>
    <w:pPr>
      <w:shd w:val="clear" w:color="000000" w:fill="99CC00"/>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02">
    <w:name w:val="xl102"/>
    <w:basedOn w:val="Normal"/>
    <w:rsid w:val="00AA5276"/>
    <w:pPr>
      <w:shd w:val="clear" w:color="000000" w:fill="99CC00"/>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03">
    <w:name w:val="xl103"/>
    <w:basedOn w:val="Normal"/>
    <w:rsid w:val="00AA5276"/>
    <w:pPr>
      <w:spacing w:before="100" w:beforeAutospacing="1" w:after="100" w:afterAutospacing="1" w:line="240" w:lineRule="auto"/>
    </w:pPr>
    <w:rPr>
      <w:rFonts w:ascii="Arial" w:eastAsia="Times New Roman" w:hAnsi="Arial" w:cs="Arial"/>
      <w:sz w:val="24"/>
      <w:szCs w:val="24"/>
      <w:lang w:eastAsia="en-AU"/>
    </w:rPr>
  </w:style>
  <w:style w:type="paragraph" w:customStyle="1" w:styleId="xl104">
    <w:name w:val="xl104"/>
    <w:basedOn w:val="Normal"/>
    <w:rsid w:val="00AA5276"/>
    <w:pPr>
      <w:spacing w:before="100" w:beforeAutospacing="1" w:after="100" w:afterAutospacing="1" w:line="240" w:lineRule="auto"/>
    </w:pPr>
    <w:rPr>
      <w:rFonts w:ascii="Arial" w:eastAsia="Times New Roman" w:hAnsi="Arial" w:cs="Arial"/>
      <w:sz w:val="24"/>
      <w:szCs w:val="24"/>
      <w:lang w:eastAsia="en-AU"/>
    </w:rPr>
  </w:style>
  <w:style w:type="paragraph" w:customStyle="1" w:styleId="xl105">
    <w:name w:val="xl105"/>
    <w:basedOn w:val="Normal"/>
    <w:rsid w:val="00AA5276"/>
    <w:pPr>
      <w:spacing w:before="100" w:beforeAutospacing="1" w:after="100" w:afterAutospacing="1" w:line="240" w:lineRule="auto"/>
    </w:pPr>
    <w:rPr>
      <w:rFonts w:ascii="Arial" w:eastAsia="Times New Roman" w:hAnsi="Arial" w:cs="Arial"/>
      <w:sz w:val="24"/>
      <w:szCs w:val="24"/>
      <w:lang w:eastAsia="en-AU"/>
    </w:rPr>
  </w:style>
  <w:style w:type="paragraph" w:customStyle="1" w:styleId="xl106">
    <w:name w:val="xl106"/>
    <w:basedOn w:val="Normal"/>
    <w:rsid w:val="00AA52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107">
    <w:name w:val="xl107"/>
    <w:basedOn w:val="Normal"/>
    <w:rsid w:val="00AA5276"/>
    <w:pPr>
      <w:spacing w:before="100" w:beforeAutospacing="1" w:after="100" w:afterAutospacing="1" w:line="240" w:lineRule="auto"/>
    </w:pPr>
    <w:rPr>
      <w:rFonts w:ascii="Arial" w:eastAsia="Times New Roman" w:hAnsi="Arial" w:cs="Arial"/>
      <w:color w:val="000000"/>
      <w:sz w:val="24"/>
      <w:szCs w:val="24"/>
      <w:lang w:eastAsia="en-AU"/>
    </w:rPr>
  </w:style>
  <w:style w:type="paragraph" w:customStyle="1" w:styleId="xl109">
    <w:name w:val="xl109"/>
    <w:basedOn w:val="Normal"/>
    <w:rsid w:val="00AA5276"/>
    <w:pPr>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10">
    <w:name w:val="xl110"/>
    <w:basedOn w:val="Normal"/>
    <w:rsid w:val="00AA5276"/>
    <w:pPr>
      <w:spacing w:before="100" w:beforeAutospacing="1" w:after="100" w:afterAutospacing="1" w:line="240" w:lineRule="auto"/>
    </w:pPr>
    <w:rPr>
      <w:rFonts w:ascii="Arial" w:eastAsia="Times New Roman" w:hAnsi="Arial" w:cs="Arial"/>
      <w:b/>
      <w:bCs/>
      <w:color w:val="000000"/>
      <w:sz w:val="24"/>
      <w:szCs w:val="24"/>
      <w:lang w:eastAsia="en-AU"/>
    </w:rPr>
  </w:style>
  <w:style w:type="paragraph" w:customStyle="1" w:styleId="xl111">
    <w:name w:val="xl111"/>
    <w:basedOn w:val="Normal"/>
    <w:rsid w:val="00AA5276"/>
    <w:pPr>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12">
    <w:name w:val="xl112"/>
    <w:basedOn w:val="Normal"/>
    <w:rsid w:val="00AA5276"/>
    <w:pPr>
      <w:shd w:val="clear" w:color="000000" w:fill="99CC00"/>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13">
    <w:name w:val="xl113"/>
    <w:basedOn w:val="Normal"/>
    <w:rsid w:val="00AA5276"/>
    <w:pPr>
      <w:pBdr>
        <w:bottom w:val="single" w:sz="4" w:space="0" w:color="auto"/>
      </w:pBdr>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14">
    <w:name w:val="xl114"/>
    <w:basedOn w:val="Normal"/>
    <w:rsid w:val="00AA5276"/>
    <w:pPr>
      <w:pBdr>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en-AU"/>
    </w:rPr>
  </w:style>
  <w:style w:type="paragraph" w:customStyle="1" w:styleId="xl115">
    <w:name w:val="xl115"/>
    <w:basedOn w:val="Normal"/>
    <w:rsid w:val="00AA5276"/>
    <w:pPr>
      <w:pBdr>
        <w:bottom w:val="single" w:sz="4" w:space="0" w:color="auto"/>
      </w:pBdr>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16">
    <w:name w:val="xl116"/>
    <w:basedOn w:val="Normal"/>
    <w:rsid w:val="00AA5276"/>
    <w:pPr>
      <w:spacing w:before="100" w:beforeAutospacing="1" w:after="100" w:afterAutospacing="1" w:line="240" w:lineRule="auto"/>
    </w:pPr>
    <w:rPr>
      <w:rFonts w:ascii="Arial" w:eastAsia="Times New Roman" w:hAnsi="Arial" w:cs="Arial"/>
      <w:sz w:val="24"/>
      <w:szCs w:val="24"/>
      <w:lang w:eastAsia="en-AU"/>
    </w:rPr>
  </w:style>
  <w:style w:type="paragraph" w:customStyle="1" w:styleId="xl117">
    <w:name w:val="xl117"/>
    <w:basedOn w:val="Normal"/>
    <w:rsid w:val="00AA5276"/>
    <w:pPr>
      <w:spacing w:before="100" w:beforeAutospacing="1" w:after="100" w:afterAutospacing="1" w:line="240" w:lineRule="auto"/>
      <w:jc w:val="right"/>
    </w:pPr>
    <w:rPr>
      <w:rFonts w:ascii="Arial" w:eastAsia="Times New Roman" w:hAnsi="Arial" w:cs="Arial"/>
      <w:sz w:val="24"/>
      <w:szCs w:val="24"/>
      <w:lang w:eastAsia="en-AU"/>
    </w:rPr>
  </w:style>
  <w:style w:type="paragraph" w:customStyle="1" w:styleId="xl118">
    <w:name w:val="xl118"/>
    <w:basedOn w:val="Normal"/>
    <w:rsid w:val="00AA5276"/>
    <w:pPr>
      <w:pBdr>
        <w:bottom w:val="single" w:sz="4" w:space="0" w:color="auto"/>
      </w:pBdr>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19">
    <w:name w:val="xl119"/>
    <w:basedOn w:val="Normal"/>
    <w:rsid w:val="00AA5276"/>
    <w:pPr>
      <w:spacing w:before="100" w:beforeAutospacing="1" w:after="100" w:afterAutospacing="1" w:line="240" w:lineRule="auto"/>
      <w:jc w:val="right"/>
    </w:pPr>
    <w:rPr>
      <w:rFonts w:ascii="Arial" w:eastAsia="Times New Roman" w:hAnsi="Arial" w:cs="Arial"/>
      <w:b/>
      <w:bCs/>
      <w:sz w:val="24"/>
      <w:szCs w:val="24"/>
      <w:lang w:eastAsia="en-AU"/>
    </w:rPr>
  </w:style>
  <w:style w:type="paragraph" w:customStyle="1" w:styleId="xl120">
    <w:name w:val="xl120"/>
    <w:basedOn w:val="Normal"/>
    <w:rsid w:val="00AA5276"/>
    <w:pPr>
      <w:spacing w:before="100" w:beforeAutospacing="1" w:after="100" w:afterAutospacing="1" w:line="240" w:lineRule="auto"/>
      <w:jc w:val="right"/>
    </w:pPr>
    <w:rPr>
      <w:rFonts w:ascii="Arial" w:eastAsia="Times New Roman" w:hAnsi="Arial" w:cs="Arial"/>
      <w:b/>
      <w:bCs/>
      <w:sz w:val="24"/>
      <w:szCs w:val="24"/>
      <w:lang w:eastAsia="en-AU"/>
    </w:rPr>
  </w:style>
  <w:style w:type="paragraph" w:customStyle="1" w:styleId="xl121">
    <w:name w:val="xl121"/>
    <w:basedOn w:val="Normal"/>
    <w:rsid w:val="00AA5276"/>
    <w:pPr>
      <w:pBdr>
        <w:top w:val="single" w:sz="4" w:space="0" w:color="auto"/>
      </w:pBdr>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22">
    <w:name w:val="xl122"/>
    <w:basedOn w:val="Normal"/>
    <w:rsid w:val="00AA5276"/>
    <w:pPr>
      <w:pBdr>
        <w:bottom w:val="single" w:sz="4" w:space="0" w:color="auto"/>
      </w:pBdr>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23">
    <w:name w:val="xl123"/>
    <w:basedOn w:val="Normal"/>
    <w:rsid w:val="00AA527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en-AU"/>
    </w:rPr>
  </w:style>
  <w:style w:type="paragraph" w:customStyle="1" w:styleId="xl124">
    <w:name w:val="xl124"/>
    <w:basedOn w:val="Normal"/>
    <w:rsid w:val="00AA527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108">
    <w:name w:val="xl108"/>
    <w:basedOn w:val="Normal"/>
    <w:rsid w:val="00AA5276"/>
    <w:pPr>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25">
    <w:name w:val="xl125"/>
    <w:basedOn w:val="Normal"/>
    <w:rsid w:val="00AA5276"/>
    <w:pPr>
      <w:shd w:val="clear" w:color="000000" w:fill="FFFFFF"/>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26">
    <w:name w:val="xl126"/>
    <w:basedOn w:val="Normal"/>
    <w:rsid w:val="00AA5276"/>
    <w:pPr>
      <w:shd w:val="clear" w:color="000000" w:fill="FFFFFF"/>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27">
    <w:name w:val="xl127"/>
    <w:basedOn w:val="Normal"/>
    <w:rsid w:val="00AA5276"/>
    <w:pPr>
      <w:shd w:val="clear" w:color="000000" w:fill="FFFFFF"/>
      <w:spacing w:before="100" w:beforeAutospacing="1" w:after="100" w:afterAutospacing="1" w:line="240" w:lineRule="auto"/>
    </w:pPr>
    <w:rPr>
      <w:rFonts w:ascii="Arial" w:eastAsia="Times New Roman" w:hAnsi="Arial" w:cs="Arial"/>
      <w:b/>
      <w:bCs/>
      <w:color w:val="000000"/>
      <w:sz w:val="24"/>
      <w:szCs w:val="24"/>
      <w:lang w:eastAsia="en-AU"/>
    </w:rPr>
  </w:style>
  <w:style w:type="paragraph" w:customStyle="1" w:styleId="xl128">
    <w:name w:val="xl128"/>
    <w:basedOn w:val="Normal"/>
    <w:rsid w:val="00AA5276"/>
    <w:pPr>
      <w:pBdr>
        <w:top w:val="single" w:sz="4" w:space="0" w:color="auto"/>
      </w:pBdr>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29">
    <w:name w:val="xl129"/>
    <w:basedOn w:val="Normal"/>
    <w:rsid w:val="00AA5276"/>
    <w:pPr>
      <w:pBdr>
        <w:bottom w:val="single" w:sz="4" w:space="0" w:color="auto"/>
      </w:pBdr>
      <w:spacing w:before="100" w:beforeAutospacing="1" w:after="100" w:afterAutospacing="1" w:line="240" w:lineRule="auto"/>
    </w:pPr>
    <w:rPr>
      <w:rFonts w:ascii="Arial" w:eastAsia="Times New Roman" w:hAnsi="Arial" w:cs="Arial"/>
      <w:b/>
      <w:bCs/>
      <w:sz w:val="24"/>
      <w:szCs w:val="24"/>
      <w:lang w:eastAsia="en-AU"/>
    </w:rPr>
  </w:style>
  <w:style w:type="paragraph" w:customStyle="1" w:styleId="xl130">
    <w:name w:val="xl130"/>
    <w:basedOn w:val="Normal"/>
    <w:rsid w:val="00AA527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en-AU"/>
    </w:rPr>
  </w:style>
  <w:style w:type="paragraph" w:customStyle="1" w:styleId="xl131">
    <w:name w:val="xl131"/>
    <w:basedOn w:val="Normal"/>
    <w:rsid w:val="00AA527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table" w:styleId="LightList-Accent5">
    <w:name w:val="Light List Accent 5"/>
    <w:basedOn w:val="TableNormal"/>
    <w:uiPriority w:val="61"/>
    <w:rsid w:val="00AA5276"/>
    <w:pPr>
      <w:spacing w:after="0" w:line="240" w:lineRule="auto"/>
    </w:pPr>
    <w:tblPr>
      <w:tblStyleRowBandSize w:val="1"/>
      <w:tblStyleColBandSize w:val="1"/>
      <w:tblBorders>
        <w:top w:val="single" w:sz="8" w:space="0" w:color="CF9A3E" w:themeColor="accent5"/>
        <w:left w:val="single" w:sz="8" w:space="0" w:color="CF9A3E" w:themeColor="accent5"/>
        <w:bottom w:val="single" w:sz="8" w:space="0" w:color="CF9A3E" w:themeColor="accent5"/>
        <w:right w:val="single" w:sz="8" w:space="0" w:color="CF9A3E" w:themeColor="accent5"/>
      </w:tblBorders>
    </w:tblPr>
    <w:tblStylePr w:type="firstRow">
      <w:pPr>
        <w:spacing w:before="0" w:after="0" w:line="240" w:lineRule="auto"/>
      </w:pPr>
      <w:rPr>
        <w:b/>
        <w:bCs/>
        <w:color w:val="7F7F7F" w:themeColor="background1"/>
      </w:rPr>
      <w:tblPr/>
      <w:tcPr>
        <w:shd w:val="clear" w:color="auto" w:fill="CF9A3E" w:themeFill="accent5"/>
      </w:tcPr>
    </w:tblStylePr>
    <w:tblStylePr w:type="lastRow">
      <w:pPr>
        <w:spacing w:before="0" w:after="0" w:line="240" w:lineRule="auto"/>
      </w:pPr>
      <w:rPr>
        <w:b/>
        <w:bCs/>
      </w:rPr>
      <w:tblPr/>
      <w:tcPr>
        <w:tcBorders>
          <w:top w:val="double" w:sz="6" w:space="0" w:color="CF9A3E" w:themeColor="accent5"/>
          <w:left w:val="single" w:sz="8" w:space="0" w:color="CF9A3E" w:themeColor="accent5"/>
          <w:bottom w:val="single" w:sz="8" w:space="0" w:color="CF9A3E" w:themeColor="accent5"/>
          <w:right w:val="single" w:sz="8" w:space="0" w:color="CF9A3E" w:themeColor="accent5"/>
        </w:tcBorders>
      </w:tcPr>
    </w:tblStylePr>
    <w:tblStylePr w:type="firstCol">
      <w:rPr>
        <w:b/>
        <w:bCs/>
      </w:rPr>
    </w:tblStylePr>
    <w:tblStylePr w:type="lastCol">
      <w:rPr>
        <w:b/>
        <w:bCs/>
      </w:rPr>
    </w:tblStylePr>
    <w:tblStylePr w:type="band1Vert">
      <w:tblPr/>
      <w:tcPr>
        <w:tcBorders>
          <w:top w:val="single" w:sz="8" w:space="0" w:color="CF9A3E" w:themeColor="accent5"/>
          <w:left w:val="single" w:sz="8" w:space="0" w:color="CF9A3E" w:themeColor="accent5"/>
          <w:bottom w:val="single" w:sz="8" w:space="0" w:color="CF9A3E" w:themeColor="accent5"/>
          <w:right w:val="single" w:sz="8" w:space="0" w:color="CF9A3E" w:themeColor="accent5"/>
        </w:tcBorders>
      </w:tcPr>
    </w:tblStylePr>
    <w:tblStylePr w:type="band1Horz">
      <w:tblPr/>
      <w:tcPr>
        <w:tcBorders>
          <w:top w:val="single" w:sz="8" w:space="0" w:color="CF9A3E" w:themeColor="accent5"/>
          <w:left w:val="single" w:sz="8" w:space="0" w:color="CF9A3E" w:themeColor="accent5"/>
          <w:bottom w:val="single" w:sz="8" w:space="0" w:color="CF9A3E" w:themeColor="accent5"/>
          <w:right w:val="single" w:sz="8" w:space="0" w:color="CF9A3E" w:themeColor="accent5"/>
        </w:tcBorders>
      </w:tcPr>
    </w:tblStylePr>
  </w:style>
  <w:style w:type="numbering" w:customStyle="1" w:styleId="NoList2">
    <w:name w:val="No List2"/>
    <w:next w:val="NoList"/>
    <w:uiPriority w:val="99"/>
    <w:semiHidden/>
    <w:unhideWhenUsed/>
    <w:rsid w:val="00AA5276"/>
  </w:style>
  <w:style w:type="paragraph" w:customStyle="1" w:styleId="ListNumber1">
    <w:name w:val="List Number1"/>
    <w:basedOn w:val="Normal"/>
    <w:next w:val="ListNumber"/>
    <w:uiPriority w:val="99"/>
    <w:unhideWhenUsed/>
    <w:rsid w:val="00AA5276"/>
    <w:pPr>
      <w:tabs>
        <w:tab w:val="num" w:pos="926"/>
      </w:tabs>
      <w:spacing w:after="120"/>
      <w:ind w:left="369" w:hanging="369"/>
      <w:contextualSpacing/>
    </w:pPr>
    <w:rPr>
      <w:rFonts w:eastAsia="Times New Roman"/>
    </w:rPr>
  </w:style>
  <w:style w:type="paragraph" w:customStyle="1" w:styleId="ListNumber21">
    <w:name w:val="List Number 21"/>
    <w:basedOn w:val="Normal"/>
    <w:next w:val="ListNumber2"/>
    <w:uiPriority w:val="99"/>
    <w:unhideWhenUsed/>
    <w:rsid w:val="00AA5276"/>
    <w:pPr>
      <w:tabs>
        <w:tab w:val="num" w:pos="926"/>
        <w:tab w:val="left" w:pos="1134"/>
      </w:tabs>
      <w:spacing w:after="120"/>
      <w:ind w:left="936" w:hanging="567"/>
      <w:contextualSpacing/>
    </w:pPr>
    <w:rPr>
      <w:rFonts w:eastAsia="Times New Roman"/>
    </w:rPr>
  </w:style>
  <w:style w:type="paragraph" w:customStyle="1" w:styleId="ListNumber31">
    <w:name w:val="List Number 31"/>
    <w:basedOn w:val="Normal"/>
    <w:next w:val="ListNumber3"/>
    <w:uiPriority w:val="99"/>
    <w:unhideWhenUsed/>
    <w:rsid w:val="00AA5276"/>
    <w:pPr>
      <w:tabs>
        <w:tab w:val="num" w:pos="926"/>
      </w:tabs>
      <w:spacing w:after="120"/>
      <w:ind w:left="1701" w:hanging="765"/>
      <w:contextualSpacing/>
    </w:pPr>
    <w:rPr>
      <w:rFonts w:eastAsia="Times New Roman"/>
    </w:rPr>
  </w:style>
  <w:style w:type="paragraph" w:customStyle="1" w:styleId="ListNumber41">
    <w:name w:val="List Number 41"/>
    <w:basedOn w:val="Normal"/>
    <w:next w:val="ListNumber4"/>
    <w:uiPriority w:val="99"/>
    <w:unhideWhenUsed/>
    <w:rsid w:val="00AA5276"/>
    <w:pPr>
      <w:tabs>
        <w:tab w:val="num" w:pos="926"/>
      </w:tabs>
      <w:spacing w:after="120"/>
      <w:ind w:left="2637" w:hanging="936"/>
      <w:contextualSpacing/>
    </w:pPr>
    <w:rPr>
      <w:rFonts w:eastAsia="Times New Roman"/>
    </w:rPr>
  </w:style>
  <w:style w:type="paragraph" w:customStyle="1" w:styleId="ListBullet1">
    <w:name w:val="List Bullet1"/>
    <w:basedOn w:val="Normal"/>
    <w:next w:val="ListBullet"/>
    <w:uiPriority w:val="99"/>
    <w:unhideWhenUsed/>
    <w:rsid w:val="00AA5276"/>
    <w:pPr>
      <w:spacing w:after="120"/>
      <w:ind w:left="369" w:hanging="369"/>
      <w:contextualSpacing/>
    </w:pPr>
    <w:rPr>
      <w:rFonts w:eastAsia="Times New Roman"/>
    </w:rPr>
  </w:style>
  <w:style w:type="paragraph" w:customStyle="1" w:styleId="ListBullet21">
    <w:name w:val="List Bullet 21"/>
    <w:basedOn w:val="Normal"/>
    <w:next w:val="ListBullet2"/>
    <w:uiPriority w:val="99"/>
    <w:unhideWhenUsed/>
    <w:rsid w:val="00AA5276"/>
    <w:pPr>
      <w:spacing w:after="120"/>
      <w:ind w:left="766" w:hanging="369"/>
      <w:contextualSpacing/>
    </w:pPr>
    <w:rPr>
      <w:rFonts w:eastAsia="Times New Roman"/>
    </w:rPr>
  </w:style>
  <w:style w:type="paragraph" w:customStyle="1" w:styleId="ListBullet31">
    <w:name w:val="List Bullet 31"/>
    <w:basedOn w:val="Normal"/>
    <w:next w:val="ListBullet3"/>
    <w:uiPriority w:val="99"/>
    <w:unhideWhenUsed/>
    <w:rsid w:val="00AA5276"/>
    <w:pPr>
      <w:spacing w:after="120"/>
      <w:ind w:left="1163" w:hanging="369"/>
      <w:contextualSpacing/>
    </w:pPr>
    <w:rPr>
      <w:rFonts w:eastAsia="Times New Roman"/>
    </w:rPr>
  </w:style>
  <w:style w:type="paragraph" w:customStyle="1" w:styleId="ListBullet41">
    <w:name w:val="List Bullet 41"/>
    <w:basedOn w:val="Normal"/>
    <w:next w:val="ListBullet4"/>
    <w:uiPriority w:val="99"/>
    <w:unhideWhenUsed/>
    <w:rsid w:val="00AA5276"/>
    <w:pPr>
      <w:spacing w:after="120"/>
      <w:ind w:left="1503" w:hanging="369"/>
      <w:contextualSpacing/>
    </w:pPr>
    <w:rPr>
      <w:rFonts w:eastAsia="Times New Roman"/>
    </w:rPr>
  </w:style>
  <w:style w:type="table" w:customStyle="1" w:styleId="TableGrid1">
    <w:name w:val="Table Grid1"/>
    <w:basedOn w:val="TableNormal"/>
    <w:next w:val="TableGrid"/>
    <w:uiPriority w:val="59"/>
    <w:rsid w:val="00AA52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BodyText"/>
    <w:rsid w:val="00AA5276"/>
    <w:pPr>
      <w:spacing w:after="120" w:line="240" w:lineRule="auto"/>
    </w:pPr>
    <w:rPr>
      <w:rFonts w:eastAsia="Times New Roman" w:cs="Times New Roman"/>
      <w:szCs w:val="24"/>
      <w:lang w:eastAsia="en-AU"/>
    </w:rPr>
  </w:style>
  <w:style w:type="paragraph" w:customStyle="1" w:styleId="TOC31">
    <w:name w:val="TOC 31"/>
    <w:basedOn w:val="Normal"/>
    <w:next w:val="Normal"/>
    <w:autoRedefine/>
    <w:uiPriority w:val="39"/>
    <w:unhideWhenUsed/>
    <w:rsid w:val="00AA5276"/>
    <w:pPr>
      <w:spacing w:after="100"/>
      <w:ind w:left="440"/>
    </w:pPr>
    <w:rPr>
      <w:rFonts w:eastAsia="Times New Roman"/>
    </w:rPr>
  </w:style>
  <w:style w:type="paragraph" w:customStyle="1" w:styleId="Caption1">
    <w:name w:val="Caption1"/>
    <w:basedOn w:val="Normal"/>
    <w:next w:val="Normal"/>
    <w:uiPriority w:val="35"/>
    <w:unhideWhenUsed/>
    <w:rsid w:val="00AA5276"/>
    <w:pPr>
      <w:spacing w:before="200" w:after="0"/>
    </w:pPr>
    <w:rPr>
      <w:rFonts w:ascii="Calibri" w:eastAsia="Times New Roman" w:hAnsi="Calibri"/>
      <w:b/>
    </w:rPr>
  </w:style>
  <w:style w:type="paragraph" w:customStyle="1" w:styleId="bulletnormal">
    <w:name w:val="bullet normal"/>
    <w:basedOn w:val="Normal"/>
    <w:rsid w:val="00AA5276"/>
    <w:pPr>
      <w:numPr>
        <w:numId w:val="5"/>
      </w:numPr>
      <w:spacing w:after="60" w:line="240" w:lineRule="auto"/>
    </w:pPr>
    <w:rPr>
      <w:rFonts w:ascii="Book Antiqua" w:eastAsia="Times New Roman" w:hAnsi="Book Antiqua" w:cs="Times New Roman"/>
      <w:szCs w:val="20"/>
    </w:rPr>
  </w:style>
  <w:style w:type="paragraph" w:customStyle="1" w:styleId="EndnoteText1">
    <w:name w:val="Endnote Text1"/>
    <w:basedOn w:val="Normal"/>
    <w:next w:val="EndnoteText"/>
    <w:link w:val="EndnoteTextChar"/>
    <w:uiPriority w:val="99"/>
    <w:semiHidden/>
    <w:unhideWhenUsed/>
    <w:rsid w:val="00AA5276"/>
    <w:pPr>
      <w:spacing w:after="0" w:line="240" w:lineRule="auto"/>
    </w:pPr>
    <w:rPr>
      <w:rFonts w:eastAsiaTheme="minorHAnsi"/>
      <w:sz w:val="20"/>
      <w:szCs w:val="20"/>
    </w:rPr>
  </w:style>
  <w:style w:type="character" w:customStyle="1" w:styleId="EndnoteTextChar">
    <w:name w:val="Endnote Text Char"/>
    <w:basedOn w:val="DefaultParagraphFont"/>
    <w:link w:val="EndnoteText1"/>
    <w:uiPriority w:val="99"/>
    <w:semiHidden/>
    <w:rsid w:val="00AA5276"/>
    <w:rPr>
      <w:rFonts w:eastAsiaTheme="minorHAnsi"/>
      <w:sz w:val="20"/>
      <w:szCs w:val="20"/>
    </w:rPr>
  </w:style>
  <w:style w:type="character" w:styleId="EndnoteReference">
    <w:name w:val="endnote reference"/>
    <w:basedOn w:val="DefaultParagraphFont"/>
    <w:uiPriority w:val="99"/>
    <w:semiHidden/>
    <w:unhideWhenUsed/>
    <w:rsid w:val="00AA5276"/>
    <w:rPr>
      <w:vertAlign w:val="superscript"/>
    </w:rPr>
  </w:style>
  <w:style w:type="paragraph" w:customStyle="1" w:styleId="Text">
    <w:name w:val="Text"/>
    <w:basedOn w:val="Normal"/>
    <w:link w:val="TextChar"/>
    <w:autoRedefine/>
    <w:rsid w:val="00AA5276"/>
    <w:pPr>
      <w:spacing w:before="60" w:after="60" w:line="240" w:lineRule="auto"/>
    </w:pPr>
    <w:rPr>
      <w:rFonts w:eastAsia="Times New Roman" w:cs="Calibri"/>
      <w:kern w:val="28"/>
      <w:szCs w:val="20"/>
    </w:rPr>
  </w:style>
  <w:style w:type="character" w:customStyle="1" w:styleId="TextChar">
    <w:name w:val="Text Char"/>
    <w:basedOn w:val="DefaultParagraphFont"/>
    <w:link w:val="Text"/>
    <w:rsid w:val="00AA5276"/>
    <w:rPr>
      <w:rFonts w:eastAsia="Times New Roman" w:cs="Calibri"/>
      <w:kern w:val="28"/>
      <w:szCs w:val="20"/>
    </w:rPr>
  </w:style>
  <w:style w:type="character" w:customStyle="1" w:styleId="BodyTextChar1">
    <w:name w:val="Body Text Char1"/>
    <w:basedOn w:val="DefaultParagraphFont"/>
    <w:uiPriority w:val="99"/>
    <w:semiHidden/>
    <w:rsid w:val="00AA5276"/>
  </w:style>
  <w:style w:type="paragraph" w:styleId="EndnoteText">
    <w:name w:val="endnote text"/>
    <w:basedOn w:val="Normal"/>
    <w:link w:val="EndnoteTextChar1"/>
    <w:uiPriority w:val="99"/>
    <w:semiHidden/>
    <w:unhideWhenUsed/>
    <w:rsid w:val="00AA5276"/>
    <w:pPr>
      <w:spacing w:after="0" w:line="240" w:lineRule="auto"/>
    </w:pPr>
    <w:rPr>
      <w:rFonts w:eastAsiaTheme="minorHAnsi"/>
      <w:sz w:val="20"/>
      <w:szCs w:val="20"/>
    </w:rPr>
  </w:style>
  <w:style w:type="character" w:customStyle="1" w:styleId="EndnoteTextChar1">
    <w:name w:val="Endnote Text Char1"/>
    <w:basedOn w:val="DefaultParagraphFont"/>
    <w:link w:val="EndnoteText"/>
    <w:uiPriority w:val="99"/>
    <w:semiHidden/>
    <w:rsid w:val="00AA5276"/>
    <w:rPr>
      <w:rFonts w:eastAsiaTheme="minorHAnsi"/>
      <w:sz w:val="20"/>
      <w:szCs w:val="20"/>
    </w:rPr>
  </w:style>
  <w:style w:type="table" w:customStyle="1" w:styleId="TableGrid2">
    <w:name w:val="Table Grid2"/>
    <w:basedOn w:val="TableNormal"/>
    <w:next w:val="TableGrid"/>
    <w:uiPriority w:val="59"/>
    <w:rsid w:val="00AA527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5276"/>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customStyle="1" w:styleId="HERNormal">
    <w:name w:val="HER_Normal"/>
    <w:basedOn w:val="Normal"/>
    <w:qFormat/>
    <w:rsid w:val="00AA5276"/>
    <w:rPr>
      <w:noProof/>
    </w:rPr>
  </w:style>
  <w:style w:type="paragraph" w:customStyle="1" w:styleId="QTBDot">
    <w:name w:val="QTBDot"/>
    <w:basedOn w:val="Normal"/>
    <w:uiPriority w:val="99"/>
    <w:rsid w:val="00AA5276"/>
    <w:pPr>
      <w:spacing w:after="120" w:line="360" w:lineRule="auto"/>
    </w:pPr>
    <w:rPr>
      <w:rFonts w:ascii="Times New Roman" w:eastAsiaTheme="minorHAnsi" w:hAnsi="Times New Roman" w:cs="Times New Roman"/>
      <w:sz w:val="28"/>
      <w:szCs w:val="28"/>
      <w:lang w:eastAsia="en-AU"/>
    </w:rPr>
  </w:style>
  <w:style w:type="paragraph" w:customStyle="1" w:styleId="Pa3">
    <w:name w:val="Pa3"/>
    <w:basedOn w:val="Default"/>
    <w:next w:val="Default"/>
    <w:uiPriority w:val="99"/>
    <w:rsid w:val="00AA5276"/>
    <w:pPr>
      <w:spacing w:line="641" w:lineRule="atLeast"/>
    </w:pPr>
    <w:rPr>
      <w:rFonts w:ascii="Sansa Soft Pro" w:eastAsiaTheme="minorHAnsi" w:hAnsi="Sansa Soft Pro" w:cstheme="minorBidi"/>
      <w:color w:val="auto"/>
      <w:lang w:eastAsia="en-US"/>
    </w:rPr>
  </w:style>
  <w:style w:type="table" w:customStyle="1" w:styleId="TableGrid3">
    <w:name w:val="Table Grid3"/>
    <w:basedOn w:val="TableNormal"/>
    <w:next w:val="TableGrid"/>
    <w:rsid w:val="005D211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hareable">
    <w:name w:val="selectionshareable"/>
    <w:basedOn w:val="Normal"/>
    <w:rsid w:val="000B7C82"/>
    <w:pPr>
      <w:spacing w:before="240" w:after="240" w:line="240" w:lineRule="auto"/>
    </w:pPr>
    <w:rPr>
      <w:rFonts w:ascii="Times New Roman" w:eastAsia="Times New Roman" w:hAnsi="Times New Roman" w:cs="Times New Roman"/>
      <w:sz w:val="24"/>
      <w:szCs w:val="24"/>
      <w:lang w:eastAsia="en-AU"/>
    </w:rPr>
  </w:style>
  <w:style w:type="paragraph" w:customStyle="1" w:styleId="first">
    <w:name w:val="first"/>
    <w:basedOn w:val="Normal"/>
    <w:rsid w:val="000B7C82"/>
    <w:pPr>
      <w:spacing w:after="240" w:line="240" w:lineRule="auto"/>
    </w:pPr>
    <w:rPr>
      <w:rFonts w:ascii="Times New Roman" w:eastAsia="Times New Roman" w:hAnsi="Times New Roman" w:cs="Times New Roman"/>
      <w:sz w:val="24"/>
      <w:szCs w:val="24"/>
      <w:lang w:eastAsia="en-AU"/>
    </w:rPr>
  </w:style>
  <w:style w:type="table" w:customStyle="1" w:styleId="LightShading-Accent52">
    <w:name w:val="Light Shading - Accent 52"/>
    <w:basedOn w:val="TableNormal"/>
    <w:next w:val="LightShading-Accent5"/>
    <w:uiPriority w:val="60"/>
    <w:rsid w:val="00FC4CE2"/>
    <w:pPr>
      <w:spacing w:after="0" w:line="240" w:lineRule="auto"/>
    </w:pPr>
    <w:rPr>
      <w:color w:val="A17428" w:themeColor="accent5" w:themeShade="BF"/>
    </w:rPr>
    <w:tblPr>
      <w:tblStyleRowBandSize w:val="1"/>
      <w:tblStyleColBandSize w:val="1"/>
      <w:tblBorders>
        <w:top w:val="single" w:sz="8" w:space="0" w:color="CF9A3E" w:themeColor="accent5"/>
        <w:bottom w:val="single" w:sz="8" w:space="0" w:color="CF9A3E" w:themeColor="accent5"/>
      </w:tblBorders>
    </w:tblPr>
    <w:tblStylePr w:type="firstRow">
      <w:pPr>
        <w:spacing w:before="0" w:after="0" w:line="240" w:lineRule="auto"/>
      </w:pPr>
      <w:rPr>
        <w:b/>
        <w:bCs/>
      </w:rPr>
      <w:tblPr/>
      <w:tcPr>
        <w:tcBorders>
          <w:top w:val="single" w:sz="8" w:space="0" w:color="CF9A3E" w:themeColor="accent5"/>
          <w:left w:val="nil"/>
          <w:bottom w:val="single" w:sz="8" w:space="0" w:color="CF9A3E" w:themeColor="accent5"/>
          <w:right w:val="nil"/>
          <w:insideH w:val="nil"/>
          <w:insideV w:val="nil"/>
        </w:tcBorders>
      </w:tcPr>
    </w:tblStylePr>
    <w:tblStylePr w:type="lastRow">
      <w:pPr>
        <w:spacing w:before="0" w:after="0" w:line="240" w:lineRule="auto"/>
      </w:pPr>
      <w:rPr>
        <w:b/>
        <w:bCs/>
      </w:rPr>
      <w:tblPr/>
      <w:tcPr>
        <w:tcBorders>
          <w:top w:val="single" w:sz="8" w:space="0" w:color="CF9A3E" w:themeColor="accent5"/>
          <w:left w:val="nil"/>
          <w:bottom w:val="single" w:sz="8" w:space="0" w:color="CF9A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5CF" w:themeFill="accent5" w:themeFillTint="3F"/>
      </w:tcPr>
    </w:tblStylePr>
    <w:tblStylePr w:type="band1Horz">
      <w:tblPr/>
      <w:tcPr>
        <w:tcBorders>
          <w:left w:val="nil"/>
          <w:right w:val="nil"/>
          <w:insideH w:val="nil"/>
          <w:insideV w:val="nil"/>
        </w:tcBorders>
        <w:shd w:val="clear" w:color="auto" w:fill="F3E5CF" w:themeFill="accent5" w:themeFillTint="3F"/>
      </w:tcPr>
    </w:tblStylePr>
  </w:style>
  <w:style w:type="table" w:customStyle="1" w:styleId="TableGrid4">
    <w:name w:val="Table Grid4"/>
    <w:basedOn w:val="TableNormal"/>
    <w:next w:val="TableGrid"/>
    <w:rsid w:val="00786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A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A3205"/>
    <w:rPr>
      <w:rFonts w:cs="Futura Std Book"/>
      <w:color w:val="000000"/>
      <w:sz w:val="20"/>
      <w:szCs w:val="20"/>
    </w:rPr>
  </w:style>
  <w:style w:type="character" w:customStyle="1" w:styleId="A7">
    <w:name w:val="A7"/>
    <w:uiPriority w:val="99"/>
    <w:rsid w:val="005A3205"/>
    <w:rPr>
      <w:rFonts w:cs="Futura Std Book"/>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8519">
      <w:bodyDiv w:val="1"/>
      <w:marLeft w:val="0"/>
      <w:marRight w:val="0"/>
      <w:marTop w:val="0"/>
      <w:marBottom w:val="0"/>
      <w:divBdr>
        <w:top w:val="none" w:sz="0" w:space="0" w:color="auto"/>
        <w:left w:val="none" w:sz="0" w:space="0" w:color="auto"/>
        <w:bottom w:val="none" w:sz="0" w:space="0" w:color="auto"/>
        <w:right w:val="none" w:sz="0" w:space="0" w:color="auto"/>
      </w:divBdr>
      <w:divsChild>
        <w:div w:id="1635134487">
          <w:marLeft w:val="0"/>
          <w:marRight w:val="0"/>
          <w:marTop w:val="0"/>
          <w:marBottom w:val="0"/>
          <w:divBdr>
            <w:top w:val="none" w:sz="0" w:space="0" w:color="auto"/>
            <w:left w:val="none" w:sz="0" w:space="0" w:color="auto"/>
            <w:bottom w:val="none" w:sz="0" w:space="0" w:color="auto"/>
            <w:right w:val="none" w:sz="0" w:space="0" w:color="auto"/>
          </w:divBdr>
          <w:divsChild>
            <w:div w:id="512184992">
              <w:marLeft w:val="0"/>
              <w:marRight w:val="0"/>
              <w:marTop w:val="0"/>
              <w:marBottom w:val="0"/>
              <w:divBdr>
                <w:top w:val="none" w:sz="0" w:space="0" w:color="auto"/>
                <w:left w:val="none" w:sz="0" w:space="0" w:color="auto"/>
                <w:bottom w:val="none" w:sz="0" w:space="0" w:color="auto"/>
                <w:right w:val="none" w:sz="0" w:space="0" w:color="auto"/>
              </w:divBdr>
              <w:divsChild>
                <w:div w:id="310671226">
                  <w:marLeft w:val="0"/>
                  <w:marRight w:val="0"/>
                  <w:marTop w:val="0"/>
                  <w:marBottom w:val="0"/>
                  <w:divBdr>
                    <w:top w:val="none" w:sz="0" w:space="0" w:color="auto"/>
                    <w:left w:val="none" w:sz="0" w:space="0" w:color="auto"/>
                    <w:bottom w:val="none" w:sz="0" w:space="0" w:color="auto"/>
                    <w:right w:val="none" w:sz="0" w:space="0" w:color="auto"/>
                  </w:divBdr>
                  <w:divsChild>
                    <w:div w:id="626740940">
                      <w:marLeft w:val="0"/>
                      <w:marRight w:val="0"/>
                      <w:marTop w:val="0"/>
                      <w:marBottom w:val="0"/>
                      <w:divBdr>
                        <w:top w:val="none" w:sz="0" w:space="0" w:color="auto"/>
                        <w:left w:val="none" w:sz="0" w:space="0" w:color="auto"/>
                        <w:bottom w:val="none" w:sz="0" w:space="0" w:color="auto"/>
                        <w:right w:val="none" w:sz="0" w:space="0" w:color="auto"/>
                      </w:divBdr>
                      <w:divsChild>
                        <w:div w:id="2043240048">
                          <w:marLeft w:val="0"/>
                          <w:marRight w:val="0"/>
                          <w:marTop w:val="0"/>
                          <w:marBottom w:val="0"/>
                          <w:divBdr>
                            <w:top w:val="none" w:sz="0" w:space="0" w:color="auto"/>
                            <w:left w:val="none" w:sz="0" w:space="0" w:color="auto"/>
                            <w:bottom w:val="none" w:sz="0" w:space="0" w:color="auto"/>
                            <w:right w:val="none" w:sz="0" w:space="0" w:color="auto"/>
                          </w:divBdr>
                          <w:divsChild>
                            <w:div w:id="16867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7568">
      <w:bodyDiv w:val="1"/>
      <w:marLeft w:val="0"/>
      <w:marRight w:val="0"/>
      <w:marTop w:val="0"/>
      <w:marBottom w:val="0"/>
      <w:divBdr>
        <w:top w:val="none" w:sz="0" w:space="0" w:color="auto"/>
        <w:left w:val="none" w:sz="0" w:space="0" w:color="auto"/>
        <w:bottom w:val="none" w:sz="0" w:space="0" w:color="auto"/>
        <w:right w:val="none" w:sz="0" w:space="0" w:color="auto"/>
      </w:divBdr>
    </w:div>
    <w:div w:id="97531291">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39603920">
      <w:bodyDiv w:val="1"/>
      <w:marLeft w:val="0"/>
      <w:marRight w:val="0"/>
      <w:marTop w:val="0"/>
      <w:marBottom w:val="0"/>
      <w:divBdr>
        <w:top w:val="none" w:sz="0" w:space="0" w:color="auto"/>
        <w:left w:val="none" w:sz="0" w:space="0" w:color="auto"/>
        <w:bottom w:val="none" w:sz="0" w:space="0" w:color="auto"/>
        <w:right w:val="none" w:sz="0" w:space="0" w:color="auto"/>
      </w:divBdr>
    </w:div>
    <w:div w:id="246233024">
      <w:bodyDiv w:val="1"/>
      <w:marLeft w:val="0"/>
      <w:marRight w:val="0"/>
      <w:marTop w:val="0"/>
      <w:marBottom w:val="0"/>
      <w:divBdr>
        <w:top w:val="none" w:sz="0" w:space="0" w:color="auto"/>
        <w:left w:val="none" w:sz="0" w:space="0" w:color="auto"/>
        <w:bottom w:val="none" w:sz="0" w:space="0" w:color="auto"/>
        <w:right w:val="none" w:sz="0" w:space="0" w:color="auto"/>
      </w:divBdr>
    </w:div>
    <w:div w:id="453451481">
      <w:bodyDiv w:val="1"/>
      <w:marLeft w:val="0"/>
      <w:marRight w:val="0"/>
      <w:marTop w:val="0"/>
      <w:marBottom w:val="0"/>
      <w:divBdr>
        <w:top w:val="none" w:sz="0" w:space="0" w:color="auto"/>
        <w:left w:val="none" w:sz="0" w:space="0" w:color="auto"/>
        <w:bottom w:val="none" w:sz="0" w:space="0" w:color="auto"/>
        <w:right w:val="none" w:sz="0" w:space="0" w:color="auto"/>
      </w:divBdr>
    </w:div>
    <w:div w:id="493571749">
      <w:bodyDiv w:val="1"/>
      <w:marLeft w:val="0"/>
      <w:marRight w:val="0"/>
      <w:marTop w:val="0"/>
      <w:marBottom w:val="0"/>
      <w:divBdr>
        <w:top w:val="none" w:sz="0" w:space="0" w:color="auto"/>
        <w:left w:val="none" w:sz="0" w:space="0" w:color="auto"/>
        <w:bottom w:val="none" w:sz="0" w:space="0" w:color="auto"/>
        <w:right w:val="none" w:sz="0" w:space="0" w:color="auto"/>
      </w:divBdr>
    </w:div>
    <w:div w:id="514195724">
      <w:bodyDiv w:val="1"/>
      <w:marLeft w:val="0"/>
      <w:marRight w:val="0"/>
      <w:marTop w:val="0"/>
      <w:marBottom w:val="0"/>
      <w:divBdr>
        <w:top w:val="none" w:sz="0" w:space="0" w:color="auto"/>
        <w:left w:val="none" w:sz="0" w:space="0" w:color="auto"/>
        <w:bottom w:val="none" w:sz="0" w:space="0" w:color="auto"/>
        <w:right w:val="none" w:sz="0" w:space="0" w:color="auto"/>
      </w:divBdr>
    </w:div>
    <w:div w:id="551234895">
      <w:bodyDiv w:val="1"/>
      <w:marLeft w:val="0"/>
      <w:marRight w:val="0"/>
      <w:marTop w:val="0"/>
      <w:marBottom w:val="0"/>
      <w:divBdr>
        <w:top w:val="none" w:sz="0" w:space="0" w:color="auto"/>
        <w:left w:val="none" w:sz="0" w:space="0" w:color="auto"/>
        <w:bottom w:val="none" w:sz="0" w:space="0" w:color="auto"/>
        <w:right w:val="none" w:sz="0" w:space="0" w:color="auto"/>
      </w:divBdr>
    </w:div>
    <w:div w:id="610090924">
      <w:bodyDiv w:val="1"/>
      <w:marLeft w:val="0"/>
      <w:marRight w:val="0"/>
      <w:marTop w:val="0"/>
      <w:marBottom w:val="0"/>
      <w:divBdr>
        <w:top w:val="none" w:sz="0" w:space="0" w:color="auto"/>
        <w:left w:val="none" w:sz="0" w:space="0" w:color="auto"/>
        <w:bottom w:val="none" w:sz="0" w:space="0" w:color="auto"/>
        <w:right w:val="none" w:sz="0" w:space="0" w:color="auto"/>
      </w:divBdr>
    </w:div>
    <w:div w:id="671378114">
      <w:bodyDiv w:val="1"/>
      <w:marLeft w:val="0"/>
      <w:marRight w:val="0"/>
      <w:marTop w:val="0"/>
      <w:marBottom w:val="0"/>
      <w:divBdr>
        <w:top w:val="none" w:sz="0" w:space="0" w:color="auto"/>
        <w:left w:val="none" w:sz="0" w:space="0" w:color="auto"/>
        <w:bottom w:val="none" w:sz="0" w:space="0" w:color="auto"/>
        <w:right w:val="none" w:sz="0" w:space="0" w:color="auto"/>
      </w:divBdr>
    </w:div>
    <w:div w:id="672143361">
      <w:bodyDiv w:val="1"/>
      <w:marLeft w:val="0"/>
      <w:marRight w:val="0"/>
      <w:marTop w:val="0"/>
      <w:marBottom w:val="0"/>
      <w:divBdr>
        <w:top w:val="none" w:sz="0" w:space="0" w:color="auto"/>
        <w:left w:val="none" w:sz="0" w:space="0" w:color="auto"/>
        <w:bottom w:val="none" w:sz="0" w:space="0" w:color="auto"/>
        <w:right w:val="none" w:sz="0" w:space="0" w:color="auto"/>
      </w:divBdr>
      <w:divsChild>
        <w:div w:id="1020743163">
          <w:marLeft w:val="0"/>
          <w:marRight w:val="0"/>
          <w:marTop w:val="0"/>
          <w:marBottom w:val="0"/>
          <w:divBdr>
            <w:top w:val="none" w:sz="0" w:space="0" w:color="auto"/>
            <w:left w:val="none" w:sz="0" w:space="0" w:color="auto"/>
            <w:bottom w:val="none" w:sz="0" w:space="0" w:color="auto"/>
            <w:right w:val="none" w:sz="0" w:space="0" w:color="auto"/>
          </w:divBdr>
          <w:divsChild>
            <w:div w:id="1531070861">
              <w:marLeft w:val="0"/>
              <w:marRight w:val="0"/>
              <w:marTop w:val="0"/>
              <w:marBottom w:val="0"/>
              <w:divBdr>
                <w:top w:val="none" w:sz="0" w:space="0" w:color="auto"/>
                <w:left w:val="none" w:sz="0" w:space="0" w:color="auto"/>
                <w:bottom w:val="none" w:sz="0" w:space="0" w:color="auto"/>
                <w:right w:val="none" w:sz="0" w:space="0" w:color="auto"/>
              </w:divBdr>
              <w:divsChild>
                <w:div w:id="2131892508">
                  <w:marLeft w:val="0"/>
                  <w:marRight w:val="0"/>
                  <w:marTop w:val="0"/>
                  <w:marBottom w:val="0"/>
                  <w:divBdr>
                    <w:top w:val="none" w:sz="0" w:space="0" w:color="auto"/>
                    <w:left w:val="none" w:sz="0" w:space="0" w:color="auto"/>
                    <w:bottom w:val="none" w:sz="0" w:space="0" w:color="auto"/>
                    <w:right w:val="none" w:sz="0" w:space="0" w:color="auto"/>
                  </w:divBdr>
                  <w:divsChild>
                    <w:div w:id="1402024430">
                      <w:marLeft w:val="0"/>
                      <w:marRight w:val="0"/>
                      <w:marTop w:val="0"/>
                      <w:marBottom w:val="0"/>
                      <w:divBdr>
                        <w:top w:val="none" w:sz="0" w:space="0" w:color="auto"/>
                        <w:left w:val="none" w:sz="0" w:space="0" w:color="auto"/>
                        <w:bottom w:val="none" w:sz="0" w:space="0" w:color="auto"/>
                        <w:right w:val="none" w:sz="0" w:space="0" w:color="auto"/>
                      </w:divBdr>
                      <w:divsChild>
                        <w:div w:id="1608854623">
                          <w:marLeft w:val="0"/>
                          <w:marRight w:val="0"/>
                          <w:marTop w:val="0"/>
                          <w:marBottom w:val="0"/>
                          <w:divBdr>
                            <w:top w:val="none" w:sz="0" w:space="0" w:color="auto"/>
                            <w:left w:val="none" w:sz="0" w:space="0" w:color="auto"/>
                            <w:bottom w:val="none" w:sz="0" w:space="0" w:color="auto"/>
                            <w:right w:val="none" w:sz="0" w:space="0" w:color="auto"/>
                          </w:divBdr>
                          <w:divsChild>
                            <w:div w:id="10961987">
                              <w:marLeft w:val="0"/>
                              <w:marRight w:val="0"/>
                              <w:marTop w:val="0"/>
                              <w:marBottom w:val="0"/>
                              <w:divBdr>
                                <w:top w:val="none" w:sz="0" w:space="0" w:color="auto"/>
                                <w:left w:val="none" w:sz="0" w:space="0" w:color="auto"/>
                                <w:bottom w:val="none" w:sz="0" w:space="0" w:color="auto"/>
                                <w:right w:val="none" w:sz="0" w:space="0" w:color="auto"/>
                              </w:divBdr>
                              <w:divsChild>
                                <w:div w:id="118571559">
                                  <w:marLeft w:val="0"/>
                                  <w:marRight w:val="0"/>
                                  <w:marTop w:val="0"/>
                                  <w:marBottom w:val="0"/>
                                  <w:divBdr>
                                    <w:top w:val="none" w:sz="0" w:space="0" w:color="auto"/>
                                    <w:left w:val="none" w:sz="0" w:space="0" w:color="auto"/>
                                    <w:bottom w:val="none" w:sz="0" w:space="0" w:color="auto"/>
                                    <w:right w:val="none" w:sz="0" w:space="0" w:color="auto"/>
                                  </w:divBdr>
                                  <w:divsChild>
                                    <w:div w:id="3808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88816">
      <w:bodyDiv w:val="1"/>
      <w:marLeft w:val="0"/>
      <w:marRight w:val="0"/>
      <w:marTop w:val="0"/>
      <w:marBottom w:val="0"/>
      <w:divBdr>
        <w:top w:val="none" w:sz="0" w:space="0" w:color="auto"/>
        <w:left w:val="none" w:sz="0" w:space="0" w:color="auto"/>
        <w:bottom w:val="none" w:sz="0" w:space="0" w:color="auto"/>
        <w:right w:val="none" w:sz="0" w:space="0" w:color="auto"/>
      </w:divBdr>
    </w:div>
    <w:div w:id="710493610">
      <w:bodyDiv w:val="1"/>
      <w:marLeft w:val="0"/>
      <w:marRight w:val="0"/>
      <w:marTop w:val="0"/>
      <w:marBottom w:val="0"/>
      <w:divBdr>
        <w:top w:val="none" w:sz="0" w:space="0" w:color="auto"/>
        <w:left w:val="none" w:sz="0" w:space="0" w:color="auto"/>
        <w:bottom w:val="none" w:sz="0" w:space="0" w:color="auto"/>
        <w:right w:val="none" w:sz="0" w:space="0" w:color="auto"/>
      </w:divBdr>
      <w:divsChild>
        <w:div w:id="907961929">
          <w:marLeft w:val="0"/>
          <w:marRight w:val="0"/>
          <w:marTop w:val="0"/>
          <w:marBottom w:val="0"/>
          <w:divBdr>
            <w:top w:val="none" w:sz="0" w:space="0" w:color="auto"/>
            <w:left w:val="none" w:sz="0" w:space="0" w:color="auto"/>
            <w:bottom w:val="none" w:sz="0" w:space="0" w:color="auto"/>
            <w:right w:val="none" w:sz="0" w:space="0" w:color="auto"/>
          </w:divBdr>
          <w:divsChild>
            <w:div w:id="1153375055">
              <w:marLeft w:val="0"/>
              <w:marRight w:val="0"/>
              <w:marTop w:val="0"/>
              <w:marBottom w:val="0"/>
              <w:divBdr>
                <w:top w:val="none" w:sz="0" w:space="0" w:color="auto"/>
                <w:left w:val="none" w:sz="0" w:space="0" w:color="auto"/>
                <w:bottom w:val="none" w:sz="0" w:space="0" w:color="auto"/>
                <w:right w:val="none" w:sz="0" w:space="0" w:color="auto"/>
              </w:divBdr>
              <w:divsChild>
                <w:div w:id="1984651276">
                  <w:marLeft w:val="0"/>
                  <w:marRight w:val="0"/>
                  <w:marTop w:val="0"/>
                  <w:marBottom w:val="0"/>
                  <w:divBdr>
                    <w:top w:val="none" w:sz="0" w:space="0" w:color="auto"/>
                    <w:left w:val="none" w:sz="0" w:space="0" w:color="auto"/>
                    <w:bottom w:val="none" w:sz="0" w:space="0" w:color="auto"/>
                    <w:right w:val="none" w:sz="0" w:space="0" w:color="auto"/>
                  </w:divBdr>
                  <w:divsChild>
                    <w:div w:id="2136214689">
                      <w:marLeft w:val="0"/>
                      <w:marRight w:val="0"/>
                      <w:marTop w:val="0"/>
                      <w:marBottom w:val="0"/>
                      <w:divBdr>
                        <w:top w:val="none" w:sz="0" w:space="0" w:color="auto"/>
                        <w:left w:val="none" w:sz="0" w:space="0" w:color="auto"/>
                        <w:bottom w:val="none" w:sz="0" w:space="0" w:color="auto"/>
                        <w:right w:val="none" w:sz="0" w:space="0" w:color="auto"/>
                      </w:divBdr>
                      <w:divsChild>
                        <w:div w:id="2016150261">
                          <w:marLeft w:val="450"/>
                          <w:marRight w:val="0"/>
                          <w:marTop w:val="0"/>
                          <w:marBottom w:val="0"/>
                          <w:divBdr>
                            <w:top w:val="none" w:sz="0" w:space="0" w:color="auto"/>
                            <w:left w:val="none" w:sz="0" w:space="0" w:color="auto"/>
                            <w:bottom w:val="none" w:sz="0" w:space="0" w:color="auto"/>
                            <w:right w:val="none" w:sz="0" w:space="0" w:color="auto"/>
                          </w:divBdr>
                          <w:divsChild>
                            <w:div w:id="1979801620">
                              <w:marLeft w:val="0"/>
                              <w:marRight w:val="0"/>
                              <w:marTop w:val="0"/>
                              <w:marBottom w:val="0"/>
                              <w:divBdr>
                                <w:top w:val="none" w:sz="0" w:space="0" w:color="auto"/>
                                <w:left w:val="none" w:sz="0" w:space="0" w:color="auto"/>
                                <w:bottom w:val="none" w:sz="0" w:space="0" w:color="auto"/>
                                <w:right w:val="none" w:sz="0" w:space="0" w:color="auto"/>
                              </w:divBdr>
                              <w:divsChild>
                                <w:div w:id="1050686467">
                                  <w:marLeft w:val="0"/>
                                  <w:marRight w:val="0"/>
                                  <w:marTop w:val="0"/>
                                  <w:marBottom w:val="0"/>
                                  <w:divBdr>
                                    <w:top w:val="none" w:sz="0" w:space="0" w:color="auto"/>
                                    <w:left w:val="none" w:sz="0" w:space="0" w:color="auto"/>
                                    <w:bottom w:val="none" w:sz="0" w:space="0" w:color="auto"/>
                                    <w:right w:val="none" w:sz="0" w:space="0" w:color="auto"/>
                                  </w:divBdr>
                                  <w:divsChild>
                                    <w:div w:id="19945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515537">
      <w:bodyDiv w:val="1"/>
      <w:marLeft w:val="0"/>
      <w:marRight w:val="0"/>
      <w:marTop w:val="0"/>
      <w:marBottom w:val="0"/>
      <w:divBdr>
        <w:top w:val="none" w:sz="0" w:space="0" w:color="auto"/>
        <w:left w:val="none" w:sz="0" w:space="0" w:color="auto"/>
        <w:bottom w:val="none" w:sz="0" w:space="0" w:color="auto"/>
        <w:right w:val="none" w:sz="0" w:space="0" w:color="auto"/>
      </w:divBdr>
    </w:div>
    <w:div w:id="777912709">
      <w:bodyDiv w:val="1"/>
      <w:marLeft w:val="0"/>
      <w:marRight w:val="0"/>
      <w:marTop w:val="0"/>
      <w:marBottom w:val="0"/>
      <w:divBdr>
        <w:top w:val="none" w:sz="0" w:space="0" w:color="auto"/>
        <w:left w:val="none" w:sz="0" w:space="0" w:color="auto"/>
        <w:bottom w:val="none" w:sz="0" w:space="0" w:color="auto"/>
        <w:right w:val="none" w:sz="0" w:space="0" w:color="auto"/>
      </w:divBdr>
    </w:div>
    <w:div w:id="807091910">
      <w:bodyDiv w:val="1"/>
      <w:marLeft w:val="0"/>
      <w:marRight w:val="0"/>
      <w:marTop w:val="0"/>
      <w:marBottom w:val="0"/>
      <w:divBdr>
        <w:top w:val="none" w:sz="0" w:space="0" w:color="auto"/>
        <w:left w:val="none" w:sz="0" w:space="0" w:color="auto"/>
        <w:bottom w:val="none" w:sz="0" w:space="0" w:color="auto"/>
        <w:right w:val="none" w:sz="0" w:space="0" w:color="auto"/>
      </w:divBdr>
    </w:div>
    <w:div w:id="838689356">
      <w:bodyDiv w:val="1"/>
      <w:marLeft w:val="0"/>
      <w:marRight w:val="0"/>
      <w:marTop w:val="0"/>
      <w:marBottom w:val="0"/>
      <w:divBdr>
        <w:top w:val="none" w:sz="0" w:space="0" w:color="auto"/>
        <w:left w:val="none" w:sz="0" w:space="0" w:color="auto"/>
        <w:bottom w:val="none" w:sz="0" w:space="0" w:color="auto"/>
        <w:right w:val="none" w:sz="0" w:space="0" w:color="auto"/>
      </w:divBdr>
    </w:div>
    <w:div w:id="849102792">
      <w:bodyDiv w:val="1"/>
      <w:marLeft w:val="0"/>
      <w:marRight w:val="0"/>
      <w:marTop w:val="0"/>
      <w:marBottom w:val="0"/>
      <w:divBdr>
        <w:top w:val="none" w:sz="0" w:space="0" w:color="auto"/>
        <w:left w:val="none" w:sz="0" w:space="0" w:color="auto"/>
        <w:bottom w:val="none" w:sz="0" w:space="0" w:color="auto"/>
        <w:right w:val="none" w:sz="0" w:space="0" w:color="auto"/>
      </w:divBdr>
    </w:div>
    <w:div w:id="860826179">
      <w:bodyDiv w:val="1"/>
      <w:marLeft w:val="0"/>
      <w:marRight w:val="0"/>
      <w:marTop w:val="0"/>
      <w:marBottom w:val="0"/>
      <w:divBdr>
        <w:top w:val="none" w:sz="0" w:space="0" w:color="auto"/>
        <w:left w:val="none" w:sz="0" w:space="0" w:color="auto"/>
        <w:bottom w:val="none" w:sz="0" w:space="0" w:color="auto"/>
        <w:right w:val="none" w:sz="0" w:space="0" w:color="auto"/>
      </w:divBdr>
    </w:div>
    <w:div w:id="924414251">
      <w:bodyDiv w:val="1"/>
      <w:marLeft w:val="0"/>
      <w:marRight w:val="0"/>
      <w:marTop w:val="0"/>
      <w:marBottom w:val="0"/>
      <w:divBdr>
        <w:top w:val="none" w:sz="0" w:space="0" w:color="auto"/>
        <w:left w:val="none" w:sz="0" w:space="0" w:color="auto"/>
        <w:bottom w:val="none" w:sz="0" w:space="0" w:color="auto"/>
        <w:right w:val="none" w:sz="0" w:space="0" w:color="auto"/>
      </w:divBdr>
    </w:div>
    <w:div w:id="978145691">
      <w:bodyDiv w:val="1"/>
      <w:marLeft w:val="0"/>
      <w:marRight w:val="0"/>
      <w:marTop w:val="0"/>
      <w:marBottom w:val="0"/>
      <w:divBdr>
        <w:top w:val="none" w:sz="0" w:space="0" w:color="auto"/>
        <w:left w:val="none" w:sz="0" w:space="0" w:color="auto"/>
        <w:bottom w:val="none" w:sz="0" w:space="0" w:color="auto"/>
        <w:right w:val="none" w:sz="0" w:space="0" w:color="auto"/>
      </w:divBdr>
    </w:div>
    <w:div w:id="988677359">
      <w:bodyDiv w:val="1"/>
      <w:marLeft w:val="0"/>
      <w:marRight w:val="0"/>
      <w:marTop w:val="0"/>
      <w:marBottom w:val="0"/>
      <w:divBdr>
        <w:top w:val="none" w:sz="0" w:space="0" w:color="auto"/>
        <w:left w:val="none" w:sz="0" w:space="0" w:color="auto"/>
        <w:bottom w:val="none" w:sz="0" w:space="0" w:color="auto"/>
        <w:right w:val="none" w:sz="0" w:space="0" w:color="auto"/>
      </w:divBdr>
    </w:div>
    <w:div w:id="1033338789">
      <w:bodyDiv w:val="1"/>
      <w:marLeft w:val="0"/>
      <w:marRight w:val="0"/>
      <w:marTop w:val="0"/>
      <w:marBottom w:val="0"/>
      <w:divBdr>
        <w:top w:val="none" w:sz="0" w:space="0" w:color="auto"/>
        <w:left w:val="none" w:sz="0" w:space="0" w:color="auto"/>
        <w:bottom w:val="none" w:sz="0" w:space="0" w:color="auto"/>
        <w:right w:val="none" w:sz="0" w:space="0" w:color="auto"/>
      </w:divBdr>
    </w:div>
    <w:div w:id="1088890680">
      <w:bodyDiv w:val="1"/>
      <w:marLeft w:val="0"/>
      <w:marRight w:val="0"/>
      <w:marTop w:val="0"/>
      <w:marBottom w:val="0"/>
      <w:divBdr>
        <w:top w:val="none" w:sz="0" w:space="0" w:color="auto"/>
        <w:left w:val="none" w:sz="0" w:space="0" w:color="auto"/>
        <w:bottom w:val="none" w:sz="0" w:space="0" w:color="auto"/>
        <w:right w:val="none" w:sz="0" w:space="0" w:color="auto"/>
      </w:divBdr>
    </w:div>
    <w:div w:id="1288975564">
      <w:bodyDiv w:val="1"/>
      <w:marLeft w:val="0"/>
      <w:marRight w:val="0"/>
      <w:marTop w:val="0"/>
      <w:marBottom w:val="0"/>
      <w:divBdr>
        <w:top w:val="none" w:sz="0" w:space="0" w:color="auto"/>
        <w:left w:val="none" w:sz="0" w:space="0" w:color="auto"/>
        <w:bottom w:val="none" w:sz="0" w:space="0" w:color="auto"/>
        <w:right w:val="none" w:sz="0" w:space="0" w:color="auto"/>
      </w:divBdr>
    </w:div>
    <w:div w:id="1316302308">
      <w:bodyDiv w:val="1"/>
      <w:marLeft w:val="0"/>
      <w:marRight w:val="0"/>
      <w:marTop w:val="0"/>
      <w:marBottom w:val="0"/>
      <w:divBdr>
        <w:top w:val="none" w:sz="0" w:space="0" w:color="auto"/>
        <w:left w:val="none" w:sz="0" w:space="0" w:color="auto"/>
        <w:bottom w:val="none" w:sz="0" w:space="0" w:color="auto"/>
        <w:right w:val="none" w:sz="0" w:space="0" w:color="auto"/>
      </w:divBdr>
    </w:div>
    <w:div w:id="1317303686">
      <w:bodyDiv w:val="1"/>
      <w:marLeft w:val="0"/>
      <w:marRight w:val="0"/>
      <w:marTop w:val="0"/>
      <w:marBottom w:val="0"/>
      <w:divBdr>
        <w:top w:val="none" w:sz="0" w:space="0" w:color="auto"/>
        <w:left w:val="none" w:sz="0" w:space="0" w:color="auto"/>
        <w:bottom w:val="none" w:sz="0" w:space="0" w:color="auto"/>
        <w:right w:val="none" w:sz="0" w:space="0" w:color="auto"/>
      </w:divBdr>
    </w:div>
    <w:div w:id="1471630750">
      <w:bodyDiv w:val="1"/>
      <w:marLeft w:val="0"/>
      <w:marRight w:val="0"/>
      <w:marTop w:val="0"/>
      <w:marBottom w:val="0"/>
      <w:divBdr>
        <w:top w:val="none" w:sz="0" w:space="0" w:color="auto"/>
        <w:left w:val="none" w:sz="0" w:space="0" w:color="auto"/>
        <w:bottom w:val="none" w:sz="0" w:space="0" w:color="auto"/>
        <w:right w:val="none" w:sz="0" w:space="0" w:color="auto"/>
      </w:divBdr>
    </w:div>
    <w:div w:id="1496606897">
      <w:bodyDiv w:val="1"/>
      <w:marLeft w:val="0"/>
      <w:marRight w:val="0"/>
      <w:marTop w:val="0"/>
      <w:marBottom w:val="0"/>
      <w:divBdr>
        <w:top w:val="none" w:sz="0" w:space="0" w:color="auto"/>
        <w:left w:val="none" w:sz="0" w:space="0" w:color="auto"/>
        <w:bottom w:val="none" w:sz="0" w:space="0" w:color="auto"/>
        <w:right w:val="none" w:sz="0" w:space="0" w:color="auto"/>
      </w:divBdr>
    </w:div>
    <w:div w:id="1516310175">
      <w:bodyDiv w:val="1"/>
      <w:marLeft w:val="0"/>
      <w:marRight w:val="0"/>
      <w:marTop w:val="0"/>
      <w:marBottom w:val="0"/>
      <w:divBdr>
        <w:top w:val="none" w:sz="0" w:space="0" w:color="auto"/>
        <w:left w:val="none" w:sz="0" w:space="0" w:color="auto"/>
        <w:bottom w:val="none" w:sz="0" w:space="0" w:color="auto"/>
        <w:right w:val="none" w:sz="0" w:space="0" w:color="auto"/>
      </w:divBdr>
    </w:div>
    <w:div w:id="1549804554">
      <w:bodyDiv w:val="1"/>
      <w:marLeft w:val="0"/>
      <w:marRight w:val="0"/>
      <w:marTop w:val="0"/>
      <w:marBottom w:val="0"/>
      <w:divBdr>
        <w:top w:val="none" w:sz="0" w:space="0" w:color="auto"/>
        <w:left w:val="none" w:sz="0" w:space="0" w:color="auto"/>
        <w:bottom w:val="none" w:sz="0" w:space="0" w:color="auto"/>
        <w:right w:val="none" w:sz="0" w:space="0" w:color="auto"/>
      </w:divBdr>
    </w:div>
    <w:div w:id="1564835099">
      <w:bodyDiv w:val="1"/>
      <w:marLeft w:val="0"/>
      <w:marRight w:val="0"/>
      <w:marTop w:val="0"/>
      <w:marBottom w:val="0"/>
      <w:divBdr>
        <w:top w:val="none" w:sz="0" w:space="0" w:color="auto"/>
        <w:left w:val="none" w:sz="0" w:space="0" w:color="auto"/>
        <w:bottom w:val="none" w:sz="0" w:space="0" w:color="auto"/>
        <w:right w:val="none" w:sz="0" w:space="0" w:color="auto"/>
      </w:divBdr>
    </w:div>
    <w:div w:id="1576671559">
      <w:bodyDiv w:val="1"/>
      <w:marLeft w:val="0"/>
      <w:marRight w:val="0"/>
      <w:marTop w:val="0"/>
      <w:marBottom w:val="0"/>
      <w:divBdr>
        <w:top w:val="none" w:sz="0" w:space="0" w:color="auto"/>
        <w:left w:val="none" w:sz="0" w:space="0" w:color="auto"/>
        <w:bottom w:val="none" w:sz="0" w:space="0" w:color="auto"/>
        <w:right w:val="none" w:sz="0" w:space="0" w:color="auto"/>
      </w:divBdr>
    </w:div>
    <w:div w:id="1609194873">
      <w:bodyDiv w:val="1"/>
      <w:marLeft w:val="0"/>
      <w:marRight w:val="0"/>
      <w:marTop w:val="0"/>
      <w:marBottom w:val="0"/>
      <w:divBdr>
        <w:top w:val="none" w:sz="0" w:space="0" w:color="auto"/>
        <w:left w:val="none" w:sz="0" w:space="0" w:color="auto"/>
        <w:bottom w:val="none" w:sz="0" w:space="0" w:color="auto"/>
        <w:right w:val="none" w:sz="0" w:space="0" w:color="auto"/>
      </w:divBdr>
    </w:div>
    <w:div w:id="1708990703">
      <w:bodyDiv w:val="1"/>
      <w:marLeft w:val="0"/>
      <w:marRight w:val="0"/>
      <w:marTop w:val="0"/>
      <w:marBottom w:val="0"/>
      <w:divBdr>
        <w:top w:val="none" w:sz="0" w:space="0" w:color="auto"/>
        <w:left w:val="none" w:sz="0" w:space="0" w:color="auto"/>
        <w:bottom w:val="none" w:sz="0" w:space="0" w:color="auto"/>
        <w:right w:val="none" w:sz="0" w:space="0" w:color="auto"/>
      </w:divBdr>
    </w:div>
    <w:div w:id="1901555005">
      <w:bodyDiv w:val="1"/>
      <w:marLeft w:val="0"/>
      <w:marRight w:val="0"/>
      <w:marTop w:val="0"/>
      <w:marBottom w:val="0"/>
      <w:divBdr>
        <w:top w:val="none" w:sz="0" w:space="0" w:color="auto"/>
        <w:left w:val="none" w:sz="0" w:space="0" w:color="auto"/>
        <w:bottom w:val="none" w:sz="0" w:space="0" w:color="auto"/>
        <w:right w:val="none" w:sz="0" w:space="0" w:color="auto"/>
      </w:divBdr>
      <w:divsChild>
        <w:div w:id="2010405770">
          <w:marLeft w:val="0"/>
          <w:marRight w:val="0"/>
          <w:marTop w:val="0"/>
          <w:marBottom w:val="0"/>
          <w:divBdr>
            <w:top w:val="none" w:sz="0" w:space="0" w:color="auto"/>
            <w:left w:val="none" w:sz="0" w:space="0" w:color="auto"/>
            <w:bottom w:val="none" w:sz="0" w:space="0" w:color="auto"/>
            <w:right w:val="none" w:sz="0" w:space="0" w:color="auto"/>
          </w:divBdr>
          <w:divsChild>
            <w:div w:id="1905943172">
              <w:marLeft w:val="0"/>
              <w:marRight w:val="0"/>
              <w:marTop w:val="0"/>
              <w:marBottom w:val="0"/>
              <w:divBdr>
                <w:top w:val="none" w:sz="0" w:space="0" w:color="auto"/>
                <w:left w:val="none" w:sz="0" w:space="0" w:color="auto"/>
                <w:bottom w:val="none" w:sz="0" w:space="0" w:color="auto"/>
                <w:right w:val="none" w:sz="0" w:space="0" w:color="auto"/>
              </w:divBdr>
              <w:divsChild>
                <w:div w:id="1829245933">
                  <w:marLeft w:val="0"/>
                  <w:marRight w:val="0"/>
                  <w:marTop w:val="0"/>
                  <w:marBottom w:val="0"/>
                  <w:divBdr>
                    <w:top w:val="none" w:sz="0" w:space="0" w:color="auto"/>
                    <w:left w:val="none" w:sz="0" w:space="0" w:color="auto"/>
                    <w:bottom w:val="none" w:sz="0" w:space="0" w:color="auto"/>
                    <w:right w:val="none" w:sz="0" w:space="0" w:color="auto"/>
                  </w:divBdr>
                  <w:divsChild>
                    <w:div w:id="358623234">
                      <w:marLeft w:val="0"/>
                      <w:marRight w:val="0"/>
                      <w:marTop w:val="0"/>
                      <w:marBottom w:val="0"/>
                      <w:divBdr>
                        <w:top w:val="none" w:sz="0" w:space="0" w:color="auto"/>
                        <w:left w:val="none" w:sz="0" w:space="0" w:color="auto"/>
                        <w:bottom w:val="none" w:sz="0" w:space="0" w:color="auto"/>
                        <w:right w:val="none" w:sz="0" w:space="0" w:color="auto"/>
                      </w:divBdr>
                      <w:divsChild>
                        <w:div w:id="128859608">
                          <w:marLeft w:val="0"/>
                          <w:marRight w:val="0"/>
                          <w:marTop w:val="0"/>
                          <w:marBottom w:val="0"/>
                          <w:divBdr>
                            <w:top w:val="none" w:sz="0" w:space="0" w:color="auto"/>
                            <w:left w:val="none" w:sz="0" w:space="0" w:color="auto"/>
                            <w:bottom w:val="none" w:sz="0" w:space="0" w:color="auto"/>
                            <w:right w:val="none" w:sz="0" w:space="0" w:color="auto"/>
                          </w:divBdr>
                          <w:divsChild>
                            <w:div w:id="2130659867">
                              <w:marLeft w:val="0"/>
                              <w:marRight w:val="0"/>
                              <w:marTop w:val="0"/>
                              <w:marBottom w:val="0"/>
                              <w:divBdr>
                                <w:top w:val="none" w:sz="0" w:space="0" w:color="auto"/>
                                <w:left w:val="none" w:sz="0" w:space="0" w:color="auto"/>
                                <w:bottom w:val="none" w:sz="0" w:space="0" w:color="auto"/>
                                <w:right w:val="none" w:sz="0" w:space="0" w:color="auto"/>
                              </w:divBdr>
                              <w:divsChild>
                                <w:div w:id="1612857578">
                                  <w:marLeft w:val="0"/>
                                  <w:marRight w:val="0"/>
                                  <w:marTop w:val="0"/>
                                  <w:marBottom w:val="0"/>
                                  <w:divBdr>
                                    <w:top w:val="none" w:sz="0" w:space="0" w:color="auto"/>
                                    <w:left w:val="none" w:sz="0" w:space="0" w:color="auto"/>
                                    <w:bottom w:val="none" w:sz="0" w:space="0" w:color="auto"/>
                                    <w:right w:val="none" w:sz="0" w:space="0" w:color="auto"/>
                                  </w:divBdr>
                                  <w:divsChild>
                                    <w:div w:id="285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966702">
      <w:bodyDiv w:val="1"/>
      <w:marLeft w:val="0"/>
      <w:marRight w:val="0"/>
      <w:marTop w:val="0"/>
      <w:marBottom w:val="0"/>
      <w:divBdr>
        <w:top w:val="none" w:sz="0" w:space="0" w:color="auto"/>
        <w:left w:val="none" w:sz="0" w:space="0" w:color="auto"/>
        <w:bottom w:val="none" w:sz="0" w:space="0" w:color="auto"/>
        <w:right w:val="none" w:sz="0" w:space="0" w:color="auto"/>
      </w:divBdr>
    </w:div>
    <w:div w:id="2044011423">
      <w:bodyDiv w:val="1"/>
      <w:marLeft w:val="0"/>
      <w:marRight w:val="0"/>
      <w:marTop w:val="0"/>
      <w:marBottom w:val="0"/>
      <w:divBdr>
        <w:top w:val="none" w:sz="0" w:space="0" w:color="auto"/>
        <w:left w:val="none" w:sz="0" w:space="0" w:color="auto"/>
        <w:bottom w:val="none" w:sz="0" w:space="0" w:color="auto"/>
        <w:right w:val="none" w:sz="0" w:space="0" w:color="auto"/>
      </w:divBdr>
    </w:div>
    <w:div w:id="21258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cid:image001.png@01CC5B5E.C6C8499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dnet.hosts.network/education/Resources/Documents/CC%20BY%204.0%20Internationa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ducation.gov.au/higher-education-standards-panel-hesp-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net.hosts.network/education/Resources/Documents/Creative%20Commons%20Attribution%204.0%20Internation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csehe.edu.au/release-of-the-final-report-of-the-higher-education-participation-and-partnerships-program-heppp-evaluation/"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pp.iru.edu.au/national-innovation-case-study-collection/" TargetMode="External"/><Relationship Id="rId2" Type="http://schemas.openxmlformats.org/officeDocument/2006/relationships/hyperlink" Target="https://docs.education.gov.au/system/files/doc/other/admissions_tranpsarency_implementation_plan_june_2017.pdf" TargetMode="External"/><Relationship Id="rId1" Type="http://schemas.openxmlformats.org/officeDocument/2006/relationships/hyperlink" Target="https://www.education.gov.au/higher-education-participation-and-partnerships-programme-hepp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AE697DB32E41728AE4188BAD1446EA"/>
        <w:category>
          <w:name w:val="General"/>
          <w:gallery w:val="placeholder"/>
        </w:category>
        <w:types>
          <w:type w:val="bbPlcHdr"/>
        </w:types>
        <w:behaviors>
          <w:behavior w:val="content"/>
        </w:behaviors>
        <w:guid w:val="{5E251C03-C87D-4746-A2A8-EC2DA8E4DA69}"/>
      </w:docPartPr>
      <w:docPartBody>
        <w:p w:rsidR="00D95839" w:rsidRDefault="00D95839">
          <w:pPr>
            <w:pStyle w:val="9FAE697DB32E41728AE4188BAD1446EA"/>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ansa Soft Pro">
    <w:altName w:val="Sansa Soft Pro"/>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39"/>
    <w:rsid w:val="000123B2"/>
    <w:rsid w:val="00074F8E"/>
    <w:rsid w:val="000A101D"/>
    <w:rsid w:val="000C1988"/>
    <w:rsid w:val="00131E32"/>
    <w:rsid w:val="0013365E"/>
    <w:rsid w:val="00172A13"/>
    <w:rsid w:val="00196B11"/>
    <w:rsid w:val="001E6354"/>
    <w:rsid w:val="00203543"/>
    <w:rsid w:val="00210752"/>
    <w:rsid w:val="003171B6"/>
    <w:rsid w:val="00333AF5"/>
    <w:rsid w:val="003842CE"/>
    <w:rsid w:val="00434CCE"/>
    <w:rsid w:val="0049509F"/>
    <w:rsid w:val="004E5775"/>
    <w:rsid w:val="00501B9E"/>
    <w:rsid w:val="0057342E"/>
    <w:rsid w:val="00587AFF"/>
    <w:rsid w:val="005979FE"/>
    <w:rsid w:val="00597C8F"/>
    <w:rsid w:val="005F5C95"/>
    <w:rsid w:val="00622CB0"/>
    <w:rsid w:val="00681A22"/>
    <w:rsid w:val="0068410C"/>
    <w:rsid w:val="0075535F"/>
    <w:rsid w:val="007B79FE"/>
    <w:rsid w:val="008E1FBB"/>
    <w:rsid w:val="008F1B7F"/>
    <w:rsid w:val="008F7FA3"/>
    <w:rsid w:val="009335E9"/>
    <w:rsid w:val="00950008"/>
    <w:rsid w:val="0095161B"/>
    <w:rsid w:val="0095679F"/>
    <w:rsid w:val="00981B80"/>
    <w:rsid w:val="009C06BF"/>
    <w:rsid w:val="009D358C"/>
    <w:rsid w:val="009D6E74"/>
    <w:rsid w:val="00A1165E"/>
    <w:rsid w:val="00A25869"/>
    <w:rsid w:val="00AA77D1"/>
    <w:rsid w:val="00AD1F1B"/>
    <w:rsid w:val="00B56FA2"/>
    <w:rsid w:val="00BC2EB0"/>
    <w:rsid w:val="00BD602E"/>
    <w:rsid w:val="00BE3415"/>
    <w:rsid w:val="00BE6B16"/>
    <w:rsid w:val="00C17F59"/>
    <w:rsid w:val="00C6104E"/>
    <w:rsid w:val="00CE52A3"/>
    <w:rsid w:val="00CF7381"/>
    <w:rsid w:val="00D95839"/>
    <w:rsid w:val="00DA453E"/>
    <w:rsid w:val="00DF7563"/>
    <w:rsid w:val="00DF7A0C"/>
    <w:rsid w:val="00E6260B"/>
    <w:rsid w:val="00EC3F89"/>
    <w:rsid w:val="00ED4CC3"/>
    <w:rsid w:val="00EF01BD"/>
    <w:rsid w:val="00FF3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42E"/>
    <w:rPr>
      <w:color w:val="808080"/>
    </w:rPr>
  </w:style>
  <w:style w:type="paragraph" w:customStyle="1" w:styleId="9FAE697DB32E41728AE4188BAD1446EA">
    <w:name w:val="9FAE697DB32E41728AE4188BAD1446EA"/>
  </w:style>
  <w:style w:type="paragraph" w:customStyle="1" w:styleId="26C3620ED44345EDAD76FD2A36FF8714">
    <w:name w:val="26C3620ED44345EDAD76FD2A36FF8714"/>
    <w:rsid w:val="0057342E"/>
  </w:style>
  <w:style w:type="paragraph" w:customStyle="1" w:styleId="7B96B17928ED4923AADC16FB1B520982">
    <w:name w:val="7B96B17928ED4923AADC16FB1B520982"/>
    <w:rsid w:val="00573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6e26f7bbe0934d3413583fd02f766c7a">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5d9b39211c8fa6c7874c4e5bf418705d"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4C30-6D86-487A-8B5B-3A5DEC44818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a0bbd5-585e-4472-9791-5df67fe41a90"/>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C1EC45F-5108-4DFB-9409-93A12F348B98}">
  <ds:schemaRefs>
    <ds:schemaRef ds:uri="http://schemas.microsoft.com/sharepoint/v3/contenttype/forms"/>
  </ds:schemaRefs>
</ds:datastoreItem>
</file>

<file path=customXml/itemProps3.xml><?xml version="1.0" encoding="utf-8"?>
<ds:datastoreItem xmlns:ds="http://schemas.openxmlformats.org/officeDocument/2006/customXml" ds:itemID="{A30067C1-6116-413B-A174-07CA9A16B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6939D-6868-44D1-AE54-49BD3567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7D9E6AD7.dotm</Template>
  <TotalTime>11</TotalTime>
  <Pages>54</Pages>
  <Words>18072</Words>
  <Characters>103011</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FINAL REPORT - Improving retention, completion and success in higher education</vt:lpstr>
    </vt:vector>
  </TitlesOfParts>
  <Company>Australian Government</Company>
  <LinksUpToDate>false</LinksUpToDate>
  <CharactersWithSpaces>120842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 Improving retention, completion and success in higher education</dc:title>
  <dc:creator>Lily Alting</dc:creator>
  <cp:lastModifiedBy>DE LUCA,Liz</cp:lastModifiedBy>
  <cp:revision>3</cp:revision>
  <cp:lastPrinted>2018-06-06T21:35:00Z</cp:lastPrinted>
  <dcterms:created xsi:type="dcterms:W3CDTF">2018-06-06T21:35:00Z</dcterms:created>
  <dcterms:modified xsi:type="dcterms:W3CDTF">2018-06-06T21:38:00Z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