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66" w:rsidRPr="00AB2766" w:rsidRDefault="00AB2766" w:rsidP="00D07F3B">
      <w:pPr>
        <w:pStyle w:val="Heading1"/>
        <w:spacing w:after="0"/>
        <w:jc w:val="both"/>
        <w:rPr>
          <w:color w:val="auto"/>
          <w:sz w:val="28"/>
          <w:szCs w:val="26"/>
        </w:rPr>
      </w:pPr>
    </w:p>
    <w:p w:rsidR="00E75A27" w:rsidRDefault="00E75A27" w:rsidP="00D07F3B">
      <w:pPr>
        <w:pStyle w:val="Heading1"/>
        <w:spacing w:after="0"/>
        <w:jc w:val="both"/>
      </w:pPr>
      <w:r w:rsidRPr="00E75A27">
        <w:t>ACCESS AND PARTICIPATION PLAN 2018</w:t>
      </w:r>
    </w:p>
    <w:p w:rsidR="00E75A27" w:rsidRPr="00E75A27" w:rsidRDefault="00D77309" w:rsidP="00D07F3B">
      <w:pPr>
        <w:pStyle w:val="Heading2"/>
        <w:spacing w:before="0" w:line="240" w:lineRule="auto"/>
        <w:jc w:val="both"/>
      </w:pPr>
      <w:r>
        <w:t>University of New England</w:t>
      </w:r>
    </w:p>
    <w:p w:rsidR="00E75A27" w:rsidRDefault="00E75A27" w:rsidP="00D07F3B">
      <w:pPr>
        <w:spacing w:after="0" w:line="240" w:lineRule="auto"/>
        <w:jc w:val="both"/>
        <w:rPr>
          <w:rFonts w:ascii="Calibri" w:hAnsi="Calibri" w:cstheme="minorHAnsi"/>
        </w:rPr>
      </w:pPr>
    </w:p>
    <w:p w:rsidR="00E12200" w:rsidRPr="00807718" w:rsidRDefault="00E12200" w:rsidP="00D07F3B">
      <w:pPr>
        <w:spacing w:after="0" w:line="240" w:lineRule="auto"/>
        <w:jc w:val="both"/>
        <w:rPr>
          <w:rFonts w:cstheme="minorHAnsi"/>
        </w:rPr>
      </w:pPr>
      <w:r w:rsidRPr="00807718">
        <w:rPr>
          <w:rFonts w:cstheme="minorHAnsi"/>
        </w:rPr>
        <w:t>The University’s Access and Participation plan will promote the increased participation</w:t>
      </w:r>
      <w:r w:rsidR="00807718">
        <w:rPr>
          <w:rFonts w:cstheme="minorHAnsi"/>
        </w:rPr>
        <w:t xml:space="preserve"> and progression</w:t>
      </w:r>
      <w:r w:rsidRPr="00807718">
        <w:rPr>
          <w:rFonts w:cstheme="minorHAnsi"/>
        </w:rPr>
        <w:t xml:space="preserve"> of domestic undergraduate students from low socioeconomic backgrounds in Higher Education.</w:t>
      </w:r>
    </w:p>
    <w:p w:rsidR="00E12200" w:rsidRDefault="00E12200" w:rsidP="00D07F3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7309" w:rsidRDefault="00E75A27" w:rsidP="00D07F3B">
      <w:pPr>
        <w:pStyle w:val="ListNumber"/>
        <w:numPr>
          <w:ilvl w:val="0"/>
          <w:numId w:val="27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12BE3">
        <w:rPr>
          <w:b/>
          <w:sz w:val="24"/>
          <w:szCs w:val="24"/>
        </w:rPr>
        <w:t>Equity outcomes</w:t>
      </w:r>
      <w:r w:rsidR="00BE4F09" w:rsidRPr="00712BE3">
        <w:rPr>
          <w:b/>
          <w:sz w:val="24"/>
          <w:szCs w:val="24"/>
        </w:rPr>
        <w:t xml:space="preserve"> and strategies</w:t>
      </w:r>
      <w:r w:rsidRPr="00712BE3">
        <w:rPr>
          <w:sz w:val="24"/>
          <w:szCs w:val="24"/>
        </w:rPr>
        <w:t>:</w:t>
      </w:r>
    </w:p>
    <w:p w:rsidR="00D77309" w:rsidRDefault="00D77309" w:rsidP="00D07F3B">
      <w:pPr>
        <w:pStyle w:val="ListNumber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00D77309">
        <w:rPr>
          <w:rFonts w:ascii="Calibri" w:hAnsi="Calibri" w:cs="Calibri"/>
          <w:color w:val="000000"/>
        </w:rPr>
        <w:t>To encour</w:t>
      </w:r>
      <w:r>
        <w:rPr>
          <w:rFonts w:ascii="Calibri" w:hAnsi="Calibri" w:cs="Calibri"/>
          <w:color w:val="000000"/>
        </w:rPr>
        <w:t xml:space="preserve">age and support diversity </w:t>
      </w:r>
      <w:r w:rsidRPr="00D77309">
        <w:rPr>
          <w:rFonts w:ascii="Calibri" w:hAnsi="Calibri" w:cs="Calibri"/>
          <w:color w:val="000000"/>
        </w:rPr>
        <w:t xml:space="preserve">by increasing opportunities for access, </w:t>
      </w:r>
      <w:r w:rsidR="00E12200">
        <w:rPr>
          <w:rFonts w:ascii="Calibri" w:hAnsi="Calibri" w:cs="Calibri"/>
          <w:color w:val="000000"/>
        </w:rPr>
        <w:t xml:space="preserve">developing strategies </w:t>
      </w:r>
      <w:r>
        <w:rPr>
          <w:rFonts w:ascii="Calibri" w:hAnsi="Calibri" w:cs="Calibri"/>
          <w:color w:val="000000"/>
        </w:rPr>
        <w:t xml:space="preserve">and improving activities to encourage </w:t>
      </w:r>
      <w:r w:rsidRPr="00D77309">
        <w:rPr>
          <w:rFonts w:ascii="Calibri" w:hAnsi="Calibri" w:cs="Calibri"/>
          <w:color w:val="000000"/>
        </w:rPr>
        <w:t>participation and success in higher education</w:t>
      </w:r>
      <w:r w:rsidR="00FE410F">
        <w:rPr>
          <w:rFonts w:ascii="Calibri" w:hAnsi="Calibri" w:cs="Calibri"/>
          <w:color w:val="000000"/>
        </w:rPr>
        <w:t xml:space="preserve"> for all equity groups, including those from a low SES background.</w:t>
      </w:r>
      <w:r w:rsidRPr="00D77309">
        <w:rPr>
          <w:rFonts w:ascii="Calibri" w:hAnsi="Calibri" w:cs="Calibri"/>
          <w:color w:val="000000"/>
        </w:rPr>
        <w:t xml:space="preserve"> </w:t>
      </w:r>
    </w:p>
    <w:p w:rsidR="00D77309" w:rsidRDefault="00D77309" w:rsidP="00D07F3B">
      <w:pPr>
        <w:pStyle w:val="ListNumber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:rsidR="00DA262D" w:rsidRPr="00807718" w:rsidRDefault="00DA262D" w:rsidP="00D07F3B">
      <w:pPr>
        <w:pStyle w:val="ListNumber"/>
        <w:numPr>
          <w:ilvl w:val="0"/>
          <w:numId w:val="0"/>
        </w:numPr>
        <w:spacing w:after="0" w:line="240" w:lineRule="auto"/>
        <w:ind w:left="567" w:hanging="141"/>
        <w:jc w:val="both"/>
        <w:rPr>
          <w:rFonts w:cstheme="minorHAnsi"/>
          <w:b/>
          <w:i/>
          <w:color w:val="000000" w:themeColor="text1"/>
        </w:rPr>
      </w:pPr>
      <w:r w:rsidRPr="00807718">
        <w:rPr>
          <w:rFonts w:cstheme="minorHAnsi"/>
          <w:b/>
          <w:i/>
          <w:color w:val="000000" w:themeColor="text1"/>
        </w:rPr>
        <w:t>PRE-ACCESS</w:t>
      </w:r>
      <w:r w:rsidR="00A16F6E">
        <w:rPr>
          <w:rFonts w:cstheme="minorHAnsi"/>
          <w:b/>
          <w:i/>
          <w:color w:val="000000" w:themeColor="text1"/>
        </w:rPr>
        <w:t xml:space="preserve"> and </w:t>
      </w:r>
      <w:r w:rsidR="00A16F6E" w:rsidRPr="00DE503D">
        <w:rPr>
          <w:rFonts w:cstheme="minorHAnsi"/>
          <w:b/>
          <w:i/>
        </w:rPr>
        <w:t>ACCESS</w:t>
      </w:r>
      <w:r w:rsidR="00A16F6E">
        <w:rPr>
          <w:rFonts w:cstheme="minorHAnsi"/>
          <w:b/>
          <w:i/>
        </w:rPr>
        <w:t>:</w:t>
      </w:r>
    </w:p>
    <w:p w:rsidR="00807718" w:rsidRDefault="00DA262D" w:rsidP="00D07F3B">
      <w:pPr>
        <w:widowControl w:val="0"/>
        <w:spacing w:after="0" w:line="240" w:lineRule="auto"/>
        <w:ind w:left="426"/>
        <w:jc w:val="both"/>
        <w:rPr>
          <w:rFonts w:ascii="Calibri" w:hAnsi="Calibri" w:cs="Arial"/>
        </w:rPr>
      </w:pPr>
      <w:r w:rsidRPr="00807718">
        <w:rPr>
          <w:rFonts w:cstheme="minorHAnsi"/>
        </w:rPr>
        <w:t xml:space="preserve">Expand outreach liaison to increase </w:t>
      </w:r>
      <w:r w:rsidR="00E12200" w:rsidRPr="00807718">
        <w:rPr>
          <w:rFonts w:cstheme="minorHAnsi"/>
        </w:rPr>
        <w:t>interest</w:t>
      </w:r>
      <w:r w:rsidR="001A5E25">
        <w:rPr>
          <w:rFonts w:cstheme="minorHAnsi"/>
        </w:rPr>
        <w:t xml:space="preserve"> and aspirations</w:t>
      </w:r>
      <w:r w:rsidR="00E12200" w:rsidRPr="00807718">
        <w:rPr>
          <w:rFonts w:cstheme="minorHAnsi"/>
        </w:rPr>
        <w:t xml:space="preserve"> of potential students and their families through</w:t>
      </w:r>
      <w:r w:rsidRPr="00807718">
        <w:rPr>
          <w:rFonts w:cstheme="minorHAnsi"/>
        </w:rPr>
        <w:t xml:space="preserve"> comprehensive </w:t>
      </w:r>
      <w:r w:rsidR="00807718" w:rsidRPr="00807718">
        <w:rPr>
          <w:rFonts w:cstheme="minorHAnsi"/>
        </w:rPr>
        <w:t xml:space="preserve">access and </w:t>
      </w:r>
      <w:r w:rsidRPr="00807718">
        <w:rPr>
          <w:rFonts w:cstheme="minorHAnsi"/>
        </w:rPr>
        <w:t>participation program</w:t>
      </w:r>
      <w:r w:rsidR="00E12200" w:rsidRPr="00807718">
        <w:rPr>
          <w:rFonts w:cstheme="minorHAnsi"/>
        </w:rPr>
        <w:t>s</w:t>
      </w:r>
      <w:r w:rsidR="00807718">
        <w:rPr>
          <w:rFonts w:cstheme="minorHAnsi"/>
        </w:rPr>
        <w:t xml:space="preserve"> and </w:t>
      </w:r>
      <w:r w:rsidR="00807718">
        <w:rPr>
          <w:rFonts w:ascii="Calibri" w:hAnsi="Calibri" w:cs="Arial"/>
        </w:rPr>
        <w:t xml:space="preserve">partnerships that </w:t>
      </w:r>
      <w:r w:rsidR="001A5E25">
        <w:rPr>
          <w:rFonts w:ascii="Calibri" w:hAnsi="Calibri" w:cs="Arial"/>
        </w:rPr>
        <w:t>provide</w:t>
      </w:r>
      <w:r w:rsidR="00807718">
        <w:rPr>
          <w:rFonts w:ascii="Calibri" w:hAnsi="Calibri" w:cs="Arial"/>
        </w:rPr>
        <w:t xml:space="preserve"> a sustainable outreach &amp; engagement model for UNE </w:t>
      </w:r>
      <w:r w:rsidR="00807718">
        <w:rPr>
          <w:rFonts w:cstheme="minorHAnsi"/>
        </w:rPr>
        <w:t xml:space="preserve">through the delivery of key activities, such as:  </w:t>
      </w:r>
    </w:p>
    <w:p w:rsidR="00807718" w:rsidRDefault="00807718" w:rsidP="00D07F3B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 w:rsidRPr="00807718">
        <w:rPr>
          <w:rFonts w:cstheme="minorHAnsi"/>
        </w:rPr>
        <w:t>Discovery Road Show</w:t>
      </w:r>
      <w:r w:rsidR="003463E5">
        <w:rPr>
          <w:rFonts w:cstheme="minorHAnsi"/>
        </w:rPr>
        <w:t>;</w:t>
      </w:r>
    </w:p>
    <w:p w:rsidR="006F2109" w:rsidRDefault="00807718" w:rsidP="006F2109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 w:rsidRPr="007F0366">
        <w:rPr>
          <w:rFonts w:cstheme="minorHAnsi"/>
        </w:rPr>
        <w:t>HSC Booster Days</w:t>
      </w:r>
      <w:r w:rsidR="003463E5">
        <w:rPr>
          <w:rFonts w:cstheme="minorHAnsi"/>
        </w:rPr>
        <w:t>;</w:t>
      </w:r>
    </w:p>
    <w:p w:rsidR="00807718" w:rsidRPr="006F2109" w:rsidRDefault="006F2109" w:rsidP="006F2109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 w:rsidRPr="006F2109">
        <w:rPr>
          <w:rFonts w:ascii="Calibri" w:hAnsi="Calibri" w:cs="Calibri"/>
          <w:color w:val="000000"/>
          <w:sz w:val="20"/>
          <w:szCs w:val="20"/>
        </w:rPr>
        <w:t>F</w:t>
      </w:r>
      <w:r w:rsidR="00807718" w:rsidRPr="006F2109">
        <w:rPr>
          <w:rFonts w:cstheme="minorHAnsi"/>
        </w:rPr>
        <w:t>ield Days</w:t>
      </w:r>
      <w:r w:rsidR="003463E5" w:rsidRPr="006F2109">
        <w:rPr>
          <w:rFonts w:cstheme="minorHAnsi"/>
        </w:rPr>
        <w:t>;</w:t>
      </w:r>
    </w:p>
    <w:p w:rsidR="00DA262D" w:rsidRPr="00807718" w:rsidRDefault="00DA262D" w:rsidP="00D07F3B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 w:rsidRPr="00807718">
        <w:rPr>
          <w:rFonts w:cstheme="minorHAnsi"/>
        </w:rPr>
        <w:t>Careers Fairs (mobile)</w:t>
      </w:r>
      <w:r w:rsidR="003463E5">
        <w:rPr>
          <w:rFonts w:cstheme="minorHAnsi"/>
        </w:rPr>
        <w:t>;</w:t>
      </w:r>
      <w:r w:rsidRPr="00807718">
        <w:rPr>
          <w:rFonts w:cstheme="minorHAnsi"/>
        </w:rPr>
        <w:t xml:space="preserve"> </w:t>
      </w:r>
    </w:p>
    <w:p w:rsidR="00DA262D" w:rsidRPr="00807718" w:rsidRDefault="00DA262D" w:rsidP="00D07F3B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 w:rsidRPr="00807718">
        <w:rPr>
          <w:rFonts w:cstheme="minorHAnsi"/>
        </w:rPr>
        <w:t>Careers days at regional schools</w:t>
      </w:r>
      <w:r w:rsidR="003463E5">
        <w:rPr>
          <w:rFonts w:cstheme="minorHAnsi"/>
        </w:rPr>
        <w:t>;</w:t>
      </w:r>
    </w:p>
    <w:p w:rsidR="00DA262D" w:rsidRPr="00807718" w:rsidRDefault="00DA262D" w:rsidP="00D07F3B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 w:rsidRPr="00807718">
        <w:rPr>
          <w:rFonts w:cstheme="minorHAnsi"/>
        </w:rPr>
        <w:t>Information packages</w:t>
      </w:r>
      <w:r w:rsidR="003463E5">
        <w:rPr>
          <w:rFonts w:cstheme="minorHAnsi"/>
        </w:rPr>
        <w:t>;</w:t>
      </w:r>
    </w:p>
    <w:p w:rsidR="00DA262D" w:rsidRPr="00807718" w:rsidRDefault="00DA262D" w:rsidP="00D07F3B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 w:rsidRPr="00807718">
        <w:rPr>
          <w:rFonts w:cstheme="minorHAnsi"/>
        </w:rPr>
        <w:t>Pathways information</w:t>
      </w:r>
      <w:r w:rsidR="003463E5">
        <w:rPr>
          <w:rFonts w:cstheme="minorHAnsi"/>
        </w:rPr>
        <w:t>;</w:t>
      </w:r>
    </w:p>
    <w:p w:rsidR="00DA262D" w:rsidRPr="00807718" w:rsidRDefault="00DA262D" w:rsidP="00D07F3B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 w:rsidRPr="00807718">
        <w:rPr>
          <w:rFonts w:cstheme="minorHAnsi"/>
        </w:rPr>
        <w:t>Workshops for Careers Advisers, Principals, Teachers, Parent and Community Members</w:t>
      </w:r>
      <w:r w:rsidR="003463E5">
        <w:rPr>
          <w:rFonts w:cstheme="minorHAnsi"/>
        </w:rPr>
        <w:t>;</w:t>
      </w:r>
    </w:p>
    <w:p w:rsidR="00DA262D" w:rsidRPr="00807718" w:rsidRDefault="00DA262D" w:rsidP="00D07F3B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 w:rsidRPr="00807718">
        <w:rPr>
          <w:rFonts w:cstheme="minorHAnsi"/>
        </w:rPr>
        <w:t>Professional Development</w:t>
      </w:r>
      <w:r w:rsidR="003463E5">
        <w:rPr>
          <w:rFonts w:cstheme="minorHAnsi"/>
        </w:rPr>
        <w:t>;</w:t>
      </w:r>
    </w:p>
    <w:p w:rsidR="00D77309" w:rsidRPr="00807718" w:rsidRDefault="00807718" w:rsidP="00D07F3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b/>
          <w:i/>
        </w:rPr>
      </w:pPr>
      <w:r w:rsidRPr="00807718">
        <w:rPr>
          <w:rFonts w:cstheme="minorHAnsi"/>
        </w:rPr>
        <w:t>I</w:t>
      </w:r>
      <w:r w:rsidR="00E12200" w:rsidRPr="00807718">
        <w:rPr>
          <w:rFonts w:cstheme="minorHAnsi"/>
        </w:rPr>
        <w:t>ndigenous specific programs such as AIME;</w:t>
      </w:r>
    </w:p>
    <w:p w:rsidR="002C4FCA" w:rsidRPr="001A5E25" w:rsidRDefault="002C4FCA" w:rsidP="00D07F3B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1A5E25">
        <w:rPr>
          <w:rFonts w:cstheme="minorHAnsi"/>
        </w:rPr>
        <w:t>On campus workshops for school students relating to interests, electives and careers</w:t>
      </w:r>
      <w:r w:rsidR="003463E5">
        <w:rPr>
          <w:rFonts w:cstheme="minorHAnsi"/>
        </w:rPr>
        <w:t>;</w:t>
      </w:r>
    </w:p>
    <w:p w:rsidR="002C4FCA" w:rsidRPr="001A5E25" w:rsidRDefault="002C4FCA" w:rsidP="00D07F3B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1A5E25">
        <w:rPr>
          <w:rFonts w:cstheme="minorHAnsi"/>
        </w:rPr>
        <w:t>Workshops for future students regarding university expectations and course understanding</w:t>
      </w:r>
      <w:r w:rsidR="003463E5">
        <w:rPr>
          <w:rFonts w:cstheme="minorHAnsi"/>
        </w:rPr>
        <w:t>;</w:t>
      </w:r>
    </w:p>
    <w:p w:rsidR="002C4FCA" w:rsidRPr="001A5E25" w:rsidRDefault="002C4FCA" w:rsidP="00D07F3B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1A5E25">
        <w:rPr>
          <w:rFonts w:cstheme="minorHAnsi"/>
        </w:rPr>
        <w:t>Term 5 experience programs</w:t>
      </w:r>
      <w:r w:rsidR="003463E5">
        <w:rPr>
          <w:rFonts w:cstheme="minorHAnsi"/>
        </w:rPr>
        <w:t>;</w:t>
      </w:r>
    </w:p>
    <w:p w:rsidR="002C4FCA" w:rsidRDefault="002C4FCA" w:rsidP="00D07F3B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  <w:sz w:val="20"/>
          <w:szCs w:val="24"/>
        </w:rPr>
      </w:pPr>
      <w:r w:rsidRPr="001A5E25">
        <w:rPr>
          <w:rFonts w:cstheme="minorHAnsi"/>
        </w:rPr>
        <w:t>Enabling</w:t>
      </w:r>
      <w:r w:rsidRPr="002C4FCA">
        <w:rPr>
          <w:rFonts w:cstheme="minorHAnsi"/>
          <w:sz w:val="20"/>
          <w:szCs w:val="24"/>
        </w:rPr>
        <w:t xml:space="preserve"> </w:t>
      </w:r>
      <w:r w:rsidRPr="007F0366">
        <w:rPr>
          <w:rFonts w:cstheme="minorHAnsi"/>
        </w:rPr>
        <w:t>programs</w:t>
      </w:r>
      <w:r w:rsidR="003463E5" w:rsidRPr="007F0366">
        <w:rPr>
          <w:rFonts w:cstheme="minorHAnsi"/>
        </w:rPr>
        <w:t>;</w:t>
      </w:r>
    </w:p>
    <w:p w:rsidR="00DE503D" w:rsidRDefault="00DE503D" w:rsidP="00D07F3B">
      <w:pPr>
        <w:pStyle w:val="ListParagraph"/>
        <w:spacing w:after="0" w:line="240" w:lineRule="auto"/>
        <w:ind w:left="1440"/>
        <w:contextualSpacing w:val="0"/>
        <w:jc w:val="both"/>
        <w:rPr>
          <w:rFonts w:cstheme="minorHAnsi"/>
          <w:sz w:val="20"/>
          <w:szCs w:val="24"/>
        </w:rPr>
      </w:pPr>
    </w:p>
    <w:p w:rsidR="00DE503D" w:rsidRDefault="002C4FCA" w:rsidP="00D07F3B">
      <w:pPr>
        <w:pStyle w:val="ListParagraph"/>
        <w:spacing w:after="0" w:line="240" w:lineRule="auto"/>
        <w:ind w:left="551"/>
        <w:jc w:val="both"/>
        <w:rPr>
          <w:rFonts w:cstheme="minorHAnsi"/>
          <w:b/>
        </w:rPr>
      </w:pPr>
      <w:r w:rsidRPr="00DE503D">
        <w:rPr>
          <w:rFonts w:cstheme="minorHAnsi"/>
          <w:b/>
          <w:i/>
        </w:rPr>
        <w:t>PARTICIPATION:</w:t>
      </w:r>
      <w:r w:rsidR="00807718" w:rsidRPr="00DE503D">
        <w:rPr>
          <w:rFonts w:cstheme="minorHAnsi"/>
          <w:b/>
        </w:rPr>
        <w:t xml:space="preserve"> </w:t>
      </w:r>
    </w:p>
    <w:p w:rsidR="002C4FCA" w:rsidRPr="00A1086A" w:rsidRDefault="00DE503D" w:rsidP="00D07F3B">
      <w:pPr>
        <w:pStyle w:val="ListParagraph"/>
        <w:spacing w:after="0" w:line="240" w:lineRule="auto"/>
        <w:ind w:left="551"/>
        <w:jc w:val="both"/>
        <w:rPr>
          <w:rFonts w:cstheme="minorHAnsi"/>
        </w:rPr>
      </w:pPr>
      <w:r>
        <w:rPr>
          <w:rFonts w:cstheme="minorHAnsi"/>
        </w:rPr>
        <w:t xml:space="preserve">Provision of a </w:t>
      </w:r>
      <w:r w:rsidRPr="004C07D5">
        <w:rPr>
          <w:rFonts w:cstheme="minorHAnsi"/>
        </w:rPr>
        <w:t>suite of programs that complement existing student services to facilitate transit</w:t>
      </w:r>
      <w:r>
        <w:rPr>
          <w:rFonts w:cstheme="minorHAnsi"/>
        </w:rPr>
        <w:t>ion and progression including student mentoring and support programs. Additional s</w:t>
      </w:r>
      <w:r w:rsidR="00807718">
        <w:rPr>
          <w:rFonts w:cstheme="minorHAnsi"/>
        </w:rPr>
        <w:t>upport</w:t>
      </w:r>
      <w:r>
        <w:rPr>
          <w:rFonts w:cstheme="minorHAnsi"/>
        </w:rPr>
        <w:t xml:space="preserve"> </w:t>
      </w:r>
      <w:r w:rsidR="001A5E25">
        <w:rPr>
          <w:rFonts w:cstheme="minorHAnsi"/>
        </w:rPr>
        <w:t xml:space="preserve">is provided </w:t>
      </w:r>
      <w:r>
        <w:rPr>
          <w:rFonts w:cstheme="minorHAnsi"/>
        </w:rPr>
        <w:t>for</w:t>
      </w:r>
      <w:r w:rsidR="00807718">
        <w:rPr>
          <w:rFonts w:cstheme="minorHAnsi"/>
        </w:rPr>
        <w:t xml:space="preserve"> students from low SES backgrounds to continue to attend university through </w:t>
      </w:r>
      <w:r>
        <w:rPr>
          <w:rFonts w:cstheme="minorHAnsi"/>
        </w:rPr>
        <w:t xml:space="preserve">the </w:t>
      </w:r>
      <w:r w:rsidR="00807718">
        <w:rPr>
          <w:rFonts w:cstheme="minorHAnsi"/>
        </w:rPr>
        <w:t>provision of bursaries and scholarships.</w:t>
      </w:r>
      <w:r w:rsidR="00A1086A">
        <w:rPr>
          <w:rFonts w:cstheme="minorHAnsi"/>
        </w:rPr>
        <w:t xml:space="preserve"> </w:t>
      </w:r>
      <w:r w:rsidRPr="00A1086A">
        <w:rPr>
          <w:rFonts w:cstheme="minorHAnsi"/>
        </w:rPr>
        <w:t>Key activities include:</w:t>
      </w:r>
    </w:p>
    <w:p w:rsidR="00A1086A" w:rsidRPr="00DE503D" w:rsidRDefault="00A1086A" w:rsidP="00D07F3B">
      <w:pPr>
        <w:pStyle w:val="ListParagraph"/>
        <w:spacing w:after="0" w:line="240" w:lineRule="auto"/>
        <w:ind w:left="551"/>
        <w:jc w:val="both"/>
        <w:rPr>
          <w:rFonts w:cstheme="minorHAnsi"/>
          <w:i/>
        </w:rPr>
      </w:pP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Scholarships and bursaries</w:t>
      </w:r>
      <w:r w:rsidR="003463E5">
        <w:t>;</w:t>
      </w: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Student support programs</w:t>
      </w:r>
      <w:r w:rsidR="003463E5">
        <w:t>;</w:t>
      </w: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Peer mentoring programs</w:t>
      </w:r>
      <w:r w:rsidR="003463E5">
        <w:t>;</w:t>
      </w: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Tutoring programs</w:t>
      </w:r>
      <w:r w:rsidR="003463E5">
        <w:t>;</w:t>
      </w: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UNE community inclusion activities</w:t>
      </w:r>
      <w:r w:rsidR="003463E5">
        <w:t>;</w:t>
      </w:r>
      <w:r w:rsidRPr="00DE503D">
        <w:t xml:space="preserve"> </w:t>
      </w: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Collaboration workshops</w:t>
      </w:r>
      <w:r w:rsidR="003463E5">
        <w:t>;</w:t>
      </w:r>
      <w:r w:rsidRPr="00DE503D">
        <w:t xml:space="preserve"> </w:t>
      </w: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TransitionIN programs</w:t>
      </w:r>
      <w:r w:rsidR="003463E5">
        <w:t>;</w:t>
      </w: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Foundation programs such as academic literacy activities</w:t>
      </w:r>
      <w:r w:rsidR="003463E5">
        <w:t>;</w:t>
      </w: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Short term financial support for work placements, residential schools, child care, texts, computers and so on</w:t>
      </w:r>
      <w:r w:rsidR="003463E5">
        <w:t>;</w:t>
      </w:r>
    </w:p>
    <w:p w:rsidR="002C4FCA" w:rsidRPr="00DE503D" w:rsidRDefault="002C4FCA" w:rsidP="00D07F3B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</w:pPr>
      <w:r w:rsidRPr="00DE503D">
        <w:t>Professional development for staff and students (mentors and tutors)</w:t>
      </w:r>
      <w:r w:rsidR="003463E5">
        <w:t>.</w:t>
      </w:r>
    </w:p>
    <w:p w:rsidR="002C4FCA" w:rsidRDefault="002C4FCA" w:rsidP="00D07F3B">
      <w:pPr>
        <w:spacing w:after="0" w:line="240" w:lineRule="auto"/>
        <w:jc w:val="both"/>
        <w:rPr>
          <w:sz w:val="20"/>
          <w:szCs w:val="24"/>
        </w:rPr>
      </w:pPr>
    </w:p>
    <w:p w:rsidR="003F19F2" w:rsidRDefault="003F19F2" w:rsidP="00D07F3B">
      <w:pPr>
        <w:spacing w:after="0" w:line="240" w:lineRule="auto"/>
        <w:ind w:firstLine="426"/>
        <w:jc w:val="both"/>
        <w:rPr>
          <w:b/>
          <w:i/>
        </w:rPr>
      </w:pPr>
      <w:r w:rsidRPr="00A1086A">
        <w:rPr>
          <w:b/>
          <w:i/>
        </w:rPr>
        <w:t>ATTAINMENT:</w:t>
      </w:r>
    </w:p>
    <w:p w:rsidR="00DE503D" w:rsidRDefault="00DE503D" w:rsidP="00D07F3B">
      <w:pPr>
        <w:spacing w:after="0" w:line="240" w:lineRule="auto"/>
        <w:ind w:left="426"/>
        <w:jc w:val="both"/>
      </w:pPr>
      <w:r w:rsidRPr="00A1086A">
        <w:t xml:space="preserve">Aimed </w:t>
      </w:r>
      <w:r w:rsidR="00A16F6E">
        <w:t xml:space="preserve">at </w:t>
      </w:r>
      <w:r w:rsidRPr="00A1086A">
        <w:t xml:space="preserve">improving preparation for graduate employment and ensuring learning and </w:t>
      </w:r>
      <w:r w:rsidR="00A1086A" w:rsidRPr="00A1086A">
        <w:t>graduate outcomes enhance students</w:t>
      </w:r>
      <w:r w:rsidR="001A5E25">
        <w:t>’</w:t>
      </w:r>
      <w:r w:rsidR="00A1086A" w:rsidRPr="00A1086A">
        <w:t xml:space="preserve"> employability skills base.  Key activities include:</w:t>
      </w:r>
    </w:p>
    <w:p w:rsidR="001A5E25" w:rsidRPr="00A1086A" w:rsidRDefault="001A5E25" w:rsidP="00D07F3B">
      <w:pPr>
        <w:spacing w:after="0" w:line="240" w:lineRule="auto"/>
        <w:ind w:left="426"/>
        <w:jc w:val="both"/>
      </w:pPr>
    </w:p>
    <w:p w:rsidR="002C4FCA" w:rsidRPr="00A1086A" w:rsidRDefault="002C4FCA" w:rsidP="00D07F3B">
      <w:pPr>
        <w:pStyle w:val="ListParagraph"/>
        <w:numPr>
          <w:ilvl w:val="0"/>
          <w:numId w:val="39"/>
        </w:numPr>
        <w:spacing w:after="0" w:line="240" w:lineRule="auto"/>
        <w:jc w:val="both"/>
      </w:pPr>
      <w:r w:rsidRPr="00A1086A">
        <w:t>Workshops to facilitate career readiness and graduate employability</w:t>
      </w:r>
      <w:r w:rsidR="003463E5">
        <w:t>;</w:t>
      </w:r>
    </w:p>
    <w:p w:rsidR="002C4FCA" w:rsidRPr="00A1086A" w:rsidRDefault="002C4FCA" w:rsidP="00D07F3B">
      <w:pPr>
        <w:pStyle w:val="ListParagraph"/>
        <w:numPr>
          <w:ilvl w:val="0"/>
          <w:numId w:val="39"/>
        </w:numPr>
        <w:spacing w:after="0" w:line="240" w:lineRule="auto"/>
        <w:contextualSpacing w:val="0"/>
        <w:jc w:val="both"/>
      </w:pPr>
      <w:r w:rsidRPr="00A1086A">
        <w:t>Business and Industry connections</w:t>
      </w:r>
      <w:r w:rsidR="003463E5">
        <w:t>;</w:t>
      </w:r>
    </w:p>
    <w:p w:rsidR="002C4FCA" w:rsidRPr="00A1086A" w:rsidRDefault="002C4FCA" w:rsidP="00D07F3B">
      <w:pPr>
        <w:pStyle w:val="ListParagraph"/>
        <w:numPr>
          <w:ilvl w:val="0"/>
          <w:numId w:val="39"/>
        </w:numPr>
        <w:spacing w:after="0" w:line="240" w:lineRule="auto"/>
        <w:ind w:left="1434" w:hanging="357"/>
        <w:contextualSpacing w:val="0"/>
        <w:jc w:val="both"/>
      </w:pPr>
      <w:r w:rsidRPr="00A1086A">
        <w:t>Professional mentoring</w:t>
      </w:r>
      <w:r w:rsidR="003463E5">
        <w:t>;</w:t>
      </w:r>
    </w:p>
    <w:p w:rsidR="002C4FCA" w:rsidRPr="00A1086A" w:rsidRDefault="002C4FCA" w:rsidP="00D07F3B">
      <w:pPr>
        <w:pStyle w:val="ListParagraph"/>
        <w:numPr>
          <w:ilvl w:val="0"/>
          <w:numId w:val="39"/>
        </w:numPr>
        <w:spacing w:after="0" w:line="240" w:lineRule="auto"/>
        <w:contextualSpacing w:val="0"/>
        <w:jc w:val="both"/>
      </w:pPr>
      <w:r w:rsidRPr="00A1086A">
        <w:t>Industry partnerships</w:t>
      </w:r>
      <w:r w:rsidR="003463E5">
        <w:t>;</w:t>
      </w:r>
    </w:p>
    <w:p w:rsidR="002C4FCA" w:rsidRPr="00A1086A" w:rsidRDefault="002C4FCA" w:rsidP="00D07F3B">
      <w:pPr>
        <w:pStyle w:val="ListParagraph"/>
        <w:numPr>
          <w:ilvl w:val="0"/>
          <w:numId w:val="39"/>
        </w:numPr>
        <w:spacing w:after="0" w:line="240" w:lineRule="auto"/>
        <w:contextualSpacing w:val="0"/>
        <w:jc w:val="both"/>
      </w:pPr>
      <w:r w:rsidRPr="00A1086A">
        <w:t>Intern programs</w:t>
      </w:r>
      <w:r w:rsidR="003463E5">
        <w:t>.</w:t>
      </w:r>
      <w:r w:rsidRPr="00A1086A">
        <w:t xml:space="preserve"> </w:t>
      </w:r>
    </w:p>
    <w:p w:rsidR="002C4FCA" w:rsidRPr="00395311" w:rsidRDefault="002C4FCA" w:rsidP="00D07F3B">
      <w:pPr>
        <w:pStyle w:val="ListNumber"/>
        <w:numPr>
          <w:ilvl w:val="0"/>
          <w:numId w:val="0"/>
        </w:numPr>
        <w:spacing w:after="0" w:line="240" w:lineRule="auto"/>
        <w:ind w:left="1418" w:hanging="698"/>
        <w:jc w:val="both"/>
        <w:rPr>
          <w:sz w:val="24"/>
        </w:rPr>
      </w:pPr>
    </w:p>
    <w:p w:rsidR="002C4FCA" w:rsidRPr="00A16F6E" w:rsidRDefault="00E75A27" w:rsidP="00A16F6E">
      <w:pPr>
        <w:pStyle w:val="ListNumber"/>
        <w:numPr>
          <w:ilvl w:val="0"/>
          <w:numId w:val="27"/>
        </w:numPr>
        <w:spacing w:after="0" w:line="240" w:lineRule="auto"/>
        <w:jc w:val="both"/>
        <w:rPr>
          <w:sz w:val="24"/>
        </w:rPr>
      </w:pPr>
      <w:r w:rsidRPr="00A16F6E">
        <w:rPr>
          <w:b/>
          <w:sz w:val="24"/>
        </w:rPr>
        <w:t>Evaluation</w:t>
      </w:r>
      <w:r w:rsidRPr="00A16F6E">
        <w:rPr>
          <w:sz w:val="24"/>
        </w:rPr>
        <w:t xml:space="preserve">: </w:t>
      </w:r>
    </w:p>
    <w:p w:rsidR="004C07D5" w:rsidRDefault="004C07D5" w:rsidP="00D07F3B">
      <w:pPr>
        <w:pStyle w:val="ListNumber"/>
        <w:numPr>
          <w:ilvl w:val="0"/>
          <w:numId w:val="0"/>
        </w:numPr>
        <w:spacing w:after="0" w:line="240" w:lineRule="auto"/>
        <w:ind w:left="426" w:hanging="66"/>
        <w:jc w:val="both"/>
      </w:pPr>
    </w:p>
    <w:p w:rsidR="004C07D5" w:rsidRDefault="004C07D5" w:rsidP="00A16F6E">
      <w:pPr>
        <w:pStyle w:val="ListNumber"/>
        <w:numPr>
          <w:ilvl w:val="0"/>
          <w:numId w:val="0"/>
        </w:numPr>
        <w:spacing w:after="0" w:line="240" w:lineRule="auto"/>
        <w:ind w:left="360"/>
        <w:jc w:val="both"/>
      </w:pPr>
      <w:r>
        <w:t xml:space="preserve">Institutional enrolment and planning data </w:t>
      </w:r>
      <w:r w:rsidR="00A16F6E" w:rsidRPr="00A16F6E">
        <w:t xml:space="preserve">using qualitative and quantitative measurements </w:t>
      </w:r>
      <w:r>
        <w:t xml:space="preserve">will be used to </w:t>
      </w:r>
      <w:r w:rsidR="00A16F6E">
        <w:t>quantify</w:t>
      </w:r>
      <w:r>
        <w:t xml:space="preserve"> progress and to aid in the development of </w:t>
      </w:r>
      <w:r w:rsidR="00A16F6E">
        <w:t>access and</w:t>
      </w:r>
      <w:r>
        <w:t xml:space="preserve"> participation initiatives.</w:t>
      </w:r>
    </w:p>
    <w:p w:rsidR="004C07D5" w:rsidRDefault="00A16F6E" w:rsidP="00A16F6E">
      <w:pPr>
        <w:pStyle w:val="ListNumber"/>
        <w:numPr>
          <w:ilvl w:val="0"/>
          <w:numId w:val="0"/>
        </w:numPr>
        <w:spacing w:after="0" w:line="240" w:lineRule="auto"/>
        <w:ind w:left="360"/>
        <w:jc w:val="both"/>
      </w:pPr>
      <w:r>
        <w:t xml:space="preserve">HEPP funded projects </w:t>
      </w:r>
      <w:r w:rsidRPr="00A16F6E">
        <w:t xml:space="preserve">will be monitored at defined times, against agreed milestones and evaluative controls. </w:t>
      </w:r>
    </w:p>
    <w:p w:rsidR="002C4FCA" w:rsidRDefault="002C4FCA" w:rsidP="00A16F6E">
      <w:pPr>
        <w:pStyle w:val="ListNumber"/>
        <w:numPr>
          <w:ilvl w:val="0"/>
          <w:numId w:val="0"/>
        </w:numPr>
        <w:spacing w:after="0" w:line="240" w:lineRule="auto"/>
        <w:ind w:left="426" w:hanging="66"/>
        <w:jc w:val="both"/>
      </w:pPr>
    </w:p>
    <w:p w:rsidR="00FE410F" w:rsidRDefault="00A16F6E" w:rsidP="00A16F6E">
      <w:pPr>
        <w:pStyle w:val="ListNumber"/>
        <w:numPr>
          <w:ilvl w:val="0"/>
          <w:numId w:val="0"/>
        </w:numPr>
        <w:spacing w:after="0" w:line="240" w:lineRule="auto"/>
        <w:ind w:left="360" w:hanging="360"/>
        <w:jc w:val="both"/>
      </w:pPr>
      <w:r>
        <w:rPr>
          <w:b/>
        </w:rPr>
        <w:t>3</w:t>
      </w:r>
      <w:r>
        <w:rPr>
          <w:b/>
        </w:rPr>
        <w:tab/>
      </w:r>
      <w:r w:rsidR="00E75A27" w:rsidRPr="00FE410F">
        <w:rPr>
          <w:b/>
        </w:rPr>
        <w:t>Partnerships and collaboration</w:t>
      </w:r>
      <w:r w:rsidR="00E75A27" w:rsidRPr="00FE410F">
        <w:t xml:space="preserve">: </w:t>
      </w:r>
    </w:p>
    <w:p w:rsidR="00DF2234" w:rsidRPr="00FE410F" w:rsidRDefault="003F402C" w:rsidP="00D07F3B">
      <w:pPr>
        <w:pStyle w:val="ListNumber"/>
        <w:numPr>
          <w:ilvl w:val="0"/>
          <w:numId w:val="0"/>
        </w:numPr>
        <w:spacing w:after="0" w:line="240" w:lineRule="auto"/>
        <w:ind w:left="360"/>
        <w:jc w:val="both"/>
        <w:rPr>
          <w:rFonts w:cs="Arial"/>
        </w:rPr>
      </w:pPr>
      <w:r w:rsidRPr="00FE410F">
        <w:t>The University of New England is a partner in the RUN network</w:t>
      </w:r>
      <w:r w:rsidR="000A2FAD" w:rsidRPr="00FE410F">
        <w:t xml:space="preserve"> and will continue to work with regional universities to foster a broad coverage of regional issues.  The University will continue its work with schools, and community groups in the New England/North West of NSW, </w:t>
      </w:r>
      <w:r w:rsidR="000A2FAD" w:rsidRPr="00FE410F">
        <w:rPr>
          <w:rFonts w:cs="Arial"/>
        </w:rPr>
        <w:t>Hunter Valley, Central Coast and North Coast of NSW</w:t>
      </w:r>
      <w:r w:rsidR="000A2FAD" w:rsidRPr="00FE410F">
        <w:t xml:space="preserve"> in delivering programs to improve the access and participation in Higher Education of students in equity groups.  </w:t>
      </w:r>
      <w:r w:rsidR="00FE410F">
        <w:t>Opportunities with industry for internships and the like, will continue to be pursued</w:t>
      </w:r>
      <w:r w:rsidR="00FE410F" w:rsidRPr="00FE410F">
        <w:rPr>
          <w:rFonts w:cs="Arial"/>
        </w:rPr>
        <w:t>.</w:t>
      </w:r>
    </w:p>
    <w:p w:rsidR="00DF2234" w:rsidRDefault="00DF2234" w:rsidP="00D07F3B">
      <w:pPr>
        <w:pStyle w:val="ListNumber"/>
        <w:numPr>
          <w:ilvl w:val="0"/>
          <w:numId w:val="0"/>
        </w:numPr>
        <w:spacing w:after="0" w:line="240" w:lineRule="auto"/>
        <w:jc w:val="both"/>
      </w:pPr>
    </w:p>
    <w:p w:rsidR="00DF2234" w:rsidRPr="002C4FCA" w:rsidRDefault="00DF2234" w:rsidP="00D07F3B">
      <w:pPr>
        <w:pStyle w:val="ListNumber"/>
        <w:numPr>
          <w:ilvl w:val="0"/>
          <w:numId w:val="0"/>
        </w:numPr>
        <w:spacing w:after="0" w:line="240" w:lineRule="auto"/>
        <w:ind w:left="360" w:hanging="360"/>
        <w:jc w:val="both"/>
      </w:pPr>
    </w:p>
    <w:p w:rsidR="00E75A27" w:rsidRDefault="00E75A27" w:rsidP="00A16F6E">
      <w:pPr>
        <w:pStyle w:val="ListNumber"/>
        <w:numPr>
          <w:ilvl w:val="0"/>
          <w:numId w:val="0"/>
        </w:numPr>
        <w:spacing w:after="0" w:line="240" w:lineRule="auto"/>
        <w:ind w:left="360"/>
        <w:jc w:val="both"/>
        <w:rPr>
          <w:rFonts w:ascii="Calibri" w:hAnsi="Calibri" w:cstheme="minorHAnsi"/>
        </w:rPr>
        <w:sectPr w:rsidR="00E75A27" w:rsidSect="00730AA6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680" w:footer="567" w:gutter="0"/>
          <w:cols w:space="708"/>
          <w:docGrid w:linePitch="360"/>
        </w:sectPr>
      </w:pPr>
    </w:p>
    <w:p w:rsidR="00103F8C" w:rsidRPr="00395311" w:rsidRDefault="00AB2766" w:rsidP="00D07F3B">
      <w:pPr>
        <w:pStyle w:val="Heading1"/>
        <w:spacing w:after="0"/>
        <w:jc w:val="both"/>
        <w:rPr>
          <w:b w:val="0"/>
          <w:bCs w:val="0"/>
          <w:sz w:val="28"/>
        </w:rPr>
      </w:pPr>
      <w:r w:rsidRPr="00395311">
        <w:rPr>
          <w:sz w:val="28"/>
        </w:rPr>
        <w:t>Appendix B</w:t>
      </w:r>
      <w:r w:rsidR="00395311" w:rsidRPr="00395311">
        <w:rPr>
          <w:color w:val="auto"/>
          <w:sz w:val="28"/>
        </w:rPr>
        <w:t xml:space="preserve">: </w:t>
      </w:r>
      <w:r w:rsidR="00103F8C" w:rsidRPr="00395311">
        <w:rPr>
          <w:sz w:val="28"/>
        </w:rPr>
        <w:t>Equity Initiatives Framework: Student Life Cycle Stages</w:t>
      </w:r>
    </w:p>
    <w:p w:rsidR="00103F8C" w:rsidRPr="00103F8C" w:rsidRDefault="00103F8C" w:rsidP="00D07F3B">
      <w:pPr>
        <w:pStyle w:val="NoSpacing"/>
        <w:jc w:val="both"/>
        <w:rPr>
          <w:noProof/>
        </w:rPr>
      </w:pPr>
      <w:r w:rsidRPr="00395311">
        <w:rPr>
          <w:noProof/>
        </w:rPr>
        <w:t xml:space="preserve">The Access and Participation Plan could address the stages in a student’s life cycle and include </w:t>
      </w:r>
      <w:r w:rsidR="00395311">
        <w:rPr>
          <w:noProof/>
        </w:rPr>
        <w:t xml:space="preserve">listed </w:t>
      </w:r>
      <w:r w:rsidRPr="00395311">
        <w:rPr>
          <w:noProof/>
        </w:rPr>
        <w:t xml:space="preserve">activities to deliver </w:t>
      </w:r>
      <w:r w:rsidR="00395311">
        <w:rPr>
          <w:noProof/>
        </w:rPr>
        <w:t xml:space="preserve">support </w:t>
      </w:r>
      <w:r w:rsidRPr="00395311">
        <w:rPr>
          <w:noProof/>
        </w:rPr>
        <w:t>equity outcomes.</w:t>
      </w:r>
    </w:p>
    <w:tbl>
      <w:tblPr>
        <w:tblW w:w="15314" w:type="dxa"/>
        <w:tblLayout w:type="fixed"/>
        <w:tblCellMar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3747"/>
        <w:gridCol w:w="889"/>
        <w:gridCol w:w="888"/>
        <w:gridCol w:w="891"/>
        <w:gridCol w:w="891"/>
        <w:gridCol w:w="891"/>
        <w:gridCol w:w="894"/>
        <w:gridCol w:w="891"/>
        <w:gridCol w:w="894"/>
        <w:gridCol w:w="891"/>
        <w:gridCol w:w="894"/>
        <w:gridCol w:w="891"/>
        <w:gridCol w:w="891"/>
        <w:gridCol w:w="833"/>
      </w:tblGrid>
      <w:tr w:rsidR="00103F8C" w:rsidRPr="001A2F85" w:rsidTr="00103F8C">
        <w:trPr>
          <w:gridBefore w:val="1"/>
          <w:wBefore w:w="12" w:type="pct"/>
          <w:cantSplit/>
          <w:trHeight w:val="255"/>
          <w:tblHeader/>
        </w:trPr>
        <w:tc>
          <w:tcPr>
            <w:tcW w:w="1222" w:type="pct"/>
            <w:tcBorders>
              <w:right w:val="single" w:sz="8" w:space="0" w:color="BFBFBF" w:themeColor="background1" w:themeShade="BF"/>
            </w:tcBorders>
            <w:shd w:val="clear" w:color="auto" w:fill="9D57A6"/>
            <w:tcMar>
              <w:left w:w="454" w:type="dxa"/>
              <w:bottom w:w="0" w:type="dxa"/>
            </w:tcMar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  <w:tc>
          <w:tcPr>
            <w:tcW w:w="2910" w:type="pct"/>
            <w:gridSpan w:val="10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  <w:r w:rsidRPr="001A2F85">
              <w:t>Equity Initiatives Framework Stage</w:t>
            </w:r>
          </w:p>
        </w:tc>
        <w:tc>
          <w:tcPr>
            <w:tcW w:w="855" w:type="pct"/>
            <w:gridSpan w:val="3"/>
            <w:tcBorders>
              <w:left w:val="single" w:sz="8" w:space="0" w:color="BFBFBF" w:themeColor="background1" w:themeShade="BF"/>
              <w:bottom w:val="single" w:sz="8" w:space="0" w:color="3C54A5" w:themeColor="text2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  <w:r w:rsidRPr="001A2F85">
              <w:t>HEPPP component</w:t>
            </w:r>
          </w:p>
        </w:tc>
      </w:tr>
      <w:tr w:rsidR="00103F8C" w:rsidRPr="001A2F85" w:rsidTr="00103F8C">
        <w:trPr>
          <w:gridBefore w:val="1"/>
          <w:wBefore w:w="12" w:type="pct"/>
          <w:cantSplit/>
          <w:trHeight w:val="135"/>
          <w:tblHeader/>
        </w:trPr>
        <w:tc>
          <w:tcPr>
            <w:tcW w:w="1222" w:type="pct"/>
            <w:tcBorders>
              <w:right w:val="single" w:sz="8" w:space="0" w:color="BFBFBF" w:themeColor="background1" w:themeShade="BF"/>
            </w:tcBorders>
            <w:shd w:val="clear" w:color="auto" w:fill="9D57A6"/>
            <w:tcMar>
              <w:left w:w="454" w:type="dxa"/>
              <w:bottom w:w="0" w:type="dxa"/>
            </w:tcMar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  <w:tc>
          <w:tcPr>
            <w:tcW w:w="1745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1A2F85">
              <w:rPr>
                <w:sz w:val="18"/>
                <w:szCs w:val="18"/>
              </w:rPr>
              <w:t>Pre-Access</w:t>
            </w:r>
          </w:p>
        </w:tc>
        <w:tc>
          <w:tcPr>
            <w:tcW w:w="58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1A2F85">
              <w:rPr>
                <w:sz w:val="18"/>
                <w:szCs w:val="18"/>
              </w:rPr>
              <w:t>Participation</w:t>
            </w:r>
          </w:p>
        </w:tc>
        <w:tc>
          <w:tcPr>
            <w:tcW w:w="58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1A2F85">
              <w:rPr>
                <w:sz w:val="18"/>
                <w:szCs w:val="18"/>
              </w:rPr>
              <w:t>Attainment</w:t>
            </w:r>
          </w:p>
        </w:tc>
        <w:tc>
          <w:tcPr>
            <w:tcW w:w="291" w:type="pct"/>
            <w:tcBorders>
              <w:top w:val="single" w:sz="8" w:space="0" w:color="3C54A5" w:themeColor="text2"/>
              <w:left w:val="single" w:sz="8" w:space="0" w:color="BFBFBF" w:themeColor="background1" w:themeShade="BF"/>
              <w:bottom w:val="single" w:sz="8" w:space="0" w:color="3C54A5" w:themeColor="text2"/>
              <w:right w:val="single" w:sz="8" w:space="0" w:color="3C54A5" w:themeColor="text2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  <w:tc>
          <w:tcPr>
            <w:tcW w:w="291" w:type="pct"/>
            <w:tcBorders>
              <w:top w:val="single" w:sz="8" w:space="0" w:color="3C54A5" w:themeColor="text2"/>
              <w:left w:val="single" w:sz="8" w:space="0" w:color="3C54A5" w:themeColor="text2"/>
              <w:bottom w:val="single" w:sz="8" w:space="0" w:color="3C54A5" w:themeColor="text2"/>
              <w:right w:val="single" w:sz="8" w:space="0" w:color="3C54A5" w:themeColor="text2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  <w:tc>
          <w:tcPr>
            <w:tcW w:w="273" w:type="pct"/>
            <w:tcBorders>
              <w:top w:val="single" w:sz="8" w:space="0" w:color="3C54A5" w:themeColor="text2"/>
              <w:left w:val="single" w:sz="8" w:space="0" w:color="3C54A5" w:themeColor="text2"/>
              <w:bottom w:val="single" w:sz="8" w:space="0" w:color="3C54A5" w:themeColor="text2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</w:tr>
      <w:tr w:rsidR="00103F8C" w:rsidRPr="001A2F85" w:rsidTr="00103F8C">
        <w:trPr>
          <w:gridBefore w:val="1"/>
          <w:wBefore w:w="12" w:type="pct"/>
          <w:cantSplit/>
          <w:trHeight w:val="224"/>
          <w:tblHeader/>
        </w:trPr>
        <w:tc>
          <w:tcPr>
            <w:tcW w:w="1222" w:type="pct"/>
            <w:tcBorders>
              <w:right w:val="single" w:sz="8" w:space="0" w:color="BFBFBF" w:themeColor="background1" w:themeShade="BF"/>
            </w:tcBorders>
            <w:shd w:val="clear" w:color="auto" w:fill="9D57A6"/>
            <w:tcMar>
              <w:left w:w="454" w:type="dxa"/>
              <w:bottom w:w="0" w:type="dxa"/>
            </w:tcMar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  <w:tc>
          <w:tcPr>
            <w:tcW w:w="290" w:type="pct"/>
            <w:tcBorders>
              <w:top w:val="single" w:sz="8" w:space="0" w:color="3C54A5" w:themeColor="text2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3C54A5" w:themeColor="text2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  <w:tc>
          <w:tcPr>
            <w:tcW w:w="290" w:type="pct"/>
            <w:tcBorders>
              <w:top w:val="single" w:sz="8" w:space="0" w:color="3C54A5" w:themeColor="text2"/>
              <w:left w:val="single" w:sz="8" w:space="0" w:color="3C54A5" w:themeColor="text2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  <w:tc>
          <w:tcPr>
            <w:tcW w:w="116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1A2F85">
              <w:rPr>
                <w:sz w:val="18"/>
                <w:szCs w:val="18"/>
              </w:rPr>
              <w:t>Access</w:t>
            </w:r>
          </w:p>
        </w:tc>
        <w:tc>
          <w:tcPr>
            <w:tcW w:w="291" w:type="pct"/>
            <w:tcBorders>
              <w:top w:val="single" w:sz="8" w:space="0" w:color="3C54A5" w:themeColor="text2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3C54A5" w:themeColor="text2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3C54A5" w:themeColor="text2"/>
              <w:left w:val="single" w:sz="8" w:space="0" w:color="3C54A5" w:themeColor="text2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8" w:space="0" w:color="3C54A5" w:themeColor="text2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3C54A5" w:themeColor="text2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3C54A5" w:themeColor="text2"/>
              <w:left w:val="single" w:sz="8" w:space="0" w:color="3C54A5" w:themeColor="text2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8" w:space="0" w:color="3C54A5" w:themeColor="text2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3C54A5" w:themeColor="text2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  <w:tc>
          <w:tcPr>
            <w:tcW w:w="291" w:type="pct"/>
            <w:tcBorders>
              <w:top w:val="single" w:sz="8" w:space="0" w:color="3C54A5" w:themeColor="text2"/>
              <w:left w:val="single" w:sz="8" w:space="0" w:color="3C54A5" w:themeColor="text2"/>
              <w:bottom w:val="single" w:sz="8" w:space="0" w:color="BFBFBF" w:themeColor="background1" w:themeShade="BF"/>
              <w:right w:val="single" w:sz="8" w:space="0" w:color="3C54A5" w:themeColor="text2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  <w:tc>
          <w:tcPr>
            <w:tcW w:w="273" w:type="pct"/>
            <w:tcBorders>
              <w:top w:val="single" w:sz="8" w:space="0" w:color="3C54A5" w:themeColor="text2"/>
              <w:left w:val="single" w:sz="8" w:space="0" w:color="3C54A5" w:themeColor="text2"/>
              <w:bottom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</w:p>
        </w:tc>
      </w:tr>
      <w:tr w:rsidR="00103F8C" w:rsidRPr="001A2F85" w:rsidTr="00103F8C">
        <w:trPr>
          <w:gridBefore w:val="1"/>
          <w:wBefore w:w="12" w:type="pct"/>
          <w:cantSplit/>
          <w:trHeight w:val="721"/>
          <w:tblHeader/>
        </w:trPr>
        <w:tc>
          <w:tcPr>
            <w:tcW w:w="1222" w:type="pct"/>
            <w:tcBorders>
              <w:right w:val="single" w:sz="8" w:space="0" w:color="BFBFBF" w:themeColor="background1" w:themeShade="BF"/>
            </w:tcBorders>
            <w:shd w:val="clear" w:color="auto" w:fill="9D57A6"/>
            <w:tcMar>
              <w:left w:w="454" w:type="dxa"/>
              <w:bottom w:w="0" w:type="dxa"/>
            </w:tcMar>
            <w:vAlign w:val="bottom"/>
          </w:tcPr>
          <w:p w:rsidR="00103F8C" w:rsidRPr="001A2F85" w:rsidRDefault="00103F8C" w:rsidP="00D07F3B">
            <w:pPr>
              <w:pStyle w:val="Tablecolumnheadings"/>
              <w:spacing w:before="0" w:after="0" w:line="240" w:lineRule="auto"/>
              <w:jc w:val="both"/>
            </w:pPr>
            <w:r w:rsidRPr="001A2F85">
              <w:t xml:space="preserve">Activity </w:t>
            </w:r>
            <w:r w:rsidRPr="001A2F85">
              <w:rPr>
                <w:szCs w:val="20"/>
              </w:rPr>
              <w:sym w:font="Wingdings" w:char="F0E2"/>
            </w:r>
          </w:p>
        </w:tc>
        <w:tc>
          <w:tcPr>
            <w:tcW w:w="29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Primary school</w:t>
            </w:r>
          </w:p>
        </w:tc>
        <w:tc>
          <w:tcPr>
            <w:tcW w:w="29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Secondary</w:t>
            </w:r>
          </w:p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Yr 7-10</w:t>
            </w:r>
          </w:p>
        </w:tc>
        <w:tc>
          <w:tcPr>
            <w:tcW w:w="2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Secondary</w:t>
            </w:r>
          </w:p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Yr 11-12</w:t>
            </w:r>
          </w:p>
        </w:tc>
        <w:tc>
          <w:tcPr>
            <w:tcW w:w="2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VET</w:t>
            </w:r>
          </w:p>
        </w:tc>
        <w:tc>
          <w:tcPr>
            <w:tcW w:w="2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Mature age</w:t>
            </w:r>
          </w:p>
        </w:tc>
        <w:tc>
          <w:tcPr>
            <w:tcW w:w="29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School leavers</w:t>
            </w:r>
          </w:p>
        </w:tc>
        <w:tc>
          <w:tcPr>
            <w:tcW w:w="2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First year students</w:t>
            </w:r>
          </w:p>
        </w:tc>
        <w:tc>
          <w:tcPr>
            <w:tcW w:w="29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Progression during studies</w:t>
            </w:r>
          </w:p>
        </w:tc>
        <w:tc>
          <w:tcPr>
            <w:tcW w:w="2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Completion</w:t>
            </w:r>
          </w:p>
        </w:tc>
        <w:tc>
          <w:tcPr>
            <w:tcW w:w="29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Graduate destinations</w:t>
            </w:r>
          </w:p>
        </w:tc>
        <w:tc>
          <w:tcPr>
            <w:tcW w:w="2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Partnerships</w:t>
            </w:r>
          </w:p>
        </w:tc>
        <w:tc>
          <w:tcPr>
            <w:tcW w:w="2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Participation</w:t>
            </w:r>
          </w:p>
        </w:tc>
        <w:tc>
          <w:tcPr>
            <w:tcW w:w="27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9D57A6"/>
            <w:tcMar>
              <w:bottom w:w="0" w:type="dxa"/>
            </w:tcMar>
            <w:vAlign w:val="center"/>
          </w:tcPr>
          <w:p w:rsidR="00103F8C" w:rsidRPr="00AD49C8" w:rsidRDefault="00103F8C" w:rsidP="00D07F3B">
            <w:pPr>
              <w:pStyle w:val="Tablecolumnheadings"/>
              <w:spacing w:before="0" w:after="0" w:line="240" w:lineRule="auto"/>
              <w:jc w:val="both"/>
              <w:rPr>
                <w:sz w:val="14"/>
                <w:szCs w:val="14"/>
              </w:rPr>
            </w:pPr>
            <w:r w:rsidRPr="00AD49C8">
              <w:rPr>
                <w:sz w:val="14"/>
                <w:szCs w:val="14"/>
              </w:rPr>
              <w:t>National Priorities Pool</w:t>
            </w: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tcBorders>
              <w:top w:val="nil"/>
            </w:tcBorders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ind w:right="62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Aspiration raising - pre-entry university experience</w:t>
            </w:r>
          </w:p>
        </w:tc>
        <w:tc>
          <w:tcPr>
            <w:tcW w:w="290" w:type="pct"/>
            <w:tcBorders>
              <w:top w:val="nil"/>
            </w:tcBorders>
            <w:textDirection w:val="btL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  <w:tcBorders>
              <w:top w:val="nil"/>
            </w:tcBorders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  <w:tcBorders>
              <w:top w:val="nil"/>
            </w:tcBorders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  <w:tcBorders>
              <w:top w:val="nil"/>
            </w:tcBorders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  <w:tcBorders>
              <w:top w:val="nil"/>
            </w:tcBorders>
            <w:textDirection w:val="btL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</w:tcBorders>
            <w:textDirection w:val="btL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  <w:textDirection w:val="btL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</w:tcBorders>
            <w:textDirection w:val="btL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rFonts w:ascii="Wingdings" w:hAnsi="Wingdings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  <w:tcBorders>
              <w:top w:val="nil"/>
            </w:tcBorders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Aspiration raising – non-university experience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Careers advice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Mentoring, peer support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 xml:space="preserve">Academic preparation/support 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 xml:space="preserve">Professional development 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Parent/community information/support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Other outreach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332153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332153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 xml:space="preserve">Pre university qualification pathway 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Foundation programs for extra academic skills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 xml:space="preserve">Inclusive entry processes 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Orientation programs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  <w:p w:rsidR="00565358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First year transition programs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332153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Scholarships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332153">
              <w:rPr>
                <w:color w:val="FF0000"/>
                <w:sz w:val="16"/>
                <w:szCs w:val="16"/>
              </w:rPr>
              <w:t>Inclusive course design/pedagogies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Alternative exit programs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Monitoring student progress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Employment support pre-completion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332153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332153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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Employment support post-completion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Monitoring/evaluation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2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565358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Wingdings" w:hAnsi="Wingdings"/>
                <w:color w:val="000000"/>
                <w:sz w:val="16"/>
                <w:szCs w:val="16"/>
              </w:rPr>
              <w:t></w:t>
            </w: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>Research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  <w:trHeight w:hRule="exact" w:val="255"/>
        </w:trPr>
        <w:tc>
          <w:tcPr>
            <w:tcW w:w="1235" w:type="pct"/>
            <w:gridSpan w:val="2"/>
            <w:vAlign w:val="center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  <w:r w:rsidRPr="001A2F85">
              <w:rPr>
                <w:sz w:val="16"/>
                <w:szCs w:val="16"/>
              </w:rPr>
              <w:t xml:space="preserve">Enhancing program implementation </w:t>
            </w: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0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</w:tcPr>
          <w:p w:rsidR="00103F8C" w:rsidRPr="001A2F85" w:rsidRDefault="00103F8C" w:rsidP="00D07F3B">
            <w:pPr>
              <w:pStyle w:val="Tabletext"/>
              <w:spacing w:before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03F8C" w:rsidRPr="001A2F85" w:rsidTr="00103F8C">
        <w:tblPrEx>
          <w:tblBorders>
            <w:bottom w:val="single" w:sz="4" w:space="0" w:color="646464"/>
            <w:insideH w:val="single" w:sz="4" w:space="0" w:color="646464"/>
          </w:tblBorders>
        </w:tblPrEx>
        <w:trPr>
          <w:cantSplit/>
        </w:trPr>
        <w:tc>
          <w:tcPr>
            <w:tcW w:w="5000" w:type="pct"/>
            <w:gridSpan w:val="15"/>
          </w:tcPr>
          <w:p w:rsidR="00103F8C" w:rsidRPr="001A2F85" w:rsidRDefault="00103F8C" w:rsidP="00D07F3B">
            <w:pPr>
              <w:pStyle w:val="Note"/>
              <w:spacing w:before="0" w:line="240" w:lineRule="auto"/>
              <w:jc w:val="both"/>
              <w:rPr>
                <w:color w:val="000000"/>
                <w:szCs w:val="14"/>
                <w:lang w:eastAsia="en-AU"/>
              </w:rPr>
            </w:pPr>
            <w:r w:rsidRPr="001A2F85">
              <w:t xml:space="preserve">Note: </w:t>
            </w:r>
            <w:r w:rsidRPr="001A2F85">
              <w:rPr>
                <w:rFonts w:ascii="Wingdings" w:hAnsi="Wingdings"/>
                <w:color w:val="000000"/>
                <w:szCs w:val="14"/>
                <w:lang w:eastAsia="en-AU"/>
              </w:rPr>
              <w:t></w:t>
            </w:r>
            <w:r w:rsidRPr="001A2F85">
              <w:rPr>
                <w:color w:val="000000"/>
                <w:szCs w:val="14"/>
                <w:lang w:eastAsia="en-AU"/>
              </w:rPr>
              <w:t xml:space="preserve">  indicates an activity that achieves the objective of this HEPPP component. </w:t>
            </w:r>
            <w:r w:rsidRPr="001A2F85">
              <w:rPr>
                <w:rFonts w:ascii="Wingdings" w:hAnsi="Wingdings"/>
                <w:color w:val="000000"/>
                <w:szCs w:val="14"/>
                <w:lang w:eastAsia="en-AU"/>
              </w:rPr>
              <w:t></w:t>
            </w:r>
            <w:r w:rsidRPr="001A2F85">
              <w:rPr>
                <w:color w:val="000000"/>
                <w:szCs w:val="14"/>
                <w:lang w:eastAsia="en-AU"/>
              </w:rPr>
              <w:t xml:space="preserve">  indicates an activity that can be funded from this program component. </w:t>
            </w:r>
            <w:r w:rsidRPr="001A2F85">
              <w:rPr>
                <w:rFonts w:ascii="Wingdings" w:hAnsi="Wingdings"/>
                <w:color w:val="000000"/>
                <w:szCs w:val="14"/>
                <w:lang w:eastAsia="en-AU"/>
              </w:rPr>
              <w:t></w:t>
            </w:r>
            <w:r w:rsidRPr="001A2F85">
              <w:rPr>
                <w:color w:val="000000"/>
                <w:szCs w:val="14"/>
                <w:lang w:eastAsia="en-AU"/>
              </w:rPr>
              <w:t xml:space="preserve">  indicates activities that can be the subject of research or innovative trials under the HEPPP National Priorities Pool</w:t>
            </w:r>
          </w:p>
          <w:p w:rsidR="00103F8C" w:rsidRPr="005F20C2" w:rsidRDefault="00103F8C" w:rsidP="00D07F3B">
            <w:pPr>
              <w:pStyle w:val="Source"/>
              <w:spacing w:before="0"/>
              <w:jc w:val="both"/>
              <w:rPr>
                <w:caps w:val="0"/>
              </w:rPr>
            </w:pPr>
            <w:r w:rsidRPr="00B92D42">
              <w:t>Source: Department of education and training 2016</w:t>
            </w:r>
            <w:r>
              <w:t>. F</w:t>
            </w:r>
            <w:r>
              <w:rPr>
                <w:caps w:val="0"/>
              </w:rPr>
              <w:t>rom Report to Department of Education and Training 16 March 2017  Evaluation of the HEPPP (ACIL Allen Consulting).</w:t>
            </w:r>
          </w:p>
        </w:tc>
      </w:tr>
    </w:tbl>
    <w:p w:rsidR="009C0EA3" w:rsidRDefault="00730AA6" w:rsidP="00D07F3B">
      <w:pPr>
        <w:tabs>
          <w:tab w:val="left" w:pos="6480"/>
        </w:tabs>
        <w:spacing w:after="0" w:line="240" w:lineRule="auto"/>
        <w:jc w:val="both"/>
        <w:rPr>
          <w:rFonts w:ascii="Calibri" w:eastAsiaTheme="majorEastAsia" w:hAnsi="Calibri" w:cstheme="majorBidi"/>
          <w:b/>
          <w:bCs/>
        </w:rPr>
      </w:pPr>
      <w:r>
        <w:rPr>
          <w:rFonts w:ascii="Calibri" w:eastAsiaTheme="majorEastAsia" w:hAnsi="Calibri" w:cstheme="majorBidi"/>
          <w:b/>
          <w:bCs/>
        </w:rPr>
        <w:tab/>
      </w:r>
    </w:p>
    <w:sectPr w:rsidR="009C0EA3" w:rsidSect="00103F8C">
      <w:pgSz w:w="16838" w:h="11906" w:orient="landscape"/>
      <w:pgMar w:top="284" w:right="1440" w:bottom="851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8C" w:rsidRDefault="007A748C" w:rsidP="00130923">
      <w:pPr>
        <w:spacing w:after="0" w:line="240" w:lineRule="auto"/>
      </w:pPr>
      <w:r>
        <w:separator/>
      </w:r>
    </w:p>
  </w:endnote>
  <w:endnote w:type="continuationSeparator" w:id="0">
    <w:p w:rsidR="007A748C" w:rsidRDefault="007A748C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18" w:rsidRDefault="00730AA6" w:rsidP="00730AA6">
    <w:pPr>
      <w:pStyle w:val="Footer"/>
      <w:tabs>
        <w:tab w:val="clear" w:pos="9026"/>
        <w:tab w:val="left" w:pos="709"/>
        <w:tab w:val="right" w:pos="8647"/>
      </w:tabs>
      <w:ind w:firstLine="720"/>
    </w:pPr>
    <w:r>
      <w:t>UNIVERSITY OF NEW ENGLAND  28/02/18</w:t>
    </w:r>
    <w:r>
      <w:tab/>
    </w:r>
    <w:r>
      <w:tab/>
    </w: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2D18">
          <w:fldChar w:fldCharType="begin"/>
        </w:r>
        <w:r w:rsidR="00152D18">
          <w:instrText xml:space="preserve"> PAGE   \* MERGEFORMAT </w:instrText>
        </w:r>
        <w:r w:rsidR="00152D18">
          <w:fldChar w:fldCharType="separate"/>
        </w:r>
        <w:r w:rsidR="00A81DBD">
          <w:rPr>
            <w:noProof/>
          </w:rPr>
          <w:t>1</w:t>
        </w:r>
        <w:r w:rsidR="00152D1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10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5"/>
      <w:gridCol w:w="4491"/>
    </w:tblGrid>
    <w:tr w:rsidR="00730AA6" w:rsidTr="00730AA6">
      <w:trPr>
        <w:trHeight w:hRule="exact" w:val="115"/>
        <w:jc w:val="center"/>
      </w:trPr>
      <w:tc>
        <w:tcPr>
          <w:tcW w:w="4535" w:type="dxa"/>
          <w:shd w:val="clear" w:color="auto" w:fill="3C54A5" w:themeFill="accent1"/>
          <w:tcMar>
            <w:top w:w="0" w:type="dxa"/>
            <w:bottom w:w="0" w:type="dxa"/>
          </w:tcMar>
        </w:tcPr>
        <w:p w:rsidR="00730AA6" w:rsidRDefault="00730AA6">
          <w:pPr>
            <w:pStyle w:val="Header"/>
            <w:rPr>
              <w:caps/>
              <w:sz w:val="18"/>
            </w:rPr>
          </w:pPr>
        </w:p>
      </w:tc>
      <w:tc>
        <w:tcPr>
          <w:tcW w:w="4491" w:type="dxa"/>
          <w:shd w:val="clear" w:color="auto" w:fill="3C54A5" w:themeFill="accent1"/>
          <w:tcMar>
            <w:top w:w="0" w:type="dxa"/>
            <w:bottom w:w="0" w:type="dxa"/>
          </w:tcMar>
        </w:tcPr>
        <w:p w:rsidR="00730AA6" w:rsidRDefault="00730AA6">
          <w:pPr>
            <w:pStyle w:val="Header"/>
            <w:jc w:val="right"/>
            <w:rPr>
              <w:caps/>
              <w:sz w:val="18"/>
            </w:rPr>
          </w:pPr>
        </w:p>
      </w:tc>
    </w:tr>
  </w:tbl>
  <w:p w:rsidR="00730AA6" w:rsidRDefault="00730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8C" w:rsidRDefault="007A748C" w:rsidP="00130923">
      <w:pPr>
        <w:spacing w:after="0" w:line="240" w:lineRule="auto"/>
      </w:pPr>
      <w:r>
        <w:separator/>
      </w:r>
    </w:p>
  </w:footnote>
  <w:footnote w:type="continuationSeparator" w:id="0">
    <w:p w:rsidR="007A748C" w:rsidRDefault="007A748C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18" w:rsidRDefault="00152D18" w:rsidP="00A66052">
    <w:pPr>
      <w:pStyle w:val="Header"/>
      <w:spacing w:after="480"/>
      <w:jc w:val="right"/>
    </w:pPr>
    <w:r>
      <w:t>Access and Participation Plan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56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C01AFF"/>
    <w:multiLevelType w:val="hybridMultilevel"/>
    <w:tmpl w:val="9EFEF472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27E22"/>
    <w:multiLevelType w:val="hybridMultilevel"/>
    <w:tmpl w:val="8A72B136"/>
    <w:lvl w:ilvl="0" w:tplc="0C090001">
      <w:start w:val="1"/>
      <w:numFmt w:val="bullet"/>
      <w:lvlText w:val=""/>
      <w:lvlJc w:val="left"/>
      <w:pPr>
        <w:ind w:left="2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8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8E4BA8"/>
    <w:multiLevelType w:val="hybridMultilevel"/>
    <w:tmpl w:val="64545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45E49"/>
    <w:multiLevelType w:val="hybridMultilevel"/>
    <w:tmpl w:val="A29A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82A87"/>
    <w:multiLevelType w:val="hybridMultilevel"/>
    <w:tmpl w:val="4D16C662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D0679C"/>
    <w:multiLevelType w:val="hybridMultilevel"/>
    <w:tmpl w:val="2BA0F852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982D4E"/>
    <w:multiLevelType w:val="hybridMultilevel"/>
    <w:tmpl w:val="65FAC7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9832E2"/>
    <w:multiLevelType w:val="hybridMultilevel"/>
    <w:tmpl w:val="905A2E14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866C17"/>
    <w:multiLevelType w:val="hybridMultilevel"/>
    <w:tmpl w:val="AF9099A2"/>
    <w:lvl w:ilvl="0" w:tplc="04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9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11"/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9"/>
  </w:num>
  <w:num w:numId="22">
    <w:abstractNumId w:val="25"/>
  </w:num>
  <w:num w:numId="23">
    <w:abstractNumId w:val="15"/>
  </w:num>
  <w:num w:numId="24">
    <w:abstractNumId w:val="18"/>
  </w:num>
  <w:num w:numId="25">
    <w:abstractNumId w:val="15"/>
  </w:num>
  <w:num w:numId="26">
    <w:abstractNumId w:val="1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2"/>
  </w:num>
  <w:num w:numId="31">
    <w:abstractNumId w:val="31"/>
  </w:num>
  <w:num w:numId="32">
    <w:abstractNumId w:val="20"/>
  </w:num>
  <w:num w:numId="33">
    <w:abstractNumId w:val="21"/>
  </w:num>
  <w:num w:numId="34">
    <w:abstractNumId w:val="28"/>
  </w:num>
  <w:num w:numId="35">
    <w:abstractNumId w:val="24"/>
  </w:num>
  <w:num w:numId="36">
    <w:abstractNumId w:val="17"/>
  </w:num>
  <w:num w:numId="37">
    <w:abstractNumId w:val="14"/>
  </w:num>
  <w:num w:numId="38">
    <w:abstractNumId w:val="27"/>
  </w:num>
  <w:num w:numId="39">
    <w:abstractNumId w:val="23"/>
  </w:num>
  <w:num w:numId="40">
    <w:abstractNumId w:val="22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861A6"/>
    <w:rsid w:val="000A2FAD"/>
    <w:rsid w:val="000D7FD3"/>
    <w:rsid w:val="000E7E7B"/>
    <w:rsid w:val="000F3BA2"/>
    <w:rsid w:val="00103F8C"/>
    <w:rsid w:val="001175BF"/>
    <w:rsid w:val="00130923"/>
    <w:rsid w:val="00132B66"/>
    <w:rsid w:val="001414F3"/>
    <w:rsid w:val="00143FCD"/>
    <w:rsid w:val="00152D18"/>
    <w:rsid w:val="001828A8"/>
    <w:rsid w:val="001A495D"/>
    <w:rsid w:val="001A5E25"/>
    <w:rsid w:val="001B6467"/>
    <w:rsid w:val="001C48A7"/>
    <w:rsid w:val="002076E6"/>
    <w:rsid w:val="00222463"/>
    <w:rsid w:val="00223EB1"/>
    <w:rsid w:val="00236917"/>
    <w:rsid w:val="00241465"/>
    <w:rsid w:val="00243D6B"/>
    <w:rsid w:val="0026793C"/>
    <w:rsid w:val="002758D7"/>
    <w:rsid w:val="00276954"/>
    <w:rsid w:val="002822BD"/>
    <w:rsid w:val="002A11FB"/>
    <w:rsid w:val="002B06E6"/>
    <w:rsid w:val="002B407A"/>
    <w:rsid w:val="002C3AA1"/>
    <w:rsid w:val="002C4FCA"/>
    <w:rsid w:val="002D271F"/>
    <w:rsid w:val="002D6386"/>
    <w:rsid w:val="002D7D13"/>
    <w:rsid w:val="002F1999"/>
    <w:rsid w:val="00303892"/>
    <w:rsid w:val="00305B35"/>
    <w:rsid w:val="0031327B"/>
    <w:rsid w:val="003155A7"/>
    <w:rsid w:val="003155A8"/>
    <w:rsid w:val="003166C5"/>
    <w:rsid w:val="003242B9"/>
    <w:rsid w:val="00332153"/>
    <w:rsid w:val="003463E5"/>
    <w:rsid w:val="0034671D"/>
    <w:rsid w:val="003753C7"/>
    <w:rsid w:val="00376582"/>
    <w:rsid w:val="0038467B"/>
    <w:rsid w:val="00395311"/>
    <w:rsid w:val="003979FC"/>
    <w:rsid w:val="003D67FC"/>
    <w:rsid w:val="003F19F2"/>
    <w:rsid w:val="003F402C"/>
    <w:rsid w:val="00406E5A"/>
    <w:rsid w:val="0041715E"/>
    <w:rsid w:val="0042619D"/>
    <w:rsid w:val="004264DB"/>
    <w:rsid w:val="00443110"/>
    <w:rsid w:val="00455B34"/>
    <w:rsid w:val="00481F02"/>
    <w:rsid w:val="0048762C"/>
    <w:rsid w:val="004B0A85"/>
    <w:rsid w:val="004B256F"/>
    <w:rsid w:val="004C07D5"/>
    <w:rsid w:val="004F15A7"/>
    <w:rsid w:val="005113B6"/>
    <w:rsid w:val="005140C4"/>
    <w:rsid w:val="00531817"/>
    <w:rsid w:val="00541F4A"/>
    <w:rsid w:val="00560CA0"/>
    <w:rsid w:val="005624F3"/>
    <w:rsid w:val="00565358"/>
    <w:rsid w:val="005811EF"/>
    <w:rsid w:val="00585156"/>
    <w:rsid w:val="0058781E"/>
    <w:rsid w:val="005B0878"/>
    <w:rsid w:val="005B66CA"/>
    <w:rsid w:val="005C15C0"/>
    <w:rsid w:val="00610654"/>
    <w:rsid w:val="0062410D"/>
    <w:rsid w:val="006318B9"/>
    <w:rsid w:val="0067026C"/>
    <w:rsid w:val="006E2D49"/>
    <w:rsid w:val="006F2109"/>
    <w:rsid w:val="00712BE3"/>
    <w:rsid w:val="00730AA6"/>
    <w:rsid w:val="007468FC"/>
    <w:rsid w:val="00782F1B"/>
    <w:rsid w:val="00792CA3"/>
    <w:rsid w:val="007A748C"/>
    <w:rsid w:val="007B2FDD"/>
    <w:rsid w:val="007D58FB"/>
    <w:rsid w:val="007E0574"/>
    <w:rsid w:val="007F0366"/>
    <w:rsid w:val="00807718"/>
    <w:rsid w:val="008163BB"/>
    <w:rsid w:val="00832FB2"/>
    <w:rsid w:val="0083468A"/>
    <w:rsid w:val="00842D43"/>
    <w:rsid w:val="00845040"/>
    <w:rsid w:val="00856D1C"/>
    <w:rsid w:val="00876AC0"/>
    <w:rsid w:val="008E773B"/>
    <w:rsid w:val="00903408"/>
    <w:rsid w:val="00905AD9"/>
    <w:rsid w:val="009116EA"/>
    <w:rsid w:val="00931E30"/>
    <w:rsid w:val="00933671"/>
    <w:rsid w:val="00971D09"/>
    <w:rsid w:val="00972BF7"/>
    <w:rsid w:val="00972DD5"/>
    <w:rsid w:val="00984879"/>
    <w:rsid w:val="00985632"/>
    <w:rsid w:val="00991B63"/>
    <w:rsid w:val="009B2428"/>
    <w:rsid w:val="009B5CB7"/>
    <w:rsid w:val="009C0EA3"/>
    <w:rsid w:val="009D3C4D"/>
    <w:rsid w:val="009F3E64"/>
    <w:rsid w:val="00A0490D"/>
    <w:rsid w:val="00A1074C"/>
    <w:rsid w:val="00A1086A"/>
    <w:rsid w:val="00A145A2"/>
    <w:rsid w:val="00A16F6E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81DBD"/>
    <w:rsid w:val="00A92939"/>
    <w:rsid w:val="00AA464D"/>
    <w:rsid w:val="00AB2766"/>
    <w:rsid w:val="00AC65DA"/>
    <w:rsid w:val="00AD09E4"/>
    <w:rsid w:val="00AD5D0A"/>
    <w:rsid w:val="00AF1737"/>
    <w:rsid w:val="00B00D12"/>
    <w:rsid w:val="00B2722A"/>
    <w:rsid w:val="00B4243F"/>
    <w:rsid w:val="00B4447B"/>
    <w:rsid w:val="00B60E3A"/>
    <w:rsid w:val="00B618BA"/>
    <w:rsid w:val="00B82137"/>
    <w:rsid w:val="00B95503"/>
    <w:rsid w:val="00BA282D"/>
    <w:rsid w:val="00BA4D57"/>
    <w:rsid w:val="00BB6260"/>
    <w:rsid w:val="00BE4F09"/>
    <w:rsid w:val="00BF6463"/>
    <w:rsid w:val="00C03C81"/>
    <w:rsid w:val="00C05E74"/>
    <w:rsid w:val="00C10C19"/>
    <w:rsid w:val="00C143B8"/>
    <w:rsid w:val="00C17D02"/>
    <w:rsid w:val="00C33682"/>
    <w:rsid w:val="00C5649C"/>
    <w:rsid w:val="00C66021"/>
    <w:rsid w:val="00C737C6"/>
    <w:rsid w:val="00C75486"/>
    <w:rsid w:val="00C76D13"/>
    <w:rsid w:val="00C8202C"/>
    <w:rsid w:val="00C91576"/>
    <w:rsid w:val="00C92A5B"/>
    <w:rsid w:val="00CA46EC"/>
    <w:rsid w:val="00CA7C7F"/>
    <w:rsid w:val="00CB6EC3"/>
    <w:rsid w:val="00CE2AA2"/>
    <w:rsid w:val="00D05B29"/>
    <w:rsid w:val="00D07F3B"/>
    <w:rsid w:val="00D12BEB"/>
    <w:rsid w:val="00D1394D"/>
    <w:rsid w:val="00D27C2D"/>
    <w:rsid w:val="00D47740"/>
    <w:rsid w:val="00D51B3A"/>
    <w:rsid w:val="00D77309"/>
    <w:rsid w:val="00D812B9"/>
    <w:rsid w:val="00D903FD"/>
    <w:rsid w:val="00D94BC5"/>
    <w:rsid w:val="00D96C08"/>
    <w:rsid w:val="00DA262D"/>
    <w:rsid w:val="00DA6FD0"/>
    <w:rsid w:val="00DC3052"/>
    <w:rsid w:val="00DC4CD7"/>
    <w:rsid w:val="00DD022D"/>
    <w:rsid w:val="00DD3D2F"/>
    <w:rsid w:val="00DE503D"/>
    <w:rsid w:val="00DE5F75"/>
    <w:rsid w:val="00DF2234"/>
    <w:rsid w:val="00DF46C4"/>
    <w:rsid w:val="00DF4CA3"/>
    <w:rsid w:val="00E02515"/>
    <w:rsid w:val="00E12200"/>
    <w:rsid w:val="00E12873"/>
    <w:rsid w:val="00E15C96"/>
    <w:rsid w:val="00E1604B"/>
    <w:rsid w:val="00E2102F"/>
    <w:rsid w:val="00E536DE"/>
    <w:rsid w:val="00E75A27"/>
    <w:rsid w:val="00E763A6"/>
    <w:rsid w:val="00EC78E7"/>
    <w:rsid w:val="00ED43D2"/>
    <w:rsid w:val="00EE3B8C"/>
    <w:rsid w:val="00EF25D6"/>
    <w:rsid w:val="00EF4A38"/>
    <w:rsid w:val="00EF5845"/>
    <w:rsid w:val="00F11B8F"/>
    <w:rsid w:val="00F21BBD"/>
    <w:rsid w:val="00F379D0"/>
    <w:rsid w:val="00F47193"/>
    <w:rsid w:val="00F501B4"/>
    <w:rsid w:val="00F74011"/>
    <w:rsid w:val="00F76175"/>
    <w:rsid w:val="00F80CFC"/>
    <w:rsid w:val="00F80DCB"/>
    <w:rsid w:val="00F958AE"/>
    <w:rsid w:val="00F97875"/>
    <w:rsid w:val="00FB10CB"/>
    <w:rsid w:val="00FB365C"/>
    <w:rsid w:val="00FC5F71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AAB01-E58C-4841-B922-14ADCC30097F}">
  <ds:schemaRefs>
    <ds:schemaRef ds:uri="http://schemas.microsoft.com/office/2006/metadata/properties"/>
    <ds:schemaRef ds:uri="http://schemas.microsoft.com/office/infopath/2007/PartnerControls"/>
    <ds:schemaRef ds:uri="c5a0bbd5-585e-4472-9791-5df67fe41a9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97549D-AF31-4393-8864-18CC61D3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new england</dc:creator>
  <cp:lastModifiedBy>Julie Love</cp:lastModifiedBy>
  <cp:revision>2</cp:revision>
  <cp:lastPrinted>2018-02-26T22:07:00Z</cp:lastPrinted>
  <dcterms:created xsi:type="dcterms:W3CDTF">2018-03-01T21:28:00Z</dcterms:created>
  <dcterms:modified xsi:type="dcterms:W3CDTF">2018-03-01T21:28:00Z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