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38D8B" w14:textId="4EB00F06" w:rsidR="00A96C9C" w:rsidRDefault="00A96C9C" w:rsidP="00A96C9C">
      <w:pPr>
        <w:pStyle w:val="Heading1"/>
        <w:tabs>
          <w:tab w:val="left" w:pos="284"/>
        </w:tabs>
      </w:pPr>
      <w:r>
        <w:t>GR</w:t>
      </w:r>
      <w:r w:rsidR="00107FC7">
        <w:t>I</w:t>
      </w:r>
      <w:r>
        <w:t xml:space="preserve">FFITH UNIVERSITY </w:t>
      </w:r>
      <w:r w:rsidRPr="00E75A27">
        <w:t>ACCESS AND PARTICIPATION PLAN 2018</w:t>
      </w:r>
    </w:p>
    <w:p w14:paraId="0419E910" w14:textId="5E276FE7" w:rsidR="00A96C9C" w:rsidRPr="00CD4C7C" w:rsidRDefault="00A96C9C" w:rsidP="00A96C9C">
      <w:pPr>
        <w:pStyle w:val="ListNumber"/>
        <w:numPr>
          <w:ilvl w:val="0"/>
          <w:numId w:val="0"/>
        </w:numPr>
        <w:tabs>
          <w:tab w:val="left" w:pos="284"/>
        </w:tabs>
        <w:spacing w:after="240" w:line="240" w:lineRule="auto"/>
        <w:rPr>
          <w:b/>
          <w:sz w:val="24"/>
          <w:szCs w:val="24"/>
        </w:rPr>
      </w:pPr>
      <w:r w:rsidRPr="00CD4C7C">
        <w:rPr>
          <w:b/>
          <w:sz w:val="24"/>
          <w:szCs w:val="24"/>
        </w:rPr>
        <w:t>Equity outcomes and strategies: for improving outcomes for people from a low SES background</w:t>
      </w:r>
      <w:r w:rsidR="00342BE4" w:rsidRPr="00CD4C7C">
        <w:rPr>
          <w:b/>
          <w:sz w:val="24"/>
          <w:szCs w:val="24"/>
        </w:rPr>
        <w:t>.</w:t>
      </w:r>
    </w:p>
    <w:p w14:paraId="710EBCF0" w14:textId="77777777" w:rsidR="00A96C9C" w:rsidRDefault="00A96C9C" w:rsidP="002B3FF2">
      <w:pPr>
        <w:ind w:left="-5" w:right="110"/>
        <w:jc w:val="both"/>
      </w:pPr>
      <w:r w:rsidRPr="00A96C9C">
        <w:rPr>
          <w:szCs w:val="20"/>
        </w:rPr>
        <w:t xml:space="preserve">Griffith University’s Strategic Plan (2018-2019), Academic Plan (2017-2020), Equity and Diversity Plan (2013-2017) and the Reconciliation Action Plan (2016-2018) affirm the University’s long standing commitment to providing access to tertiary education for students who would not normally have an open path to university. </w:t>
      </w:r>
      <w:hyperlink r:id="rId6">
        <w:r w:rsidRPr="00A96C9C">
          <w:rPr>
            <w:color w:val="0000FF"/>
            <w:szCs w:val="20"/>
            <w:u w:val="single" w:color="0000FF"/>
          </w:rPr>
          <w:t>http://www.griffith.edu.au/about</w:t>
        </w:r>
      </w:hyperlink>
      <w:hyperlink r:id="rId7">
        <w:r w:rsidRPr="00A96C9C">
          <w:rPr>
            <w:color w:val="0000FF"/>
            <w:szCs w:val="20"/>
            <w:u w:val="single" w:color="0000FF"/>
          </w:rPr>
          <w:t>-</w:t>
        </w:r>
      </w:hyperlink>
      <w:hyperlink r:id="rId8">
        <w:r w:rsidRPr="00A96C9C">
          <w:rPr>
            <w:color w:val="0000FF"/>
            <w:szCs w:val="20"/>
            <w:u w:val="single" w:color="0000FF"/>
          </w:rPr>
          <w:t>griffith/plans</w:t>
        </w:r>
      </w:hyperlink>
      <w:hyperlink r:id="rId9">
        <w:r w:rsidRPr="00A96C9C">
          <w:rPr>
            <w:color w:val="0000FF"/>
            <w:szCs w:val="20"/>
            <w:u w:val="single" w:color="0000FF"/>
          </w:rPr>
          <w:t>-</w:t>
        </w:r>
      </w:hyperlink>
      <w:hyperlink r:id="rId10">
        <w:r w:rsidRPr="00A96C9C">
          <w:rPr>
            <w:color w:val="0000FF"/>
            <w:szCs w:val="20"/>
            <w:u w:val="single" w:color="0000FF"/>
          </w:rPr>
          <w:t>publications</w:t>
        </w:r>
      </w:hyperlink>
      <w:hyperlink r:id="rId11">
        <w:r>
          <w:t>.</w:t>
        </w:r>
      </w:hyperlink>
      <w:r>
        <w:t xml:space="preserve"> </w:t>
      </w:r>
    </w:p>
    <w:p w14:paraId="5D7330E2" w14:textId="4D65B033" w:rsidR="00A96C9C" w:rsidRPr="00727562" w:rsidRDefault="00A96C9C" w:rsidP="002B3FF2">
      <w:pPr>
        <w:ind w:left="-5" w:right="110"/>
        <w:jc w:val="both"/>
      </w:pPr>
      <w:r w:rsidRPr="00727562">
        <w:t>Th</w:t>
      </w:r>
      <w:r>
        <w:t>is</w:t>
      </w:r>
      <w:r w:rsidRPr="00727562">
        <w:t xml:space="preserve"> commitment to improving educational outcomes for</w:t>
      </w:r>
      <w:r w:rsidR="004E4034">
        <w:t xml:space="preserve"> people from a low-SES background a</w:t>
      </w:r>
      <w:r w:rsidRPr="00727562">
        <w:t xml:space="preserve">t Griffith will be further extended in 2018 </w:t>
      </w:r>
      <w:r>
        <w:t>by lifting investment in</w:t>
      </w:r>
      <w:r w:rsidRPr="00727562">
        <w:t xml:space="preserve"> First Peoples Access and Participation</w:t>
      </w:r>
      <w:r w:rsidR="00107FC7">
        <w:t>.</w:t>
      </w:r>
      <w:r w:rsidR="00342BE4">
        <w:t xml:space="preserve"> </w:t>
      </w:r>
      <w:r w:rsidR="0047739D">
        <w:t>Additionally, and un</w:t>
      </w:r>
      <w:r w:rsidR="00342BE4">
        <w:t>der the su</w:t>
      </w:r>
      <w:r w:rsidR="0047739D">
        <w:t>pervision of the Deputy Vice Ch</w:t>
      </w:r>
      <w:r w:rsidR="00342BE4">
        <w:t>a</w:t>
      </w:r>
      <w:r w:rsidR="0047739D">
        <w:t>n</w:t>
      </w:r>
      <w:r w:rsidR="00342BE4">
        <w:t>cellor (Academic)</w:t>
      </w:r>
      <w:r w:rsidR="0047739D">
        <w:t>,</w:t>
      </w:r>
      <w:r w:rsidR="00342BE4">
        <w:t xml:space="preserve"> a new </w:t>
      </w:r>
      <w:r w:rsidR="004E4034">
        <w:t xml:space="preserve">academic </w:t>
      </w:r>
      <w:r w:rsidR="00342BE4">
        <w:t>posit</w:t>
      </w:r>
      <w:r w:rsidR="0047739D">
        <w:t>i</w:t>
      </w:r>
      <w:r w:rsidR="00342BE4">
        <w:t xml:space="preserve">on will be dedicated to </w:t>
      </w:r>
      <w:r w:rsidRPr="00727562">
        <w:t>enhancing academic leadership &amp; research into low-SES student success</w:t>
      </w:r>
      <w:r w:rsidR="004E4034">
        <w:t>,</w:t>
      </w:r>
      <w:r w:rsidRPr="00727562">
        <w:t xml:space="preserve"> with a view to </w:t>
      </w:r>
      <w:r w:rsidR="0047739D">
        <w:t xml:space="preserve">working with the academic community to </w:t>
      </w:r>
      <w:r>
        <w:t>improv</w:t>
      </w:r>
      <w:r w:rsidR="0047739D">
        <w:t>e</w:t>
      </w:r>
      <w:r w:rsidRPr="00727562">
        <w:t xml:space="preserve"> </w:t>
      </w:r>
      <w:r>
        <w:t xml:space="preserve">in-program </w:t>
      </w:r>
      <w:r w:rsidRPr="00727562">
        <w:t xml:space="preserve">academic performance, retention and graduate </w:t>
      </w:r>
      <w:r>
        <w:t>outcomes</w:t>
      </w:r>
      <w:r w:rsidR="00342BE4">
        <w:t xml:space="preserve">. Griffith intends to </w:t>
      </w:r>
      <w:r w:rsidR="0047739D">
        <w:t xml:space="preserve">expand its </w:t>
      </w:r>
      <w:r w:rsidRPr="00727562">
        <w:t>invest</w:t>
      </w:r>
      <w:r w:rsidR="0047739D">
        <w:t>ment</w:t>
      </w:r>
      <w:r w:rsidRPr="00727562">
        <w:t xml:space="preserve"> in digital learning programs and support services in recognition of the higher participation rates of low-SES students in online learning</w:t>
      </w:r>
      <w:r w:rsidR="00081EAA">
        <w:t>.</w:t>
      </w:r>
    </w:p>
    <w:p w14:paraId="272724F2" w14:textId="77777777" w:rsidR="00A96C9C" w:rsidRPr="00FA5296" w:rsidRDefault="00A96C9C" w:rsidP="00A96C9C">
      <w:pPr>
        <w:ind w:left="-5" w:right="448"/>
        <w:rPr>
          <w:b/>
          <w:sz w:val="24"/>
          <w:szCs w:val="24"/>
        </w:rPr>
      </w:pPr>
      <w:r w:rsidRPr="00FA5296">
        <w:rPr>
          <w:b/>
          <w:sz w:val="24"/>
          <w:szCs w:val="24"/>
        </w:rPr>
        <w:t>Key Activities across the Student Lifecycle</w:t>
      </w:r>
    </w:p>
    <w:tbl>
      <w:tblPr>
        <w:tblStyle w:val="GridTable4-Accent41"/>
        <w:tblW w:w="15304" w:type="dxa"/>
        <w:tblInd w:w="-147" w:type="dxa"/>
        <w:tblLayout w:type="fixed"/>
        <w:tblLook w:val="04A0" w:firstRow="1" w:lastRow="0" w:firstColumn="1" w:lastColumn="0" w:noHBand="0" w:noVBand="1"/>
      </w:tblPr>
      <w:tblGrid>
        <w:gridCol w:w="1991"/>
        <w:gridCol w:w="2687"/>
        <w:gridCol w:w="10626"/>
      </w:tblGrid>
      <w:tr w:rsidR="00A96C9C" w:rsidRPr="00A45723" w14:paraId="5DDC3AB1" w14:textId="77777777" w:rsidTr="00AF2F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tcPr>
          <w:p w14:paraId="23C11F66" w14:textId="77777777" w:rsidR="00A96C9C" w:rsidRPr="00A45723" w:rsidRDefault="00A96C9C" w:rsidP="00AF2F27">
            <w:pPr>
              <w:pStyle w:val="bulletedlist"/>
              <w:numPr>
                <w:ilvl w:val="0"/>
                <w:numId w:val="0"/>
              </w:numPr>
              <w:tabs>
                <w:tab w:val="left" w:pos="284"/>
              </w:tabs>
              <w:rPr>
                <w:sz w:val="22"/>
                <w:szCs w:val="20"/>
              </w:rPr>
            </w:pPr>
          </w:p>
        </w:tc>
        <w:tc>
          <w:tcPr>
            <w:tcW w:w="2687" w:type="dxa"/>
          </w:tcPr>
          <w:p w14:paraId="42DE4A78" w14:textId="77777777" w:rsidR="00A96C9C" w:rsidRPr="00A45723" w:rsidRDefault="00A96C9C" w:rsidP="00AF2F27">
            <w:pPr>
              <w:pStyle w:val="bulletedlist"/>
              <w:numPr>
                <w:ilvl w:val="0"/>
                <w:numId w:val="0"/>
              </w:numPr>
              <w:tabs>
                <w:tab w:val="left" w:pos="284"/>
              </w:tabs>
              <w:cnfStyle w:val="100000000000" w:firstRow="1" w:lastRow="0" w:firstColumn="0" w:lastColumn="0" w:oddVBand="0" w:evenVBand="0" w:oddHBand="0" w:evenHBand="0" w:firstRowFirstColumn="0" w:firstRowLastColumn="0" w:lastRowFirstColumn="0" w:lastRowLastColumn="0"/>
              <w:rPr>
                <w:sz w:val="22"/>
                <w:szCs w:val="20"/>
              </w:rPr>
            </w:pPr>
            <w:r w:rsidRPr="00A45723">
              <w:rPr>
                <w:sz w:val="22"/>
                <w:szCs w:val="20"/>
              </w:rPr>
              <w:t xml:space="preserve">Strategy </w:t>
            </w:r>
          </w:p>
        </w:tc>
        <w:tc>
          <w:tcPr>
            <w:tcW w:w="10626" w:type="dxa"/>
          </w:tcPr>
          <w:p w14:paraId="64DBC332" w14:textId="77777777" w:rsidR="00A96C9C" w:rsidRPr="00A45723" w:rsidRDefault="00A96C9C" w:rsidP="00AF2F27">
            <w:pPr>
              <w:pStyle w:val="bulletedlist"/>
              <w:numPr>
                <w:ilvl w:val="0"/>
                <w:numId w:val="0"/>
              </w:numPr>
              <w:tabs>
                <w:tab w:val="left" w:pos="284"/>
              </w:tabs>
              <w:cnfStyle w:val="100000000000" w:firstRow="1" w:lastRow="0" w:firstColumn="0" w:lastColumn="0" w:oddVBand="0" w:evenVBand="0" w:oddHBand="0" w:evenHBand="0" w:firstRowFirstColumn="0" w:firstRowLastColumn="0" w:lastRowFirstColumn="0" w:lastRowLastColumn="0"/>
              <w:rPr>
                <w:sz w:val="22"/>
                <w:szCs w:val="20"/>
              </w:rPr>
            </w:pPr>
            <w:r w:rsidRPr="00A45723">
              <w:rPr>
                <w:sz w:val="22"/>
                <w:szCs w:val="20"/>
              </w:rPr>
              <w:t>Programs</w:t>
            </w:r>
          </w:p>
        </w:tc>
      </w:tr>
      <w:tr w:rsidR="00A96C9C" w:rsidRPr="00A45723" w14:paraId="7C86CE3F" w14:textId="77777777" w:rsidTr="00AF2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tcPr>
          <w:p w14:paraId="64C476DC" w14:textId="77777777" w:rsidR="00A96C9C" w:rsidRPr="00E81E80" w:rsidRDefault="00A96C9C" w:rsidP="00AF2F27">
            <w:pPr>
              <w:tabs>
                <w:tab w:val="left" w:pos="284"/>
              </w:tabs>
              <w:jc w:val="center"/>
              <w:rPr>
                <w:b w:val="0"/>
                <w:sz w:val="24"/>
                <w:szCs w:val="24"/>
              </w:rPr>
            </w:pPr>
          </w:p>
        </w:tc>
        <w:tc>
          <w:tcPr>
            <w:tcW w:w="13313" w:type="dxa"/>
            <w:gridSpan w:val="2"/>
          </w:tcPr>
          <w:p w14:paraId="6010B89A" w14:textId="77777777" w:rsidR="00A96C9C" w:rsidRPr="002B3FF2" w:rsidRDefault="00A96C9C" w:rsidP="00AF2F27">
            <w:pPr>
              <w:tabs>
                <w:tab w:val="left" w:pos="284"/>
              </w:tabs>
              <w:jc w:val="center"/>
              <w:cnfStyle w:val="000000100000" w:firstRow="0" w:lastRow="0" w:firstColumn="0" w:lastColumn="0" w:oddVBand="0" w:evenVBand="0" w:oddHBand="1" w:evenHBand="0" w:firstRowFirstColumn="0" w:firstRowLastColumn="0" w:lastRowFirstColumn="0" w:lastRowLastColumn="0"/>
              <w:rPr>
                <w:b/>
                <w:sz w:val="16"/>
                <w:szCs w:val="16"/>
              </w:rPr>
            </w:pPr>
          </w:p>
        </w:tc>
      </w:tr>
      <w:tr w:rsidR="00A96C9C" w:rsidRPr="00282622" w14:paraId="0F6E84CC" w14:textId="77777777" w:rsidTr="00AF2F27">
        <w:tc>
          <w:tcPr>
            <w:cnfStyle w:val="001000000000" w:firstRow="0" w:lastRow="0" w:firstColumn="1" w:lastColumn="0" w:oddVBand="0" w:evenVBand="0" w:oddHBand="0" w:evenHBand="0" w:firstRowFirstColumn="0" w:firstRowLastColumn="0" w:lastRowFirstColumn="0" w:lastRowLastColumn="0"/>
            <w:tcW w:w="1991" w:type="dxa"/>
            <w:vMerge w:val="restart"/>
          </w:tcPr>
          <w:p w14:paraId="5AA35314" w14:textId="77777777" w:rsidR="00A96C9C" w:rsidRPr="00BC174D" w:rsidRDefault="00A96C9C" w:rsidP="00AF2F27">
            <w:pPr>
              <w:pStyle w:val="bulletedlist"/>
              <w:numPr>
                <w:ilvl w:val="0"/>
                <w:numId w:val="0"/>
              </w:numPr>
              <w:tabs>
                <w:tab w:val="left" w:pos="284"/>
              </w:tabs>
              <w:rPr>
                <w:b w:val="0"/>
                <w:szCs w:val="20"/>
              </w:rPr>
            </w:pPr>
            <w:r>
              <w:rPr>
                <w:b w:val="0"/>
                <w:szCs w:val="20"/>
              </w:rPr>
              <w:t>Pre-Access</w:t>
            </w:r>
          </w:p>
        </w:tc>
        <w:tc>
          <w:tcPr>
            <w:tcW w:w="2687" w:type="dxa"/>
          </w:tcPr>
          <w:p w14:paraId="46B6FA69" w14:textId="4CEECFE4" w:rsidR="00A96C9C" w:rsidRPr="00BC174D" w:rsidRDefault="00A96C9C" w:rsidP="00AF2F27">
            <w:pPr>
              <w:pStyle w:val="bulletedlist"/>
              <w:numPr>
                <w:ilvl w:val="0"/>
                <w:numId w:val="0"/>
              </w:numPr>
              <w:tabs>
                <w:tab w:val="left" w:pos="284"/>
              </w:tabs>
              <w:cnfStyle w:val="000000000000" w:firstRow="0" w:lastRow="0" w:firstColumn="0" w:lastColumn="0" w:oddVBand="0" w:evenVBand="0" w:oddHBand="0" w:evenHBand="0" w:firstRowFirstColumn="0" w:firstRowLastColumn="0" w:lastRowFirstColumn="0" w:lastRowLastColumn="0"/>
              <w:rPr>
                <w:b/>
                <w:bCs/>
                <w:szCs w:val="20"/>
              </w:rPr>
            </w:pPr>
            <w:r>
              <w:rPr>
                <w:b/>
                <w:szCs w:val="20"/>
              </w:rPr>
              <w:t xml:space="preserve">High </w:t>
            </w:r>
            <w:r w:rsidRPr="00BC174D">
              <w:rPr>
                <w:b/>
                <w:szCs w:val="20"/>
              </w:rPr>
              <w:t>School</w:t>
            </w:r>
            <w:r w:rsidR="00CD4C7C">
              <w:rPr>
                <w:b/>
                <w:szCs w:val="20"/>
              </w:rPr>
              <w:t>s</w:t>
            </w:r>
            <w:r w:rsidRPr="00BC174D">
              <w:rPr>
                <w:b/>
                <w:szCs w:val="20"/>
              </w:rPr>
              <w:t xml:space="preserve"> Outreach </w:t>
            </w:r>
          </w:p>
          <w:p w14:paraId="74B1674E" w14:textId="77777777" w:rsidR="00A96C9C" w:rsidRPr="00BC174D" w:rsidRDefault="00A96C9C" w:rsidP="00AF2F27">
            <w:pPr>
              <w:pStyle w:val="bulletedlist"/>
              <w:numPr>
                <w:ilvl w:val="0"/>
                <w:numId w:val="0"/>
              </w:numPr>
              <w:tabs>
                <w:tab w:val="left" w:pos="284"/>
              </w:tabs>
              <w:cnfStyle w:val="000000000000" w:firstRow="0" w:lastRow="0" w:firstColumn="0" w:lastColumn="0" w:oddVBand="0" w:evenVBand="0" w:oddHBand="0" w:evenHBand="0" w:firstRowFirstColumn="0" w:firstRowLastColumn="0" w:lastRowFirstColumn="0" w:lastRowLastColumn="0"/>
              <w:rPr>
                <w:szCs w:val="20"/>
              </w:rPr>
            </w:pPr>
          </w:p>
        </w:tc>
        <w:tc>
          <w:tcPr>
            <w:tcW w:w="10626" w:type="dxa"/>
          </w:tcPr>
          <w:p w14:paraId="54D52162" w14:textId="77777777" w:rsidR="00A96C9C" w:rsidRPr="00EF3C05" w:rsidRDefault="00A96C9C" w:rsidP="00AF2F27">
            <w:pPr>
              <w:tabs>
                <w:tab w:val="left" w:pos="284"/>
              </w:tabs>
              <w:cnfStyle w:val="000000000000" w:firstRow="0" w:lastRow="0" w:firstColumn="0" w:lastColumn="0" w:oddVBand="0" w:evenVBand="0" w:oddHBand="0" w:evenHBand="0" w:firstRowFirstColumn="0" w:firstRowLastColumn="0" w:lastRowFirstColumn="0" w:lastRowLastColumn="0"/>
              <w:rPr>
                <w:b/>
                <w:szCs w:val="20"/>
              </w:rPr>
            </w:pPr>
            <w:r w:rsidRPr="00282622">
              <w:rPr>
                <w:szCs w:val="20"/>
              </w:rPr>
              <w:t xml:space="preserve">Scaffolded </w:t>
            </w:r>
            <w:r>
              <w:rPr>
                <w:szCs w:val="20"/>
              </w:rPr>
              <w:t xml:space="preserve">age-appropriate </w:t>
            </w:r>
            <w:r w:rsidRPr="00282622">
              <w:rPr>
                <w:szCs w:val="20"/>
              </w:rPr>
              <w:t xml:space="preserve">activities for </w:t>
            </w:r>
            <w:r>
              <w:rPr>
                <w:szCs w:val="20"/>
              </w:rPr>
              <w:t xml:space="preserve">LSES </w:t>
            </w:r>
            <w:r w:rsidRPr="00282622">
              <w:rPr>
                <w:szCs w:val="20"/>
              </w:rPr>
              <w:t xml:space="preserve">students </w:t>
            </w:r>
            <w:r>
              <w:rPr>
                <w:szCs w:val="20"/>
              </w:rPr>
              <w:t>at</w:t>
            </w:r>
            <w:r w:rsidRPr="00282622">
              <w:rPr>
                <w:szCs w:val="20"/>
              </w:rPr>
              <w:t xml:space="preserve"> each stage of development with targeted interventions </w:t>
            </w:r>
            <w:r>
              <w:rPr>
                <w:szCs w:val="20"/>
              </w:rPr>
              <w:t xml:space="preserve">and career development activities </w:t>
            </w:r>
            <w:r w:rsidRPr="00282622">
              <w:rPr>
                <w:szCs w:val="20"/>
              </w:rPr>
              <w:t>to assist in building aspiration</w:t>
            </w:r>
            <w:r>
              <w:rPr>
                <w:szCs w:val="20"/>
              </w:rPr>
              <w:t>, engage in discipline-related activities and explore</w:t>
            </w:r>
            <w:r w:rsidRPr="00282622">
              <w:rPr>
                <w:szCs w:val="20"/>
              </w:rPr>
              <w:t xml:space="preserve"> </w:t>
            </w:r>
            <w:r>
              <w:rPr>
                <w:szCs w:val="20"/>
              </w:rPr>
              <w:t xml:space="preserve">degree and career options. WP activities include </w:t>
            </w:r>
            <w:hyperlink r:id="rId12" w:history="1">
              <w:proofErr w:type="spellStart"/>
              <w:r w:rsidRPr="00F1479C">
                <w:rPr>
                  <w:rStyle w:val="Hyperlink"/>
                  <w:szCs w:val="20"/>
                </w:rPr>
                <w:t>Uni</w:t>
              </w:r>
              <w:proofErr w:type="spellEnd"/>
              <w:r w:rsidRPr="00F1479C">
                <w:rPr>
                  <w:rStyle w:val="Hyperlink"/>
                  <w:szCs w:val="20"/>
                </w:rPr>
                <w:t>-Reach</w:t>
              </w:r>
            </w:hyperlink>
            <w:r w:rsidRPr="00282622">
              <w:rPr>
                <w:szCs w:val="20"/>
              </w:rPr>
              <w:t xml:space="preserve">, </w:t>
            </w:r>
            <w:hyperlink r:id="rId13" w:history="1">
              <w:r w:rsidRPr="00F1479C">
                <w:rPr>
                  <w:rStyle w:val="Hyperlink"/>
                  <w:szCs w:val="20"/>
                </w:rPr>
                <w:t>WP Careers Outreach Strategy</w:t>
              </w:r>
            </w:hyperlink>
            <w:r>
              <w:rPr>
                <w:szCs w:val="20"/>
              </w:rPr>
              <w:t xml:space="preserve"> and c</w:t>
            </w:r>
            <w:r w:rsidRPr="00282622">
              <w:rPr>
                <w:szCs w:val="20"/>
              </w:rPr>
              <w:t xml:space="preserve">ohort-specific projects </w:t>
            </w:r>
            <w:r>
              <w:rPr>
                <w:szCs w:val="20"/>
              </w:rPr>
              <w:t xml:space="preserve">for </w:t>
            </w:r>
            <w:hyperlink r:id="rId14" w:anchor="future-students" w:history="1">
              <w:r w:rsidRPr="00F1479C">
                <w:rPr>
                  <w:rStyle w:val="Hyperlink"/>
                  <w:szCs w:val="20"/>
                </w:rPr>
                <w:t>Pasifika</w:t>
              </w:r>
            </w:hyperlink>
            <w:r>
              <w:rPr>
                <w:rStyle w:val="Hyperlink"/>
                <w:szCs w:val="20"/>
              </w:rPr>
              <w:t xml:space="preserve"> and Maori students,</w:t>
            </w:r>
            <w:r>
              <w:rPr>
                <w:szCs w:val="20"/>
              </w:rPr>
              <w:t xml:space="preserve"> </w:t>
            </w:r>
            <w:hyperlink r:id="rId15" w:history="1">
              <w:r w:rsidRPr="00F1479C">
                <w:rPr>
                  <w:rStyle w:val="Hyperlink"/>
                  <w:szCs w:val="20"/>
                </w:rPr>
                <w:t>people with disabilitie</w:t>
              </w:r>
              <w:r>
                <w:rPr>
                  <w:rStyle w:val="Hyperlink"/>
                  <w:szCs w:val="20"/>
                </w:rPr>
                <w:t>s (TEE program)</w:t>
              </w:r>
            </w:hyperlink>
            <w:r>
              <w:rPr>
                <w:szCs w:val="20"/>
              </w:rPr>
              <w:t xml:space="preserve"> and </w:t>
            </w:r>
            <w:hyperlink r:id="rId16" w:history="1">
              <w:r w:rsidRPr="001E72C5">
                <w:rPr>
                  <w:rStyle w:val="Hyperlink"/>
                  <w:szCs w:val="20"/>
                </w:rPr>
                <w:t>parents</w:t>
              </w:r>
            </w:hyperlink>
            <w:r w:rsidRPr="00282622">
              <w:rPr>
                <w:szCs w:val="20"/>
              </w:rPr>
              <w:t>.</w:t>
            </w:r>
            <w:r>
              <w:rPr>
                <w:szCs w:val="20"/>
              </w:rPr>
              <w:t xml:space="preserve"> </w:t>
            </w:r>
          </w:p>
        </w:tc>
      </w:tr>
      <w:tr w:rsidR="00A96C9C" w:rsidRPr="00282622" w14:paraId="2A6DA7AE" w14:textId="77777777" w:rsidTr="00AF2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vMerge/>
          </w:tcPr>
          <w:p w14:paraId="1DE93192" w14:textId="77777777" w:rsidR="00A96C9C" w:rsidRPr="00BC174D" w:rsidRDefault="00A96C9C" w:rsidP="00AF2F27">
            <w:pPr>
              <w:pStyle w:val="bulletedlist"/>
              <w:numPr>
                <w:ilvl w:val="0"/>
                <w:numId w:val="0"/>
              </w:numPr>
              <w:tabs>
                <w:tab w:val="left" w:pos="284"/>
              </w:tabs>
              <w:rPr>
                <w:b w:val="0"/>
                <w:szCs w:val="20"/>
              </w:rPr>
            </w:pPr>
          </w:p>
        </w:tc>
        <w:tc>
          <w:tcPr>
            <w:tcW w:w="2687" w:type="dxa"/>
          </w:tcPr>
          <w:p w14:paraId="161F6F01" w14:textId="77777777" w:rsidR="00A96C9C" w:rsidRPr="00BC174D" w:rsidRDefault="00A96C9C" w:rsidP="00AF2F27">
            <w:pPr>
              <w:pStyle w:val="bulletedlist"/>
              <w:numPr>
                <w:ilvl w:val="0"/>
                <w:numId w:val="0"/>
              </w:numPr>
              <w:tabs>
                <w:tab w:val="left" w:pos="284"/>
              </w:tabs>
              <w:cnfStyle w:val="000000100000" w:firstRow="0" w:lastRow="0" w:firstColumn="0" w:lastColumn="0" w:oddVBand="0" w:evenVBand="0" w:oddHBand="1" w:evenHBand="0" w:firstRowFirstColumn="0" w:firstRowLastColumn="0" w:lastRowFirstColumn="0" w:lastRowLastColumn="0"/>
              <w:rPr>
                <w:b/>
                <w:szCs w:val="20"/>
              </w:rPr>
            </w:pPr>
            <w:r>
              <w:rPr>
                <w:b/>
                <w:szCs w:val="20"/>
              </w:rPr>
              <w:t>Building First Peoples Aspiration to University</w:t>
            </w:r>
          </w:p>
        </w:tc>
        <w:tc>
          <w:tcPr>
            <w:tcW w:w="10626" w:type="dxa"/>
          </w:tcPr>
          <w:p w14:paraId="3E7505D6" w14:textId="56E842A3" w:rsidR="00A96C9C" w:rsidRPr="002B3FF2" w:rsidRDefault="00A96C9C" w:rsidP="00991083">
            <w:pPr>
              <w:shd w:val="clear" w:color="auto" w:fill="FFFFFF"/>
              <w:cnfStyle w:val="000000100000" w:firstRow="0" w:lastRow="0" w:firstColumn="0" w:lastColumn="0" w:oddVBand="0" w:evenVBand="0" w:oddHBand="1" w:evenHBand="0" w:firstRowFirstColumn="0" w:firstRowLastColumn="0" w:lastRowFirstColumn="0" w:lastRowLastColumn="0"/>
              <w:rPr>
                <w:szCs w:val="20"/>
              </w:rPr>
            </w:pPr>
            <w:r w:rsidRPr="002B3FF2">
              <w:rPr>
                <w:szCs w:val="20"/>
              </w:rPr>
              <w:t xml:space="preserve">First Peoples Aspiration to Health Programs aims to build aspirations of Aboriginal &amp;Torres Strait Islander high school students and inspiring and empowering them to consider University as a possibility </w:t>
            </w:r>
            <w:hyperlink r:id="rId17" w:tgtFrame="_blank" w:history="1">
              <w:r w:rsidRPr="002B3FF2">
                <w:rPr>
                  <w:rStyle w:val="Hyperlink"/>
                  <w:rFonts w:cs="Arial"/>
                  <w:color w:val="1155CC"/>
                  <w:szCs w:val="20"/>
                </w:rPr>
                <w:t>https://www2.griffith.edu.au/health/first-peoples-health-unit</w:t>
              </w:r>
            </w:hyperlink>
          </w:p>
        </w:tc>
      </w:tr>
      <w:tr w:rsidR="00A96C9C" w:rsidRPr="00282622" w14:paraId="06A07F65" w14:textId="77777777" w:rsidTr="00AF2F27">
        <w:tc>
          <w:tcPr>
            <w:cnfStyle w:val="001000000000" w:firstRow="0" w:lastRow="0" w:firstColumn="1" w:lastColumn="0" w:oddVBand="0" w:evenVBand="0" w:oddHBand="0" w:evenHBand="0" w:firstRowFirstColumn="0" w:firstRowLastColumn="0" w:lastRowFirstColumn="0" w:lastRowLastColumn="0"/>
            <w:tcW w:w="1991" w:type="dxa"/>
            <w:vMerge/>
          </w:tcPr>
          <w:p w14:paraId="4BC675E2" w14:textId="77777777" w:rsidR="00A96C9C" w:rsidRPr="00BC174D" w:rsidRDefault="00A96C9C" w:rsidP="00AF2F27">
            <w:pPr>
              <w:pStyle w:val="bulletedlist"/>
              <w:numPr>
                <w:ilvl w:val="0"/>
                <w:numId w:val="0"/>
              </w:numPr>
              <w:tabs>
                <w:tab w:val="left" w:pos="284"/>
              </w:tabs>
              <w:rPr>
                <w:b w:val="0"/>
                <w:szCs w:val="20"/>
              </w:rPr>
            </w:pPr>
          </w:p>
        </w:tc>
        <w:tc>
          <w:tcPr>
            <w:tcW w:w="2687" w:type="dxa"/>
          </w:tcPr>
          <w:p w14:paraId="17A5375F" w14:textId="77777777" w:rsidR="00A96C9C" w:rsidRPr="00BC174D" w:rsidRDefault="00A96C9C" w:rsidP="00AF2F27">
            <w:pPr>
              <w:pStyle w:val="bulletedlist"/>
              <w:numPr>
                <w:ilvl w:val="0"/>
                <w:numId w:val="0"/>
              </w:numPr>
              <w:tabs>
                <w:tab w:val="left" w:pos="284"/>
              </w:tabs>
              <w:cnfStyle w:val="000000000000" w:firstRow="0" w:lastRow="0" w:firstColumn="0" w:lastColumn="0" w:oddVBand="0" w:evenVBand="0" w:oddHBand="0" w:evenHBand="0" w:firstRowFirstColumn="0" w:firstRowLastColumn="0" w:lastRowFirstColumn="0" w:lastRowLastColumn="0"/>
              <w:rPr>
                <w:b/>
                <w:szCs w:val="20"/>
              </w:rPr>
            </w:pPr>
            <w:r>
              <w:rPr>
                <w:b/>
                <w:szCs w:val="20"/>
              </w:rPr>
              <w:t>Adult Learner Pathways &amp; Participation</w:t>
            </w:r>
          </w:p>
        </w:tc>
        <w:tc>
          <w:tcPr>
            <w:tcW w:w="10626" w:type="dxa"/>
          </w:tcPr>
          <w:p w14:paraId="3849E9F0" w14:textId="525DCC32" w:rsidR="00A96C9C" w:rsidRPr="00744CB0" w:rsidRDefault="00A96C9C" w:rsidP="00991083">
            <w:pPr>
              <w:tabs>
                <w:tab w:val="left" w:pos="284"/>
              </w:tabs>
              <w:cnfStyle w:val="000000000000" w:firstRow="0" w:lastRow="0" w:firstColumn="0" w:lastColumn="0" w:oddVBand="0" w:evenVBand="0" w:oddHBand="0" w:evenHBand="0" w:firstRowFirstColumn="0" w:firstRowLastColumn="0" w:lastRowFirstColumn="0" w:lastRowLastColumn="0"/>
              <w:rPr>
                <w:rFonts w:ascii="Foundry Sterling W01" w:hAnsi="Foundry Sterling W01"/>
                <w:color w:val="474747"/>
                <w:sz w:val="23"/>
                <w:szCs w:val="23"/>
              </w:rPr>
            </w:pPr>
            <w:r w:rsidRPr="00744CB0">
              <w:rPr>
                <w:rFonts w:cstheme="minorHAnsi"/>
                <w:color w:val="474747"/>
                <w:szCs w:val="20"/>
              </w:rPr>
              <w:t>With more than 50% of the Griffith student population comprising non-school leavers, the</w:t>
            </w:r>
            <w:r>
              <w:rPr>
                <w:rFonts w:cstheme="minorHAnsi"/>
                <w:color w:val="474747"/>
                <w:szCs w:val="20"/>
              </w:rPr>
              <w:t xml:space="preserve"> University has</w:t>
            </w:r>
            <w:r w:rsidRPr="00744CB0">
              <w:rPr>
                <w:rFonts w:cstheme="minorHAnsi"/>
                <w:color w:val="474747"/>
                <w:szCs w:val="20"/>
              </w:rPr>
              <w:t xml:space="preserve"> multiple pathways and programs </w:t>
            </w:r>
            <w:r>
              <w:rPr>
                <w:rFonts w:cstheme="minorHAnsi"/>
                <w:color w:val="474747"/>
                <w:szCs w:val="20"/>
              </w:rPr>
              <w:t xml:space="preserve">for non-school leavers </w:t>
            </w:r>
            <w:r w:rsidRPr="00744CB0">
              <w:rPr>
                <w:rFonts w:cstheme="minorHAnsi"/>
                <w:color w:val="474747"/>
                <w:szCs w:val="20"/>
              </w:rPr>
              <w:t>to outreach, access and succeed</w:t>
            </w:r>
            <w:r>
              <w:rPr>
                <w:rFonts w:cstheme="minorHAnsi"/>
                <w:color w:val="474747"/>
                <w:szCs w:val="20"/>
              </w:rPr>
              <w:t>.</w:t>
            </w:r>
            <w:r w:rsidRPr="00744CB0">
              <w:rPr>
                <w:rFonts w:cstheme="minorHAnsi"/>
                <w:color w:val="474747"/>
                <w:szCs w:val="20"/>
              </w:rPr>
              <w:t xml:space="preserve"> </w:t>
            </w:r>
            <w:r w:rsidR="00991083">
              <w:rPr>
                <w:rFonts w:cstheme="minorHAnsi"/>
                <w:color w:val="474747"/>
                <w:szCs w:val="20"/>
              </w:rPr>
              <w:t>Through active engagement with the Queensland Adult Learner Network, o</w:t>
            </w:r>
            <w:r w:rsidRPr="00744CB0">
              <w:rPr>
                <w:rFonts w:cstheme="minorHAnsi"/>
                <w:color w:val="474747"/>
                <w:szCs w:val="20"/>
              </w:rPr>
              <w:t>utreach activities are conducted with partnering </w:t>
            </w:r>
            <w:r w:rsidRPr="00744CB0">
              <w:rPr>
                <w:rFonts w:cstheme="minorHAnsi"/>
                <w:szCs w:val="20"/>
              </w:rPr>
              <w:t>TAFE</w:t>
            </w:r>
            <w:r w:rsidRPr="00744CB0">
              <w:rPr>
                <w:rFonts w:cstheme="minorHAnsi"/>
                <w:color w:val="474747"/>
                <w:szCs w:val="20"/>
              </w:rPr>
              <w:t>s, community colleges, </w:t>
            </w:r>
            <w:r w:rsidRPr="00744CB0">
              <w:rPr>
                <w:rFonts w:cstheme="minorHAnsi"/>
                <w:szCs w:val="20"/>
              </w:rPr>
              <w:t>VET</w:t>
            </w:r>
            <w:r w:rsidRPr="00744CB0">
              <w:rPr>
                <w:rFonts w:cstheme="minorHAnsi"/>
                <w:color w:val="474747"/>
                <w:szCs w:val="20"/>
              </w:rPr>
              <w:t> providers and community service organisations to raise the aspiration of adult learners to university. Advice on successful transitioning to Griffith is also provided</w:t>
            </w:r>
            <w:r>
              <w:rPr>
                <w:rFonts w:ascii="Foundry Sterling W01" w:hAnsi="Foundry Sterling W01"/>
                <w:color w:val="474747"/>
                <w:sz w:val="23"/>
                <w:szCs w:val="23"/>
              </w:rPr>
              <w:t xml:space="preserve">. </w:t>
            </w:r>
            <w:hyperlink r:id="rId18" w:history="1">
              <w:r w:rsidRPr="00744CB0">
                <w:rPr>
                  <w:rStyle w:val="Hyperlink"/>
                  <w:rFonts w:cstheme="minorHAnsi"/>
                  <w:szCs w:val="20"/>
                </w:rPr>
                <w:t>https://www2.griffith.edu.au/student-services/diversity-inclusion/adult-learners</w:t>
              </w:r>
            </w:hyperlink>
            <w:r>
              <w:rPr>
                <w:rFonts w:cstheme="minorHAnsi"/>
                <w:color w:val="474747"/>
                <w:szCs w:val="20"/>
              </w:rPr>
              <w:t>.</w:t>
            </w:r>
          </w:p>
        </w:tc>
      </w:tr>
      <w:tr w:rsidR="00A96C9C" w:rsidRPr="00282622" w14:paraId="3029123D" w14:textId="77777777" w:rsidTr="00AF2F27">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1991" w:type="dxa"/>
          </w:tcPr>
          <w:p w14:paraId="56440C0C" w14:textId="77777777" w:rsidR="00A96C9C" w:rsidRPr="00BC174D" w:rsidRDefault="00A96C9C" w:rsidP="00AF2F27">
            <w:pPr>
              <w:pStyle w:val="bulletedlist"/>
              <w:numPr>
                <w:ilvl w:val="0"/>
                <w:numId w:val="0"/>
              </w:numPr>
              <w:tabs>
                <w:tab w:val="left" w:pos="284"/>
              </w:tabs>
              <w:rPr>
                <w:b w:val="0"/>
                <w:szCs w:val="20"/>
              </w:rPr>
            </w:pPr>
          </w:p>
        </w:tc>
        <w:tc>
          <w:tcPr>
            <w:tcW w:w="2687" w:type="dxa"/>
          </w:tcPr>
          <w:p w14:paraId="0B8F17B5" w14:textId="77777777" w:rsidR="00A96C9C" w:rsidRPr="00BC174D" w:rsidRDefault="00A96C9C" w:rsidP="00AF2F27">
            <w:pPr>
              <w:pStyle w:val="bulletedlist"/>
              <w:numPr>
                <w:ilvl w:val="0"/>
                <w:numId w:val="0"/>
              </w:numPr>
              <w:tabs>
                <w:tab w:val="left" w:pos="284"/>
              </w:tabs>
              <w:cnfStyle w:val="000000100000" w:firstRow="0" w:lastRow="0" w:firstColumn="0" w:lastColumn="0" w:oddVBand="0" w:evenVBand="0" w:oddHBand="1" w:evenHBand="0" w:firstRowFirstColumn="0" w:firstRowLastColumn="0" w:lastRowFirstColumn="0" w:lastRowLastColumn="0"/>
              <w:rPr>
                <w:b/>
                <w:szCs w:val="20"/>
              </w:rPr>
            </w:pPr>
            <w:r>
              <w:rPr>
                <w:b/>
                <w:szCs w:val="20"/>
              </w:rPr>
              <w:t>Pre-Access Metrics</w:t>
            </w:r>
          </w:p>
        </w:tc>
        <w:tc>
          <w:tcPr>
            <w:tcW w:w="10626" w:type="dxa"/>
          </w:tcPr>
          <w:p w14:paraId="0B8D2B16" w14:textId="77777777" w:rsidR="00A96C9C" w:rsidRDefault="00A96C9C" w:rsidP="00AF2F27">
            <w:pPr>
              <w:tabs>
                <w:tab w:val="left" w:pos="284"/>
              </w:tabs>
              <w:cnfStyle w:val="000000100000" w:firstRow="0" w:lastRow="0" w:firstColumn="0" w:lastColumn="0" w:oddVBand="0" w:evenVBand="0" w:oddHBand="1" w:evenHBand="0" w:firstRowFirstColumn="0" w:firstRowLastColumn="0" w:lastRowFirstColumn="0" w:lastRowLastColumn="0"/>
              <w:rPr>
                <w:szCs w:val="20"/>
              </w:rPr>
            </w:pPr>
            <w:r>
              <w:rPr>
                <w:szCs w:val="20"/>
              </w:rPr>
              <w:t>Number of low-SES High Schools visited</w:t>
            </w:r>
          </w:p>
          <w:p w14:paraId="41BAA48A" w14:textId="77777777" w:rsidR="00A96C9C" w:rsidRDefault="00A96C9C" w:rsidP="00AF2F27">
            <w:pPr>
              <w:tabs>
                <w:tab w:val="left" w:pos="284"/>
              </w:tabs>
              <w:cnfStyle w:val="000000100000" w:firstRow="0" w:lastRow="0" w:firstColumn="0" w:lastColumn="0" w:oddVBand="0" w:evenVBand="0" w:oddHBand="1" w:evenHBand="0" w:firstRowFirstColumn="0" w:firstRowLastColumn="0" w:lastRowFirstColumn="0" w:lastRowLastColumn="0"/>
              <w:rPr>
                <w:szCs w:val="20"/>
              </w:rPr>
            </w:pPr>
            <w:r>
              <w:rPr>
                <w:szCs w:val="20"/>
              </w:rPr>
              <w:t>Number of First Peoples students participating in the Health Program</w:t>
            </w:r>
          </w:p>
          <w:p w14:paraId="304708CB" w14:textId="77777777" w:rsidR="00A96C9C" w:rsidRPr="00282622" w:rsidRDefault="00A96C9C" w:rsidP="00AF2F27">
            <w:pPr>
              <w:tabs>
                <w:tab w:val="left" w:pos="284"/>
              </w:tabs>
              <w:cnfStyle w:val="000000100000" w:firstRow="0" w:lastRow="0" w:firstColumn="0" w:lastColumn="0" w:oddVBand="0" w:evenVBand="0" w:oddHBand="1" w:evenHBand="0" w:firstRowFirstColumn="0" w:firstRowLastColumn="0" w:lastRowFirstColumn="0" w:lastRowLastColumn="0"/>
              <w:rPr>
                <w:szCs w:val="20"/>
              </w:rPr>
            </w:pPr>
            <w:r>
              <w:rPr>
                <w:szCs w:val="20"/>
              </w:rPr>
              <w:t xml:space="preserve">Number of Non-School Leavers admitted via TAFE, VET pathways </w:t>
            </w:r>
          </w:p>
        </w:tc>
      </w:tr>
      <w:tr w:rsidR="00A96C9C" w:rsidRPr="00282622" w14:paraId="1DB6CE7A" w14:textId="77777777" w:rsidTr="00AF2F27">
        <w:tc>
          <w:tcPr>
            <w:cnfStyle w:val="001000000000" w:firstRow="0" w:lastRow="0" w:firstColumn="1" w:lastColumn="0" w:oddVBand="0" w:evenVBand="0" w:oddHBand="0" w:evenHBand="0" w:firstRowFirstColumn="0" w:firstRowLastColumn="0" w:lastRowFirstColumn="0" w:lastRowLastColumn="0"/>
            <w:tcW w:w="1991" w:type="dxa"/>
            <w:vMerge w:val="restart"/>
          </w:tcPr>
          <w:p w14:paraId="32AD745E" w14:textId="77777777" w:rsidR="00A96C9C" w:rsidRPr="001328D2" w:rsidRDefault="00A96C9C" w:rsidP="00AF2F27">
            <w:pPr>
              <w:pStyle w:val="bulletedlist"/>
              <w:numPr>
                <w:ilvl w:val="0"/>
                <w:numId w:val="0"/>
              </w:numPr>
              <w:tabs>
                <w:tab w:val="left" w:pos="284"/>
              </w:tabs>
              <w:rPr>
                <w:b w:val="0"/>
                <w:szCs w:val="20"/>
              </w:rPr>
            </w:pPr>
            <w:r w:rsidRPr="001328D2">
              <w:rPr>
                <w:b w:val="0"/>
                <w:szCs w:val="20"/>
              </w:rPr>
              <w:lastRenderedPageBreak/>
              <w:t>Access</w:t>
            </w:r>
          </w:p>
        </w:tc>
        <w:tc>
          <w:tcPr>
            <w:tcW w:w="2687" w:type="dxa"/>
          </w:tcPr>
          <w:p w14:paraId="43561B8E" w14:textId="77777777" w:rsidR="00A96C9C" w:rsidRPr="00BC174D" w:rsidRDefault="00A96C9C" w:rsidP="00AF2F27">
            <w:pPr>
              <w:pStyle w:val="bulletedlist"/>
              <w:numPr>
                <w:ilvl w:val="0"/>
                <w:numId w:val="0"/>
              </w:numPr>
              <w:tabs>
                <w:tab w:val="left" w:pos="284"/>
              </w:tabs>
              <w:cnfStyle w:val="000000000000" w:firstRow="0" w:lastRow="0" w:firstColumn="0" w:lastColumn="0" w:oddVBand="0" w:evenVBand="0" w:oddHBand="0" w:evenHBand="0" w:firstRowFirstColumn="0" w:firstRowLastColumn="0" w:lastRowFirstColumn="0" w:lastRowLastColumn="0"/>
              <w:rPr>
                <w:b/>
                <w:szCs w:val="20"/>
              </w:rPr>
            </w:pPr>
            <w:r>
              <w:rPr>
                <w:b/>
                <w:szCs w:val="20"/>
              </w:rPr>
              <w:t>First Peoples Access &amp; Participation</w:t>
            </w:r>
          </w:p>
        </w:tc>
        <w:tc>
          <w:tcPr>
            <w:tcW w:w="10626" w:type="dxa"/>
          </w:tcPr>
          <w:p w14:paraId="596BF585" w14:textId="77777777" w:rsidR="00A96C9C" w:rsidRPr="00282622" w:rsidRDefault="00A96C9C" w:rsidP="00AF2F27">
            <w:pPr>
              <w:tabs>
                <w:tab w:val="left" w:pos="284"/>
              </w:tabs>
              <w:cnfStyle w:val="000000000000" w:firstRow="0" w:lastRow="0" w:firstColumn="0" w:lastColumn="0" w:oddVBand="0" w:evenVBand="0" w:oddHBand="0" w:evenHBand="0" w:firstRowFirstColumn="0" w:firstRowLastColumn="0" w:lastRowFirstColumn="0" w:lastRowLastColumn="0"/>
              <w:rPr>
                <w:szCs w:val="20"/>
              </w:rPr>
            </w:pPr>
            <w:r>
              <w:t>Griffith will partner with QTAC to develop a new tool to measure resilience, motivation and commitment to tertiary study by First Peoples applicants. Prospective applicants with higher levels of resilience, motivation and commitment are more likely to persist when they experience challenges with tertiary study.</w:t>
            </w:r>
          </w:p>
        </w:tc>
      </w:tr>
      <w:tr w:rsidR="00A96C9C" w:rsidRPr="00282622" w14:paraId="3D195B8E" w14:textId="77777777" w:rsidTr="00AF2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vMerge/>
          </w:tcPr>
          <w:p w14:paraId="091BEC06" w14:textId="77777777" w:rsidR="00A96C9C" w:rsidRPr="00BC174D" w:rsidRDefault="00A96C9C" w:rsidP="00AF2F27">
            <w:pPr>
              <w:pStyle w:val="bulletedlist"/>
              <w:numPr>
                <w:ilvl w:val="0"/>
                <w:numId w:val="0"/>
              </w:numPr>
              <w:tabs>
                <w:tab w:val="left" w:pos="284"/>
              </w:tabs>
              <w:rPr>
                <w:b w:val="0"/>
                <w:szCs w:val="20"/>
              </w:rPr>
            </w:pPr>
          </w:p>
        </w:tc>
        <w:tc>
          <w:tcPr>
            <w:tcW w:w="2687" w:type="dxa"/>
          </w:tcPr>
          <w:p w14:paraId="0F3A6385" w14:textId="77777777" w:rsidR="00A96C9C" w:rsidRPr="004D3BD2" w:rsidRDefault="00A96C9C" w:rsidP="00AF2F27">
            <w:pPr>
              <w:ind w:left="-5" w:right="448"/>
              <w:cnfStyle w:val="000000100000" w:firstRow="0" w:lastRow="0" w:firstColumn="0" w:lastColumn="0" w:oddVBand="0" w:evenVBand="0" w:oddHBand="1" w:evenHBand="0" w:firstRowFirstColumn="0" w:firstRowLastColumn="0" w:lastRowFirstColumn="0" w:lastRowLastColumn="0"/>
              <w:rPr>
                <w:b/>
                <w:szCs w:val="20"/>
              </w:rPr>
            </w:pPr>
            <w:r w:rsidRPr="004D3BD2">
              <w:rPr>
                <w:b/>
              </w:rPr>
              <w:t xml:space="preserve">Griffith Digital </w:t>
            </w:r>
            <w:r>
              <w:rPr>
                <w:b/>
              </w:rPr>
              <w:t>C</w:t>
            </w:r>
            <w:r w:rsidRPr="004D3BD2">
              <w:rPr>
                <w:b/>
              </w:rPr>
              <w:t>ampus</w:t>
            </w:r>
          </w:p>
        </w:tc>
        <w:tc>
          <w:tcPr>
            <w:tcW w:w="10626" w:type="dxa"/>
          </w:tcPr>
          <w:p w14:paraId="4E08A7C7" w14:textId="77777777" w:rsidR="00A96C9C" w:rsidRPr="00282622" w:rsidRDefault="00A96C9C" w:rsidP="00AF2F27">
            <w:pPr>
              <w:tabs>
                <w:tab w:val="left" w:pos="284"/>
              </w:tabs>
              <w:cnfStyle w:val="000000100000" w:firstRow="0" w:lastRow="0" w:firstColumn="0" w:lastColumn="0" w:oddVBand="0" w:evenVBand="0" w:oddHBand="1" w:evenHBand="0" w:firstRowFirstColumn="0" w:firstRowLastColumn="0" w:lastRowFirstColumn="0" w:lastRowLastColumn="0"/>
              <w:rPr>
                <w:szCs w:val="20"/>
              </w:rPr>
            </w:pPr>
            <w:r>
              <w:t xml:space="preserve">Recognising the power of online learning to transform opportunities for students from low-SES &amp; non-traditional backgrounds by delivering more accessible, personalised and flexible learning products and support services into their local communities, Griffith will expand its multi-campus framework to include a digital campus. A greater proportion of students studying online are from low SES background, compared to on-campus students. </w:t>
            </w:r>
          </w:p>
        </w:tc>
      </w:tr>
      <w:tr w:rsidR="00A96C9C" w:rsidRPr="00282622" w14:paraId="147C031D" w14:textId="77777777" w:rsidTr="00AF2F27">
        <w:tc>
          <w:tcPr>
            <w:cnfStyle w:val="001000000000" w:firstRow="0" w:lastRow="0" w:firstColumn="1" w:lastColumn="0" w:oddVBand="0" w:evenVBand="0" w:oddHBand="0" w:evenHBand="0" w:firstRowFirstColumn="0" w:firstRowLastColumn="0" w:lastRowFirstColumn="0" w:lastRowLastColumn="0"/>
            <w:tcW w:w="1991" w:type="dxa"/>
            <w:vMerge/>
          </w:tcPr>
          <w:p w14:paraId="10DA1D65" w14:textId="77777777" w:rsidR="00A96C9C" w:rsidRPr="00BC174D" w:rsidRDefault="00A96C9C" w:rsidP="00AF2F27">
            <w:pPr>
              <w:pStyle w:val="bulletedlist"/>
              <w:numPr>
                <w:ilvl w:val="0"/>
                <w:numId w:val="0"/>
              </w:numPr>
              <w:tabs>
                <w:tab w:val="left" w:pos="284"/>
              </w:tabs>
              <w:rPr>
                <w:b w:val="0"/>
                <w:szCs w:val="20"/>
              </w:rPr>
            </w:pPr>
          </w:p>
        </w:tc>
        <w:tc>
          <w:tcPr>
            <w:tcW w:w="2687" w:type="dxa"/>
          </w:tcPr>
          <w:p w14:paraId="1AA6781F" w14:textId="77777777" w:rsidR="00A96C9C" w:rsidRPr="00BC174D" w:rsidRDefault="00A96C9C" w:rsidP="00AF2F27">
            <w:pPr>
              <w:pStyle w:val="bulletedlist"/>
              <w:numPr>
                <w:ilvl w:val="0"/>
                <w:numId w:val="0"/>
              </w:numPr>
              <w:tabs>
                <w:tab w:val="left" w:pos="284"/>
              </w:tabs>
              <w:cnfStyle w:val="000000000000" w:firstRow="0" w:lastRow="0" w:firstColumn="0" w:lastColumn="0" w:oddVBand="0" w:evenVBand="0" w:oddHBand="0" w:evenHBand="0" w:firstRowFirstColumn="0" w:firstRowLastColumn="0" w:lastRowFirstColumn="0" w:lastRowLastColumn="0"/>
              <w:rPr>
                <w:b/>
                <w:szCs w:val="20"/>
              </w:rPr>
            </w:pPr>
            <w:r>
              <w:rPr>
                <w:b/>
                <w:szCs w:val="20"/>
              </w:rPr>
              <w:t>Adult Learner Access &amp; Participation</w:t>
            </w:r>
          </w:p>
        </w:tc>
        <w:tc>
          <w:tcPr>
            <w:tcW w:w="10626" w:type="dxa"/>
          </w:tcPr>
          <w:p w14:paraId="7F5AFB39" w14:textId="77777777" w:rsidR="00A96C9C" w:rsidRDefault="00A96C9C" w:rsidP="00AF2F27">
            <w:pPr>
              <w:tabs>
                <w:tab w:val="left" w:pos="284"/>
              </w:tabs>
              <w:cnfStyle w:val="000000000000" w:firstRow="0" w:lastRow="0" w:firstColumn="0" w:lastColumn="0" w:oddVBand="0" w:evenVBand="0" w:oddHBand="0" w:evenHBand="0" w:firstRowFirstColumn="0" w:firstRowLastColumn="0" w:lastRowFirstColumn="0" w:lastRowLastColumn="0"/>
            </w:pPr>
            <w:r w:rsidRPr="001328D2">
              <w:t>Alternative Entry Selection</w:t>
            </w:r>
            <w:r>
              <w:rPr>
                <w:b/>
              </w:rPr>
              <w:t>:</w:t>
            </w:r>
            <w:r>
              <w:t xml:space="preserve"> methods for </w:t>
            </w:r>
            <w:r w:rsidRPr="00E40F84">
              <w:t xml:space="preserve">expanding </w:t>
            </w:r>
            <w:r>
              <w:t>low-SES</w:t>
            </w:r>
            <w:r w:rsidRPr="00E40F84">
              <w:t xml:space="preserve"> </w:t>
            </w:r>
            <w:r>
              <w:t xml:space="preserve">Non-School Leaver </w:t>
            </w:r>
            <w:r w:rsidRPr="00E40F84">
              <w:t xml:space="preserve">student access to Griffith University; </w:t>
            </w:r>
            <w:r>
              <w:t xml:space="preserve">piloting </w:t>
            </w:r>
            <w:r w:rsidRPr="00E40F84">
              <w:t xml:space="preserve">the use and effectiveness of Personal Competency Assessments for </w:t>
            </w:r>
            <w:r>
              <w:t xml:space="preserve">adult learner </w:t>
            </w:r>
            <w:r w:rsidRPr="00E40F84">
              <w:t>university admission</w:t>
            </w:r>
          </w:p>
          <w:p w14:paraId="6064C23A" w14:textId="7F9FC85B" w:rsidR="00A96C9C" w:rsidRPr="00282622" w:rsidRDefault="00A96C9C" w:rsidP="00FE1C5A">
            <w:pPr>
              <w:ind w:right="448"/>
              <w:cnfStyle w:val="000000000000" w:firstRow="0" w:lastRow="0" w:firstColumn="0" w:lastColumn="0" w:oddVBand="0" w:evenVBand="0" w:oddHBand="0" w:evenHBand="0" w:firstRowFirstColumn="0" w:firstRowLastColumn="0" w:lastRowFirstColumn="0" w:lastRowLastColumn="0"/>
              <w:rPr>
                <w:szCs w:val="20"/>
              </w:rPr>
            </w:pPr>
            <w:r>
              <w:t>Griffith University Preparation Program</w:t>
            </w:r>
            <w:r w:rsidR="00E71FD5" w:rsidRPr="00513D57">
              <w:rPr>
                <w:i/>
              </w:rPr>
              <w:t xml:space="preserve"> </w:t>
            </w:r>
            <w:r w:rsidR="00E71FD5" w:rsidRPr="00513D57">
              <w:rPr>
                <w:rFonts w:cstheme="minorHAnsi"/>
                <w:color w:val="333333"/>
                <w:shd w:val="clear" w:color="auto" w:fill="FFFFFF"/>
              </w:rPr>
              <w:t>provides a pathway to undergraduate studies for applicants who lack the formal qualifications required for University entry to an undergraduate degree. The program consists of four courses providing foundational knowledge and academic skills, knowledge and</w:t>
            </w:r>
            <w:r w:rsidR="00E71FD5">
              <w:rPr>
                <w:rFonts w:cstheme="minorHAnsi"/>
                <w:color w:val="333333"/>
                <w:shd w:val="clear" w:color="auto" w:fill="FFFFFF"/>
              </w:rPr>
              <w:t xml:space="preserve"> </w:t>
            </w:r>
            <w:r w:rsidR="00E71FD5" w:rsidRPr="00513D57">
              <w:rPr>
                <w:rFonts w:cstheme="minorHAnsi"/>
                <w:color w:val="333333"/>
                <w:shd w:val="clear" w:color="auto" w:fill="FFFFFF"/>
              </w:rPr>
              <w:t>confidence required to complete undergraduate studies</w:t>
            </w:r>
            <w:r w:rsidR="00E71FD5">
              <w:rPr>
                <w:rFonts w:ascii="Foundry Sterling W01" w:hAnsi="Foundry Sterling W01"/>
                <w:color w:val="333333"/>
                <w:sz w:val="21"/>
                <w:szCs w:val="21"/>
                <w:shd w:val="clear" w:color="auto" w:fill="FFFFFF"/>
              </w:rPr>
              <w:t>.</w:t>
            </w:r>
            <w:r w:rsidR="00FE1C5A">
              <w:rPr>
                <w:rFonts w:ascii="Foundry Sterling W01" w:hAnsi="Foundry Sterling W01"/>
                <w:color w:val="333333"/>
                <w:sz w:val="21"/>
                <w:szCs w:val="21"/>
                <w:shd w:val="clear" w:color="auto" w:fill="FFFFFF"/>
              </w:rPr>
              <w:t xml:space="preserve"> </w:t>
            </w:r>
            <w:hyperlink r:id="rId19" w:history="1">
              <w:r w:rsidR="00E71FD5" w:rsidRPr="00C656C0">
                <w:rPr>
                  <w:rStyle w:val="Hyperlink"/>
                </w:rPr>
                <w:t>https://degrees.griffith.edu.au/Program/9355</w:t>
              </w:r>
            </w:hyperlink>
          </w:p>
        </w:tc>
      </w:tr>
      <w:tr w:rsidR="00A96C9C" w:rsidRPr="00282622" w14:paraId="0A1CBEF0" w14:textId="77777777" w:rsidTr="00AF2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vMerge/>
          </w:tcPr>
          <w:p w14:paraId="7490336B" w14:textId="77777777" w:rsidR="00A96C9C" w:rsidRPr="00BC174D" w:rsidRDefault="00A96C9C" w:rsidP="00AF2F27">
            <w:pPr>
              <w:pStyle w:val="bulletedlist"/>
              <w:numPr>
                <w:ilvl w:val="0"/>
                <w:numId w:val="0"/>
              </w:numPr>
              <w:tabs>
                <w:tab w:val="left" w:pos="284"/>
              </w:tabs>
              <w:rPr>
                <w:b w:val="0"/>
                <w:szCs w:val="20"/>
              </w:rPr>
            </w:pPr>
          </w:p>
        </w:tc>
        <w:tc>
          <w:tcPr>
            <w:tcW w:w="2687" w:type="dxa"/>
          </w:tcPr>
          <w:p w14:paraId="5B117F70" w14:textId="77777777" w:rsidR="00A96C9C" w:rsidRDefault="00A96C9C" w:rsidP="00AF2F27">
            <w:pPr>
              <w:pStyle w:val="bulletedlist"/>
              <w:numPr>
                <w:ilvl w:val="0"/>
                <w:numId w:val="0"/>
              </w:numPr>
              <w:tabs>
                <w:tab w:val="left" w:pos="284"/>
              </w:tabs>
              <w:cnfStyle w:val="000000100000" w:firstRow="0" w:lastRow="0" w:firstColumn="0" w:lastColumn="0" w:oddVBand="0" w:evenVBand="0" w:oddHBand="1" w:evenHBand="0" w:firstRowFirstColumn="0" w:firstRowLastColumn="0" w:lastRowFirstColumn="0" w:lastRowLastColumn="0"/>
              <w:rPr>
                <w:b/>
                <w:szCs w:val="20"/>
              </w:rPr>
            </w:pPr>
            <w:r>
              <w:rPr>
                <w:b/>
                <w:szCs w:val="20"/>
              </w:rPr>
              <w:t>Admission via Educational Access Schemes</w:t>
            </w:r>
          </w:p>
        </w:tc>
        <w:tc>
          <w:tcPr>
            <w:tcW w:w="10626" w:type="dxa"/>
          </w:tcPr>
          <w:p w14:paraId="4952D75C" w14:textId="77777777" w:rsidR="00A96C9C" w:rsidRPr="00A772E5" w:rsidRDefault="00A96C9C" w:rsidP="00AF2F27">
            <w:pPr>
              <w:ind w:right="448"/>
              <w:cnfStyle w:val="000000100000" w:firstRow="0" w:lastRow="0" w:firstColumn="0" w:lastColumn="0" w:oddVBand="0" w:evenVBand="0" w:oddHBand="1" w:evenHBand="0" w:firstRowFirstColumn="0" w:firstRowLastColumn="0" w:lastRowFirstColumn="0" w:lastRowLastColumn="0"/>
              <w:rPr>
                <w:szCs w:val="20"/>
              </w:rPr>
            </w:pPr>
            <w:r w:rsidRPr="00A772E5">
              <w:rPr>
                <w:rFonts w:cstheme="minorHAnsi"/>
                <w:color w:val="000000"/>
                <w:szCs w:val="20"/>
              </w:rPr>
              <w:t>Educational Access Schemes assist students who have experienced circumstances that negatively affected their most recent studies. Students may be eligible for </w:t>
            </w:r>
            <w:r w:rsidRPr="00A772E5">
              <w:rPr>
                <w:rFonts w:cstheme="minorHAnsi"/>
                <w:szCs w:val="20"/>
              </w:rPr>
              <w:t>bonus OPs or ranks that improve the chanc</w:t>
            </w:r>
            <w:r w:rsidRPr="00A772E5">
              <w:rPr>
                <w:rFonts w:cstheme="minorHAnsi"/>
                <w:color w:val="000000"/>
                <w:szCs w:val="20"/>
              </w:rPr>
              <w:t xml:space="preserve">e of getting an offer. </w:t>
            </w:r>
            <w:hyperlink r:id="rId20" w:history="1">
              <w:r w:rsidRPr="00A772E5">
                <w:rPr>
                  <w:rStyle w:val="Hyperlink"/>
                  <w:szCs w:val="20"/>
                </w:rPr>
                <w:t>https://www.qtac.edu.au/applications/educational-access-scheme</w:t>
              </w:r>
            </w:hyperlink>
            <w:r w:rsidRPr="00A772E5">
              <w:rPr>
                <w:rStyle w:val="Hyperlink"/>
                <w:szCs w:val="20"/>
              </w:rPr>
              <w:t xml:space="preserve">; </w:t>
            </w:r>
            <w:hyperlink r:id="rId21" w:history="1">
              <w:r w:rsidRPr="00A772E5">
                <w:rPr>
                  <w:rStyle w:val="Hyperlink"/>
                  <w:szCs w:val="20"/>
                </w:rPr>
                <w:t>http://www.uac.edu.au/eas/</w:t>
              </w:r>
            </w:hyperlink>
          </w:p>
        </w:tc>
      </w:tr>
      <w:tr w:rsidR="00A96C9C" w:rsidRPr="00282622" w14:paraId="5FE02AB7" w14:textId="77777777" w:rsidTr="00AF2F27">
        <w:tc>
          <w:tcPr>
            <w:cnfStyle w:val="001000000000" w:firstRow="0" w:lastRow="0" w:firstColumn="1" w:lastColumn="0" w:oddVBand="0" w:evenVBand="0" w:oddHBand="0" w:evenHBand="0" w:firstRowFirstColumn="0" w:firstRowLastColumn="0" w:lastRowFirstColumn="0" w:lastRowLastColumn="0"/>
            <w:tcW w:w="1991" w:type="dxa"/>
            <w:vMerge/>
          </w:tcPr>
          <w:p w14:paraId="0BD5C0DA" w14:textId="77777777" w:rsidR="00A96C9C" w:rsidRPr="00BC174D" w:rsidRDefault="00A96C9C" w:rsidP="00AF2F27">
            <w:pPr>
              <w:pStyle w:val="bulletedlist"/>
              <w:numPr>
                <w:ilvl w:val="0"/>
                <w:numId w:val="0"/>
              </w:numPr>
              <w:tabs>
                <w:tab w:val="left" w:pos="284"/>
              </w:tabs>
              <w:rPr>
                <w:b w:val="0"/>
                <w:szCs w:val="20"/>
              </w:rPr>
            </w:pPr>
          </w:p>
        </w:tc>
        <w:tc>
          <w:tcPr>
            <w:tcW w:w="2687" w:type="dxa"/>
          </w:tcPr>
          <w:p w14:paraId="22541F7F" w14:textId="77777777" w:rsidR="00A96C9C" w:rsidRDefault="00A96C9C" w:rsidP="00AF2F27">
            <w:pPr>
              <w:pStyle w:val="bulletedlist"/>
              <w:numPr>
                <w:ilvl w:val="0"/>
                <w:numId w:val="0"/>
              </w:numPr>
              <w:tabs>
                <w:tab w:val="left" w:pos="284"/>
              </w:tabs>
              <w:cnfStyle w:val="000000000000" w:firstRow="0" w:lastRow="0" w:firstColumn="0" w:lastColumn="0" w:oddVBand="0" w:evenVBand="0" w:oddHBand="0" w:evenHBand="0" w:firstRowFirstColumn="0" w:firstRowLastColumn="0" w:lastRowFirstColumn="0" w:lastRowLastColumn="0"/>
              <w:rPr>
                <w:b/>
                <w:szCs w:val="20"/>
              </w:rPr>
            </w:pPr>
            <w:r>
              <w:rPr>
                <w:b/>
                <w:szCs w:val="20"/>
              </w:rPr>
              <w:t>Financial support underpinning access to Griffith University</w:t>
            </w:r>
          </w:p>
        </w:tc>
        <w:tc>
          <w:tcPr>
            <w:tcW w:w="10626" w:type="dxa"/>
          </w:tcPr>
          <w:p w14:paraId="10491CBD" w14:textId="736F7A85" w:rsidR="00A96C9C" w:rsidRPr="001328D2" w:rsidRDefault="00A96C9C" w:rsidP="00AF2F27">
            <w:pPr>
              <w:tabs>
                <w:tab w:val="left" w:pos="284"/>
              </w:tabs>
              <w:cnfStyle w:val="000000000000" w:firstRow="0" w:lastRow="0" w:firstColumn="0" w:lastColumn="0" w:oddVBand="0" w:evenVBand="0" w:oddHBand="0" w:evenHBand="0" w:firstRowFirstColumn="0" w:firstRowLastColumn="0" w:lastRowFirstColumn="0" w:lastRowLastColumn="0"/>
            </w:pPr>
            <w:r w:rsidRPr="00282622">
              <w:rPr>
                <w:szCs w:val="20"/>
              </w:rPr>
              <w:t>Educational and community partnerships assist Griffith to attract students from equity backgrounds</w:t>
            </w:r>
            <w:r>
              <w:rPr>
                <w:szCs w:val="20"/>
              </w:rPr>
              <w:t xml:space="preserve"> including </w:t>
            </w:r>
            <w:r w:rsidRPr="00282622">
              <w:rPr>
                <w:szCs w:val="20"/>
              </w:rPr>
              <w:t>The Smith Family</w:t>
            </w:r>
            <w:r>
              <w:rPr>
                <w:szCs w:val="20"/>
              </w:rPr>
              <w:t xml:space="preserve"> and the Country Education Foundation which assist</w:t>
            </w:r>
            <w:r w:rsidR="00991083">
              <w:rPr>
                <w:szCs w:val="20"/>
              </w:rPr>
              <w:t>s</w:t>
            </w:r>
            <w:r>
              <w:rPr>
                <w:szCs w:val="20"/>
              </w:rPr>
              <w:t xml:space="preserve"> students from rural and remote communities. Griffith makes a range of further financial support options available including </w:t>
            </w:r>
            <w:r>
              <w:t>Widening Participation Scholarships; support for lodging QTAC Applications and a range of Education bursaries for up-front expenses such as textbooks and computers.</w:t>
            </w:r>
          </w:p>
        </w:tc>
      </w:tr>
      <w:tr w:rsidR="00A96C9C" w:rsidRPr="00282622" w14:paraId="4B1C84B3" w14:textId="77777777" w:rsidTr="00AF2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vMerge/>
          </w:tcPr>
          <w:p w14:paraId="35D3A731" w14:textId="77777777" w:rsidR="00A96C9C" w:rsidRPr="00BC174D" w:rsidRDefault="00A96C9C" w:rsidP="00AF2F27">
            <w:pPr>
              <w:pStyle w:val="bulletedlist"/>
              <w:numPr>
                <w:ilvl w:val="0"/>
                <w:numId w:val="0"/>
              </w:numPr>
              <w:tabs>
                <w:tab w:val="left" w:pos="284"/>
              </w:tabs>
              <w:rPr>
                <w:b w:val="0"/>
                <w:szCs w:val="20"/>
              </w:rPr>
            </w:pPr>
          </w:p>
        </w:tc>
        <w:tc>
          <w:tcPr>
            <w:tcW w:w="2687" w:type="dxa"/>
          </w:tcPr>
          <w:p w14:paraId="13C1CE2F" w14:textId="77777777" w:rsidR="00A96C9C" w:rsidRPr="00BC174D" w:rsidRDefault="00A96C9C" w:rsidP="00AF2F27">
            <w:pPr>
              <w:pStyle w:val="bulletedlist"/>
              <w:numPr>
                <w:ilvl w:val="0"/>
                <w:numId w:val="0"/>
              </w:numPr>
              <w:tabs>
                <w:tab w:val="left" w:pos="284"/>
              </w:tabs>
              <w:cnfStyle w:val="000000100000" w:firstRow="0" w:lastRow="0" w:firstColumn="0" w:lastColumn="0" w:oddVBand="0" w:evenVBand="0" w:oddHBand="1" w:evenHBand="0" w:firstRowFirstColumn="0" w:firstRowLastColumn="0" w:lastRowFirstColumn="0" w:lastRowLastColumn="0"/>
              <w:rPr>
                <w:b/>
                <w:szCs w:val="20"/>
              </w:rPr>
            </w:pPr>
            <w:r>
              <w:rPr>
                <w:b/>
                <w:szCs w:val="20"/>
              </w:rPr>
              <w:t>Access Metrics</w:t>
            </w:r>
          </w:p>
        </w:tc>
        <w:tc>
          <w:tcPr>
            <w:tcW w:w="10626" w:type="dxa"/>
          </w:tcPr>
          <w:p w14:paraId="0D0F8A37" w14:textId="77777777" w:rsidR="00A96C9C" w:rsidRDefault="00A96C9C" w:rsidP="00AF2F27">
            <w:pPr>
              <w:tabs>
                <w:tab w:val="left" w:pos="284"/>
              </w:tabs>
              <w:cnfStyle w:val="000000100000" w:firstRow="0" w:lastRow="0" w:firstColumn="0" w:lastColumn="0" w:oddVBand="0" w:evenVBand="0" w:oddHBand="1" w:evenHBand="0" w:firstRowFirstColumn="0" w:firstRowLastColumn="0" w:lastRowFirstColumn="0" w:lastRowLastColumn="0"/>
              <w:rPr>
                <w:szCs w:val="20"/>
              </w:rPr>
            </w:pPr>
            <w:r>
              <w:rPr>
                <w:szCs w:val="20"/>
              </w:rPr>
              <w:t xml:space="preserve">Number of low-SES students admitted </w:t>
            </w:r>
          </w:p>
          <w:p w14:paraId="283608BE" w14:textId="77777777" w:rsidR="00A96C9C" w:rsidRDefault="00A96C9C" w:rsidP="00AF2F27">
            <w:pPr>
              <w:tabs>
                <w:tab w:val="left" w:pos="284"/>
              </w:tabs>
              <w:cnfStyle w:val="000000100000" w:firstRow="0" w:lastRow="0" w:firstColumn="0" w:lastColumn="0" w:oddVBand="0" w:evenVBand="0" w:oddHBand="1" w:evenHBand="0" w:firstRowFirstColumn="0" w:firstRowLastColumn="0" w:lastRowFirstColumn="0" w:lastRowLastColumn="0"/>
              <w:rPr>
                <w:szCs w:val="20"/>
              </w:rPr>
            </w:pPr>
            <w:r>
              <w:rPr>
                <w:szCs w:val="20"/>
              </w:rPr>
              <w:t>Number of First Peoples Applicants admitted</w:t>
            </w:r>
          </w:p>
          <w:p w14:paraId="3BFA33AB" w14:textId="77777777" w:rsidR="00A96C9C" w:rsidRDefault="00A96C9C" w:rsidP="00AF2F27">
            <w:pPr>
              <w:tabs>
                <w:tab w:val="left" w:pos="284"/>
              </w:tabs>
              <w:cnfStyle w:val="000000100000" w:firstRow="0" w:lastRow="0" w:firstColumn="0" w:lastColumn="0" w:oddVBand="0" w:evenVBand="0" w:oddHBand="1" w:evenHBand="0" w:firstRowFirstColumn="0" w:firstRowLastColumn="0" w:lastRowFirstColumn="0" w:lastRowLastColumn="0"/>
              <w:rPr>
                <w:szCs w:val="20"/>
              </w:rPr>
            </w:pPr>
            <w:r>
              <w:rPr>
                <w:szCs w:val="20"/>
              </w:rPr>
              <w:t>Number of low-SES NSL students admitted via PCA selection</w:t>
            </w:r>
          </w:p>
          <w:p w14:paraId="089D0E60" w14:textId="77777777" w:rsidR="00A96C9C" w:rsidRDefault="00A96C9C" w:rsidP="00AF2F27">
            <w:pPr>
              <w:tabs>
                <w:tab w:val="left" w:pos="284"/>
              </w:tabs>
              <w:cnfStyle w:val="000000100000" w:firstRow="0" w:lastRow="0" w:firstColumn="0" w:lastColumn="0" w:oddVBand="0" w:evenVBand="0" w:oddHBand="1" w:evenHBand="0" w:firstRowFirstColumn="0" w:firstRowLastColumn="0" w:lastRowFirstColumn="0" w:lastRowLastColumn="0"/>
              <w:rPr>
                <w:szCs w:val="20"/>
              </w:rPr>
            </w:pPr>
            <w:r>
              <w:rPr>
                <w:szCs w:val="20"/>
              </w:rPr>
              <w:t>Number of low-SES students admitted via online learning pathways</w:t>
            </w:r>
          </w:p>
          <w:p w14:paraId="0C3D37E5" w14:textId="77777777" w:rsidR="00A96C9C" w:rsidRDefault="00A96C9C" w:rsidP="00AF2F27">
            <w:pPr>
              <w:tabs>
                <w:tab w:val="left" w:pos="284"/>
              </w:tabs>
              <w:cnfStyle w:val="000000100000" w:firstRow="0" w:lastRow="0" w:firstColumn="0" w:lastColumn="0" w:oddVBand="0" w:evenVBand="0" w:oddHBand="1" w:evenHBand="0" w:firstRowFirstColumn="0" w:firstRowLastColumn="0" w:lastRowFirstColumn="0" w:lastRowLastColumn="0"/>
              <w:rPr>
                <w:szCs w:val="20"/>
              </w:rPr>
            </w:pPr>
            <w:r>
              <w:rPr>
                <w:szCs w:val="20"/>
              </w:rPr>
              <w:t>Number &amp; profile of students accessing financial support options</w:t>
            </w:r>
          </w:p>
          <w:p w14:paraId="2395F674" w14:textId="77777777" w:rsidR="00A96C9C" w:rsidRPr="00282622" w:rsidRDefault="00A96C9C" w:rsidP="00AF2F27">
            <w:pPr>
              <w:tabs>
                <w:tab w:val="left" w:pos="284"/>
              </w:tabs>
              <w:cnfStyle w:val="000000100000" w:firstRow="0" w:lastRow="0" w:firstColumn="0" w:lastColumn="0" w:oddVBand="0" w:evenVBand="0" w:oddHBand="1" w:evenHBand="0" w:firstRowFirstColumn="0" w:firstRowLastColumn="0" w:lastRowFirstColumn="0" w:lastRowLastColumn="0"/>
              <w:rPr>
                <w:szCs w:val="20"/>
              </w:rPr>
            </w:pPr>
            <w:r>
              <w:rPr>
                <w:szCs w:val="20"/>
              </w:rPr>
              <w:t>Number of students admitted utilising Educational Access Schemes &amp; Application support</w:t>
            </w:r>
          </w:p>
        </w:tc>
      </w:tr>
      <w:tr w:rsidR="00A96C9C" w:rsidRPr="00282622" w14:paraId="5F1314D2" w14:textId="77777777" w:rsidTr="00AF2F27">
        <w:tc>
          <w:tcPr>
            <w:cnfStyle w:val="001000000000" w:firstRow="0" w:lastRow="0" w:firstColumn="1" w:lastColumn="0" w:oddVBand="0" w:evenVBand="0" w:oddHBand="0" w:evenHBand="0" w:firstRowFirstColumn="0" w:firstRowLastColumn="0" w:lastRowFirstColumn="0" w:lastRowLastColumn="0"/>
            <w:tcW w:w="1991" w:type="dxa"/>
            <w:vMerge w:val="restart"/>
          </w:tcPr>
          <w:p w14:paraId="201BA896" w14:textId="77777777" w:rsidR="00A96C9C" w:rsidRPr="00BC174D" w:rsidRDefault="00A96C9C" w:rsidP="00AF2F27">
            <w:pPr>
              <w:pStyle w:val="bulletedlist"/>
              <w:numPr>
                <w:ilvl w:val="0"/>
                <w:numId w:val="0"/>
              </w:numPr>
              <w:tabs>
                <w:tab w:val="left" w:pos="284"/>
              </w:tabs>
              <w:rPr>
                <w:b w:val="0"/>
                <w:szCs w:val="20"/>
              </w:rPr>
            </w:pPr>
            <w:r>
              <w:rPr>
                <w:b w:val="0"/>
                <w:szCs w:val="20"/>
              </w:rPr>
              <w:t>Participation</w:t>
            </w:r>
          </w:p>
        </w:tc>
        <w:tc>
          <w:tcPr>
            <w:tcW w:w="2687" w:type="dxa"/>
          </w:tcPr>
          <w:p w14:paraId="601F4900" w14:textId="77777777" w:rsidR="00A96C9C" w:rsidRPr="00BC174D" w:rsidRDefault="00A96C9C" w:rsidP="00AF2F27">
            <w:pPr>
              <w:pStyle w:val="bulletedlist"/>
              <w:numPr>
                <w:ilvl w:val="0"/>
                <w:numId w:val="0"/>
              </w:numPr>
              <w:tabs>
                <w:tab w:val="left" w:pos="284"/>
              </w:tabs>
              <w:cnfStyle w:val="000000000000" w:firstRow="0" w:lastRow="0" w:firstColumn="0" w:lastColumn="0" w:oddVBand="0" w:evenVBand="0" w:oddHBand="0" w:evenHBand="0" w:firstRowFirstColumn="0" w:firstRowLastColumn="0" w:lastRowFirstColumn="0" w:lastRowLastColumn="0"/>
              <w:rPr>
                <w:b/>
                <w:szCs w:val="20"/>
              </w:rPr>
            </w:pPr>
            <w:r>
              <w:rPr>
                <w:b/>
                <w:szCs w:val="20"/>
              </w:rPr>
              <w:t>Academic leadership to improve low-SES student success</w:t>
            </w:r>
          </w:p>
        </w:tc>
        <w:tc>
          <w:tcPr>
            <w:tcW w:w="10626" w:type="dxa"/>
          </w:tcPr>
          <w:p w14:paraId="2B405BEB" w14:textId="6603B050" w:rsidR="00A96C9C" w:rsidRPr="00282622" w:rsidRDefault="00A96C9C" w:rsidP="004E4034">
            <w:pPr>
              <w:tabs>
                <w:tab w:val="left" w:pos="284"/>
              </w:tabs>
              <w:cnfStyle w:val="000000000000" w:firstRow="0" w:lastRow="0" w:firstColumn="0" w:lastColumn="0" w:oddVBand="0" w:evenVBand="0" w:oddHBand="0" w:evenHBand="0" w:firstRowFirstColumn="0" w:firstRowLastColumn="0" w:lastRowFirstColumn="0" w:lastRowLastColumn="0"/>
              <w:rPr>
                <w:szCs w:val="20"/>
              </w:rPr>
            </w:pPr>
            <w:r>
              <w:t xml:space="preserve">The appointment of an Academic Lead – Student Equity is </w:t>
            </w:r>
            <w:proofErr w:type="spellStart"/>
            <w:r>
              <w:t>auspiced</w:t>
            </w:r>
            <w:proofErr w:type="spellEnd"/>
            <w:r>
              <w:t xml:space="preserve"> by the Deputy Vice Chancellor (Academic) to lead the </w:t>
            </w:r>
            <w:r w:rsidRPr="006613C1">
              <w:t>develop</w:t>
            </w:r>
            <w:r>
              <w:t>ment</w:t>
            </w:r>
            <w:r w:rsidRPr="006613C1">
              <w:t xml:space="preserve"> and achieve</w:t>
            </w:r>
            <w:r>
              <w:t>ment of</w:t>
            </w:r>
            <w:r w:rsidRPr="006613C1">
              <w:t xml:space="preserve"> the University’s </w:t>
            </w:r>
            <w:r>
              <w:t>A</w:t>
            </w:r>
            <w:r w:rsidRPr="006613C1">
              <w:t xml:space="preserve">ccess and </w:t>
            </w:r>
            <w:r>
              <w:t>P</w:t>
            </w:r>
            <w:r w:rsidRPr="006613C1">
              <w:t xml:space="preserve">articipation </w:t>
            </w:r>
            <w:r>
              <w:t xml:space="preserve">objectives specifically focussing on improving </w:t>
            </w:r>
            <w:r w:rsidR="00342BE4">
              <w:t>in=-</w:t>
            </w:r>
            <w:r w:rsidR="00342BE4">
              <w:lastRenderedPageBreak/>
              <w:t xml:space="preserve">program </w:t>
            </w:r>
            <w:r>
              <w:t xml:space="preserve">academic </w:t>
            </w:r>
            <w:r w:rsidR="00342BE4">
              <w:t xml:space="preserve">orientation and </w:t>
            </w:r>
            <w:r>
              <w:t>transition, retention, employment and employability outcomes and research into academic performance and success of students from low-SES and non-traditional backgrounds.</w:t>
            </w:r>
          </w:p>
        </w:tc>
      </w:tr>
      <w:tr w:rsidR="00A96C9C" w:rsidRPr="00282622" w14:paraId="31E5463F" w14:textId="77777777" w:rsidTr="00AF2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vMerge/>
          </w:tcPr>
          <w:p w14:paraId="7A129CF1" w14:textId="77777777" w:rsidR="00A96C9C" w:rsidRPr="00BC174D" w:rsidRDefault="00A96C9C" w:rsidP="00AF2F27">
            <w:pPr>
              <w:pStyle w:val="bulletedlist"/>
              <w:numPr>
                <w:ilvl w:val="0"/>
                <w:numId w:val="0"/>
              </w:numPr>
              <w:tabs>
                <w:tab w:val="left" w:pos="284"/>
              </w:tabs>
              <w:rPr>
                <w:b w:val="0"/>
                <w:szCs w:val="20"/>
              </w:rPr>
            </w:pPr>
          </w:p>
        </w:tc>
        <w:tc>
          <w:tcPr>
            <w:tcW w:w="2687" w:type="dxa"/>
          </w:tcPr>
          <w:p w14:paraId="371BD5E4" w14:textId="77777777" w:rsidR="00A96C9C" w:rsidRPr="00BC174D" w:rsidRDefault="00A96C9C" w:rsidP="00AF2F27">
            <w:pPr>
              <w:pStyle w:val="bulletedlist"/>
              <w:numPr>
                <w:ilvl w:val="0"/>
                <w:numId w:val="0"/>
              </w:numPr>
              <w:tabs>
                <w:tab w:val="left" w:pos="284"/>
              </w:tabs>
              <w:cnfStyle w:val="000000100000" w:firstRow="0" w:lastRow="0" w:firstColumn="0" w:lastColumn="0" w:oddVBand="0" w:evenVBand="0" w:oddHBand="1" w:evenHBand="0" w:firstRowFirstColumn="0" w:firstRowLastColumn="0" w:lastRowFirstColumn="0" w:lastRowLastColumn="0"/>
              <w:rPr>
                <w:b/>
                <w:szCs w:val="20"/>
              </w:rPr>
            </w:pPr>
            <w:r>
              <w:rPr>
                <w:b/>
                <w:szCs w:val="20"/>
              </w:rPr>
              <w:t>Supporting low-SES &amp; First Peoples student success in their Program of Study</w:t>
            </w:r>
          </w:p>
        </w:tc>
        <w:tc>
          <w:tcPr>
            <w:tcW w:w="10626" w:type="dxa"/>
          </w:tcPr>
          <w:p w14:paraId="41E96DE9" w14:textId="7DD63B1A" w:rsidR="00A96C9C" w:rsidRPr="00FC3380" w:rsidRDefault="00A96C9C" w:rsidP="00AF2F27">
            <w:pPr>
              <w:tabs>
                <w:tab w:val="left" w:pos="284"/>
              </w:tabs>
              <w:cnfStyle w:val="000000100000" w:firstRow="0" w:lastRow="0" w:firstColumn="0" w:lastColumn="0" w:oddVBand="0" w:evenVBand="0" w:oddHBand="1" w:evenHBand="0" w:firstRowFirstColumn="0" w:firstRowLastColumn="0" w:lastRowFirstColumn="0" w:lastRowLastColumn="0"/>
              <w:rPr>
                <w:lang w:val="en"/>
              </w:rPr>
            </w:pPr>
            <w:r>
              <w:rPr>
                <w:szCs w:val="20"/>
              </w:rPr>
              <w:t>In-program servic</w:t>
            </w:r>
            <w:r w:rsidRPr="00282622">
              <w:rPr>
                <w:szCs w:val="20"/>
              </w:rPr>
              <w:t xml:space="preserve">es to </w:t>
            </w:r>
            <w:r>
              <w:rPr>
                <w:szCs w:val="20"/>
              </w:rPr>
              <w:t xml:space="preserve">facilitate </w:t>
            </w:r>
            <w:r w:rsidRPr="00282622">
              <w:rPr>
                <w:szCs w:val="20"/>
              </w:rPr>
              <w:t>retention and success includ</w:t>
            </w:r>
            <w:r>
              <w:rPr>
                <w:szCs w:val="20"/>
              </w:rPr>
              <w:t>e dedicated</w:t>
            </w:r>
            <w:r w:rsidRPr="00282622">
              <w:rPr>
                <w:szCs w:val="20"/>
              </w:rPr>
              <w:t xml:space="preserve"> transition-in</w:t>
            </w:r>
            <w:r>
              <w:rPr>
                <w:szCs w:val="20"/>
              </w:rPr>
              <w:t>,</w:t>
            </w:r>
            <w:r w:rsidRPr="00282622">
              <w:rPr>
                <w:szCs w:val="20"/>
              </w:rPr>
              <w:t xml:space="preserve"> support </w:t>
            </w:r>
            <w:r>
              <w:rPr>
                <w:szCs w:val="20"/>
              </w:rPr>
              <w:t xml:space="preserve">and referral for equity groups </w:t>
            </w:r>
            <w:proofErr w:type="spellStart"/>
            <w:r>
              <w:rPr>
                <w:szCs w:val="20"/>
              </w:rPr>
              <w:t>ie</w:t>
            </w:r>
            <w:proofErr w:type="spellEnd"/>
            <w:r>
              <w:rPr>
                <w:szCs w:val="20"/>
              </w:rPr>
              <w:t xml:space="preserve"> </w:t>
            </w:r>
            <w:hyperlink r:id="rId22" w:history="1">
              <w:proofErr w:type="spellStart"/>
              <w:r w:rsidRPr="0068528C">
                <w:rPr>
                  <w:rStyle w:val="Hyperlink"/>
                  <w:szCs w:val="20"/>
                </w:rPr>
                <w:t>Uni</w:t>
              </w:r>
              <w:proofErr w:type="spellEnd"/>
              <w:r w:rsidRPr="0068528C">
                <w:rPr>
                  <w:rStyle w:val="Hyperlink"/>
                  <w:szCs w:val="20"/>
                </w:rPr>
                <w:t>-Reach+</w:t>
              </w:r>
            </w:hyperlink>
            <w:r>
              <w:rPr>
                <w:szCs w:val="20"/>
              </w:rPr>
              <w:t xml:space="preserve">; a dedicated </w:t>
            </w:r>
            <w:hyperlink r:id="rId23" w:history="1">
              <w:r w:rsidRPr="0068528C">
                <w:rPr>
                  <w:rStyle w:val="Hyperlink"/>
                  <w:szCs w:val="20"/>
                </w:rPr>
                <w:t>Disabilities Service</w:t>
              </w:r>
            </w:hyperlink>
            <w:r>
              <w:rPr>
                <w:rStyle w:val="Hyperlink"/>
                <w:szCs w:val="20"/>
              </w:rPr>
              <w:t>s</w:t>
            </w:r>
            <w:r>
              <w:rPr>
                <w:szCs w:val="20"/>
              </w:rPr>
              <w:t>; equity-informed w</w:t>
            </w:r>
            <w:r w:rsidRPr="00282622">
              <w:rPr>
                <w:szCs w:val="20"/>
              </w:rPr>
              <w:t>elfare</w:t>
            </w:r>
            <w:r>
              <w:rPr>
                <w:szCs w:val="20"/>
              </w:rPr>
              <w:t xml:space="preserve">, health, counselling support services; </w:t>
            </w:r>
            <w:hyperlink r:id="rId24" w:history="1">
              <w:r w:rsidRPr="0068528C">
                <w:rPr>
                  <w:rStyle w:val="Hyperlink"/>
                  <w:szCs w:val="20"/>
                </w:rPr>
                <w:t>university-wide mentoring</w:t>
              </w:r>
            </w:hyperlink>
            <w:r>
              <w:rPr>
                <w:szCs w:val="20"/>
              </w:rPr>
              <w:t xml:space="preserve">; and professional development/leadership activities for student mentors. Peer mentoring is a core support strategy </w:t>
            </w:r>
            <w:proofErr w:type="gramStart"/>
            <w:r>
              <w:rPr>
                <w:szCs w:val="20"/>
              </w:rPr>
              <w:t>achieved through :</w:t>
            </w:r>
            <w:proofErr w:type="gramEnd"/>
            <w:r>
              <w:rPr>
                <w:szCs w:val="20"/>
              </w:rPr>
              <w:br/>
            </w:r>
            <w:r w:rsidRPr="00470E4C">
              <w:rPr>
                <w:i/>
                <w:lang w:val="en"/>
              </w:rPr>
              <w:t>PASS</w:t>
            </w:r>
            <w:r>
              <w:rPr>
                <w:lang w:val="en"/>
              </w:rPr>
              <w:t xml:space="preserve"> offers structured and group learning sessions for challenging courses with study sessions facilitated by students who have previously achieved excellent results in the course and who have completed the nationa</w:t>
            </w:r>
            <w:r w:rsidR="00107FC7">
              <w:rPr>
                <w:lang w:val="en"/>
              </w:rPr>
              <w:t>lly accredited training program.</w:t>
            </w:r>
            <w:bookmarkStart w:id="0" w:name="_GoBack"/>
            <w:bookmarkEnd w:id="0"/>
          </w:p>
          <w:p w14:paraId="332A5491" w14:textId="4330BF71" w:rsidR="00A96C9C" w:rsidRDefault="00A96C9C" w:rsidP="00AF2F27">
            <w:pPr>
              <w:tabs>
                <w:tab w:val="left" w:pos="284"/>
              </w:tabs>
              <w:cnfStyle w:val="000000100000" w:firstRow="0" w:lastRow="0" w:firstColumn="0" w:lastColumn="0" w:oddVBand="0" w:evenVBand="0" w:oddHBand="1" w:evenHBand="0" w:firstRowFirstColumn="0" w:firstRowLastColumn="0" w:lastRowFirstColumn="0" w:lastRowLastColumn="0"/>
              <w:rPr>
                <w:rFonts w:cstheme="minorHAnsi"/>
                <w:lang w:val="en"/>
              </w:rPr>
            </w:pPr>
            <w:r w:rsidRPr="00470E4C">
              <w:rPr>
                <w:rFonts w:cstheme="minorHAnsi"/>
                <w:i/>
                <w:szCs w:val="20"/>
              </w:rPr>
              <w:t xml:space="preserve">AIME </w:t>
            </w:r>
            <w:r w:rsidRPr="00FC3380">
              <w:rPr>
                <w:rFonts w:cstheme="minorHAnsi"/>
                <w:lang w:val="en"/>
              </w:rPr>
              <w:t>is a dynamic educational program that relies on university students as Role Models and Mentors for Indigenous High school students</w:t>
            </w:r>
            <w:r>
              <w:rPr>
                <w:rFonts w:cstheme="minorHAnsi"/>
                <w:lang w:val="en"/>
              </w:rPr>
              <w:t xml:space="preserve"> and works in concert with </w:t>
            </w:r>
            <w:r w:rsidR="00F44FF8">
              <w:rPr>
                <w:rFonts w:cstheme="minorHAnsi"/>
                <w:lang w:val="en"/>
              </w:rPr>
              <w:t>the GUMURRI</w:t>
            </w:r>
            <w:r w:rsidR="0097094D">
              <w:rPr>
                <w:rFonts w:cstheme="minorHAnsi"/>
                <w:lang w:val="en"/>
              </w:rPr>
              <w:t>I</w:t>
            </w:r>
            <w:r w:rsidR="00F44FF8">
              <w:rPr>
                <w:rFonts w:cstheme="minorHAnsi"/>
                <w:lang w:val="en"/>
              </w:rPr>
              <w:t xml:space="preserve"> student support unit.</w:t>
            </w:r>
          </w:p>
          <w:p w14:paraId="14FCD980" w14:textId="402D37E1" w:rsidR="0097094D" w:rsidRDefault="00F44FF8" w:rsidP="00470E4C">
            <w:pPr>
              <w:tabs>
                <w:tab w:val="left" w:pos="284"/>
              </w:tabs>
              <w:cnfStyle w:val="000000100000" w:firstRow="0" w:lastRow="0" w:firstColumn="0" w:lastColumn="0" w:oddVBand="0" w:evenVBand="0" w:oddHBand="1" w:evenHBand="0" w:firstRowFirstColumn="0" w:firstRowLastColumn="0" w:lastRowFirstColumn="0" w:lastRowLastColumn="0"/>
            </w:pPr>
            <w:r>
              <w:t>E</w:t>
            </w:r>
            <w:r w:rsidR="00081EAA" w:rsidRPr="00D377B5">
              <w:t>-support and e-counselling services</w:t>
            </w:r>
            <w:r>
              <w:t xml:space="preserve"> will be further developed to extend</w:t>
            </w:r>
            <w:r w:rsidR="00081EAA">
              <w:t xml:space="preserve"> secure &amp; professional digital outreach </w:t>
            </w:r>
            <w:r>
              <w:t xml:space="preserve">aimed at </w:t>
            </w:r>
            <w:r w:rsidR="00081EAA">
              <w:t>enhanc</w:t>
            </w:r>
            <w:r>
              <w:t>ing</w:t>
            </w:r>
            <w:r w:rsidR="00081EAA">
              <w:t xml:space="preserve"> personal, social and academic adjustment to university</w:t>
            </w:r>
            <w:r>
              <w:t xml:space="preserve"> particularly </w:t>
            </w:r>
            <w:r w:rsidR="00470E4C">
              <w:t xml:space="preserve">for students </w:t>
            </w:r>
            <w:r>
              <w:t>in online learning environments. This may include</w:t>
            </w:r>
            <w:r w:rsidR="00081EAA">
              <w:t xml:space="preserve"> explor</w:t>
            </w:r>
            <w:r>
              <w:t xml:space="preserve">ing </w:t>
            </w:r>
            <w:r w:rsidR="00081EAA">
              <w:t>the use of smart assistants to facilitate student self-help.</w:t>
            </w:r>
          </w:p>
          <w:p w14:paraId="79FB1F1B" w14:textId="14E9DACE" w:rsidR="0097094D" w:rsidRPr="0097094D" w:rsidRDefault="0097094D" w:rsidP="00C0370B">
            <w:pPr>
              <w:tabs>
                <w:tab w:val="left" w:pos="284"/>
              </w:tabs>
              <w:cnfStyle w:val="000000100000" w:firstRow="0" w:lastRow="0" w:firstColumn="0" w:lastColumn="0" w:oddVBand="0" w:evenVBand="0" w:oddHBand="1" w:evenHBand="0" w:firstRowFirstColumn="0" w:firstRowLastColumn="0" w:lastRowFirstColumn="0" w:lastRowLastColumn="0"/>
            </w:pPr>
            <w:r>
              <w:t xml:space="preserve">The GUMURRII Student Support Unit will develop </w:t>
            </w:r>
            <w:r w:rsidR="00C0370B">
              <w:t xml:space="preserve">a program of </w:t>
            </w:r>
            <w:r w:rsidR="00C0370B" w:rsidRPr="00C0370B">
              <w:t xml:space="preserve">indigenous </w:t>
            </w:r>
            <w:r w:rsidRPr="00C0370B">
              <w:t>cultural</w:t>
            </w:r>
            <w:r w:rsidR="00C0370B" w:rsidRPr="00C0370B">
              <w:t xml:space="preserve"> competencies</w:t>
            </w:r>
            <w:r w:rsidR="00C0370B">
              <w:t xml:space="preserve"> for use as part of the Griffith </w:t>
            </w:r>
            <w:proofErr w:type="spellStart"/>
            <w:r w:rsidR="00C0370B">
              <w:t>MyOrientation</w:t>
            </w:r>
            <w:proofErr w:type="spellEnd"/>
            <w:r w:rsidR="00C0370B">
              <w:t xml:space="preserve"> project and for online students.</w:t>
            </w:r>
          </w:p>
        </w:tc>
      </w:tr>
      <w:tr w:rsidR="0006405A" w:rsidRPr="00282622" w14:paraId="1FF3623D" w14:textId="77777777" w:rsidTr="00AF2F27">
        <w:tc>
          <w:tcPr>
            <w:cnfStyle w:val="001000000000" w:firstRow="0" w:lastRow="0" w:firstColumn="1" w:lastColumn="0" w:oddVBand="0" w:evenVBand="0" w:oddHBand="0" w:evenHBand="0" w:firstRowFirstColumn="0" w:firstRowLastColumn="0" w:lastRowFirstColumn="0" w:lastRowLastColumn="0"/>
            <w:tcW w:w="1991" w:type="dxa"/>
            <w:vMerge/>
          </w:tcPr>
          <w:p w14:paraId="158C1D17" w14:textId="77777777" w:rsidR="0006405A" w:rsidRPr="00BC174D" w:rsidRDefault="0006405A" w:rsidP="00AF2F27">
            <w:pPr>
              <w:pStyle w:val="bulletedlist"/>
              <w:numPr>
                <w:ilvl w:val="0"/>
                <w:numId w:val="0"/>
              </w:numPr>
              <w:tabs>
                <w:tab w:val="left" w:pos="284"/>
              </w:tabs>
              <w:rPr>
                <w:b w:val="0"/>
                <w:szCs w:val="20"/>
              </w:rPr>
            </w:pPr>
          </w:p>
        </w:tc>
        <w:tc>
          <w:tcPr>
            <w:tcW w:w="2687" w:type="dxa"/>
          </w:tcPr>
          <w:p w14:paraId="3B44AF6E" w14:textId="11872FBC" w:rsidR="0006405A" w:rsidRDefault="0006405A" w:rsidP="00AF2F27">
            <w:pPr>
              <w:pStyle w:val="bulletedlist"/>
              <w:numPr>
                <w:ilvl w:val="0"/>
                <w:numId w:val="0"/>
              </w:numPr>
              <w:tabs>
                <w:tab w:val="left" w:pos="284"/>
              </w:tabs>
              <w:cnfStyle w:val="000000000000" w:firstRow="0" w:lastRow="0" w:firstColumn="0" w:lastColumn="0" w:oddVBand="0" w:evenVBand="0" w:oddHBand="0" w:evenHBand="0" w:firstRowFirstColumn="0" w:firstRowLastColumn="0" w:lastRowFirstColumn="0" w:lastRowLastColumn="0"/>
              <w:rPr>
                <w:b/>
                <w:szCs w:val="20"/>
              </w:rPr>
            </w:pPr>
            <w:r>
              <w:rPr>
                <w:b/>
                <w:szCs w:val="20"/>
              </w:rPr>
              <w:t>Reconciliation in Action</w:t>
            </w:r>
          </w:p>
        </w:tc>
        <w:tc>
          <w:tcPr>
            <w:tcW w:w="10626" w:type="dxa"/>
          </w:tcPr>
          <w:p w14:paraId="550AF204" w14:textId="42C2AAE5" w:rsidR="0006405A" w:rsidRDefault="00C0370B" w:rsidP="00AF2F27">
            <w:pPr>
              <w:tabs>
                <w:tab w:val="left" w:pos="284"/>
              </w:tabs>
              <w:cnfStyle w:val="000000000000" w:firstRow="0" w:lastRow="0" w:firstColumn="0" w:lastColumn="0" w:oddVBand="0" w:evenVBand="0" w:oddHBand="0" w:evenHBand="0" w:firstRowFirstColumn="0" w:firstRowLastColumn="0" w:lastRowFirstColumn="0" w:lastRowLastColumn="0"/>
              <w:rPr>
                <w:szCs w:val="20"/>
              </w:rPr>
            </w:pPr>
            <w:r>
              <w:rPr>
                <w:szCs w:val="20"/>
              </w:rPr>
              <w:t xml:space="preserve">Ongoing support for the Griffith Elders in Residence and the program of cultural and community engagement and support led by Professor </w:t>
            </w:r>
            <w:proofErr w:type="spellStart"/>
            <w:r>
              <w:rPr>
                <w:szCs w:val="20"/>
              </w:rPr>
              <w:t>Boni</w:t>
            </w:r>
            <w:proofErr w:type="spellEnd"/>
            <w:r>
              <w:rPr>
                <w:szCs w:val="20"/>
              </w:rPr>
              <w:t xml:space="preserve"> Robertson as Professor of Indigenous Policy and Director of Indigenous Community Engagement Policy and Partnerships</w:t>
            </w:r>
          </w:p>
        </w:tc>
      </w:tr>
      <w:tr w:rsidR="00A96C9C" w:rsidRPr="00282622" w14:paraId="1C49E348" w14:textId="77777777" w:rsidTr="00AF2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vMerge/>
          </w:tcPr>
          <w:p w14:paraId="43C4A70B" w14:textId="77777777" w:rsidR="00A96C9C" w:rsidRPr="00BC174D" w:rsidRDefault="00A96C9C" w:rsidP="00AF2F27">
            <w:pPr>
              <w:pStyle w:val="bulletedlist"/>
              <w:numPr>
                <w:ilvl w:val="0"/>
                <w:numId w:val="0"/>
              </w:numPr>
              <w:tabs>
                <w:tab w:val="left" w:pos="284"/>
              </w:tabs>
              <w:rPr>
                <w:b w:val="0"/>
                <w:szCs w:val="20"/>
              </w:rPr>
            </w:pPr>
          </w:p>
        </w:tc>
        <w:tc>
          <w:tcPr>
            <w:tcW w:w="2687" w:type="dxa"/>
          </w:tcPr>
          <w:p w14:paraId="6A4927C3" w14:textId="77777777" w:rsidR="00A96C9C" w:rsidRPr="00BC174D" w:rsidRDefault="00A96C9C" w:rsidP="00AF2F27">
            <w:pPr>
              <w:pStyle w:val="bulletedlist"/>
              <w:numPr>
                <w:ilvl w:val="0"/>
                <w:numId w:val="0"/>
              </w:numPr>
              <w:tabs>
                <w:tab w:val="left" w:pos="284"/>
              </w:tabs>
              <w:cnfStyle w:val="000000100000" w:firstRow="0" w:lastRow="0" w:firstColumn="0" w:lastColumn="0" w:oddVBand="0" w:evenVBand="0" w:oddHBand="1" w:evenHBand="0" w:firstRowFirstColumn="0" w:firstRowLastColumn="0" w:lastRowFirstColumn="0" w:lastRowLastColumn="0"/>
              <w:rPr>
                <w:b/>
                <w:szCs w:val="20"/>
              </w:rPr>
            </w:pPr>
            <w:r>
              <w:rPr>
                <w:b/>
                <w:szCs w:val="20"/>
              </w:rPr>
              <w:t>Participation metrics</w:t>
            </w:r>
          </w:p>
        </w:tc>
        <w:tc>
          <w:tcPr>
            <w:tcW w:w="10626" w:type="dxa"/>
          </w:tcPr>
          <w:p w14:paraId="13874AB8" w14:textId="6E8509F7" w:rsidR="00A96C9C" w:rsidRDefault="00A96C9C" w:rsidP="00AF2F27">
            <w:pPr>
              <w:tabs>
                <w:tab w:val="left" w:pos="284"/>
              </w:tabs>
              <w:cnfStyle w:val="000000100000" w:firstRow="0" w:lastRow="0" w:firstColumn="0" w:lastColumn="0" w:oddVBand="0" w:evenVBand="0" w:oddHBand="1" w:evenHBand="0" w:firstRowFirstColumn="0" w:firstRowLastColumn="0" w:lastRowFirstColumn="0" w:lastRowLastColumn="0"/>
              <w:rPr>
                <w:szCs w:val="20"/>
              </w:rPr>
            </w:pPr>
            <w:r>
              <w:rPr>
                <w:szCs w:val="20"/>
              </w:rPr>
              <w:t>Retention of low-SES students</w:t>
            </w:r>
          </w:p>
          <w:p w14:paraId="484A3761" w14:textId="77777777" w:rsidR="00A96C9C" w:rsidRDefault="00A96C9C" w:rsidP="00AF2F27">
            <w:pPr>
              <w:tabs>
                <w:tab w:val="left" w:pos="284"/>
              </w:tabs>
              <w:cnfStyle w:val="000000100000" w:firstRow="0" w:lastRow="0" w:firstColumn="0" w:lastColumn="0" w:oddVBand="0" w:evenVBand="0" w:oddHBand="1" w:evenHBand="0" w:firstRowFirstColumn="0" w:firstRowLastColumn="0" w:lastRowFirstColumn="0" w:lastRowLastColumn="0"/>
              <w:rPr>
                <w:szCs w:val="20"/>
              </w:rPr>
            </w:pPr>
            <w:r>
              <w:rPr>
                <w:szCs w:val="20"/>
              </w:rPr>
              <w:t>Retention of First Peoples students</w:t>
            </w:r>
          </w:p>
          <w:p w14:paraId="10DD2848" w14:textId="77777777" w:rsidR="00A96C9C" w:rsidRDefault="00A96C9C" w:rsidP="00AF2F27">
            <w:pPr>
              <w:tabs>
                <w:tab w:val="left" w:pos="284"/>
              </w:tabs>
              <w:cnfStyle w:val="000000100000" w:firstRow="0" w:lastRow="0" w:firstColumn="0" w:lastColumn="0" w:oddVBand="0" w:evenVBand="0" w:oddHBand="1" w:evenHBand="0" w:firstRowFirstColumn="0" w:firstRowLastColumn="0" w:lastRowFirstColumn="0" w:lastRowLastColumn="0"/>
              <w:rPr>
                <w:szCs w:val="20"/>
              </w:rPr>
            </w:pPr>
            <w:r>
              <w:rPr>
                <w:szCs w:val="20"/>
              </w:rPr>
              <w:t>Tracking progression and academic success of low-SES students utilising support services</w:t>
            </w:r>
          </w:p>
          <w:p w14:paraId="623B6977" w14:textId="680B5A5C" w:rsidR="00081EAA" w:rsidRPr="00282622" w:rsidRDefault="00081EAA" w:rsidP="00035867">
            <w:pPr>
              <w:tabs>
                <w:tab w:val="left" w:pos="284"/>
              </w:tabs>
              <w:cnfStyle w:val="000000100000" w:firstRow="0" w:lastRow="0" w:firstColumn="0" w:lastColumn="0" w:oddVBand="0" w:evenVBand="0" w:oddHBand="1" w:evenHBand="0" w:firstRowFirstColumn="0" w:firstRowLastColumn="0" w:lastRowFirstColumn="0" w:lastRowLastColumn="0"/>
              <w:rPr>
                <w:szCs w:val="20"/>
              </w:rPr>
            </w:pPr>
            <w:r>
              <w:rPr>
                <w:szCs w:val="20"/>
              </w:rPr>
              <w:t xml:space="preserve">Benchmark against the sector for </w:t>
            </w:r>
            <w:r w:rsidR="00035867">
              <w:rPr>
                <w:szCs w:val="20"/>
              </w:rPr>
              <w:t xml:space="preserve">deployment of </w:t>
            </w:r>
            <w:r>
              <w:rPr>
                <w:szCs w:val="20"/>
              </w:rPr>
              <w:t>e-counselling services</w:t>
            </w:r>
          </w:p>
        </w:tc>
      </w:tr>
      <w:tr w:rsidR="00A96C9C" w:rsidRPr="00282622" w14:paraId="69B8774C" w14:textId="77777777" w:rsidTr="00AF2F27">
        <w:tc>
          <w:tcPr>
            <w:cnfStyle w:val="001000000000" w:firstRow="0" w:lastRow="0" w:firstColumn="1" w:lastColumn="0" w:oddVBand="0" w:evenVBand="0" w:oddHBand="0" w:evenHBand="0" w:firstRowFirstColumn="0" w:firstRowLastColumn="0" w:lastRowFirstColumn="0" w:lastRowLastColumn="0"/>
            <w:tcW w:w="1991" w:type="dxa"/>
          </w:tcPr>
          <w:p w14:paraId="59A10DF5" w14:textId="77777777" w:rsidR="00A96C9C" w:rsidRPr="00BC174D" w:rsidRDefault="00A96C9C" w:rsidP="00AF2F27">
            <w:pPr>
              <w:pStyle w:val="bulletedlist"/>
              <w:numPr>
                <w:ilvl w:val="0"/>
                <w:numId w:val="0"/>
              </w:numPr>
              <w:tabs>
                <w:tab w:val="left" w:pos="284"/>
              </w:tabs>
              <w:rPr>
                <w:b w:val="0"/>
                <w:szCs w:val="20"/>
              </w:rPr>
            </w:pPr>
            <w:r>
              <w:rPr>
                <w:b w:val="0"/>
                <w:szCs w:val="20"/>
              </w:rPr>
              <w:t>Progress and Attainment</w:t>
            </w:r>
          </w:p>
        </w:tc>
        <w:tc>
          <w:tcPr>
            <w:tcW w:w="2687" w:type="dxa"/>
          </w:tcPr>
          <w:p w14:paraId="12A150D0" w14:textId="77777777" w:rsidR="00A96C9C" w:rsidRPr="00BC174D" w:rsidRDefault="00A96C9C" w:rsidP="00AF2F27">
            <w:pPr>
              <w:pStyle w:val="bulletedlist"/>
              <w:numPr>
                <w:ilvl w:val="0"/>
                <w:numId w:val="0"/>
              </w:numPr>
              <w:tabs>
                <w:tab w:val="left" w:pos="284"/>
              </w:tabs>
              <w:cnfStyle w:val="000000000000" w:firstRow="0" w:lastRow="0" w:firstColumn="0" w:lastColumn="0" w:oddVBand="0" w:evenVBand="0" w:oddHBand="0" w:evenHBand="0" w:firstRowFirstColumn="0" w:firstRowLastColumn="0" w:lastRowFirstColumn="0" w:lastRowLastColumn="0"/>
              <w:rPr>
                <w:b/>
                <w:szCs w:val="20"/>
              </w:rPr>
            </w:pPr>
          </w:p>
        </w:tc>
        <w:tc>
          <w:tcPr>
            <w:tcW w:w="10626" w:type="dxa"/>
          </w:tcPr>
          <w:p w14:paraId="51A6091D" w14:textId="77777777" w:rsidR="00A96C9C" w:rsidRPr="00282622" w:rsidRDefault="00A96C9C" w:rsidP="00AF2F27">
            <w:pPr>
              <w:tabs>
                <w:tab w:val="left" w:pos="284"/>
              </w:tabs>
              <w:cnfStyle w:val="000000000000" w:firstRow="0" w:lastRow="0" w:firstColumn="0" w:lastColumn="0" w:oddVBand="0" w:evenVBand="0" w:oddHBand="0" w:evenHBand="0" w:firstRowFirstColumn="0" w:firstRowLastColumn="0" w:lastRowFirstColumn="0" w:lastRowLastColumn="0"/>
              <w:rPr>
                <w:szCs w:val="20"/>
              </w:rPr>
            </w:pPr>
            <w:r>
              <w:rPr>
                <w:szCs w:val="20"/>
              </w:rPr>
              <w:t xml:space="preserve">Support for pre-graduate and graduate </w:t>
            </w:r>
            <w:hyperlink r:id="rId25" w:history="1">
              <w:r w:rsidRPr="0068528C">
                <w:rPr>
                  <w:rStyle w:val="Hyperlink"/>
                  <w:szCs w:val="20"/>
                </w:rPr>
                <w:t>employment</w:t>
              </w:r>
            </w:hyperlink>
            <w:r>
              <w:rPr>
                <w:szCs w:val="20"/>
              </w:rPr>
              <w:t xml:space="preserve"> is managed with both </w:t>
            </w:r>
            <w:r w:rsidRPr="00282622">
              <w:rPr>
                <w:szCs w:val="20"/>
              </w:rPr>
              <w:t>curriculum-embedded and extra-</w:t>
            </w:r>
            <w:proofErr w:type="spellStart"/>
            <w:r w:rsidRPr="00282622">
              <w:rPr>
                <w:szCs w:val="20"/>
              </w:rPr>
              <w:t>curricula</w:t>
            </w:r>
            <w:proofErr w:type="spellEnd"/>
            <w:r w:rsidRPr="00282622">
              <w:rPr>
                <w:szCs w:val="20"/>
              </w:rPr>
              <w:t xml:space="preserve"> career development </w:t>
            </w:r>
            <w:r>
              <w:rPr>
                <w:szCs w:val="20"/>
              </w:rPr>
              <w:t>activities including targeted activities for equity groups.</w:t>
            </w:r>
          </w:p>
        </w:tc>
      </w:tr>
      <w:tr w:rsidR="00A96C9C" w:rsidRPr="00282622" w14:paraId="6FA6B5F8" w14:textId="77777777" w:rsidTr="00AF2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tcPr>
          <w:p w14:paraId="64C58FAD" w14:textId="77777777" w:rsidR="00A96C9C" w:rsidRPr="00BC174D" w:rsidRDefault="00A96C9C" w:rsidP="00AF2F27">
            <w:pPr>
              <w:pStyle w:val="bulletedlist"/>
              <w:numPr>
                <w:ilvl w:val="0"/>
                <w:numId w:val="0"/>
              </w:numPr>
              <w:tabs>
                <w:tab w:val="left" w:pos="284"/>
              </w:tabs>
              <w:rPr>
                <w:b w:val="0"/>
                <w:szCs w:val="20"/>
              </w:rPr>
            </w:pPr>
          </w:p>
        </w:tc>
        <w:tc>
          <w:tcPr>
            <w:tcW w:w="2687" w:type="dxa"/>
          </w:tcPr>
          <w:p w14:paraId="0A25BD5D" w14:textId="77777777" w:rsidR="00A96C9C" w:rsidRPr="00BC174D" w:rsidRDefault="00A96C9C" w:rsidP="00AF2F27">
            <w:pPr>
              <w:pStyle w:val="bulletedlist"/>
              <w:numPr>
                <w:ilvl w:val="0"/>
                <w:numId w:val="0"/>
              </w:numPr>
              <w:tabs>
                <w:tab w:val="left" w:pos="284"/>
              </w:tabs>
              <w:cnfStyle w:val="000000100000" w:firstRow="0" w:lastRow="0" w:firstColumn="0" w:lastColumn="0" w:oddVBand="0" w:evenVBand="0" w:oddHBand="1" w:evenHBand="0" w:firstRowFirstColumn="0" w:firstRowLastColumn="0" w:lastRowFirstColumn="0" w:lastRowLastColumn="0"/>
              <w:rPr>
                <w:b/>
                <w:szCs w:val="20"/>
              </w:rPr>
            </w:pPr>
            <w:r>
              <w:rPr>
                <w:b/>
                <w:szCs w:val="20"/>
              </w:rPr>
              <w:t>Progress &amp; Attainment metrics</w:t>
            </w:r>
          </w:p>
        </w:tc>
        <w:tc>
          <w:tcPr>
            <w:tcW w:w="10626" w:type="dxa"/>
          </w:tcPr>
          <w:p w14:paraId="64DE4045" w14:textId="77777777" w:rsidR="00A96C9C" w:rsidRDefault="00A96C9C" w:rsidP="00AF2F27">
            <w:pPr>
              <w:tabs>
                <w:tab w:val="left" w:pos="284"/>
              </w:tabs>
              <w:cnfStyle w:val="000000100000" w:firstRow="0" w:lastRow="0" w:firstColumn="0" w:lastColumn="0" w:oddVBand="0" w:evenVBand="0" w:oddHBand="1" w:evenHBand="0" w:firstRowFirstColumn="0" w:firstRowLastColumn="0" w:lastRowFirstColumn="0" w:lastRowLastColumn="0"/>
              <w:rPr>
                <w:szCs w:val="20"/>
              </w:rPr>
            </w:pPr>
            <w:r>
              <w:rPr>
                <w:szCs w:val="20"/>
              </w:rPr>
              <w:t>Number of low-SES graduates</w:t>
            </w:r>
          </w:p>
          <w:p w14:paraId="3D548CB4" w14:textId="77777777" w:rsidR="00A96C9C" w:rsidRPr="00282622" w:rsidRDefault="00A96C9C" w:rsidP="00AF2F27">
            <w:pPr>
              <w:tabs>
                <w:tab w:val="left" w:pos="284"/>
              </w:tabs>
              <w:cnfStyle w:val="000000100000" w:firstRow="0" w:lastRow="0" w:firstColumn="0" w:lastColumn="0" w:oddVBand="0" w:evenVBand="0" w:oddHBand="1" w:evenHBand="0" w:firstRowFirstColumn="0" w:firstRowLastColumn="0" w:lastRowFirstColumn="0" w:lastRowLastColumn="0"/>
              <w:rPr>
                <w:szCs w:val="20"/>
              </w:rPr>
            </w:pPr>
            <w:r>
              <w:rPr>
                <w:szCs w:val="20"/>
              </w:rPr>
              <w:t xml:space="preserve">Number of low-SES graduates in employment </w:t>
            </w:r>
          </w:p>
        </w:tc>
      </w:tr>
      <w:tr w:rsidR="00A96C9C" w:rsidRPr="00282622" w14:paraId="3955D213" w14:textId="77777777" w:rsidTr="00AF2F27">
        <w:tc>
          <w:tcPr>
            <w:cnfStyle w:val="001000000000" w:firstRow="0" w:lastRow="0" w:firstColumn="1" w:lastColumn="0" w:oddVBand="0" w:evenVBand="0" w:oddHBand="0" w:evenHBand="0" w:firstRowFirstColumn="0" w:firstRowLastColumn="0" w:lastRowFirstColumn="0" w:lastRowLastColumn="0"/>
            <w:tcW w:w="1991" w:type="dxa"/>
          </w:tcPr>
          <w:p w14:paraId="699FF077" w14:textId="77777777" w:rsidR="00A96C9C" w:rsidRPr="00BC174D" w:rsidRDefault="00A96C9C" w:rsidP="00AF2F27">
            <w:pPr>
              <w:pStyle w:val="bulletedlist"/>
              <w:numPr>
                <w:ilvl w:val="0"/>
                <w:numId w:val="0"/>
              </w:numPr>
              <w:tabs>
                <w:tab w:val="left" w:pos="284"/>
              </w:tabs>
              <w:rPr>
                <w:b w:val="0"/>
                <w:szCs w:val="20"/>
              </w:rPr>
            </w:pPr>
            <w:r>
              <w:rPr>
                <w:b w:val="0"/>
                <w:szCs w:val="20"/>
              </w:rPr>
              <w:t>Evaluation</w:t>
            </w:r>
          </w:p>
        </w:tc>
        <w:tc>
          <w:tcPr>
            <w:tcW w:w="2687" w:type="dxa"/>
          </w:tcPr>
          <w:p w14:paraId="37D8EB5C" w14:textId="77777777" w:rsidR="00A96C9C" w:rsidRPr="00BC174D" w:rsidRDefault="00A96C9C" w:rsidP="00AF2F27">
            <w:pPr>
              <w:pStyle w:val="bulletedlist"/>
              <w:numPr>
                <w:ilvl w:val="0"/>
                <w:numId w:val="0"/>
              </w:numPr>
              <w:tabs>
                <w:tab w:val="left" w:pos="284"/>
              </w:tabs>
              <w:cnfStyle w:val="000000000000" w:firstRow="0" w:lastRow="0" w:firstColumn="0" w:lastColumn="0" w:oddVBand="0" w:evenVBand="0" w:oddHBand="0" w:evenHBand="0" w:firstRowFirstColumn="0" w:firstRowLastColumn="0" w:lastRowFirstColumn="0" w:lastRowLastColumn="0"/>
              <w:rPr>
                <w:b/>
                <w:szCs w:val="20"/>
              </w:rPr>
            </w:pPr>
          </w:p>
        </w:tc>
        <w:tc>
          <w:tcPr>
            <w:tcW w:w="10626" w:type="dxa"/>
          </w:tcPr>
          <w:p w14:paraId="17C9F201" w14:textId="77777777" w:rsidR="00A96C9C" w:rsidRPr="00282622" w:rsidRDefault="00A96C9C" w:rsidP="00AF2F27">
            <w:pPr>
              <w:tabs>
                <w:tab w:val="left" w:pos="284"/>
              </w:tabs>
              <w:cnfStyle w:val="000000000000" w:firstRow="0" w:lastRow="0" w:firstColumn="0" w:lastColumn="0" w:oddVBand="0" w:evenVBand="0" w:oddHBand="0" w:evenHBand="0" w:firstRowFirstColumn="0" w:firstRowLastColumn="0" w:lastRowFirstColumn="0" w:lastRowLastColumn="0"/>
              <w:rPr>
                <w:szCs w:val="20"/>
              </w:rPr>
            </w:pPr>
            <w:r>
              <w:rPr>
                <w:szCs w:val="20"/>
              </w:rPr>
              <w:t>Griffith has committed to an external evaluation of its HEPPP programs in 2018.</w:t>
            </w:r>
          </w:p>
        </w:tc>
      </w:tr>
    </w:tbl>
    <w:p w14:paraId="2C690835" w14:textId="77777777" w:rsidR="00A96C9C" w:rsidRDefault="00A96C9C" w:rsidP="00A96C9C">
      <w:pPr>
        <w:tabs>
          <w:tab w:val="left" w:pos="284"/>
        </w:tabs>
        <w:rPr>
          <w:b/>
          <w:sz w:val="24"/>
        </w:rPr>
      </w:pPr>
    </w:p>
    <w:p w14:paraId="546CA2E8" w14:textId="77777777" w:rsidR="00A96C9C" w:rsidRPr="00074D3A" w:rsidRDefault="00A96C9C" w:rsidP="00A96C9C">
      <w:pPr>
        <w:pStyle w:val="ListNumber"/>
        <w:numPr>
          <w:ilvl w:val="0"/>
          <w:numId w:val="2"/>
        </w:numPr>
        <w:tabs>
          <w:tab w:val="left" w:pos="284"/>
        </w:tabs>
        <w:spacing w:after="240" w:line="240" w:lineRule="auto"/>
        <w:ind w:left="0"/>
        <w:rPr>
          <w:b/>
          <w:sz w:val="24"/>
        </w:rPr>
      </w:pPr>
      <w:r w:rsidRPr="00074D3A">
        <w:rPr>
          <w:b/>
          <w:sz w:val="24"/>
        </w:rPr>
        <w:t>Evaluation: how the university plans to evaluate the effectiveness of the equity strategies.</w:t>
      </w:r>
    </w:p>
    <w:p w14:paraId="66B28D53" w14:textId="77777777" w:rsidR="00A96C9C" w:rsidRDefault="00A96C9C" w:rsidP="00A96C9C">
      <w:pPr>
        <w:tabs>
          <w:tab w:val="left" w:pos="284"/>
        </w:tabs>
      </w:pPr>
      <w:r>
        <w:t>Griffith collects q</w:t>
      </w:r>
      <w:r w:rsidRPr="006E480C">
        <w:t xml:space="preserve">uantitative and </w:t>
      </w:r>
      <w:r>
        <w:t>q</w:t>
      </w:r>
      <w:r w:rsidRPr="006E480C">
        <w:t xml:space="preserve">ualitative data to monitor </w:t>
      </w:r>
      <w:r>
        <w:t xml:space="preserve">the </w:t>
      </w:r>
      <w:r w:rsidRPr="006E480C">
        <w:t xml:space="preserve">effectiveness of </w:t>
      </w:r>
      <w:r>
        <w:t>its equity strategies including:</w:t>
      </w:r>
    </w:p>
    <w:p w14:paraId="6AE48A55" w14:textId="57157C65" w:rsidR="00A96C9C" w:rsidRDefault="00A96C9C" w:rsidP="00A96C9C">
      <w:pPr>
        <w:pStyle w:val="ListParagraph"/>
        <w:numPr>
          <w:ilvl w:val="0"/>
          <w:numId w:val="5"/>
        </w:numPr>
        <w:tabs>
          <w:tab w:val="left" w:pos="284"/>
        </w:tabs>
      </w:pPr>
      <w:r>
        <w:t>Participation data on pre-access program</w:t>
      </w:r>
      <w:r w:rsidR="00991083">
        <w:t xml:space="preserve"> engagement</w:t>
      </w:r>
      <w:r>
        <w:t xml:space="preserve"> </w:t>
      </w:r>
    </w:p>
    <w:p w14:paraId="5C9BCF45" w14:textId="7282A9F9" w:rsidR="00A96C9C" w:rsidRDefault="00F44FF8" w:rsidP="00A96C9C">
      <w:pPr>
        <w:pStyle w:val="ListParagraph"/>
        <w:numPr>
          <w:ilvl w:val="0"/>
          <w:numId w:val="5"/>
        </w:numPr>
        <w:tabs>
          <w:tab w:val="left" w:pos="284"/>
        </w:tabs>
      </w:pPr>
      <w:r>
        <w:t>Bio-d</w:t>
      </w:r>
      <w:r w:rsidR="00A96C9C">
        <w:t xml:space="preserve">emographic data on student access and admission </w:t>
      </w:r>
    </w:p>
    <w:p w14:paraId="606B7596" w14:textId="15B380CD" w:rsidR="00A96C9C" w:rsidRDefault="00A96C9C" w:rsidP="00A96C9C">
      <w:pPr>
        <w:pStyle w:val="ListParagraph"/>
        <w:numPr>
          <w:ilvl w:val="0"/>
          <w:numId w:val="5"/>
        </w:numPr>
        <w:tabs>
          <w:tab w:val="left" w:pos="284"/>
        </w:tabs>
      </w:pPr>
      <w:r>
        <w:t>Retention</w:t>
      </w:r>
      <w:r w:rsidR="00991083">
        <w:t xml:space="preserve">, progression and academic achievement </w:t>
      </w:r>
      <w:r>
        <w:t>data by student</w:t>
      </w:r>
      <w:r w:rsidR="00991083">
        <w:t xml:space="preserve">, student </w:t>
      </w:r>
      <w:r>
        <w:t>cohort, by program and longitudinally</w:t>
      </w:r>
    </w:p>
    <w:p w14:paraId="158AEE6F" w14:textId="77777777" w:rsidR="00A96C9C" w:rsidRDefault="00A96C9C" w:rsidP="00A96C9C">
      <w:pPr>
        <w:pStyle w:val="ListParagraph"/>
        <w:numPr>
          <w:ilvl w:val="0"/>
          <w:numId w:val="5"/>
        </w:numPr>
        <w:tabs>
          <w:tab w:val="left" w:pos="284"/>
        </w:tabs>
      </w:pPr>
      <w:r>
        <w:t>Graduate employment data via the Australian Graduate Survey</w:t>
      </w:r>
    </w:p>
    <w:p w14:paraId="0DE9E43B" w14:textId="77777777" w:rsidR="00A96C9C" w:rsidRDefault="00A96C9C" w:rsidP="00A96C9C">
      <w:pPr>
        <w:pStyle w:val="ListParagraph"/>
        <w:numPr>
          <w:ilvl w:val="0"/>
          <w:numId w:val="5"/>
        </w:numPr>
        <w:tabs>
          <w:tab w:val="left" w:pos="284"/>
        </w:tabs>
      </w:pPr>
      <w:r>
        <w:t>Student satisfaction with services – orientation, transition, academic, curricular and co-curricular support, personal support services</w:t>
      </w:r>
    </w:p>
    <w:p w14:paraId="60E55EFC" w14:textId="77777777" w:rsidR="00A96C9C" w:rsidRDefault="00A96C9C" w:rsidP="00A96C9C">
      <w:pPr>
        <w:tabs>
          <w:tab w:val="left" w:pos="284"/>
        </w:tabs>
      </w:pPr>
      <w:bookmarkStart w:id="1" w:name="_Toc503176251"/>
      <w:r>
        <w:t>Griffith University Participation and Retention KPIs</w:t>
      </w:r>
      <w:bookmarkEnd w:id="1"/>
      <w:r>
        <w:t xml:space="preserve"> are published annually.</w:t>
      </w:r>
    </w:p>
    <w:p w14:paraId="5A79C230" w14:textId="77777777" w:rsidR="00A96C9C" w:rsidRPr="00402DC2" w:rsidRDefault="00A96C9C" w:rsidP="00A96C9C">
      <w:pPr>
        <w:pStyle w:val="ListNumber"/>
        <w:numPr>
          <w:ilvl w:val="0"/>
          <w:numId w:val="2"/>
        </w:numPr>
        <w:tabs>
          <w:tab w:val="left" w:pos="284"/>
        </w:tabs>
        <w:spacing w:after="240" w:line="240" w:lineRule="auto"/>
        <w:ind w:left="0"/>
        <w:rPr>
          <w:b/>
          <w:sz w:val="24"/>
        </w:rPr>
      </w:pPr>
      <w:r w:rsidRPr="00CB6EC3">
        <w:rPr>
          <w:b/>
          <w:sz w:val="24"/>
        </w:rPr>
        <w:t>Partnerships and collaboration</w:t>
      </w:r>
      <w:r w:rsidRPr="00402DC2">
        <w:rPr>
          <w:b/>
          <w:sz w:val="24"/>
        </w:rPr>
        <w:t>: who the university will partner and collaborate with and how this will improve equity performance.</w:t>
      </w:r>
    </w:p>
    <w:p w14:paraId="0C1B80B6" w14:textId="77777777" w:rsidR="00A96C9C" w:rsidRDefault="00A96C9C" w:rsidP="00A96C9C">
      <w:pPr>
        <w:tabs>
          <w:tab w:val="left" w:pos="284"/>
        </w:tabs>
      </w:pPr>
      <w:r>
        <w:t>Griffith University engages with an extensive array of internal and external partners to achieve its equity objectives. They include:</w:t>
      </w:r>
    </w:p>
    <w:p w14:paraId="16256E5B" w14:textId="77777777" w:rsidR="00A96C9C" w:rsidRDefault="00A96C9C" w:rsidP="00A96C9C">
      <w:pPr>
        <w:pStyle w:val="ListParagraph"/>
        <w:numPr>
          <w:ilvl w:val="0"/>
          <w:numId w:val="6"/>
        </w:numPr>
        <w:tabs>
          <w:tab w:val="left" w:pos="284"/>
        </w:tabs>
      </w:pPr>
      <w:r>
        <w:t>High School Partners in the Brisbane, Logan, Gold Coast and Northern NSW catchment areas to raise aspiration and awareness of Griffith as a future tertiary education destination</w:t>
      </w:r>
    </w:p>
    <w:p w14:paraId="3507614A" w14:textId="278672EA" w:rsidR="00A96C9C" w:rsidRDefault="00A96C9C" w:rsidP="001B2CC6">
      <w:pPr>
        <w:pStyle w:val="ListParagraph"/>
        <w:numPr>
          <w:ilvl w:val="0"/>
          <w:numId w:val="6"/>
        </w:numPr>
        <w:tabs>
          <w:tab w:val="left" w:pos="284"/>
        </w:tabs>
      </w:pPr>
      <w:r>
        <w:t>Community Partners who co-contribute financially with Griffith in facilitating student access to tertiary education - The Smith Family and the Country Education Foundation</w:t>
      </w:r>
    </w:p>
    <w:p w14:paraId="772C319D" w14:textId="666D36D2" w:rsidR="00A96C9C" w:rsidRDefault="00A96C9C" w:rsidP="001B2CC6">
      <w:pPr>
        <w:pStyle w:val="ListParagraph"/>
        <w:numPr>
          <w:ilvl w:val="0"/>
          <w:numId w:val="6"/>
        </w:numPr>
        <w:tabs>
          <w:tab w:val="left" w:pos="284"/>
        </w:tabs>
      </w:pPr>
      <w:r>
        <w:t>Queensland Widening Participation Consortium representing Queensland universities and the Queensland Department of Education who have committed to a coordinat</w:t>
      </w:r>
      <w:r w:rsidR="00BA39DC">
        <w:t xml:space="preserve">ed approach to focus on high school clusters </w:t>
      </w:r>
      <w:r>
        <w:t xml:space="preserve">to improve equity outcomes </w:t>
      </w:r>
      <w:r w:rsidRPr="00A96C9C">
        <w:rPr>
          <w:i/>
        </w:rPr>
        <w:t xml:space="preserve">Memorandum of Understanding and data is </w:t>
      </w:r>
      <w:hyperlink r:id="rId26" w:history="1">
        <w:r w:rsidRPr="00A96C9C">
          <w:rPr>
            <w:rStyle w:val="Hyperlink"/>
            <w:i/>
          </w:rPr>
          <w:t>here</w:t>
        </w:r>
      </w:hyperlink>
      <w:r>
        <w:t xml:space="preserve"> </w:t>
      </w:r>
    </w:p>
    <w:p w14:paraId="75785D27" w14:textId="77777777" w:rsidR="00A96C9C" w:rsidRDefault="00A96C9C" w:rsidP="00A96C9C">
      <w:pPr>
        <w:pStyle w:val="CommentText"/>
        <w:numPr>
          <w:ilvl w:val="0"/>
          <w:numId w:val="6"/>
        </w:numPr>
      </w:pPr>
      <w:r>
        <w:t xml:space="preserve">Queensland Government Departments who have a lead roles in fostering education and equity outcomes including Department of Education, Department of Communities, TAFE Queensland, Queensland Health </w:t>
      </w:r>
    </w:p>
    <w:p w14:paraId="259A8A98" w14:textId="08C6B2F8" w:rsidR="00A96C9C" w:rsidRPr="00822084" w:rsidRDefault="00A96C9C" w:rsidP="00A96C9C">
      <w:pPr>
        <w:pStyle w:val="CommentText"/>
        <w:numPr>
          <w:ilvl w:val="0"/>
          <w:numId w:val="6"/>
        </w:numPr>
      </w:pPr>
      <w:r>
        <w:rPr>
          <w:lang w:val="en"/>
        </w:rPr>
        <w:t xml:space="preserve">Queensland Adult Learner Network is a joint initiative between Griffith University, QUT, a number of TAFE colleges, </w:t>
      </w:r>
      <w:proofErr w:type="spellStart"/>
      <w:r>
        <w:rPr>
          <w:lang w:val="en"/>
        </w:rPr>
        <w:t>Coorparoo</w:t>
      </w:r>
      <w:proofErr w:type="spellEnd"/>
      <w:r>
        <w:rPr>
          <w:lang w:val="en"/>
        </w:rPr>
        <w:t xml:space="preserve"> Centre for Continuing Secondary Education, Kingston Learning College and South East Region Learning Colleges to support adult learners enrolled in TAFE and senior secondary college pathway programs </w:t>
      </w:r>
      <w:proofErr w:type="spellStart"/>
      <w:r>
        <w:rPr>
          <w:lang w:val="en"/>
        </w:rPr>
        <w:t>realise</w:t>
      </w:r>
      <w:proofErr w:type="spellEnd"/>
      <w:r>
        <w:rPr>
          <w:lang w:val="en"/>
        </w:rPr>
        <w:t xml:space="preserve"> their education and career aspirations</w:t>
      </w:r>
    </w:p>
    <w:p w14:paraId="49CC98A7" w14:textId="49092039" w:rsidR="00822084" w:rsidRPr="00623828" w:rsidRDefault="00822084" w:rsidP="00A96C9C">
      <w:pPr>
        <w:pStyle w:val="CommentText"/>
        <w:numPr>
          <w:ilvl w:val="0"/>
          <w:numId w:val="6"/>
        </w:numPr>
      </w:pPr>
      <w:r>
        <w:t xml:space="preserve">Indigenous community engagement through the Griffith Elders in Residence and the program of cultural and community engagement and support led by Professor </w:t>
      </w:r>
      <w:proofErr w:type="spellStart"/>
      <w:r>
        <w:t>Boni</w:t>
      </w:r>
      <w:proofErr w:type="spellEnd"/>
      <w:r>
        <w:t xml:space="preserve"> Robertson as Professor of Indigenous Policy and Director of Indigenous Community Engagement Policy and Partnerships</w:t>
      </w:r>
    </w:p>
    <w:p w14:paraId="34C3B293" w14:textId="77777777" w:rsidR="00A96C9C" w:rsidRPr="00623828" w:rsidRDefault="00A96C9C" w:rsidP="00A96C9C">
      <w:pPr>
        <w:pStyle w:val="CommentText"/>
        <w:numPr>
          <w:ilvl w:val="0"/>
          <w:numId w:val="6"/>
        </w:numPr>
      </w:pPr>
      <w:r>
        <w:rPr>
          <w:lang w:val="en"/>
        </w:rPr>
        <w:t>Open Universities Australia through the provision of online learning programs and services to students and as a pathway to Griffith University</w:t>
      </w:r>
    </w:p>
    <w:p w14:paraId="52A68492" w14:textId="77777777" w:rsidR="00A96C9C" w:rsidRPr="006606A8" w:rsidRDefault="00A96C9C" w:rsidP="00A96C9C">
      <w:pPr>
        <w:pStyle w:val="CommentText"/>
        <w:numPr>
          <w:ilvl w:val="0"/>
          <w:numId w:val="6"/>
        </w:numPr>
      </w:pPr>
      <w:r>
        <w:rPr>
          <w:lang w:val="en"/>
        </w:rPr>
        <w:t>QTAC and UAC as admission services providing application services, educational access schemes and as partners in the piloting of new selection methods and research that may benefit low-SES and First Peoples applicants in the future</w:t>
      </w:r>
    </w:p>
    <w:p w14:paraId="57C3E887" w14:textId="767043A3" w:rsidR="00822084" w:rsidRDefault="00A96C9C" w:rsidP="00822084">
      <w:pPr>
        <w:pStyle w:val="CommentText"/>
        <w:numPr>
          <w:ilvl w:val="0"/>
          <w:numId w:val="6"/>
        </w:numPr>
      </w:pPr>
      <w:r>
        <w:rPr>
          <w:lang w:val="en"/>
        </w:rPr>
        <w:t>Community Groups with active and long standing engagements with Griffith who advocate for and support their constituencies in accessing tertiary education including Pasifika LEAD Management Committee, YMCA Logan, Grow Support Ser</w:t>
      </w:r>
      <w:r w:rsidR="00822084">
        <w:rPr>
          <w:lang w:val="en"/>
        </w:rPr>
        <w:t>vices, CREATE Foundation</w:t>
      </w:r>
    </w:p>
    <w:sectPr w:rsidR="00822084" w:rsidSect="00D6331F">
      <w:pgSz w:w="16838" w:h="11906" w:orient="landscape"/>
      <w:pgMar w:top="680" w:right="851"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Foundry Sterling W01">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B50F908"/>
    <w:lvl w:ilvl="0">
      <w:start w:val="1"/>
      <w:numFmt w:val="decimal"/>
      <w:lvlText w:val="%1."/>
      <w:lvlJc w:val="left"/>
      <w:pPr>
        <w:tabs>
          <w:tab w:val="num" w:pos="360"/>
        </w:tabs>
        <w:ind w:left="360" w:hanging="360"/>
      </w:pPr>
    </w:lvl>
  </w:abstractNum>
  <w:abstractNum w:abstractNumId="1" w15:restartNumberingAfterBreak="0">
    <w:nsid w:val="033E16B1"/>
    <w:multiLevelType w:val="hybridMultilevel"/>
    <w:tmpl w:val="EFFE6AAC"/>
    <w:lvl w:ilvl="0" w:tplc="B2FAA41A">
      <w:start w:val="1"/>
      <w:numFmt w:val="decimal"/>
      <w:pStyle w:val="bulletedlist"/>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E858FE"/>
    <w:multiLevelType w:val="hybridMultilevel"/>
    <w:tmpl w:val="7DDE3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71773553"/>
    <w:multiLevelType w:val="hybridMultilevel"/>
    <w:tmpl w:val="C0DA0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7B1CA1"/>
    <w:multiLevelType w:val="hybridMultilevel"/>
    <w:tmpl w:val="20AA6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C9C"/>
    <w:rsid w:val="00035867"/>
    <w:rsid w:val="0006405A"/>
    <w:rsid w:val="00081EAA"/>
    <w:rsid w:val="00107FC7"/>
    <w:rsid w:val="001C2287"/>
    <w:rsid w:val="002B3FF2"/>
    <w:rsid w:val="002D493F"/>
    <w:rsid w:val="00342BE4"/>
    <w:rsid w:val="00410EF3"/>
    <w:rsid w:val="00470E4C"/>
    <w:rsid w:val="0047739D"/>
    <w:rsid w:val="004B319E"/>
    <w:rsid w:val="004E4034"/>
    <w:rsid w:val="005810F7"/>
    <w:rsid w:val="006B2037"/>
    <w:rsid w:val="00822084"/>
    <w:rsid w:val="00851FD5"/>
    <w:rsid w:val="0097094D"/>
    <w:rsid w:val="00981C1D"/>
    <w:rsid w:val="00991083"/>
    <w:rsid w:val="00A772E5"/>
    <w:rsid w:val="00A96C9C"/>
    <w:rsid w:val="00B86722"/>
    <w:rsid w:val="00BA39DC"/>
    <w:rsid w:val="00BD6B36"/>
    <w:rsid w:val="00C0370B"/>
    <w:rsid w:val="00CB41E2"/>
    <w:rsid w:val="00CD4C7C"/>
    <w:rsid w:val="00D377B5"/>
    <w:rsid w:val="00D6331F"/>
    <w:rsid w:val="00E268D2"/>
    <w:rsid w:val="00E71FD5"/>
    <w:rsid w:val="00F44FF8"/>
    <w:rsid w:val="00F7257A"/>
    <w:rsid w:val="00FE1C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F5A6"/>
  <w15:docId w15:val="{DC56ED43-1D68-49E9-8C7C-3E251356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C9C"/>
    <w:pPr>
      <w:spacing w:after="200" w:line="276" w:lineRule="auto"/>
    </w:pPr>
    <w:rPr>
      <w:rFonts w:eastAsiaTheme="minorEastAsia"/>
      <w:sz w:val="20"/>
    </w:rPr>
  </w:style>
  <w:style w:type="paragraph" w:styleId="Heading1">
    <w:name w:val="heading 1"/>
    <w:basedOn w:val="Normal"/>
    <w:next w:val="Normal"/>
    <w:link w:val="Heading1Char"/>
    <w:uiPriority w:val="9"/>
    <w:qFormat/>
    <w:rsid w:val="00A96C9C"/>
    <w:pPr>
      <w:spacing w:after="240" w:line="240" w:lineRule="auto"/>
      <w:contextualSpacing/>
      <w:outlineLvl w:val="0"/>
    </w:pPr>
    <w:rPr>
      <w:rFonts w:ascii="Calibri" w:eastAsiaTheme="majorEastAsia" w:hAnsi="Calibri" w:cstheme="majorBidi"/>
      <w:b/>
      <w:bCs/>
      <w:color w:val="522761"/>
      <w:sz w:val="28"/>
      <w:szCs w:val="28"/>
    </w:rPr>
  </w:style>
  <w:style w:type="paragraph" w:styleId="Heading2">
    <w:name w:val="heading 2"/>
    <w:basedOn w:val="Normal"/>
    <w:next w:val="Normal"/>
    <w:link w:val="Heading2Char"/>
    <w:uiPriority w:val="9"/>
    <w:unhideWhenUsed/>
    <w:qFormat/>
    <w:rsid w:val="00A96C9C"/>
    <w:pPr>
      <w:spacing w:before="200" w:after="0"/>
      <w:outlineLvl w:val="1"/>
    </w:pPr>
    <w:rPr>
      <w:rFonts w:ascii="Calibri" w:eastAsiaTheme="majorEastAsia" w:hAnsi="Calibri"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C9C"/>
    <w:rPr>
      <w:rFonts w:ascii="Calibri" w:eastAsiaTheme="majorEastAsia" w:hAnsi="Calibri" w:cstheme="majorBidi"/>
      <w:b/>
      <w:bCs/>
      <w:color w:val="522761"/>
      <w:sz w:val="28"/>
      <w:szCs w:val="28"/>
    </w:rPr>
  </w:style>
  <w:style w:type="character" w:customStyle="1" w:styleId="Heading2Char">
    <w:name w:val="Heading 2 Char"/>
    <w:basedOn w:val="DefaultParagraphFont"/>
    <w:link w:val="Heading2"/>
    <w:uiPriority w:val="9"/>
    <w:rsid w:val="00A96C9C"/>
    <w:rPr>
      <w:rFonts w:ascii="Calibri" w:eastAsiaTheme="majorEastAsia" w:hAnsi="Calibri" w:cstheme="majorBidi"/>
      <w:b/>
      <w:bCs/>
      <w:sz w:val="28"/>
      <w:szCs w:val="26"/>
    </w:rPr>
  </w:style>
  <w:style w:type="character" w:styleId="Hyperlink">
    <w:name w:val="Hyperlink"/>
    <w:basedOn w:val="DefaultParagraphFont"/>
    <w:uiPriority w:val="99"/>
    <w:unhideWhenUsed/>
    <w:rsid w:val="00A96C9C"/>
    <w:rPr>
      <w:color w:val="44546A" w:themeColor="text2"/>
      <w:u w:val="single"/>
    </w:rPr>
  </w:style>
  <w:style w:type="paragraph" w:styleId="Title">
    <w:name w:val="Title"/>
    <w:basedOn w:val="Normal"/>
    <w:next w:val="Normal"/>
    <w:link w:val="TitleChar"/>
    <w:uiPriority w:val="10"/>
    <w:qFormat/>
    <w:rsid w:val="00A96C9C"/>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A96C9C"/>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A96C9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A96C9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96C9C"/>
    <w:pPr>
      <w:spacing w:after="0" w:line="240" w:lineRule="auto"/>
    </w:pPr>
  </w:style>
  <w:style w:type="paragraph" w:styleId="ListParagraph">
    <w:name w:val="List Paragraph"/>
    <w:basedOn w:val="Normal"/>
    <w:link w:val="ListParagraphChar"/>
    <w:uiPriority w:val="34"/>
    <w:qFormat/>
    <w:rsid w:val="00A96C9C"/>
    <w:pPr>
      <w:ind w:left="720"/>
      <w:contextualSpacing/>
    </w:pPr>
  </w:style>
  <w:style w:type="paragraph" w:styleId="ListNumber">
    <w:name w:val="List Number"/>
    <w:basedOn w:val="Normal"/>
    <w:uiPriority w:val="99"/>
    <w:unhideWhenUsed/>
    <w:rsid w:val="00A96C9C"/>
    <w:pPr>
      <w:numPr>
        <w:numId w:val="1"/>
      </w:numPr>
      <w:spacing w:after="120"/>
      <w:contextualSpacing/>
    </w:pPr>
  </w:style>
  <w:style w:type="paragraph" w:styleId="ListNumber2">
    <w:name w:val="List Number 2"/>
    <w:basedOn w:val="Normal"/>
    <w:uiPriority w:val="99"/>
    <w:unhideWhenUsed/>
    <w:rsid w:val="00A96C9C"/>
    <w:pPr>
      <w:numPr>
        <w:ilvl w:val="1"/>
        <w:numId w:val="1"/>
      </w:numPr>
      <w:tabs>
        <w:tab w:val="left" w:pos="1134"/>
      </w:tabs>
      <w:spacing w:after="120"/>
      <w:ind w:left="936" w:hanging="567"/>
      <w:contextualSpacing/>
    </w:pPr>
  </w:style>
  <w:style w:type="paragraph" w:styleId="ListNumber3">
    <w:name w:val="List Number 3"/>
    <w:basedOn w:val="Normal"/>
    <w:uiPriority w:val="99"/>
    <w:unhideWhenUsed/>
    <w:rsid w:val="00A96C9C"/>
    <w:pPr>
      <w:numPr>
        <w:ilvl w:val="2"/>
        <w:numId w:val="1"/>
      </w:numPr>
      <w:spacing w:after="120"/>
      <w:ind w:left="1701" w:hanging="765"/>
      <w:contextualSpacing/>
    </w:pPr>
  </w:style>
  <w:style w:type="paragraph" w:styleId="ListNumber4">
    <w:name w:val="List Number 4"/>
    <w:basedOn w:val="Normal"/>
    <w:uiPriority w:val="99"/>
    <w:unhideWhenUsed/>
    <w:rsid w:val="00A96C9C"/>
    <w:pPr>
      <w:numPr>
        <w:ilvl w:val="3"/>
        <w:numId w:val="1"/>
      </w:numPr>
      <w:spacing w:after="120"/>
      <w:ind w:left="2637" w:hanging="936"/>
      <w:contextualSpacing/>
    </w:pPr>
  </w:style>
  <w:style w:type="character" w:customStyle="1" w:styleId="NoSpacingChar">
    <w:name w:val="No Spacing Char"/>
    <w:basedOn w:val="DefaultParagraphFont"/>
    <w:link w:val="NoSpacing"/>
    <w:uiPriority w:val="1"/>
    <w:rsid w:val="00A96C9C"/>
    <w:rPr>
      <w:rFonts w:eastAsiaTheme="minorEastAsia"/>
      <w:sz w:val="20"/>
    </w:rPr>
  </w:style>
  <w:style w:type="character" w:styleId="PlaceholderText">
    <w:name w:val="Placeholder Text"/>
    <w:basedOn w:val="DefaultParagraphFont"/>
    <w:uiPriority w:val="99"/>
    <w:semiHidden/>
    <w:rsid w:val="00A96C9C"/>
    <w:rPr>
      <w:color w:val="808080"/>
    </w:rPr>
  </w:style>
  <w:style w:type="character" w:styleId="CommentReference">
    <w:name w:val="annotation reference"/>
    <w:basedOn w:val="DefaultParagraphFont"/>
    <w:uiPriority w:val="99"/>
    <w:semiHidden/>
    <w:unhideWhenUsed/>
    <w:rsid w:val="00A96C9C"/>
    <w:rPr>
      <w:sz w:val="16"/>
      <w:szCs w:val="16"/>
    </w:rPr>
  </w:style>
  <w:style w:type="paragraph" w:styleId="CommentText">
    <w:name w:val="annotation text"/>
    <w:basedOn w:val="Normal"/>
    <w:link w:val="CommentTextChar"/>
    <w:uiPriority w:val="99"/>
    <w:unhideWhenUsed/>
    <w:rsid w:val="00A96C9C"/>
    <w:pPr>
      <w:spacing w:line="240" w:lineRule="auto"/>
    </w:pPr>
    <w:rPr>
      <w:rFonts w:eastAsiaTheme="minorHAnsi"/>
      <w:szCs w:val="20"/>
    </w:rPr>
  </w:style>
  <w:style w:type="character" w:customStyle="1" w:styleId="CommentTextChar">
    <w:name w:val="Comment Text Char"/>
    <w:basedOn w:val="DefaultParagraphFont"/>
    <w:link w:val="CommentText"/>
    <w:uiPriority w:val="99"/>
    <w:rsid w:val="00A96C9C"/>
    <w:rPr>
      <w:sz w:val="20"/>
      <w:szCs w:val="20"/>
    </w:rPr>
  </w:style>
  <w:style w:type="character" w:customStyle="1" w:styleId="ListParagraphChar">
    <w:name w:val="List Paragraph Char"/>
    <w:link w:val="ListParagraph"/>
    <w:uiPriority w:val="34"/>
    <w:locked/>
    <w:rsid w:val="00A96C9C"/>
    <w:rPr>
      <w:rFonts w:eastAsiaTheme="minorEastAsia"/>
      <w:sz w:val="20"/>
    </w:rPr>
  </w:style>
  <w:style w:type="character" w:styleId="FootnoteReference">
    <w:name w:val="footnote reference"/>
    <w:basedOn w:val="DefaultParagraphFont"/>
    <w:uiPriority w:val="99"/>
    <w:unhideWhenUsed/>
    <w:rsid w:val="00A96C9C"/>
    <w:rPr>
      <w:vertAlign w:val="superscript"/>
    </w:rPr>
  </w:style>
  <w:style w:type="paragraph" w:customStyle="1" w:styleId="bulletedlist">
    <w:name w:val="bulleted list"/>
    <w:basedOn w:val="Normal"/>
    <w:qFormat/>
    <w:rsid w:val="00A96C9C"/>
    <w:pPr>
      <w:numPr>
        <w:numId w:val="4"/>
      </w:numPr>
      <w:spacing w:after="0" w:line="240" w:lineRule="auto"/>
    </w:pPr>
    <w:rPr>
      <w:rFonts w:ascii="Calibri" w:eastAsia="Times New Roman" w:hAnsi="Calibri" w:cs="Arial"/>
    </w:rPr>
  </w:style>
  <w:style w:type="table" w:customStyle="1" w:styleId="GridTable4-Accent41">
    <w:name w:val="Grid Table 4 - Accent 41"/>
    <w:basedOn w:val="TableNormal"/>
    <w:uiPriority w:val="49"/>
    <w:rsid w:val="00A96C9C"/>
    <w:pPr>
      <w:spacing w:after="0" w:line="240" w:lineRule="auto"/>
    </w:pPr>
    <w:rPr>
      <w:rFonts w:eastAsiaTheme="minorEastAsia"/>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FollowedHyperlink">
    <w:name w:val="FollowedHyperlink"/>
    <w:basedOn w:val="DefaultParagraphFont"/>
    <w:uiPriority w:val="99"/>
    <w:semiHidden/>
    <w:unhideWhenUsed/>
    <w:rsid w:val="00A96C9C"/>
    <w:rPr>
      <w:color w:val="954F72" w:themeColor="followedHyperlink"/>
      <w:u w:val="single"/>
    </w:rPr>
  </w:style>
  <w:style w:type="paragraph" w:styleId="BalloonText">
    <w:name w:val="Balloon Text"/>
    <w:basedOn w:val="Normal"/>
    <w:link w:val="BalloonTextChar"/>
    <w:uiPriority w:val="99"/>
    <w:semiHidden/>
    <w:unhideWhenUsed/>
    <w:rsid w:val="00A96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C9C"/>
    <w:rPr>
      <w:rFonts w:ascii="Segoe UI" w:eastAsiaTheme="minorEastAsia" w:hAnsi="Segoe UI" w:cs="Segoe UI"/>
      <w:sz w:val="18"/>
      <w:szCs w:val="18"/>
    </w:rPr>
  </w:style>
  <w:style w:type="character" w:customStyle="1" w:styleId="il">
    <w:name w:val="il"/>
    <w:rsid w:val="00081EAA"/>
  </w:style>
  <w:style w:type="paragraph" w:styleId="CommentSubject">
    <w:name w:val="annotation subject"/>
    <w:basedOn w:val="CommentText"/>
    <w:next w:val="CommentText"/>
    <w:link w:val="CommentSubjectChar"/>
    <w:uiPriority w:val="99"/>
    <w:semiHidden/>
    <w:unhideWhenUsed/>
    <w:rsid w:val="002D493F"/>
    <w:rPr>
      <w:rFonts w:eastAsiaTheme="minorEastAsia"/>
      <w:b/>
      <w:bCs/>
    </w:rPr>
  </w:style>
  <w:style w:type="character" w:customStyle="1" w:styleId="CommentSubjectChar">
    <w:name w:val="Comment Subject Char"/>
    <w:basedOn w:val="CommentTextChar"/>
    <w:link w:val="CommentSubject"/>
    <w:uiPriority w:val="99"/>
    <w:semiHidden/>
    <w:rsid w:val="002D493F"/>
    <w:rPr>
      <w:rFonts w:eastAsiaTheme="minorEastAsia"/>
      <w:b/>
      <w:bCs/>
      <w:sz w:val="20"/>
      <w:szCs w:val="20"/>
    </w:rPr>
  </w:style>
  <w:style w:type="paragraph" w:styleId="Revision">
    <w:name w:val="Revision"/>
    <w:hidden/>
    <w:uiPriority w:val="99"/>
    <w:semiHidden/>
    <w:rsid w:val="00410EF3"/>
    <w:pPr>
      <w:spacing w:after="0" w:line="240" w:lineRule="auto"/>
    </w:pPr>
    <w:rPr>
      <w:rFonts w:eastAsiaTheme="minorEastAsia"/>
      <w:sz w:val="20"/>
    </w:rPr>
  </w:style>
  <w:style w:type="character" w:styleId="Emphasis">
    <w:name w:val="Emphasis"/>
    <w:basedOn w:val="DefaultParagraphFont"/>
    <w:uiPriority w:val="20"/>
    <w:qFormat/>
    <w:rsid w:val="000640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iffith.edu.au/about-griffith/plans-publications" TargetMode="External"/><Relationship Id="rId13" Type="http://schemas.openxmlformats.org/officeDocument/2006/relationships/hyperlink" Target="https://www2.griffith.edu.au/student-services/diversity-inclusion/careers-outreach" TargetMode="External"/><Relationship Id="rId18" Type="http://schemas.openxmlformats.org/officeDocument/2006/relationships/hyperlink" Target="https://www2.griffith.edu.au/student-services/diversity-inclusion/adult-learners" TargetMode="External"/><Relationship Id="rId26" Type="http://schemas.openxmlformats.org/officeDocument/2006/relationships/hyperlink" Target="https://www2.griffith.edu.au/student-services/diversity-inclusion/educational-partnerships" TargetMode="External"/><Relationship Id="rId3" Type="http://schemas.openxmlformats.org/officeDocument/2006/relationships/styles" Target="styles.xml"/><Relationship Id="rId21" Type="http://schemas.openxmlformats.org/officeDocument/2006/relationships/hyperlink" Target="http://www.uac.edu.au/eas/" TargetMode="External"/><Relationship Id="rId7" Type="http://schemas.openxmlformats.org/officeDocument/2006/relationships/hyperlink" Target="http://www.griffith.edu.au/about-griffith/plans-publications" TargetMode="External"/><Relationship Id="rId12" Type="http://schemas.openxmlformats.org/officeDocument/2006/relationships/hyperlink" Target="https://www2.griffith.edu.au/student-services/diversity-inclusion/uni-reach2" TargetMode="External"/><Relationship Id="rId17" Type="http://schemas.openxmlformats.org/officeDocument/2006/relationships/hyperlink" Target="https://www2.griffith.edu.au/health/first-peoples-health-unit" TargetMode="External"/><Relationship Id="rId25" Type="http://schemas.openxmlformats.org/officeDocument/2006/relationships/hyperlink" Target="https://www2.griffith.edu.au/careers-employment" TargetMode="External"/><Relationship Id="rId2" Type="http://schemas.openxmlformats.org/officeDocument/2006/relationships/numbering" Target="numbering.xml"/><Relationship Id="rId16" Type="http://schemas.openxmlformats.org/officeDocument/2006/relationships/hyperlink" Target="https://www2.griffith.edu.au/student-services/diversity-inclusion/parents-and-families" TargetMode="External"/><Relationship Id="rId20" Type="http://schemas.openxmlformats.org/officeDocument/2006/relationships/hyperlink" Target="https://www.qtac.edu.au/applications/educational-access-scheme" TargetMode="External"/><Relationship Id="rId1" Type="http://schemas.openxmlformats.org/officeDocument/2006/relationships/customXml" Target="../customXml/item1.xml"/><Relationship Id="rId6" Type="http://schemas.openxmlformats.org/officeDocument/2006/relationships/hyperlink" Target="http://www.griffith.edu.au/about-griffith/plans-publications" TargetMode="External"/><Relationship Id="rId11" Type="http://schemas.openxmlformats.org/officeDocument/2006/relationships/hyperlink" Target="http://www.griffith.edu.au/about-griffith/plans-publications" TargetMode="External"/><Relationship Id="rId24" Type="http://schemas.openxmlformats.org/officeDocument/2006/relationships/hyperlink" Target="https://www2.griffith.edu.au/student-mentoring" TargetMode="External"/><Relationship Id="rId5" Type="http://schemas.openxmlformats.org/officeDocument/2006/relationships/webSettings" Target="webSettings.xml"/><Relationship Id="rId15" Type="http://schemas.openxmlformats.org/officeDocument/2006/relationships/hyperlink" Target="https://www2.griffith.edu.au/student-services/diversity-inclusion/transition-and-disabilities/future-students" TargetMode="External"/><Relationship Id="rId23" Type="http://schemas.openxmlformats.org/officeDocument/2006/relationships/hyperlink" Target="https://www2.griffith.edu.au/student-services/diversity-inclusion/transition-and-disabilities/future-students" TargetMode="External"/><Relationship Id="rId28" Type="http://schemas.openxmlformats.org/officeDocument/2006/relationships/theme" Target="theme/theme1.xml"/><Relationship Id="rId10" Type="http://schemas.openxmlformats.org/officeDocument/2006/relationships/hyperlink" Target="http://www.griffith.edu.au/about-griffith/plans-publications" TargetMode="External"/><Relationship Id="rId19" Type="http://schemas.openxmlformats.org/officeDocument/2006/relationships/hyperlink" Target="https://degrees.griffith.edu.au/Program/9355" TargetMode="External"/><Relationship Id="rId4" Type="http://schemas.openxmlformats.org/officeDocument/2006/relationships/settings" Target="settings.xml"/><Relationship Id="rId9" Type="http://schemas.openxmlformats.org/officeDocument/2006/relationships/hyperlink" Target="http://www.griffith.edu.au/about-griffith/plans-publications" TargetMode="External"/><Relationship Id="rId14" Type="http://schemas.openxmlformats.org/officeDocument/2006/relationships/hyperlink" Target="https://www2.griffith.edu.au/student-services/diversity-inclusion/pacific-islander-and-maori-student-outreach" TargetMode="External"/><Relationship Id="rId22" Type="http://schemas.openxmlformats.org/officeDocument/2006/relationships/hyperlink" Target="https://www2.griffith.edu.au/student-services/diversity-inclusion/uni-reach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BD30A-D350-4EFB-AE43-82F491FB5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2012</Words>
  <Characters>11470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Grgic</dc:creator>
  <cp:lastModifiedBy>Kathy Grgic</cp:lastModifiedBy>
  <cp:revision>2</cp:revision>
  <cp:lastPrinted>2018-03-03T03:52:00Z</cp:lastPrinted>
  <dcterms:created xsi:type="dcterms:W3CDTF">2018-03-05T04:28:00Z</dcterms:created>
  <dcterms:modified xsi:type="dcterms:W3CDTF">2018-03-05T04:28:00Z</dcterms:modified>
</cp:coreProperties>
</file>