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A27" w:rsidRPr="00C819DC" w:rsidRDefault="00E75A27" w:rsidP="00C819DC">
      <w:pPr>
        <w:pStyle w:val="Heading1"/>
        <w:spacing w:after="0"/>
        <w:rPr>
          <w:rFonts w:ascii="Arial" w:hAnsi="Arial" w:cs="Arial"/>
          <w:sz w:val="24"/>
          <w:szCs w:val="24"/>
        </w:rPr>
      </w:pPr>
      <w:r w:rsidRPr="00C819DC">
        <w:rPr>
          <w:rFonts w:ascii="Arial" w:hAnsi="Arial" w:cs="Arial"/>
          <w:sz w:val="24"/>
          <w:szCs w:val="24"/>
        </w:rPr>
        <w:t>ACCESS AND PARTICIPATION PLAN 2018</w:t>
      </w:r>
    </w:p>
    <w:p w:rsidR="00E75A27" w:rsidRPr="00C819DC" w:rsidRDefault="00EC5319" w:rsidP="00C819DC">
      <w:pPr>
        <w:pStyle w:val="Heading2"/>
        <w:spacing w:before="0"/>
        <w:rPr>
          <w:rFonts w:ascii="Arial" w:hAnsi="Arial" w:cs="Arial"/>
          <w:sz w:val="24"/>
          <w:szCs w:val="24"/>
        </w:rPr>
      </w:pPr>
      <w:r w:rsidRPr="00C819DC">
        <w:rPr>
          <w:rFonts w:ascii="Arial" w:hAnsi="Arial" w:cs="Arial"/>
          <w:sz w:val="24"/>
          <w:szCs w:val="24"/>
        </w:rPr>
        <w:t>Flinders University</w:t>
      </w:r>
    </w:p>
    <w:p w:rsidR="00E75A27" w:rsidRPr="009E6F22" w:rsidRDefault="00E75A27" w:rsidP="00706321">
      <w:pPr>
        <w:spacing w:after="0" w:line="240" w:lineRule="auto"/>
        <w:rPr>
          <w:rFonts w:ascii="Arial" w:hAnsi="Arial" w:cs="Arial"/>
        </w:rPr>
      </w:pPr>
    </w:p>
    <w:p w:rsidR="00E75A27" w:rsidRPr="00B26FE2" w:rsidRDefault="00E75A27" w:rsidP="00706321">
      <w:pPr>
        <w:pStyle w:val="ListNumber"/>
        <w:numPr>
          <w:ilvl w:val="0"/>
          <w:numId w:val="27"/>
        </w:numPr>
        <w:spacing w:after="0" w:line="240" w:lineRule="auto"/>
        <w:ind w:left="357" w:hanging="357"/>
        <w:rPr>
          <w:rFonts w:ascii="Arial" w:hAnsi="Arial" w:cs="Arial"/>
        </w:rPr>
      </w:pPr>
      <w:r w:rsidRPr="00B26FE2">
        <w:rPr>
          <w:rFonts w:ascii="Arial" w:hAnsi="Arial" w:cs="Arial"/>
          <w:b/>
        </w:rPr>
        <w:t>Equity outcomes</w:t>
      </w:r>
      <w:r w:rsidR="00BE4F09" w:rsidRPr="00B26FE2">
        <w:rPr>
          <w:rFonts w:ascii="Arial" w:hAnsi="Arial" w:cs="Arial"/>
          <w:b/>
        </w:rPr>
        <w:t xml:space="preserve"> and strategies</w:t>
      </w:r>
      <w:r w:rsidRPr="00B26FE2">
        <w:rPr>
          <w:rFonts w:ascii="Arial" w:hAnsi="Arial" w:cs="Arial"/>
        </w:rPr>
        <w:t xml:space="preserve">: </w:t>
      </w:r>
      <w:r w:rsidR="00BE4F09" w:rsidRPr="00B26FE2">
        <w:rPr>
          <w:rFonts w:ascii="Arial" w:hAnsi="Arial" w:cs="Arial"/>
        </w:rPr>
        <w:t>for improving outcomes for people from a low SES background</w:t>
      </w:r>
      <w:r w:rsidRPr="00B26FE2">
        <w:rPr>
          <w:rFonts w:ascii="Arial" w:hAnsi="Arial" w:cs="Arial"/>
        </w:rPr>
        <w:t>.</w:t>
      </w:r>
    </w:p>
    <w:p w:rsidR="00A728C7" w:rsidRPr="00B26FE2" w:rsidRDefault="00A728C7" w:rsidP="00A728C7">
      <w:pPr>
        <w:pStyle w:val="ListNumber"/>
        <w:numPr>
          <w:ilvl w:val="0"/>
          <w:numId w:val="0"/>
        </w:numPr>
        <w:spacing w:after="0" w:line="240" w:lineRule="auto"/>
        <w:ind w:left="357"/>
        <w:rPr>
          <w:rFonts w:ascii="Arial" w:hAnsi="Arial" w:cs="Arial"/>
        </w:rPr>
      </w:pPr>
    </w:p>
    <w:p w:rsidR="00F70557" w:rsidRDefault="00842D7F" w:rsidP="00F70557">
      <w:pPr>
        <w:spacing w:after="0" w:line="240" w:lineRule="auto"/>
        <w:rPr>
          <w:rFonts w:ascii="Arial" w:hAnsi="Arial" w:cs="Arial"/>
        </w:rPr>
      </w:pPr>
      <w:r w:rsidRPr="00B26FE2">
        <w:rPr>
          <w:rFonts w:ascii="Arial" w:hAnsi="Arial" w:cs="Arial"/>
        </w:rPr>
        <w:t>Flinders University, in achieving its widening participation and equity objectives in 2018, will</w:t>
      </w:r>
      <w:r w:rsidR="00A65AFB" w:rsidRPr="00B26FE2">
        <w:rPr>
          <w:rFonts w:ascii="Arial" w:hAnsi="Arial" w:cs="Arial"/>
        </w:rPr>
        <w:t xml:space="preserve"> increase participation</w:t>
      </w:r>
      <w:r w:rsidR="009E6F22" w:rsidRPr="00B26FE2">
        <w:rPr>
          <w:rFonts w:ascii="Arial" w:hAnsi="Arial" w:cs="Arial"/>
        </w:rPr>
        <w:t xml:space="preserve"> and success</w:t>
      </w:r>
      <w:r w:rsidR="000119F4">
        <w:rPr>
          <w:rFonts w:ascii="Arial" w:hAnsi="Arial" w:cs="Arial"/>
        </w:rPr>
        <w:t xml:space="preserve"> </w:t>
      </w:r>
      <w:r w:rsidR="00C819DC">
        <w:rPr>
          <w:rFonts w:ascii="Arial" w:hAnsi="Arial" w:cs="Arial"/>
        </w:rPr>
        <w:t>f</w:t>
      </w:r>
      <w:r w:rsidR="00A65AFB" w:rsidRPr="00B26FE2">
        <w:rPr>
          <w:rFonts w:ascii="Arial" w:hAnsi="Arial" w:cs="Arial"/>
        </w:rPr>
        <w:t>or the following equity groups</w:t>
      </w:r>
      <w:r w:rsidRPr="00B26FE2">
        <w:rPr>
          <w:rFonts w:ascii="Arial" w:hAnsi="Arial" w:cs="Arial"/>
        </w:rPr>
        <w:t>:</w:t>
      </w:r>
    </w:p>
    <w:p w:rsidR="00842D7F" w:rsidRPr="00B26FE2" w:rsidRDefault="00A65AFB" w:rsidP="00F70557">
      <w:pPr>
        <w:pStyle w:val="ListParagraph"/>
        <w:numPr>
          <w:ilvl w:val="0"/>
          <w:numId w:val="37"/>
        </w:numPr>
        <w:spacing w:after="0" w:line="240" w:lineRule="auto"/>
        <w:rPr>
          <w:rFonts w:ascii="Arial" w:hAnsi="Arial" w:cs="Arial"/>
        </w:rPr>
      </w:pPr>
      <w:r w:rsidRPr="00B26FE2">
        <w:rPr>
          <w:rFonts w:ascii="Arial" w:hAnsi="Arial" w:cs="Arial"/>
        </w:rPr>
        <w:t>Indigenous students</w:t>
      </w:r>
    </w:p>
    <w:p w:rsidR="00842D7F" w:rsidRPr="00B26FE2" w:rsidRDefault="00A65AFB" w:rsidP="00706321">
      <w:pPr>
        <w:pStyle w:val="ListParagraph"/>
        <w:numPr>
          <w:ilvl w:val="0"/>
          <w:numId w:val="37"/>
        </w:numPr>
        <w:spacing w:after="0" w:line="240" w:lineRule="auto"/>
        <w:rPr>
          <w:rFonts w:ascii="Arial" w:hAnsi="Arial" w:cs="Arial"/>
        </w:rPr>
      </w:pPr>
      <w:r w:rsidRPr="00B26FE2">
        <w:rPr>
          <w:rFonts w:ascii="Arial" w:hAnsi="Arial" w:cs="Arial"/>
        </w:rPr>
        <w:t>Students from low SES backgrounds</w:t>
      </w:r>
    </w:p>
    <w:p w:rsidR="00842D7F" w:rsidRPr="00B26FE2" w:rsidRDefault="00A65AFB" w:rsidP="00706321">
      <w:pPr>
        <w:pStyle w:val="ListParagraph"/>
        <w:numPr>
          <w:ilvl w:val="0"/>
          <w:numId w:val="37"/>
        </w:numPr>
        <w:spacing w:after="0" w:line="240" w:lineRule="auto"/>
        <w:rPr>
          <w:rFonts w:ascii="Arial" w:hAnsi="Arial" w:cs="Arial"/>
        </w:rPr>
      </w:pPr>
      <w:r w:rsidRPr="00B26FE2">
        <w:rPr>
          <w:rFonts w:ascii="Arial" w:hAnsi="Arial" w:cs="Arial"/>
        </w:rPr>
        <w:t xml:space="preserve">Students from </w:t>
      </w:r>
      <w:r w:rsidR="00842D7F" w:rsidRPr="00B26FE2">
        <w:rPr>
          <w:rFonts w:ascii="Arial" w:hAnsi="Arial" w:cs="Arial"/>
        </w:rPr>
        <w:t xml:space="preserve">rural and remote </w:t>
      </w:r>
      <w:r w:rsidRPr="00B26FE2">
        <w:rPr>
          <w:rFonts w:ascii="Arial" w:hAnsi="Arial" w:cs="Arial"/>
        </w:rPr>
        <w:t>areas</w:t>
      </w:r>
    </w:p>
    <w:p w:rsidR="00842D7F" w:rsidRPr="00B26FE2" w:rsidRDefault="00A65AFB" w:rsidP="00706321">
      <w:pPr>
        <w:pStyle w:val="ListParagraph"/>
        <w:numPr>
          <w:ilvl w:val="0"/>
          <w:numId w:val="37"/>
        </w:numPr>
        <w:spacing w:after="0" w:line="240" w:lineRule="auto"/>
        <w:rPr>
          <w:rFonts w:ascii="Arial" w:hAnsi="Arial" w:cs="Arial"/>
        </w:rPr>
      </w:pPr>
      <w:r w:rsidRPr="00B26FE2">
        <w:rPr>
          <w:rFonts w:ascii="Arial" w:hAnsi="Arial" w:cs="Arial"/>
        </w:rPr>
        <w:t>Students with a disability</w:t>
      </w:r>
    </w:p>
    <w:p w:rsidR="00A65AFB" w:rsidRPr="00B26FE2" w:rsidRDefault="00A65AFB" w:rsidP="00706321">
      <w:pPr>
        <w:pStyle w:val="ListParagraph"/>
        <w:numPr>
          <w:ilvl w:val="0"/>
          <w:numId w:val="37"/>
        </w:numPr>
        <w:spacing w:after="0" w:line="240" w:lineRule="auto"/>
        <w:rPr>
          <w:rFonts w:ascii="Arial" w:hAnsi="Arial" w:cs="Arial"/>
        </w:rPr>
      </w:pPr>
      <w:r w:rsidRPr="00B26FE2">
        <w:rPr>
          <w:rFonts w:ascii="Arial" w:hAnsi="Arial" w:cs="Arial"/>
        </w:rPr>
        <w:t>S</w:t>
      </w:r>
      <w:r w:rsidR="00842D7F" w:rsidRPr="00B26FE2">
        <w:rPr>
          <w:rFonts w:ascii="Arial" w:hAnsi="Arial" w:cs="Arial"/>
        </w:rPr>
        <w:t>tudents from n</w:t>
      </w:r>
      <w:r w:rsidRPr="00B26FE2">
        <w:rPr>
          <w:rFonts w:ascii="Arial" w:hAnsi="Arial" w:cs="Arial"/>
        </w:rPr>
        <w:t>on-English spe</w:t>
      </w:r>
      <w:bookmarkStart w:id="0" w:name="_GoBack"/>
      <w:bookmarkEnd w:id="0"/>
      <w:r w:rsidRPr="00B26FE2">
        <w:rPr>
          <w:rFonts w:ascii="Arial" w:hAnsi="Arial" w:cs="Arial"/>
        </w:rPr>
        <w:t>aking backgrounds</w:t>
      </w:r>
    </w:p>
    <w:p w:rsidR="00A728C7" w:rsidRPr="00B26FE2" w:rsidRDefault="00A65AFB" w:rsidP="00A728C7">
      <w:pPr>
        <w:pStyle w:val="ListParagraph"/>
        <w:numPr>
          <w:ilvl w:val="0"/>
          <w:numId w:val="37"/>
        </w:numPr>
        <w:spacing w:after="0" w:line="240" w:lineRule="auto"/>
        <w:rPr>
          <w:rFonts w:ascii="Arial" w:hAnsi="Arial" w:cs="Arial"/>
        </w:rPr>
      </w:pPr>
      <w:r w:rsidRPr="00B26FE2">
        <w:rPr>
          <w:rFonts w:ascii="Arial" w:hAnsi="Arial" w:cs="Arial"/>
        </w:rPr>
        <w:t>W</w:t>
      </w:r>
      <w:r w:rsidR="00842D7F" w:rsidRPr="00B26FE2">
        <w:rPr>
          <w:rFonts w:ascii="Arial" w:hAnsi="Arial" w:cs="Arial"/>
        </w:rPr>
        <w:t xml:space="preserve">omen in </w:t>
      </w:r>
      <w:r w:rsidRPr="00B26FE2">
        <w:rPr>
          <w:rFonts w:ascii="Arial" w:hAnsi="Arial" w:cs="Arial"/>
        </w:rPr>
        <w:t>non-traditional fields of study</w:t>
      </w:r>
    </w:p>
    <w:p w:rsidR="00A728C7" w:rsidRPr="00B26FE2" w:rsidRDefault="00A728C7" w:rsidP="00623AA7">
      <w:pPr>
        <w:pStyle w:val="ListNumber"/>
        <w:numPr>
          <w:ilvl w:val="0"/>
          <w:numId w:val="0"/>
        </w:numPr>
        <w:spacing w:after="0" w:line="240" w:lineRule="auto"/>
        <w:rPr>
          <w:rFonts w:ascii="Arial" w:hAnsi="Arial" w:cs="Arial"/>
        </w:rPr>
      </w:pPr>
    </w:p>
    <w:p w:rsidR="00395311" w:rsidRPr="00B26FE2" w:rsidRDefault="00E75A27" w:rsidP="00623AA7">
      <w:pPr>
        <w:pStyle w:val="ListNumber"/>
        <w:numPr>
          <w:ilvl w:val="0"/>
          <w:numId w:val="27"/>
        </w:numPr>
        <w:spacing w:after="0" w:line="240" w:lineRule="auto"/>
        <w:rPr>
          <w:rFonts w:ascii="Arial" w:hAnsi="Arial" w:cs="Arial"/>
        </w:rPr>
      </w:pPr>
      <w:r w:rsidRPr="00B26FE2">
        <w:rPr>
          <w:rFonts w:ascii="Arial" w:hAnsi="Arial" w:cs="Arial"/>
          <w:b/>
        </w:rPr>
        <w:t>Key activities</w:t>
      </w:r>
      <w:r w:rsidRPr="00B26FE2">
        <w:rPr>
          <w:rFonts w:ascii="Arial" w:hAnsi="Arial" w:cs="Arial"/>
        </w:rPr>
        <w:t>: which will deliver an increase in the access, participation and success of people from a low SES background.</w:t>
      </w:r>
    </w:p>
    <w:p w:rsidR="009314B4" w:rsidRPr="00B26FE2" w:rsidRDefault="009314B4" w:rsidP="00623AA7">
      <w:pPr>
        <w:pStyle w:val="ListNumber"/>
        <w:numPr>
          <w:ilvl w:val="0"/>
          <w:numId w:val="0"/>
        </w:numPr>
        <w:spacing w:after="0" w:line="240" w:lineRule="auto"/>
        <w:rPr>
          <w:rFonts w:ascii="Arial" w:hAnsi="Arial" w:cs="Arial"/>
        </w:rPr>
      </w:pPr>
    </w:p>
    <w:tbl>
      <w:tblPr>
        <w:tblStyle w:val="GridTable1Light-Accent5"/>
        <w:tblW w:w="13603" w:type="dxa"/>
        <w:tblLook w:val="04A0" w:firstRow="1" w:lastRow="0" w:firstColumn="1" w:lastColumn="0" w:noHBand="0" w:noVBand="1"/>
      </w:tblPr>
      <w:tblGrid>
        <w:gridCol w:w="3543"/>
        <w:gridCol w:w="10060"/>
      </w:tblGrid>
      <w:tr w:rsidR="00D25D56" w:rsidRPr="00B26FE2" w:rsidTr="00011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3" w:type="dxa"/>
            <w:gridSpan w:val="2"/>
          </w:tcPr>
          <w:p w:rsidR="000F1BA0" w:rsidRPr="00B26FE2" w:rsidRDefault="000F1BA0" w:rsidP="00706321">
            <w:pPr>
              <w:pStyle w:val="ListNumber"/>
              <w:numPr>
                <w:ilvl w:val="0"/>
                <w:numId w:val="0"/>
              </w:numPr>
              <w:spacing w:after="0"/>
              <w:rPr>
                <w:rFonts w:ascii="Arial" w:hAnsi="Arial" w:cs="Arial"/>
                <w:b w:val="0"/>
              </w:rPr>
            </w:pPr>
            <w:r w:rsidRPr="00B26FE2">
              <w:rPr>
                <w:rFonts w:ascii="Arial" w:hAnsi="Arial" w:cs="Arial"/>
              </w:rPr>
              <w:t>PRE-ACCESS (Outreach To Schools And Communities)</w:t>
            </w:r>
          </w:p>
        </w:tc>
      </w:tr>
      <w:tr w:rsidR="000F1BA0" w:rsidRPr="00B26FE2" w:rsidTr="000119F4">
        <w:tc>
          <w:tcPr>
            <w:cnfStyle w:val="001000000000" w:firstRow="0" w:lastRow="0" w:firstColumn="1" w:lastColumn="0" w:oddVBand="0" w:evenVBand="0" w:oddHBand="0" w:evenHBand="0" w:firstRowFirstColumn="0" w:firstRowLastColumn="0" w:lastRowFirstColumn="0" w:lastRowLastColumn="0"/>
            <w:tcW w:w="3543" w:type="dxa"/>
          </w:tcPr>
          <w:p w:rsidR="000F1BA0" w:rsidRPr="00B26FE2" w:rsidRDefault="000F1BA0" w:rsidP="00706321">
            <w:pPr>
              <w:pStyle w:val="ListNumber"/>
              <w:numPr>
                <w:ilvl w:val="0"/>
                <w:numId w:val="0"/>
              </w:numPr>
              <w:spacing w:after="0"/>
              <w:rPr>
                <w:rFonts w:ascii="Arial" w:hAnsi="Arial" w:cs="Arial"/>
                <w:b w:val="0"/>
              </w:rPr>
            </w:pPr>
            <w:r w:rsidRPr="00B26FE2">
              <w:rPr>
                <w:rFonts w:ascii="Arial" w:hAnsi="Arial" w:cs="Arial"/>
              </w:rPr>
              <w:t xml:space="preserve">Activity </w:t>
            </w:r>
          </w:p>
        </w:tc>
        <w:tc>
          <w:tcPr>
            <w:tcW w:w="10060" w:type="dxa"/>
          </w:tcPr>
          <w:p w:rsidR="000F1BA0" w:rsidRPr="00B26FE2" w:rsidRDefault="000F1BA0" w:rsidP="00706321">
            <w:pPr>
              <w:pStyle w:val="ListNumber"/>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rPr>
            </w:pPr>
            <w:r w:rsidRPr="00B26FE2">
              <w:rPr>
                <w:rFonts w:ascii="Arial" w:hAnsi="Arial" w:cs="Arial"/>
                <w:b/>
              </w:rPr>
              <w:t>Description</w:t>
            </w:r>
          </w:p>
        </w:tc>
      </w:tr>
      <w:tr w:rsidR="001E159E" w:rsidRPr="00B26FE2" w:rsidTr="000119F4">
        <w:tc>
          <w:tcPr>
            <w:cnfStyle w:val="001000000000" w:firstRow="0" w:lastRow="0" w:firstColumn="1" w:lastColumn="0" w:oddVBand="0" w:evenVBand="0" w:oddHBand="0" w:evenHBand="0" w:firstRowFirstColumn="0" w:firstRowLastColumn="0" w:lastRowFirstColumn="0" w:lastRowLastColumn="0"/>
            <w:tcW w:w="3543" w:type="dxa"/>
          </w:tcPr>
          <w:p w:rsidR="001E159E" w:rsidRPr="00B26FE2" w:rsidRDefault="001E159E" w:rsidP="00706321">
            <w:pPr>
              <w:rPr>
                <w:rFonts w:ascii="Arial" w:hAnsi="Arial" w:cs="Arial"/>
              </w:rPr>
            </w:pPr>
            <w:r w:rsidRPr="00B26FE2">
              <w:rPr>
                <w:rFonts w:ascii="Arial" w:hAnsi="Arial" w:cs="Arial"/>
              </w:rPr>
              <w:t>Inspire Mentor Program</w:t>
            </w:r>
          </w:p>
        </w:tc>
        <w:tc>
          <w:tcPr>
            <w:tcW w:w="10060" w:type="dxa"/>
          </w:tcPr>
          <w:p w:rsidR="001E159E" w:rsidRPr="00B26FE2" w:rsidRDefault="001E159E" w:rsidP="004E688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26FE2">
              <w:rPr>
                <w:rFonts w:ascii="Arial" w:hAnsi="Arial" w:cs="Arial"/>
              </w:rPr>
              <w:t xml:space="preserve">The program </w:t>
            </w:r>
            <w:r w:rsidR="004E6889">
              <w:rPr>
                <w:rFonts w:ascii="Arial" w:hAnsi="Arial" w:cs="Arial"/>
              </w:rPr>
              <w:t>connects</w:t>
            </w:r>
            <w:r w:rsidRPr="00B26FE2">
              <w:rPr>
                <w:rFonts w:ascii="Arial" w:hAnsi="Arial" w:cs="Arial"/>
              </w:rPr>
              <w:t xml:space="preserve"> students in equity groups in metropolitan, rural, regional and remote locations </w:t>
            </w:r>
            <w:r w:rsidR="004E6889">
              <w:rPr>
                <w:rFonts w:ascii="Arial" w:hAnsi="Arial" w:cs="Arial"/>
              </w:rPr>
              <w:t xml:space="preserve">with mentors </w:t>
            </w:r>
            <w:r w:rsidRPr="00B26FE2">
              <w:rPr>
                <w:rFonts w:ascii="Arial" w:hAnsi="Arial" w:cs="Arial"/>
              </w:rPr>
              <w:t>to raise aspirations for par</w:t>
            </w:r>
            <w:r w:rsidR="001C24B4" w:rsidRPr="00B26FE2">
              <w:rPr>
                <w:rFonts w:ascii="Arial" w:hAnsi="Arial" w:cs="Arial"/>
              </w:rPr>
              <w:t>ticipation in higher education.</w:t>
            </w:r>
            <w:r w:rsidR="00A65AFB" w:rsidRPr="00B26FE2">
              <w:rPr>
                <w:rFonts w:ascii="Arial" w:hAnsi="Arial" w:cs="Arial"/>
              </w:rPr>
              <w:t xml:space="preserve"> </w:t>
            </w:r>
            <w:r w:rsidR="00E9696F">
              <w:rPr>
                <w:rFonts w:ascii="Arial" w:hAnsi="Arial" w:cs="Arial"/>
              </w:rPr>
              <w:t xml:space="preserve">Partnerships with indigenous groups </w:t>
            </w:r>
            <w:r w:rsidR="004E6889">
              <w:rPr>
                <w:rFonts w:ascii="Arial" w:hAnsi="Arial" w:cs="Arial"/>
              </w:rPr>
              <w:t>enable the mentoring of</w:t>
            </w:r>
            <w:r w:rsidR="00E9696F">
              <w:rPr>
                <w:rFonts w:ascii="Arial" w:hAnsi="Arial" w:cs="Arial"/>
              </w:rPr>
              <w:t xml:space="preserve"> indigenous primary and secondary students. </w:t>
            </w:r>
            <w:r w:rsidR="00A65AFB" w:rsidRPr="00B26FE2">
              <w:rPr>
                <w:rFonts w:ascii="Arial" w:hAnsi="Arial" w:cs="Arial"/>
              </w:rPr>
              <w:t xml:space="preserve">Online mentoring </w:t>
            </w:r>
            <w:r w:rsidR="004E6889">
              <w:rPr>
                <w:rFonts w:ascii="Arial" w:hAnsi="Arial" w:cs="Arial"/>
              </w:rPr>
              <w:t xml:space="preserve">is </w:t>
            </w:r>
            <w:r w:rsidR="00E9696F">
              <w:rPr>
                <w:rFonts w:ascii="Arial" w:hAnsi="Arial" w:cs="Arial"/>
              </w:rPr>
              <w:t>under investigation</w:t>
            </w:r>
            <w:r w:rsidR="00A65AFB" w:rsidRPr="00B26FE2">
              <w:rPr>
                <w:rFonts w:ascii="Arial" w:hAnsi="Arial" w:cs="Arial"/>
              </w:rPr>
              <w:t xml:space="preserve"> for regional and remote students</w:t>
            </w:r>
            <w:r w:rsidR="00E9696F">
              <w:rPr>
                <w:rFonts w:ascii="Arial" w:hAnsi="Arial" w:cs="Arial"/>
              </w:rPr>
              <w:t xml:space="preserve">. Partnerships with refugee and migrant groups </w:t>
            </w:r>
            <w:r w:rsidR="004E6889">
              <w:rPr>
                <w:rFonts w:ascii="Arial" w:hAnsi="Arial" w:cs="Arial"/>
              </w:rPr>
              <w:t>facilitate mentoring</w:t>
            </w:r>
            <w:r w:rsidR="00E9696F">
              <w:rPr>
                <w:rFonts w:ascii="Arial" w:hAnsi="Arial" w:cs="Arial"/>
              </w:rPr>
              <w:t xml:space="preserve"> students from </w:t>
            </w:r>
            <w:r w:rsidR="007276E4">
              <w:rPr>
                <w:rFonts w:ascii="Arial" w:hAnsi="Arial" w:cs="Arial"/>
              </w:rPr>
              <w:t>non-English</w:t>
            </w:r>
            <w:r w:rsidR="00E9696F">
              <w:rPr>
                <w:rFonts w:ascii="Arial" w:hAnsi="Arial" w:cs="Arial"/>
              </w:rPr>
              <w:t xml:space="preserve"> speaking backgrounds.</w:t>
            </w:r>
          </w:p>
        </w:tc>
      </w:tr>
      <w:tr w:rsidR="001E159E" w:rsidRPr="00B26FE2" w:rsidTr="000119F4">
        <w:tc>
          <w:tcPr>
            <w:cnfStyle w:val="001000000000" w:firstRow="0" w:lastRow="0" w:firstColumn="1" w:lastColumn="0" w:oddVBand="0" w:evenVBand="0" w:oddHBand="0" w:evenHBand="0" w:firstRowFirstColumn="0" w:firstRowLastColumn="0" w:lastRowFirstColumn="0" w:lastRowLastColumn="0"/>
            <w:tcW w:w="3543" w:type="dxa"/>
          </w:tcPr>
          <w:p w:rsidR="001E159E" w:rsidRPr="00B26FE2" w:rsidRDefault="001E159E" w:rsidP="00706321">
            <w:pPr>
              <w:rPr>
                <w:rFonts w:ascii="Arial" w:hAnsi="Arial" w:cs="Arial"/>
              </w:rPr>
            </w:pPr>
            <w:r w:rsidRPr="00B26FE2">
              <w:rPr>
                <w:rFonts w:ascii="Arial" w:hAnsi="Arial" w:cs="Arial"/>
              </w:rPr>
              <w:t>The River Journey</w:t>
            </w:r>
            <w:r w:rsidR="0041184D" w:rsidRPr="00B26FE2">
              <w:rPr>
                <w:rFonts w:ascii="Arial" w:hAnsi="Arial" w:cs="Arial"/>
              </w:rPr>
              <w:t xml:space="preserve"> </w:t>
            </w:r>
            <w:r w:rsidR="00F25CA3" w:rsidRPr="00B26FE2">
              <w:rPr>
                <w:rFonts w:ascii="Arial" w:hAnsi="Arial" w:cs="Arial"/>
              </w:rPr>
              <w:t xml:space="preserve"> </w:t>
            </w:r>
          </w:p>
        </w:tc>
        <w:tc>
          <w:tcPr>
            <w:tcW w:w="10060" w:type="dxa"/>
          </w:tcPr>
          <w:p w:rsidR="001E159E" w:rsidRPr="00B26FE2" w:rsidRDefault="001E159E" w:rsidP="007276E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26FE2">
              <w:rPr>
                <w:rFonts w:ascii="Arial" w:hAnsi="Arial" w:cs="Arial"/>
              </w:rPr>
              <w:t xml:space="preserve">The River Journey is an early intervention initiative </w:t>
            </w:r>
            <w:r w:rsidR="00F25CA3" w:rsidRPr="00B26FE2">
              <w:rPr>
                <w:rFonts w:ascii="Arial" w:hAnsi="Arial" w:cs="Arial"/>
              </w:rPr>
              <w:t xml:space="preserve">to </w:t>
            </w:r>
            <w:r w:rsidR="004E6889" w:rsidRPr="00B26FE2">
              <w:rPr>
                <w:rFonts w:ascii="Arial" w:hAnsi="Arial" w:cs="Arial"/>
              </w:rPr>
              <w:t>create</w:t>
            </w:r>
            <w:r w:rsidR="00F25CA3" w:rsidRPr="00B26FE2">
              <w:rPr>
                <w:rFonts w:ascii="Arial" w:hAnsi="Arial" w:cs="Arial"/>
              </w:rPr>
              <w:t xml:space="preserve"> </w:t>
            </w:r>
            <w:r w:rsidR="004E6889" w:rsidRPr="00B26FE2">
              <w:rPr>
                <w:rFonts w:ascii="Arial" w:hAnsi="Arial" w:cs="Arial"/>
              </w:rPr>
              <w:t>anticipation</w:t>
            </w:r>
            <w:r w:rsidR="00F25CA3" w:rsidRPr="00B26FE2">
              <w:rPr>
                <w:rFonts w:ascii="Arial" w:hAnsi="Arial" w:cs="Arial"/>
              </w:rPr>
              <w:t xml:space="preserve"> of pa</w:t>
            </w:r>
            <w:r w:rsidR="007276E4">
              <w:rPr>
                <w:rFonts w:ascii="Arial" w:hAnsi="Arial" w:cs="Arial"/>
              </w:rPr>
              <w:t>rticipation in higher education. Students from low SES backgrounds</w:t>
            </w:r>
            <w:r w:rsidR="00C518AE">
              <w:rPr>
                <w:rFonts w:ascii="Arial" w:hAnsi="Arial" w:cs="Arial"/>
              </w:rPr>
              <w:t xml:space="preserve"> from metropolitan and regional schools, and,</w:t>
            </w:r>
            <w:r w:rsidR="007276E4">
              <w:rPr>
                <w:rFonts w:ascii="Arial" w:hAnsi="Arial" w:cs="Arial"/>
              </w:rPr>
              <w:t xml:space="preserve"> at different stages of their schooling benefit from aspiration raising and career clarification activities. </w:t>
            </w:r>
          </w:p>
        </w:tc>
      </w:tr>
      <w:tr w:rsidR="001E159E" w:rsidRPr="00B26FE2" w:rsidTr="000119F4">
        <w:tc>
          <w:tcPr>
            <w:cnfStyle w:val="001000000000" w:firstRow="0" w:lastRow="0" w:firstColumn="1" w:lastColumn="0" w:oddVBand="0" w:evenVBand="0" w:oddHBand="0" w:evenHBand="0" w:firstRowFirstColumn="0" w:firstRowLastColumn="0" w:lastRowFirstColumn="0" w:lastRowLastColumn="0"/>
            <w:tcW w:w="3543" w:type="dxa"/>
          </w:tcPr>
          <w:p w:rsidR="001E159E" w:rsidRPr="00B26FE2" w:rsidRDefault="001E159E" w:rsidP="00706321">
            <w:pPr>
              <w:rPr>
                <w:rFonts w:ascii="Arial" w:hAnsi="Arial" w:cs="Arial"/>
              </w:rPr>
            </w:pPr>
            <w:r w:rsidRPr="00B26FE2">
              <w:rPr>
                <w:rFonts w:ascii="Arial" w:hAnsi="Arial" w:cs="Arial"/>
              </w:rPr>
              <w:t>University Experience Days</w:t>
            </w:r>
          </w:p>
        </w:tc>
        <w:tc>
          <w:tcPr>
            <w:tcW w:w="10060" w:type="dxa"/>
          </w:tcPr>
          <w:p w:rsidR="001E159E" w:rsidRPr="00B26FE2" w:rsidRDefault="001E159E" w:rsidP="0070632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26FE2">
              <w:rPr>
                <w:rFonts w:ascii="Arial" w:hAnsi="Arial" w:cs="Arial"/>
              </w:rPr>
              <w:t xml:space="preserve">Targets Upper Primary and Mid Secondary students in low SES schools. </w:t>
            </w:r>
            <w:r w:rsidR="007276E4">
              <w:rPr>
                <w:rFonts w:ascii="Arial" w:hAnsi="Arial" w:cs="Arial"/>
              </w:rPr>
              <w:t>Targeted activities for students with disabilities an</w:t>
            </w:r>
            <w:r w:rsidR="00B36175">
              <w:rPr>
                <w:rFonts w:ascii="Arial" w:hAnsi="Arial" w:cs="Arial"/>
              </w:rPr>
              <w:t>d for female students into non-</w:t>
            </w:r>
            <w:r w:rsidR="007276E4">
              <w:rPr>
                <w:rFonts w:ascii="Arial" w:hAnsi="Arial" w:cs="Arial"/>
              </w:rPr>
              <w:t>traditional study areas throu</w:t>
            </w:r>
            <w:r w:rsidR="00887D59">
              <w:rPr>
                <w:rFonts w:ascii="Arial" w:hAnsi="Arial" w:cs="Arial"/>
              </w:rPr>
              <w:t>gh STEM events and activities.</w:t>
            </w:r>
          </w:p>
        </w:tc>
      </w:tr>
    </w:tbl>
    <w:p w:rsidR="00842D7F" w:rsidRPr="00B26FE2" w:rsidRDefault="00842D7F" w:rsidP="00706321">
      <w:pPr>
        <w:pStyle w:val="ListNumber"/>
        <w:numPr>
          <w:ilvl w:val="0"/>
          <w:numId w:val="0"/>
        </w:numPr>
        <w:spacing w:after="0" w:line="240" w:lineRule="auto"/>
        <w:rPr>
          <w:rFonts w:ascii="Arial" w:hAnsi="Arial" w:cs="Arial"/>
          <w:color w:val="FFFFFF" w:themeColor="background1"/>
        </w:rPr>
      </w:pPr>
    </w:p>
    <w:tbl>
      <w:tblPr>
        <w:tblStyle w:val="GridTable1Light-Accent5"/>
        <w:tblW w:w="0" w:type="auto"/>
        <w:tblLook w:val="04A0" w:firstRow="1" w:lastRow="0" w:firstColumn="1" w:lastColumn="0" w:noHBand="0" w:noVBand="1"/>
      </w:tblPr>
      <w:tblGrid>
        <w:gridCol w:w="3384"/>
        <w:gridCol w:w="10190"/>
      </w:tblGrid>
      <w:tr w:rsidR="00D25D56" w:rsidRPr="00B26FE2" w:rsidTr="00D25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9" w:type="dxa"/>
            <w:gridSpan w:val="2"/>
          </w:tcPr>
          <w:p w:rsidR="000F1BA0" w:rsidRPr="00B26FE2" w:rsidRDefault="000F1BA0" w:rsidP="00706321">
            <w:pPr>
              <w:pStyle w:val="ListNumber"/>
              <w:numPr>
                <w:ilvl w:val="0"/>
                <w:numId w:val="0"/>
              </w:numPr>
              <w:spacing w:after="0"/>
              <w:rPr>
                <w:rFonts w:ascii="Arial" w:hAnsi="Arial" w:cs="Arial"/>
                <w:b w:val="0"/>
              </w:rPr>
            </w:pPr>
            <w:r w:rsidRPr="00B26FE2">
              <w:rPr>
                <w:rFonts w:ascii="Arial" w:hAnsi="Arial" w:cs="Arial"/>
              </w:rPr>
              <w:t>ACCESS (</w:t>
            </w:r>
            <w:r w:rsidR="001E159E" w:rsidRPr="00B26FE2">
              <w:rPr>
                <w:rFonts w:ascii="Arial" w:hAnsi="Arial" w:cs="Arial"/>
              </w:rPr>
              <w:t>Pre-Entry And Admissions</w:t>
            </w:r>
            <w:r w:rsidRPr="00B26FE2">
              <w:rPr>
                <w:rFonts w:ascii="Arial" w:hAnsi="Arial" w:cs="Arial"/>
              </w:rPr>
              <w:t>)</w:t>
            </w:r>
          </w:p>
        </w:tc>
      </w:tr>
      <w:tr w:rsidR="000F1BA0" w:rsidRPr="00B26FE2" w:rsidTr="00D25D56">
        <w:tc>
          <w:tcPr>
            <w:cnfStyle w:val="001000000000" w:firstRow="0" w:lastRow="0" w:firstColumn="1" w:lastColumn="0" w:oddVBand="0" w:evenVBand="0" w:oddHBand="0" w:evenHBand="0" w:firstRowFirstColumn="0" w:firstRowLastColumn="0" w:lastRowFirstColumn="0" w:lastRowLastColumn="0"/>
            <w:tcW w:w="3544" w:type="dxa"/>
          </w:tcPr>
          <w:p w:rsidR="000F1BA0" w:rsidRPr="00B26FE2" w:rsidRDefault="000F1BA0" w:rsidP="00706321">
            <w:pPr>
              <w:pStyle w:val="ListNumber"/>
              <w:numPr>
                <w:ilvl w:val="0"/>
                <w:numId w:val="0"/>
              </w:numPr>
              <w:spacing w:after="0"/>
              <w:rPr>
                <w:rFonts w:ascii="Arial" w:hAnsi="Arial" w:cs="Arial"/>
                <w:b w:val="0"/>
              </w:rPr>
            </w:pPr>
            <w:r w:rsidRPr="00B26FE2">
              <w:rPr>
                <w:rFonts w:ascii="Arial" w:hAnsi="Arial" w:cs="Arial"/>
              </w:rPr>
              <w:t>Activity</w:t>
            </w:r>
          </w:p>
        </w:tc>
        <w:tc>
          <w:tcPr>
            <w:tcW w:w="10915" w:type="dxa"/>
          </w:tcPr>
          <w:p w:rsidR="000F1BA0" w:rsidRPr="00B26FE2" w:rsidRDefault="000F1BA0" w:rsidP="00706321">
            <w:pPr>
              <w:pStyle w:val="ListNumber"/>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rPr>
            </w:pPr>
            <w:r w:rsidRPr="00B26FE2">
              <w:rPr>
                <w:rFonts w:ascii="Arial" w:hAnsi="Arial" w:cs="Arial"/>
                <w:b/>
              </w:rPr>
              <w:t>Description</w:t>
            </w:r>
          </w:p>
        </w:tc>
      </w:tr>
      <w:tr w:rsidR="006A3AC0" w:rsidRPr="00B26FE2" w:rsidTr="00D34FBF">
        <w:tc>
          <w:tcPr>
            <w:cnfStyle w:val="001000000000" w:firstRow="0" w:lastRow="0" w:firstColumn="1" w:lastColumn="0" w:oddVBand="0" w:evenVBand="0" w:oddHBand="0" w:evenHBand="0" w:firstRowFirstColumn="0" w:firstRowLastColumn="0" w:lastRowFirstColumn="0" w:lastRowLastColumn="0"/>
            <w:tcW w:w="3544" w:type="dxa"/>
          </w:tcPr>
          <w:p w:rsidR="006A3AC0" w:rsidRPr="00B26FE2" w:rsidRDefault="006A3AC0" w:rsidP="00706321">
            <w:pPr>
              <w:pStyle w:val="ListNumber"/>
              <w:numPr>
                <w:ilvl w:val="0"/>
                <w:numId w:val="0"/>
              </w:numPr>
              <w:spacing w:after="0"/>
              <w:rPr>
                <w:rFonts w:ascii="Arial" w:hAnsi="Arial" w:cs="Arial"/>
              </w:rPr>
            </w:pPr>
            <w:r w:rsidRPr="00B26FE2">
              <w:rPr>
                <w:rFonts w:ascii="Arial" w:hAnsi="Arial" w:cs="Arial"/>
              </w:rPr>
              <w:t>Enrichment Program</w:t>
            </w:r>
          </w:p>
        </w:tc>
        <w:tc>
          <w:tcPr>
            <w:tcW w:w="10915" w:type="dxa"/>
          </w:tcPr>
          <w:p w:rsidR="006A3AC0" w:rsidRPr="00B26FE2" w:rsidRDefault="006A3AC0" w:rsidP="0070632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26FE2">
              <w:rPr>
                <w:rFonts w:ascii="Arial" w:hAnsi="Arial" w:cs="Arial"/>
              </w:rPr>
              <w:t>A</w:t>
            </w:r>
            <w:r w:rsidR="00C518AE">
              <w:rPr>
                <w:rFonts w:ascii="Arial" w:hAnsi="Arial" w:cs="Arial"/>
              </w:rPr>
              <w:t>n interactive, targeted experience to raise aspirations of</w:t>
            </w:r>
            <w:r w:rsidRPr="00B26FE2">
              <w:rPr>
                <w:rFonts w:ascii="Arial" w:hAnsi="Arial" w:cs="Arial"/>
              </w:rPr>
              <w:t xml:space="preserve"> students </w:t>
            </w:r>
            <w:r w:rsidR="0041184D" w:rsidRPr="00B26FE2">
              <w:rPr>
                <w:rFonts w:ascii="Arial" w:hAnsi="Arial" w:cs="Arial"/>
              </w:rPr>
              <w:t>from low SES metropolitan and regional schools</w:t>
            </w:r>
            <w:r w:rsidR="000852EA" w:rsidRPr="00B26FE2">
              <w:rPr>
                <w:rFonts w:ascii="Arial" w:hAnsi="Arial" w:cs="Arial"/>
              </w:rPr>
              <w:t>.</w:t>
            </w:r>
          </w:p>
        </w:tc>
      </w:tr>
      <w:tr w:rsidR="006A3AC0" w:rsidRPr="00B26FE2" w:rsidTr="00D34FBF">
        <w:tc>
          <w:tcPr>
            <w:cnfStyle w:val="001000000000" w:firstRow="0" w:lastRow="0" w:firstColumn="1" w:lastColumn="0" w:oddVBand="0" w:evenVBand="0" w:oddHBand="0" w:evenHBand="0" w:firstRowFirstColumn="0" w:firstRowLastColumn="0" w:lastRowFirstColumn="0" w:lastRowLastColumn="0"/>
            <w:tcW w:w="3544" w:type="dxa"/>
          </w:tcPr>
          <w:p w:rsidR="006A3AC0" w:rsidRPr="00B26FE2" w:rsidRDefault="00A65AFB" w:rsidP="00706321">
            <w:pPr>
              <w:pStyle w:val="ListNumber"/>
              <w:numPr>
                <w:ilvl w:val="0"/>
                <w:numId w:val="0"/>
              </w:numPr>
              <w:spacing w:after="0"/>
              <w:rPr>
                <w:rFonts w:ascii="Arial" w:hAnsi="Arial" w:cs="Arial"/>
              </w:rPr>
            </w:pPr>
            <w:r w:rsidRPr="00B26FE2">
              <w:rPr>
                <w:rFonts w:ascii="Arial" w:hAnsi="Arial" w:cs="Arial"/>
              </w:rPr>
              <w:t xml:space="preserve">Regional </w:t>
            </w:r>
            <w:r w:rsidR="006A3AC0" w:rsidRPr="00B26FE2">
              <w:rPr>
                <w:rFonts w:ascii="Arial" w:hAnsi="Arial" w:cs="Arial"/>
              </w:rPr>
              <w:t>Engagement</w:t>
            </w:r>
          </w:p>
        </w:tc>
        <w:tc>
          <w:tcPr>
            <w:tcW w:w="10915" w:type="dxa"/>
          </w:tcPr>
          <w:p w:rsidR="006A3AC0" w:rsidRPr="00B26FE2" w:rsidRDefault="006A3AC0" w:rsidP="0070632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26FE2">
              <w:rPr>
                <w:rFonts w:ascii="Arial" w:hAnsi="Arial" w:cs="Arial"/>
              </w:rPr>
              <w:t xml:space="preserve">Tailored aspiration raising initiatives for students in rural and remote locations of South Australia, Victoria, New South Wales and the Northern Territory. </w:t>
            </w:r>
            <w:r w:rsidR="00706321" w:rsidRPr="00B26FE2">
              <w:rPr>
                <w:rFonts w:ascii="Arial" w:hAnsi="Arial" w:cs="Arial"/>
              </w:rPr>
              <w:t>Engagement</w:t>
            </w:r>
            <w:r w:rsidR="00842D7F" w:rsidRPr="00B26FE2">
              <w:rPr>
                <w:rFonts w:ascii="Arial" w:hAnsi="Arial" w:cs="Arial"/>
              </w:rPr>
              <w:t xml:space="preserve"> with parent/caregiver sessions and university campus experiences</w:t>
            </w:r>
            <w:r w:rsidRPr="00B26FE2">
              <w:rPr>
                <w:rFonts w:ascii="Arial" w:hAnsi="Arial" w:cs="Arial"/>
              </w:rPr>
              <w:t xml:space="preserve"> </w:t>
            </w:r>
          </w:p>
        </w:tc>
      </w:tr>
      <w:tr w:rsidR="004E2867" w:rsidRPr="009E6F22" w:rsidTr="00D34FBF">
        <w:tc>
          <w:tcPr>
            <w:cnfStyle w:val="001000000000" w:firstRow="0" w:lastRow="0" w:firstColumn="1" w:lastColumn="0" w:oddVBand="0" w:evenVBand="0" w:oddHBand="0" w:evenHBand="0" w:firstRowFirstColumn="0" w:firstRowLastColumn="0" w:lastRowFirstColumn="0" w:lastRowLastColumn="0"/>
            <w:tcW w:w="3544" w:type="dxa"/>
          </w:tcPr>
          <w:p w:rsidR="004E2867" w:rsidRPr="009E6F22" w:rsidRDefault="004E2867" w:rsidP="00706321">
            <w:pPr>
              <w:pStyle w:val="ListNumber"/>
              <w:numPr>
                <w:ilvl w:val="0"/>
                <w:numId w:val="0"/>
              </w:numPr>
              <w:spacing w:after="0"/>
              <w:rPr>
                <w:rFonts w:ascii="Arial" w:hAnsi="Arial" w:cs="Arial"/>
              </w:rPr>
            </w:pPr>
            <w:r>
              <w:rPr>
                <w:rFonts w:ascii="Arial" w:hAnsi="Arial" w:cs="Arial"/>
              </w:rPr>
              <w:t>Indigenous</w:t>
            </w:r>
          </w:p>
        </w:tc>
        <w:tc>
          <w:tcPr>
            <w:tcW w:w="10915" w:type="dxa"/>
          </w:tcPr>
          <w:p w:rsidR="004E2867" w:rsidRPr="009E6F22" w:rsidRDefault="008B5ADD" w:rsidP="008B5AD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Building on previous initiatives to increase participation of indigenous students in higher education, strategies are being implemented to increase recruitment and support for indigenous students at pre-entry and undergraduate stages. Pre-entry strategies involve partnerships with schools with indigenous student populations and other organisations such as White Lion.</w:t>
            </w:r>
          </w:p>
        </w:tc>
      </w:tr>
      <w:tr w:rsidR="006A3AC0" w:rsidRPr="009E6F22" w:rsidTr="00D34FBF">
        <w:tc>
          <w:tcPr>
            <w:cnfStyle w:val="001000000000" w:firstRow="0" w:lastRow="0" w:firstColumn="1" w:lastColumn="0" w:oddVBand="0" w:evenVBand="0" w:oddHBand="0" w:evenHBand="0" w:firstRowFirstColumn="0" w:firstRowLastColumn="0" w:lastRowFirstColumn="0" w:lastRowLastColumn="0"/>
            <w:tcW w:w="3544" w:type="dxa"/>
          </w:tcPr>
          <w:p w:rsidR="006A3AC0" w:rsidRPr="009E6F22" w:rsidRDefault="006A3AC0" w:rsidP="00706321">
            <w:pPr>
              <w:pStyle w:val="ListNumber"/>
              <w:numPr>
                <w:ilvl w:val="0"/>
                <w:numId w:val="0"/>
              </w:numPr>
              <w:spacing w:after="0"/>
              <w:rPr>
                <w:rFonts w:ascii="Arial" w:hAnsi="Arial" w:cs="Arial"/>
              </w:rPr>
            </w:pPr>
            <w:r w:rsidRPr="009E6F22">
              <w:rPr>
                <w:rFonts w:ascii="Arial" w:hAnsi="Arial" w:cs="Arial"/>
              </w:rPr>
              <w:t>uniTEST</w:t>
            </w:r>
          </w:p>
        </w:tc>
        <w:tc>
          <w:tcPr>
            <w:tcW w:w="10915" w:type="dxa"/>
          </w:tcPr>
          <w:p w:rsidR="006A3AC0" w:rsidRPr="009E6F22" w:rsidRDefault="006A3AC0" w:rsidP="0070632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E6F22">
              <w:rPr>
                <w:rFonts w:ascii="Arial" w:hAnsi="Arial" w:cs="Arial"/>
              </w:rPr>
              <w:t>An aptitude test supporting academic aspirations of students from low SES, and rural and remote backgrounds. Particular focus on providing eq</w:t>
            </w:r>
            <w:r w:rsidR="00706321" w:rsidRPr="009E6F22">
              <w:rPr>
                <w:rFonts w:ascii="Arial" w:hAnsi="Arial" w:cs="Arial"/>
              </w:rPr>
              <w:t>ual access admission pathways</w:t>
            </w:r>
            <w:r w:rsidR="00B26FE2">
              <w:rPr>
                <w:rFonts w:ascii="Arial" w:hAnsi="Arial" w:cs="Arial"/>
              </w:rPr>
              <w:t xml:space="preserve"> and inclusive entry processes</w:t>
            </w:r>
            <w:r w:rsidR="00706321" w:rsidRPr="009E6F22">
              <w:rPr>
                <w:rFonts w:ascii="Arial" w:hAnsi="Arial" w:cs="Arial"/>
              </w:rPr>
              <w:t>.</w:t>
            </w:r>
          </w:p>
        </w:tc>
      </w:tr>
      <w:tr w:rsidR="006A3AC0" w:rsidRPr="009E6F22" w:rsidTr="00D34FBF">
        <w:tc>
          <w:tcPr>
            <w:cnfStyle w:val="001000000000" w:firstRow="0" w:lastRow="0" w:firstColumn="1" w:lastColumn="0" w:oddVBand="0" w:evenVBand="0" w:oddHBand="0" w:evenHBand="0" w:firstRowFirstColumn="0" w:firstRowLastColumn="0" w:lastRowFirstColumn="0" w:lastRowLastColumn="0"/>
            <w:tcW w:w="3544" w:type="dxa"/>
          </w:tcPr>
          <w:p w:rsidR="006A3AC0" w:rsidRPr="009E6F22" w:rsidRDefault="0041184D" w:rsidP="00706321">
            <w:pPr>
              <w:pStyle w:val="ListNumber"/>
              <w:numPr>
                <w:ilvl w:val="0"/>
                <w:numId w:val="0"/>
              </w:numPr>
              <w:spacing w:after="0"/>
              <w:rPr>
                <w:rFonts w:ascii="Arial" w:hAnsi="Arial" w:cs="Arial"/>
              </w:rPr>
            </w:pPr>
            <w:r w:rsidRPr="009E6F22">
              <w:rPr>
                <w:rFonts w:ascii="Arial" w:hAnsi="Arial" w:cs="Arial"/>
              </w:rPr>
              <w:t>STEM Experience</w:t>
            </w:r>
          </w:p>
        </w:tc>
        <w:tc>
          <w:tcPr>
            <w:tcW w:w="10915" w:type="dxa"/>
          </w:tcPr>
          <w:p w:rsidR="006A3AC0" w:rsidRPr="009E6F22" w:rsidRDefault="00C518AE" w:rsidP="0070632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Partnership between the U</w:t>
            </w:r>
            <w:r w:rsidR="0041184D" w:rsidRPr="009E6F22">
              <w:rPr>
                <w:rFonts w:ascii="Arial" w:hAnsi="Arial" w:cs="Arial"/>
              </w:rPr>
              <w:t>niversity and selected low SES schools to raise awareness of STEM pathways and careers</w:t>
            </w:r>
          </w:p>
        </w:tc>
      </w:tr>
      <w:tr w:rsidR="004A2C3F" w:rsidRPr="009E6F22" w:rsidTr="00D34FBF">
        <w:tc>
          <w:tcPr>
            <w:cnfStyle w:val="001000000000" w:firstRow="0" w:lastRow="0" w:firstColumn="1" w:lastColumn="0" w:oddVBand="0" w:evenVBand="0" w:oddHBand="0" w:evenHBand="0" w:firstRowFirstColumn="0" w:firstRowLastColumn="0" w:lastRowFirstColumn="0" w:lastRowLastColumn="0"/>
            <w:tcW w:w="3544" w:type="dxa"/>
          </w:tcPr>
          <w:p w:rsidR="004A2C3F" w:rsidRPr="009E6F22" w:rsidRDefault="004A2C3F" w:rsidP="00706321">
            <w:pPr>
              <w:rPr>
                <w:rFonts w:ascii="Arial" w:hAnsi="Arial" w:cs="Arial"/>
              </w:rPr>
            </w:pPr>
            <w:r w:rsidRPr="009E6F22">
              <w:rPr>
                <w:rFonts w:ascii="Arial" w:hAnsi="Arial" w:cs="Arial"/>
              </w:rPr>
              <w:t>Outreach to low SES schools</w:t>
            </w:r>
          </w:p>
        </w:tc>
        <w:tc>
          <w:tcPr>
            <w:tcW w:w="10915" w:type="dxa"/>
          </w:tcPr>
          <w:p w:rsidR="004A2C3F" w:rsidRPr="009E6F22" w:rsidRDefault="004A2C3F" w:rsidP="00706321">
            <w:p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color w:val="222222"/>
              </w:rPr>
            </w:pPr>
            <w:r w:rsidRPr="009E6F22">
              <w:rPr>
                <w:rFonts w:ascii="Arial" w:hAnsi="Arial" w:cs="Arial"/>
                <w:color w:val="222222"/>
              </w:rPr>
              <w:t>Information, support and adv</w:t>
            </w:r>
            <w:r w:rsidR="00B26FE2">
              <w:rPr>
                <w:rFonts w:ascii="Arial" w:hAnsi="Arial" w:cs="Arial"/>
                <w:color w:val="222222"/>
              </w:rPr>
              <w:t xml:space="preserve">ice to low SES, Indigenous, </w:t>
            </w:r>
            <w:r w:rsidRPr="009E6F22">
              <w:rPr>
                <w:rFonts w:ascii="Arial" w:hAnsi="Arial" w:cs="Arial"/>
                <w:color w:val="222222"/>
              </w:rPr>
              <w:t>NESB students</w:t>
            </w:r>
            <w:r w:rsidR="00B26FE2">
              <w:rPr>
                <w:rFonts w:ascii="Arial" w:hAnsi="Arial" w:cs="Arial"/>
                <w:color w:val="222222"/>
              </w:rPr>
              <w:t>, students with Disabilities</w:t>
            </w:r>
          </w:p>
        </w:tc>
      </w:tr>
      <w:tr w:rsidR="006A3AC0" w:rsidRPr="009E6F22" w:rsidTr="00D34FBF">
        <w:tc>
          <w:tcPr>
            <w:cnfStyle w:val="001000000000" w:firstRow="0" w:lastRow="0" w:firstColumn="1" w:lastColumn="0" w:oddVBand="0" w:evenVBand="0" w:oddHBand="0" w:evenHBand="0" w:firstRowFirstColumn="0" w:firstRowLastColumn="0" w:lastRowFirstColumn="0" w:lastRowLastColumn="0"/>
            <w:tcW w:w="3544" w:type="dxa"/>
          </w:tcPr>
          <w:p w:rsidR="006A3AC0" w:rsidRPr="009E6F22" w:rsidRDefault="006A3AC0" w:rsidP="00706321">
            <w:pPr>
              <w:rPr>
                <w:rFonts w:ascii="Arial" w:hAnsi="Arial" w:cs="Arial"/>
              </w:rPr>
            </w:pPr>
            <w:r w:rsidRPr="009E6F22">
              <w:rPr>
                <w:rFonts w:ascii="Arial" w:hAnsi="Arial" w:cs="Arial"/>
              </w:rPr>
              <w:t>Focus Entry Pathways</w:t>
            </w:r>
          </w:p>
          <w:p w:rsidR="006A3AC0" w:rsidRPr="009E6F22" w:rsidRDefault="006A3AC0" w:rsidP="00706321">
            <w:pPr>
              <w:pStyle w:val="ListNumber"/>
              <w:numPr>
                <w:ilvl w:val="0"/>
                <w:numId w:val="0"/>
              </w:numPr>
              <w:spacing w:after="0"/>
              <w:rPr>
                <w:rFonts w:ascii="Arial" w:hAnsi="Arial" w:cs="Arial"/>
              </w:rPr>
            </w:pPr>
          </w:p>
        </w:tc>
        <w:tc>
          <w:tcPr>
            <w:tcW w:w="10915" w:type="dxa"/>
          </w:tcPr>
          <w:p w:rsidR="006A3AC0" w:rsidRPr="009E6F22" w:rsidRDefault="006A3AC0" w:rsidP="00C518AE">
            <w:p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color w:val="222222"/>
              </w:rPr>
            </w:pPr>
            <w:r w:rsidRPr="009E6F22">
              <w:rPr>
                <w:rFonts w:ascii="Arial" w:hAnsi="Arial" w:cs="Arial"/>
                <w:color w:val="222222"/>
              </w:rPr>
              <w:t>These initiatives focus on working with selected organisations in tailoring pathways to accessing higher education.  Examples include workin</w:t>
            </w:r>
            <w:r w:rsidR="009E6F22">
              <w:rPr>
                <w:rFonts w:ascii="Arial" w:hAnsi="Arial" w:cs="Arial"/>
                <w:color w:val="222222"/>
              </w:rPr>
              <w:t>g with AFL SportsReady</w:t>
            </w:r>
            <w:r w:rsidRPr="009E6F22">
              <w:rPr>
                <w:rFonts w:ascii="Arial" w:hAnsi="Arial" w:cs="Arial"/>
                <w:color w:val="222222"/>
              </w:rPr>
              <w:t xml:space="preserve"> in the development of admissions pathways</w:t>
            </w:r>
            <w:r w:rsidR="00C518AE">
              <w:rPr>
                <w:rFonts w:ascii="Arial" w:hAnsi="Arial" w:cs="Arial"/>
                <w:color w:val="222222"/>
              </w:rPr>
              <w:t>, Research Project pathway</w:t>
            </w:r>
            <w:r w:rsidR="00D34FBF" w:rsidRPr="009E6F22">
              <w:rPr>
                <w:rFonts w:ascii="Arial" w:hAnsi="Arial" w:cs="Arial"/>
                <w:color w:val="222222"/>
              </w:rPr>
              <w:t xml:space="preserve">, Elite Athletes pathways, </w:t>
            </w:r>
            <w:r w:rsidR="00C518AE">
              <w:rPr>
                <w:rFonts w:ascii="Arial" w:hAnsi="Arial" w:cs="Arial"/>
                <w:color w:val="222222"/>
              </w:rPr>
              <w:t xml:space="preserve">Extension Studies program for gifted students, </w:t>
            </w:r>
            <w:r w:rsidRPr="009E6F22">
              <w:rPr>
                <w:rFonts w:ascii="Arial" w:hAnsi="Arial" w:cs="Arial"/>
                <w:color w:val="222222"/>
              </w:rPr>
              <w:t>and</w:t>
            </w:r>
            <w:r w:rsidR="00C518AE">
              <w:rPr>
                <w:rFonts w:ascii="Arial" w:hAnsi="Arial" w:cs="Arial"/>
                <w:color w:val="222222"/>
              </w:rPr>
              <w:t>, partnership with</w:t>
            </w:r>
            <w:r w:rsidRPr="009E6F22">
              <w:rPr>
                <w:rFonts w:ascii="Arial" w:hAnsi="Arial" w:cs="Arial"/>
                <w:color w:val="222222"/>
              </w:rPr>
              <w:t xml:space="preserve"> TAFE S</w:t>
            </w:r>
            <w:r w:rsidR="00C518AE">
              <w:rPr>
                <w:rFonts w:ascii="Arial" w:hAnsi="Arial" w:cs="Arial"/>
                <w:color w:val="222222"/>
              </w:rPr>
              <w:t xml:space="preserve">A in the development of pathway, dual offer and dual award </w:t>
            </w:r>
            <w:r w:rsidRPr="009E6F22">
              <w:rPr>
                <w:rFonts w:ascii="Arial" w:hAnsi="Arial" w:cs="Arial"/>
                <w:color w:val="222222"/>
              </w:rPr>
              <w:t>qualifications</w:t>
            </w:r>
            <w:r w:rsidR="00C518AE">
              <w:rPr>
                <w:rFonts w:ascii="Arial" w:hAnsi="Arial" w:cs="Arial"/>
                <w:color w:val="222222"/>
              </w:rPr>
              <w:t>.</w:t>
            </w:r>
          </w:p>
        </w:tc>
      </w:tr>
      <w:tr w:rsidR="006A3AC0" w:rsidRPr="009E6F22" w:rsidTr="00D34FBF">
        <w:tc>
          <w:tcPr>
            <w:cnfStyle w:val="001000000000" w:firstRow="0" w:lastRow="0" w:firstColumn="1" w:lastColumn="0" w:oddVBand="0" w:evenVBand="0" w:oddHBand="0" w:evenHBand="0" w:firstRowFirstColumn="0" w:firstRowLastColumn="0" w:lastRowFirstColumn="0" w:lastRowLastColumn="0"/>
            <w:tcW w:w="3544" w:type="dxa"/>
          </w:tcPr>
          <w:p w:rsidR="006A3AC0" w:rsidRPr="009E6F22" w:rsidRDefault="006A3AC0" w:rsidP="00706321">
            <w:pPr>
              <w:pStyle w:val="ListNumber"/>
              <w:numPr>
                <w:ilvl w:val="0"/>
                <w:numId w:val="0"/>
              </w:numPr>
              <w:spacing w:after="0"/>
              <w:rPr>
                <w:rFonts w:ascii="Arial" w:hAnsi="Arial" w:cs="Arial"/>
              </w:rPr>
            </w:pPr>
            <w:r w:rsidRPr="009E6F22">
              <w:rPr>
                <w:rFonts w:ascii="Arial" w:hAnsi="Arial" w:cs="Arial"/>
              </w:rPr>
              <w:t>Foundation Studies</w:t>
            </w:r>
          </w:p>
        </w:tc>
        <w:tc>
          <w:tcPr>
            <w:tcW w:w="10915" w:type="dxa"/>
          </w:tcPr>
          <w:p w:rsidR="006A3AC0" w:rsidRPr="009E6F22" w:rsidRDefault="006A3AC0" w:rsidP="00887D59">
            <w:p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color w:val="222222"/>
              </w:rPr>
            </w:pPr>
            <w:r w:rsidRPr="009E6F22">
              <w:rPr>
                <w:rFonts w:ascii="Arial" w:hAnsi="Arial" w:cs="Arial"/>
                <w:color w:val="222222"/>
              </w:rPr>
              <w:t xml:space="preserve">Program designed to prepare </w:t>
            </w:r>
            <w:r w:rsidR="00D34FBF" w:rsidRPr="009E6F22">
              <w:rPr>
                <w:rFonts w:ascii="Arial" w:hAnsi="Arial" w:cs="Arial"/>
                <w:color w:val="222222"/>
              </w:rPr>
              <w:t>students</w:t>
            </w:r>
            <w:r w:rsidR="00887D59">
              <w:rPr>
                <w:rFonts w:ascii="Arial" w:hAnsi="Arial" w:cs="Arial"/>
                <w:color w:val="222222"/>
              </w:rPr>
              <w:t>,</w:t>
            </w:r>
            <w:r w:rsidR="00D34FBF" w:rsidRPr="009E6F22">
              <w:rPr>
                <w:rFonts w:ascii="Arial" w:hAnsi="Arial" w:cs="Arial"/>
                <w:color w:val="222222"/>
              </w:rPr>
              <w:t xml:space="preserve"> </w:t>
            </w:r>
            <w:r w:rsidR="00887D59">
              <w:rPr>
                <w:rFonts w:ascii="Arial" w:hAnsi="Arial" w:cs="Arial"/>
                <w:color w:val="222222"/>
              </w:rPr>
              <w:t xml:space="preserve">who do not have access to traditional entry pathways or academic preparation, to succeed </w:t>
            </w:r>
            <w:r w:rsidRPr="009E6F22">
              <w:rPr>
                <w:rFonts w:ascii="Arial" w:hAnsi="Arial" w:cs="Arial"/>
                <w:color w:val="222222"/>
              </w:rPr>
              <w:t>in higher education</w:t>
            </w:r>
            <w:r w:rsidR="00312D40" w:rsidRPr="009E6F22">
              <w:rPr>
                <w:rFonts w:ascii="Arial" w:hAnsi="Arial" w:cs="Arial"/>
                <w:color w:val="222222"/>
              </w:rPr>
              <w:t>.</w:t>
            </w:r>
          </w:p>
        </w:tc>
      </w:tr>
    </w:tbl>
    <w:p w:rsidR="00706321" w:rsidRPr="00706321" w:rsidRDefault="00706321" w:rsidP="00706321">
      <w:pPr>
        <w:pStyle w:val="ListNumber"/>
        <w:numPr>
          <w:ilvl w:val="0"/>
          <w:numId w:val="0"/>
        </w:numPr>
        <w:spacing w:after="0" w:line="240" w:lineRule="auto"/>
        <w:rPr>
          <w:rFonts w:ascii="Arial" w:hAnsi="Arial" w:cs="Arial"/>
          <w:sz w:val="20"/>
          <w:szCs w:val="20"/>
        </w:rPr>
      </w:pPr>
    </w:p>
    <w:tbl>
      <w:tblPr>
        <w:tblStyle w:val="GridTable1Light-Accent5"/>
        <w:tblW w:w="0" w:type="auto"/>
        <w:tblLook w:val="04A0" w:firstRow="1" w:lastRow="0" w:firstColumn="1" w:lastColumn="0" w:noHBand="0" w:noVBand="1"/>
      </w:tblPr>
      <w:tblGrid>
        <w:gridCol w:w="3271"/>
        <w:gridCol w:w="31"/>
        <w:gridCol w:w="10272"/>
      </w:tblGrid>
      <w:tr w:rsidR="00D25D56" w:rsidRPr="009E6F22" w:rsidTr="00D25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3"/>
          </w:tcPr>
          <w:p w:rsidR="000F1BA0" w:rsidRPr="009E6F22" w:rsidRDefault="000F1BA0" w:rsidP="00706321">
            <w:pPr>
              <w:pStyle w:val="ListNumber"/>
              <w:numPr>
                <w:ilvl w:val="0"/>
                <w:numId w:val="0"/>
              </w:numPr>
              <w:spacing w:after="0"/>
              <w:rPr>
                <w:rFonts w:ascii="Arial" w:hAnsi="Arial" w:cs="Arial"/>
                <w:b w:val="0"/>
              </w:rPr>
            </w:pPr>
            <w:r w:rsidRPr="009E6F22">
              <w:rPr>
                <w:rFonts w:ascii="Arial" w:hAnsi="Arial" w:cs="Arial"/>
              </w:rPr>
              <w:t>PARTICIPATION (</w:t>
            </w:r>
            <w:r w:rsidR="001E159E" w:rsidRPr="009E6F22">
              <w:rPr>
                <w:rFonts w:ascii="Arial" w:hAnsi="Arial" w:cs="Arial"/>
              </w:rPr>
              <w:t>Transition And Progression During Studies</w:t>
            </w:r>
            <w:r w:rsidRPr="009E6F22">
              <w:rPr>
                <w:rFonts w:ascii="Arial" w:hAnsi="Arial" w:cs="Arial"/>
              </w:rPr>
              <w:t>)</w:t>
            </w:r>
          </w:p>
        </w:tc>
      </w:tr>
      <w:tr w:rsidR="000F1BA0" w:rsidRPr="009E6F22" w:rsidTr="00D25D56">
        <w:tc>
          <w:tcPr>
            <w:cnfStyle w:val="001000000000" w:firstRow="0" w:lastRow="0" w:firstColumn="1" w:lastColumn="0" w:oddVBand="0" w:evenVBand="0" w:oddHBand="0" w:evenHBand="0" w:firstRowFirstColumn="0" w:firstRowLastColumn="0" w:lastRowFirstColumn="0" w:lastRowLastColumn="0"/>
            <w:tcW w:w="3397" w:type="dxa"/>
          </w:tcPr>
          <w:p w:rsidR="000F1BA0" w:rsidRPr="009E6F22" w:rsidRDefault="000F1BA0" w:rsidP="00706321">
            <w:pPr>
              <w:pStyle w:val="ListNumber"/>
              <w:numPr>
                <w:ilvl w:val="0"/>
                <w:numId w:val="0"/>
              </w:numPr>
              <w:spacing w:after="0"/>
              <w:rPr>
                <w:rFonts w:ascii="Arial" w:hAnsi="Arial" w:cs="Arial"/>
                <w:b w:val="0"/>
              </w:rPr>
            </w:pPr>
            <w:r w:rsidRPr="009E6F22">
              <w:rPr>
                <w:rFonts w:ascii="Arial" w:hAnsi="Arial" w:cs="Arial"/>
              </w:rPr>
              <w:t>Activity</w:t>
            </w:r>
          </w:p>
        </w:tc>
        <w:tc>
          <w:tcPr>
            <w:tcW w:w="10915" w:type="dxa"/>
            <w:gridSpan w:val="2"/>
          </w:tcPr>
          <w:p w:rsidR="000F1BA0" w:rsidRPr="009E6F22" w:rsidRDefault="000F1BA0" w:rsidP="00706321">
            <w:pPr>
              <w:pStyle w:val="ListNumber"/>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rPr>
            </w:pPr>
            <w:r w:rsidRPr="009E6F22">
              <w:rPr>
                <w:rFonts w:ascii="Arial" w:hAnsi="Arial" w:cs="Arial"/>
                <w:b/>
              </w:rPr>
              <w:t>Description</w:t>
            </w:r>
          </w:p>
        </w:tc>
      </w:tr>
      <w:tr w:rsidR="006A3AC0" w:rsidRPr="009E6F22" w:rsidTr="00D25D56">
        <w:tc>
          <w:tcPr>
            <w:cnfStyle w:val="001000000000" w:firstRow="0" w:lastRow="0" w:firstColumn="1" w:lastColumn="0" w:oddVBand="0" w:evenVBand="0" w:oddHBand="0" w:evenHBand="0" w:firstRowFirstColumn="0" w:firstRowLastColumn="0" w:lastRowFirstColumn="0" w:lastRowLastColumn="0"/>
            <w:tcW w:w="3430" w:type="dxa"/>
            <w:gridSpan w:val="2"/>
          </w:tcPr>
          <w:p w:rsidR="006A3AC0" w:rsidRPr="009E6F22" w:rsidRDefault="006A3AC0" w:rsidP="00706321">
            <w:pPr>
              <w:rPr>
                <w:rFonts w:ascii="Arial" w:hAnsi="Arial" w:cs="Arial"/>
              </w:rPr>
            </w:pPr>
            <w:r w:rsidRPr="009E6F22">
              <w:rPr>
                <w:rFonts w:ascii="Arial" w:hAnsi="Arial" w:cs="Arial"/>
              </w:rPr>
              <w:t>Transition Experience</w:t>
            </w:r>
          </w:p>
        </w:tc>
        <w:tc>
          <w:tcPr>
            <w:tcW w:w="10882" w:type="dxa"/>
          </w:tcPr>
          <w:p w:rsidR="006A3AC0" w:rsidRPr="009E6F22" w:rsidRDefault="00842D7F" w:rsidP="0070632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E6F22">
              <w:rPr>
                <w:rFonts w:ascii="Arial" w:hAnsi="Arial" w:cs="Arial"/>
              </w:rPr>
              <w:t>Program for commencing students from low SES schools in the Adelaide metropolitan and Adelaide Hills regions to visit Flinders University prior to Orientation Week raising awareness of support services and increasing familiarit</w:t>
            </w:r>
            <w:r w:rsidR="00706321" w:rsidRPr="009E6F22">
              <w:rPr>
                <w:rFonts w:ascii="Arial" w:hAnsi="Arial" w:cs="Arial"/>
              </w:rPr>
              <w:t xml:space="preserve">y </w:t>
            </w:r>
            <w:r w:rsidR="00C518AE">
              <w:rPr>
                <w:rFonts w:ascii="Arial" w:hAnsi="Arial" w:cs="Arial"/>
              </w:rPr>
              <w:t xml:space="preserve">with the campus environment </w:t>
            </w:r>
            <w:r w:rsidR="00C518AE" w:rsidRPr="009E6F22">
              <w:rPr>
                <w:rFonts w:ascii="Arial" w:hAnsi="Arial" w:cs="Arial"/>
              </w:rPr>
              <w:t>for both students and their parents/caregivers</w:t>
            </w:r>
            <w:r w:rsidR="00C518AE">
              <w:rPr>
                <w:rFonts w:ascii="Arial" w:hAnsi="Arial" w:cs="Arial"/>
              </w:rPr>
              <w:t>.</w:t>
            </w:r>
          </w:p>
        </w:tc>
      </w:tr>
      <w:tr w:rsidR="006A3AC0" w:rsidRPr="009E6F22" w:rsidTr="00D25D56">
        <w:tc>
          <w:tcPr>
            <w:cnfStyle w:val="001000000000" w:firstRow="0" w:lastRow="0" w:firstColumn="1" w:lastColumn="0" w:oddVBand="0" w:evenVBand="0" w:oddHBand="0" w:evenHBand="0" w:firstRowFirstColumn="0" w:firstRowLastColumn="0" w:lastRowFirstColumn="0" w:lastRowLastColumn="0"/>
            <w:tcW w:w="3430" w:type="dxa"/>
            <w:gridSpan w:val="2"/>
          </w:tcPr>
          <w:p w:rsidR="006A3AC0" w:rsidRPr="009E6F22" w:rsidRDefault="006A3AC0" w:rsidP="00706321">
            <w:pPr>
              <w:rPr>
                <w:rFonts w:ascii="Arial" w:hAnsi="Arial" w:cs="Arial"/>
              </w:rPr>
            </w:pPr>
            <w:r w:rsidRPr="009E6F22">
              <w:rPr>
                <w:rFonts w:ascii="Arial" w:hAnsi="Arial" w:cs="Arial"/>
              </w:rPr>
              <w:t>R</w:t>
            </w:r>
            <w:r w:rsidR="007C35BF" w:rsidRPr="009E6F22">
              <w:rPr>
                <w:rFonts w:ascii="Arial" w:hAnsi="Arial" w:cs="Arial"/>
              </w:rPr>
              <w:t>egional and R</w:t>
            </w:r>
            <w:r w:rsidRPr="009E6F22">
              <w:rPr>
                <w:rFonts w:ascii="Arial" w:hAnsi="Arial" w:cs="Arial"/>
              </w:rPr>
              <w:t>ural Transition Experience</w:t>
            </w:r>
          </w:p>
        </w:tc>
        <w:tc>
          <w:tcPr>
            <w:tcW w:w="10882" w:type="dxa"/>
          </w:tcPr>
          <w:p w:rsidR="006A3AC0" w:rsidRPr="009E6F22" w:rsidRDefault="00842D7F" w:rsidP="0070632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E6F22">
              <w:rPr>
                <w:rFonts w:ascii="Arial" w:hAnsi="Arial" w:cs="Arial"/>
              </w:rPr>
              <w:t>Program for commencing students from rural and remote locations to visit Flinders University prior to Orientation Week raising awareness of support services and increasing familiarity with the campus environment for both student</w:t>
            </w:r>
            <w:r w:rsidR="00706321" w:rsidRPr="009E6F22">
              <w:rPr>
                <w:rFonts w:ascii="Arial" w:hAnsi="Arial" w:cs="Arial"/>
              </w:rPr>
              <w:t>s and their parents/caregivers.</w:t>
            </w:r>
          </w:p>
        </w:tc>
      </w:tr>
      <w:tr w:rsidR="006A3AC0" w:rsidRPr="009E6F22" w:rsidTr="00D25D56">
        <w:tc>
          <w:tcPr>
            <w:cnfStyle w:val="001000000000" w:firstRow="0" w:lastRow="0" w:firstColumn="1" w:lastColumn="0" w:oddVBand="0" w:evenVBand="0" w:oddHBand="0" w:evenHBand="0" w:firstRowFirstColumn="0" w:firstRowLastColumn="0" w:lastRowFirstColumn="0" w:lastRowLastColumn="0"/>
            <w:tcW w:w="3430" w:type="dxa"/>
            <w:gridSpan w:val="2"/>
          </w:tcPr>
          <w:p w:rsidR="006A3AC0" w:rsidRPr="009E6F22" w:rsidRDefault="006A3AC0" w:rsidP="00706321">
            <w:pPr>
              <w:rPr>
                <w:rFonts w:ascii="Arial" w:hAnsi="Arial" w:cs="Arial"/>
              </w:rPr>
            </w:pPr>
            <w:r w:rsidRPr="009E6F22">
              <w:rPr>
                <w:rFonts w:ascii="Arial" w:hAnsi="Arial" w:cs="Arial"/>
              </w:rPr>
              <w:t>Student Access Scholarships</w:t>
            </w:r>
          </w:p>
        </w:tc>
        <w:tc>
          <w:tcPr>
            <w:tcW w:w="10882" w:type="dxa"/>
          </w:tcPr>
          <w:p w:rsidR="006A3AC0" w:rsidRPr="009E6F22" w:rsidRDefault="006A3AC0" w:rsidP="0070632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E6F22">
              <w:rPr>
                <w:rFonts w:ascii="Arial" w:hAnsi="Arial" w:cs="Arial"/>
              </w:rPr>
              <w:t>Scholarships and bursaries for undergraduate students which are designed to alleviate financial hardship or need.  Particularly relevant to students from rural and remote locations, also</w:t>
            </w:r>
            <w:r w:rsidR="00706321" w:rsidRPr="009E6F22">
              <w:rPr>
                <w:rFonts w:ascii="Arial" w:hAnsi="Arial" w:cs="Arial"/>
              </w:rPr>
              <w:t xml:space="preserve"> considered low SES.</w:t>
            </w:r>
          </w:p>
        </w:tc>
      </w:tr>
      <w:tr w:rsidR="009E6F22" w:rsidRPr="009E6F22" w:rsidTr="00D25D56">
        <w:tc>
          <w:tcPr>
            <w:cnfStyle w:val="001000000000" w:firstRow="0" w:lastRow="0" w:firstColumn="1" w:lastColumn="0" w:oddVBand="0" w:evenVBand="0" w:oddHBand="0" w:evenHBand="0" w:firstRowFirstColumn="0" w:firstRowLastColumn="0" w:lastRowFirstColumn="0" w:lastRowLastColumn="0"/>
            <w:tcW w:w="3430" w:type="dxa"/>
            <w:gridSpan w:val="2"/>
          </w:tcPr>
          <w:p w:rsidR="009E6F22" w:rsidRPr="009E6F22" w:rsidRDefault="009E6F22" w:rsidP="00706321">
            <w:pPr>
              <w:rPr>
                <w:rFonts w:ascii="Arial" w:hAnsi="Arial" w:cs="Arial"/>
              </w:rPr>
            </w:pPr>
            <w:r w:rsidRPr="009E6F22">
              <w:rPr>
                <w:rFonts w:ascii="Arial" w:hAnsi="Arial" w:cs="Arial"/>
              </w:rPr>
              <w:t xml:space="preserve">Student Success </w:t>
            </w:r>
          </w:p>
        </w:tc>
        <w:tc>
          <w:tcPr>
            <w:tcW w:w="10882" w:type="dxa"/>
          </w:tcPr>
          <w:p w:rsidR="004E2867" w:rsidRDefault="004E2867" w:rsidP="004E2867">
            <w:pPr>
              <w:cnfStyle w:val="000000000000" w:firstRow="0" w:lastRow="0" w:firstColumn="0" w:lastColumn="0" w:oddVBand="0" w:evenVBand="0" w:oddHBand="0" w:evenHBand="0" w:firstRowFirstColumn="0" w:firstRowLastColumn="0" w:lastRowFirstColumn="0" w:lastRowLastColumn="0"/>
              <w:rPr>
                <w:rFonts w:ascii="Arial" w:hAnsi="Arial" w:cs="Arial"/>
                <w:lang w:val="en"/>
              </w:rPr>
            </w:pPr>
            <w:r>
              <w:rPr>
                <w:rFonts w:ascii="Arial" w:hAnsi="Arial" w:cs="Arial"/>
                <w:lang w:val="en"/>
              </w:rPr>
              <w:t>Continued focus on q</w:t>
            </w:r>
            <w:r w:rsidR="00CD67B7">
              <w:rPr>
                <w:rFonts w:ascii="Arial" w:hAnsi="Arial" w:cs="Arial"/>
                <w:lang w:val="en"/>
              </w:rPr>
              <w:t xml:space="preserve">uality education, retention, graduate employment outcomes. Strategies embedded within each of the six Colleges to </w:t>
            </w:r>
            <w:r>
              <w:rPr>
                <w:rFonts w:ascii="Arial" w:hAnsi="Arial" w:cs="Arial"/>
                <w:lang w:val="en"/>
              </w:rPr>
              <w:t>focus on:</w:t>
            </w:r>
          </w:p>
          <w:p w:rsidR="004E2867" w:rsidRDefault="004E2867" w:rsidP="004E2867">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lang w:val="en"/>
              </w:rPr>
            </w:pPr>
            <w:r w:rsidRPr="004E2867">
              <w:rPr>
                <w:rFonts w:ascii="Arial" w:hAnsi="Arial" w:cs="Arial"/>
                <w:lang w:val="en"/>
              </w:rPr>
              <w:t xml:space="preserve">student engagement at university </w:t>
            </w:r>
            <w:r>
              <w:rPr>
                <w:rFonts w:ascii="Arial" w:hAnsi="Arial" w:cs="Arial"/>
                <w:lang w:val="en"/>
              </w:rPr>
              <w:t>ensuring</w:t>
            </w:r>
            <w:r w:rsidRPr="004E2867">
              <w:rPr>
                <w:rFonts w:ascii="Arial" w:hAnsi="Arial" w:cs="Arial"/>
                <w:lang w:val="en"/>
              </w:rPr>
              <w:t xml:space="preserve"> students feel welcome</w:t>
            </w:r>
            <w:r>
              <w:rPr>
                <w:rFonts w:ascii="Arial" w:hAnsi="Arial" w:cs="Arial"/>
                <w:lang w:val="en"/>
              </w:rPr>
              <w:t>d and supported in their study</w:t>
            </w:r>
          </w:p>
          <w:p w:rsidR="00B36175" w:rsidRDefault="00B36175" w:rsidP="00B36175">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lang w:val="en"/>
              </w:rPr>
            </w:pPr>
            <w:r w:rsidRPr="004E2867">
              <w:rPr>
                <w:rFonts w:ascii="Arial" w:hAnsi="Arial" w:cs="Arial"/>
                <w:lang w:val="en"/>
              </w:rPr>
              <w:t>learning analytics employed to identify students at higher risk of attrition in order to deli</w:t>
            </w:r>
            <w:r>
              <w:rPr>
                <w:rFonts w:ascii="Arial" w:hAnsi="Arial" w:cs="Arial"/>
                <w:lang w:val="en"/>
              </w:rPr>
              <w:t>ver proactive, targeted support and advice</w:t>
            </w:r>
          </w:p>
          <w:p w:rsidR="009E6F22" w:rsidRPr="004E2867" w:rsidRDefault="00B36175" w:rsidP="00B36175">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Arial" w:hAnsi="Arial" w:cs="Arial"/>
                <w:lang w:val="en"/>
              </w:rPr>
            </w:pPr>
            <w:r>
              <w:rPr>
                <w:rFonts w:ascii="Arial" w:hAnsi="Arial" w:cs="Arial"/>
                <w:lang w:val="en"/>
              </w:rPr>
              <w:t>Colleges have targeted interventions for first year students including early low stakes assessment in first year topics.</w:t>
            </w:r>
          </w:p>
        </w:tc>
      </w:tr>
      <w:tr w:rsidR="004E2867" w:rsidRPr="009E6F22" w:rsidTr="00D25D56">
        <w:tc>
          <w:tcPr>
            <w:cnfStyle w:val="001000000000" w:firstRow="0" w:lastRow="0" w:firstColumn="1" w:lastColumn="0" w:oddVBand="0" w:evenVBand="0" w:oddHBand="0" w:evenHBand="0" w:firstRowFirstColumn="0" w:firstRowLastColumn="0" w:lastRowFirstColumn="0" w:lastRowLastColumn="0"/>
            <w:tcW w:w="3430" w:type="dxa"/>
            <w:gridSpan w:val="2"/>
          </w:tcPr>
          <w:p w:rsidR="004E2867" w:rsidRDefault="004E2867" w:rsidP="00706321">
            <w:pPr>
              <w:rPr>
                <w:rFonts w:ascii="Arial" w:hAnsi="Arial" w:cs="Arial"/>
              </w:rPr>
            </w:pPr>
            <w:r>
              <w:rPr>
                <w:rFonts w:ascii="Arial" w:hAnsi="Arial" w:cs="Arial"/>
              </w:rPr>
              <w:t>Indigenous</w:t>
            </w:r>
          </w:p>
          <w:p w:rsidR="004E2867" w:rsidRPr="009E6F22" w:rsidRDefault="004E2867" w:rsidP="00706321">
            <w:pPr>
              <w:rPr>
                <w:rFonts w:ascii="Arial" w:hAnsi="Arial" w:cs="Arial"/>
              </w:rPr>
            </w:pPr>
          </w:p>
        </w:tc>
        <w:tc>
          <w:tcPr>
            <w:tcW w:w="10882" w:type="dxa"/>
          </w:tcPr>
          <w:p w:rsidR="004E2867" w:rsidRPr="009E6F22" w:rsidRDefault="008B5ADD" w:rsidP="008B5ADD">
            <w:pPr>
              <w:cnfStyle w:val="000000000000" w:firstRow="0" w:lastRow="0" w:firstColumn="0" w:lastColumn="0" w:oddVBand="0" w:evenVBand="0" w:oddHBand="0" w:evenHBand="0" w:firstRowFirstColumn="0" w:firstRowLastColumn="0" w:lastRowFirstColumn="0" w:lastRowLastColumn="0"/>
              <w:rPr>
                <w:rFonts w:ascii="Arial" w:hAnsi="Arial" w:cs="Arial"/>
                <w:lang w:val="en"/>
              </w:rPr>
            </w:pPr>
            <w:r>
              <w:rPr>
                <w:rFonts w:ascii="Arial" w:hAnsi="Arial" w:cs="Arial"/>
              </w:rPr>
              <w:t>Strategies have been identified and are being implemented to increase support for indigenous students throughout their studies at university.</w:t>
            </w:r>
          </w:p>
        </w:tc>
      </w:tr>
      <w:tr w:rsidR="00A65AFB" w:rsidRPr="009E6F22" w:rsidTr="00D25D56">
        <w:tc>
          <w:tcPr>
            <w:cnfStyle w:val="001000000000" w:firstRow="0" w:lastRow="0" w:firstColumn="1" w:lastColumn="0" w:oddVBand="0" w:evenVBand="0" w:oddHBand="0" w:evenHBand="0" w:firstRowFirstColumn="0" w:firstRowLastColumn="0" w:lastRowFirstColumn="0" w:lastRowLastColumn="0"/>
            <w:tcW w:w="3430" w:type="dxa"/>
            <w:gridSpan w:val="2"/>
          </w:tcPr>
          <w:p w:rsidR="00A65AFB" w:rsidRPr="009E6F22" w:rsidRDefault="00A65AFB" w:rsidP="00706321">
            <w:pPr>
              <w:rPr>
                <w:rFonts w:ascii="Arial" w:hAnsi="Arial" w:cs="Arial"/>
              </w:rPr>
            </w:pPr>
            <w:r w:rsidRPr="009E6F22">
              <w:rPr>
                <w:rFonts w:ascii="Arial" w:hAnsi="Arial" w:cs="Arial"/>
              </w:rPr>
              <w:t>Regional Voice</w:t>
            </w:r>
          </w:p>
        </w:tc>
        <w:tc>
          <w:tcPr>
            <w:tcW w:w="10882" w:type="dxa"/>
          </w:tcPr>
          <w:p w:rsidR="00A65AFB" w:rsidRPr="009E6F22" w:rsidRDefault="00A65AFB" w:rsidP="00706321">
            <w:pPr>
              <w:cnfStyle w:val="000000000000" w:firstRow="0" w:lastRow="0" w:firstColumn="0" w:lastColumn="0" w:oddVBand="0" w:evenVBand="0" w:oddHBand="0" w:evenHBand="0" w:firstRowFirstColumn="0" w:firstRowLastColumn="0" w:lastRowFirstColumn="0" w:lastRowLastColumn="0"/>
              <w:rPr>
                <w:rFonts w:ascii="Arial" w:hAnsi="Arial" w:cs="Arial"/>
                <w:lang w:val="en"/>
              </w:rPr>
            </w:pPr>
            <w:r w:rsidRPr="009E6F22">
              <w:rPr>
                <w:rFonts w:ascii="Arial" w:hAnsi="Arial" w:cs="Arial"/>
                <w:lang w:val="en"/>
              </w:rPr>
              <w:t>Focus on current first year and continuing students from regional and remote backgrounds to ha</w:t>
            </w:r>
            <w:r w:rsidR="00CD67B7">
              <w:rPr>
                <w:rFonts w:ascii="Arial" w:hAnsi="Arial" w:cs="Arial"/>
                <w:lang w:val="en"/>
              </w:rPr>
              <w:t>rness their voice on identifying enablers</w:t>
            </w:r>
            <w:r w:rsidRPr="009E6F22">
              <w:rPr>
                <w:rFonts w:ascii="Arial" w:hAnsi="Arial" w:cs="Arial"/>
                <w:lang w:val="en"/>
              </w:rPr>
              <w:t xml:space="preserve"> and barriers to higher education. Establi</w:t>
            </w:r>
            <w:r w:rsidR="00B36175">
              <w:rPr>
                <w:rFonts w:ascii="Arial" w:hAnsi="Arial" w:cs="Arial"/>
                <w:lang w:val="en"/>
              </w:rPr>
              <w:t>shment of focus groups will</w:t>
            </w:r>
            <w:r w:rsidRPr="009E6F22">
              <w:rPr>
                <w:rFonts w:ascii="Arial" w:hAnsi="Arial" w:cs="Arial"/>
                <w:lang w:val="en"/>
              </w:rPr>
              <w:t xml:space="preserve"> create a</w:t>
            </w:r>
            <w:r w:rsidR="00B36175">
              <w:rPr>
                <w:rFonts w:ascii="Arial" w:hAnsi="Arial" w:cs="Arial"/>
                <w:lang w:val="en"/>
              </w:rPr>
              <w:t>dditional</w:t>
            </w:r>
            <w:r w:rsidRPr="009E6F22">
              <w:rPr>
                <w:rFonts w:ascii="Arial" w:hAnsi="Arial" w:cs="Arial"/>
                <w:lang w:val="en"/>
              </w:rPr>
              <w:t xml:space="preserve"> </w:t>
            </w:r>
            <w:r w:rsidR="00706321" w:rsidRPr="009E6F22">
              <w:rPr>
                <w:rFonts w:ascii="Arial" w:hAnsi="Arial" w:cs="Arial"/>
                <w:lang w:val="en"/>
              </w:rPr>
              <w:t>support</w:t>
            </w:r>
            <w:r w:rsidRPr="009E6F22">
              <w:rPr>
                <w:rFonts w:ascii="Arial" w:hAnsi="Arial" w:cs="Arial"/>
                <w:lang w:val="en"/>
              </w:rPr>
              <w:t xml:space="preserve"> network</w:t>
            </w:r>
            <w:r w:rsidR="00B36175">
              <w:rPr>
                <w:rFonts w:ascii="Arial" w:hAnsi="Arial" w:cs="Arial"/>
                <w:lang w:val="en"/>
              </w:rPr>
              <w:t>s</w:t>
            </w:r>
            <w:r w:rsidR="00C518AE">
              <w:rPr>
                <w:rFonts w:ascii="Arial" w:hAnsi="Arial" w:cs="Arial"/>
                <w:lang w:val="en"/>
              </w:rPr>
              <w:t xml:space="preserve"> within the U</w:t>
            </w:r>
            <w:r w:rsidRPr="009E6F22">
              <w:rPr>
                <w:rFonts w:ascii="Arial" w:hAnsi="Arial" w:cs="Arial"/>
                <w:lang w:val="en"/>
              </w:rPr>
              <w:t>niversity for regional and remote students</w:t>
            </w:r>
          </w:p>
        </w:tc>
      </w:tr>
      <w:tr w:rsidR="006A3AC0" w:rsidRPr="009E6F22" w:rsidTr="00D25D56">
        <w:tc>
          <w:tcPr>
            <w:cnfStyle w:val="001000000000" w:firstRow="0" w:lastRow="0" w:firstColumn="1" w:lastColumn="0" w:oddVBand="0" w:evenVBand="0" w:oddHBand="0" w:evenHBand="0" w:firstRowFirstColumn="0" w:firstRowLastColumn="0" w:lastRowFirstColumn="0" w:lastRowLastColumn="0"/>
            <w:tcW w:w="3430" w:type="dxa"/>
            <w:gridSpan w:val="2"/>
          </w:tcPr>
          <w:p w:rsidR="006A3AC0" w:rsidRPr="009E6F22" w:rsidRDefault="006A3AC0" w:rsidP="00706321">
            <w:pPr>
              <w:rPr>
                <w:rFonts w:ascii="Arial" w:hAnsi="Arial" w:cs="Arial"/>
              </w:rPr>
            </w:pPr>
            <w:r w:rsidRPr="009E6F22">
              <w:rPr>
                <w:rFonts w:ascii="Arial" w:hAnsi="Arial" w:cs="Arial"/>
              </w:rPr>
              <w:t>Student Academic and Transition Support</w:t>
            </w:r>
          </w:p>
        </w:tc>
        <w:tc>
          <w:tcPr>
            <w:tcW w:w="10882" w:type="dxa"/>
          </w:tcPr>
          <w:p w:rsidR="006A3AC0" w:rsidRPr="009E6F22" w:rsidRDefault="006A3AC0" w:rsidP="00B36175">
            <w:pPr>
              <w:cnfStyle w:val="000000000000" w:firstRow="0" w:lastRow="0" w:firstColumn="0" w:lastColumn="0" w:oddVBand="0" w:evenVBand="0" w:oddHBand="0" w:evenHBand="0" w:firstRowFirstColumn="0" w:firstRowLastColumn="0" w:lastRowFirstColumn="0" w:lastRowLastColumn="0"/>
              <w:rPr>
                <w:rFonts w:ascii="Arial" w:hAnsi="Arial" w:cs="Arial"/>
                <w:lang w:val="en"/>
              </w:rPr>
            </w:pPr>
            <w:r w:rsidRPr="009E6F22">
              <w:rPr>
                <w:rFonts w:ascii="Arial" w:hAnsi="Arial" w:cs="Arial"/>
                <w:lang w:val="en"/>
              </w:rPr>
              <w:t>A</w:t>
            </w:r>
            <w:r w:rsidR="00F25CA3" w:rsidRPr="009E6F22">
              <w:rPr>
                <w:rFonts w:ascii="Arial" w:hAnsi="Arial" w:cs="Arial"/>
                <w:lang w:val="en"/>
              </w:rPr>
              <w:t xml:space="preserve"> ra</w:t>
            </w:r>
            <w:r w:rsidR="00B36175">
              <w:rPr>
                <w:rFonts w:ascii="Arial" w:hAnsi="Arial" w:cs="Arial"/>
                <w:lang w:val="en"/>
              </w:rPr>
              <w:t xml:space="preserve">nge of activities including: </w:t>
            </w:r>
            <w:proofErr w:type="spellStart"/>
            <w:r w:rsidR="00B36175">
              <w:rPr>
                <w:rFonts w:ascii="Arial" w:hAnsi="Arial" w:cs="Arial"/>
                <w:lang w:val="en"/>
              </w:rPr>
              <w:t>Studiosity</w:t>
            </w:r>
            <w:proofErr w:type="spellEnd"/>
            <w:r w:rsidR="00B36175">
              <w:rPr>
                <w:rFonts w:ascii="Arial" w:hAnsi="Arial" w:cs="Arial"/>
                <w:lang w:val="en"/>
              </w:rPr>
              <w:t>: online student tutoring, online learning resources, pop-up seminars, post-entry language assessment,</w:t>
            </w:r>
            <w:r w:rsidRPr="009E6F22">
              <w:rPr>
                <w:rFonts w:ascii="Arial" w:hAnsi="Arial" w:cs="Arial"/>
                <w:lang w:val="en"/>
              </w:rPr>
              <w:t xml:space="preserve"> </w:t>
            </w:r>
            <w:r w:rsidR="00B36175">
              <w:rPr>
                <w:rFonts w:ascii="Arial" w:hAnsi="Arial" w:cs="Arial"/>
                <w:lang w:val="en"/>
              </w:rPr>
              <w:t>learning lounge, u</w:t>
            </w:r>
            <w:r w:rsidRPr="009E6F22">
              <w:rPr>
                <w:rFonts w:ascii="Arial" w:hAnsi="Arial" w:cs="Arial"/>
                <w:lang w:val="en"/>
              </w:rPr>
              <w:t>niversity experience days for students with a disability, transition experiences for students from equity groups</w:t>
            </w:r>
            <w:r w:rsidR="00B36175">
              <w:rPr>
                <w:rFonts w:ascii="Arial" w:hAnsi="Arial" w:cs="Arial"/>
                <w:lang w:val="en"/>
              </w:rPr>
              <w:t>, counselling and health services.</w:t>
            </w:r>
            <w:r w:rsidR="00EB717B">
              <w:rPr>
                <w:rFonts w:ascii="Arial" w:hAnsi="Arial" w:cs="Arial"/>
                <w:lang w:val="en"/>
              </w:rPr>
              <w:t xml:space="preserve"> </w:t>
            </w:r>
            <w:r w:rsidR="00B36175">
              <w:rPr>
                <w:rFonts w:ascii="Arial" w:hAnsi="Arial" w:cs="Arial"/>
                <w:lang w:val="en"/>
              </w:rPr>
              <w:t>P</w:t>
            </w:r>
            <w:r w:rsidRPr="009E6F22">
              <w:rPr>
                <w:rFonts w:ascii="Arial" w:hAnsi="Arial" w:cs="Arial"/>
                <w:lang w:val="en"/>
              </w:rPr>
              <w:t>rofessional development for staff engaged in counse</w:t>
            </w:r>
            <w:r w:rsidR="00706321" w:rsidRPr="009E6F22">
              <w:rPr>
                <w:rFonts w:ascii="Arial" w:hAnsi="Arial" w:cs="Arial"/>
                <w:lang w:val="en"/>
              </w:rPr>
              <w:t>lling and disability services.</w:t>
            </w:r>
          </w:p>
        </w:tc>
      </w:tr>
    </w:tbl>
    <w:p w:rsidR="000F1BA0" w:rsidRPr="009E6F22" w:rsidRDefault="000F1BA0" w:rsidP="00706321">
      <w:pPr>
        <w:pStyle w:val="ListNumber"/>
        <w:numPr>
          <w:ilvl w:val="0"/>
          <w:numId w:val="0"/>
        </w:numPr>
        <w:spacing w:after="0" w:line="240" w:lineRule="auto"/>
        <w:rPr>
          <w:rFonts w:ascii="Arial" w:hAnsi="Arial" w:cs="Arial"/>
        </w:rPr>
      </w:pPr>
    </w:p>
    <w:tbl>
      <w:tblPr>
        <w:tblStyle w:val="GridTable1Light-Accent5"/>
        <w:tblW w:w="0" w:type="auto"/>
        <w:tblLook w:val="04A0" w:firstRow="1" w:lastRow="0" w:firstColumn="1" w:lastColumn="0" w:noHBand="0" w:noVBand="1"/>
      </w:tblPr>
      <w:tblGrid>
        <w:gridCol w:w="3288"/>
        <w:gridCol w:w="31"/>
        <w:gridCol w:w="10255"/>
      </w:tblGrid>
      <w:tr w:rsidR="00D25D56" w:rsidRPr="009E6F22" w:rsidTr="00D25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3"/>
          </w:tcPr>
          <w:p w:rsidR="000F1BA0" w:rsidRPr="009E6F22" w:rsidRDefault="000F1BA0" w:rsidP="00706321">
            <w:pPr>
              <w:pStyle w:val="ListNumber"/>
              <w:numPr>
                <w:ilvl w:val="0"/>
                <w:numId w:val="0"/>
              </w:numPr>
              <w:spacing w:after="0"/>
              <w:rPr>
                <w:rFonts w:ascii="Arial" w:hAnsi="Arial" w:cs="Arial"/>
                <w:b w:val="0"/>
              </w:rPr>
            </w:pPr>
            <w:r w:rsidRPr="009E6F22">
              <w:rPr>
                <w:rFonts w:ascii="Arial" w:hAnsi="Arial" w:cs="Arial"/>
              </w:rPr>
              <w:t xml:space="preserve">PROGRESS AND ATTAINMENT </w:t>
            </w:r>
            <w:r w:rsidR="001E159E" w:rsidRPr="009E6F22">
              <w:rPr>
                <w:rFonts w:ascii="Arial" w:hAnsi="Arial" w:cs="Arial"/>
              </w:rPr>
              <w:t>(Successful Completion And Preparation For Graduate Employment)</w:t>
            </w:r>
          </w:p>
        </w:tc>
      </w:tr>
      <w:tr w:rsidR="001E159E" w:rsidRPr="009E6F22" w:rsidTr="00D25D56">
        <w:tc>
          <w:tcPr>
            <w:cnfStyle w:val="001000000000" w:firstRow="0" w:lastRow="0" w:firstColumn="1" w:lastColumn="0" w:oddVBand="0" w:evenVBand="0" w:oddHBand="0" w:evenHBand="0" w:firstRowFirstColumn="0" w:firstRowLastColumn="0" w:lastRowFirstColumn="0" w:lastRowLastColumn="0"/>
            <w:tcW w:w="3397" w:type="dxa"/>
          </w:tcPr>
          <w:p w:rsidR="000F1BA0" w:rsidRPr="009E6F22" w:rsidRDefault="000F1BA0" w:rsidP="00706321">
            <w:pPr>
              <w:pStyle w:val="ListNumber"/>
              <w:numPr>
                <w:ilvl w:val="0"/>
                <w:numId w:val="0"/>
              </w:numPr>
              <w:spacing w:after="0"/>
              <w:rPr>
                <w:rFonts w:ascii="Arial" w:hAnsi="Arial" w:cs="Arial"/>
                <w:b w:val="0"/>
              </w:rPr>
            </w:pPr>
            <w:r w:rsidRPr="009E6F22">
              <w:rPr>
                <w:rFonts w:ascii="Arial" w:hAnsi="Arial" w:cs="Arial"/>
              </w:rPr>
              <w:t>Activity</w:t>
            </w:r>
          </w:p>
        </w:tc>
        <w:tc>
          <w:tcPr>
            <w:tcW w:w="10915" w:type="dxa"/>
            <w:gridSpan w:val="2"/>
          </w:tcPr>
          <w:p w:rsidR="000F1BA0" w:rsidRPr="009E6F22" w:rsidRDefault="000F1BA0" w:rsidP="00706321">
            <w:pPr>
              <w:pStyle w:val="ListNumber"/>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rPr>
            </w:pPr>
            <w:r w:rsidRPr="009E6F22">
              <w:rPr>
                <w:rFonts w:ascii="Arial" w:hAnsi="Arial" w:cs="Arial"/>
                <w:b/>
              </w:rPr>
              <w:t>Description</w:t>
            </w:r>
          </w:p>
        </w:tc>
      </w:tr>
      <w:tr w:rsidR="000233AF" w:rsidRPr="009E6F22" w:rsidTr="00D25D56">
        <w:trPr>
          <w:trHeight w:val="416"/>
        </w:trPr>
        <w:tc>
          <w:tcPr>
            <w:cnfStyle w:val="001000000000" w:firstRow="0" w:lastRow="0" w:firstColumn="1" w:lastColumn="0" w:oddVBand="0" w:evenVBand="0" w:oddHBand="0" w:evenHBand="0" w:firstRowFirstColumn="0" w:firstRowLastColumn="0" w:lastRowFirstColumn="0" w:lastRowLastColumn="0"/>
            <w:tcW w:w="3430" w:type="dxa"/>
            <w:gridSpan w:val="2"/>
          </w:tcPr>
          <w:p w:rsidR="000233AF" w:rsidRPr="009E6F22" w:rsidRDefault="00887D59" w:rsidP="00706321">
            <w:pPr>
              <w:rPr>
                <w:rFonts w:ascii="Arial" w:hAnsi="Arial" w:cs="Arial"/>
              </w:rPr>
            </w:pPr>
            <w:r>
              <w:rPr>
                <w:rFonts w:ascii="Arial" w:hAnsi="Arial" w:cs="Arial"/>
              </w:rPr>
              <w:t xml:space="preserve">Professional Development - </w:t>
            </w:r>
            <w:r w:rsidR="000233AF" w:rsidRPr="009E6F22">
              <w:rPr>
                <w:rFonts w:ascii="Arial" w:hAnsi="Arial" w:cs="Arial"/>
              </w:rPr>
              <w:t>Disadvantaged Student Learning Strategies</w:t>
            </w:r>
          </w:p>
        </w:tc>
        <w:tc>
          <w:tcPr>
            <w:tcW w:w="10882" w:type="dxa"/>
          </w:tcPr>
          <w:p w:rsidR="000233AF" w:rsidRPr="009E6F22" w:rsidRDefault="000233AF" w:rsidP="00706321">
            <w:pPr>
              <w:cnfStyle w:val="000000000000" w:firstRow="0" w:lastRow="0" w:firstColumn="0" w:lastColumn="0" w:oddVBand="0" w:evenVBand="0" w:oddHBand="0" w:evenHBand="0" w:firstRowFirstColumn="0" w:firstRowLastColumn="0" w:lastRowFirstColumn="0" w:lastRowLastColumn="0"/>
              <w:rPr>
                <w:rFonts w:ascii="Arial" w:hAnsi="Arial" w:cs="Arial"/>
                <w:lang w:val="en"/>
              </w:rPr>
            </w:pPr>
            <w:r w:rsidRPr="009E6F22">
              <w:rPr>
                <w:rFonts w:ascii="Arial" w:hAnsi="Arial" w:cs="Arial"/>
                <w:lang w:val="en"/>
              </w:rPr>
              <w:t xml:space="preserve">Advice and professional development for university staff engaged in teaching students from equity groups.  </w:t>
            </w:r>
            <w:r w:rsidRPr="009E6F22">
              <w:rPr>
                <w:rFonts w:ascii="Arial" w:eastAsia="Times New Roman" w:hAnsi="Arial" w:cs="Arial"/>
                <w:color w:val="000000"/>
              </w:rPr>
              <w:t>Focus on understanding distinctive student learning attributes, adaptations of teaching and assessment methods, curriculum implications and identification of students at risk.</w:t>
            </w:r>
          </w:p>
        </w:tc>
      </w:tr>
      <w:tr w:rsidR="006A3AC0" w:rsidRPr="009E6F22" w:rsidTr="00D25D56">
        <w:trPr>
          <w:trHeight w:val="416"/>
        </w:trPr>
        <w:tc>
          <w:tcPr>
            <w:cnfStyle w:val="001000000000" w:firstRow="0" w:lastRow="0" w:firstColumn="1" w:lastColumn="0" w:oddVBand="0" w:evenVBand="0" w:oddHBand="0" w:evenHBand="0" w:firstRowFirstColumn="0" w:firstRowLastColumn="0" w:lastRowFirstColumn="0" w:lastRowLastColumn="0"/>
            <w:tcW w:w="3430" w:type="dxa"/>
            <w:gridSpan w:val="2"/>
          </w:tcPr>
          <w:p w:rsidR="006A3AC0" w:rsidRPr="009E6F22" w:rsidRDefault="00D971E1" w:rsidP="00706321">
            <w:pPr>
              <w:rPr>
                <w:rFonts w:ascii="Arial" w:hAnsi="Arial" w:cs="Arial"/>
              </w:rPr>
            </w:pPr>
            <w:r w:rsidRPr="009E6F22">
              <w:rPr>
                <w:rFonts w:ascii="Arial" w:hAnsi="Arial" w:cs="Arial"/>
              </w:rPr>
              <w:t>Transition to Professional Identity</w:t>
            </w:r>
          </w:p>
          <w:p w:rsidR="006E44CA" w:rsidRPr="009E6F22" w:rsidRDefault="00D971E1" w:rsidP="00706321">
            <w:pPr>
              <w:rPr>
                <w:rFonts w:ascii="Arial" w:hAnsi="Arial" w:cs="Arial"/>
              </w:rPr>
            </w:pPr>
            <w:r w:rsidRPr="009E6F22">
              <w:rPr>
                <w:rFonts w:ascii="Arial" w:hAnsi="Arial" w:cs="Arial"/>
              </w:rPr>
              <w:t>Careers and Employability Service</w:t>
            </w:r>
          </w:p>
          <w:p w:rsidR="00D971E1" w:rsidRPr="009E6F22" w:rsidRDefault="005C540E" w:rsidP="00706321">
            <w:pPr>
              <w:rPr>
                <w:rFonts w:ascii="Arial" w:hAnsi="Arial" w:cs="Arial"/>
              </w:rPr>
            </w:pPr>
            <w:r w:rsidRPr="009E6F22">
              <w:rPr>
                <w:rFonts w:ascii="Arial" w:hAnsi="Arial" w:cs="Arial"/>
              </w:rPr>
              <w:t>Workplace Integrated Learning</w:t>
            </w:r>
          </w:p>
        </w:tc>
        <w:tc>
          <w:tcPr>
            <w:tcW w:w="10882" w:type="dxa"/>
          </w:tcPr>
          <w:p w:rsidR="006A3AC0" w:rsidRPr="009E6F22" w:rsidRDefault="006A3AC0" w:rsidP="0070632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E6F22">
              <w:rPr>
                <w:rFonts w:ascii="Arial" w:hAnsi="Arial" w:cs="Arial"/>
              </w:rPr>
              <w:t xml:space="preserve">Programs to focus on </w:t>
            </w:r>
            <w:r w:rsidR="00D971E1" w:rsidRPr="009E6F22">
              <w:rPr>
                <w:rFonts w:ascii="Arial" w:hAnsi="Arial" w:cs="Arial"/>
              </w:rPr>
              <w:t>building employability skills</w:t>
            </w:r>
            <w:r w:rsidRPr="009E6F22">
              <w:rPr>
                <w:rFonts w:ascii="Arial" w:hAnsi="Arial" w:cs="Arial"/>
              </w:rPr>
              <w:t xml:space="preserve"> </w:t>
            </w:r>
            <w:r w:rsidR="004E2867">
              <w:rPr>
                <w:rFonts w:ascii="Arial" w:hAnsi="Arial" w:cs="Arial"/>
              </w:rPr>
              <w:t xml:space="preserve">and graduate employment rates </w:t>
            </w:r>
            <w:r w:rsidRPr="009E6F22">
              <w:rPr>
                <w:rFonts w:ascii="Arial" w:hAnsi="Arial" w:cs="Arial"/>
              </w:rPr>
              <w:t>for students from equity groups to a</w:t>
            </w:r>
            <w:r w:rsidR="00C518AE">
              <w:rPr>
                <w:rFonts w:ascii="Arial" w:hAnsi="Arial" w:cs="Arial"/>
              </w:rPr>
              <w:t>ssist in their transition from u</w:t>
            </w:r>
            <w:r w:rsidRPr="009E6F22">
              <w:rPr>
                <w:rFonts w:ascii="Arial" w:hAnsi="Arial" w:cs="Arial"/>
              </w:rPr>
              <w:t xml:space="preserve">niversity to employment.  Utilising mentoring, industry engagement sessions, professional development and work </w:t>
            </w:r>
            <w:r w:rsidR="00D971E1" w:rsidRPr="009E6F22">
              <w:rPr>
                <w:rFonts w:ascii="Arial" w:hAnsi="Arial" w:cs="Arial"/>
              </w:rPr>
              <w:t>place experiences</w:t>
            </w:r>
            <w:r w:rsidRPr="009E6F22">
              <w:rPr>
                <w:rFonts w:ascii="Arial" w:hAnsi="Arial" w:cs="Arial"/>
              </w:rPr>
              <w:t xml:space="preserve">. </w:t>
            </w:r>
            <w:r w:rsidR="00D971E1" w:rsidRPr="009E6F22">
              <w:rPr>
                <w:rFonts w:ascii="Arial" w:hAnsi="Arial" w:cs="Arial"/>
              </w:rPr>
              <w:t>Career Hub, an online portal, provides 24/7 access to services and resources.</w:t>
            </w:r>
            <w:r w:rsidRPr="009E6F22">
              <w:rPr>
                <w:rFonts w:ascii="Arial" w:hAnsi="Arial" w:cs="Arial"/>
              </w:rPr>
              <w:t xml:space="preserve"> </w:t>
            </w:r>
            <w:r w:rsidR="00C518AE">
              <w:rPr>
                <w:rFonts w:ascii="Arial" w:hAnsi="Arial" w:cs="Arial"/>
              </w:rPr>
              <w:t>The U</w:t>
            </w:r>
            <w:r w:rsidR="004E2867">
              <w:rPr>
                <w:rFonts w:ascii="Arial" w:hAnsi="Arial" w:cs="Arial"/>
              </w:rPr>
              <w:t>niversity is increasing the number of</w:t>
            </w:r>
            <w:r w:rsidR="005C540E" w:rsidRPr="009E6F22">
              <w:rPr>
                <w:rFonts w:ascii="Arial" w:hAnsi="Arial" w:cs="Arial"/>
              </w:rPr>
              <w:t xml:space="preserve"> workplace integrated learning</w:t>
            </w:r>
            <w:r w:rsidR="004E2867">
              <w:rPr>
                <w:rFonts w:ascii="Arial" w:hAnsi="Arial" w:cs="Arial"/>
              </w:rPr>
              <w:t xml:space="preserve"> (WIL) opportunities</w:t>
            </w:r>
            <w:r w:rsidR="006E44CA" w:rsidRPr="009E6F22">
              <w:rPr>
                <w:rFonts w:ascii="Arial" w:hAnsi="Arial" w:cs="Arial"/>
              </w:rPr>
              <w:t xml:space="preserve"> in a range of qualifications</w:t>
            </w:r>
            <w:r w:rsidR="009314B4" w:rsidRPr="009E6F22">
              <w:rPr>
                <w:rFonts w:ascii="Arial" w:hAnsi="Arial" w:cs="Arial"/>
              </w:rPr>
              <w:t>.</w:t>
            </w:r>
          </w:p>
        </w:tc>
      </w:tr>
    </w:tbl>
    <w:p w:rsidR="000F1BA0" w:rsidRPr="009E6F22" w:rsidRDefault="000F1BA0" w:rsidP="00706321">
      <w:pPr>
        <w:pStyle w:val="ListNumber"/>
        <w:numPr>
          <w:ilvl w:val="0"/>
          <w:numId w:val="0"/>
        </w:numPr>
        <w:spacing w:after="0" w:line="240" w:lineRule="auto"/>
        <w:rPr>
          <w:rFonts w:ascii="Arial" w:hAnsi="Arial" w:cs="Arial"/>
        </w:rPr>
      </w:pPr>
    </w:p>
    <w:p w:rsidR="00E75A27" w:rsidRPr="009E6F22" w:rsidRDefault="00E75A27" w:rsidP="00706321">
      <w:pPr>
        <w:pStyle w:val="ListNumber"/>
        <w:numPr>
          <w:ilvl w:val="0"/>
          <w:numId w:val="27"/>
        </w:numPr>
        <w:spacing w:after="0" w:line="240" w:lineRule="auto"/>
        <w:rPr>
          <w:rFonts w:ascii="Arial" w:hAnsi="Arial" w:cs="Arial"/>
        </w:rPr>
      </w:pPr>
      <w:r w:rsidRPr="009E6F22">
        <w:rPr>
          <w:rFonts w:ascii="Arial" w:hAnsi="Arial" w:cs="Arial"/>
          <w:b/>
        </w:rPr>
        <w:t>Evaluation</w:t>
      </w:r>
      <w:r w:rsidRPr="009E6F22">
        <w:rPr>
          <w:rFonts w:ascii="Arial" w:hAnsi="Arial" w:cs="Arial"/>
        </w:rPr>
        <w:t>: how the university plans to evaluate the effectiveness of the equity strategies.</w:t>
      </w:r>
    </w:p>
    <w:p w:rsidR="00A728C7" w:rsidRPr="009E6F22" w:rsidRDefault="00A728C7" w:rsidP="00A728C7">
      <w:pPr>
        <w:pStyle w:val="ListNumber"/>
        <w:numPr>
          <w:ilvl w:val="0"/>
          <w:numId w:val="0"/>
        </w:numPr>
        <w:spacing w:after="0" w:line="240" w:lineRule="auto"/>
        <w:rPr>
          <w:rFonts w:ascii="Arial" w:hAnsi="Arial" w:cs="Arial"/>
        </w:rPr>
      </w:pPr>
    </w:p>
    <w:p w:rsidR="00654C7C" w:rsidRDefault="00654C7C" w:rsidP="00706321">
      <w:pPr>
        <w:spacing w:after="0" w:line="240" w:lineRule="auto"/>
        <w:rPr>
          <w:rFonts w:ascii="Arial" w:hAnsi="Arial" w:cs="Arial"/>
        </w:rPr>
      </w:pPr>
      <w:r w:rsidRPr="009E6F22">
        <w:rPr>
          <w:rFonts w:ascii="Arial" w:hAnsi="Arial" w:cs="Arial"/>
        </w:rPr>
        <w:t>Institutional enrolment and planning data will be used to measure progress against targets a</w:t>
      </w:r>
      <w:r w:rsidR="00B26FE2">
        <w:rPr>
          <w:rFonts w:ascii="Arial" w:hAnsi="Arial" w:cs="Arial"/>
        </w:rPr>
        <w:t>nd to aid in the development of</w:t>
      </w:r>
      <w:r w:rsidR="00312D40">
        <w:rPr>
          <w:rFonts w:ascii="Arial" w:hAnsi="Arial" w:cs="Arial"/>
        </w:rPr>
        <w:t xml:space="preserve"> </w:t>
      </w:r>
      <w:r w:rsidRPr="009E6F22">
        <w:rPr>
          <w:rFonts w:ascii="Arial" w:hAnsi="Arial" w:cs="Arial"/>
        </w:rPr>
        <w:t>widening participation initiatives.</w:t>
      </w:r>
    </w:p>
    <w:p w:rsidR="00B26FE2" w:rsidRPr="009E6F22" w:rsidRDefault="00B26FE2" w:rsidP="00706321">
      <w:pPr>
        <w:spacing w:after="0" w:line="240" w:lineRule="auto"/>
        <w:rPr>
          <w:rFonts w:ascii="Arial" w:hAnsi="Arial" w:cs="Arial"/>
        </w:rPr>
      </w:pPr>
    </w:p>
    <w:p w:rsidR="00654C7C" w:rsidRPr="009E6F22" w:rsidRDefault="00654C7C" w:rsidP="00706321">
      <w:pPr>
        <w:spacing w:after="0" w:line="240" w:lineRule="auto"/>
        <w:rPr>
          <w:rFonts w:ascii="Arial" w:hAnsi="Arial" w:cs="Arial"/>
        </w:rPr>
      </w:pPr>
      <w:r w:rsidRPr="009E6F22">
        <w:rPr>
          <w:rFonts w:ascii="Arial" w:hAnsi="Arial" w:cs="Arial"/>
        </w:rPr>
        <w:t>The University program evaluation includes:</w:t>
      </w:r>
    </w:p>
    <w:p w:rsidR="00654C7C" w:rsidRPr="009E6F22" w:rsidRDefault="00654C7C" w:rsidP="00706321">
      <w:pPr>
        <w:pStyle w:val="ListParagraph"/>
        <w:numPr>
          <w:ilvl w:val="0"/>
          <w:numId w:val="34"/>
        </w:numPr>
        <w:spacing w:after="0" w:line="240" w:lineRule="auto"/>
        <w:rPr>
          <w:rFonts w:ascii="Arial" w:hAnsi="Arial" w:cs="Arial"/>
        </w:rPr>
      </w:pPr>
      <w:r w:rsidRPr="009E6F22">
        <w:rPr>
          <w:rFonts w:ascii="Arial" w:hAnsi="Arial" w:cs="Arial"/>
        </w:rPr>
        <w:t>individual post program activity evaluation</w:t>
      </w:r>
    </w:p>
    <w:p w:rsidR="00654C7C" w:rsidRPr="00312D40" w:rsidRDefault="00654C7C" w:rsidP="00312D40">
      <w:pPr>
        <w:pStyle w:val="ListParagraph"/>
        <w:numPr>
          <w:ilvl w:val="0"/>
          <w:numId w:val="34"/>
        </w:numPr>
        <w:spacing w:after="0" w:line="240" w:lineRule="auto"/>
        <w:rPr>
          <w:rFonts w:ascii="Arial" w:hAnsi="Arial" w:cs="Arial"/>
        </w:rPr>
      </w:pPr>
      <w:r w:rsidRPr="009E6F22">
        <w:rPr>
          <w:rFonts w:ascii="Arial" w:hAnsi="Arial" w:cs="Arial"/>
        </w:rPr>
        <w:t xml:space="preserve">annual internal reviews of all programs contained in the plan to improve processes and outcomes for students participating </w:t>
      </w:r>
      <w:r w:rsidRPr="00312D40">
        <w:rPr>
          <w:rFonts w:ascii="Arial" w:hAnsi="Arial" w:cs="Arial"/>
        </w:rPr>
        <w:t>in the initiatives</w:t>
      </w:r>
    </w:p>
    <w:p w:rsidR="00654C7C" w:rsidRPr="009E6F22" w:rsidRDefault="00654C7C" w:rsidP="00706321">
      <w:pPr>
        <w:pStyle w:val="ListParagraph"/>
        <w:numPr>
          <w:ilvl w:val="0"/>
          <w:numId w:val="34"/>
        </w:numPr>
        <w:spacing w:after="0" w:line="240" w:lineRule="auto"/>
        <w:rPr>
          <w:rFonts w:ascii="Arial" w:hAnsi="Arial" w:cs="Arial"/>
        </w:rPr>
      </w:pPr>
      <w:r w:rsidRPr="009E6F22">
        <w:rPr>
          <w:rFonts w:ascii="Arial" w:hAnsi="Arial" w:cs="Arial"/>
        </w:rPr>
        <w:t>annual review of HEPP</w:t>
      </w:r>
      <w:r w:rsidR="009314B4" w:rsidRPr="009E6F22">
        <w:rPr>
          <w:rFonts w:ascii="Arial" w:hAnsi="Arial" w:cs="Arial"/>
        </w:rPr>
        <w:t>P</w:t>
      </w:r>
      <w:r w:rsidRPr="009E6F22">
        <w:rPr>
          <w:rFonts w:ascii="Arial" w:hAnsi="Arial" w:cs="Arial"/>
        </w:rPr>
        <w:t xml:space="preserve"> plan against targets </w:t>
      </w:r>
    </w:p>
    <w:p w:rsidR="00A728C7" w:rsidRPr="009E6F22" w:rsidRDefault="00A728C7" w:rsidP="00706321">
      <w:pPr>
        <w:spacing w:after="0" w:line="240" w:lineRule="auto"/>
        <w:rPr>
          <w:rFonts w:ascii="Arial" w:hAnsi="Arial" w:cs="Arial"/>
        </w:rPr>
      </w:pPr>
    </w:p>
    <w:p w:rsidR="00B26FE2" w:rsidRDefault="00654C7C" w:rsidP="00706321">
      <w:pPr>
        <w:spacing w:after="0" w:line="240" w:lineRule="auto"/>
        <w:rPr>
          <w:rFonts w:ascii="Arial" w:hAnsi="Arial" w:cs="Arial"/>
        </w:rPr>
      </w:pPr>
      <w:r w:rsidRPr="009E6F22">
        <w:rPr>
          <w:rFonts w:ascii="Arial" w:hAnsi="Arial" w:cs="Arial"/>
        </w:rPr>
        <w:t xml:space="preserve">Flinders University will use a variety of evaluation data for continuous program improvement including:  Qualitative data; Quantitative Data; </w:t>
      </w:r>
    </w:p>
    <w:p w:rsidR="00654C7C" w:rsidRPr="009E6F22" w:rsidRDefault="00654C7C" w:rsidP="00706321">
      <w:pPr>
        <w:spacing w:after="0" w:line="240" w:lineRule="auto"/>
        <w:rPr>
          <w:rFonts w:ascii="Arial" w:hAnsi="Arial" w:cs="Arial"/>
        </w:rPr>
      </w:pPr>
      <w:r w:rsidRPr="009E6F22">
        <w:rPr>
          <w:rFonts w:ascii="Arial" w:hAnsi="Arial" w:cs="Arial"/>
        </w:rPr>
        <w:t>and Focus group feedback.</w:t>
      </w:r>
    </w:p>
    <w:p w:rsidR="00654C7C" w:rsidRPr="009E6F22" w:rsidRDefault="00654C7C" w:rsidP="00706321">
      <w:pPr>
        <w:pStyle w:val="ListNumber"/>
        <w:numPr>
          <w:ilvl w:val="0"/>
          <w:numId w:val="0"/>
        </w:numPr>
        <w:spacing w:after="0" w:line="240" w:lineRule="auto"/>
        <w:rPr>
          <w:rFonts w:ascii="Arial" w:hAnsi="Arial" w:cs="Arial"/>
        </w:rPr>
      </w:pPr>
    </w:p>
    <w:p w:rsidR="00E75A27" w:rsidRPr="009E6F22" w:rsidRDefault="00E75A27" w:rsidP="00706321">
      <w:pPr>
        <w:pStyle w:val="ListNumber"/>
        <w:numPr>
          <w:ilvl w:val="0"/>
          <w:numId w:val="27"/>
        </w:numPr>
        <w:spacing w:after="0" w:line="240" w:lineRule="auto"/>
        <w:rPr>
          <w:rFonts w:ascii="Arial" w:hAnsi="Arial" w:cs="Arial"/>
        </w:rPr>
      </w:pPr>
      <w:r w:rsidRPr="009E6F22">
        <w:rPr>
          <w:rFonts w:ascii="Arial" w:hAnsi="Arial" w:cs="Arial"/>
          <w:b/>
        </w:rPr>
        <w:t>Partnerships and collaboration</w:t>
      </w:r>
      <w:r w:rsidRPr="009E6F22">
        <w:rPr>
          <w:rFonts w:ascii="Arial" w:hAnsi="Arial" w:cs="Arial"/>
        </w:rPr>
        <w:t>: who the university will partner and collaborate with and how this will improve equity performance</w:t>
      </w:r>
      <w:r w:rsidR="00B00D12" w:rsidRPr="009E6F22">
        <w:rPr>
          <w:rFonts w:ascii="Arial" w:hAnsi="Arial" w:cs="Arial"/>
        </w:rPr>
        <w:t>.</w:t>
      </w:r>
    </w:p>
    <w:p w:rsidR="00DD28AE" w:rsidRPr="009E6F22" w:rsidRDefault="00DD28AE" w:rsidP="00706321">
      <w:pPr>
        <w:pStyle w:val="ListNumber"/>
        <w:numPr>
          <w:ilvl w:val="0"/>
          <w:numId w:val="0"/>
        </w:numPr>
        <w:spacing w:after="0" w:line="240" w:lineRule="auto"/>
        <w:ind w:left="360" w:hanging="360"/>
        <w:rPr>
          <w:rFonts w:ascii="Arial" w:hAnsi="Arial" w:cs="Arial"/>
        </w:rPr>
      </w:pPr>
    </w:p>
    <w:tbl>
      <w:tblPr>
        <w:tblStyle w:val="TableGrid"/>
        <w:tblW w:w="13527" w:type="dxa"/>
        <w:tblInd w:w="360" w:type="dxa"/>
        <w:tblLook w:val="04A0" w:firstRow="1" w:lastRow="0" w:firstColumn="1" w:lastColumn="0" w:noHBand="0" w:noVBand="1"/>
      </w:tblPr>
      <w:tblGrid>
        <w:gridCol w:w="3604"/>
        <w:gridCol w:w="9923"/>
      </w:tblGrid>
      <w:tr w:rsidR="00DD28AE" w:rsidRPr="009E6F22" w:rsidTr="001810EB">
        <w:tc>
          <w:tcPr>
            <w:tcW w:w="3604" w:type="dxa"/>
          </w:tcPr>
          <w:p w:rsidR="00DD28AE" w:rsidRPr="009E6F22" w:rsidRDefault="00DD28AE" w:rsidP="00706321">
            <w:pPr>
              <w:rPr>
                <w:rFonts w:ascii="Arial" w:hAnsi="Arial" w:cs="Arial"/>
              </w:rPr>
            </w:pPr>
            <w:r w:rsidRPr="009E6F22">
              <w:rPr>
                <w:rFonts w:ascii="Arial" w:hAnsi="Arial" w:cs="Arial"/>
              </w:rPr>
              <w:t>Partner</w:t>
            </w:r>
          </w:p>
        </w:tc>
        <w:tc>
          <w:tcPr>
            <w:tcW w:w="9923" w:type="dxa"/>
          </w:tcPr>
          <w:p w:rsidR="00DD28AE" w:rsidRPr="009E6F22" w:rsidRDefault="00DD28AE" w:rsidP="00706321">
            <w:pPr>
              <w:pStyle w:val="ListNumber"/>
              <w:numPr>
                <w:ilvl w:val="0"/>
                <w:numId w:val="0"/>
              </w:numPr>
              <w:spacing w:after="0"/>
              <w:rPr>
                <w:rFonts w:ascii="Arial" w:hAnsi="Arial" w:cs="Arial"/>
              </w:rPr>
            </w:pPr>
            <w:r w:rsidRPr="009E6F22">
              <w:rPr>
                <w:rFonts w:ascii="Arial" w:hAnsi="Arial" w:cs="Arial"/>
              </w:rPr>
              <w:t>Activity</w:t>
            </w:r>
          </w:p>
        </w:tc>
      </w:tr>
      <w:tr w:rsidR="00DD28AE" w:rsidRPr="009E6F22" w:rsidTr="001810EB">
        <w:tc>
          <w:tcPr>
            <w:tcW w:w="3604" w:type="dxa"/>
          </w:tcPr>
          <w:p w:rsidR="00DD28AE" w:rsidRPr="009E6F22" w:rsidRDefault="00DD28AE" w:rsidP="00706321">
            <w:pPr>
              <w:rPr>
                <w:rFonts w:ascii="Arial" w:hAnsi="Arial" w:cs="Arial"/>
              </w:rPr>
            </w:pPr>
            <w:r w:rsidRPr="009E6F22">
              <w:rPr>
                <w:rFonts w:ascii="Arial" w:hAnsi="Arial" w:cs="Arial"/>
              </w:rPr>
              <w:t>South Australian Department for Education and Child Development (DECD)</w:t>
            </w:r>
          </w:p>
        </w:tc>
        <w:tc>
          <w:tcPr>
            <w:tcW w:w="9923" w:type="dxa"/>
          </w:tcPr>
          <w:p w:rsidR="009314B4" w:rsidRPr="009E6F22" w:rsidRDefault="000233AF" w:rsidP="00706321">
            <w:pPr>
              <w:pStyle w:val="ListNumber"/>
              <w:numPr>
                <w:ilvl w:val="0"/>
                <w:numId w:val="0"/>
              </w:numPr>
              <w:spacing w:after="0"/>
              <w:rPr>
                <w:rFonts w:ascii="Arial" w:hAnsi="Arial" w:cs="Arial"/>
              </w:rPr>
            </w:pPr>
            <w:r w:rsidRPr="009E6F22">
              <w:rPr>
                <w:rFonts w:ascii="Arial" w:hAnsi="Arial" w:cs="Arial"/>
              </w:rPr>
              <w:t xml:space="preserve">Target </w:t>
            </w:r>
            <w:r w:rsidR="006E44CA" w:rsidRPr="009E6F22">
              <w:rPr>
                <w:rFonts w:ascii="Arial" w:hAnsi="Arial" w:cs="Arial"/>
              </w:rPr>
              <w:t xml:space="preserve">low SES </w:t>
            </w:r>
            <w:r w:rsidRPr="009E6F22">
              <w:rPr>
                <w:rFonts w:ascii="Arial" w:hAnsi="Arial" w:cs="Arial"/>
              </w:rPr>
              <w:t>schools within the</w:t>
            </w:r>
            <w:r w:rsidR="009314B4" w:rsidRPr="009E6F22">
              <w:rPr>
                <w:rFonts w:ascii="Arial" w:hAnsi="Arial" w:cs="Arial"/>
              </w:rPr>
              <w:t xml:space="preserve"> DECD network and work with </w:t>
            </w:r>
            <w:r w:rsidR="00A728C7" w:rsidRPr="009E6F22">
              <w:rPr>
                <w:rFonts w:ascii="Arial" w:hAnsi="Arial" w:cs="Arial"/>
              </w:rPr>
              <w:t xml:space="preserve">DECD, </w:t>
            </w:r>
            <w:r w:rsidR="009314B4" w:rsidRPr="009E6F22">
              <w:rPr>
                <w:rFonts w:ascii="Arial" w:hAnsi="Arial" w:cs="Arial"/>
              </w:rPr>
              <w:t>understand their strategic directions and act</w:t>
            </w:r>
            <w:r w:rsidR="00A728C7" w:rsidRPr="009E6F22">
              <w:rPr>
                <w:rFonts w:ascii="Arial" w:hAnsi="Arial" w:cs="Arial"/>
              </w:rPr>
              <w:t xml:space="preserve"> within </w:t>
            </w:r>
            <w:r w:rsidR="009314B4" w:rsidRPr="009E6F22">
              <w:rPr>
                <w:rFonts w:ascii="Arial" w:hAnsi="Arial" w:cs="Arial"/>
              </w:rPr>
              <w:t>policy guidelines</w:t>
            </w:r>
            <w:r w:rsidR="00A728C7" w:rsidRPr="009E6F22">
              <w:rPr>
                <w:rFonts w:ascii="Arial" w:hAnsi="Arial" w:cs="Arial"/>
              </w:rPr>
              <w:t>.</w:t>
            </w:r>
          </w:p>
          <w:p w:rsidR="009314B4" w:rsidRPr="009E6F22" w:rsidRDefault="00A728C7" w:rsidP="00706321">
            <w:pPr>
              <w:pStyle w:val="ListNumber"/>
              <w:numPr>
                <w:ilvl w:val="0"/>
                <w:numId w:val="0"/>
              </w:numPr>
              <w:spacing w:after="0"/>
              <w:rPr>
                <w:rFonts w:ascii="Arial" w:hAnsi="Arial" w:cs="Arial"/>
              </w:rPr>
            </w:pPr>
            <w:r w:rsidRPr="009E6F22">
              <w:rPr>
                <w:rFonts w:ascii="Arial" w:hAnsi="Arial" w:cs="Arial"/>
              </w:rPr>
              <w:t>University e</w:t>
            </w:r>
            <w:r w:rsidR="009314B4" w:rsidRPr="009E6F22">
              <w:rPr>
                <w:rFonts w:ascii="Arial" w:hAnsi="Arial" w:cs="Arial"/>
              </w:rPr>
              <w:t xml:space="preserve">xperience days, Enrichment program, uniTEST, Inspire Mentoring (Face to Face and e-Mentoring), career development sessions, Science and Maths Academy and The River Journey. </w:t>
            </w:r>
          </w:p>
        </w:tc>
      </w:tr>
      <w:tr w:rsidR="000233AF" w:rsidRPr="009E6F22" w:rsidTr="001810EB">
        <w:tc>
          <w:tcPr>
            <w:tcW w:w="3604" w:type="dxa"/>
          </w:tcPr>
          <w:p w:rsidR="000233AF" w:rsidRPr="009E6F22" w:rsidRDefault="000233AF" w:rsidP="00706321">
            <w:pPr>
              <w:rPr>
                <w:rFonts w:ascii="Arial" w:hAnsi="Arial" w:cs="Arial"/>
              </w:rPr>
            </w:pPr>
            <w:r w:rsidRPr="009E6F22">
              <w:rPr>
                <w:rFonts w:ascii="Arial" w:hAnsi="Arial" w:cs="Arial"/>
              </w:rPr>
              <w:t>TAFE SA</w:t>
            </w:r>
          </w:p>
        </w:tc>
        <w:tc>
          <w:tcPr>
            <w:tcW w:w="9923" w:type="dxa"/>
          </w:tcPr>
          <w:p w:rsidR="009314B4" w:rsidRPr="009E6F22" w:rsidRDefault="000233AF" w:rsidP="00706321">
            <w:pPr>
              <w:pStyle w:val="ListNumber"/>
              <w:numPr>
                <w:ilvl w:val="0"/>
                <w:numId w:val="0"/>
              </w:numPr>
              <w:spacing w:after="0"/>
              <w:rPr>
                <w:rFonts w:ascii="Arial" w:hAnsi="Arial" w:cs="Arial"/>
              </w:rPr>
            </w:pPr>
            <w:r w:rsidRPr="009E6F22">
              <w:rPr>
                <w:rFonts w:ascii="Arial" w:hAnsi="Arial" w:cs="Arial"/>
              </w:rPr>
              <w:t xml:space="preserve">Extend pathways and widen participation through the continued development of credit transfer, dual offers and dual awards </w:t>
            </w:r>
            <w:r w:rsidR="006E44CA" w:rsidRPr="009E6F22">
              <w:rPr>
                <w:rFonts w:ascii="Arial" w:hAnsi="Arial" w:cs="Arial"/>
              </w:rPr>
              <w:t>with TAFE SA. Extending reach and opportunities</w:t>
            </w:r>
            <w:r w:rsidRPr="009E6F22">
              <w:rPr>
                <w:rFonts w:ascii="Arial" w:hAnsi="Arial" w:cs="Arial"/>
              </w:rPr>
              <w:t xml:space="preserve"> to higher education for VET</w:t>
            </w:r>
            <w:r w:rsidR="009314B4" w:rsidRPr="009E6F22">
              <w:rPr>
                <w:rFonts w:ascii="Arial" w:hAnsi="Arial" w:cs="Arial"/>
              </w:rPr>
              <w:t xml:space="preserve"> students. Particular focus on low SES metropolitan regions</w:t>
            </w:r>
            <w:r w:rsidR="00BF2212" w:rsidRPr="009E6F22">
              <w:rPr>
                <w:rFonts w:ascii="Arial" w:hAnsi="Arial" w:cs="Arial"/>
              </w:rPr>
              <w:t xml:space="preserve">, </w:t>
            </w:r>
            <w:r w:rsidR="009314B4" w:rsidRPr="009E6F22">
              <w:rPr>
                <w:rFonts w:ascii="Arial" w:hAnsi="Arial" w:cs="Arial"/>
              </w:rPr>
              <w:t>and rural and remote locations across South Australia.</w:t>
            </w:r>
          </w:p>
        </w:tc>
      </w:tr>
      <w:tr w:rsidR="000233AF" w:rsidRPr="009E6F22" w:rsidTr="001810EB">
        <w:tc>
          <w:tcPr>
            <w:tcW w:w="3604" w:type="dxa"/>
          </w:tcPr>
          <w:p w:rsidR="000233AF" w:rsidRPr="009E6F22" w:rsidRDefault="000233AF" w:rsidP="00706321">
            <w:pPr>
              <w:rPr>
                <w:rFonts w:ascii="Arial" w:hAnsi="Arial" w:cs="Arial"/>
              </w:rPr>
            </w:pPr>
            <w:r w:rsidRPr="009E6F22">
              <w:rPr>
                <w:rFonts w:ascii="Arial" w:hAnsi="Arial" w:cs="Arial"/>
              </w:rPr>
              <w:t>The Smith Family</w:t>
            </w:r>
          </w:p>
        </w:tc>
        <w:tc>
          <w:tcPr>
            <w:tcW w:w="9923" w:type="dxa"/>
          </w:tcPr>
          <w:p w:rsidR="000233AF" w:rsidRPr="009E6F22" w:rsidRDefault="009314B4" w:rsidP="00706321">
            <w:pPr>
              <w:rPr>
                <w:rFonts w:ascii="Arial" w:hAnsi="Arial" w:cs="Arial"/>
              </w:rPr>
            </w:pPr>
            <w:r w:rsidRPr="009E6F22">
              <w:rPr>
                <w:rFonts w:ascii="Arial" w:hAnsi="Arial" w:cs="Arial"/>
              </w:rPr>
              <w:t>Provision of mentoring support for students, university campus experiences and scholarship support for current university students.</w:t>
            </w:r>
            <w:r w:rsidR="00A728C7" w:rsidRPr="009E6F22">
              <w:rPr>
                <w:rFonts w:ascii="Arial" w:hAnsi="Arial" w:cs="Arial"/>
              </w:rPr>
              <w:t xml:space="preserve"> Connecting with The Smith Family Learning for Life program and study clubs.</w:t>
            </w:r>
          </w:p>
        </w:tc>
      </w:tr>
      <w:tr w:rsidR="009314B4" w:rsidRPr="009E6F22" w:rsidTr="001810EB">
        <w:tc>
          <w:tcPr>
            <w:tcW w:w="3604" w:type="dxa"/>
          </w:tcPr>
          <w:p w:rsidR="009314B4" w:rsidRPr="009E6F22" w:rsidRDefault="009E6F22" w:rsidP="00706321">
            <w:pPr>
              <w:rPr>
                <w:rFonts w:ascii="Arial" w:hAnsi="Arial" w:cs="Arial"/>
              </w:rPr>
            </w:pPr>
            <w:r>
              <w:rPr>
                <w:rFonts w:ascii="Arial" w:hAnsi="Arial" w:cs="Arial"/>
              </w:rPr>
              <w:t>AFL Sports Ready</w:t>
            </w:r>
          </w:p>
        </w:tc>
        <w:tc>
          <w:tcPr>
            <w:tcW w:w="9923" w:type="dxa"/>
          </w:tcPr>
          <w:p w:rsidR="009314B4" w:rsidRPr="009E6F22" w:rsidRDefault="009314B4" w:rsidP="00706321">
            <w:pPr>
              <w:rPr>
                <w:rFonts w:ascii="Arial" w:hAnsi="Arial" w:cs="Arial"/>
              </w:rPr>
            </w:pPr>
            <w:r w:rsidRPr="009E6F22">
              <w:rPr>
                <w:rFonts w:ascii="Arial" w:hAnsi="Arial" w:cs="Arial"/>
              </w:rPr>
              <w:t>University awareness presentations, guaranteed entry pathways, credit transfer arrangements and university experience days.  Focus pathways for Indigenous/low SES students.</w:t>
            </w:r>
          </w:p>
        </w:tc>
      </w:tr>
      <w:tr w:rsidR="009314B4" w:rsidRPr="009E6F22" w:rsidTr="001810EB">
        <w:tc>
          <w:tcPr>
            <w:tcW w:w="3604" w:type="dxa"/>
          </w:tcPr>
          <w:p w:rsidR="009314B4" w:rsidRPr="009E6F22" w:rsidRDefault="009314B4" w:rsidP="00706321">
            <w:pPr>
              <w:rPr>
                <w:rFonts w:ascii="Arial" w:hAnsi="Arial" w:cs="Arial"/>
              </w:rPr>
            </w:pPr>
            <w:r w:rsidRPr="009E6F22">
              <w:rPr>
                <w:rFonts w:ascii="Arial" w:hAnsi="Arial" w:cs="Arial"/>
              </w:rPr>
              <w:t>Catholic Education South Australia</w:t>
            </w:r>
          </w:p>
        </w:tc>
        <w:tc>
          <w:tcPr>
            <w:tcW w:w="9923" w:type="dxa"/>
          </w:tcPr>
          <w:p w:rsidR="009314B4" w:rsidRPr="009E6F22" w:rsidRDefault="009314B4" w:rsidP="00706321">
            <w:pPr>
              <w:rPr>
                <w:rFonts w:ascii="Arial" w:hAnsi="Arial" w:cs="Arial"/>
              </w:rPr>
            </w:pPr>
            <w:r w:rsidRPr="009E6F22">
              <w:rPr>
                <w:rFonts w:ascii="Arial" w:hAnsi="Arial" w:cs="Arial"/>
              </w:rPr>
              <w:t xml:space="preserve">University experience days, Enrichment program, uniTEST, Inspire Mentoring (Face to Face and e-Mentoring), career development sessions, Science and Maths Academy and The River Journey. </w:t>
            </w:r>
            <w:r w:rsidR="00BF2212" w:rsidRPr="009E6F22">
              <w:rPr>
                <w:rFonts w:ascii="Arial" w:hAnsi="Arial" w:cs="Arial"/>
              </w:rPr>
              <w:t xml:space="preserve">Particular focus on low SES metropolitan </w:t>
            </w:r>
            <w:r w:rsidR="00A65AFB" w:rsidRPr="009E6F22">
              <w:rPr>
                <w:rFonts w:ascii="Arial" w:hAnsi="Arial" w:cs="Arial"/>
              </w:rPr>
              <w:t>regions, and</w:t>
            </w:r>
            <w:r w:rsidR="00BF2212" w:rsidRPr="009E6F22">
              <w:rPr>
                <w:rFonts w:ascii="Arial" w:hAnsi="Arial" w:cs="Arial"/>
              </w:rPr>
              <w:t xml:space="preserve"> rural and remote locations across South Australia.</w:t>
            </w:r>
          </w:p>
        </w:tc>
      </w:tr>
      <w:tr w:rsidR="009314B4" w:rsidRPr="009E6F22" w:rsidTr="001810EB">
        <w:tc>
          <w:tcPr>
            <w:tcW w:w="3604" w:type="dxa"/>
          </w:tcPr>
          <w:p w:rsidR="009314B4" w:rsidRPr="009E6F22" w:rsidRDefault="009314B4" w:rsidP="00706321">
            <w:pPr>
              <w:rPr>
                <w:rFonts w:ascii="Arial" w:hAnsi="Arial" w:cs="Arial"/>
              </w:rPr>
            </w:pPr>
            <w:r w:rsidRPr="009E6F22">
              <w:rPr>
                <w:rFonts w:ascii="Arial" w:hAnsi="Arial" w:cs="Arial"/>
              </w:rPr>
              <w:t xml:space="preserve">Southern Adelaide &amp; </w:t>
            </w:r>
            <w:proofErr w:type="spellStart"/>
            <w:r w:rsidRPr="009E6F22">
              <w:rPr>
                <w:rFonts w:ascii="Arial" w:hAnsi="Arial" w:cs="Arial"/>
              </w:rPr>
              <w:t>Fleurieu</w:t>
            </w:r>
            <w:proofErr w:type="spellEnd"/>
            <w:r w:rsidRPr="009E6F22">
              <w:rPr>
                <w:rFonts w:ascii="Arial" w:hAnsi="Arial" w:cs="Arial"/>
              </w:rPr>
              <w:t xml:space="preserve"> Secondary Schools Alliance (SAFSTA) and the Community Education Partnership.</w:t>
            </w:r>
          </w:p>
          <w:p w:rsidR="009314B4" w:rsidRPr="009E6F22" w:rsidRDefault="009314B4" w:rsidP="00706321">
            <w:pPr>
              <w:rPr>
                <w:rFonts w:ascii="Arial" w:hAnsi="Arial" w:cs="Arial"/>
              </w:rPr>
            </w:pPr>
            <w:r w:rsidRPr="009E6F22">
              <w:rPr>
                <w:rFonts w:ascii="Arial" w:hAnsi="Arial" w:cs="Arial"/>
              </w:rPr>
              <w:t>Northern Adelaide State Secondary School Alliance.</w:t>
            </w:r>
          </w:p>
          <w:p w:rsidR="009314B4" w:rsidRPr="009E6F22" w:rsidRDefault="009314B4" w:rsidP="00706321">
            <w:pPr>
              <w:rPr>
                <w:rFonts w:ascii="Arial" w:hAnsi="Arial" w:cs="Arial"/>
              </w:rPr>
            </w:pPr>
            <w:r w:rsidRPr="009E6F22">
              <w:rPr>
                <w:rFonts w:ascii="Arial" w:hAnsi="Arial" w:cs="Arial"/>
              </w:rPr>
              <w:t>Western Adelaide Secondary School Network.</w:t>
            </w:r>
          </w:p>
        </w:tc>
        <w:tc>
          <w:tcPr>
            <w:tcW w:w="9923" w:type="dxa"/>
          </w:tcPr>
          <w:p w:rsidR="009314B4" w:rsidRPr="009E6F22" w:rsidRDefault="009314B4" w:rsidP="00706321">
            <w:pPr>
              <w:rPr>
                <w:rFonts w:ascii="Arial" w:hAnsi="Arial" w:cs="Arial"/>
              </w:rPr>
            </w:pPr>
            <w:r w:rsidRPr="009E6F22">
              <w:rPr>
                <w:rFonts w:ascii="Arial" w:hAnsi="Arial" w:cs="Arial"/>
              </w:rPr>
              <w:t xml:space="preserve">Collaboration </w:t>
            </w:r>
            <w:r w:rsidR="00BF2212" w:rsidRPr="009E6F22">
              <w:rPr>
                <w:rFonts w:ascii="Arial" w:hAnsi="Arial" w:cs="Arial"/>
              </w:rPr>
              <w:t>and participation in Alliances and N</w:t>
            </w:r>
            <w:r w:rsidRPr="009E6F22">
              <w:rPr>
                <w:rFonts w:ascii="Arial" w:hAnsi="Arial" w:cs="Arial"/>
              </w:rPr>
              <w:t>etworks to remain connected with leadership and new initiatives that drive access and participation performance measures in key feeder schools.</w:t>
            </w:r>
          </w:p>
          <w:p w:rsidR="009314B4" w:rsidRPr="009E6F22" w:rsidRDefault="009314B4" w:rsidP="00706321">
            <w:pPr>
              <w:rPr>
                <w:rFonts w:ascii="Arial" w:hAnsi="Arial" w:cs="Arial"/>
              </w:rPr>
            </w:pPr>
          </w:p>
          <w:p w:rsidR="009314B4" w:rsidRPr="009E6F22" w:rsidRDefault="009314B4" w:rsidP="00706321">
            <w:pPr>
              <w:rPr>
                <w:rFonts w:ascii="Arial" w:hAnsi="Arial" w:cs="Arial"/>
              </w:rPr>
            </w:pPr>
            <w:r w:rsidRPr="009E6F22">
              <w:rPr>
                <w:rFonts w:ascii="Arial" w:hAnsi="Arial" w:cs="Arial"/>
              </w:rPr>
              <w:t xml:space="preserve">University experience days, Enrichment program, uniTEST, Inspire Mentoring (Face to Face and e-Mentoring), career development sessions, Science and Maths Academy and The River Journey. </w:t>
            </w:r>
          </w:p>
        </w:tc>
      </w:tr>
    </w:tbl>
    <w:p w:rsidR="00654C7C" w:rsidRPr="00F34A4D" w:rsidRDefault="00654C7C" w:rsidP="00F70557">
      <w:pPr>
        <w:rPr>
          <w:rFonts w:ascii="Arial" w:eastAsiaTheme="majorEastAsia" w:hAnsi="Arial" w:cs="Arial"/>
          <w:b/>
          <w:bCs/>
          <w:sz w:val="20"/>
          <w:szCs w:val="20"/>
        </w:rPr>
      </w:pPr>
    </w:p>
    <w:sectPr w:rsidR="00654C7C" w:rsidRPr="00F34A4D" w:rsidSect="00F70557">
      <w:headerReference w:type="default" r:id="rId11"/>
      <w:footerReference w:type="default" r:id="rId12"/>
      <w:pgSz w:w="16838" w:h="11906" w:orient="landscape"/>
      <w:pgMar w:top="1440" w:right="1814" w:bottom="851" w:left="144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C85" w:rsidRDefault="00CB7C85" w:rsidP="00130923">
      <w:pPr>
        <w:spacing w:after="0" w:line="240" w:lineRule="auto"/>
      </w:pPr>
      <w:r>
        <w:separator/>
      </w:r>
    </w:p>
  </w:endnote>
  <w:endnote w:type="continuationSeparator" w:id="0">
    <w:p w:rsidR="00CB7C85" w:rsidRDefault="00CB7C85"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8AE" w:rsidRDefault="00F70557" w:rsidP="00A73406">
    <w:pPr>
      <w:pStyle w:val="Footer"/>
      <w:tabs>
        <w:tab w:val="clear" w:pos="9026"/>
        <w:tab w:val="right" w:pos="8647"/>
      </w:tabs>
      <w:ind w:firstLine="720"/>
      <w:jc w:val="right"/>
    </w:pPr>
    <w:sdt>
      <w:sdtPr>
        <w:id w:val="504790877"/>
        <w:docPartObj>
          <w:docPartGallery w:val="Page Numbers (Bottom of Page)"/>
          <w:docPartUnique/>
        </w:docPartObj>
      </w:sdtPr>
      <w:sdtEndPr>
        <w:rPr>
          <w:noProof/>
        </w:rPr>
      </w:sdtEndPr>
      <w:sdtContent>
        <w:r w:rsidR="00C518AE">
          <w:fldChar w:fldCharType="begin"/>
        </w:r>
        <w:r w:rsidR="00C518AE">
          <w:instrText xml:space="preserve"> PAGE   \* MERGEFORMAT </w:instrText>
        </w:r>
        <w:r w:rsidR="00C518AE">
          <w:fldChar w:fldCharType="separate"/>
        </w:r>
        <w:r>
          <w:rPr>
            <w:noProof/>
          </w:rPr>
          <w:t>3</w:t>
        </w:r>
        <w:r w:rsidR="00C518A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C85" w:rsidRDefault="00CB7C85" w:rsidP="00130923">
      <w:pPr>
        <w:spacing w:after="0" w:line="240" w:lineRule="auto"/>
      </w:pPr>
      <w:r>
        <w:separator/>
      </w:r>
    </w:p>
  </w:footnote>
  <w:footnote w:type="continuationSeparator" w:id="0">
    <w:p w:rsidR="00CB7C85" w:rsidRDefault="00CB7C85"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8AE" w:rsidRDefault="00C518AE" w:rsidP="001E159E">
    <w:pPr>
      <w:pStyle w:val="Header"/>
      <w:spacing w:after="480"/>
      <w:jc w:val="center"/>
    </w:pPr>
    <w:r>
      <w:t>Access and Participation Plan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0AB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4C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1BB03E9"/>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B10B97"/>
    <w:multiLevelType w:val="hybridMultilevel"/>
    <w:tmpl w:val="A802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D7040D"/>
    <w:multiLevelType w:val="hybridMultilevel"/>
    <w:tmpl w:val="70C6BC1C"/>
    <w:lvl w:ilvl="0" w:tplc="F7C6FD9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3A6271"/>
    <w:multiLevelType w:val="hybridMultilevel"/>
    <w:tmpl w:val="98186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C36300"/>
    <w:multiLevelType w:val="hybridMultilevel"/>
    <w:tmpl w:val="F516D064"/>
    <w:lvl w:ilvl="0" w:tplc="0C09000F">
      <w:start w:val="1"/>
      <w:numFmt w:val="decimal"/>
      <w:lvlText w:val="%1."/>
      <w:lvlJc w:val="left"/>
      <w:pPr>
        <w:ind w:left="-720" w:hanging="360"/>
      </w:p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9" w15:restartNumberingAfterBreak="0">
    <w:nsid w:val="2F5F0F66"/>
    <w:multiLevelType w:val="hybridMultilevel"/>
    <w:tmpl w:val="F516D06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C7B00C2"/>
    <w:multiLevelType w:val="hybridMultilevel"/>
    <w:tmpl w:val="9C12D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4C67081"/>
    <w:multiLevelType w:val="hybridMultilevel"/>
    <w:tmpl w:val="9AE01B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658B5E6B"/>
    <w:multiLevelType w:val="hybridMultilevel"/>
    <w:tmpl w:val="13866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F9204E"/>
    <w:multiLevelType w:val="hybridMultilevel"/>
    <w:tmpl w:val="14CC298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746D5C40"/>
    <w:multiLevelType w:val="multilevel"/>
    <w:tmpl w:val="85CA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8260CF9"/>
    <w:multiLevelType w:val="hybridMultilevel"/>
    <w:tmpl w:val="E3A02D4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7B1CA1"/>
    <w:multiLevelType w:val="hybridMultilevel"/>
    <w:tmpl w:val="20AA68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7"/>
  </w:num>
  <w:num w:numId="15">
    <w:abstractNumId w:val="12"/>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1"/>
  </w:num>
  <w:num w:numId="21">
    <w:abstractNumId w:val="19"/>
  </w:num>
  <w:num w:numId="22">
    <w:abstractNumId w:val="21"/>
  </w:num>
  <w:num w:numId="23">
    <w:abstractNumId w:val="15"/>
  </w:num>
  <w:num w:numId="24">
    <w:abstractNumId w:val="18"/>
  </w:num>
  <w:num w:numId="25">
    <w:abstractNumId w:val="15"/>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3"/>
  </w:num>
  <w:num w:numId="31">
    <w:abstractNumId w:val="29"/>
  </w:num>
  <w:num w:numId="32">
    <w:abstractNumId w:val="9"/>
  </w:num>
  <w:num w:numId="33">
    <w:abstractNumId w:val="26"/>
  </w:num>
  <w:num w:numId="34">
    <w:abstractNumId w:val="24"/>
  </w:num>
  <w:num w:numId="35">
    <w:abstractNumId w:val="17"/>
  </w:num>
  <w:num w:numId="36">
    <w:abstractNumId w:val="25"/>
  </w:num>
  <w:num w:numId="37">
    <w:abstractNumId w:val="22"/>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76175"/>
    <w:rsid w:val="0000170B"/>
    <w:rsid w:val="00002721"/>
    <w:rsid w:val="00007E0C"/>
    <w:rsid w:val="000119F4"/>
    <w:rsid w:val="000233AF"/>
    <w:rsid w:val="00024E24"/>
    <w:rsid w:val="00034EAA"/>
    <w:rsid w:val="000852EA"/>
    <w:rsid w:val="000861A6"/>
    <w:rsid w:val="000D7FD3"/>
    <w:rsid w:val="000E7E7B"/>
    <w:rsid w:val="000F1BA0"/>
    <w:rsid w:val="000F3BA2"/>
    <w:rsid w:val="00103F8C"/>
    <w:rsid w:val="001175BF"/>
    <w:rsid w:val="00122876"/>
    <w:rsid w:val="00130923"/>
    <w:rsid w:val="00132B66"/>
    <w:rsid w:val="00141410"/>
    <w:rsid w:val="001414F3"/>
    <w:rsid w:val="00143FCD"/>
    <w:rsid w:val="00152D18"/>
    <w:rsid w:val="001810EB"/>
    <w:rsid w:val="001A495D"/>
    <w:rsid w:val="001B1DC6"/>
    <w:rsid w:val="001B6467"/>
    <w:rsid w:val="001C24B4"/>
    <w:rsid w:val="001C48A7"/>
    <w:rsid w:val="001E0D75"/>
    <w:rsid w:val="001E159E"/>
    <w:rsid w:val="002076E6"/>
    <w:rsid w:val="00222463"/>
    <w:rsid w:val="00223EB1"/>
    <w:rsid w:val="00236917"/>
    <w:rsid w:val="00237564"/>
    <w:rsid w:val="00241465"/>
    <w:rsid w:val="00243D6B"/>
    <w:rsid w:val="0026793C"/>
    <w:rsid w:val="002758D7"/>
    <w:rsid w:val="00276954"/>
    <w:rsid w:val="002822BD"/>
    <w:rsid w:val="002A11FB"/>
    <w:rsid w:val="002B06E6"/>
    <w:rsid w:val="002C3AA1"/>
    <w:rsid w:val="002D271F"/>
    <w:rsid w:val="002D6386"/>
    <w:rsid w:val="002D7D13"/>
    <w:rsid w:val="002F1999"/>
    <w:rsid w:val="00303892"/>
    <w:rsid w:val="00305B35"/>
    <w:rsid w:val="00312D40"/>
    <w:rsid w:val="003155A7"/>
    <w:rsid w:val="003155A8"/>
    <w:rsid w:val="003166C5"/>
    <w:rsid w:val="003242B9"/>
    <w:rsid w:val="00341F7C"/>
    <w:rsid w:val="0034671D"/>
    <w:rsid w:val="00352F3F"/>
    <w:rsid w:val="003753C7"/>
    <w:rsid w:val="00376582"/>
    <w:rsid w:val="0038467B"/>
    <w:rsid w:val="00395311"/>
    <w:rsid w:val="003979FC"/>
    <w:rsid w:val="003B7411"/>
    <w:rsid w:val="003D67FC"/>
    <w:rsid w:val="00402EE6"/>
    <w:rsid w:val="00406E5A"/>
    <w:rsid w:val="0041184D"/>
    <w:rsid w:val="0041715E"/>
    <w:rsid w:val="00421A46"/>
    <w:rsid w:val="0042619D"/>
    <w:rsid w:val="00443110"/>
    <w:rsid w:val="00443412"/>
    <w:rsid w:val="00455B34"/>
    <w:rsid w:val="00481F02"/>
    <w:rsid w:val="0048762C"/>
    <w:rsid w:val="004A2C3F"/>
    <w:rsid w:val="004B256F"/>
    <w:rsid w:val="004D079F"/>
    <w:rsid w:val="004E2867"/>
    <w:rsid w:val="004E6889"/>
    <w:rsid w:val="004E7B2A"/>
    <w:rsid w:val="004F15A7"/>
    <w:rsid w:val="005113B6"/>
    <w:rsid w:val="00531817"/>
    <w:rsid w:val="00560CA0"/>
    <w:rsid w:val="005624F3"/>
    <w:rsid w:val="005811EF"/>
    <w:rsid w:val="00585156"/>
    <w:rsid w:val="005B0878"/>
    <w:rsid w:val="005B6001"/>
    <w:rsid w:val="005B66CA"/>
    <w:rsid w:val="005C15C0"/>
    <w:rsid w:val="005C540E"/>
    <w:rsid w:val="005E1515"/>
    <w:rsid w:val="00610654"/>
    <w:rsid w:val="00622447"/>
    <w:rsid w:val="00623AA7"/>
    <w:rsid w:val="0062410D"/>
    <w:rsid w:val="006318B9"/>
    <w:rsid w:val="00652A5F"/>
    <w:rsid w:val="00654C7C"/>
    <w:rsid w:val="00656B43"/>
    <w:rsid w:val="0067026C"/>
    <w:rsid w:val="00691ADA"/>
    <w:rsid w:val="00695707"/>
    <w:rsid w:val="006A3AC0"/>
    <w:rsid w:val="006E2D49"/>
    <w:rsid w:val="006E44CA"/>
    <w:rsid w:val="00706321"/>
    <w:rsid w:val="00712BE3"/>
    <w:rsid w:val="00723D16"/>
    <w:rsid w:val="007276E4"/>
    <w:rsid w:val="007468FC"/>
    <w:rsid w:val="0076689A"/>
    <w:rsid w:val="00782F1B"/>
    <w:rsid w:val="00785EB9"/>
    <w:rsid w:val="00792CA3"/>
    <w:rsid w:val="007B2FDD"/>
    <w:rsid w:val="007C35BF"/>
    <w:rsid w:val="007D58FB"/>
    <w:rsid w:val="007E0574"/>
    <w:rsid w:val="008163BB"/>
    <w:rsid w:val="00832FB2"/>
    <w:rsid w:val="0083468A"/>
    <w:rsid w:val="00842D43"/>
    <w:rsid w:val="00842D7F"/>
    <w:rsid w:val="00845040"/>
    <w:rsid w:val="00856D1C"/>
    <w:rsid w:val="00876AC0"/>
    <w:rsid w:val="00886D55"/>
    <w:rsid w:val="00887D59"/>
    <w:rsid w:val="008B5ADD"/>
    <w:rsid w:val="008C7240"/>
    <w:rsid w:val="008E773B"/>
    <w:rsid w:val="00903408"/>
    <w:rsid w:val="00905AD9"/>
    <w:rsid w:val="009116EA"/>
    <w:rsid w:val="0092610E"/>
    <w:rsid w:val="009314B4"/>
    <w:rsid w:val="00931E30"/>
    <w:rsid w:val="00933671"/>
    <w:rsid w:val="00954925"/>
    <w:rsid w:val="00971D09"/>
    <w:rsid w:val="00972BF7"/>
    <w:rsid w:val="00972DD5"/>
    <w:rsid w:val="00984879"/>
    <w:rsid w:val="00985632"/>
    <w:rsid w:val="00991B63"/>
    <w:rsid w:val="009A0C47"/>
    <w:rsid w:val="009B2428"/>
    <w:rsid w:val="009B5CB7"/>
    <w:rsid w:val="009C0EA3"/>
    <w:rsid w:val="009D3C4D"/>
    <w:rsid w:val="009E6F22"/>
    <w:rsid w:val="009F3E64"/>
    <w:rsid w:val="00A01D92"/>
    <w:rsid w:val="00A0490D"/>
    <w:rsid w:val="00A1074C"/>
    <w:rsid w:val="00A145A2"/>
    <w:rsid w:val="00A15E9A"/>
    <w:rsid w:val="00A31242"/>
    <w:rsid w:val="00A40A2D"/>
    <w:rsid w:val="00A475CB"/>
    <w:rsid w:val="00A50604"/>
    <w:rsid w:val="00A52530"/>
    <w:rsid w:val="00A551BF"/>
    <w:rsid w:val="00A571DC"/>
    <w:rsid w:val="00A65AFB"/>
    <w:rsid w:val="00A66052"/>
    <w:rsid w:val="00A70524"/>
    <w:rsid w:val="00A728C7"/>
    <w:rsid w:val="00A73406"/>
    <w:rsid w:val="00AA464D"/>
    <w:rsid w:val="00AB2766"/>
    <w:rsid w:val="00AC654E"/>
    <w:rsid w:val="00AC65DA"/>
    <w:rsid w:val="00AD09E4"/>
    <w:rsid w:val="00AD5D0A"/>
    <w:rsid w:val="00AF1737"/>
    <w:rsid w:val="00B00D12"/>
    <w:rsid w:val="00B26FE2"/>
    <w:rsid w:val="00B2722A"/>
    <w:rsid w:val="00B36175"/>
    <w:rsid w:val="00B4074C"/>
    <w:rsid w:val="00B4243F"/>
    <w:rsid w:val="00B4447B"/>
    <w:rsid w:val="00B60E3A"/>
    <w:rsid w:val="00B618BA"/>
    <w:rsid w:val="00B74905"/>
    <w:rsid w:val="00B82137"/>
    <w:rsid w:val="00B95503"/>
    <w:rsid w:val="00BA282D"/>
    <w:rsid w:val="00BA4D57"/>
    <w:rsid w:val="00BB6260"/>
    <w:rsid w:val="00BD1C9F"/>
    <w:rsid w:val="00BE4F09"/>
    <w:rsid w:val="00BF2212"/>
    <w:rsid w:val="00BF6463"/>
    <w:rsid w:val="00C03C81"/>
    <w:rsid w:val="00C05E74"/>
    <w:rsid w:val="00C10C19"/>
    <w:rsid w:val="00C143B8"/>
    <w:rsid w:val="00C17D02"/>
    <w:rsid w:val="00C33682"/>
    <w:rsid w:val="00C518AE"/>
    <w:rsid w:val="00C5649C"/>
    <w:rsid w:val="00C656F7"/>
    <w:rsid w:val="00C66021"/>
    <w:rsid w:val="00C70AD2"/>
    <w:rsid w:val="00C75486"/>
    <w:rsid w:val="00C819DC"/>
    <w:rsid w:val="00C8202C"/>
    <w:rsid w:val="00C90011"/>
    <w:rsid w:val="00C91576"/>
    <w:rsid w:val="00C92A5B"/>
    <w:rsid w:val="00CA46EC"/>
    <w:rsid w:val="00CA64D3"/>
    <w:rsid w:val="00CA7C7F"/>
    <w:rsid w:val="00CB68C1"/>
    <w:rsid w:val="00CB6EC3"/>
    <w:rsid w:val="00CB7C85"/>
    <w:rsid w:val="00CD67B7"/>
    <w:rsid w:val="00CE2AA2"/>
    <w:rsid w:val="00CE3534"/>
    <w:rsid w:val="00D05B29"/>
    <w:rsid w:val="00D12BEB"/>
    <w:rsid w:val="00D1394D"/>
    <w:rsid w:val="00D25D56"/>
    <w:rsid w:val="00D27C2D"/>
    <w:rsid w:val="00D34FBF"/>
    <w:rsid w:val="00D42332"/>
    <w:rsid w:val="00D47740"/>
    <w:rsid w:val="00D51B3A"/>
    <w:rsid w:val="00D812B9"/>
    <w:rsid w:val="00D903FD"/>
    <w:rsid w:val="00D94BC5"/>
    <w:rsid w:val="00D96C08"/>
    <w:rsid w:val="00D971E1"/>
    <w:rsid w:val="00DA7B93"/>
    <w:rsid w:val="00DB2634"/>
    <w:rsid w:val="00DC3052"/>
    <w:rsid w:val="00DD022D"/>
    <w:rsid w:val="00DD28AE"/>
    <w:rsid w:val="00DE5F75"/>
    <w:rsid w:val="00DF46C4"/>
    <w:rsid w:val="00DF4CA3"/>
    <w:rsid w:val="00E02515"/>
    <w:rsid w:val="00E12873"/>
    <w:rsid w:val="00E15C96"/>
    <w:rsid w:val="00E1604B"/>
    <w:rsid w:val="00E2102F"/>
    <w:rsid w:val="00E25F7E"/>
    <w:rsid w:val="00E32231"/>
    <w:rsid w:val="00E3521C"/>
    <w:rsid w:val="00E50177"/>
    <w:rsid w:val="00E75A27"/>
    <w:rsid w:val="00E763A6"/>
    <w:rsid w:val="00E9568F"/>
    <w:rsid w:val="00E9696F"/>
    <w:rsid w:val="00EB717B"/>
    <w:rsid w:val="00EC5319"/>
    <w:rsid w:val="00EC78E7"/>
    <w:rsid w:val="00ED43D2"/>
    <w:rsid w:val="00EE3B8C"/>
    <w:rsid w:val="00EF25D6"/>
    <w:rsid w:val="00EF4A38"/>
    <w:rsid w:val="00EF5845"/>
    <w:rsid w:val="00F11B8F"/>
    <w:rsid w:val="00F21BBD"/>
    <w:rsid w:val="00F25CA3"/>
    <w:rsid w:val="00F34A4D"/>
    <w:rsid w:val="00F379D0"/>
    <w:rsid w:val="00F44119"/>
    <w:rsid w:val="00F47193"/>
    <w:rsid w:val="00F501B4"/>
    <w:rsid w:val="00F66243"/>
    <w:rsid w:val="00F70557"/>
    <w:rsid w:val="00F74011"/>
    <w:rsid w:val="00F76175"/>
    <w:rsid w:val="00F80CFC"/>
    <w:rsid w:val="00F80DCB"/>
    <w:rsid w:val="00F958AE"/>
    <w:rsid w:val="00F97875"/>
    <w:rsid w:val="00FB10CB"/>
    <w:rsid w:val="00FB365C"/>
    <w:rsid w:val="00FC5F71"/>
    <w:rsid w:val="00FE4B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45C1D0"/>
  <w15:docId w15:val="{5B4C54BE-2174-4A0E-84FC-BA043A14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3C"/>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2076E6"/>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character" w:customStyle="1" w:styleId="ListParagraphChar">
    <w:name w:val="List Paragraph Char"/>
    <w:link w:val="ListParagraph"/>
    <w:uiPriority w:val="34"/>
    <w:locked/>
    <w:rsid w:val="00E75A27"/>
  </w:style>
  <w:style w:type="paragraph" w:customStyle="1" w:styleId="Source">
    <w:name w:val="Source"/>
    <w:basedOn w:val="Normal"/>
    <w:link w:val="SourceChar"/>
    <w:qFormat/>
    <w:rsid w:val="00103F8C"/>
    <w:pPr>
      <w:keepNext/>
      <w:spacing w:before="52" w:after="0" w:line="240" w:lineRule="auto"/>
    </w:pPr>
    <w:rPr>
      <w:rFonts w:ascii="Arial Narrow" w:eastAsia="Times New Roman" w:hAnsi="Arial Narrow" w:cs="Times New Roman"/>
      <w:i/>
      <w:caps/>
      <w:spacing w:val="-3"/>
      <w:sz w:val="14"/>
    </w:rPr>
  </w:style>
  <w:style w:type="paragraph" w:customStyle="1" w:styleId="Tablecolumnheadings">
    <w:name w:val="Table column headings"/>
    <w:basedOn w:val="Normal"/>
    <w:uiPriority w:val="3"/>
    <w:qFormat/>
    <w:rsid w:val="00103F8C"/>
    <w:pPr>
      <w:keepNext/>
      <w:spacing w:before="40" w:after="40" w:line="240" w:lineRule="atLeast"/>
      <w:ind w:right="120"/>
    </w:pPr>
    <w:rPr>
      <w:rFonts w:ascii="Arial Narrow" w:eastAsia="Times New Roman" w:hAnsi="Arial Narrow" w:cs="Times New Roman"/>
      <w:b/>
      <w:color w:val="FFFEFF"/>
      <w:sz w:val="20"/>
    </w:rPr>
  </w:style>
  <w:style w:type="paragraph" w:customStyle="1" w:styleId="Tabletext">
    <w:name w:val="Table text"/>
    <w:basedOn w:val="Normal"/>
    <w:qFormat/>
    <w:rsid w:val="00103F8C"/>
    <w:pPr>
      <w:spacing w:before="60" w:after="0" w:line="240" w:lineRule="atLeast"/>
      <w:ind w:right="120"/>
    </w:pPr>
    <w:rPr>
      <w:rFonts w:ascii="Arial Narrow" w:eastAsia="Times New Roman" w:hAnsi="Arial Narrow" w:cs="Times New Roman"/>
      <w:color w:val="000100"/>
      <w:sz w:val="20"/>
    </w:rPr>
  </w:style>
  <w:style w:type="paragraph" w:customStyle="1" w:styleId="Note">
    <w:name w:val="Note"/>
    <w:next w:val="BodyText"/>
    <w:rsid w:val="00103F8C"/>
    <w:pPr>
      <w:keepNext/>
      <w:keepLines/>
      <w:spacing w:before="40" w:after="0" w:line="180" w:lineRule="exact"/>
    </w:pPr>
    <w:rPr>
      <w:rFonts w:ascii="Arial Narrow" w:eastAsia="Times New Roman" w:hAnsi="Arial Narrow" w:cs="Times New Roman"/>
      <w:sz w:val="14"/>
      <w:szCs w:val="24"/>
    </w:rPr>
  </w:style>
  <w:style w:type="character" w:customStyle="1" w:styleId="SourceChar">
    <w:name w:val="Source Char"/>
    <w:basedOn w:val="DefaultParagraphFont"/>
    <w:link w:val="Source"/>
    <w:locked/>
    <w:rsid w:val="00103F8C"/>
    <w:rPr>
      <w:rFonts w:ascii="Arial Narrow" w:eastAsia="Times New Roman" w:hAnsi="Arial Narrow" w:cs="Times New Roman"/>
      <w:i/>
      <w:caps/>
      <w:spacing w:val="-3"/>
      <w:sz w:val="14"/>
    </w:rPr>
  </w:style>
  <w:style w:type="paragraph" w:styleId="CommentSubject">
    <w:name w:val="annotation subject"/>
    <w:basedOn w:val="CommentText"/>
    <w:next w:val="CommentText"/>
    <w:link w:val="CommentSubjectChar"/>
    <w:uiPriority w:val="99"/>
    <w:semiHidden/>
    <w:unhideWhenUsed/>
    <w:rsid w:val="00A50604"/>
    <w:rPr>
      <w:rFonts w:eastAsiaTheme="minorEastAsia"/>
      <w:b/>
      <w:bCs/>
    </w:rPr>
  </w:style>
  <w:style w:type="character" w:customStyle="1" w:styleId="CommentSubjectChar">
    <w:name w:val="Comment Subject Char"/>
    <w:basedOn w:val="CommentTextChar"/>
    <w:link w:val="CommentSubject"/>
    <w:uiPriority w:val="99"/>
    <w:semiHidden/>
    <w:rsid w:val="00A50604"/>
    <w:rPr>
      <w:rFonts w:eastAsiaTheme="minorHAnsi"/>
      <w:b/>
      <w:bCs/>
      <w:sz w:val="20"/>
      <w:szCs w:val="20"/>
    </w:rPr>
  </w:style>
  <w:style w:type="paragraph" w:styleId="Revision">
    <w:name w:val="Revision"/>
    <w:hidden/>
    <w:uiPriority w:val="99"/>
    <w:semiHidden/>
    <w:rsid w:val="00845040"/>
    <w:pPr>
      <w:spacing w:after="0" w:line="240" w:lineRule="auto"/>
    </w:pPr>
  </w:style>
  <w:style w:type="paragraph" w:styleId="FootnoteText">
    <w:name w:val="footnote text"/>
    <w:basedOn w:val="Normal"/>
    <w:link w:val="FootnoteTextChar"/>
    <w:uiPriority w:val="99"/>
    <w:semiHidden/>
    <w:unhideWhenUsed/>
    <w:rsid w:val="00CB6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C3"/>
    <w:rPr>
      <w:sz w:val="20"/>
      <w:szCs w:val="20"/>
    </w:rPr>
  </w:style>
  <w:style w:type="character" w:styleId="FootnoteReference">
    <w:name w:val="footnote reference"/>
    <w:basedOn w:val="DefaultParagraphFont"/>
    <w:uiPriority w:val="99"/>
    <w:semiHidden/>
    <w:unhideWhenUsed/>
    <w:rsid w:val="00CB6EC3"/>
    <w:rPr>
      <w:vertAlign w:val="superscript"/>
    </w:rPr>
  </w:style>
  <w:style w:type="character" w:styleId="FollowedHyperlink">
    <w:name w:val="FollowedHyperlink"/>
    <w:basedOn w:val="DefaultParagraphFont"/>
    <w:uiPriority w:val="99"/>
    <w:semiHidden/>
    <w:unhideWhenUsed/>
    <w:rsid w:val="00DA7B93"/>
    <w:rPr>
      <w:color w:val="522761" w:themeColor="followedHyperlink"/>
      <w:u w:val="single"/>
    </w:rPr>
  </w:style>
  <w:style w:type="paragraph" w:styleId="NormalWeb">
    <w:name w:val="Normal (Web)"/>
    <w:basedOn w:val="Normal"/>
    <w:uiPriority w:val="99"/>
    <w:semiHidden/>
    <w:unhideWhenUsed/>
    <w:rsid w:val="00654C7C"/>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1Light-Accent5">
    <w:name w:val="Grid Table 1 Light Accent 5"/>
    <w:basedOn w:val="TableNormal"/>
    <w:uiPriority w:val="46"/>
    <w:rsid w:val="00D25D56"/>
    <w:pPr>
      <w:spacing w:after="0" w:line="240" w:lineRule="auto"/>
    </w:pPr>
    <w:tblPr>
      <w:tblStyleRowBandSize w:val="1"/>
      <w:tblStyleColBandSize w:val="1"/>
      <w:tblBorders>
        <w:top w:val="single" w:sz="4" w:space="0" w:color="ABB7E0" w:themeColor="accent5" w:themeTint="66"/>
        <w:left w:val="single" w:sz="4" w:space="0" w:color="ABB7E0" w:themeColor="accent5" w:themeTint="66"/>
        <w:bottom w:val="single" w:sz="4" w:space="0" w:color="ABB7E0" w:themeColor="accent5" w:themeTint="66"/>
        <w:right w:val="single" w:sz="4" w:space="0" w:color="ABB7E0" w:themeColor="accent5" w:themeTint="66"/>
        <w:insideH w:val="single" w:sz="4" w:space="0" w:color="ABB7E0" w:themeColor="accent5" w:themeTint="66"/>
        <w:insideV w:val="single" w:sz="4" w:space="0" w:color="ABB7E0" w:themeColor="accent5" w:themeTint="66"/>
      </w:tblBorders>
    </w:tblPr>
    <w:tblStylePr w:type="firstRow">
      <w:rPr>
        <w:b/>
        <w:bCs/>
      </w:rPr>
      <w:tblPr/>
      <w:tcPr>
        <w:tcBorders>
          <w:bottom w:val="single" w:sz="12" w:space="0" w:color="8193D1" w:themeColor="accent5" w:themeTint="99"/>
        </w:tcBorders>
      </w:tcPr>
    </w:tblStylePr>
    <w:tblStylePr w:type="lastRow">
      <w:rPr>
        <w:b/>
        <w:bCs/>
      </w:rPr>
      <w:tblPr/>
      <w:tcPr>
        <w:tcBorders>
          <w:top w:val="double" w:sz="2" w:space="0" w:color="8193D1"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295792055">
      <w:bodyDiv w:val="1"/>
      <w:marLeft w:val="0"/>
      <w:marRight w:val="0"/>
      <w:marTop w:val="0"/>
      <w:marBottom w:val="0"/>
      <w:divBdr>
        <w:top w:val="none" w:sz="0" w:space="0" w:color="auto"/>
        <w:left w:val="none" w:sz="0" w:space="0" w:color="auto"/>
        <w:bottom w:val="none" w:sz="0" w:space="0" w:color="auto"/>
        <w:right w:val="none" w:sz="0" w:space="0" w:color="auto"/>
      </w:divBdr>
    </w:div>
    <w:div w:id="1458597577">
      <w:bodyDiv w:val="1"/>
      <w:marLeft w:val="0"/>
      <w:marRight w:val="0"/>
      <w:marTop w:val="0"/>
      <w:marBottom w:val="0"/>
      <w:divBdr>
        <w:top w:val="none" w:sz="0" w:space="0" w:color="auto"/>
        <w:left w:val="none" w:sz="0" w:space="0" w:color="auto"/>
        <w:bottom w:val="none" w:sz="0" w:space="0" w:color="auto"/>
        <w:right w:val="none" w:sz="0" w:space="0" w:color="auto"/>
      </w:divBdr>
    </w:div>
    <w:div w:id="1659847377">
      <w:bodyDiv w:val="1"/>
      <w:marLeft w:val="0"/>
      <w:marRight w:val="0"/>
      <w:marTop w:val="0"/>
      <w:marBottom w:val="0"/>
      <w:divBdr>
        <w:top w:val="none" w:sz="0" w:space="0" w:color="auto"/>
        <w:left w:val="none" w:sz="0" w:space="0" w:color="auto"/>
        <w:bottom w:val="none" w:sz="0" w:space="0" w:color="auto"/>
        <w:right w:val="none" w:sz="0" w:space="0" w:color="auto"/>
      </w:divBdr>
      <w:divsChild>
        <w:div w:id="1522667951">
          <w:marLeft w:val="0"/>
          <w:marRight w:val="0"/>
          <w:marTop w:val="0"/>
          <w:marBottom w:val="0"/>
          <w:divBdr>
            <w:top w:val="none" w:sz="0" w:space="0" w:color="auto"/>
            <w:left w:val="none" w:sz="0" w:space="0" w:color="auto"/>
            <w:bottom w:val="none" w:sz="0" w:space="0" w:color="auto"/>
            <w:right w:val="none" w:sz="0" w:space="0" w:color="auto"/>
          </w:divBdr>
          <w:divsChild>
            <w:div w:id="1789353916">
              <w:marLeft w:val="0"/>
              <w:marRight w:val="0"/>
              <w:marTop w:val="0"/>
              <w:marBottom w:val="0"/>
              <w:divBdr>
                <w:top w:val="none" w:sz="0" w:space="0" w:color="auto"/>
                <w:left w:val="none" w:sz="0" w:space="0" w:color="auto"/>
                <w:bottom w:val="none" w:sz="0" w:space="0" w:color="auto"/>
                <w:right w:val="none" w:sz="0" w:space="0" w:color="auto"/>
              </w:divBdr>
              <w:divsChild>
                <w:div w:id="2110540408">
                  <w:marLeft w:val="0"/>
                  <w:marRight w:val="0"/>
                  <w:marTop w:val="0"/>
                  <w:marBottom w:val="0"/>
                  <w:divBdr>
                    <w:top w:val="none" w:sz="0" w:space="0" w:color="auto"/>
                    <w:left w:val="none" w:sz="0" w:space="0" w:color="auto"/>
                    <w:bottom w:val="none" w:sz="0" w:space="0" w:color="auto"/>
                    <w:right w:val="none" w:sz="0" w:space="0" w:color="auto"/>
                  </w:divBdr>
                  <w:divsChild>
                    <w:div w:id="1416170113">
                      <w:marLeft w:val="0"/>
                      <w:marRight w:val="0"/>
                      <w:marTop w:val="0"/>
                      <w:marBottom w:val="0"/>
                      <w:divBdr>
                        <w:top w:val="none" w:sz="0" w:space="0" w:color="auto"/>
                        <w:left w:val="none" w:sz="0" w:space="0" w:color="auto"/>
                        <w:bottom w:val="none" w:sz="0" w:space="0" w:color="auto"/>
                        <w:right w:val="none" w:sz="0" w:space="0" w:color="auto"/>
                      </w:divBdr>
                      <w:divsChild>
                        <w:div w:id="1266235315">
                          <w:marLeft w:val="0"/>
                          <w:marRight w:val="0"/>
                          <w:marTop w:val="0"/>
                          <w:marBottom w:val="0"/>
                          <w:divBdr>
                            <w:top w:val="none" w:sz="0" w:space="0" w:color="auto"/>
                            <w:left w:val="none" w:sz="0" w:space="0" w:color="auto"/>
                            <w:bottom w:val="none" w:sz="0" w:space="0" w:color="auto"/>
                            <w:right w:val="none" w:sz="0" w:space="0" w:color="auto"/>
                          </w:divBdr>
                          <w:divsChild>
                            <w:div w:id="14473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728337">
      <w:bodyDiv w:val="1"/>
      <w:marLeft w:val="0"/>
      <w:marRight w:val="0"/>
      <w:marTop w:val="0"/>
      <w:marBottom w:val="0"/>
      <w:divBdr>
        <w:top w:val="none" w:sz="0" w:space="0" w:color="auto"/>
        <w:left w:val="none" w:sz="0" w:space="0" w:color="auto"/>
        <w:bottom w:val="none" w:sz="0" w:space="0" w:color="auto"/>
        <w:right w:val="none" w:sz="0" w:space="0" w:color="auto"/>
      </w:divBdr>
    </w:div>
    <w:div w:id="1963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2.xml><?xml version="1.0" encoding="utf-8"?>
<ds:datastoreItem xmlns:ds="http://schemas.openxmlformats.org/officeDocument/2006/customXml" ds:itemID="{F0FAAB01-E58C-4841-B922-14ADCC30097F}">
  <ds:schemaRefs>
    <ds:schemaRef ds:uri="http://schemas.microsoft.com/office/infopath/2007/PartnerControls"/>
    <ds:schemaRef ds:uri="c5a0bbd5-585e-4472-9791-5df67fe41a90"/>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4614B50C-4D44-4911-98A6-8A5833A4724F}">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c5a0bbd5-585e-4472-9791-5df67fe41a9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4F693-4F4E-412E-AF8D-5215B49C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8559914A.dotm</Template>
  <TotalTime>3</TotalTime>
  <Pages>4</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Higher Education Participation and Partnerships Program (HEPPP)</vt:lpstr>
    </vt:vector>
  </TitlesOfParts>
  <Company>Australian Government</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Participation and Partnerships Program (HEPPP)</dc:title>
  <dc:subject/>
  <dc:creator>Michael Thompson</dc:creator>
  <cp:keywords/>
  <dc:description/>
  <cp:lastModifiedBy>CAMPBELL,Lauren</cp:lastModifiedBy>
  <cp:revision>3</cp:revision>
  <cp:lastPrinted>2018-03-06T06:31:00Z</cp:lastPrinted>
  <dcterms:created xsi:type="dcterms:W3CDTF">2018-03-27T04:23:00Z</dcterms:created>
  <dcterms:modified xsi:type="dcterms:W3CDTF">2018-03-27T04:26:00Z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