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0450" w14:textId="77777777" w:rsidR="00107DD5" w:rsidRDefault="00221D8F" w:rsidP="00CA4815">
      <w:r w:rsidRPr="00CA4815">
        <w:rPr>
          <w:b/>
          <w:bCs/>
          <w:noProof/>
        </w:rPr>
        <w:drawing>
          <wp:anchor distT="0" distB="0" distL="114300" distR="114300" simplePos="0" relativeHeight="251658240" behindDoc="1" locked="1" layoutInCell="1" allowOverlap="1" wp14:anchorId="6C70FF91" wp14:editId="46095D0E">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043B3D5" wp14:editId="7056D2BC">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10D326EE" w14:textId="40355699" w:rsidR="00221D8F" w:rsidRPr="00670B17" w:rsidRDefault="00670B17" w:rsidP="00893A34">
          <w:pPr>
            <w:pStyle w:val="Heading1"/>
          </w:pPr>
          <w:r w:rsidRPr="00670B17">
            <w:t>What is a new school</w:t>
          </w:r>
          <w:r w:rsidRPr="00670B17">
            <w:t>?</w:t>
          </w:r>
        </w:p>
      </w:sdtContent>
    </w:sdt>
    <w:bookmarkEnd w:id="0" w:displacedByCustomXml="prev"/>
    <w:bookmarkEnd w:id="1" w:displacedByCustomXml="prev"/>
    <w:p w14:paraId="76F40E8E" w14:textId="77777777" w:rsidR="00670B17" w:rsidRPr="00670B17" w:rsidRDefault="00670B17" w:rsidP="00670B17">
      <w:pPr>
        <w:spacing w:before="240"/>
      </w:pPr>
      <w:r w:rsidRPr="00670B17">
        <w:t>When an approved authority requests funding for a school for which has not been authorised previously, the Australian Government must first assess whether the school is a new school or the continuation of a previous school. This will determine whether the school is placed on a transitional funding profile or commences on the Schooling Resource Standard (SRS). In most cases, the answer to this question will be obvious. In some cases, approved authorities will have to submit additional evidence about the school.</w:t>
      </w:r>
    </w:p>
    <w:p w14:paraId="0BDF6163" w14:textId="77777777" w:rsidR="00670B17" w:rsidRDefault="00670B17" w:rsidP="00670B17">
      <w:pPr>
        <w:pStyle w:val="Heading2"/>
        <w:spacing w:before="480"/>
      </w:pPr>
      <w:r>
        <w:t>Factors considered when making a decision</w:t>
      </w:r>
    </w:p>
    <w:p w14:paraId="13A7D9ED" w14:textId="77777777" w:rsidR="00670B17" w:rsidRDefault="00670B17" w:rsidP="00670B17">
      <w:pPr>
        <w:spacing w:after="120"/>
      </w:pPr>
      <w:r>
        <w:t>The Department of Education, Skills and Employment, will consider the following factors when deciding whether a school is a new school:</w:t>
      </w:r>
    </w:p>
    <w:p w14:paraId="29600D19" w14:textId="77777777" w:rsidR="00670B17" w:rsidRDefault="00670B17" w:rsidP="00670B17">
      <w:pPr>
        <w:pStyle w:val="ListParagraph"/>
        <w:numPr>
          <w:ilvl w:val="0"/>
          <w:numId w:val="20"/>
        </w:numPr>
        <w:spacing w:line="276" w:lineRule="auto"/>
      </w:pPr>
      <w:r>
        <w:rPr>
          <w:rFonts w:ascii="Calibri" w:hAnsi="Calibri" w:cs="Calibri"/>
          <w:b/>
          <w:bCs/>
          <w:color w:val="000000"/>
        </w:rPr>
        <w:t>location</w:t>
      </w:r>
      <w:r>
        <w:rPr>
          <w:rFonts w:ascii="Calibri" w:hAnsi="Calibri" w:cs="Calibri"/>
          <w:bCs/>
          <w:color w:val="000000"/>
        </w:rPr>
        <w:t>: is the school in a new location or on the site of a pre-existing school?</w:t>
      </w:r>
    </w:p>
    <w:p w14:paraId="64E3542B" w14:textId="77777777" w:rsidR="00670B17" w:rsidRDefault="00670B17" w:rsidP="00670B17">
      <w:pPr>
        <w:pStyle w:val="ListParagraph"/>
        <w:numPr>
          <w:ilvl w:val="0"/>
          <w:numId w:val="20"/>
        </w:numPr>
        <w:spacing w:line="276" w:lineRule="auto"/>
      </w:pPr>
      <w:r>
        <w:rPr>
          <w:rFonts w:ascii="Calibri" w:hAnsi="Calibri" w:cs="Calibri"/>
          <w:b/>
          <w:bCs/>
          <w:color w:val="000000"/>
        </w:rPr>
        <w:t>student population</w:t>
      </w:r>
      <w:r>
        <w:rPr>
          <w:rFonts w:ascii="Calibri" w:hAnsi="Calibri" w:cs="Calibri"/>
          <w:bCs/>
          <w:color w:val="000000"/>
        </w:rPr>
        <w:t>: are the same students attending from one year to the next?</w:t>
      </w:r>
    </w:p>
    <w:p w14:paraId="0020D888" w14:textId="77777777" w:rsidR="00670B17" w:rsidRDefault="00670B17" w:rsidP="00670B17">
      <w:pPr>
        <w:pStyle w:val="ListParagraph"/>
        <w:numPr>
          <w:ilvl w:val="0"/>
          <w:numId w:val="20"/>
        </w:numPr>
        <w:spacing w:line="276" w:lineRule="auto"/>
      </w:pPr>
      <w:r>
        <w:rPr>
          <w:b/>
          <w:bCs/>
        </w:rPr>
        <w:t>prior government funding</w:t>
      </w:r>
      <w:r>
        <w:rPr>
          <w:bCs/>
        </w:rPr>
        <w:t>: has the school previously attracted funding for this student cohort?</w:t>
      </w:r>
    </w:p>
    <w:p w14:paraId="071F83E5" w14:textId="77777777" w:rsidR="00670B17" w:rsidRDefault="00670B17" w:rsidP="00670B17">
      <w:pPr>
        <w:pStyle w:val="ListParagraph"/>
        <w:numPr>
          <w:ilvl w:val="0"/>
          <w:numId w:val="20"/>
        </w:numPr>
        <w:spacing w:line="276" w:lineRule="auto"/>
      </w:pPr>
      <w:r>
        <w:rPr>
          <w:b/>
        </w:rPr>
        <w:t>other changes:</w:t>
      </w:r>
      <w:r>
        <w:t xml:space="preserve"> have there been changes to the school’s staff, management or governance?</w:t>
      </w:r>
    </w:p>
    <w:p w14:paraId="5F139B4B" w14:textId="77777777" w:rsidR="00670B17" w:rsidRDefault="00670B17" w:rsidP="00670B17">
      <w:r>
        <w:t>For a school to be considered new, these factors must substantially differ from any previous or existing school. The table on the following page provides an overview on how the department may assess each factor when considering a new school.</w:t>
      </w:r>
    </w:p>
    <w:p w14:paraId="0E396FD2" w14:textId="77777777" w:rsidR="00670B17" w:rsidRDefault="00670B17" w:rsidP="00670B17">
      <w:r>
        <w:t xml:space="preserve">An approved authority seeking funding for a school for which it has not been authorised previously should submit an application through </w:t>
      </w:r>
      <w:hyperlink r:id="rId11" w:history="1">
        <w:proofErr w:type="spellStart"/>
        <w:r>
          <w:rPr>
            <w:rStyle w:val="Hyperlink"/>
          </w:rPr>
          <w:t>SchoolsHUB</w:t>
        </w:r>
        <w:proofErr w:type="spellEnd"/>
      </w:hyperlink>
      <w:r>
        <w:t>, along with any additional evidence on the abovementioned criteria, to demonstrate it is a new school.</w:t>
      </w:r>
    </w:p>
    <w:p w14:paraId="4C837ED7" w14:textId="77777777" w:rsidR="00670B17" w:rsidRDefault="00670B17" w:rsidP="00670B17">
      <w:pPr>
        <w:pStyle w:val="Heading2"/>
        <w:spacing w:before="480"/>
      </w:pPr>
      <w:r>
        <w:t>The application process</w:t>
      </w:r>
    </w:p>
    <w:p w14:paraId="6BA5D6BE" w14:textId="77777777" w:rsidR="00670B17" w:rsidRDefault="00670B17" w:rsidP="00670B17">
      <w:pPr>
        <w:spacing w:after="120"/>
      </w:pPr>
      <w:r>
        <w:t>Before it can apply for Commonwealth funding for a school, an approved authority must:</w:t>
      </w:r>
    </w:p>
    <w:p w14:paraId="542C32A7" w14:textId="77777777" w:rsidR="00670B17" w:rsidRDefault="00670B17" w:rsidP="00670B17">
      <w:pPr>
        <w:pStyle w:val="ListParagraph"/>
        <w:numPr>
          <w:ilvl w:val="0"/>
          <w:numId w:val="21"/>
        </w:numPr>
        <w:spacing w:line="276" w:lineRule="auto"/>
      </w:pPr>
      <w:r>
        <w:t xml:space="preserve">fulfil the approved authority criteria under the </w:t>
      </w:r>
      <w:r>
        <w:rPr>
          <w:i/>
        </w:rPr>
        <w:t>Australian Education Act 2013</w:t>
      </w:r>
    </w:p>
    <w:p w14:paraId="3EA025C8" w14:textId="77777777" w:rsidR="00670B17" w:rsidRDefault="00670B17" w:rsidP="00670B17">
      <w:pPr>
        <w:pStyle w:val="ListParagraph"/>
        <w:numPr>
          <w:ilvl w:val="0"/>
          <w:numId w:val="21"/>
        </w:numPr>
        <w:spacing w:line="276" w:lineRule="auto"/>
      </w:pPr>
      <w:r>
        <w:t>complete the school registration process in the relevant state or territory</w:t>
      </w:r>
    </w:p>
    <w:p w14:paraId="20D63FD3" w14:textId="77777777" w:rsidR="00670B17" w:rsidRDefault="00670B17" w:rsidP="00670B17">
      <w:pPr>
        <w:pStyle w:val="ListParagraph"/>
        <w:numPr>
          <w:ilvl w:val="0"/>
          <w:numId w:val="21"/>
        </w:numPr>
        <w:spacing w:line="276" w:lineRule="auto"/>
      </w:pPr>
      <w:r>
        <w:t>open the school and commence teaching</w:t>
      </w:r>
    </w:p>
    <w:p w14:paraId="565B5725" w14:textId="5C2C3671" w:rsidR="00670B17" w:rsidRDefault="00670B17" w:rsidP="00670B17">
      <w:pPr>
        <w:pStyle w:val="ListParagraph"/>
        <w:numPr>
          <w:ilvl w:val="0"/>
          <w:numId w:val="21"/>
        </w:numPr>
        <w:spacing w:line="276" w:lineRule="auto"/>
      </w:pPr>
      <w:r>
        <w:t xml:space="preserve">register for an account on </w:t>
      </w:r>
      <w:hyperlink r:id="rId12" w:history="1">
        <w:proofErr w:type="spellStart"/>
        <w:r w:rsidRPr="00670B17">
          <w:rPr>
            <w:rStyle w:val="Hyperlink"/>
          </w:rPr>
          <w:t>SchoolsHUB</w:t>
        </w:r>
        <w:proofErr w:type="spellEnd"/>
      </w:hyperlink>
      <w:r>
        <w:t>.</w:t>
      </w:r>
    </w:p>
    <w:p w14:paraId="092B09F3" w14:textId="08E4C275" w:rsidR="00670B17" w:rsidRDefault="00670B17" w:rsidP="00670B17">
      <w:r>
        <w:lastRenderedPageBreak/>
        <w:t xml:space="preserve">If you need assistance or further information, please contact the School Approvals and Payments Helpdesk on 1800 677 027 (Option 3), or via email at </w:t>
      </w:r>
      <w:hyperlink r:id="rId13" w:history="1">
        <w:r w:rsidRPr="00B41415">
          <w:rPr>
            <w:rStyle w:val="Hyperlink"/>
          </w:rPr>
          <w:t>schools@education.gov.au</w:t>
        </w:r>
      </w:hyperlink>
    </w:p>
    <w:p w14:paraId="53296B25" w14:textId="77777777" w:rsidR="00670B17" w:rsidRDefault="00670B17" w:rsidP="00670B17">
      <w:r>
        <w:t xml:space="preserve">The table below is intended as a guide only and shows how the department might assess particular cases. These examples are not intended to be exhaustive or impose particular rules or requirements. </w:t>
      </w:r>
    </w:p>
    <w:p w14:paraId="7700494C" w14:textId="77777777" w:rsidR="00670B17" w:rsidRDefault="00670B17" w:rsidP="00670B17">
      <w:r>
        <w:t>Each case will be assessed on its merits and there could be circumstances where some criteria would not apply in a particular case.</w:t>
      </w:r>
    </w:p>
    <w:tbl>
      <w:tblPr>
        <w:tblStyle w:val="EDU-Basic"/>
        <w:tblW w:w="5174" w:type="pct"/>
        <w:tblLook w:val="04A0" w:firstRow="1" w:lastRow="0" w:firstColumn="1" w:lastColumn="0" w:noHBand="0" w:noVBand="1"/>
      </w:tblPr>
      <w:tblGrid>
        <w:gridCol w:w="1987"/>
        <w:gridCol w:w="1049"/>
        <w:gridCol w:w="1049"/>
        <w:gridCol w:w="1049"/>
        <w:gridCol w:w="1049"/>
        <w:gridCol w:w="1049"/>
        <w:gridCol w:w="1049"/>
        <w:gridCol w:w="1049"/>
      </w:tblGrid>
      <w:tr w:rsidR="00670B17" w:rsidRPr="00670B17" w14:paraId="76FC2BEB" w14:textId="77777777" w:rsidTr="00670B1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6" w:type="dxa"/>
            <w:noWrap/>
            <w:hideMark/>
          </w:tcPr>
          <w:p w14:paraId="27754916" w14:textId="77777777" w:rsidR="00670B17" w:rsidRPr="00670B17" w:rsidRDefault="00670B17" w:rsidP="00670B17">
            <w:pPr>
              <w:spacing w:before="120" w:beforeAutospacing="0" w:after="120" w:afterAutospacing="0"/>
              <w:rPr>
                <w:b/>
                <w:bCs/>
                <w:lang w:eastAsia="en-AU"/>
              </w:rPr>
            </w:pPr>
            <w:r w:rsidRPr="00670B17">
              <w:rPr>
                <w:b/>
                <w:bCs/>
                <w:lang w:eastAsia="en-AU"/>
              </w:rPr>
              <w:t>Question</w:t>
            </w:r>
          </w:p>
        </w:tc>
        <w:tc>
          <w:tcPr>
            <w:tcW w:w="1049" w:type="dxa"/>
            <w:noWrap/>
            <w:hideMark/>
          </w:tcPr>
          <w:p w14:paraId="5981A0F0"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A</w:t>
            </w:r>
          </w:p>
        </w:tc>
        <w:tc>
          <w:tcPr>
            <w:tcW w:w="1049" w:type="dxa"/>
            <w:noWrap/>
            <w:hideMark/>
          </w:tcPr>
          <w:p w14:paraId="5D08101F"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B</w:t>
            </w:r>
          </w:p>
        </w:tc>
        <w:tc>
          <w:tcPr>
            <w:tcW w:w="1049" w:type="dxa"/>
            <w:noWrap/>
            <w:hideMark/>
          </w:tcPr>
          <w:p w14:paraId="195F558C"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C</w:t>
            </w:r>
          </w:p>
        </w:tc>
        <w:tc>
          <w:tcPr>
            <w:tcW w:w="1049" w:type="dxa"/>
            <w:noWrap/>
            <w:hideMark/>
          </w:tcPr>
          <w:p w14:paraId="79619EFE"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D</w:t>
            </w:r>
          </w:p>
        </w:tc>
        <w:tc>
          <w:tcPr>
            <w:tcW w:w="1049" w:type="dxa"/>
            <w:noWrap/>
            <w:hideMark/>
          </w:tcPr>
          <w:p w14:paraId="311D6CE3"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E</w:t>
            </w:r>
          </w:p>
        </w:tc>
        <w:tc>
          <w:tcPr>
            <w:tcW w:w="1049" w:type="dxa"/>
            <w:noWrap/>
            <w:hideMark/>
          </w:tcPr>
          <w:p w14:paraId="50E7089F"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F</w:t>
            </w:r>
          </w:p>
        </w:tc>
        <w:tc>
          <w:tcPr>
            <w:tcW w:w="1049" w:type="dxa"/>
            <w:noWrap/>
            <w:hideMark/>
          </w:tcPr>
          <w:p w14:paraId="4A429287" w14:textId="77777777" w:rsidR="00670B17" w:rsidRPr="00670B17" w:rsidRDefault="00670B17" w:rsidP="00670B17">
            <w:pPr>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670B17">
              <w:rPr>
                <w:b/>
                <w:bCs/>
                <w:color w:val="FFFFFF" w:themeColor="background1"/>
                <w:lang w:eastAsia="en-AU"/>
              </w:rPr>
              <w:t>School G</w:t>
            </w:r>
          </w:p>
        </w:tc>
      </w:tr>
      <w:tr w:rsidR="00670B17" w:rsidRPr="00670B17" w14:paraId="2ECE4AFE" w14:textId="77777777" w:rsidTr="00670B17">
        <w:trPr>
          <w:trHeight w:val="3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432DBF45" w14:textId="77777777" w:rsidR="00670B17" w:rsidRPr="00670B17" w:rsidRDefault="00670B17" w:rsidP="00670B17">
            <w:pPr>
              <w:spacing w:before="120" w:after="120" w:line="240" w:lineRule="auto"/>
              <w:rPr>
                <w:rFonts w:ascii="Calibri" w:eastAsia="Times New Roman" w:hAnsi="Calibri" w:cs="Calibri"/>
                <w:color w:val="000000"/>
                <w:lang w:eastAsia="en-AU"/>
              </w:rPr>
            </w:pPr>
            <w:r w:rsidRPr="00670B17">
              <w:rPr>
                <w:rFonts w:ascii="Calibri" w:eastAsia="Times New Roman" w:hAnsi="Calibri" w:cs="Calibri"/>
                <w:color w:val="000000"/>
                <w:lang w:eastAsia="en-AU"/>
              </w:rPr>
              <w:t>Is the location the same as a previous school?</w:t>
            </w:r>
          </w:p>
        </w:tc>
        <w:tc>
          <w:tcPr>
            <w:tcW w:w="1049" w:type="dxa"/>
            <w:noWrap/>
            <w:hideMark/>
          </w:tcPr>
          <w:p w14:paraId="4D0F9F4B"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6B5EE94B"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3328D569"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408FFE07"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6F11270F"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00146676"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29AB61A9"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r>
      <w:tr w:rsidR="00670B17" w:rsidRPr="00670B17" w14:paraId="1F9A1D38" w14:textId="77777777" w:rsidTr="00670B17">
        <w:trPr>
          <w:trHeight w:val="3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3B1FB509" w14:textId="77777777" w:rsidR="00670B17" w:rsidRPr="00670B17" w:rsidRDefault="00670B17" w:rsidP="00670B17">
            <w:pPr>
              <w:spacing w:before="120" w:after="120" w:line="240" w:lineRule="auto"/>
              <w:rPr>
                <w:rFonts w:ascii="Calibri" w:eastAsia="Times New Roman" w:hAnsi="Calibri" w:cs="Calibri"/>
                <w:color w:val="000000"/>
                <w:lang w:eastAsia="en-AU"/>
              </w:rPr>
            </w:pPr>
            <w:r w:rsidRPr="00670B17">
              <w:rPr>
                <w:rFonts w:ascii="Calibri" w:eastAsia="Times New Roman" w:hAnsi="Calibri" w:cs="Calibri"/>
                <w:color w:val="000000"/>
                <w:lang w:eastAsia="en-AU"/>
              </w:rPr>
              <w:t>Is the student population largely the same as a previous school?</w:t>
            </w:r>
          </w:p>
        </w:tc>
        <w:tc>
          <w:tcPr>
            <w:tcW w:w="1049" w:type="dxa"/>
            <w:noWrap/>
            <w:hideMark/>
          </w:tcPr>
          <w:p w14:paraId="4A70EE0A"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6968D251"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755961B6"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01067FBA"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715EB8BE"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59E23760"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567347E6"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r>
      <w:tr w:rsidR="00670B17" w:rsidRPr="00670B17" w14:paraId="2C0F436D" w14:textId="77777777" w:rsidTr="00670B17">
        <w:trPr>
          <w:trHeight w:val="3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765FBEF0" w14:textId="77777777" w:rsidR="00670B17" w:rsidRPr="00670B17" w:rsidRDefault="00670B17" w:rsidP="00670B17">
            <w:pPr>
              <w:spacing w:before="120" w:after="120" w:line="240" w:lineRule="auto"/>
              <w:rPr>
                <w:rFonts w:ascii="Calibri" w:eastAsia="Times New Roman" w:hAnsi="Calibri" w:cs="Calibri"/>
                <w:color w:val="000000"/>
                <w:lang w:eastAsia="en-AU"/>
              </w:rPr>
            </w:pPr>
            <w:r w:rsidRPr="00670B17">
              <w:rPr>
                <w:rFonts w:ascii="Calibri" w:eastAsia="Times New Roman" w:hAnsi="Calibri" w:cs="Calibri"/>
                <w:color w:val="000000"/>
                <w:lang w:eastAsia="en-AU"/>
              </w:rPr>
              <w:t>Is the accreditation profile (e.g., primary/secondary) the same as a previous school?</w:t>
            </w:r>
          </w:p>
        </w:tc>
        <w:tc>
          <w:tcPr>
            <w:tcW w:w="1049" w:type="dxa"/>
            <w:noWrap/>
            <w:hideMark/>
          </w:tcPr>
          <w:p w14:paraId="522CF5F9"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21E523CE"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6E9B6136"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59ED4A7A"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7F4F1FE1"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1986FAB8"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6A4D219C"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r>
      <w:tr w:rsidR="00670B17" w:rsidRPr="00670B17" w14:paraId="2FE7373B" w14:textId="77777777" w:rsidTr="00670B17">
        <w:trPr>
          <w:trHeight w:val="3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609A79B2" w14:textId="77777777" w:rsidR="00670B17" w:rsidRPr="00670B17" w:rsidRDefault="00670B17" w:rsidP="00670B17">
            <w:pPr>
              <w:spacing w:before="120" w:after="120" w:line="240" w:lineRule="auto"/>
              <w:rPr>
                <w:rFonts w:ascii="Calibri" w:eastAsia="Times New Roman" w:hAnsi="Calibri" w:cs="Calibri"/>
                <w:color w:val="000000"/>
                <w:lang w:eastAsia="en-AU"/>
              </w:rPr>
            </w:pPr>
            <w:r w:rsidRPr="00670B17">
              <w:rPr>
                <w:rFonts w:ascii="Calibri" w:eastAsia="Times New Roman" w:hAnsi="Calibri" w:cs="Calibri"/>
                <w:color w:val="000000"/>
                <w:lang w:eastAsia="en-AU"/>
              </w:rPr>
              <w:t>Has the authority previously received Commonwealth funding for the cohort of students?</w:t>
            </w:r>
          </w:p>
        </w:tc>
        <w:tc>
          <w:tcPr>
            <w:tcW w:w="1049" w:type="dxa"/>
            <w:noWrap/>
            <w:hideMark/>
          </w:tcPr>
          <w:p w14:paraId="213B9E59"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07367967"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4FDC1951"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49C41B68"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035C3C9A"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048D8EEE"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45B0EFAA"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r>
      <w:tr w:rsidR="00670B17" w:rsidRPr="00670B17" w14:paraId="15D556EE" w14:textId="77777777" w:rsidTr="00670B17">
        <w:trPr>
          <w:trHeight w:val="3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543EB08B" w14:textId="77777777" w:rsidR="00670B17" w:rsidRPr="00670B17" w:rsidRDefault="00670B17" w:rsidP="00670B17">
            <w:pPr>
              <w:spacing w:before="120" w:after="120" w:line="240" w:lineRule="auto"/>
              <w:rPr>
                <w:rFonts w:ascii="Calibri" w:eastAsia="Times New Roman" w:hAnsi="Calibri" w:cs="Calibri"/>
                <w:color w:val="000000"/>
                <w:lang w:eastAsia="en-AU"/>
              </w:rPr>
            </w:pPr>
            <w:r w:rsidRPr="00670B17">
              <w:rPr>
                <w:rFonts w:ascii="Calibri" w:eastAsia="Times New Roman" w:hAnsi="Calibri" w:cs="Calibri"/>
                <w:color w:val="000000"/>
                <w:lang w:eastAsia="en-AU"/>
              </w:rPr>
              <w:t>Does the school have largely the same cohort of staff as a previous school?</w:t>
            </w:r>
          </w:p>
        </w:tc>
        <w:tc>
          <w:tcPr>
            <w:tcW w:w="1049" w:type="dxa"/>
            <w:noWrap/>
            <w:hideMark/>
          </w:tcPr>
          <w:p w14:paraId="0407A3BC"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3421119B"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73AD2486"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545F11E1"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5E3DBF7A"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c>
          <w:tcPr>
            <w:tcW w:w="1049" w:type="dxa"/>
            <w:noWrap/>
            <w:hideMark/>
          </w:tcPr>
          <w:p w14:paraId="01E783E4"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yes</w:t>
            </w:r>
          </w:p>
        </w:tc>
        <w:tc>
          <w:tcPr>
            <w:tcW w:w="1049" w:type="dxa"/>
            <w:noWrap/>
            <w:hideMark/>
          </w:tcPr>
          <w:p w14:paraId="29BB69C4" w14:textId="77777777" w:rsidR="00670B17" w:rsidRPr="00670B17" w:rsidRDefault="00670B17" w:rsidP="00670B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w:t>
            </w:r>
          </w:p>
        </w:tc>
      </w:tr>
      <w:tr w:rsidR="00670B17" w:rsidRPr="00670B17" w14:paraId="78533D9F" w14:textId="77777777" w:rsidTr="00670B17">
        <w:trPr>
          <w:trHeight w:val="300"/>
        </w:trPr>
        <w:tc>
          <w:tcPr>
            <w:cnfStyle w:val="001000000000" w:firstRow="0" w:lastRow="0" w:firstColumn="1" w:lastColumn="0" w:oddVBand="0" w:evenVBand="0" w:oddHBand="0" w:evenHBand="0" w:firstRowFirstColumn="0" w:firstRowLastColumn="0" w:lastRowFirstColumn="0" w:lastRowLastColumn="0"/>
            <w:tcW w:w="1986" w:type="dxa"/>
            <w:noWrap/>
          </w:tcPr>
          <w:p w14:paraId="028EC4EA" w14:textId="0E12B727" w:rsidR="00670B17" w:rsidRPr="00670B17" w:rsidRDefault="00670B17" w:rsidP="00670B17">
            <w:pPr>
              <w:spacing w:before="120" w:beforeAutospacing="0" w:after="120" w:afterAutospacing="0"/>
              <w:rPr>
                <w:rFonts w:ascii="Calibri" w:eastAsia="Times New Roman" w:hAnsi="Calibri" w:cs="Calibri"/>
                <w:color w:val="000000"/>
                <w:lang w:eastAsia="en-AU"/>
              </w:rPr>
            </w:pPr>
            <w:r w:rsidRPr="00670B17">
              <w:rPr>
                <w:rFonts w:ascii="Calibri" w:eastAsia="Times New Roman" w:hAnsi="Calibri" w:cs="Calibri"/>
                <w:color w:val="000000"/>
                <w:lang w:eastAsia="en-AU"/>
              </w:rPr>
              <w:t>Conclusion</w:t>
            </w:r>
          </w:p>
        </w:tc>
        <w:tc>
          <w:tcPr>
            <w:tcW w:w="1049" w:type="dxa"/>
            <w:noWrap/>
          </w:tcPr>
          <w:p w14:paraId="3A24EB12" w14:textId="7F09188C"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NOT a new school</w:t>
            </w:r>
          </w:p>
        </w:tc>
        <w:tc>
          <w:tcPr>
            <w:tcW w:w="1049" w:type="dxa"/>
            <w:noWrap/>
          </w:tcPr>
          <w:p w14:paraId="355AF5DF" w14:textId="5FAA715E"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Probably not a new school</w:t>
            </w:r>
          </w:p>
        </w:tc>
        <w:tc>
          <w:tcPr>
            <w:tcW w:w="1049" w:type="dxa"/>
            <w:noWrap/>
          </w:tcPr>
          <w:p w14:paraId="7D973ECE" w14:textId="5D2EB8E0"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Probably not a new school</w:t>
            </w:r>
          </w:p>
        </w:tc>
        <w:tc>
          <w:tcPr>
            <w:tcW w:w="1049" w:type="dxa"/>
            <w:noWrap/>
          </w:tcPr>
          <w:p w14:paraId="2E515A06" w14:textId="2AE5112E"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Might be a new school</w:t>
            </w:r>
          </w:p>
        </w:tc>
        <w:tc>
          <w:tcPr>
            <w:tcW w:w="1049" w:type="dxa"/>
            <w:noWrap/>
          </w:tcPr>
          <w:p w14:paraId="01F77552" w14:textId="2FA27C88"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Might be a new school</w:t>
            </w:r>
          </w:p>
        </w:tc>
        <w:tc>
          <w:tcPr>
            <w:tcW w:w="1049" w:type="dxa"/>
            <w:noWrap/>
          </w:tcPr>
          <w:p w14:paraId="0D5C75CD" w14:textId="47B1CEC1"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M</w:t>
            </w:r>
            <w:r>
              <w:rPr>
                <w:rFonts w:ascii="Calibri" w:eastAsia="Times New Roman" w:hAnsi="Calibri" w:cs="Calibri"/>
                <w:color w:val="000000"/>
                <w:lang w:eastAsia="en-AU"/>
              </w:rPr>
              <w:t>aybe</w:t>
            </w:r>
            <w:r w:rsidRPr="00670B17">
              <w:rPr>
                <w:rFonts w:ascii="Calibri" w:eastAsia="Times New Roman" w:hAnsi="Calibri" w:cs="Calibri"/>
                <w:color w:val="000000"/>
                <w:lang w:eastAsia="en-AU"/>
              </w:rPr>
              <w:t xml:space="preserve"> be a new school</w:t>
            </w:r>
          </w:p>
        </w:tc>
        <w:tc>
          <w:tcPr>
            <w:tcW w:w="1049" w:type="dxa"/>
            <w:noWrap/>
          </w:tcPr>
          <w:p w14:paraId="2F1FF6FE" w14:textId="2E4729A5" w:rsidR="00670B17" w:rsidRPr="00670B17" w:rsidRDefault="00670B17" w:rsidP="00670B17">
            <w:pPr>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70B17">
              <w:rPr>
                <w:rFonts w:ascii="Calibri" w:eastAsia="Times New Roman" w:hAnsi="Calibri" w:cs="Calibri"/>
                <w:color w:val="000000"/>
                <w:lang w:eastAsia="en-AU"/>
              </w:rPr>
              <w:t>Probably a new school</w:t>
            </w:r>
          </w:p>
        </w:tc>
      </w:tr>
    </w:tbl>
    <w:p w14:paraId="62BCAE72" w14:textId="77777777" w:rsidR="00670B17" w:rsidRPr="00670B17" w:rsidRDefault="00670B17" w:rsidP="00670B17"/>
    <w:sectPr w:rsidR="00670B17" w:rsidRPr="00670B17" w:rsidSect="00E24B0D">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BFC4" w14:textId="77777777" w:rsidR="00E24B0D" w:rsidRDefault="00E24B0D" w:rsidP="000A6228">
      <w:pPr>
        <w:spacing w:after="0" w:line="240" w:lineRule="auto"/>
      </w:pPr>
      <w:r>
        <w:separator/>
      </w:r>
    </w:p>
  </w:endnote>
  <w:endnote w:type="continuationSeparator" w:id="0">
    <w:p w14:paraId="1E635029" w14:textId="77777777" w:rsidR="00E24B0D" w:rsidRDefault="00E24B0D"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F416" w14:textId="77777777" w:rsidR="00D86284" w:rsidRDefault="00D86284">
    <w:pPr>
      <w:pStyle w:val="Footer"/>
    </w:pPr>
    <w:r>
      <w:rPr>
        <w:noProof/>
      </w:rPr>
      <w:drawing>
        <wp:anchor distT="0" distB="0" distL="114300" distR="114300" simplePos="0" relativeHeight="251658240" behindDoc="1" locked="1" layoutInCell="1" allowOverlap="1" wp14:anchorId="7BA89AFB" wp14:editId="0E4E8234">
          <wp:simplePos x="5425440" y="9593580"/>
          <wp:positionH relativeFrom="page">
            <wp:align>right</wp:align>
          </wp:positionH>
          <wp:positionV relativeFrom="page">
            <wp:align>bottom</wp:align>
          </wp:positionV>
          <wp:extent cx="1213485" cy="6477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FF24" w14:textId="77777777" w:rsidR="00E24B0D" w:rsidRDefault="00E24B0D" w:rsidP="000A6228">
      <w:pPr>
        <w:spacing w:after="0" w:line="240" w:lineRule="auto"/>
      </w:pPr>
      <w:r>
        <w:separator/>
      </w:r>
    </w:p>
  </w:footnote>
  <w:footnote w:type="continuationSeparator" w:id="0">
    <w:p w14:paraId="0B82CD7A" w14:textId="77777777" w:rsidR="00E24B0D" w:rsidRDefault="00E24B0D"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22001A"/>
    <w:multiLevelType w:val="hybridMultilevel"/>
    <w:tmpl w:val="09729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045BCD"/>
    <w:multiLevelType w:val="hybridMultilevel"/>
    <w:tmpl w:val="3B2A1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4"/>
  </w:num>
  <w:num w:numId="6" w16cid:durableId="120733662">
    <w:abstractNumId w:val="2"/>
  </w:num>
  <w:num w:numId="7" w16cid:durableId="2022584168">
    <w:abstractNumId w:val="1"/>
  </w:num>
  <w:num w:numId="8" w16cid:durableId="534267804">
    <w:abstractNumId w:val="0"/>
  </w:num>
  <w:num w:numId="9" w16cid:durableId="1265042610">
    <w:abstractNumId w:val="13"/>
  </w:num>
  <w:num w:numId="10" w16cid:durableId="1943879001">
    <w:abstractNumId w:val="7"/>
  </w:num>
  <w:num w:numId="11" w16cid:durableId="419833051">
    <w:abstractNumId w:val="18"/>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9"/>
  </w:num>
  <w:num w:numId="17" w16cid:durableId="1022434231">
    <w:abstractNumId w:val="15"/>
  </w:num>
  <w:num w:numId="18" w16cid:durableId="618417265">
    <w:abstractNumId w:val="8"/>
  </w:num>
  <w:num w:numId="19" w16cid:durableId="271010807">
    <w:abstractNumId w:val="17"/>
  </w:num>
  <w:num w:numId="20" w16cid:durableId="2075615098">
    <w:abstractNumId w:val="16"/>
    <w:lvlOverride w:ilvl="0"/>
    <w:lvlOverride w:ilvl="1"/>
    <w:lvlOverride w:ilvl="2"/>
    <w:lvlOverride w:ilvl="3"/>
    <w:lvlOverride w:ilvl="4"/>
    <w:lvlOverride w:ilvl="5"/>
    <w:lvlOverride w:ilvl="6"/>
    <w:lvlOverride w:ilvl="7"/>
    <w:lvlOverride w:ilvl="8"/>
  </w:num>
  <w:num w:numId="21" w16cid:durableId="174864573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35752"/>
    <w:rsid w:val="00276047"/>
    <w:rsid w:val="002A4458"/>
    <w:rsid w:val="002A4A86"/>
    <w:rsid w:val="002D589A"/>
    <w:rsid w:val="002E491A"/>
    <w:rsid w:val="0040155D"/>
    <w:rsid w:val="0041713E"/>
    <w:rsid w:val="00421D3F"/>
    <w:rsid w:val="00423785"/>
    <w:rsid w:val="00452D26"/>
    <w:rsid w:val="004A06CD"/>
    <w:rsid w:val="004A4B6F"/>
    <w:rsid w:val="004A4CF9"/>
    <w:rsid w:val="004D2965"/>
    <w:rsid w:val="004D2D9D"/>
    <w:rsid w:val="00582CD1"/>
    <w:rsid w:val="00591F57"/>
    <w:rsid w:val="005A75C9"/>
    <w:rsid w:val="005B187D"/>
    <w:rsid w:val="005F35D6"/>
    <w:rsid w:val="006232DC"/>
    <w:rsid w:val="0063094F"/>
    <w:rsid w:val="00670B17"/>
    <w:rsid w:val="006D67F3"/>
    <w:rsid w:val="006F1FFF"/>
    <w:rsid w:val="006F6D10"/>
    <w:rsid w:val="00712B94"/>
    <w:rsid w:val="007B2CA1"/>
    <w:rsid w:val="007D0ABC"/>
    <w:rsid w:val="008042F5"/>
    <w:rsid w:val="00886959"/>
    <w:rsid w:val="00893A34"/>
    <w:rsid w:val="008A36E1"/>
    <w:rsid w:val="008A37A7"/>
    <w:rsid w:val="008A7AB4"/>
    <w:rsid w:val="008B0736"/>
    <w:rsid w:val="00950B06"/>
    <w:rsid w:val="00970069"/>
    <w:rsid w:val="009721EB"/>
    <w:rsid w:val="009B706E"/>
    <w:rsid w:val="009C423A"/>
    <w:rsid w:val="009E79ED"/>
    <w:rsid w:val="00A07596"/>
    <w:rsid w:val="00A17A08"/>
    <w:rsid w:val="00A60673"/>
    <w:rsid w:val="00AC1872"/>
    <w:rsid w:val="00AC21EE"/>
    <w:rsid w:val="00AD631F"/>
    <w:rsid w:val="00AE21FF"/>
    <w:rsid w:val="00AF1F18"/>
    <w:rsid w:val="00B0726E"/>
    <w:rsid w:val="00B219D1"/>
    <w:rsid w:val="00B72125"/>
    <w:rsid w:val="00B81FA4"/>
    <w:rsid w:val="00B8794C"/>
    <w:rsid w:val="00B95EF4"/>
    <w:rsid w:val="00BB6509"/>
    <w:rsid w:val="00BC248C"/>
    <w:rsid w:val="00C01EC0"/>
    <w:rsid w:val="00C244EE"/>
    <w:rsid w:val="00C72224"/>
    <w:rsid w:val="00C75706"/>
    <w:rsid w:val="00CA4815"/>
    <w:rsid w:val="00CF6562"/>
    <w:rsid w:val="00D23ABC"/>
    <w:rsid w:val="00D5688A"/>
    <w:rsid w:val="00D86284"/>
    <w:rsid w:val="00DC5980"/>
    <w:rsid w:val="00DD2B46"/>
    <w:rsid w:val="00E06ED6"/>
    <w:rsid w:val="00E24B0D"/>
    <w:rsid w:val="00E529E5"/>
    <w:rsid w:val="00EB4C2F"/>
    <w:rsid w:val="00ED0DDF"/>
    <w:rsid w:val="00F1000D"/>
    <w:rsid w:val="00F311A4"/>
    <w:rsid w:val="00F82C2C"/>
    <w:rsid w:val="00F85913"/>
    <w:rsid w:val="00F901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64BB8"/>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7"/>
    <w:qFormat/>
    <w:rsid w:val="00670B17"/>
    <w:pPr>
      <w:spacing w:before="480" w:after="0" w:line="276" w:lineRule="auto"/>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70B17"/>
    <w:rPr>
      <w:rFonts w:ascii="Calibri" w:eastAsiaTheme="majorEastAsia" w:hAnsi="Calibri" w:cstheme="majorBidi"/>
      <w:b/>
      <w:color w:val="343741"/>
      <w:spacing w:val="-10"/>
      <w:kern w:val="28"/>
      <w:sz w:val="60"/>
      <w:szCs w:val="56"/>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670B17"/>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670B17"/>
    <w:pPr>
      <w:spacing w:after="20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31215">
      <w:bodyDiv w:val="1"/>
      <w:marLeft w:val="0"/>
      <w:marRight w:val="0"/>
      <w:marTop w:val="0"/>
      <w:marBottom w:val="0"/>
      <w:divBdr>
        <w:top w:val="none" w:sz="0" w:space="0" w:color="auto"/>
        <w:left w:val="none" w:sz="0" w:space="0" w:color="auto"/>
        <w:bottom w:val="none" w:sz="0" w:space="0" w:color="auto"/>
        <w:right w:val="none" w:sz="0" w:space="0" w:color="auto"/>
      </w:divBdr>
    </w:div>
    <w:div w:id="16306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hools@educ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education.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ducation.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244C5"/>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What is a new school?</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new school?</dc:title>
  <dc:subject/>
  <dc:creator>KATIC,Rebecca</dc:creator>
  <cp:keywords/>
  <dc:description/>
  <cp:lastModifiedBy>KATIC,Rebecca</cp:lastModifiedBy>
  <cp:revision>3</cp:revision>
  <cp:lastPrinted>2024-05-07T23:18:00Z</cp:lastPrinted>
  <dcterms:created xsi:type="dcterms:W3CDTF">2024-05-07T23:09:00Z</dcterms:created>
  <dcterms:modified xsi:type="dcterms:W3CDTF">2024-05-07T23:19:00Z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